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4E3DF9" w:rsidRPr="00497F19" w:rsidTr="00377270">
        <w:tc>
          <w:tcPr>
            <w:tcW w:w="4513" w:type="dxa"/>
            <w:tcBorders>
              <w:bottom w:val="single" w:sz="4" w:space="0" w:color="auto"/>
            </w:tcBorders>
            <w:tcMar>
              <w:bottom w:w="170" w:type="dxa"/>
            </w:tcMar>
          </w:tcPr>
          <w:p w:rsidR="004E3DF9" w:rsidRPr="00497F19" w:rsidRDefault="004E3DF9" w:rsidP="004E3DF9">
            <w:pPr>
              <w:rPr>
                <w:lang w:val="es-ES_tradnl"/>
              </w:rPr>
            </w:pPr>
          </w:p>
        </w:tc>
        <w:tc>
          <w:tcPr>
            <w:tcW w:w="4337" w:type="dxa"/>
            <w:tcBorders>
              <w:bottom w:val="single" w:sz="4" w:space="0" w:color="auto"/>
            </w:tcBorders>
            <w:tcMar>
              <w:left w:w="0" w:type="dxa"/>
              <w:right w:w="0" w:type="dxa"/>
            </w:tcMar>
          </w:tcPr>
          <w:p w:rsidR="004E3DF9" w:rsidRPr="00497F19" w:rsidRDefault="004E3DF9" w:rsidP="004E3DF9">
            <w:pPr>
              <w:rPr>
                <w:lang w:val="es-ES_tradnl"/>
              </w:rPr>
            </w:pPr>
            <w:r w:rsidRPr="00497F19">
              <w:rPr>
                <w:noProof/>
                <w:lang w:val="en-US" w:eastAsia="en-US"/>
              </w:rPr>
              <w:drawing>
                <wp:inline distT="0" distB="0" distL="0" distR="0" wp14:anchorId="76047329" wp14:editId="23C2E7C1">
                  <wp:extent cx="1857375" cy="1323975"/>
                  <wp:effectExtent l="0" t="0" r="9525" b="9525"/>
                  <wp:docPr id="2" name="Picture 2"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4E3DF9" w:rsidRPr="00497F19" w:rsidRDefault="004E3DF9" w:rsidP="004E3DF9">
            <w:pPr>
              <w:jc w:val="right"/>
              <w:rPr>
                <w:lang w:val="es-ES_tradnl"/>
              </w:rPr>
            </w:pPr>
            <w:r w:rsidRPr="00497F19">
              <w:rPr>
                <w:b/>
                <w:sz w:val="40"/>
                <w:szCs w:val="40"/>
                <w:lang w:val="es-ES_tradnl"/>
              </w:rPr>
              <w:t>S</w:t>
            </w:r>
          </w:p>
        </w:tc>
      </w:tr>
      <w:tr w:rsidR="004E3DF9" w:rsidRPr="00497F19" w:rsidTr="004E3DF9">
        <w:trPr>
          <w:trHeight w:hRule="exact" w:val="340"/>
        </w:trPr>
        <w:tc>
          <w:tcPr>
            <w:tcW w:w="9356" w:type="dxa"/>
            <w:gridSpan w:val="3"/>
            <w:tcBorders>
              <w:top w:val="single" w:sz="4" w:space="0" w:color="auto"/>
            </w:tcBorders>
            <w:tcMar>
              <w:top w:w="170" w:type="dxa"/>
              <w:left w:w="0" w:type="dxa"/>
              <w:right w:w="0" w:type="dxa"/>
            </w:tcMar>
            <w:vAlign w:val="bottom"/>
          </w:tcPr>
          <w:p w:rsidR="004E3DF9" w:rsidRPr="00497F19" w:rsidRDefault="004E3DF9" w:rsidP="004E3DF9">
            <w:pPr>
              <w:jc w:val="right"/>
              <w:rPr>
                <w:rFonts w:ascii="Arial Black" w:hAnsi="Arial Black"/>
                <w:caps/>
                <w:sz w:val="15"/>
                <w:lang w:val="es-ES_tradnl"/>
              </w:rPr>
            </w:pPr>
            <w:r w:rsidRPr="00497F19">
              <w:rPr>
                <w:rFonts w:ascii="Arial Black" w:hAnsi="Arial Black"/>
                <w:caps/>
                <w:sz w:val="15"/>
                <w:lang w:val="es-ES_tradnl"/>
              </w:rPr>
              <w:t>WO/PBC/22/6</w:t>
            </w:r>
          </w:p>
        </w:tc>
      </w:tr>
      <w:tr w:rsidR="004E3DF9" w:rsidRPr="00497F19" w:rsidTr="004E3DF9">
        <w:trPr>
          <w:trHeight w:hRule="exact" w:val="170"/>
        </w:trPr>
        <w:tc>
          <w:tcPr>
            <w:tcW w:w="9356" w:type="dxa"/>
            <w:gridSpan w:val="3"/>
            <w:noWrap/>
            <w:tcMar>
              <w:left w:w="0" w:type="dxa"/>
              <w:right w:w="0" w:type="dxa"/>
            </w:tcMar>
            <w:vAlign w:val="bottom"/>
          </w:tcPr>
          <w:p w:rsidR="004E3DF9" w:rsidRPr="00497F19" w:rsidRDefault="004E3DF9" w:rsidP="004E3DF9">
            <w:pPr>
              <w:jc w:val="right"/>
              <w:rPr>
                <w:rFonts w:ascii="Arial Black" w:hAnsi="Arial Black"/>
                <w:caps/>
                <w:sz w:val="15"/>
                <w:lang w:val="es-ES_tradnl"/>
              </w:rPr>
            </w:pPr>
            <w:r w:rsidRPr="00497F19">
              <w:rPr>
                <w:rFonts w:ascii="Arial Black" w:hAnsi="Arial Black"/>
                <w:caps/>
                <w:sz w:val="15"/>
                <w:lang w:val="es-ES_tradnl"/>
              </w:rPr>
              <w:t>ORIGINAL:  INGLÉS</w:t>
            </w:r>
          </w:p>
        </w:tc>
      </w:tr>
      <w:tr w:rsidR="004E3DF9" w:rsidRPr="00497F19" w:rsidTr="004E3DF9">
        <w:trPr>
          <w:trHeight w:hRule="exact" w:val="198"/>
        </w:trPr>
        <w:tc>
          <w:tcPr>
            <w:tcW w:w="9356" w:type="dxa"/>
            <w:gridSpan w:val="3"/>
            <w:tcMar>
              <w:left w:w="0" w:type="dxa"/>
              <w:right w:w="0" w:type="dxa"/>
            </w:tcMar>
            <w:vAlign w:val="bottom"/>
          </w:tcPr>
          <w:p w:rsidR="004E3DF9" w:rsidRPr="00497F19" w:rsidRDefault="004E3DF9" w:rsidP="004E3DF9">
            <w:pPr>
              <w:jc w:val="right"/>
              <w:rPr>
                <w:rFonts w:ascii="Arial Black" w:hAnsi="Arial Black"/>
                <w:caps/>
                <w:sz w:val="15"/>
                <w:lang w:val="es-ES_tradnl"/>
              </w:rPr>
            </w:pPr>
            <w:r w:rsidRPr="00497F19">
              <w:rPr>
                <w:rFonts w:ascii="Arial Black" w:hAnsi="Arial Black"/>
                <w:caps/>
                <w:sz w:val="15"/>
                <w:lang w:val="es-ES_tradnl"/>
              </w:rPr>
              <w:t>fecha:  24 DE JULIO DE 2014</w:t>
            </w:r>
          </w:p>
        </w:tc>
      </w:tr>
    </w:tbl>
    <w:p w:rsidR="004E3DF9" w:rsidRPr="00497F19" w:rsidRDefault="004E3DF9" w:rsidP="004E3DF9">
      <w:pPr>
        <w:rPr>
          <w:lang w:val="es-ES_tradnl"/>
        </w:rPr>
      </w:pPr>
    </w:p>
    <w:p w:rsidR="004E3DF9" w:rsidRPr="00497F19" w:rsidRDefault="004E3DF9" w:rsidP="004E3DF9">
      <w:pPr>
        <w:rPr>
          <w:lang w:val="es-ES_tradnl"/>
        </w:rPr>
      </w:pPr>
    </w:p>
    <w:p w:rsidR="004E3DF9" w:rsidRPr="00497F19" w:rsidRDefault="004E3DF9" w:rsidP="004E3DF9">
      <w:pPr>
        <w:rPr>
          <w:lang w:val="es-ES_tradnl"/>
        </w:rPr>
      </w:pPr>
    </w:p>
    <w:p w:rsidR="004E3DF9" w:rsidRPr="00497F19" w:rsidRDefault="004E3DF9" w:rsidP="004E3DF9">
      <w:pPr>
        <w:rPr>
          <w:lang w:val="es-ES_tradnl"/>
        </w:rPr>
      </w:pPr>
    </w:p>
    <w:p w:rsidR="004E3DF9" w:rsidRPr="00497F19" w:rsidRDefault="004E3DF9" w:rsidP="004E3DF9">
      <w:pPr>
        <w:rPr>
          <w:lang w:val="es-ES_tradnl"/>
        </w:rPr>
      </w:pPr>
    </w:p>
    <w:p w:rsidR="004E3DF9" w:rsidRPr="00497F19" w:rsidRDefault="004E3DF9" w:rsidP="004E3DF9">
      <w:pPr>
        <w:rPr>
          <w:b/>
          <w:sz w:val="28"/>
          <w:szCs w:val="28"/>
          <w:lang w:val="es-ES_tradnl"/>
        </w:rPr>
      </w:pPr>
      <w:r w:rsidRPr="00497F19">
        <w:rPr>
          <w:b/>
          <w:sz w:val="28"/>
          <w:szCs w:val="28"/>
          <w:lang w:val="es-ES_tradnl"/>
        </w:rPr>
        <w:t>Comité del Programa y Presupuesto</w:t>
      </w:r>
    </w:p>
    <w:p w:rsidR="004E3DF9" w:rsidRPr="00497F19" w:rsidRDefault="004E3DF9" w:rsidP="004E3DF9">
      <w:pPr>
        <w:rPr>
          <w:lang w:val="es-ES_tradnl"/>
        </w:rPr>
      </w:pPr>
    </w:p>
    <w:p w:rsidR="004E3DF9" w:rsidRPr="00497F19" w:rsidRDefault="004E3DF9" w:rsidP="004E3DF9">
      <w:pPr>
        <w:rPr>
          <w:lang w:val="es-ES_tradnl"/>
        </w:rPr>
      </w:pPr>
    </w:p>
    <w:p w:rsidR="004E3DF9" w:rsidRPr="00497F19" w:rsidRDefault="004E3DF9" w:rsidP="004E3DF9">
      <w:pPr>
        <w:rPr>
          <w:b/>
          <w:sz w:val="24"/>
          <w:szCs w:val="24"/>
          <w:lang w:val="es-ES_tradnl"/>
        </w:rPr>
      </w:pPr>
      <w:r w:rsidRPr="00497F19">
        <w:rPr>
          <w:b/>
          <w:sz w:val="24"/>
          <w:szCs w:val="24"/>
          <w:lang w:val="es-ES_tradnl"/>
        </w:rPr>
        <w:t>Vigésima segunda sesión</w:t>
      </w:r>
    </w:p>
    <w:p w:rsidR="004E3DF9" w:rsidRPr="00497F19" w:rsidRDefault="004E3DF9" w:rsidP="004E3DF9">
      <w:pPr>
        <w:rPr>
          <w:b/>
          <w:sz w:val="24"/>
          <w:szCs w:val="24"/>
          <w:lang w:val="es-ES_tradnl"/>
        </w:rPr>
      </w:pPr>
      <w:r w:rsidRPr="00497F19">
        <w:rPr>
          <w:b/>
          <w:sz w:val="24"/>
          <w:szCs w:val="24"/>
          <w:lang w:val="es-ES_tradnl"/>
        </w:rPr>
        <w:t>Ginebra, 1 a 5 de septiembre de 2014</w:t>
      </w:r>
    </w:p>
    <w:p w:rsidR="004E3DF9" w:rsidRPr="00497F19" w:rsidRDefault="004E3DF9" w:rsidP="004E3DF9">
      <w:pPr>
        <w:rPr>
          <w:lang w:val="es-ES_tradnl"/>
        </w:rPr>
      </w:pPr>
    </w:p>
    <w:p w:rsidR="004E3DF9" w:rsidRPr="00497F19" w:rsidRDefault="004E3DF9" w:rsidP="004E3DF9">
      <w:pPr>
        <w:rPr>
          <w:lang w:val="es-ES_tradnl"/>
        </w:rPr>
      </w:pPr>
    </w:p>
    <w:p w:rsidR="004E3DF9" w:rsidRPr="00497F19" w:rsidRDefault="004E3DF9" w:rsidP="004E3DF9">
      <w:pPr>
        <w:rPr>
          <w:lang w:val="es-ES_tradnl"/>
        </w:rPr>
      </w:pPr>
    </w:p>
    <w:p w:rsidR="004E3DF9" w:rsidRPr="00497F19" w:rsidRDefault="004E3DF9" w:rsidP="004E3DF9">
      <w:pPr>
        <w:rPr>
          <w:caps/>
          <w:sz w:val="24"/>
          <w:lang w:val="es-ES_tradnl"/>
        </w:rPr>
      </w:pPr>
      <w:r w:rsidRPr="00497F19">
        <w:rPr>
          <w:caps/>
          <w:sz w:val="24"/>
          <w:lang w:val="es-ES_tradnl"/>
        </w:rPr>
        <w:t>Informe de gestión financiera del bienio 2012/13</w:t>
      </w:r>
    </w:p>
    <w:p w:rsidR="004E3DF9" w:rsidRPr="00497F19" w:rsidRDefault="004E3DF9" w:rsidP="004E3DF9">
      <w:pPr>
        <w:rPr>
          <w:lang w:val="es-ES_tradnl"/>
        </w:rPr>
      </w:pPr>
    </w:p>
    <w:p w:rsidR="004E3DF9" w:rsidRPr="00497F19" w:rsidRDefault="004E3DF9" w:rsidP="004E3DF9">
      <w:pPr>
        <w:rPr>
          <w:i/>
          <w:lang w:val="es-ES_tradnl"/>
        </w:rPr>
      </w:pPr>
      <w:bookmarkStart w:id="0" w:name="Prepared"/>
      <w:bookmarkEnd w:id="0"/>
      <w:proofErr w:type="gramStart"/>
      <w:r w:rsidRPr="00497F19">
        <w:rPr>
          <w:i/>
          <w:lang w:val="es-ES_tradnl"/>
        </w:rPr>
        <w:t>preparado</w:t>
      </w:r>
      <w:proofErr w:type="gramEnd"/>
      <w:r w:rsidRPr="00497F19">
        <w:rPr>
          <w:i/>
          <w:lang w:val="es-ES_tradnl"/>
        </w:rPr>
        <w:t xml:space="preserve"> por la Secretaría</w:t>
      </w:r>
    </w:p>
    <w:p w:rsidR="004E3DF9" w:rsidRPr="00497F19" w:rsidRDefault="004E3DF9" w:rsidP="004E3DF9">
      <w:pPr>
        <w:rPr>
          <w:lang w:val="es-ES_tradnl"/>
        </w:rPr>
      </w:pPr>
    </w:p>
    <w:p w:rsidR="004E3DF9" w:rsidRPr="00497F19" w:rsidRDefault="004E3DF9" w:rsidP="004E3DF9">
      <w:pPr>
        <w:rPr>
          <w:lang w:val="es-ES_tradnl"/>
        </w:rPr>
      </w:pPr>
    </w:p>
    <w:p w:rsidR="004E3DF9" w:rsidRPr="00497F19" w:rsidRDefault="004E3DF9" w:rsidP="004E3DF9">
      <w:pPr>
        <w:rPr>
          <w:lang w:val="es-ES_tradnl"/>
        </w:rPr>
      </w:pPr>
    </w:p>
    <w:p w:rsidR="004E3DF9" w:rsidRPr="00497F19" w:rsidRDefault="004E3DF9" w:rsidP="004E3DF9">
      <w:pPr>
        <w:rPr>
          <w:lang w:val="es-ES_tradnl"/>
        </w:rPr>
      </w:pPr>
    </w:p>
    <w:p w:rsidR="004E3DF9" w:rsidRPr="00497F19" w:rsidRDefault="004E3DF9" w:rsidP="004E3DF9">
      <w:pPr>
        <w:rPr>
          <w:lang w:val="es-ES_tradnl"/>
        </w:rPr>
      </w:pPr>
      <w:r w:rsidRPr="00497F19">
        <w:rPr>
          <w:lang w:val="es-ES_tradnl"/>
        </w:rPr>
        <w:t>1.</w:t>
      </w:r>
      <w:r w:rsidRPr="00497F19">
        <w:rPr>
          <w:lang w:val="es-ES_tradnl"/>
        </w:rPr>
        <w:tab/>
      </w:r>
      <w:r w:rsidR="00351B3A" w:rsidRPr="00497F19">
        <w:rPr>
          <w:lang w:val="es-ES_tradnl"/>
        </w:rPr>
        <w:t>El Informe de gestión financiera (en lo sucesivo “el FMR”) de la Organización Mundial de la Propiedad Intelectual (OMPI) correspondiente al bienio 2012/13 se presenta al Comité del Programa y Presupuesto (PBC) en consonancia con el artículo 6.7 del Reglamento Financiero y la Reglamentación Financiera (FRR) de la OMPI, el cual estipula que el FMR debe ser presentado a todos los Estados interesados</w:t>
      </w:r>
      <w:r w:rsidRPr="00497F19">
        <w:rPr>
          <w:lang w:val="es-ES_tradnl"/>
        </w:rPr>
        <w:t>.</w:t>
      </w:r>
    </w:p>
    <w:p w:rsidR="004E3DF9" w:rsidRPr="00497F19" w:rsidRDefault="004E3DF9" w:rsidP="004E3DF9">
      <w:pPr>
        <w:tabs>
          <w:tab w:val="left" w:pos="1190"/>
        </w:tabs>
        <w:rPr>
          <w:lang w:val="es-ES_tradnl"/>
        </w:rPr>
      </w:pPr>
    </w:p>
    <w:p w:rsidR="004E3DF9" w:rsidRPr="00497F19" w:rsidRDefault="004E3DF9" w:rsidP="004E3DF9">
      <w:pPr>
        <w:rPr>
          <w:lang w:val="es-ES_tradnl"/>
        </w:rPr>
      </w:pPr>
      <w:r w:rsidRPr="00497F19">
        <w:rPr>
          <w:lang w:val="es-ES_tradnl"/>
        </w:rPr>
        <w:t>2.</w:t>
      </w:r>
      <w:r w:rsidRPr="00497F19">
        <w:rPr>
          <w:lang w:val="es-ES_tradnl"/>
        </w:rPr>
        <w:tab/>
      </w:r>
      <w:r w:rsidR="00351B3A" w:rsidRPr="00497F19">
        <w:rPr>
          <w:lang w:val="es-ES_tradnl"/>
        </w:rPr>
        <w:t>Cabe observar que el FMR no está sujeto a una auditoría externa</w:t>
      </w:r>
      <w:r w:rsidRPr="00497F19">
        <w:rPr>
          <w:lang w:val="es-ES_tradnl"/>
        </w:rPr>
        <w:t>.</w:t>
      </w:r>
    </w:p>
    <w:p w:rsidR="004E3DF9" w:rsidRPr="00497F19" w:rsidRDefault="004E3DF9" w:rsidP="004E3DF9">
      <w:pPr>
        <w:tabs>
          <w:tab w:val="left" w:pos="1190"/>
        </w:tabs>
        <w:rPr>
          <w:lang w:val="es-ES_tradnl"/>
        </w:rPr>
      </w:pPr>
    </w:p>
    <w:p w:rsidR="004E3DF9" w:rsidRPr="00497F19" w:rsidRDefault="00351B3A" w:rsidP="004E3DF9">
      <w:pPr>
        <w:rPr>
          <w:lang w:val="es-ES_tradnl"/>
        </w:rPr>
      </w:pPr>
      <w:r w:rsidRPr="00497F19">
        <w:rPr>
          <w:lang w:val="es-ES_tradnl"/>
        </w:rPr>
        <w:t>3.</w:t>
      </w:r>
      <w:r w:rsidRPr="00497F19">
        <w:rPr>
          <w:lang w:val="es-ES_tradnl"/>
        </w:rPr>
        <w:tab/>
        <w:t>Se propone el párrafo de decisión siguiente.</w:t>
      </w:r>
    </w:p>
    <w:p w:rsidR="004E3DF9" w:rsidRPr="00497F19" w:rsidRDefault="004E3DF9" w:rsidP="004E3DF9">
      <w:pPr>
        <w:tabs>
          <w:tab w:val="left" w:pos="1190"/>
        </w:tabs>
        <w:rPr>
          <w:lang w:val="es-ES_tradnl"/>
        </w:rPr>
      </w:pPr>
    </w:p>
    <w:p w:rsidR="004E3DF9" w:rsidRPr="00497F19" w:rsidRDefault="004E3DF9" w:rsidP="004E3DF9">
      <w:pPr>
        <w:tabs>
          <w:tab w:val="left" w:pos="1190"/>
        </w:tabs>
        <w:ind w:left="5670"/>
        <w:rPr>
          <w:i/>
          <w:lang w:val="es-ES_tradnl"/>
        </w:rPr>
      </w:pPr>
      <w:r w:rsidRPr="00497F19">
        <w:rPr>
          <w:i/>
          <w:lang w:val="es-ES_tradnl"/>
        </w:rPr>
        <w:t>4.</w:t>
      </w:r>
      <w:r w:rsidRPr="00497F19">
        <w:rPr>
          <w:lang w:val="es-ES_tradnl"/>
        </w:rPr>
        <w:tab/>
      </w:r>
      <w:r w:rsidR="00351B3A" w:rsidRPr="00497F19">
        <w:rPr>
          <w:i/>
          <w:lang w:val="es-ES_tradnl"/>
        </w:rPr>
        <w:t xml:space="preserve">El Comité del </w:t>
      </w:r>
      <w:r w:rsidRPr="00497F19">
        <w:rPr>
          <w:i/>
          <w:lang w:val="es-ES_tradnl"/>
        </w:rPr>
        <w:t>Programa</w:t>
      </w:r>
      <w:r w:rsidR="00351B3A" w:rsidRPr="00497F19">
        <w:rPr>
          <w:i/>
          <w:lang w:val="es-ES_tradnl"/>
        </w:rPr>
        <w:t xml:space="preserve"> y Presupuesto recomendó a las Asambleas de los Estados miembros de la OMPI aprobar el Informe de gestión financiera del bienio</w:t>
      </w:r>
      <w:r w:rsidRPr="00497F19">
        <w:rPr>
          <w:i/>
          <w:iCs/>
          <w:lang w:val="es-ES_tradnl"/>
        </w:rPr>
        <w:t xml:space="preserve"> 2012/13.</w:t>
      </w:r>
    </w:p>
    <w:p w:rsidR="004E3DF9" w:rsidRPr="00497F19" w:rsidRDefault="004E3DF9" w:rsidP="004E3DF9">
      <w:pPr>
        <w:tabs>
          <w:tab w:val="left" w:pos="1190"/>
        </w:tabs>
        <w:rPr>
          <w:lang w:val="es-ES_tradnl"/>
        </w:rPr>
      </w:pPr>
    </w:p>
    <w:p w:rsidR="004E3DF9" w:rsidRPr="00497F19" w:rsidRDefault="004E3DF9" w:rsidP="004E3DF9">
      <w:pPr>
        <w:tabs>
          <w:tab w:val="left" w:pos="1190"/>
        </w:tabs>
        <w:rPr>
          <w:lang w:val="es-ES_tradnl"/>
        </w:rPr>
      </w:pPr>
    </w:p>
    <w:p w:rsidR="004E3DF9" w:rsidRPr="00497F19" w:rsidRDefault="004E3DF9" w:rsidP="004E3DF9">
      <w:pPr>
        <w:tabs>
          <w:tab w:val="left" w:pos="1190"/>
        </w:tabs>
        <w:rPr>
          <w:lang w:val="es-ES_tradnl"/>
        </w:rPr>
      </w:pPr>
    </w:p>
    <w:p w:rsidR="004E3DF9" w:rsidRPr="00497F19" w:rsidRDefault="004E3DF9" w:rsidP="004E3DF9">
      <w:pPr>
        <w:tabs>
          <w:tab w:val="left" w:pos="1190"/>
        </w:tabs>
        <w:ind w:left="5670" w:right="-284"/>
        <w:rPr>
          <w:lang w:val="es-ES_tradnl"/>
        </w:rPr>
      </w:pPr>
      <w:r w:rsidRPr="00497F19">
        <w:rPr>
          <w:lang w:val="es-ES_tradnl"/>
        </w:rPr>
        <w:t>[</w:t>
      </w:r>
      <w:r w:rsidR="00351B3A" w:rsidRPr="00497F19">
        <w:rPr>
          <w:lang w:val="es-ES_tradnl"/>
        </w:rPr>
        <w:t xml:space="preserve">Sigue el </w:t>
      </w:r>
      <w:r w:rsidRPr="00497F19">
        <w:rPr>
          <w:lang w:val="es-ES_tradnl"/>
        </w:rPr>
        <w:t xml:space="preserve">FMR </w:t>
      </w:r>
      <w:r w:rsidR="00351B3A" w:rsidRPr="00497F19">
        <w:rPr>
          <w:lang w:val="es-ES_tradnl"/>
        </w:rPr>
        <w:t>del bienio</w:t>
      </w:r>
      <w:r w:rsidRPr="00497F19">
        <w:rPr>
          <w:lang w:val="es-ES_tradnl"/>
        </w:rPr>
        <w:t xml:space="preserve"> 2012/13]</w:t>
      </w:r>
    </w:p>
    <w:p w:rsidR="004E3DF9" w:rsidRPr="00497F19" w:rsidRDefault="004E3DF9" w:rsidP="004E3DF9">
      <w:pPr>
        <w:tabs>
          <w:tab w:val="left" w:pos="1190"/>
        </w:tabs>
        <w:rPr>
          <w:lang w:val="es-ES_tradnl"/>
        </w:rPr>
      </w:pPr>
    </w:p>
    <w:p w:rsidR="004E3DF9" w:rsidRPr="00497F19" w:rsidRDefault="004E3DF9" w:rsidP="004E3DF9">
      <w:pPr>
        <w:rPr>
          <w:lang w:val="es-ES_tradnl"/>
        </w:rPr>
      </w:pPr>
    </w:p>
    <w:p w:rsidR="00911D3A" w:rsidRPr="00497F19" w:rsidRDefault="00911D3A" w:rsidP="00911D3A">
      <w:pPr>
        <w:rPr>
          <w:lang w:val="es-ES_tradnl"/>
        </w:rPr>
      </w:pPr>
    </w:p>
    <w:p w:rsidR="004E3DF9" w:rsidRPr="00497F19" w:rsidRDefault="004E3DF9" w:rsidP="00911D3A">
      <w:pPr>
        <w:rPr>
          <w:lang w:val="es-ES_tradnl"/>
        </w:rPr>
        <w:sectPr w:rsidR="004E3DF9" w:rsidRPr="00497F19" w:rsidSect="00094C96">
          <w:headerReference w:type="default" r:id="rId10"/>
          <w:footerReference w:type="default" r:id="rId11"/>
          <w:pgSz w:w="11907" w:h="16840" w:code="9"/>
          <w:pgMar w:top="567" w:right="1134" w:bottom="1418" w:left="1418" w:header="510" w:footer="1021" w:gutter="0"/>
          <w:cols w:space="720"/>
          <w:titlePg/>
          <w:docGrid w:linePitch="299"/>
        </w:sectPr>
      </w:pPr>
    </w:p>
    <w:p w:rsidR="00ED766C" w:rsidRDefault="00ED766C" w:rsidP="004E3DF9">
      <w:pPr>
        <w:contextualSpacing/>
        <w:rPr>
          <w:lang w:val="es-ES_tradnl"/>
        </w:rPr>
        <w:sectPr w:rsidR="00ED766C" w:rsidSect="00094C96">
          <w:pgSz w:w="11907" w:h="16840" w:code="9"/>
          <w:pgMar w:top="567" w:right="1134" w:bottom="1418" w:left="1418" w:header="510" w:footer="1021" w:gutter="0"/>
          <w:cols w:space="720"/>
          <w:titlePg/>
          <w:docGrid w:linePitch="299"/>
        </w:sectPr>
      </w:pPr>
    </w:p>
    <w:p w:rsidR="00ED766C" w:rsidRDefault="00ED766C" w:rsidP="004E3DF9">
      <w:pPr>
        <w:contextualSpacing/>
        <w:rPr>
          <w:lang w:val="es-ES_tradnl"/>
        </w:rPr>
      </w:pPr>
      <w:bookmarkStart w:id="2" w:name="_GoBack"/>
      <w:bookmarkEnd w:id="2"/>
    </w:p>
    <w:p w:rsidR="004E3DF9" w:rsidRPr="00497F19" w:rsidRDefault="004E3DF9" w:rsidP="004E3DF9">
      <w:pPr>
        <w:contextualSpacing/>
        <w:rPr>
          <w:lang w:val="es-ES_tradnl"/>
        </w:rPr>
      </w:pPr>
    </w:p>
    <w:p w:rsidR="004E3DF9" w:rsidRPr="00497F19" w:rsidRDefault="004E3DF9" w:rsidP="004E3DF9">
      <w:pPr>
        <w:contextualSpacing/>
        <w:rPr>
          <w:lang w:val="es-ES_tradnl"/>
        </w:rPr>
      </w:pPr>
    </w:p>
    <w:p w:rsidR="004E3DF9" w:rsidRPr="00497F19" w:rsidRDefault="004E3DF9" w:rsidP="004E3DF9">
      <w:pPr>
        <w:contextualSpacing/>
        <w:rPr>
          <w:lang w:val="es-ES_tradnl"/>
        </w:rPr>
      </w:pPr>
    </w:p>
    <w:p w:rsidR="004E3DF9" w:rsidRPr="00497F19" w:rsidRDefault="004E3DF9" w:rsidP="004E3DF9">
      <w:pPr>
        <w:contextualSpacing/>
        <w:rPr>
          <w:lang w:val="es-ES_tradnl"/>
        </w:rPr>
      </w:pPr>
    </w:p>
    <w:p w:rsidR="004E3DF9" w:rsidRPr="00497F19" w:rsidRDefault="004E3DF9" w:rsidP="004E3DF9">
      <w:pPr>
        <w:contextualSpacing/>
        <w:rPr>
          <w:lang w:val="es-ES_tradnl"/>
        </w:rPr>
      </w:pPr>
    </w:p>
    <w:p w:rsidR="004E3DF9" w:rsidRPr="00497F19" w:rsidRDefault="004E3DF9" w:rsidP="004E3DF9">
      <w:pPr>
        <w:contextualSpacing/>
        <w:rPr>
          <w:lang w:val="es-ES_tradnl"/>
        </w:rPr>
      </w:pPr>
    </w:p>
    <w:p w:rsidR="004E3DF9" w:rsidRPr="00497F19" w:rsidRDefault="004E3DF9" w:rsidP="004E3DF9">
      <w:pPr>
        <w:contextualSpacing/>
        <w:rPr>
          <w:lang w:val="es-ES_tradnl"/>
        </w:rPr>
      </w:pPr>
    </w:p>
    <w:p w:rsidR="004E3DF9" w:rsidRPr="00497F19" w:rsidRDefault="004E3DF9" w:rsidP="004E3DF9">
      <w:pPr>
        <w:rPr>
          <w:lang w:val="es-ES_tradnl"/>
        </w:rPr>
      </w:pPr>
    </w:p>
    <w:p w:rsidR="004E3DF9" w:rsidRPr="00497F19" w:rsidRDefault="004E3DF9" w:rsidP="004E3DF9">
      <w:pPr>
        <w:rPr>
          <w:sz w:val="23"/>
          <w:szCs w:val="23"/>
          <w:lang w:val="es-ES_tradnl"/>
        </w:rPr>
      </w:pPr>
    </w:p>
    <w:p w:rsidR="004E3DF9" w:rsidRPr="00497F19" w:rsidRDefault="004E3DF9" w:rsidP="004E3DF9">
      <w:pPr>
        <w:rPr>
          <w:sz w:val="23"/>
          <w:szCs w:val="23"/>
          <w:lang w:val="es-ES_tradnl"/>
        </w:rPr>
      </w:pPr>
    </w:p>
    <w:p w:rsidR="004E3DF9" w:rsidRPr="00497F19" w:rsidRDefault="004E3DF9" w:rsidP="004E3DF9">
      <w:pPr>
        <w:pStyle w:val="StyleHeading1"/>
        <w:rPr>
          <w:sz w:val="28"/>
          <w:szCs w:val="28"/>
          <w:lang w:val="es-ES_tradnl"/>
        </w:rPr>
      </w:pPr>
      <w:r w:rsidRPr="00497F19">
        <w:rPr>
          <w:sz w:val="28"/>
          <w:szCs w:val="28"/>
          <w:lang w:val="es-ES_tradnl"/>
        </w:rPr>
        <w:t>Organización Mundial de la Propiedad Intelectual</w:t>
      </w:r>
    </w:p>
    <w:p w:rsidR="004E3DF9" w:rsidRPr="00497F19" w:rsidRDefault="004E3DF9" w:rsidP="004E3DF9">
      <w:pPr>
        <w:rPr>
          <w:sz w:val="23"/>
          <w:szCs w:val="23"/>
          <w:lang w:val="es-ES_tradnl"/>
        </w:rPr>
      </w:pPr>
    </w:p>
    <w:p w:rsidR="004E3DF9" w:rsidRPr="00497F19" w:rsidRDefault="004E3DF9" w:rsidP="004E3DF9">
      <w:pPr>
        <w:rPr>
          <w:sz w:val="23"/>
          <w:szCs w:val="23"/>
          <w:lang w:val="es-ES_tradnl"/>
        </w:rPr>
      </w:pPr>
    </w:p>
    <w:p w:rsidR="004E3DF9" w:rsidRPr="00497F19" w:rsidRDefault="004E3DF9" w:rsidP="004E3DF9">
      <w:pPr>
        <w:rPr>
          <w:sz w:val="23"/>
          <w:szCs w:val="23"/>
          <w:lang w:val="es-ES_tradnl"/>
        </w:rPr>
      </w:pPr>
    </w:p>
    <w:p w:rsidR="004E3DF9" w:rsidRPr="00497F19" w:rsidRDefault="004E3DF9" w:rsidP="004E3DF9">
      <w:pPr>
        <w:rPr>
          <w:sz w:val="23"/>
          <w:szCs w:val="23"/>
          <w:lang w:val="es-ES_tradnl"/>
        </w:rPr>
      </w:pPr>
    </w:p>
    <w:p w:rsidR="004E3DF9" w:rsidRPr="00497F19" w:rsidRDefault="004E3DF9" w:rsidP="004E3DF9">
      <w:pPr>
        <w:rPr>
          <w:sz w:val="23"/>
          <w:szCs w:val="23"/>
          <w:lang w:val="es-ES_tradnl"/>
        </w:rPr>
      </w:pPr>
    </w:p>
    <w:p w:rsidR="004E3DF9" w:rsidRPr="00497F19" w:rsidRDefault="004E3DF9" w:rsidP="004E3DF9">
      <w:pPr>
        <w:rPr>
          <w:sz w:val="23"/>
          <w:szCs w:val="23"/>
          <w:lang w:val="es-ES_tradnl"/>
        </w:rPr>
      </w:pPr>
    </w:p>
    <w:p w:rsidR="004E3DF9" w:rsidRPr="00497F19" w:rsidRDefault="004E3DF9" w:rsidP="004E3DF9">
      <w:pPr>
        <w:rPr>
          <w:sz w:val="23"/>
          <w:szCs w:val="23"/>
          <w:lang w:val="es-ES_tradnl"/>
        </w:rPr>
      </w:pPr>
    </w:p>
    <w:p w:rsidR="004E3DF9" w:rsidRPr="00497F19" w:rsidRDefault="004E3DF9" w:rsidP="004E3DF9">
      <w:pPr>
        <w:rPr>
          <w:sz w:val="23"/>
          <w:szCs w:val="23"/>
          <w:lang w:val="es-ES_tradnl"/>
        </w:rPr>
      </w:pPr>
    </w:p>
    <w:p w:rsidR="004E3DF9" w:rsidRPr="00497F19" w:rsidRDefault="004E3DF9" w:rsidP="004E3DF9">
      <w:pPr>
        <w:rPr>
          <w:sz w:val="23"/>
          <w:szCs w:val="23"/>
          <w:lang w:val="es-ES_tradnl"/>
        </w:rPr>
      </w:pPr>
    </w:p>
    <w:p w:rsidR="004E3DF9" w:rsidRPr="00497F19" w:rsidRDefault="004E3DF9" w:rsidP="004E3DF9">
      <w:pPr>
        <w:rPr>
          <w:sz w:val="23"/>
          <w:szCs w:val="23"/>
          <w:lang w:val="es-ES_tradnl"/>
        </w:rPr>
      </w:pPr>
    </w:p>
    <w:p w:rsidR="004E3DF9" w:rsidRPr="00497F19" w:rsidRDefault="004E3DF9" w:rsidP="004E3DF9">
      <w:pPr>
        <w:rPr>
          <w:sz w:val="23"/>
          <w:szCs w:val="23"/>
          <w:lang w:val="es-ES_tradnl"/>
        </w:rPr>
      </w:pPr>
    </w:p>
    <w:p w:rsidR="004E3DF9" w:rsidRPr="00497F19" w:rsidRDefault="00351B3A" w:rsidP="004E3DF9">
      <w:pPr>
        <w:jc w:val="center"/>
        <w:rPr>
          <w:b/>
          <w:bCs/>
          <w:sz w:val="28"/>
          <w:szCs w:val="28"/>
          <w:lang w:val="es-ES_tradnl"/>
        </w:rPr>
      </w:pPr>
      <w:r w:rsidRPr="00497F19">
        <w:rPr>
          <w:b/>
          <w:bCs/>
          <w:sz w:val="28"/>
          <w:szCs w:val="28"/>
          <w:lang w:val="es-ES_tradnl"/>
        </w:rPr>
        <w:t>INFORME DE GESTIÓN FINANCIERA DEL BIENIO 2012/13</w:t>
      </w:r>
    </w:p>
    <w:p w:rsidR="004E3DF9" w:rsidRPr="00497F19" w:rsidRDefault="004E3DF9" w:rsidP="004E3DF9">
      <w:pPr>
        <w:rPr>
          <w:b/>
          <w:bCs/>
          <w:sz w:val="23"/>
          <w:szCs w:val="23"/>
          <w:lang w:val="es-ES_tradnl"/>
        </w:rPr>
      </w:pPr>
    </w:p>
    <w:p w:rsidR="004E3DF9" w:rsidRPr="00497F19" w:rsidRDefault="004E3DF9" w:rsidP="004E3DF9">
      <w:pPr>
        <w:rPr>
          <w:b/>
          <w:bCs/>
          <w:sz w:val="23"/>
          <w:szCs w:val="23"/>
          <w:lang w:val="es-ES_tradnl"/>
        </w:rPr>
      </w:pPr>
    </w:p>
    <w:p w:rsidR="004E3DF9" w:rsidRPr="00497F19" w:rsidRDefault="004E3DF9" w:rsidP="004E3DF9">
      <w:pPr>
        <w:rPr>
          <w:b/>
          <w:bCs/>
          <w:sz w:val="23"/>
          <w:szCs w:val="23"/>
          <w:lang w:val="es-ES_tradnl"/>
        </w:rPr>
      </w:pPr>
    </w:p>
    <w:p w:rsidR="004E3DF9" w:rsidRPr="00497F19" w:rsidRDefault="004E3DF9" w:rsidP="00911D3A">
      <w:pPr>
        <w:rPr>
          <w:lang w:val="es-ES_tradnl"/>
        </w:rPr>
        <w:sectPr w:rsidR="004E3DF9" w:rsidRPr="00497F19" w:rsidSect="00094C96">
          <w:pgSz w:w="11907" w:h="16840" w:code="9"/>
          <w:pgMar w:top="567" w:right="1134" w:bottom="1418" w:left="1418" w:header="510" w:footer="1021" w:gutter="0"/>
          <w:cols w:space="720"/>
          <w:titlePg/>
          <w:docGrid w:linePitch="299"/>
        </w:sectPr>
      </w:pPr>
    </w:p>
    <w:p w:rsidR="004E3DF9" w:rsidRPr="00497F19" w:rsidRDefault="004E3DF9" w:rsidP="004E3DF9">
      <w:pPr>
        <w:rPr>
          <w:b/>
          <w:szCs w:val="22"/>
          <w:lang w:val="es-ES_tradnl"/>
        </w:rPr>
      </w:pPr>
    </w:p>
    <w:p w:rsidR="004E3DF9" w:rsidRPr="00497F19" w:rsidRDefault="004E3DF9" w:rsidP="004E3DF9">
      <w:pPr>
        <w:rPr>
          <w:b/>
          <w:szCs w:val="22"/>
          <w:lang w:val="es-ES_tradnl"/>
        </w:rPr>
      </w:pPr>
    </w:p>
    <w:p w:rsidR="004E3DF9" w:rsidRPr="00497F19" w:rsidRDefault="004E3DF9" w:rsidP="004E3DF9">
      <w:pPr>
        <w:rPr>
          <w:b/>
          <w:szCs w:val="22"/>
          <w:lang w:val="es-ES_tradnl"/>
        </w:rPr>
      </w:pPr>
    </w:p>
    <w:p w:rsidR="004E3DF9" w:rsidRPr="00497F19" w:rsidRDefault="004E3DF9" w:rsidP="004E3DF9">
      <w:pPr>
        <w:rPr>
          <w:b/>
          <w:szCs w:val="22"/>
          <w:lang w:val="es-ES_tradnl"/>
        </w:rPr>
      </w:pPr>
    </w:p>
    <w:p w:rsidR="004E3DF9" w:rsidRPr="00497F19" w:rsidRDefault="004E3DF9" w:rsidP="004E3DF9">
      <w:pPr>
        <w:rPr>
          <w:b/>
          <w:szCs w:val="22"/>
          <w:lang w:val="es-ES_tradnl"/>
        </w:rPr>
      </w:pPr>
    </w:p>
    <w:p w:rsidR="004E3DF9" w:rsidRPr="00497F19" w:rsidRDefault="004E3DF9" w:rsidP="004E3DF9">
      <w:pPr>
        <w:rPr>
          <w:b/>
          <w:szCs w:val="22"/>
          <w:lang w:val="es-ES_tradnl"/>
        </w:rPr>
      </w:pPr>
    </w:p>
    <w:p w:rsidR="004E3DF9" w:rsidRPr="00497F19" w:rsidRDefault="004E3DF9" w:rsidP="004E3DF9">
      <w:pPr>
        <w:rPr>
          <w:b/>
          <w:szCs w:val="22"/>
          <w:lang w:val="es-ES_tradnl"/>
        </w:rPr>
      </w:pPr>
    </w:p>
    <w:p w:rsidR="004E3DF9" w:rsidRPr="00497F19" w:rsidRDefault="004E3DF9" w:rsidP="004E3DF9">
      <w:pPr>
        <w:jc w:val="center"/>
        <w:rPr>
          <w:b/>
          <w:szCs w:val="22"/>
          <w:lang w:val="es-ES_tradnl"/>
        </w:rPr>
      </w:pPr>
      <w:r w:rsidRPr="00497F19">
        <w:rPr>
          <w:b/>
          <w:szCs w:val="22"/>
          <w:lang w:val="es-ES_tradnl"/>
        </w:rPr>
        <w:t>PRÓLOGO</w:t>
      </w:r>
    </w:p>
    <w:p w:rsidR="004E3DF9" w:rsidRPr="00497F19" w:rsidRDefault="004E3DF9" w:rsidP="004E3DF9">
      <w:pPr>
        <w:rPr>
          <w:szCs w:val="22"/>
          <w:lang w:val="es-ES_tradnl"/>
        </w:rPr>
      </w:pPr>
    </w:p>
    <w:p w:rsidR="004E3DF9" w:rsidRPr="00497F19" w:rsidRDefault="004E3DF9" w:rsidP="004E3DF9">
      <w:pPr>
        <w:rPr>
          <w:szCs w:val="22"/>
          <w:lang w:val="es-ES_tradnl"/>
        </w:rPr>
      </w:pPr>
    </w:p>
    <w:p w:rsidR="004E3DF9" w:rsidRPr="00497F19" w:rsidRDefault="004E3DF9" w:rsidP="004E3DF9">
      <w:pPr>
        <w:rPr>
          <w:szCs w:val="22"/>
          <w:lang w:val="es-ES_tradnl"/>
        </w:rPr>
      </w:pPr>
    </w:p>
    <w:p w:rsidR="004E3DF9" w:rsidRPr="00497F19" w:rsidRDefault="004E3DF9" w:rsidP="004E3DF9">
      <w:pPr>
        <w:rPr>
          <w:szCs w:val="22"/>
          <w:lang w:val="es-ES_tradnl"/>
        </w:rPr>
      </w:pPr>
    </w:p>
    <w:p w:rsidR="004E3DF9" w:rsidRPr="00497F19" w:rsidRDefault="004E3DF9" w:rsidP="004E3DF9">
      <w:pPr>
        <w:rPr>
          <w:szCs w:val="22"/>
          <w:lang w:val="es-ES_tradnl"/>
        </w:rPr>
      </w:pPr>
    </w:p>
    <w:p w:rsidR="004E3DF9" w:rsidRPr="00497F19" w:rsidRDefault="004E3DF9" w:rsidP="004E3DF9">
      <w:pPr>
        <w:jc w:val="both"/>
        <w:rPr>
          <w:szCs w:val="22"/>
          <w:lang w:val="es-ES_tradnl"/>
        </w:rPr>
      </w:pPr>
    </w:p>
    <w:p w:rsidR="003E5749" w:rsidRPr="00497F19" w:rsidRDefault="003E5749" w:rsidP="004E3DF9">
      <w:pPr>
        <w:ind w:right="-285"/>
        <w:rPr>
          <w:szCs w:val="22"/>
          <w:lang w:val="es-ES_tradnl"/>
        </w:rPr>
      </w:pPr>
      <w:r w:rsidRPr="00497F19">
        <w:rPr>
          <w:szCs w:val="22"/>
          <w:lang w:val="es-ES_tradnl"/>
        </w:rPr>
        <w:t xml:space="preserve">En 2012/13 se registraron aumentos en la mayoría de </w:t>
      </w:r>
      <w:r w:rsidR="0059664B" w:rsidRPr="00497F19">
        <w:rPr>
          <w:szCs w:val="22"/>
          <w:lang w:val="es-ES_tradnl"/>
        </w:rPr>
        <w:t>las fuentes de ingresos si se comparan</w:t>
      </w:r>
      <w:r w:rsidRPr="00497F19">
        <w:rPr>
          <w:szCs w:val="22"/>
          <w:lang w:val="es-ES_tradnl"/>
        </w:rPr>
        <w:t xml:space="preserve"> con los del bienio precedente, a pesar de que la recuperación económica mundial siguió siendo inestable e incierta durante el período.  A excepción del Sistema de La Haya, las fuentes de ingresos fueron superiores a los importes presupuestados.  Además, la Organización prosiguió la aplicación de varias medidas de fomento de la </w:t>
      </w:r>
      <w:r w:rsidR="00BE1D94" w:rsidRPr="00497F19">
        <w:rPr>
          <w:szCs w:val="22"/>
          <w:lang w:val="es-ES_tradnl"/>
        </w:rPr>
        <w:t>eficacia</w:t>
      </w:r>
      <w:r w:rsidRPr="00497F19">
        <w:rPr>
          <w:szCs w:val="22"/>
          <w:lang w:val="es-ES_tradnl"/>
        </w:rPr>
        <w:t xml:space="preserve"> en función de </w:t>
      </w:r>
      <w:r w:rsidR="007F2840" w:rsidRPr="00497F19">
        <w:rPr>
          <w:szCs w:val="22"/>
          <w:lang w:val="es-ES_tradnl"/>
        </w:rPr>
        <w:t>los costos y, de ese modo, sobrepasó</w:t>
      </w:r>
      <w:r w:rsidRPr="00497F19">
        <w:rPr>
          <w:szCs w:val="22"/>
          <w:lang w:val="es-ES_tradnl"/>
        </w:rPr>
        <w:t xml:space="preserve"> el requisito estipulado por las Asambleas de los Estados miembros en octubre de 2011 de reducir los gastos en 10,2 millones de francos suizos.</w:t>
      </w:r>
    </w:p>
    <w:p w:rsidR="004E3DF9" w:rsidRPr="00497F19" w:rsidRDefault="004E3DF9" w:rsidP="004E3DF9">
      <w:pPr>
        <w:rPr>
          <w:szCs w:val="22"/>
          <w:lang w:val="es-ES_tradnl"/>
        </w:rPr>
      </w:pPr>
    </w:p>
    <w:p w:rsidR="004E3DF9" w:rsidRPr="00497F19" w:rsidRDefault="004E3DF9" w:rsidP="004E3DF9">
      <w:pPr>
        <w:ind w:right="-143"/>
        <w:rPr>
          <w:szCs w:val="22"/>
          <w:lang w:val="es-ES_tradnl"/>
        </w:rPr>
      </w:pPr>
      <w:r w:rsidRPr="00497F19">
        <w:rPr>
          <w:szCs w:val="22"/>
          <w:lang w:val="es-ES_tradnl"/>
        </w:rPr>
        <w:t xml:space="preserve">La Organización ha obtenido durante el bienio un superávit de 68,9 millones de francos suizos.  Los gastos imputables a los importes asignados con cargo a las reservas para diversos proyectos han totalizado 45,3 millones de francos suizos y los ajustes IPSAS, realizados para alinear el resultado presupuestario de la OMPI con su resultado según las IPSAS, han sumado unos 11,0 millones de francos suizos.  </w:t>
      </w:r>
      <w:r w:rsidR="00451856" w:rsidRPr="00497F19">
        <w:rPr>
          <w:szCs w:val="22"/>
          <w:lang w:val="es-ES_tradnl"/>
        </w:rPr>
        <w:t>El resultado global de la Organización ha sido pues un superávit de</w:t>
      </w:r>
      <w:r w:rsidRPr="00497F19">
        <w:rPr>
          <w:szCs w:val="22"/>
          <w:lang w:val="es-ES_tradnl"/>
        </w:rPr>
        <w:t xml:space="preserve"> 34</w:t>
      </w:r>
      <w:r w:rsidR="00451856" w:rsidRPr="00497F19">
        <w:rPr>
          <w:szCs w:val="22"/>
          <w:lang w:val="es-ES_tradnl"/>
        </w:rPr>
        <w:t>,</w:t>
      </w:r>
      <w:r w:rsidRPr="00497F19">
        <w:rPr>
          <w:szCs w:val="22"/>
          <w:lang w:val="es-ES_tradnl"/>
        </w:rPr>
        <w:t>6 mil</w:t>
      </w:r>
      <w:r w:rsidR="00451856" w:rsidRPr="00497F19">
        <w:rPr>
          <w:szCs w:val="22"/>
          <w:lang w:val="es-ES_tradnl"/>
        </w:rPr>
        <w:t>l</w:t>
      </w:r>
      <w:r w:rsidRPr="00497F19">
        <w:rPr>
          <w:szCs w:val="22"/>
          <w:lang w:val="es-ES_tradnl"/>
        </w:rPr>
        <w:t>on</w:t>
      </w:r>
      <w:r w:rsidR="00451856" w:rsidRPr="00497F19">
        <w:rPr>
          <w:szCs w:val="22"/>
          <w:lang w:val="es-ES_tradnl"/>
        </w:rPr>
        <w:t>es de francos suizos</w:t>
      </w:r>
      <w:r w:rsidRPr="00497F19">
        <w:rPr>
          <w:szCs w:val="22"/>
          <w:lang w:val="es-ES_tradnl"/>
        </w:rPr>
        <w:t xml:space="preserve">. </w:t>
      </w:r>
    </w:p>
    <w:p w:rsidR="004E3DF9" w:rsidRPr="00497F19" w:rsidRDefault="004E3DF9" w:rsidP="004E3DF9">
      <w:pPr>
        <w:rPr>
          <w:szCs w:val="22"/>
          <w:lang w:val="es-ES_tradnl"/>
        </w:rPr>
      </w:pPr>
    </w:p>
    <w:p w:rsidR="004E3DF9" w:rsidRPr="00497F19" w:rsidRDefault="00451856" w:rsidP="004E3DF9">
      <w:pPr>
        <w:rPr>
          <w:szCs w:val="22"/>
          <w:lang w:val="es-ES_tradnl"/>
        </w:rPr>
      </w:pPr>
      <w:r w:rsidRPr="00497F19">
        <w:rPr>
          <w:szCs w:val="22"/>
          <w:lang w:val="es-ES_tradnl"/>
        </w:rPr>
        <w:t>Este informe de gestión financiera muestra los resultados del bienio 2012/13 por medio de una comparación con el presupuesto y con los resultados comparados con el presupuesto del bienio anterior</w:t>
      </w:r>
      <w:r w:rsidR="004E3DF9" w:rsidRPr="00497F19">
        <w:rPr>
          <w:szCs w:val="22"/>
          <w:lang w:val="es-ES_tradnl"/>
        </w:rPr>
        <w:t xml:space="preserve">.  </w:t>
      </w:r>
      <w:r w:rsidRPr="00497F19">
        <w:rPr>
          <w:szCs w:val="22"/>
          <w:lang w:val="es-ES_tradnl"/>
        </w:rPr>
        <w:t>Ofrece también pormenores del desempeño financiero de la Organización durante 2012/13, así como de su situación fin</w:t>
      </w:r>
      <w:r w:rsidR="00F6269E" w:rsidRPr="00497F19">
        <w:rPr>
          <w:szCs w:val="22"/>
          <w:lang w:val="es-ES_tradnl"/>
        </w:rPr>
        <w:t>anciera al término de 2012 y de </w:t>
      </w:r>
      <w:r w:rsidRPr="00497F19">
        <w:rPr>
          <w:szCs w:val="22"/>
          <w:lang w:val="es-ES_tradnl"/>
        </w:rPr>
        <w:t>2013 según las IPSAS</w:t>
      </w:r>
      <w:r w:rsidR="004E3DF9" w:rsidRPr="00497F19">
        <w:rPr>
          <w:szCs w:val="22"/>
          <w:lang w:val="es-ES_tradnl"/>
        </w:rPr>
        <w:t>.</w:t>
      </w:r>
    </w:p>
    <w:p w:rsidR="004E3DF9" w:rsidRPr="00497F19" w:rsidRDefault="004E3DF9" w:rsidP="004E3DF9">
      <w:pPr>
        <w:rPr>
          <w:szCs w:val="22"/>
          <w:lang w:val="es-ES_tradnl"/>
        </w:rPr>
      </w:pPr>
    </w:p>
    <w:p w:rsidR="004E3DF9" w:rsidRPr="00497F19" w:rsidRDefault="004E3DF9" w:rsidP="004E3DF9">
      <w:pPr>
        <w:rPr>
          <w:szCs w:val="22"/>
          <w:lang w:val="es-ES_tradnl"/>
        </w:rPr>
      </w:pPr>
    </w:p>
    <w:p w:rsidR="004E3DF9" w:rsidRPr="00497F19" w:rsidRDefault="004E3DF9" w:rsidP="004E3DF9">
      <w:pPr>
        <w:rPr>
          <w:szCs w:val="22"/>
          <w:lang w:val="es-ES_tradnl"/>
        </w:rPr>
      </w:pPr>
    </w:p>
    <w:p w:rsidR="004E3DF9" w:rsidRPr="00497F19" w:rsidRDefault="004E3DF9" w:rsidP="004E3DF9">
      <w:pPr>
        <w:rPr>
          <w:szCs w:val="22"/>
          <w:lang w:val="es-ES_tradnl"/>
        </w:rPr>
      </w:pPr>
    </w:p>
    <w:p w:rsidR="004E3DF9" w:rsidRPr="00497F19" w:rsidRDefault="004E3DF9" w:rsidP="004E3DF9">
      <w:pPr>
        <w:rPr>
          <w:szCs w:val="22"/>
          <w:lang w:val="es-ES_tradnl"/>
        </w:rPr>
      </w:pPr>
      <w:r w:rsidRPr="00497F19">
        <w:rPr>
          <w:noProof/>
          <w:szCs w:val="22"/>
          <w:lang w:val="en-US" w:eastAsia="en-US"/>
        </w:rPr>
        <w:drawing>
          <wp:anchor distT="0" distB="0" distL="114300" distR="114300" simplePos="0" relativeHeight="251663360" behindDoc="0" locked="0" layoutInCell="0" allowOverlap="1" wp14:anchorId="0018D26A" wp14:editId="534CED3F">
            <wp:simplePos x="0" y="0"/>
            <wp:positionH relativeFrom="column">
              <wp:posOffset>3552825</wp:posOffset>
            </wp:positionH>
            <wp:positionV relativeFrom="paragraph">
              <wp:posOffset>135255</wp:posOffset>
            </wp:positionV>
            <wp:extent cx="1600200" cy="609600"/>
            <wp:effectExtent l="0" t="0" r="0" b="0"/>
            <wp:wrapSquare wrapText="bothSides"/>
            <wp:docPr id="4051" name="Picture 4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00200" cy="609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3DF9" w:rsidRPr="00497F19" w:rsidRDefault="004E3DF9" w:rsidP="004E3DF9">
      <w:pPr>
        <w:rPr>
          <w:szCs w:val="22"/>
          <w:lang w:val="es-ES_tradnl"/>
        </w:rPr>
      </w:pPr>
    </w:p>
    <w:p w:rsidR="004E3DF9" w:rsidRPr="00497F19" w:rsidRDefault="004E3DF9" w:rsidP="004E3DF9">
      <w:pPr>
        <w:rPr>
          <w:szCs w:val="22"/>
          <w:lang w:val="es-ES_tradnl"/>
        </w:rPr>
      </w:pPr>
    </w:p>
    <w:p w:rsidR="004E3DF9" w:rsidRPr="00497F19" w:rsidRDefault="004E3DF9" w:rsidP="004E3DF9">
      <w:pPr>
        <w:rPr>
          <w:szCs w:val="22"/>
          <w:lang w:val="es-ES_tradnl"/>
        </w:rPr>
      </w:pPr>
    </w:p>
    <w:p w:rsidR="004E3DF9" w:rsidRPr="00497F19" w:rsidRDefault="004E3DF9" w:rsidP="004E3DF9">
      <w:pPr>
        <w:rPr>
          <w:szCs w:val="22"/>
          <w:lang w:val="es-ES_tradnl"/>
        </w:rPr>
      </w:pPr>
    </w:p>
    <w:p w:rsidR="004E3DF9" w:rsidRPr="00497F19" w:rsidRDefault="004E3DF9" w:rsidP="004E3DF9">
      <w:pPr>
        <w:rPr>
          <w:szCs w:val="22"/>
          <w:lang w:val="es-ES_tradnl"/>
        </w:rPr>
      </w:pPr>
    </w:p>
    <w:p w:rsidR="004E3DF9" w:rsidRPr="00497F19" w:rsidRDefault="004E3DF9" w:rsidP="004E3DF9">
      <w:pPr>
        <w:ind w:left="4536"/>
        <w:jc w:val="center"/>
        <w:rPr>
          <w:sz w:val="21"/>
          <w:szCs w:val="21"/>
          <w:lang w:val="es-ES_tradnl"/>
        </w:rPr>
      </w:pPr>
      <w:r w:rsidRPr="00497F19">
        <w:rPr>
          <w:sz w:val="21"/>
          <w:szCs w:val="21"/>
          <w:lang w:val="es-ES_tradnl"/>
        </w:rPr>
        <w:t>Francis Gurry</w:t>
      </w:r>
    </w:p>
    <w:p w:rsidR="004E3DF9" w:rsidRPr="00497F19" w:rsidRDefault="004E3DF9" w:rsidP="004E3DF9">
      <w:pPr>
        <w:ind w:left="4536"/>
        <w:jc w:val="center"/>
        <w:rPr>
          <w:sz w:val="21"/>
          <w:szCs w:val="21"/>
          <w:lang w:val="es-ES_tradnl"/>
        </w:rPr>
      </w:pPr>
      <w:r w:rsidRPr="00497F19">
        <w:rPr>
          <w:sz w:val="21"/>
          <w:szCs w:val="21"/>
          <w:lang w:val="es-ES_tradnl"/>
        </w:rPr>
        <w:t>Director General</w:t>
      </w:r>
    </w:p>
    <w:p w:rsidR="004E3DF9" w:rsidRPr="00497F19" w:rsidRDefault="004E3DF9" w:rsidP="004E3DF9">
      <w:pPr>
        <w:rPr>
          <w:szCs w:val="22"/>
          <w:lang w:val="es-ES_tradnl"/>
        </w:rPr>
      </w:pPr>
    </w:p>
    <w:p w:rsidR="004E3DF9" w:rsidRPr="00497F19" w:rsidRDefault="004E3DF9" w:rsidP="004E3DF9">
      <w:pPr>
        <w:rPr>
          <w:szCs w:val="22"/>
          <w:lang w:val="es-ES_tradnl"/>
        </w:rPr>
      </w:pPr>
    </w:p>
    <w:p w:rsidR="004E3DF9" w:rsidRPr="00497F19" w:rsidRDefault="004E3DF9" w:rsidP="004E3DF9">
      <w:pPr>
        <w:rPr>
          <w:szCs w:val="22"/>
          <w:lang w:val="es-ES_tradnl"/>
        </w:rPr>
      </w:pPr>
    </w:p>
    <w:p w:rsidR="004E3DF9" w:rsidRPr="00497F19" w:rsidRDefault="004E3DF9" w:rsidP="004E3DF9">
      <w:pPr>
        <w:rPr>
          <w:szCs w:val="22"/>
          <w:lang w:val="es-ES_tradnl"/>
        </w:rPr>
      </w:pPr>
    </w:p>
    <w:p w:rsidR="004E3DF9" w:rsidRPr="00497F19" w:rsidRDefault="004E3DF9" w:rsidP="004E3DF9">
      <w:pPr>
        <w:rPr>
          <w:szCs w:val="22"/>
          <w:lang w:val="es-ES_tradnl"/>
        </w:rPr>
      </w:pPr>
    </w:p>
    <w:p w:rsidR="004E3DF9" w:rsidRPr="00497F19" w:rsidRDefault="004E3DF9" w:rsidP="004E3DF9">
      <w:pPr>
        <w:rPr>
          <w:szCs w:val="22"/>
          <w:lang w:val="es-ES_tradnl"/>
        </w:rPr>
      </w:pPr>
    </w:p>
    <w:p w:rsidR="004E3DF9" w:rsidRPr="00497F19" w:rsidRDefault="004E3DF9" w:rsidP="004E3DF9">
      <w:pPr>
        <w:rPr>
          <w:szCs w:val="22"/>
          <w:lang w:val="es-ES_tradnl"/>
        </w:rPr>
      </w:pPr>
    </w:p>
    <w:p w:rsidR="004E3DF9" w:rsidRPr="00497F19" w:rsidRDefault="004E3DF9" w:rsidP="004E3DF9">
      <w:pPr>
        <w:rPr>
          <w:szCs w:val="22"/>
          <w:lang w:val="es-ES_tradnl"/>
        </w:rPr>
      </w:pPr>
    </w:p>
    <w:p w:rsidR="004E3DF9" w:rsidRPr="00497F19" w:rsidRDefault="004E3DF9" w:rsidP="004E3DF9">
      <w:pPr>
        <w:rPr>
          <w:szCs w:val="22"/>
          <w:lang w:val="es-ES_tradnl"/>
        </w:rPr>
      </w:pPr>
    </w:p>
    <w:p w:rsidR="004E3DF9" w:rsidRPr="00497F19" w:rsidRDefault="004E3DF9" w:rsidP="004E3DF9">
      <w:pPr>
        <w:rPr>
          <w:b/>
          <w:szCs w:val="22"/>
          <w:lang w:val="es-ES_tradnl"/>
        </w:rPr>
      </w:pPr>
      <w:r w:rsidRPr="00497F19">
        <w:rPr>
          <w:b/>
          <w:szCs w:val="22"/>
          <w:lang w:val="es-ES_tradnl"/>
        </w:rPr>
        <w:br w:type="page"/>
      </w:r>
    </w:p>
    <w:p w:rsidR="004E3DF9" w:rsidRPr="00497F19" w:rsidRDefault="004E3DF9" w:rsidP="004E3DF9">
      <w:pPr>
        <w:jc w:val="center"/>
        <w:rPr>
          <w:b/>
          <w:sz w:val="19"/>
          <w:szCs w:val="19"/>
          <w:lang w:val="es-ES_tradnl"/>
        </w:rPr>
      </w:pPr>
    </w:p>
    <w:p w:rsidR="004E3DF9" w:rsidRPr="00497F19" w:rsidRDefault="004E3DF9" w:rsidP="004E3DF9">
      <w:pPr>
        <w:jc w:val="center"/>
        <w:rPr>
          <w:b/>
          <w:sz w:val="19"/>
          <w:szCs w:val="19"/>
          <w:lang w:val="es-ES_tradnl"/>
        </w:rPr>
      </w:pPr>
    </w:p>
    <w:p w:rsidR="004E3DF9" w:rsidRPr="00497F19" w:rsidRDefault="004E3DF9" w:rsidP="004E3DF9">
      <w:pPr>
        <w:jc w:val="center"/>
        <w:rPr>
          <w:b/>
          <w:sz w:val="19"/>
          <w:szCs w:val="19"/>
          <w:lang w:val="es-ES_tradnl"/>
        </w:rPr>
      </w:pPr>
    </w:p>
    <w:p w:rsidR="004E3DF9" w:rsidRPr="00497F19" w:rsidRDefault="004E3DF9" w:rsidP="004E3DF9">
      <w:pPr>
        <w:jc w:val="center"/>
        <w:rPr>
          <w:b/>
          <w:sz w:val="19"/>
          <w:szCs w:val="19"/>
          <w:lang w:val="es-ES_tradnl"/>
        </w:rPr>
      </w:pPr>
    </w:p>
    <w:p w:rsidR="004E3DF9" w:rsidRPr="00497F19" w:rsidRDefault="004E3DF9" w:rsidP="004E3DF9">
      <w:pPr>
        <w:jc w:val="center"/>
        <w:rPr>
          <w:b/>
          <w:sz w:val="19"/>
          <w:szCs w:val="19"/>
          <w:lang w:val="es-ES_tradnl"/>
        </w:rPr>
      </w:pPr>
    </w:p>
    <w:p w:rsidR="004E3DF9" w:rsidRPr="00497F19" w:rsidRDefault="004E3DF9" w:rsidP="004E3DF9">
      <w:pPr>
        <w:jc w:val="center"/>
        <w:rPr>
          <w:b/>
          <w:sz w:val="19"/>
          <w:szCs w:val="19"/>
          <w:lang w:val="es-ES_tradnl"/>
        </w:rPr>
      </w:pPr>
    </w:p>
    <w:p w:rsidR="004E3DF9" w:rsidRPr="00497F19" w:rsidRDefault="004E3DF9" w:rsidP="004E3DF9">
      <w:pPr>
        <w:jc w:val="center"/>
        <w:rPr>
          <w:b/>
          <w:sz w:val="19"/>
          <w:szCs w:val="19"/>
          <w:lang w:val="es-ES_tradnl"/>
        </w:rPr>
      </w:pPr>
      <w:r w:rsidRPr="00497F19">
        <w:rPr>
          <w:b/>
          <w:sz w:val="19"/>
          <w:szCs w:val="19"/>
          <w:lang w:val="es-ES_tradnl"/>
        </w:rPr>
        <w:t>Informe de gestión financiera</w:t>
      </w:r>
    </w:p>
    <w:p w:rsidR="004E3DF9" w:rsidRPr="00497F19" w:rsidRDefault="004E3DF9" w:rsidP="004E3DF9">
      <w:pPr>
        <w:jc w:val="center"/>
        <w:rPr>
          <w:b/>
          <w:sz w:val="19"/>
          <w:szCs w:val="19"/>
          <w:lang w:val="es-ES_tradnl"/>
        </w:rPr>
      </w:pPr>
      <w:r w:rsidRPr="00497F19">
        <w:rPr>
          <w:b/>
          <w:sz w:val="19"/>
          <w:szCs w:val="19"/>
          <w:lang w:val="es-ES_tradnl"/>
        </w:rPr>
        <w:t>2012/13</w:t>
      </w:r>
    </w:p>
    <w:p w:rsidR="004E3DF9" w:rsidRPr="00497F19" w:rsidRDefault="004E3DF9" w:rsidP="004E3DF9">
      <w:pPr>
        <w:jc w:val="center"/>
        <w:rPr>
          <w:b/>
          <w:sz w:val="19"/>
          <w:szCs w:val="19"/>
          <w:lang w:val="es-ES_tradnl"/>
        </w:rPr>
      </w:pPr>
    </w:p>
    <w:p w:rsidR="004E3DF9" w:rsidRPr="00497F19" w:rsidRDefault="004E3DF9" w:rsidP="004E3DF9">
      <w:pPr>
        <w:jc w:val="center"/>
        <w:rPr>
          <w:b/>
          <w:sz w:val="19"/>
          <w:szCs w:val="19"/>
          <w:lang w:val="es-ES_tradnl"/>
        </w:rPr>
      </w:pPr>
    </w:p>
    <w:p w:rsidR="004E3DF9" w:rsidRPr="00497F19" w:rsidRDefault="004E3DF9" w:rsidP="004E3DF9">
      <w:pPr>
        <w:jc w:val="center"/>
        <w:rPr>
          <w:b/>
          <w:sz w:val="19"/>
          <w:szCs w:val="19"/>
          <w:lang w:val="es-ES_tradnl"/>
        </w:rPr>
      </w:pPr>
    </w:p>
    <w:p w:rsidR="004E3DF9" w:rsidRPr="00497F19" w:rsidRDefault="004E3DF9" w:rsidP="004E3DF9">
      <w:pPr>
        <w:jc w:val="both"/>
        <w:rPr>
          <w:sz w:val="19"/>
          <w:szCs w:val="19"/>
          <w:lang w:val="es-ES_tradnl"/>
        </w:rPr>
      </w:pPr>
    </w:p>
    <w:p w:rsidR="004E3DF9" w:rsidRPr="00497F19" w:rsidRDefault="004E3DF9" w:rsidP="004E3DF9">
      <w:pPr>
        <w:jc w:val="both"/>
        <w:rPr>
          <w:sz w:val="19"/>
          <w:szCs w:val="19"/>
          <w:lang w:val="es-ES_tradnl"/>
        </w:rPr>
      </w:pPr>
    </w:p>
    <w:p w:rsidR="004E3DF9" w:rsidRPr="00497F19" w:rsidRDefault="004E3DF9" w:rsidP="004E3DF9">
      <w:pPr>
        <w:jc w:val="both"/>
        <w:rPr>
          <w:sz w:val="19"/>
          <w:szCs w:val="19"/>
          <w:lang w:val="es-ES_tradnl"/>
        </w:rPr>
      </w:pPr>
    </w:p>
    <w:p w:rsidR="004E3DF9" w:rsidRPr="00497F19" w:rsidRDefault="004E3DF9" w:rsidP="004E3DF9">
      <w:pPr>
        <w:jc w:val="both"/>
        <w:rPr>
          <w:szCs w:val="22"/>
          <w:lang w:val="es-ES_tradnl"/>
        </w:rPr>
      </w:pPr>
      <w:r w:rsidRPr="00497F19">
        <w:rPr>
          <w:szCs w:val="22"/>
          <w:lang w:val="es-ES_tradnl"/>
        </w:rPr>
        <w:t>Este informe de gestión financiera viene expresado en francos suizos y muestra los resultados financieros de la OMPI y de las Uniones que administra la OMP</w:t>
      </w:r>
      <w:r w:rsidR="00451856" w:rsidRPr="00497F19">
        <w:rPr>
          <w:szCs w:val="22"/>
          <w:lang w:val="es-ES_tradnl"/>
        </w:rPr>
        <w:t>I</w:t>
      </w:r>
      <w:r w:rsidRPr="00497F19">
        <w:rPr>
          <w:szCs w:val="22"/>
          <w:vertAlign w:val="superscript"/>
          <w:lang w:val="es-ES_tradnl"/>
        </w:rPr>
        <w:footnoteReference w:customMarkFollows="1" w:id="2"/>
        <w:sym w:font="Symbol" w:char="F02A"/>
      </w:r>
      <w:r w:rsidRPr="00497F19">
        <w:rPr>
          <w:szCs w:val="22"/>
          <w:lang w:val="es-ES_tradnl"/>
        </w:rPr>
        <w:t>.</w:t>
      </w:r>
    </w:p>
    <w:p w:rsidR="004E3DF9" w:rsidRPr="00497F19" w:rsidRDefault="004E3DF9" w:rsidP="004E3DF9">
      <w:pPr>
        <w:jc w:val="both"/>
        <w:rPr>
          <w:szCs w:val="22"/>
          <w:lang w:val="es-ES_tradnl"/>
        </w:rPr>
      </w:pPr>
    </w:p>
    <w:p w:rsidR="004E3DF9" w:rsidRPr="00497F19" w:rsidRDefault="001562E6" w:rsidP="001562E6">
      <w:pPr>
        <w:jc w:val="both"/>
        <w:rPr>
          <w:szCs w:val="22"/>
          <w:lang w:val="es-ES_tradnl"/>
        </w:rPr>
      </w:pPr>
      <w:r w:rsidRPr="00497F19">
        <w:rPr>
          <w:szCs w:val="22"/>
          <w:lang w:val="es-ES_tradnl"/>
        </w:rPr>
        <w:t xml:space="preserve">Las primeras páginas contienen un resumen de los resultados, entre los que figura un excedente de ingresos de 68,9 millones de francos suizos (antes de las IPSAS), y también la situación de las diferentes Uniones, de las reservas y de las principales </w:t>
      </w:r>
      <w:r w:rsidR="0059664B" w:rsidRPr="00497F19">
        <w:rPr>
          <w:szCs w:val="22"/>
          <w:lang w:val="es-ES_tradnl"/>
        </w:rPr>
        <w:t>partidas</w:t>
      </w:r>
      <w:r w:rsidRPr="00497F19">
        <w:rPr>
          <w:szCs w:val="22"/>
          <w:lang w:val="es-ES_tradnl"/>
        </w:rPr>
        <w:t xml:space="preserve">. Dicho resumen va seguido de informaciones detalladas sobre el desempeño financiero de la Organización durante el bienio, así como sobre sus activos y pasivos al término de </w:t>
      </w:r>
      <w:r w:rsidR="004E3DF9" w:rsidRPr="00497F19">
        <w:rPr>
          <w:szCs w:val="22"/>
          <w:lang w:val="es-ES_tradnl"/>
        </w:rPr>
        <w:t xml:space="preserve">2012 </w:t>
      </w:r>
      <w:r w:rsidR="00F6269E" w:rsidRPr="00497F19">
        <w:rPr>
          <w:szCs w:val="22"/>
          <w:lang w:val="es-ES_tradnl"/>
        </w:rPr>
        <w:t>y </w:t>
      </w:r>
      <w:r w:rsidR="004E3DF9" w:rsidRPr="00497F19">
        <w:rPr>
          <w:szCs w:val="22"/>
          <w:lang w:val="es-ES_tradnl"/>
        </w:rPr>
        <w:t>2013.  A raíz de la introducción de las IPSAS por la OMPI en 2010, la Organización elabora para cada año del bienio un juego de estados financieros que están sujetos a una auditoría externa.  Pueden obtenerse de la Organización, como documentos separados, copias de los estados financieros auditados junto con los correspondientes informes de la auditoría externa.</w:t>
      </w:r>
    </w:p>
    <w:p w:rsidR="004E3DF9" w:rsidRPr="00497F19" w:rsidRDefault="004E3DF9" w:rsidP="004E3DF9">
      <w:pPr>
        <w:jc w:val="both"/>
        <w:rPr>
          <w:szCs w:val="22"/>
          <w:lang w:val="es-ES_tradnl"/>
        </w:rPr>
      </w:pPr>
    </w:p>
    <w:p w:rsidR="004E3DF9" w:rsidRPr="00497F19" w:rsidRDefault="00E53895" w:rsidP="00E53895">
      <w:pPr>
        <w:jc w:val="both"/>
        <w:rPr>
          <w:szCs w:val="22"/>
          <w:lang w:val="es-ES_tradnl"/>
        </w:rPr>
      </w:pPr>
      <w:r w:rsidRPr="00497F19">
        <w:rPr>
          <w:szCs w:val="22"/>
          <w:lang w:val="es-ES_tradnl"/>
        </w:rPr>
        <w:t>La información financiera va seguida de informaciones detalladas en torno a las contribuciones correspondientes al bienio 2012/13. En un capítulo separado se explica la distribución de 333 millones de francos suizos a los Estados miembros efectuada durante el bienio en virtud de lo dispuesto en los Arreglos de Madrid y de La Haya.</w:t>
      </w:r>
    </w:p>
    <w:p w:rsidR="004E3DF9" w:rsidRPr="00497F19" w:rsidRDefault="004E3DF9" w:rsidP="004E3DF9">
      <w:pPr>
        <w:jc w:val="both"/>
        <w:rPr>
          <w:szCs w:val="22"/>
          <w:lang w:val="es-ES_tradnl"/>
        </w:rPr>
      </w:pPr>
    </w:p>
    <w:p w:rsidR="004E3DF9" w:rsidRPr="00497F19" w:rsidRDefault="004E3DF9" w:rsidP="004E3DF9">
      <w:pPr>
        <w:jc w:val="both"/>
        <w:rPr>
          <w:szCs w:val="22"/>
          <w:lang w:val="es-ES_tradnl"/>
        </w:rPr>
      </w:pPr>
      <w:r w:rsidRPr="00497F19">
        <w:rPr>
          <w:szCs w:val="22"/>
          <w:lang w:val="es-ES_tradnl"/>
        </w:rPr>
        <w:t>En aras de la transparencia, los fondos fiduciarios asignados por los Estados miembros han sido tratados como entidades de pleno derecho, independientemente de las cuentas de la OMPI, y se presentan en un capítulo separado.</w:t>
      </w:r>
    </w:p>
    <w:p w:rsidR="004E3DF9" w:rsidRPr="00497F19" w:rsidRDefault="004E3DF9" w:rsidP="004E3DF9">
      <w:pPr>
        <w:jc w:val="both"/>
        <w:rPr>
          <w:sz w:val="19"/>
          <w:szCs w:val="19"/>
          <w:lang w:val="es-ES_tradnl"/>
        </w:rPr>
      </w:pPr>
    </w:p>
    <w:p w:rsidR="004E3DF9" w:rsidRPr="00497F19" w:rsidRDefault="004E3DF9" w:rsidP="004E3DF9">
      <w:pPr>
        <w:jc w:val="both"/>
        <w:rPr>
          <w:sz w:val="19"/>
          <w:szCs w:val="19"/>
          <w:lang w:val="es-ES_tradnl"/>
        </w:rPr>
      </w:pPr>
    </w:p>
    <w:p w:rsidR="004E3DF9" w:rsidRPr="00497F19" w:rsidRDefault="004E3DF9" w:rsidP="004E3DF9">
      <w:pPr>
        <w:jc w:val="both"/>
        <w:rPr>
          <w:sz w:val="19"/>
          <w:szCs w:val="19"/>
          <w:lang w:val="es-ES_tradnl"/>
        </w:rPr>
      </w:pPr>
    </w:p>
    <w:p w:rsidR="004E3DF9" w:rsidRPr="00497F19" w:rsidRDefault="004E3DF9" w:rsidP="004E3DF9">
      <w:pPr>
        <w:jc w:val="both"/>
        <w:rPr>
          <w:sz w:val="19"/>
          <w:szCs w:val="19"/>
          <w:lang w:val="es-ES_tradnl"/>
        </w:rPr>
      </w:pPr>
    </w:p>
    <w:p w:rsidR="004E3DF9" w:rsidRPr="00497F19" w:rsidRDefault="004E3DF9" w:rsidP="004E3DF9">
      <w:pPr>
        <w:jc w:val="both"/>
        <w:rPr>
          <w:sz w:val="19"/>
          <w:szCs w:val="19"/>
          <w:lang w:val="es-ES_tradnl"/>
        </w:rPr>
      </w:pPr>
    </w:p>
    <w:p w:rsidR="004E3DF9" w:rsidRPr="00497F19" w:rsidRDefault="004E3DF9" w:rsidP="004E3DF9">
      <w:pPr>
        <w:jc w:val="both"/>
        <w:rPr>
          <w:sz w:val="19"/>
          <w:szCs w:val="19"/>
          <w:lang w:val="es-ES_tradnl"/>
        </w:rPr>
      </w:pPr>
      <w:r w:rsidRPr="00497F19">
        <w:rPr>
          <w:noProof/>
          <w:sz w:val="23"/>
          <w:szCs w:val="23"/>
          <w:lang w:val="en-US" w:eastAsia="en-US"/>
        </w:rPr>
        <w:drawing>
          <wp:anchor distT="0" distB="0" distL="114300" distR="114300" simplePos="0" relativeHeight="251659264" behindDoc="0" locked="0" layoutInCell="0" allowOverlap="1" wp14:anchorId="7310E2AF" wp14:editId="69D54A69">
            <wp:simplePos x="0" y="0"/>
            <wp:positionH relativeFrom="column">
              <wp:posOffset>3614420</wp:posOffset>
            </wp:positionH>
            <wp:positionV relativeFrom="paragraph">
              <wp:posOffset>111760</wp:posOffset>
            </wp:positionV>
            <wp:extent cx="1600200" cy="609600"/>
            <wp:effectExtent l="0" t="0" r="0" b="0"/>
            <wp:wrapSquare wrapText="bothSides"/>
            <wp:docPr id="1216" name="Picture 1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00200" cy="609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3DF9" w:rsidRPr="00497F19" w:rsidRDefault="004E3DF9" w:rsidP="004E3DF9">
      <w:pPr>
        <w:jc w:val="both"/>
        <w:rPr>
          <w:sz w:val="19"/>
          <w:szCs w:val="19"/>
          <w:lang w:val="es-ES_tradnl"/>
        </w:rPr>
      </w:pPr>
    </w:p>
    <w:p w:rsidR="004E3DF9" w:rsidRPr="00497F19" w:rsidRDefault="004E3DF9" w:rsidP="004E3DF9">
      <w:pPr>
        <w:jc w:val="both"/>
        <w:rPr>
          <w:sz w:val="19"/>
          <w:szCs w:val="19"/>
          <w:lang w:val="es-ES_tradnl"/>
        </w:rPr>
      </w:pPr>
    </w:p>
    <w:p w:rsidR="004E3DF9" w:rsidRPr="00497F19" w:rsidRDefault="004E3DF9" w:rsidP="004E3DF9">
      <w:pPr>
        <w:jc w:val="both"/>
        <w:rPr>
          <w:sz w:val="19"/>
          <w:szCs w:val="19"/>
          <w:lang w:val="es-ES_tradnl"/>
        </w:rPr>
      </w:pPr>
    </w:p>
    <w:p w:rsidR="004E3DF9" w:rsidRPr="00497F19" w:rsidRDefault="004E3DF9" w:rsidP="004E3DF9">
      <w:pPr>
        <w:jc w:val="both"/>
        <w:rPr>
          <w:sz w:val="19"/>
          <w:szCs w:val="19"/>
          <w:lang w:val="es-ES_tradnl"/>
        </w:rPr>
      </w:pPr>
    </w:p>
    <w:p w:rsidR="004E3DF9" w:rsidRPr="00497F19" w:rsidRDefault="004E3DF9" w:rsidP="004E3DF9">
      <w:pPr>
        <w:jc w:val="both"/>
        <w:rPr>
          <w:sz w:val="19"/>
          <w:szCs w:val="19"/>
          <w:lang w:val="es-ES_tradnl"/>
        </w:rPr>
      </w:pPr>
    </w:p>
    <w:p w:rsidR="004E3DF9" w:rsidRPr="00497F19" w:rsidRDefault="004E3DF9" w:rsidP="004E3DF9">
      <w:pPr>
        <w:ind w:left="4536"/>
        <w:jc w:val="center"/>
        <w:rPr>
          <w:sz w:val="21"/>
          <w:szCs w:val="21"/>
          <w:lang w:val="es-ES_tradnl"/>
        </w:rPr>
      </w:pPr>
      <w:r w:rsidRPr="00497F19">
        <w:rPr>
          <w:sz w:val="21"/>
          <w:szCs w:val="21"/>
          <w:lang w:val="es-ES_tradnl"/>
        </w:rPr>
        <w:t>Francis Gurry</w:t>
      </w:r>
    </w:p>
    <w:p w:rsidR="004E3DF9" w:rsidRPr="00497F19" w:rsidRDefault="004E3DF9" w:rsidP="004E3DF9">
      <w:pPr>
        <w:ind w:left="4536"/>
        <w:jc w:val="center"/>
        <w:rPr>
          <w:sz w:val="21"/>
          <w:szCs w:val="21"/>
          <w:lang w:val="es-ES_tradnl"/>
        </w:rPr>
      </w:pPr>
      <w:r w:rsidRPr="00497F19">
        <w:rPr>
          <w:sz w:val="21"/>
          <w:szCs w:val="21"/>
          <w:lang w:val="es-ES_tradnl"/>
        </w:rPr>
        <w:t>Director General</w:t>
      </w:r>
    </w:p>
    <w:p w:rsidR="004E3DF9" w:rsidRPr="00497F19" w:rsidRDefault="004E3DF9" w:rsidP="004E3DF9">
      <w:pPr>
        <w:jc w:val="both"/>
        <w:rPr>
          <w:sz w:val="19"/>
          <w:szCs w:val="19"/>
          <w:lang w:val="es-ES_tradnl"/>
        </w:rPr>
      </w:pPr>
    </w:p>
    <w:p w:rsidR="004E3DF9" w:rsidRPr="00497F19" w:rsidRDefault="004E3DF9" w:rsidP="004E3DF9">
      <w:pPr>
        <w:jc w:val="both"/>
        <w:rPr>
          <w:sz w:val="19"/>
          <w:szCs w:val="19"/>
          <w:lang w:val="es-ES_tradnl"/>
        </w:rPr>
      </w:pPr>
    </w:p>
    <w:p w:rsidR="004E3DF9" w:rsidRPr="00497F19" w:rsidRDefault="004E3DF9" w:rsidP="004E3DF9">
      <w:pPr>
        <w:rPr>
          <w:szCs w:val="22"/>
          <w:lang w:val="es-ES_tradnl"/>
        </w:rPr>
      </w:pPr>
    </w:p>
    <w:p w:rsidR="004E3DF9" w:rsidRPr="00497F19" w:rsidRDefault="004E3DF9" w:rsidP="004E3DF9">
      <w:pPr>
        <w:jc w:val="center"/>
        <w:rPr>
          <w:sz w:val="27"/>
          <w:szCs w:val="27"/>
          <w:lang w:val="es-ES_tradnl"/>
        </w:rPr>
      </w:pPr>
    </w:p>
    <w:p w:rsidR="004E3DF9" w:rsidRPr="00497F19" w:rsidRDefault="004E3DF9" w:rsidP="004E3DF9">
      <w:pPr>
        <w:jc w:val="center"/>
        <w:rPr>
          <w:sz w:val="27"/>
          <w:szCs w:val="27"/>
          <w:lang w:val="es-ES_tradnl"/>
        </w:rPr>
        <w:sectPr w:rsidR="004E3DF9" w:rsidRPr="00497F19" w:rsidSect="004E3DF9">
          <w:headerReference w:type="even" r:id="rId13"/>
          <w:headerReference w:type="default" r:id="rId14"/>
          <w:footerReference w:type="even" r:id="rId15"/>
          <w:footerReference w:type="first" r:id="rId16"/>
          <w:pgSz w:w="11907" w:h="16840" w:code="9"/>
          <w:pgMar w:top="567" w:right="1418" w:bottom="964" w:left="1418" w:header="510" w:footer="851" w:gutter="0"/>
          <w:pgNumType w:fmt="lowerRoman" w:start="2"/>
          <w:cols w:space="720"/>
          <w:titlePg/>
        </w:sectPr>
      </w:pPr>
    </w:p>
    <w:p w:rsidR="004E3DF9" w:rsidRPr="00497F19" w:rsidRDefault="004E3DF9" w:rsidP="004E3DF9">
      <w:pPr>
        <w:jc w:val="center"/>
        <w:rPr>
          <w:b/>
          <w:sz w:val="27"/>
          <w:szCs w:val="27"/>
          <w:lang w:val="es-ES_tradnl"/>
        </w:rPr>
      </w:pPr>
      <w:r w:rsidRPr="00497F19">
        <w:rPr>
          <w:b/>
          <w:sz w:val="27"/>
          <w:szCs w:val="27"/>
          <w:lang w:val="es-ES_tradnl"/>
        </w:rPr>
        <w:lastRenderedPageBreak/>
        <w:t>ÍNDICE</w:t>
      </w:r>
    </w:p>
    <w:p w:rsidR="004E3DF9" w:rsidRPr="00497F19" w:rsidRDefault="004E3DF9" w:rsidP="004E3DF9">
      <w:pPr>
        <w:jc w:val="center"/>
        <w:rPr>
          <w:b/>
          <w:sz w:val="27"/>
          <w:szCs w:val="27"/>
          <w:lang w:val="es-ES_tradnl"/>
        </w:rPr>
      </w:pPr>
    </w:p>
    <w:p w:rsidR="00A23604" w:rsidRDefault="004E3DF9">
      <w:pPr>
        <w:pStyle w:val="TOC1"/>
        <w:rPr>
          <w:rFonts w:asciiTheme="minorHAnsi" w:eastAsiaTheme="minorEastAsia" w:hAnsiTheme="minorHAnsi" w:cstheme="minorBidi"/>
          <w:b w:val="0"/>
          <w:szCs w:val="22"/>
        </w:rPr>
      </w:pPr>
      <w:r w:rsidRPr="00312310">
        <w:rPr>
          <w:bCs/>
          <w:iCs/>
          <w:sz w:val="21"/>
          <w:szCs w:val="21"/>
          <w:lang w:val="es-ES_tradnl"/>
        </w:rPr>
        <w:fldChar w:fldCharType="begin"/>
      </w:r>
      <w:r w:rsidRPr="00312310">
        <w:rPr>
          <w:bCs/>
          <w:iCs/>
          <w:sz w:val="21"/>
          <w:szCs w:val="21"/>
          <w:lang w:val="es-ES_tradnl"/>
        </w:rPr>
        <w:instrText xml:space="preserve"> TOC \o "1-3" \h \z \t "HEADING 2 2,2" </w:instrText>
      </w:r>
      <w:r w:rsidRPr="00312310">
        <w:rPr>
          <w:bCs/>
          <w:iCs/>
          <w:sz w:val="21"/>
          <w:szCs w:val="21"/>
          <w:lang w:val="es-ES_tradnl"/>
        </w:rPr>
        <w:fldChar w:fldCharType="separate"/>
      </w:r>
      <w:hyperlink w:anchor="_Toc395626656" w:history="1">
        <w:r w:rsidR="00A23604" w:rsidRPr="003C1D6F">
          <w:rPr>
            <w:rStyle w:val="Hyperlink"/>
            <w:lang w:val="es-ES_tradnl"/>
          </w:rPr>
          <w:t>PRINCIPALES PARÁMETROS FINANCIEROS Y DE OTRA ÍNDOLE</w:t>
        </w:r>
        <w:r w:rsidR="00A23604">
          <w:rPr>
            <w:webHidden/>
          </w:rPr>
          <w:tab/>
        </w:r>
        <w:r w:rsidR="00A23604">
          <w:rPr>
            <w:webHidden/>
          </w:rPr>
          <w:fldChar w:fldCharType="begin"/>
        </w:r>
        <w:r w:rsidR="00A23604">
          <w:rPr>
            <w:webHidden/>
          </w:rPr>
          <w:instrText xml:space="preserve"> PAGEREF _Toc395626656 \h </w:instrText>
        </w:r>
        <w:r w:rsidR="00A23604">
          <w:rPr>
            <w:webHidden/>
          </w:rPr>
        </w:r>
        <w:r w:rsidR="00A23604">
          <w:rPr>
            <w:webHidden/>
          </w:rPr>
          <w:fldChar w:fldCharType="separate"/>
        </w:r>
        <w:r w:rsidR="00ED766C">
          <w:rPr>
            <w:webHidden/>
          </w:rPr>
          <w:t>6</w:t>
        </w:r>
        <w:r w:rsidR="00A23604">
          <w:rPr>
            <w:webHidden/>
          </w:rPr>
          <w:fldChar w:fldCharType="end"/>
        </w:r>
      </w:hyperlink>
    </w:p>
    <w:p w:rsidR="00A23604" w:rsidRDefault="00ED766C">
      <w:pPr>
        <w:pStyle w:val="TOC1"/>
        <w:rPr>
          <w:rFonts w:asciiTheme="minorHAnsi" w:eastAsiaTheme="minorEastAsia" w:hAnsiTheme="minorHAnsi" w:cstheme="minorBidi"/>
          <w:b w:val="0"/>
          <w:szCs w:val="22"/>
        </w:rPr>
      </w:pPr>
      <w:hyperlink w:anchor="_Toc395626657" w:history="1">
        <w:r w:rsidR="00A23604" w:rsidRPr="003C1D6F">
          <w:rPr>
            <w:rStyle w:val="Hyperlink"/>
            <w:lang w:val="es-ES_tradnl"/>
          </w:rPr>
          <w:t>RESUMEN DE LOS RESULTADOS POR UNIÓN</w:t>
        </w:r>
        <w:r w:rsidR="00A23604">
          <w:rPr>
            <w:webHidden/>
          </w:rPr>
          <w:tab/>
        </w:r>
        <w:r w:rsidR="00A23604">
          <w:rPr>
            <w:webHidden/>
          </w:rPr>
          <w:fldChar w:fldCharType="begin"/>
        </w:r>
        <w:r w:rsidR="00A23604">
          <w:rPr>
            <w:webHidden/>
          </w:rPr>
          <w:instrText xml:space="preserve"> PAGEREF _Toc395626657 \h </w:instrText>
        </w:r>
        <w:r w:rsidR="00A23604">
          <w:rPr>
            <w:webHidden/>
          </w:rPr>
        </w:r>
        <w:r w:rsidR="00A23604">
          <w:rPr>
            <w:webHidden/>
          </w:rPr>
          <w:fldChar w:fldCharType="separate"/>
        </w:r>
        <w:r>
          <w:rPr>
            <w:webHidden/>
          </w:rPr>
          <w:t>7</w:t>
        </w:r>
        <w:r w:rsidR="00A23604">
          <w:rPr>
            <w:webHidden/>
          </w:rPr>
          <w:fldChar w:fldCharType="end"/>
        </w:r>
      </w:hyperlink>
    </w:p>
    <w:p w:rsidR="00A23604" w:rsidRDefault="00ED766C">
      <w:pPr>
        <w:pStyle w:val="TOC2"/>
        <w:rPr>
          <w:rFonts w:asciiTheme="minorHAnsi" w:eastAsiaTheme="minorEastAsia" w:hAnsiTheme="minorHAnsi" w:cstheme="minorBidi"/>
          <w:sz w:val="22"/>
          <w:szCs w:val="22"/>
          <w:lang w:val="en-US" w:eastAsia="en-US"/>
        </w:rPr>
      </w:pPr>
      <w:hyperlink w:anchor="_Toc395626658" w:history="1">
        <w:r w:rsidR="00A23604" w:rsidRPr="003C1D6F">
          <w:rPr>
            <w:rStyle w:val="Hyperlink"/>
            <w:b/>
          </w:rPr>
          <w:t>Cuadro 1</w:t>
        </w:r>
        <w:r w:rsidR="00A23604">
          <w:rPr>
            <w:rFonts w:asciiTheme="minorHAnsi" w:eastAsiaTheme="minorEastAsia" w:hAnsiTheme="minorHAnsi" w:cstheme="minorBidi"/>
            <w:sz w:val="22"/>
            <w:szCs w:val="22"/>
            <w:lang w:val="en-US" w:eastAsia="en-US"/>
          </w:rPr>
          <w:tab/>
        </w:r>
        <w:r w:rsidR="00A23604" w:rsidRPr="003C1D6F">
          <w:rPr>
            <w:rStyle w:val="Hyperlink"/>
            <w:b/>
          </w:rPr>
          <w:t>Fondos de reserva y de operaciones por Unión a fines de 2013</w:t>
        </w:r>
        <w:r w:rsidR="00A23604">
          <w:rPr>
            <w:webHidden/>
          </w:rPr>
          <w:tab/>
        </w:r>
        <w:r w:rsidR="00A23604">
          <w:rPr>
            <w:webHidden/>
          </w:rPr>
          <w:fldChar w:fldCharType="begin"/>
        </w:r>
        <w:r w:rsidR="00A23604">
          <w:rPr>
            <w:webHidden/>
          </w:rPr>
          <w:instrText xml:space="preserve"> PAGEREF _Toc395626658 \h </w:instrText>
        </w:r>
        <w:r w:rsidR="00A23604">
          <w:rPr>
            <w:webHidden/>
          </w:rPr>
        </w:r>
        <w:r w:rsidR="00A23604">
          <w:rPr>
            <w:webHidden/>
          </w:rPr>
          <w:fldChar w:fldCharType="separate"/>
        </w:r>
        <w:r>
          <w:rPr>
            <w:webHidden/>
          </w:rPr>
          <w:t>7</w:t>
        </w:r>
        <w:r w:rsidR="00A23604">
          <w:rPr>
            <w:webHidden/>
          </w:rPr>
          <w:fldChar w:fldCharType="end"/>
        </w:r>
      </w:hyperlink>
    </w:p>
    <w:p w:rsidR="00A23604" w:rsidRDefault="00ED766C">
      <w:pPr>
        <w:pStyle w:val="TOC2"/>
        <w:rPr>
          <w:rFonts w:asciiTheme="minorHAnsi" w:eastAsiaTheme="minorEastAsia" w:hAnsiTheme="minorHAnsi" w:cstheme="minorBidi"/>
          <w:sz w:val="22"/>
          <w:szCs w:val="22"/>
          <w:lang w:val="en-US" w:eastAsia="en-US"/>
        </w:rPr>
      </w:pPr>
      <w:hyperlink w:anchor="_Toc395626659" w:history="1">
        <w:r w:rsidR="00A23604" w:rsidRPr="003C1D6F">
          <w:rPr>
            <w:rStyle w:val="Hyperlink"/>
            <w:b/>
          </w:rPr>
          <w:t>Cuadro 1.2</w:t>
        </w:r>
        <w:r w:rsidR="00A23604">
          <w:rPr>
            <w:rFonts w:asciiTheme="minorHAnsi" w:eastAsiaTheme="minorEastAsia" w:hAnsiTheme="minorHAnsi" w:cstheme="minorBidi"/>
            <w:sz w:val="22"/>
            <w:szCs w:val="22"/>
            <w:lang w:val="en-US" w:eastAsia="en-US"/>
          </w:rPr>
          <w:tab/>
        </w:r>
        <w:r w:rsidR="00A23604" w:rsidRPr="003C1D6F">
          <w:rPr>
            <w:rStyle w:val="Hyperlink"/>
            <w:b/>
          </w:rPr>
          <w:t>Ingresos y gastos por Unión – Bienio 2012/13 (base presupuestaria)</w:t>
        </w:r>
        <w:r w:rsidR="00A23604">
          <w:rPr>
            <w:webHidden/>
          </w:rPr>
          <w:tab/>
        </w:r>
        <w:r w:rsidR="00A23604">
          <w:rPr>
            <w:webHidden/>
          </w:rPr>
          <w:fldChar w:fldCharType="begin"/>
        </w:r>
        <w:r w:rsidR="00A23604">
          <w:rPr>
            <w:webHidden/>
          </w:rPr>
          <w:instrText xml:space="preserve"> PAGEREF _Toc395626659 \h </w:instrText>
        </w:r>
        <w:r w:rsidR="00A23604">
          <w:rPr>
            <w:webHidden/>
          </w:rPr>
        </w:r>
        <w:r w:rsidR="00A23604">
          <w:rPr>
            <w:webHidden/>
          </w:rPr>
          <w:fldChar w:fldCharType="separate"/>
        </w:r>
        <w:r>
          <w:rPr>
            <w:webHidden/>
          </w:rPr>
          <w:t>7</w:t>
        </w:r>
        <w:r w:rsidR="00A23604">
          <w:rPr>
            <w:webHidden/>
          </w:rPr>
          <w:fldChar w:fldCharType="end"/>
        </w:r>
      </w:hyperlink>
    </w:p>
    <w:p w:rsidR="00A23604" w:rsidRDefault="00ED766C">
      <w:pPr>
        <w:pStyle w:val="TOC2"/>
        <w:rPr>
          <w:rFonts w:asciiTheme="minorHAnsi" w:eastAsiaTheme="minorEastAsia" w:hAnsiTheme="minorHAnsi" w:cstheme="minorBidi"/>
          <w:sz w:val="22"/>
          <w:szCs w:val="22"/>
          <w:lang w:val="en-US" w:eastAsia="en-US"/>
        </w:rPr>
      </w:pPr>
      <w:hyperlink w:anchor="_Toc395626660" w:history="1">
        <w:r w:rsidR="00A23604" w:rsidRPr="003C1D6F">
          <w:rPr>
            <w:rStyle w:val="Hyperlink"/>
            <w:b/>
          </w:rPr>
          <w:t>Cuadro 1.3</w:t>
        </w:r>
        <w:r w:rsidR="00A23604">
          <w:rPr>
            <w:rFonts w:asciiTheme="minorHAnsi" w:eastAsiaTheme="minorEastAsia" w:hAnsiTheme="minorHAnsi" w:cstheme="minorBidi"/>
            <w:sz w:val="22"/>
            <w:szCs w:val="22"/>
            <w:lang w:val="en-US" w:eastAsia="en-US"/>
          </w:rPr>
          <w:tab/>
        </w:r>
        <w:r w:rsidR="00A23604" w:rsidRPr="003C1D6F">
          <w:rPr>
            <w:rStyle w:val="Hyperlink"/>
            <w:b/>
          </w:rPr>
          <w:t>Proyectos especiales con cargo a las reservas a fines de 2013</w:t>
        </w:r>
        <w:r w:rsidR="00A23604">
          <w:rPr>
            <w:webHidden/>
          </w:rPr>
          <w:tab/>
        </w:r>
        <w:r w:rsidR="00A23604">
          <w:rPr>
            <w:webHidden/>
          </w:rPr>
          <w:fldChar w:fldCharType="begin"/>
        </w:r>
        <w:r w:rsidR="00A23604">
          <w:rPr>
            <w:webHidden/>
          </w:rPr>
          <w:instrText xml:space="preserve"> PAGEREF _Toc395626660 \h </w:instrText>
        </w:r>
        <w:r w:rsidR="00A23604">
          <w:rPr>
            <w:webHidden/>
          </w:rPr>
        </w:r>
        <w:r w:rsidR="00A23604">
          <w:rPr>
            <w:webHidden/>
          </w:rPr>
          <w:fldChar w:fldCharType="separate"/>
        </w:r>
        <w:r>
          <w:rPr>
            <w:webHidden/>
          </w:rPr>
          <w:t>8</w:t>
        </w:r>
        <w:r w:rsidR="00A23604">
          <w:rPr>
            <w:webHidden/>
          </w:rPr>
          <w:fldChar w:fldCharType="end"/>
        </w:r>
      </w:hyperlink>
    </w:p>
    <w:p w:rsidR="00A23604" w:rsidRDefault="00ED766C">
      <w:pPr>
        <w:pStyle w:val="TOC2"/>
        <w:rPr>
          <w:rFonts w:asciiTheme="minorHAnsi" w:eastAsiaTheme="minorEastAsia" w:hAnsiTheme="minorHAnsi" w:cstheme="minorBidi"/>
          <w:sz w:val="22"/>
          <w:szCs w:val="22"/>
          <w:lang w:val="en-US" w:eastAsia="en-US"/>
        </w:rPr>
      </w:pPr>
      <w:hyperlink w:anchor="_Toc395626661" w:history="1">
        <w:r w:rsidR="00A23604" w:rsidRPr="003C1D6F">
          <w:rPr>
            <w:rStyle w:val="Hyperlink"/>
            <w:b/>
          </w:rPr>
          <w:t>Cuadro 1.4</w:t>
        </w:r>
        <w:r w:rsidR="00A23604">
          <w:rPr>
            <w:rFonts w:asciiTheme="minorHAnsi" w:eastAsiaTheme="minorEastAsia" w:hAnsiTheme="minorHAnsi" w:cstheme="minorBidi"/>
            <w:sz w:val="22"/>
            <w:szCs w:val="22"/>
            <w:lang w:val="en-US" w:eastAsia="en-US"/>
          </w:rPr>
          <w:tab/>
        </w:r>
        <w:r w:rsidR="00A23604" w:rsidRPr="003C1D6F">
          <w:rPr>
            <w:rStyle w:val="Hyperlink"/>
            <w:b/>
          </w:rPr>
          <w:t>Principales proyectos de construcción a fines de 2013</w:t>
        </w:r>
        <w:r w:rsidR="00A23604">
          <w:rPr>
            <w:webHidden/>
          </w:rPr>
          <w:tab/>
        </w:r>
        <w:r w:rsidR="00A23604">
          <w:rPr>
            <w:webHidden/>
          </w:rPr>
          <w:fldChar w:fldCharType="begin"/>
        </w:r>
        <w:r w:rsidR="00A23604">
          <w:rPr>
            <w:webHidden/>
          </w:rPr>
          <w:instrText xml:space="preserve"> PAGEREF _Toc395626661 \h </w:instrText>
        </w:r>
        <w:r w:rsidR="00A23604">
          <w:rPr>
            <w:webHidden/>
          </w:rPr>
        </w:r>
        <w:r w:rsidR="00A23604">
          <w:rPr>
            <w:webHidden/>
          </w:rPr>
          <w:fldChar w:fldCharType="separate"/>
        </w:r>
        <w:r>
          <w:rPr>
            <w:webHidden/>
          </w:rPr>
          <w:t>8</w:t>
        </w:r>
        <w:r w:rsidR="00A23604">
          <w:rPr>
            <w:webHidden/>
          </w:rPr>
          <w:fldChar w:fldCharType="end"/>
        </w:r>
      </w:hyperlink>
    </w:p>
    <w:p w:rsidR="00A23604" w:rsidRDefault="00ED766C">
      <w:pPr>
        <w:pStyle w:val="TOC1"/>
        <w:rPr>
          <w:rFonts w:asciiTheme="minorHAnsi" w:eastAsiaTheme="minorEastAsia" w:hAnsiTheme="minorHAnsi" w:cstheme="minorBidi"/>
          <w:b w:val="0"/>
          <w:szCs w:val="22"/>
        </w:rPr>
      </w:pPr>
      <w:hyperlink w:anchor="_Toc395626662" w:history="1">
        <w:r w:rsidR="00A23604" w:rsidRPr="003C1D6F">
          <w:rPr>
            <w:rStyle w:val="Hyperlink"/>
            <w:lang w:val="es-ES_tradnl"/>
          </w:rPr>
          <w:t>PRESUPUESTO</w:t>
        </w:r>
        <w:r w:rsidR="00A23604">
          <w:rPr>
            <w:webHidden/>
          </w:rPr>
          <w:tab/>
        </w:r>
        <w:r w:rsidR="00A23604">
          <w:rPr>
            <w:webHidden/>
          </w:rPr>
          <w:fldChar w:fldCharType="begin"/>
        </w:r>
        <w:r w:rsidR="00A23604">
          <w:rPr>
            <w:webHidden/>
          </w:rPr>
          <w:instrText xml:space="preserve"> PAGEREF _Toc395626662 \h </w:instrText>
        </w:r>
        <w:r w:rsidR="00A23604">
          <w:rPr>
            <w:webHidden/>
          </w:rPr>
        </w:r>
        <w:r w:rsidR="00A23604">
          <w:rPr>
            <w:webHidden/>
          </w:rPr>
          <w:fldChar w:fldCharType="separate"/>
        </w:r>
        <w:r>
          <w:rPr>
            <w:webHidden/>
          </w:rPr>
          <w:t>9</w:t>
        </w:r>
        <w:r w:rsidR="00A23604">
          <w:rPr>
            <w:webHidden/>
          </w:rPr>
          <w:fldChar w:fldCharType="end"/>
        </w:r>
      </w:hyperlink>
    </w:p>
    <w:p w:rsidR="00A23604" w:rsidRDefault="00ED766C">
      <w:pPr>
        <w:pStyle w:val="TOC2"/>
        <w:rPr>
          <w:rFonts w:asciiTheme="minorHAnsi" w:eastAsiaTheme="minorEastAsia" w:hAnsiTheme="minorHAnsi" w:cstheme="minorBidi"/>
          <w:sz w:val="22"/>
          <w:szCs w:val="22"/>
          <w:lang w:val="en-US" w:eastAsia="en-US"/>
        </w:rPr>
      </w:pPr>
      <w:hyperlink w:anchor="_Toc395626663" w:history="1">
        <w:r w:rsidR="00A23604" w:rsidRPr="003C1D6F">
          <w:rPr>
            <w:rStyle w:val="Hyperlink"/>
            <w:b/>
          </w:rPr>
          <w:t>Cuadro 2</w:t>
        </w:r>
        <w:r w:rsidR="00A23604">
          <w:rPr>
            <w:rFonts w:asciiTheme="minorHAnsi" w:eastAsiaTheme="minorEastAsia" w:hAnsiTheme="minorHAnsi" w:cstheme="minorBidi"/>
            <w:sz w:val="22"/>
            <w:szCs w:val="22"/>
            <w:lang w:val="en-US" w:eastAsia="en-US"/>
          </w:rPr>
          <w:tab/>
        </w:r>
        <w:r w:rsidR="00A23604" w:rsidRPr="003C1D6F">
          <w:rPr>
            <w:rStyle w:val="Hyperlink"/>
            <w:b/>
          </w:rPr>
          <w:t>Presupuesto aprobado y transferencias, por programa – Bienio 2012/13</w:t>
        </w:r>
        <w:r w:rsidR="00A23604">
          <w:rPr>
            <w:webHidden/>
          </w:rPr>
          <w:tab/>
        </w:r>
        <w:r w:rsidR="00A23604">
          <w:rPr>
            <w:webHidden/>
          </w:rPr>
          <w:fldChar w:fldCharType="begin"/>
        </w:r>
        <w:r w:rsidR="00A23604">
          <w:rPr>
            <w:webHidden/>
          </w:rPr>
          <w:instrText xml:space="preserve"> PAGEREF _Toc395626663 \h </w:instrText>
        </w:r>
        <w:r w:rsidR="00A23604">
          <w:rPr>
            <w:webHidden/>
          </w:rPr>
        </w:r>
        <w:r w:rsidR="00A23604">
          <w:rPr>
            <w:webHidden/>
          </w:rPr>
          <w:fldChar w:fldCharType="separate"/>
        </w:r>
        <w:r>
          <w:rPr>
            <w:webHidden/>
          </w:rPr>
          <w:t>11</w:t>
        </w:r>
        <w:r w:rsidR="00A23604">
          <w:rPr>
            <w:webHidden/>
          </w:rPr>
          <w:fldChar w:fldCharType="end"/>
        </w:r>
      </w:hyperlink>
    </w:p>
    <w:p w:rsidR="00A23604" w:rsidRDefault="00ED766C">
      <w:pPr>
        <w:pStyle w:val="TOC2"/>
        <w:rPr>
          <w:rFonts w:asciiTheme="minorHAnsi" w:eastAsiaTheme="minorEastAsia" w:hAnsiTheme="minorHAnsi" w:cstheme="minorBidi"/>
          <w:sz w:val="22"/>
          <w:szCs w:val="22"/>
          <w:lang w:val="en-US" w:eastAsia="en-US"/>
        </w:rPr>
      </w:pPr>
      <w:hyperlink w:anchor="_Toc395626664" w:history="1">
        <w:r w:rsidR="00A23604" w:rsidRPr="003C1D6F">
          <w:rPr>
            <w:rStyle w:val="Hyperlink"/>
            <w:b/>
          </w:rPr>
          <w:t>Cuadro 3</w:t>
        </w:r>
        <w:r w:rsidR="00A23604">
          <w:rPr>
            <w:rFonts w:asciiTheme="minorHAnsi" w:eastAsiaTheme="minorEastAsia" w:hAnsiTheme="minorHAnsi" w:cstheme="minorBidi"/>
            <w:sz w:val="22"/>
            <w:szCs w:val="22"/>
            <w:lang w:val="en-US" w:eastAsia="en-US"/>
          </w:rPr>
          <w:tab/>
        </w:r>
        <w:r w:rsidR="00A23604" w:rsidRPr="003C1D6F">
          <w:rPr>
            <w:rStyle w:val="Hyperlink"/>
            <w:b/>
          </w:rPr>
          <w:t>Relación de puestos y empleados, por programa – Bienio 2012/13</w:t>
        </w:r>
        <w:r w:rsidR="00A23604">
          <w:rPr>
            <w:webHidden/>
          </w:rPr>
          <w:tab/>
        </w:r>
        <w:r w:rsidR="00A23604">
          <w:rPr>
            <w:webHidden/>
          </w:rPr>
          <w:fldChar w:fldCharType="begin"/>
        </w:r>
        <w:r w:rsidR="00A23604">
          <w:rPr>
            <w:webHidden/>
          </w:rPr>
          <w:instrText xml:space="preserve"> PAGEREF _Toc395626664 \h </w:instrText>
        </w:r>
        <w:r w:rsidR="00A23604">
          <w:rPr>
            <w:webHidden/>
          </w:rPr>
        </w:r>
        <w:r w:rsidR="00A23604">
          <w:rPr>
            <w:webHidden/>
          </w:rPr>
          <w:fldChar w:fldCharType="separate"/>
        </w:r>
        <w:r>
          <w:rPr>
            <w:webHidden/>
          </w:rPr>
          <w:t>12</w:t>
        </w:r>
        <w:r w:rsidR="00A23604">
          <w:rPr>
            <w:webHidden/>
          </w:rPr>
          <w:fldChar w:fldCharType="end"/>
        </w:r>
      </w:hyperlink>
    </w:p>
    <w:p w:rsidR="00A23604" w:rsidRDefault="00ED766C">
      <w:pPr>
        <w:pStyle w:val="TOC1"/>
        <w:rPr>
          <w:rFonts w:asciiTheme="minorHAnsi" w:eastAsiaTheme="minorEastAsia" w:hAnsiTheme="minorHAnsi" w:cstheme="minorBidi"/>
          <w:b w:val="0"/>
          <w:szCs w:val="22"/>
        </w:rPr>
      </w:pPr>
      <w:hyperlink w:anchor="_Toc395626665" w:history="1">
        <w:r w:rsidR="00A23604" w:rsidRPr="003C1D6F">
          <w:rPr>
            <w:rStyle w:val="Hyperlink"/>
            <w:lang w:val="es-ES_tradnl"/>
          </w:rPr>
          <w:t>GASTOS</w:t>
        </w:r>
        <w:r w:rsidR="00A23604">
          <w:rPr>
            <w:webHidden/>
          </w:rPr>
          <w:tab/>
        </w:r>
        <w:r w:rsidR="00A23604">
          <w:rPr>
            <w:webHidden/>
          </w:rPr>
          <w:fldChar w:fldCharType="begin"/>
        </w:r>
        <w:r w:rsidR="00A23604">
          <w:rPr>
            <w:webHidden/>
          </w:rPr>
          <w:instrText xml:space="preserve"> PAGEREF _Toc395626665 \h </w:instrText>
        </w:r>
        <w:r w:rsidR="00A23604">
          <w:rPr>
            <w:webHidden/>
          </w:rPr>
        </w:r>
        <w:r w:rsidR="00A23604">
          <w:rPr>
            <w:webHidden/>
          </w:rPr>
          <w:fldChar w:fldCharType="separate"/>
        </w:r>
        <w:r>
          <w:rPr>
            <w:webHidden/>
          </w:rPr>
          <w:t>13</w:t>
        </w:r>
        <w:r w:rsidR="00A23604">
          <w:rPr>
            <w:webHidden/>
          </w:rPr>
          <w:fldChar w:fldCharType="end"/>
        </w:r>
      </w:hyperlink>
    </w:p>
    <w:p w:rsidR="00A23604" w:rsidRDefault="00ED766C">
      <w:pPr>
        <w:pStyle w:val="TOC2"/>
        <w:rPr>
          <w:rFonts w:asciiTheme="minorHAnsi" w:eastAsiaTheme="minorEastAsia" w:hAnsiTheme="minorHAnsi" w:cstheme="minorBidi"/>
          <w:sz w:val="22"/>
          <w:szCs w:val="22"/>
          <w:lang w:val="en-US" w:eastAsia="en-US"/>
        </w:rPr>
      </w:pPr>
      <w:hyperlink w:anchor="_Toc395626666" w:history="1">
        <w:r w:rsidR="00A23604" w:rsidRPr="003C1D6F">
          <w:rPr>
            <w:rStyle w:val="Hyperlink"/>
            <w:b/>
          </w:rPr>
          <w:t>Cuadro 4</w:t>
        </w:r>
        <w:r w:rsidR="00A23604">
          <w:rPr>
            <w:rFonts w:asciiTheme="minorHAnsi" w:eastAsiaTheme="minorEastAsia" w:hAnsiTheme="minorHAnsi" w:cstheme="minorBidi"/>
            <w:sz w:val="22"/>
            <w:szCs w:val="22"/>
            <w:lang w:val="en-US" w:eastAsia="en-US"/>
          </w:rPr>
          <w:tab/>
        </w:r>
        <w:r w:rsidR="00A23604" w:rsidRPr="003C1D6F">
          <w:rPr>
            <w:rStyle w:val="Hyperlink"/>
            <w:b/>
          </w:rPr>
          <w:t>Informe sobre presupuesto y gastos, por programa – Bienio 2012/13</w:t>
        </w:r>
        <w:r w:rsidR="00A23604">
          <w:rPr>
            <w:webHidden/>
          </w:rPr>
          <w:tab/>
        </w:r>
        <w:r w:rsidR="00A23604">
          <w:rPr>
            <w:webHidden/>
          </w:rPr>
          <w:fldChar w:fldCharType="begin"/>
        </w:r>
        <w:r w:rsidR="00A23604">
          <w:rPr>
            <w:webHidden/>
          </w:rPr>
          <w:instrText xml:space="preserve"> PAGEREF _Toc395626666 \h </w:instrText>
        </w:r>
        <w:r w:rsidR="00A23604">
          <w:rPr>
            <w:webHidden/>
          </w:rPr>
        </w:r>
        <w:r w:rsidR="00A23604">
          <w:rPr>
            <w:webHidden/>
          </w:rPr>
          <w:fldChar w:fldCharType="separate"/>
        </w:r>
        <w:r>
          <w:rPr>
            <w:webHidden/>
          </w:rPr>
          <w:t>13</w:t>
        </w:r>
        <w:r w:rsidR="00A23604">
          <w:rPr>
            <w:webHidden/>
          </w:rPr>
          <w:fldChar w:fldCharType="end"/>
        </w:r>
      </w:hyperlink>
    </w:p>
    <w:p w:rsidR="00A23604" w:rsidRDefault="00ED766C">
      <w:pPr>
        <w:pStyle w:val="TOC2"/>
        <w:rPr>
          <w:rFonts w:asciiTheme="minorHAnsi" w:eastAsiaTheme="minorEastAsia" w:hAnsiTheme="minorHAnsi" w:cstheme="minorBidi"/>
          <w:sz w:val="22"/>
          <w:szCs w:val="22"/>
          <w:lang w:val="en-US" w:eastAsia="en-US"/>
        </w:rPr>
      </w:pPr>
      <w:hyperlink w:anchor="_Toc395626667" w:history="1">
        <w:r w:rsidR="00A23604" w:rsidRPr="003C1D6F">
          <w:rPr>
            <w:rStyle w:val="Hyperlink"/>
            <w:rFonts w:ascii="Arial Bold" w:eastAsia="Times New Roman" w:hAnsi="Arial Bold"/>
            <w:b/>
          </w:rPr>
          <w:t>Cuadro 5</w:t>
        </w:r>
        <w:r w:rsidR="00A23604">
          <w:rPr>
            <w:rFonts w:asciiTheme="minorHAnsi" w:eastAsiaTheme="minorEastAsia" w:hAnsiTheme="minorHAnsi" w:cstheme="minorBidi"/>
            <w:sz w:val="22"/>
            <w:szCs w:val="22"/>
            <w:lang w:val="en-US" w:eastAsia="en-US"/>
          </w:rPr>
          <w:tab/>
        </w:r>
        <w:r w:rsidR="00A23604" w:rsidRPr="003C1D6F">
          <w:rPr>
            <w:rStyle w:val="Hyperlink"/>
            <w:rFonts w:ascii="Arial Bold" w:eastAsia="Times New Roman" w:hAnsi="Arial Bold"/>
            <w:b/>
          </w:rPr>
          <w:t>Gastos por objeto de gasto – Bienio 2012/13</w:t>
        </w:r>
        <w:r w:rsidR="00A23604">
          <w:rPr>
            <w:webHidden/>
          </w:rPr>
          <w:tab/>
        </w:r>
        <w:r w:rsidR="00A23604">
          <w:rPr>
            <w:webHidden/>
          </w:rPr>
          <w:fldChar w:fldCharType="begin"/>
        </w:r>
        <w:r w:rsidR="00A23604">
          <w:rPr>
            <w:webHidden/>
          </w:rPr>
          <w:instrText xml:space="preserve"> PAGEREF _Toc395626667 \h </w:instrText>
        </w:r>
        <w:r w:rsidR="00A23604">
          <w:rPr>
            <w:webHidden/>
          </w:rPr>
        </w:r>
        <w:r w:rsidR="00A23604">
          <w:rPr>
            <w:webHidden/>
          </w:rPr>
          <w:fldChar w:fldCharType="separate"/>
        </w:r>
        <w:r>
          <w:rPr>
            <w:webHidden/>
          </w:rPr>
          <w:t>14</w:t>
        </w:r>
        <w:r w:rsidR="00A23604">
          <w:rPr>
            <w:webHidden/>
          </w:rPr>
          <w:fldChar w:fldCharType="end"/>
        </w:r>
      </w:hyperlink>
    </w:p>
    <w:p w:rsidR="00A23604" w:rsidRDefault="00ED766C">
      <w:pPr>
        <w:pStyle w:val="TOC2"/>
        <w:rPr>
          <w:rFonts w:asciiTheme="minorHAnsi" w:eastAsiaTheme="minorEastAsia" w:hAnsiTheme="minorHAnsi" w:cstheme="minorBidi"/>
          <w:sz w:val="22"/>
          <w:szCs w:val="22"/>
          <w:lang w:val="en-US" w:eastAsia="en-US"/>
        </w:rPr>
      </w:pPr>
      <w:hyperlink w:anchor="_Toc395626668" w:history="1">
        <w:r w:rsidR="00A23604" w:rsidRPr="003C1D6F">
          <w:rPr>
            <w:rStyle w:val="Hyperlink"/>
            <w:rFonts w:ascii="Arial Bold" w:hAnsi="Arial Bold"/>
            <w:b/>
          </w:rPr>
          <w:t>Recursos de personal</w:t>
        </w:r>
        <w:r w:rsidR="00A23604">
          <w:rPr>
            <w:webHidden/>
          </w:rPr>
          <w:tab/>
        </w:r>
        <w:r w:rsidR="00A23604">
          <w:rPr>
            <w:webHidden/>
          </w:rPr>
          <w:fldChar w:fldCharType="begin"/>
        </w:r>
        <w:r w:rsidR="00A23604">
          <w:rPr>
            <w:webHidden/>
          </w:rPr>
          <w:instrText xml:space="preserve"> PAGEREF _Toc395626668 \h </w:instrText>
        </w:r>
        <w:r w:rsidR="00A23604">
          <w:rPr>
            <w:webHidden/>
          </w:rPr>
        </w:r>
        <w:r w:rsidR="00A23604">
          <w:rPr>
            <w:webHidden/>
          </w:rPr>
          <w:fldChar w:fldCharType="separate"/>
        </w:r>
        <w:r>
          <w:rPr>
            <w:webHidden/>
          </w:rPr>
          <w:t>14</w:t>
        </w:r>
        <w:r w:rsidR="00A23604">
          <w:rPr>
            <w:webHidden/>
          </w:rPr>
          <w:fldChar w:fldCharType="end"/>
        </w:r>
      </w:hyperlink>
    </w:p>
    <w:p w:rsidR="00A23604" w:rsidRDefault="00ED766C">
      <w:pPr>
        <w:pStyle w:val="TOC3"/>
        <w:rPr>
          <w:rFonts w:asciiTheme="minorHAnsi" w:eastAsiaTheme="minorEastAsia" w:hAnsiTheme="minorHAnsi" w:cstheme="minorBidi"/>
          <w:sz w:val="22"/>
          <w:szCs w:val="22"/>
        </w:rPr>
      </w:pPr>
      <w:hyperlink w:anchor="_Toc395626669" w:history="1">
        <w:r w:rsidR="00A23604" w:rsidRPr="003C1D6F">
          <w:rPr>
            <w:rStyle w:val="Hyperlink"/>
            <w:rFonts w:ascii="Arial Bold" w:eastAsiaTheme="minorHAnsi" w:hAnsi="Arial Bold"/>
            <w:b/>
            <w:lang w:val="es-ES_tradnl"/>
          </w:rPr>
          <w:t>Evolución de los gastos de personal, por año</w:t>
        </w:r>
        <w:r w:rsidR="00A23604">
          <w:rPr>
            <w:webHidden/>
          </w:rPr>
          <w:tab/>
        </w:r>
        <w:r w:rsidR="00A23604">
          <w:rPr>
            <w:webHidden/>
          </w:rPr>
          <w:fldChar w:fldCharType="begin"/>
        </w:r>
        <w:r w:rsidR="00A23604">
          <w:rPr>
            <w:webHidden/>
          </w:rPr>
          <w:instrText xml:space="preserve"> PAGEREF _Toc395626669 \h </w:instrText>
        </w:r>
        <w:r w:rsidR="00A23604">
          <w:rPr>
            <w:webHidden/>
          </w:rPr>
        </w:r>
        <w:r w:rsidR="00A23604">
          <w:rPr>
            <w:webHidden/>
          </w:rPr>
          <w:fldChar w:fldCharType="separate"/>
        </w:r>
        <w:r>
          <w:rPr>
            <w:webHidden/>
          </w:rPr>
          <w:t>15</w:t>
        </w:r>
        <w:r w:rsidR="00A23604">
          <w:rPr>
            <w:webHidden/>
          </w:rPr>
          <w:fldChar w:fldCharType="end"/>
        </w:r>
      </w:hyperlink>
    </w:p>
    <w:p w:rsidR="00A23604" w:rsidRDefault="00ED766C">
      <w:pPr>
        <w:pStyle w:val="TOC2"/>
        <w:rPr>
          <w:rFonts w:asciiTheme="minorHAnsi" w:eastAsiaTheme="minorEastAsia" w:hAnsiTheme="minorHAnsi" w:cstheme="minorBidi"/>
          <w:sz w:val="22"/>
          <w:szCs w:val="22"/>
          <w:lang w:val="en-US" w:eastAsia="en-US"/>
        </w:rPr>
      </w:pPr>
      <w:hyperlink w:anchor="_Toc395626670" w:history="1">
        <w:r w:rsidR="00A23604" w:rsidRPr="003C1D6F">
          <w:rPr>
            <w:rStyle w:val="Hyperlink"/>
            <w:rFonts w:ascii="Arial Bold" w:hAnsi="Arial Bold"/>
            <w:b/>
          </w:rPr>
          <w:t>Viajes y becas</w:t>
        </w:r>
        <w:r w:rsidR="00A23604">
          <w:rPr>
            <w:webHidden/>
          </w:rPr>
          <w:tab/>
        </w:r>
        <w:r w:rsidR="00A23604">
          <w:rPr>
            <w:webHidden/>
          </w:rPr>
          <w:fldChar w:fldCharType="begin"/>
        </w:r>
        <w:r w:rsidR="00A23604">
          <w:rPr>
            <w:webHidden/>
          </w:rPr>
          <w:instrText xml:space="preserve"> PAGEREF _Toc395626670 \h </w:instrText>
        </w:r>
        <w:r w:rsidR="00A23604">
          <w:rPr>
            <w:webHidden/>
          </w:rPr>
        </w:r>
        <w:r w:rsidR="00A23604">
          <w:rPr>
            <w:webHidden/>
          </w:rPr>
          <w:fldChar w:fldCharType="separate"/>
        </w:r>
        <w:r>
          <w:rPr>
            <w:webHidden/>
          </w:rPr>
          <w:t>16</w:t>
        </w:r>
        <w:r w:rsidR="00A23604">
          <w:rPr>
            <w:webHidden/>
          </w:rPr>
          <w:fldChar w:fldCharType="end"/>
        </w:r>
      </w:hyperlink>
    </w:p>
    <w:p w:rsidR="00A23604" w:rsidRDefault="00ED766C">
      <w:pPr>
        <w:pStyle w:val="TOC3"/>
        <w:rPr>
          <w:rFonts w:asciiTheme="minorHAnsi" w:eastAsiaTheme="minorEastAsia" w:hAnsiTheme="minorHAnsi" w:cstheme="minorBidi"/>
          <w:sz w:val="22"/>
          <w:szCs w:val="22"/>
        </w:rPr>
      </w:pPr>
      <w:hyperlink w:anchor="_Toc395626671" w:history="1">
        <w:r w:rsidR="00A23604" w:rsidRPr="003C1D6F">
          <w:rPr>
            <w:rStyle w:val="Hyperlink"/>
            <w:rFonts w:ascii="Arial Bold" w:eastAsiaTheme="minorHAnsi" w:hAnsi="Arial Bold"/>
            <w:b/>
            <w:lang w:val="es-ES_tradnl"/>
          </w:rPr>
          <w:t>Evolución de los gastos de viajes y becas, por año</w:t>
        </w:r>
        <w:r w:rsidR="00A23604">
          <w:rPr>
            <w:webHidden/>
          </w:rPr>
          <w:tab/>
        </w:r>
        <w:r w:rsidR="00A23604">
          <w:rPr>
            <w:webHidden/>
          </w:rPr>
          <w:fldChar w:fldCharType="begin"/>
        </w:r>
        <w:r w:rsidR="00A23604">
          <w:rPr>
            <w:webHidden/>
          </w:rPr>
          <w:instrText xml:space="preserve"> PAGEREF _Toc395626671 \h </w:instrText>
        </w:r>
        <w:r w:rsidR="00A23604">
          <w:rPr>
            <w:webHidden/>
          </w:rPr>
        </w:r>
        <w:r w:rsidR="00A23604">
          <w:rPr>
            <w:webHidden/>
          </w:rPr>
          <w:fldChar w:fldCharType="separate"/>
        </w:r>
        <w:r>
          <w:rPr>
            <w:webHidden/>
          </w:rPr>
          <w:t>16</w:t>
        </w:r>
        <w:r w:rsidR="00A23604">
          <w:rPr>
            <w:webHidden/>
          </w:rPr>
          <w:fldChar w:fldCharType="end"/>
        </w:r>
      </w:hyperlink>
    </w:p>
    <w:p w:rsidR="00A23604" w:rsidRDefault="00ED766C">
      <w:pPr>
        <w:pStyle w:val="TOC2"/>
        <w:rPr>
          <w:rFonts w:asciiTheme="minorHAnsi" w:eastAsiaTheme="minorEastAsia" w:hAnsiTheme="minorHAnsi" w:cstheme="minorBidi"/>
          <w:sz w:val="22"/>
          <w:szCs w:val="22"/>
          <w:lang w:val="en-US" w:eastAsia="en-US"/>
        </w:rPr>
      </w:pPr>
      <w:hyperlink w:anchor="_Toc395626672" w:history="1">
        <w:r w:rsidR="00A23604" w:rsidRPr="003C1D6F">
          <w:rPr>
            <w:rStyle w:val="Hyperlink"/>
            <w:rFonts w:ascii="Arial Bold" w:hAnsi="Arial Bold"/>
            <w:b/>
          </w:rPr>
          <w:t>Servicios contractuales</w:t>
        </w:r>
        <w:r w:rsidR="00A23604">
          <w:rPr>
            <w:webHidden/>
          </w:rPr>
          <w:tab/>
        </w:r>
        <w:r w:rsidR="00A23604">
          <w:rPr>
            <w:webHidden/>
          </w:rPr>
          <w:fldChar w:fldCharType="begin"/>
        </w:r>
        <w:r w:rsidR="00A23604">
          <w:rPr>
            <w:webHidden/>
          </w:rPr>
          <w:instrText xml:space="preserve"> PAGEREF _Toc395626672 \h </w:instrText>
        </w:r>
        <w:r w:rsidR="00A23604">
          <w:rPr>
            <w:webHidden/>
          </w:rPr>
        </w:r>
        <w:r w:rsidR="00A23604">
          <w:rPr>
            <w:webHidden/>
          </w:rPr>
          <w:fldChar w:fldCharType="separate"/>
        </w:r>
        <w:r>
          <w:rPr>
            <w:webHidden/>
          </w:rPr>
          <w:t>17</w:t>
        </w:r>
        <w:r w:rsidR="00A23604">
          <w:rPr>
            <w:webHidden/>
          </w:rPr>
          <w:fldChar w:fldCharType="end"/>
        </w:r>
      </w:hyperlink>
    </w:p>
    <w:p w:rsidR="00A23604" w:rsidRDefault="00ED766C">
      <w:pPr>
        <w:pStyle w:val="TOC3"/>
        <w:rPr>
          <w:rFonts w:asciiTheme="minorHAnsi" w:eastAsiaTheme="minorEastAsia" w:hAnsiTheme="minorHAnsi" w:cstheme="minorBidi"/>
          <w:sz w:val="22"/>
          <w:szCs w:val="22"/>
        </w:rPr>
      </w:pPr>
      <w:hyperlink w:anchor="_Toc395626673" w:history="1">
        <w:r w:rsidR="00A23604" w:rsidRPr="003C1D6F">
          <w:rPr>
            <w:rStyle w:val="Hyperlink"/>
            <w:rFonts w:eastAsiaTheme="minorHAnsi"/>
            <w:b/>
            <w:lang w:val="es-ES_tradnl"/>
          </w:rPr>
          <w:t>Evolución de los gastos de servicios contractuales, por año</w:t>
        </w:r>
        <w:r w:rsidR="00A23604">
          <w:rPr>
            <w:webHidden/>
          </w:rPr>
          <w:tab/>
        </w:r>
        <w:r w:rsidR="00A23604">
          <w:rPr>
            <w:webHidden/>
          </w:rPr>
          <w:fldChar w:fldCharType="begin"/>
        </w:r>
        <w:r w:rsidR="00A23604">
          <w:rPr>
            <w:webHidden/>
          </w:rPr>
          <w:instrText xml:space="preserve"> PAGEREF _Toc395626673 \h </w:instrText>
        </w:r>
        <w:r w:rsidR="00A23604">
          <w:rPr>
            <w:webHidden/>
          </w:rPr>
        </w:r>
        <w:r w:rsidR="00A23604">
          <w:rPr>
            <w:webHidden/>
          </w:rPr>
          <w:fldChar w:fldCharType="separate"/>
        </w:r>
        <w:r>
          <w:rPr>
            <w:webHidden/>
          </w:rPr>
          <w:t>17</w:t>
        </w:r>
        <w:r w:rsidR="00A23604">
          <w:rPr>
            <w:webHidden/>
          </w:rPr>
          <w:fldChar w:fldCharType="end"/>
        </w:r>
      </w:hyperlink>
    </w:p>
    <w:p w:rsidR="00A23604" w:rsidRDefault="00ED766C">
      <w:pPr>
        <w:pStyle w:val="TOC2"/>
        <w:rPr>
          <w:rFonts w:asciiTheme="minorHAnsi" w:eastAsiaTheme="minorEastAsia" w:hAnsiTheme="minorHAnsi" w:cstheme="minorBidi"/>
          <w:sz w:val="22"/>
          <w:szCs w:val="22"/>
          <w:lang w:val="en-US" w:eastAsia="en-US"/>
        </w:rPr>
      </w:pPr>
      <w:hyperlink w:anchor="_Toc395626674" w:history="1">
        <w:r w:rsidR="00A23604" w:rsidRPr="003C1D6F">
          <w:rPr>
            <w:rStyle w:val="Hyperlink"/>
            <w:rFonts w:ascii="Arial Bold" w:hAnsi="Arial Bold"/>
            <w:b/>
          </w:rPr>
          <w:t>Gastos de operación</w:t>
        </w:r>
        <w:r w:rsidR="00A23604">
          <w:rPr>
            <w:webHidden/>
          </w:rPr>
          <w:tab/>
        </w:r>
        <w:r w:rsidR="00A23604">
          <w:rPr>
            <w:webHidden/>
          </w:rPr>
          <w:fldChar w:fldCharType="begin"/>
        </w:r>
        <w:r w:rsidR="00A23604">
          <w:rPr>
            <w:webHidden/>
          </w:rPr>
          <w:instrText xml:space="preserve"> PAGEREF _Toc395626674 \h </w:instrText>
        </w:r>
        <w:r w:rsidR="00A23604">
          <w:rPr>
            <w:webHidden/>
          </w:rPr>
        </w:r>
        <w:r w:rsidR="00A23604">
          <w:rPr>
            <w:webHidden/>
          </w:rPr>
          <w:fldChar w:fldCharType="separate"/>
        </w:r>
        <w:r>
          <w:rPr>
            <w:webHidden/>
          </w:rPr>
          <w:t>18</w:t>
        </w:r>
        <w:r w:rsidR="00A23604">
          <w:rPr>
            <w:webHidden/>
          </w:rPr>
          <w:fldChar w:fldCharType="end"/>
        </w:r>
      </w:hyperlink>
    </w:p>
    <w:p w:rsidR="00A23604" w:rsidRDefault="00ED766C">
      <w:pPr>
        <w:pStyle w:val="TOC3"/>
        <w:rPr>
          <w:rFonts w:asciiTheme="minorHAnsi" w:eastAsiaTheme="minorEastAsia" w:hAnsiTheme="minorHAnsi" w:cstheme="minorBidi"/>
          <w:sz w:val="22"/>
          <w:szCs w:val="22"/>
        </w:rPr>
      </w:pPr>
      <w:hyperlink w:anchor="_Toc395626675" w:history="1">
        <w:r w:rsidR="00A23604" w:rsidRPr="003C1D6F">
          <w:rPr>
            <w:rStyle w:val="Hyperlink"/>
            <w:rFonts w:ascii="Arial Bold" w:eastAsiaTheme="minorHAnsi" w:hAnsi="Arial Bold"/>
            <w:b/>
            <w:lang w:val="es-ES_tradnl"/>
          </w:rPr>
          <w:t>Evolución de los gastos de operación, por año</w:t>
        </w:r>
        <w:r w:rsidR="00A23604">
          <w:rPr>
            <w:webHidden/>
          </w:rPr>
          <w:tab/>
        </w:r>
        <w:r w:rsidR="00A23604">
          <w:rPr>
            <w:webHidden/>
          </w:rPr>
          <w:fldChar w:fldCharType="begin"/>
        </w:r>
        <w:r w:rsidR="00A23604">
          <w:rPr>
            <w:webHidden/>
          </w:rPr>
          <w:instrText xml:space="preserve"> PAGEREF _Toc395626675 \h </w:instrText>
        </w:r>
        <w:r w:rsidR="00A23604">
          <w:rPr>
            <w:webHidden/>
          </w:rPr>
        </w:r>
        <w:r w:rsidR="00A23604">
          <w:rPr>
            <w:webHidden/>
          </w:rPr>
          <w:fldChar w:fldCharType="separate"/>
        </w:r>
        <w:r>
          <w:rPr>
            <w:webHidden/>
          </w:rPr>
          <w:t>18</w:t>
        </w:r>
        <w:r w:rsidR="00A23604">
          <w:rPr>
            <w:webHidden/>
          </w:rPr>
          <w:fldChar w:fldCharType="end"/>
        </w:r>
      </w:hyperlink>
    </w:p>
    <w:p w:rsidR="00A23604" w:rsidRDefault="00ED766C">
      <w:pPr>
        <w:pStyle w:val="TOC2"/>
        <w:rPr>
          <w:rFonts w:asciiTheme="minorHAnsi" w:eastAsiaTheme="minorEastAsia" w:hAnsiTheme="minorHAnsi" w:cstheme="minorBidi"/>
          <w:sz w:val="22"/>
          <w:szCs w:val="22"/>
          <w:lang w:val="en-US" w:eastAsia="en-US"/>
        </w:rPr>
      </w:pPr>
      <w:hyperlink w:anchor="_Toc395626676" w:history="1">
        <w:r w:rsidR="00A23604" w:rsidRPr="003C1D6F">
          <w:rPr>
            <w:rStyle w:val="Hyperlink"/>
            <w:rFonts w:ascii="Arial Bold" w:hAnsi="Arial Bold"/>
            <w:b/>
          </w:rPr>
          <w:t>Equipo y suministros</w:t>
        </w:r>
        <w:r w:rsidR="00A23604">
          <w:rPr>
            <w:webHidden/>
          </w:rPr>
          <w:tab/>
        </w:r>
        <w:r w:rsidR="00A23604">
          <w:rPr>
            <w:webHidden/>
          </w:rPr>
          <w:fldChar w:fldCharType="begin"/>
        </w:r>
        <w:r w:rsidR="00A23604">
          <w:rPr>
            <w:webHidden/>
          </w:rPr>
          <w:instrText xml:space="preserve"> PAGEREF _Toc395626676 \h </w:instrText>
        </w:r>
        <w:r w:rsidR="00A23604">
          <w:rPr>
            <w:webHidden/>
          </w:rPr>
        </w:r>
        <w:r w:rsidR="00A23604">
          <w:rPr>
            <w:webHidden/>
          </w:rPr>
          <w:fldChar w:fldCharType="separate"/>
        </w:r>
        <w:r>
          <w:rPr>
            <w:webHidden/>
          </w:rPr>
          <w:t>19</w:t>
        </w:r>
        <w:r w:rsidR="00A23604">
          <w:rPr>
            <w:webHidden/>
          </w:rPr>
          <w:fldChar w:fldCharType="end"/>
        </w:r>
      </w:hyperlink>
    </w:p>
    <w:p w:rsidR="00A23604" w:rsidRDefault="00ED766C">
      <w:pPr>
        <w:pStyle w:val="TOC3"/>
        <w:rPr>
          <w:rFonts w:asciiTheme="minorHAnsi" w:eastAsiaTheme="minorEastAsia" w:hAnsiTheme="minorHAnsi" w:cstheme="minorBidi"/>
          <w:sz w:val="22"/>
          <w:szCs w:val="22"/>
        </w:rPr>
      </w:pPr>
      <w:hyperlink w:anchor="_Toc395626677" w:history="1">
        <w:r w:rsidR="00A23604" w:rsidRPr="003C1D6F">
          <w:rPr>
            <w:rStyle w:val="Hyperlink"/>
            <w:rFonts w:ascii="Arial Bold" w:eastAsiaTheme="minorHAnsi" w:hAnsi="Arial Bold"/>
            <w:b/>
            <w:lang w:val="es-ES_tradnl"/>
          </w:rPr>
          <w:t>Evolución de los gastos de equipo y suministros, por año</w:t>
        </w:r>
        <w:r w:rsidR="00A23604">
          <w:rPr>
            <w:webHidden/>
          </w:rPr>
          <w:tab/>
        </w:r>
        <w:r w:rsidR="00A23604">
          <w:rPr>
            <w:webHidden/>
          </w:rPr>
          <w:fldChar w:fldCharType="begin"/>
        </w:r>
        <w:r w:rsidR="00A23604">
          <w:rPr>
            <w:webHidden/>
          </w:rPr>
          <w:instrText xml:space="preserve"> PAGEREF _Toc395626677 \h </w:instrText>
        </w:r>
        <w:r w:rsidR="00A23604">
          <w:rPr>
            <w:webHidden/>
          </w:rPr>
        </w:r>
        <w:r w:rsidR="00A23604">
          <w:rPr>
            <w:webHidden/>
          </w:rPr>
          <w:fldChar w:fldCharType="separate"/>
        </w:r>
        <w:r>
          <w:rPr>
            <w:webHidden/>
          </w:rPr>
          <w:t>19</w:t>
        </w:r>
        <w:r w:rsidR="00A23604">
          <w:rPr>
            <w:webHidden/>
          </w:rPr>
          <w:fldChar w:fldCharType="end"/>
        </w:r>
      </w:hyperlink>
    </w:p>
    <w:p w:rsidR="00A23604" w:rsidRDefault="00ED766C">
      <w:pPr>
        <w:pStyle w:val="TOC1"/>
        <w:rPr>
          <w:rFonts w:asciiTheme="minorHAnsi" w:eastAsiaTheme="minorEastAsia" w:hAnsiTheme="minorHAnsi" w:cstheme="minorBidi"/>
          <w:b w:val="0"/>
          <w:szCs w:val="22"/>
        </w:rPr>
      </w:pPr>
      <w:hyperlink w:anchor="_Toc395626678" w:history="1">
        <w:r w:rsidR="00A23604" w:rsidRPr="003C1D6F">
          <w:rPr>
            <w:rStyle w:val="Hyperlink"/>
            <w:lang w:val="es-ES_tradnl" w:eastAsia="da-DK"/>
          </w:rPr>
          <w:t>INGRESOS</w:t>
        </w:r>
        <w:r w:rsidR="00A23604">
          <w:rPr>
            <w:webHidden/>
          </w:rPr>
          <w:tab/>
        </w:r>
        <w:r w:rsidR="00A23604">
          <w:rPr>
            <w:webHidden/>
          </w:rPr>
          <w:fldChar w:fldCharType="begin"/>
        </w:r>
        <w:r w:rsidR="00A23604">
          <w:rPr>
            <w:webHidden/>
          </w:rPr>
          <w:instrText xml:space="preserve"> PAGEREF _Toc395626678 \h </w:instrText>
        </w:r>
        <w:r w:rsidR="00A23604">
          <w:rPr>
            <w:webHidden/>
          </w:rPr>
        </w:r>
        <w:r w:rsidR="00A23604">
          <w:rPr>
            <w:webHidden/>
          </w:rPr>
          <w:fldChar w:fldCharType="separate"/>
        </w:r>
        <w:r>
          <w:rPr>
            <w:webHidden/>
          </w:rPr>
          <w:t>20</w:t>
        </w:r>
        <w:r w:rsidR="00A23604">
          <w:rPr>
            <w:webHidden/>
          </w:rPr>
          <w:fldChar w:fldCharType="end"/>
        </w:r>
      </w:hyperlink>
    </w:p>
    <w:p w:rsidR="00A23604" w:rsidRDefault="00ED766C">
      <w:pPr>
        <w:pStyle w:val="TOC2"/>
        <w:rPr>
          <w:rFonts w:asciiTheme="minorHAnsi" w:eastAsiaTheme="minorEastAsia" w:hAnsiTheme="minorHAnsi" w:cstheme="minorBidi"/>
          <w:sz w:val="22"/>
          <w:szCs w:val="22"/>
          <w:lang w:val="en-US" w:eastAsia="en-US"/>
        </w:rPr>
      </w:pPr>
      <w:hyperlink w:anchor="_Toc395626679" w:history="1">
        <w:r w:rsidR="00A23604" w:rsidRPr="003C1D6F">
          <w:rPr>
            <w:rStyle w:val="Hyperlink"/>
            <w:rFonts w:ascii="Arial Bold" w:hAnsi="Arial Bold"/>
            <w:b/>
          </w:rPr>
          <w:t>Cuadro 6</w:t>
        </w:r>
        <w:r w:rsidR="00A23604">
          <w:rPr>
            <w:rFonts w:asciiTheme="minorHAnsi" w:eastAsiaTheme="minorEastAsia" w:hAnsiTheme="minorHAnsi" w:cstheme="minorBidi"/>
            <w:sz w:val="22"/>
            <w:szCs w:val="22"/>
            <w:lang w:val="en-US" w:eastAsia="en-US"/>
          </w:rPr>
          <w:tab/>
        </w:r>
        <w:r w:rsidR="00A23604" w:rsidRPr="003C1D6F">
          <w:rPr>
            <w:rStyle w:val="Hyperlink"/>
            <w:rFonts w:ascii="Arial Bold" w:hAnsi="Arial Bold"/>
            <w:b/>
          </w:rPr>
          <w:t>Ingresos en 2012/13</w:t>
        </w:r>
        <w:r w:rsidR="00A23604">
          <w:rPr>
            <w:webHidden/>
          </w:rPr>
          <w:tab/>
        </w:r>
        <w:r w:rsidR="00A23604">
          <w:rPr>
            <w:webHidden/>
          </w:rPr>
          <w:fldChar w:fldCharType="begin"/>
        </w:r>
        <w:r w:rsidR="00A23604">
          <w:rPr>
            <w:webHidden/>
          </w:rPr>
          <w:instrText xml:space="preserve"> PAGEREF _Toc395626679 \h </w:instrText>
        </w:r>
        <w:r w:rsidR="00A23604">
          <w:rPr>
            <w:webHidden/>
          </w:rPr>
        </w:r>
        <w:r w:rsidR="00A23604">
          <w:rPr>
            <w:webHidden/>
          </w:rPr>
          <w:fldChar w:fldCharType="separate"/>
        </w:r>
        <w:r>
          <w:rPr>
            <w:webHidden/>
          </w:rPr>
          <w:t>20</w:t>
        </w:r>
        <w:r w:rsidR="00A23604">
          <w:rPr>
            <w:webHidden/>
          </w:rPr>
          <w:fldChar w:fldCharType="end"/>
        </w:r>
      </w:hyperlink>
    </w:p>
    <w:p w:rsidR="00A23604" w:rsidRDefault="00ED766C">
      <w:pPr>
        <w:pStyle w:val="TOC1"/>
        <w:rPr>
          <w:rFonts w:asciiTheme="minorHAnsi" w:eastAsiaTheme="minorEastAsia" w:hAnsiTheme="minorHAnsi" w:cstheme="minorBidi"/>
          <w:b w:val="0"/>
          <w:szCs w:val="22"/>
        </w:rPr>
      </w:pPr>
      <w:hyperlink w:anchor="_Toc395626680" w:history="1">
        <w:r w:rsidR="00A23604" w:rsidRPr="003C1D6F">
          <w:rPr>
            <w:rStyle w:val="Hyperlink"/>
            <w:lang w:val="es-ES_tradnl" w:eastAsia="da-DK"/>
          </w:rPr>
          <w:t>INVERSIONES EN 2012/13</w:t>
        </w:r>
        <w:r w:rsidR="00A23604">
          <w:rPr>
            <w:webHidden/>
          </w:rPr>
          <w:tab/>
        </w:r>
        <w:r w:rsidR="00A23604">
          <w:rPr>
            <w:webHidden/>
          </w:rPr>
          <w:fldChar w:fldCharType="begin"/>
        </w:r>
        <w:r w:rsidR="00A23604">
          <w:rPr>
            <w:webHidden/>
          </w:rPr>
          <w:instrText xml:space="preserve"> PAGEREF _Toc395626680 \h </w:instrText>
        </w:r>
        <w:r w:rsidR="00A23604">
          <w:rPr>
            <w:webHidden/>
          </w:rPr>
        </w:r>
        <w:r w:rsidR="00A23604">
          <w:rPr>
            <w:webHidden/>
          </w:rPr>
          <w:fldChar w:fldCharType="separate"/>
        </w:r>
        <w:r>
          <w:rPr>
            <w:webHidden/>
          </w:rPr>
          <w:t>22</w:t>
        </w:r>
        <w:r w:rsidR="00A23604">
          <w:rPr>
            <w:webHidden/>
          </w:rPr>
          <w:fldChar w:fldCharType="end"/>
        </w:r>
      </w:hyperlink>
    </w:p>
    <w:p w:rsidR="00A23604" w:rsidRDefault="00ED766C">
      <w:pPr>
        <w:pStyle w:val="TOC2"/>
        <w:rPr>
          <w:rFonts w:asciiTheme="minorHAnsi" w:eastAsiaTheme="minorEastAsia" w:hAnsiTheme="minorHAnsi" w:cstheme="minorBidi"/>
          <w:sz w:val="22"/>
          <w:szCs w:val="22"/>
          <w:lang w:val="en-US" w:eastAsia="en-US"/>
        </w:rPr>
      </w:pPr>
      <w:hyperlink w:anchor="_Toc395626681" w:history="1">
        <w:r w:rsidR="00A23604" w:rsidRPr="003C1D6F">
          <w:rPr>
            <w:rStyle w:val="Hyperlink"/>
            <w:rFonts w:ascii="Arial Bold" w:hAnsi="Arial Bold"/>
            <w:b/>
          </w:rPr>
          <w:t>Riesgos financieros</w:t>
        </w:r>
        <w:r w:rsidR="00A23604">
          <w:rPr>
            <w:webHidden/>
          </w:rPr>
          <w:tab/>
        </w:r>
        <w:r w:rsidR="00A23604">
          <w:rPr>
            <w:webHidden/>
          </w:rPr>
          <w:fldChar w:fldCharType="begin"/>
        </w:r>
        <w:r w:rsidR="00A23604">
          <w:rPr>
            <w:webHidden/>
          </w:rPr>
          <w:instrText xml:space="preserve"> PAGEREF _Toc395626681 \h </w:instrText>
        </w:r>
        <w:r w:rsidR="00A23604">
          <w:rPr>
            <w:webHidden/>
          </w:rPr>
        </w:r>
        <w:r w:rsidR="00A23604">
          <w:rPr>
            <w:webHidden/>
          </w:rPr>
          <w:fldChar w:fldCharType="separate"/>
        </w:r>
        <w:r>
          <w:rPr>
            <w:webHidden/>
          </w:rPr>
          <w:t>22</w:t>
        </w:r>
        <w:r w:rsidR="00A23604">
          <w:rPr>
            <w:webHidden/>
          </w:rPr>
          <w:fldChar w:fldCharType="end"/>
        </w:r>
      </w:hyperlink>
    </w:p>
    <w:p w:rsidR="00A23604" w:rsidRDefault="00ED766C">
      <w:pPr>
        <w:pStyle w:val="TOC2"/>
        <w:rPr>
          <w:rFonts w:asciiTheme="minorHAnsi" w:eastAsiaTheme="minorEastAsia" w:hAnsiTheme="minorHAnsi" w:cstheme="minorBidi"/>
          <w:sz w:val="22"/>
          <w:szCs w:val="22"/>
          <w:lang w:val="en-US" w:eastAsia="en-US"/>
        </w:rPr>
      </w:pPr>
      <w:hyperlink w:anchor="_Toc395626682" w:history="1">
        <w:r w:rsidR="00A23604" w:rsidRPr="003C1D6F">
          <w:rPr>
            <w:rStyle w:val="Hyperlink"/>
            <w:rFonts w:ascii="Arial Bold" w:hAnsi="Arial Bold"/>
            <w:b/>
          </w:rPr>
          <w:t>Cuadro 7</w:t>
        </w:r>
        <w:r w:rsidR="00A23604">
          <w:rPr>
            <w:rFonts w:asciiTheme="minorHAnsi" w:eastAsiaTheme="minorEastAsia" w:hAnsiTheme="minorHAnsi" w:cstheme="minorBidi"/>
            <w:sz w:val="22"/>
            <w:szCs w:val="22"/>
            <w:lang w:val="en-US" w:eastAsia="en-US"/>
          </w:rPr>
          <w:tab/>
        </w:r>
        <w:r w:rsidR="00A23604" w:rsidRPr="003C1D6F">
          <w:rPr>
            <w:rStyle w:val="Hyperlink"/>
            <w:rFonts w:ascii="Arial Bold" w:hAnsi="Arial Bold"/>
            <w:b/>
          </w:rPr>
          <w:t>Inversiones en 2012 y 2013</w:t>
        </w:r>
        <w:r w:rsidR="00A23604">
          <w:rPr>
            <w:webHidden/>
          </w:rPr>
          <w:tab/>
        </w:r>
        <w:r w:rsidR="00A23604">
          <w:rPr>
            <w:webHidden/>
          </w:rPr>
          <w:fldChar w:fldCharType="begin"/>
        </w:r>
        <w:r w:rsidR="00A23604">
          <w:rPr>
            <w:webHidden/>
          </w:rPr>
          <w:instrText xml:space="preserve"> PAGEREF _Toc395626682 \h </w:instrText>
        </w:r>
        <w:r w:rsidR="00A23604">
          <w:rPr>
            <w:webHidden/>
          </w:rPr>
        </w:r>
        <w:r w:rsidR="00A23604">
          <w:rPr>
            <w:webHidden/>
          </w:rPr>
          <w:fldChar w:fldCharType="separate"/>
        </w:r>
        <w:r>
          <w:rPr>
            <w:webHidden/>
          </w:rPr>
          <w:t>24</w:t>
        </w:r>
        <w:r w:rsidR="00A23604">
          <w:rPr>
            <w:webHidden/>
          </w:rPr>
          <w:fldChar w:fldCharType="end"/>
        </w:r>
      </w:hyperlink>
    </w:p>
    <w:p w:rsidR="00A23604" w:rsidRDefault="00ED766C">
      <w:pPr>
        <w:pStyle w:val="TOC1"/>
        <w:rPr>
          <w:rFonts w:asciiTheme="minorHAnsi" w:eastAsiaTheme="minorEastAsia" w:hAnsiTheme="minorHAnsi" w:cstheme="minorBidi"/>
          <w:b w:val="0"/>
          <w:szCs w:val="22"/>
        </w:rPr>
      </w:pPr>
      <w:hyperlink w:anchor="_Toc395626683" w:history="1">
        <w:r w:rsidR="00A23604" w:rsidRPr="003C1D6F">
          <w:rPr>
            <w:rStyle w:val="Hyperlink"/>
            <w:lang w:val="es-ES_tradnl" w:eastAsia="da-DK"/>
          </w:rPr>
          <w:t>ESTADOS FINANCIEROS</w:t>
        </w:r>
        <w:r w:rsidR="00A23604">
          <w:rPr>
            <w:webHidden/>
          </w:rPr>
          <w:tab/>
        </w:r>
        <w:r w:rsidR="00A23604">
          <w:rPr>
            <w:webHidden/>
          </w:rPr>
          <w:fldChar w:fldCharType="begin"/>
        </w:r>
        <w:r w:rsidR="00A23604">
          <w:rPr>
            <w:webHidden/>
          </w:rPr>
          <w:instrText xml:space="preserve"> PAGEREF _Toc395626683 \h </w:instrText>
        </w:r>
        <w:r w:rsidR="00A23604">
          <w:rPr>
            <w:webHidden/>
          </w:rPr>
        </w:r>
        <w:r w:rsidR="00A23604">
          <w:rPr>
            <w:webHidden/>
          </w:rPr>
          <w:fldChar w:fldCharType="separate"/>
        </w:r>
        <w:r>
          <w:rPr>
            <w:webHidden/>
          </w:rPr>
          <w:t>25</w:t>
        </w:r>
        <w:r w:rsidR="00A23604">
          <w:rPr>
            <w:webHidden/>
          </w:rPr>
          <w:fldChar w:fldCharType="end"/>
        </w:r>
      </w:hyperlink>
    </w:p>
    <w:p w:rsidR="00A23604" w:rsidRDefault="00ED766C">
      <w:pPr>
        <w:pStyle w:val="TOC2"/>
        <w:rPr>
          <w:rFonts w:asciiTheme="minorHAnsi" w:eastAsiaTheme="minorEastAsia" w:hAnsiTheme="minorHAnsi" w:cstheme="minorBidi"/>
          <w:sz w:val="22"/>
          <w:szCs w:val="22"/>
          <w:lang w:val="en-US" w:eastAsia="en-US"/>
        </w:rPr>
      </w:pPr>
      <w:hyperlink w:anchor="_Toc395626684" w:history="1">
        <w:r w:rsidR="00A23604" w:rsidRPr="003C1D6F">
          <w:rPr>
            <w:rStyle w:val="Hyperlink"/>
            <w:b/>
          </w:rPr>
          <w:t>Estado de la situación financiera</w:t>
        </w:r>
        <w:r w:rsidR="00A23604">
          <w:rPr>
            <w:webHidden/>
          </w:rPr>
          <w:tab/>
        </w:r>
        <w:r w:rsidR="00A23604">
          <w:rPr>
            <w:webHidden/>
          </w:rPr>
          <w:fldChar w:fldCharType="begin"/>
        </w:r>
        <w:r w:rsidR="00A23604">
          <w:rPr>
            <w:webHidden/>
          </w:rPr>
          <w:instrText xml:space="preserve"> PAGEREF _Toc395626684 \h </w:instrText>
        </w:r>
        <w:r w:rsidR="00A23604">
          <w:rPr>
            <w:webHidden/>
          </w:rPr>
        </w:r>
        <w:r w:rsidR="00A23604">
          <w:rPr>
            <w:webHidden/>
          </w:rPr>
          <w:fldChar w:fldCharType="separate"/>
        </w:r>
        <w:r>
          <w:rPr>
            <w:webHidden/>
          </w:rPr>
          <w:t>28</w:t>
        </w:r>
        <w:r w:rsidR="00A23604">
          <w:rPr>
            <w:webHidden/>
          </w:rPr>
          <w:fldChar w:fldCharType="end"/>
        </w:r>
      </w:hyperlink>
    </w:p>
    <w:p w:rsidR="00A23604" w:rsidRDefault="00ED766C">
      <w:pPr>
        <w:pStyle w:val="TOC2"/>
        <w:rPr>
          <w:rFonts w:asciiTheme="minorHAnsi" w:eastAsiaTheme="minorEastAsia" w:hAnsiTheme="minorHAnsi" w:cstheme="minorBidi"/>
          <w:sz w:val="22"/>
          <w:szCs w:val="22"/>
          <w:lang w:val="en-US" w:eastAsia="en-US"/>
        </w:rPr>
      </w:pPr>
      <w:hyperlink w:anchor="_Toc395626685" w:history="1">
        <w:r w:rsidR="00A23604" w:rsidRPr="003C1D6F">
          <w:rPr>
            <w:rStyle w:val="Hyperlink"/>
            <w:b/>
          </w:rPr>
          <w:t>Estado de rendimiento financiero</w:t>
        </w:r>
        <w:r w:rsidR="00A23604">
          <w:rPr>
            <w:webHidden/>
          </w:rPr>
          <w:tab/>
        </w:r>
        <w:r w:rsidR="00A23604">
          <w:rPr>
            <w:webHidden/>
          </w:rPr>
          <w:fldChar w:fldCharType="begin"/>
        </w:r>
        <w:r w:rsidR="00A23604">
          <w:rPr>
            <w:webHidden/>
          </w:rPr>
          <w:instrText xml:space="preserve"> PAGEREF _Toc395626685 \h </w:instrText>
        </w:r>
        <w:r w:rsidR="00A23604">
          <w:rPr>
            <w:webHidden/>
          </w:rPr>
        </w:r>
        <w:r w:rsidR="00A23604">
          <w:rPr>
            <w:webHidden/>
          </w:rPr>
          <w:fldChar w:fldCharType="separate"/>
        </w:r>
        <w:r>
          <w:rPr>
            <w:webHidden/>
          </w:rPr>
          <w:t>29</w:t>
        </w:r>
        <w:r w:rsidR="00A23604">
          <w:rPr>
            <w:webHidden/>
          </w:rPr>
          <w:fldChar w:fldCharType="end"/>
        </w:r>
      </w:hyperlink>
    </w:p>
    <w:p w:rsidR="00A23604" w:rsidRDefault="00ED766C">
      <w:pPr>
        <w:pStyle w:val="TOC2"/>
        <w:rPr>
          <w:rFonts w:asciiTheme="minorHAnsi" w:eastAsiaTheme="minorEastAsia" w:hAnsiTheme="minorHAnsi" w:cstheme="minorBidi"/>
          <w:sz w:val="22"/>
          <w:szCs w:val="22"/>
          <w:lang w:val="en-US" w:eastAsia="en-US"/>
        </w:rPr>
      </w:pPr>
      <w:hyperlink w:anchor="_Toc395626686" w:history="1">
        <w:r w:rsidR="00A23604" w:rsidRPr="003C1D6F">
          <w:rPr>
            <w:rStyle w:val="Hyperlink"/>
            <w:b/>
          </w:rPr>
          <w:t>Estado de cambios en los activos netos</w:t>
        </w:r>
        <w:r w:rsidR="00A23604">
          <w:rPr>
            <w:webHidden/>
          </w:rPr>
          <w:tab/>
        </w:r>
        <w:r w:rsidR="00A23604">
          <w:rPr>
            <w:webHidden/>
          </w:rPr>
          <w:fldChar w:fldCharType="begin"/>
        </w:r>
        <w:r w:rsidR="00A23604">
          <w:rPr>
            <w:webHidden/>
          </w:rPr>
          <w:instrText xml:space="preserve"> PAGEREF _Toc395626686 \h </w:instrText>
        </w:r>
        <w:r w:rsidR="00A23604">
          <w:rPr>
            <w:webHidden/>
          </w:rPr>
        </w:r>
        <w:r w:rsidR="00A23604">
          <w:rPr>
            <w:webHidden/>
          </w:rPr>
          <w:fldChar w:fldCharType="separate"/>
        </w:r>
        <w:r>
          <w:rPr>
            <w:webHidden/>
          </w:rPr>
          <w:t>30</w:t>
        </w:r>
        <w:r w:rsidR="00A23604">
          <w:rPr>
            <w:webHidden/>
          </w:rPr>
          <w:fldChar w:fldCharType="end"/>
        </w:r>
      </w:hyperlink>
    </w:p>
    <w:p w:rsidR="00A23604" w:rsidRDefault="00ED766C">
      <w:pPr>
        <w:pStyle w:val="TOC2"/>
        <w:rPr>
          <w:rFonts w:asciiTheme="minorHAnsi" w:eastAsiaTheme="minorEastAsia" w:hAnsiTheme="minorHAnsi" w:cstheme="minorBidi"/>
          <w:sz w:val="22"/>
          <w:szCs w:val="22"/>
          <w:lang w:val="en-US" w:eastAsia="en-US"/>
        </w:rPr>
      </w:pPr>
      <w:hyperlink w:anchor="_Toc395626687" w:history="1">
        <w:r w:rsidR="00A23604" w:rsidRPr="003C1D6F">
          <w:rPr>
            <w:rStyle w:val="Hyperlink"/>
            <w:b/>
          </w:rPr>
          <w:t>Estado de flujos de efectivo</w:t>
        </w:r>
        <w:r w:rsidR="00A23604">
          <w:rPr>
            <w:webHidden/>
          </w:rPr>
          <w:tab/>
        </w:r>
        <w:r w:rsidR="00A23604">
          <w:rPr>
            <w:webHidden/>
          </w:rPr>
          <w:fldChar w:fldCharType="begin"/>
        </w:r>
        <w:r w:rsidR="00A23604">
          <w:rPr>
            <w:webHidden/>
          </w:rPr>
          <w:instrText xml:space="preserve"> PAGEREF _Toc395626687 \h </w:instrText>
        </w:r>
        <w:r w:rsidR="00A23604">
          <w:rPr>
            <w:webHidden/>
          </w:rPr>
        </w:r>
        <w:r w:rsidR="00A23604">
          <w:rPr>
            <w:webHidden/>
          </w:rPr>
          <w:fldChar w:fldCharType="separate"/>
        </w:r>
        <w:r>
          <w:rPr>
            <w:webHidden/>
          </w:rPr>
          <w:t>31</w:t>
        </w:r>
        <w:r w:rsidR="00A23604">
          <w:rPr>
            <w:webHidden/>
          </w:rPr>
          <w:fldChar w:fldCharType="end"/>
        </w:r>
      </w:hyperlink>
    </w:p>
    <w:p w:rsidR="00A23604" w:rsidRDefault="00ED766C">
      <w:pPr>
        <w:pStyle w:val="TOC2"/>
        <w:rPr>
          <w:rFonts w:asciiTheme="minorHAnsi" w:eastAsiaTheme="minorEastAsia" w:hAnsiTheme="minorHAnsi" w:cstheme="minorBidi"/>
          <w:sz w:val="22"/>
          <w:szCs w:val="22"/>
          <w:lang w:val="en-US" w:eastAsia="en-US"/>
        </w:rPr>
      </w:pPr>
      <w:hyperlink w:anchor="_Toc395626688" w:history="1">
        <w:r w:rsidR="00A23604" w:rsidRPr="003C1D6F">
          <w:rPr>
            <w:rStyle w:val="Hyperlink"/>
            <w:b/>
          </w:rPr>
          <w:t>Estado comparativo de importes presupuestados y reales – Ingresos</w:t>
        </w:r>
        <w:r w:rsidR="00A23604">
          <w:rPr>
            <w:webHidden/>
          </w:rPr>
          <w:tab/>
        </w:r>
        <w:r w:rsidR="00A23604">
          <w:rPr>
            <w:webHidden/>
          </w:rPr>
          <w:fldChar w:fldCharType="begin"/>
        </w:r>
        <w:r w:rsidR="00A23604">
          <w:rPr>
            <w:webHidden/>
          </w:rPr>
          <w:instrText xml:space="preserve"> PAGEREF _Toc395626688 \h </w:instrText>
        </w:r>
        <w:r w:rsidR="00A23604">
          <w:rPr>
            <w:webHidden/>
          </w:rPr>
        </w:r>
        <w:r w:rsidR="00A23604">
          <w:rPr>
            <w:webHidden/>
          </w:rPr>
          <w:fldChar w:fldCharType="separate"/>
        </w:r>
        <w:r>
          <w:rPr>
            <w:webHidden/>
          </w:rPr>
          <w:t>32</w:t>
        </w:r>
        <w:r w:rsidR="00A23604">
          <w:rPr>
            <w:webHidden/>
          </w:rPr>
          <w:fldChar w:fldCharType="end"/>
        </w:r>
      </w:hyperlink>
    </w:p>
    <w:p w:rsidR="00A23604" w:rsidRDefault="00ED766C">
      <w:pPr>
        <w:pStyle w:val="TOC2"/>
        <w:rPr>
          <w:rFonts w:asciiTheme="minorHAnsi" w:eastAsiaTheme="minorEastAsia" w:hAnsiTheme="minorHAnsi" w:cstheme="minorBidi"/>
          <w:sz w:val="22"/>
          <w:szCs w:val="22"/>
          <w:lang w:val="en-US" w:eastAsia="en-US"/>
        </w:rPr>
      </w:pPr>
      <w:hyperlink w:anchor="_Toc395626689" w:history="1">
        <w:r w:rsidR="00A23604" w:rsidRPr="003C1D6F">
          <w:rPr>
            <w:rStyle w:val="Hyperlink"/>
            <w:b/>
          </w:rPr>
          <w:t>Estado comparativo de importes presupuestados y reales – Gastos</w:t>
        </w:r>
        <w:r w:rsidR="00A23604">
          <w:rPr>
            <w:webHidden/>
          </w:rPr>
          <w:tab/>
        </w:r>
        <w:r w:rsidR="00A23604">
          <w:rPr>
            <w:webHidden/>
          </w:rPr>
          <w:fldChar w:fldCharType="begin"/>
        </w:r>
        <w:r w:rsidR="00A23604">
          <w:rPr>
            <w:webHidden/>
          </w:rPr>
          <w:instrText xml:space="preserve"> PAGEREF _Toc395626689 \h </w:instrText>
        </w:r>
        <w:r w:rsidR="00A23604">
          <w:rPr>
            <w:webHidden/>
          </w:rPr>
        </w:r>
        <w:r w:rsidR="00A23604">
          <w:rPr>
            <w:webHidden/>
          </w:rPr>
          <w:fldChar w:fldCharType="separate"/>
        </w:r>
        <w:r>
          <w:rPr>
            <w:webHidden/>
          </w:rPr>
          <w:t>33</w:t>
        </w:r>
        <w:r w:rsidR="00A23604">
          <w:rPr>
            <w:webHidden/>
          </w:rPr>
          <w:fldChar w:fldCharType="end"/>
        </w:r>
      </w:hyperlink>
    </w:p>
    <w:p w:rsidR="00A23604" w:rsidRDefault="00ED766C">
      <w:pPr>
        <w:pStyle w:val="TOC2"/>
        <w:rPr>
          <w:rFonts w:asciiTheme="minorHAnsi" w:eastAsiaTheme="minorEastAsia" w:hAnsiTheme="minorHAnsi" w:cstheme="minorBidi"/>
          <w:sz w:val="22"/>
          <w:szCs w:val="22"/>
          <w:lang w:val="en-US" w:eastAsia="en-US"/>
        </w:rPr>
      </w:pPr>
      <w:hyperlink w:anchor="_Toc395626690" w:history="1">
        <w:r w:rsidR="00A23604" w:rsidRPr="003C1D6F">
          <w:rPr>
            <w:rStyle w:val="Hyperlink"/>
            <w:b/>
          </w:rPr>
          <w:t>Análisis del estado de la situación financiera</w:t>
        </w:r>
        <w:r w:rsidR="00A23604">
          <w:rPr>
            <w:webHidden/>
          </w:rPr>
          <w:tab/>
        </w:r>
        <w:r w:rsidR="00A23604">
          <w:rPr>
            <w:webHidden/>
          </w:rPr>
          <w:fldChar w:fldCharType="begin"/>
        </w:r>
        <w:r w:rsidR="00A23604">
          <w:rPr>
            <w:webHidden/>
          </w:rPr>
          <w:instrText xml:space="preserve"> PAGEREF _Toc395626690 \h </w:instrText>
        </w:r>
        <w:r w:rsidR="00A23604">
          <w:rPr>
            <w:webHidden/>
          </w:rPr>
        </w:r>
        <w:r w:rsidR="00A23604">
          <w:rPr>
            <w:webHidden/>
          </w:rPr>
          <w:fldChar w:fldCharType="separate"/>
        </w:r>
        <w:r>
          <w:rPr>
            <w:webHidden/>
          </w:rPr>
          <w:t>34</w:t>
        </w:r>
        <w:r w:rsidR="00A23604">
          <w:rPr>
            <w:webHidden/>
          </w:rPr>
          <w:fldChar w:fldCharType="end"/>
        </w:r>
      </w:hyperlink>
    </w:p>
    <w:p w:rsidR="00A23604" w:rsidRDefault="00ED766C">
      <w:pPr>
        <w:pStyle w:val="TOC2"/>
        <w:rPr>
          <w:rFonts w:asciiTheme="minorHAnsi" w:eastAsiaTheme="minorEastAsia" w:hAnsiTheme="minorHAnsi" w:cstheme="minorBidi"/>
          <w:sz w:val="22"/>
          <w:szCs w:val="22"/>
          <w:lang w:val="en-US" w:eastAsia="en-US"/>
        </w:rPr>
      </w:pPr>
      <w:hyperlink w:anchor="_Toc395626691" w:history="1">
        <w:r w:rsidR="00A23604" w:rsidRPr="003C1D6F">
          <w:rPr>
            <w:rStyle w:val="Hyperlink"/>
            <w:b/>
          </w:rPr>
          <w:t>Análisis del estado de rendimiento financiero</w:t>
        </w:r>
        <w:r w:rsidR="00A23604">
          <w:rPr>
            <w:webHidden/>
          </w:rPr>
          <w:tab/>
        </w:r>
        <w:r w:rsidR="00A23604">
          <w:rPr>
            <w:webHidden/>
          </w:rPr>
          <w:fldChar w:fldCharType="begin"/>
        </w:r>
        <w:r w:rsidR="00A23604">
          <w:rPr>
            <w:webHidden/>
          </w:rPr>
          <w:instrText xml:space="preserve"> PAGEREF _Toc395626691 \h </w:instrText>
        </w:r>
        <w:r w:rsidR="00A23604">
          <w:rPr>
            <w:webHidden/>
          </w:rPr>
        </w:r>
        <w:r w:rsidR="00A23604">
          <w:rPr>
            <w:webHidden/>
          </w:rPr>
          <w:fldChar w:fldCharType="separate"/>
        </w:r>
        <w:r>
          <w:rPr>
            <w:webHidden/>
          </w:rPr>
          <w:t>42</w:t>
        </w:r>
        <w:r w:rsidR="00A23604">
          <w:rPr>
            <w:webHidden/>
          </w:rPr>
          <w:fldChar w:fldCharType="end"/>
        </w:r>
      </w:hyperlink>
    </w:p>
    <w:p w:rsidR="00A23604" w:rsidRDefault="00ED766C">
      <w:pPr>
        <w:pStyle w:val="TOC2"/>
        <w:rPr>
          <w:rFonts w:asciiTheme="minorHAnsi" w:eastAsiaTheme="minorEastAsia" w:hAnsiTheme="minorHAnsi" w:cstheme="minorBidi"/>
          <w:sz w:val="22"/>
          <w:szCs w:val="22"/>
          <w:lang w:val="en-US" w:eastAsia="en-US"/>
        </w:rPr>
      </w:pPr>
      <w:hyperlink w:anchor="_Toc395626692" w:history="1">
        <w:r w:rsidR="00A23604" w:rsidRPr="003C1D6F">
          <w:rPr>
            <w:rStyle w:val="Hyperlink"/>
            <w:b/>
          </w:rPr>
          <w:t>Estado de la situación financiera por fuente de financiación</w:t>
        </w:r>
        <w:r w:rsidR="00A23604">
          <w:rPr>
            <w:webHidden/>
          </w:rPr>
          <w:tab/>
        </w:r>
        <w:r w:rsidR="00A23604">
          <w:rPr>
            <w:webHidden/>
          </w:rPr>
          <w:fldChar w:fldCharType="begin"/>
        </w:r>
        <w:r w:rsidR="00A23604">
          <w:rPr>
            <w:webHidden/>
          </w:rPr>
          <w:instrText xml:space="preserve"> PAGEREF _Toc395626692 \h </w:instrText>
        </w:r>
        <w:r w:rsidR="00A23604">
          <w:rPr>
            <w:webHidden/>
          </w:rPr>
        </w:r>
        <w:r w:rsidR="00A23604">
          <w:rPr>
            <w:webHidden/>
          </w:rPr>
          <w:fldChar w:fldCharType="separate"/>
        </w:r>
        <w:r>
          <w:rPr>
            <w:webHidden/>
          </w:rPr>
          <w:t>48</w:t>
        </w:r>
        <w:r w:rsidR="00A23604">
          <w:rPr>
            <w:webHidden/>
          </w:rPr>
          <w:fldChar w:fldCharType="end"/>
        </w:r>
      </w:hyperlink>
    </w:p>
    <w:p w:rsidR="00A23604" w:rsidRDefault="00ED766C">
      <w:pPr>
        <w:pStyle w:val="TOC2"/>
        <w:rPr>
          <w:rFonts w:asciiTheme="minorHAnsi" w:eastAsiaTheme="minorEastAsia" w:hAnsiTheme="minorHAnsi" w:cstheme="minorBidi"/>
          <w:sz w:val="22"/>
          <w:szCs w:val="22"/>
          <w:lang w:val="en-US" w:eastAsia="en-US"/>
        </w:rPr>
      </w:pPr>
      <w:hyperlink w:anchor="_Toc395626693" w:history="1">
        <w:r w:rsidR="00A23604" w:rsidRPr="003C1D6F">
          <w:rPr>
            <w:rStyle w:val="Hyperlink"/>
            <w:b/>
          </w:rPr>
          <w:t>Estado de rendimiento financiero por fuente de financiación</w:t>
        </w:r>
        <w:r w:rsidR="00A23604">
          <w:rPr>
            <w:webHidden/>
          </w:rPr>
          <w:tab/>
        </w:r>
        <w:r w:rsidR="00A23604">
          <w:rPr>
            <w:webHidden/>
          </w:rPr>
          <w:fldChar w:fldCharType="begin"/>
        </w:r>
        <w:r w:rsidR="00A23604">
          <w:rPr>
            <w:webHidden/>
          </w:rPr>
          <w:instrText xml:space="preserve"> PAGEREF _Toc395626693 \h </w:instrText>
        </w:r>
        <w:r w:rsidR="00A23604">
          <w:rPr>
            <w:webHidden/>
          </w:rPr>
        </w:r>
        <w:r w:rsidR="00A23604">
          <w:rPr>
            <w:webHidden/>
          </w:rPr>
          <w:fldChar w:fldCharType="separate"/>
        </w:r>
        <w:r>
          <w:rPr>
            <w:webHidden/>
          </w:rPr>
          <w:t>49</w:t>
        </w:r>
        <w:r w:rsidR="00A23604">
          <w:rPr>
            <w:webHidden/>
          </w:rPr>
          <w:fldChar w:fldCharType="end"/>
        </w:r>
      </w:hyperlink>
    </w:p>
    <w:p w:rsidR="00A23604" w:rsidRDefault="00ED766C">
      <w:pPr>
        <w:pStyle w:val="TOC1"/>
        <w:rPr>
          <w:rFonts w:asciiTheme="minorHAnsi" w:eastAsiaTheme="minorEastAsia" w:hAnsiTheme="minorHAnsi" w:cstheme="minorBidi"/>
          <w:b w:val="0"/>
          <w:szCs w:val="22"/>
        </w:rPr>
      </w:pPr>
      <w:hyperlink w:anchor="_Toc395626694" w:history="1">
        <w:r w:rsidR="00A23604" w:rsidRPr="003C1D6F">
          <w:rPr>
            <w:rStyle w:val="Hyperlink"/>
            <w:lang w:val="es-ES_tradnl" w:eastAsia="da-DK"/>
          </w:rPr>
          <w:t>CONTRIBUCIONES Y FONDOS DE OPERACIONES</w:t>
        </w:r>
        <w:r w:rsidR="00A23604">
          <w:rPr>
            <w:webHidden/>
          </w:rPr>
          <w:tab/>
        </w:r>
        <w:r w:rsidR="00A23604">
          <w:rPr>
            <w:webHidden/>
          </w:rPr>
          <w:fldChar w:fldCharType="begin"/>
        </w:r>
        <w:r w:rsidR="00A23604">
          <w:rPr>
            <w:webHidden/>
          </w:rPr>
          <w:instrText xml:space="preserve"> PAGEREF _Toc395626694 \h </w:instrText>
        </w:r>
        <w:r w:rsidR="00A23604">
          <w:rPr>
            <w:webHidden/>
          </w:rPr>
        </w:r>
        <w:r w:rsidR="00A23604">
          <w:rPr>
            <w:webHidden/>
          </w:rPr>
          <w:fldChar w:fldCharType="separate"/>
        </w:r>
        <w:r>
          <w:rPr>
            <w:webHidden/>
          </w:rPr>
          <w:t>50</w:t>
        </w:r>
        <w:r w:rsidR="00A23604">
          <w:rPr>
            <w:webHidden/>
          </w:rPr>
          <w:fldChar w:fldCharType="end"/>
        </w:r>
      </w:hyperlink>
    </w:p>
    <w:p w:rsidR="00A23604" w:rsidRDefault="00ED766C">
      <w:pPr>
        <w:pStyle w:val="TOC2"/>
        <w:tabs>
          <w:tab w:val="left" w:pos="2059"/>
        </w:tabs>
        <w:rPr>
          <w:rFonts w:asciiTheme="minorHAnsi" w:eastAsiaTheme="minorEastAsia" w:hAnsiTheme="minorHAnsi" w:cstheme="minorBidi"/>
          <w:sz w:val="22"/>
          <w:szCs w:val="22"/>
          <w:lang w:val="en-US" w:eastAsia="en-US"/>
        </w:rPr>
      </w:pPr>
      <w:hyperlink w:anchor="_Toc395626695" w:history="1">
        <w:r w:rsidR="00A23604" w:rsidRPr="003C1D6F">
          <w:rPr>
            <w:rStyle w:val="Hyperlink"/>
            <w:rFonts w:ascii="Arial Bold" w:hAnsi="Arial Bold"/>
            <w:b/>
          </w:rPr>
          <w:t>Cuadros 8 y 8</w:t>
        </w:r>
        <w:r w:rsidR="00A23604" w:rsidRPr="003C1D6F">
          <w:rPr>
            <w:rStyle w:val="Hyperlink"/>
            <w:rFonts w:ascii="Arial Bold" w:hAnsi="Arial Bold"/>
            <w:b/>
            <w:i/>
          </w:rPr>
          <w:t>bis</w:t>
        </w:r>
        <w:r w:rsidR="00A23604">
          <w:rPr>
            <w:rFonts w:asciiTheme="minorHAnsi" w:eastAsiaTheme="minorEastAsia" w:hAnsiTheme="minorHAnsi" w:cstheme="minorBidi"/>
            <w:sz w:val="22"/>
            <w:szCs w:val="22"/>
            <w:lang w:val="en-US" w:eastAsia="en-US"/>
          </w:rPr>
          <w:tab/>
        </w:r>
        <w:r w:rsidR="00A23604" w:rsidRPr="003C1D6F">
          <w:rPr>
            <w:rStyle w:val="Hyperlink"/>
            <w:rFonts w:ascii="Arial Bold" w:hAnsi="Arial Bold"/>
            <w:b/>
          </w:rPr>
          <w:t>Contribuciones con arreglo al sistema de contribución única</w:t>
        </w:r>
        <w:r w:rsidR="00A23604">
          <w:rPr>
            <w:webHidden/>
          </w:rPr>
          <w:tab/>
        </w:r>
        <w:r w:rsidR="00A23604">
          <w:rPr>
            <w:webHidden/>
          </w:rPr>
          <w:fldChar w:fldCharType="begin"/>
        </w:r>
        <w:r w:rsidR="00A23604">
          <w:rPr>
            <w:webHidden/>
          </w:rPr>
          <w:instrText xml:space="preserve"> PAGEREF _Toc395626695 \h </w:instrText>
        </w:r>
        <w:r w:rsidR="00A23604">
          <w:rPr>
            <w:webHidden/>
          </w:rPr>
        </w:r>
        <w:r w:rsidR="00A23604">
          <w:rPr>
            <w:webHidden/>
          </w:rPr>
          <w:fldChar w:fldCharType="separate"/>
        </w:r>
        <w:r>
          <w:rPr>
            <w:webHidden/>
          </w:rPr>
          <w:t>50</w:t>
        </w:r>
        <w:r w:rsidR="00A23604">
          <w:rPr>
            <w:webHidden/>
          </w:rPr>
          <w:fldChar w:fldCharType="end"/>
        </w:r>
      </w:hyperlink>
    </w:p>
    <w:p w:rsidR="00A23604" w:rsidRDefault="00ED766C">
      <w:pPr>
        <w:pStyle w:val="TOC2"/>
        <w:rPr>
          <w:rFonts w:asciiTheme="minorHAnsi" w:eastAsiaTheme="minorEastAsia" w:hAnsiTheme="minorHAnsi" w:cstheme="minorBidi"/>
          <w:sz w:val="22"/>
          <w:szCs w:val="22"/>
          <w:lang w:val="en-US" w:eastAsia="en-US"/>
        </w:rPr>
      </w:pPr>
      <w:hyperlink w:anchor="_Toc395626696" w:history="1">
        <w:r w:rsidR="00A23604" w:rsidRPr="003C1D6F">
          <w:rPr>
            <w:rStyle w:val="Hyperlink"/>
            <w:rFonts w:ascii="Arial Bold" w:eastAsia="Times New Roman" w:hAnsi="Arial Bold"/>
            <w:b/>
          </w:rPr>
          <w:t>Cuadro 9</w:t>
        </w:r>
        <w:r w:rsidR="00A23604">
          <w:rPr>
            <w:rFonts w:asciiTheme="minorHAnsi" w:eastAsiaTheme="minorEastAsia" w:hAnsiTheme="minorHAnsi" w:cstheme="minorBidi"/>
            <w:sz w:val="22"/>
            <w:szCs w:val="22"/>
            <w:lang w:val="en-US" w:eastAsia="en-US"/>
          </w:rPr>
          <w:tab/>
        </w:r>
        <w:r w:rsidR="00A23604" w:rsidRPr="003C1D6F">
          <w:rPr>
            <w:rStyle w:val="Hyperlink"/>
            <w:rFonts w:ascii="Arial Bold" w:eastAsia="Times New Roman" w:hAnsi="Arial Bold"/>
            <w:b/>
          </w:rPr>
          <w:t>Contribuciones pendientes de pago al 31 de diciembre de 2013 y atrasos de contribuciones de países menos adelantados (PMA) poseedores de una cuenta especial (bloqueada)</w:t>
        </w:r>
        <w:r w:rsidR="00A23604">
          <w:rPr>
            <w:webHidden/>
          </w:rPr>
          <w:tab/>
        </w:r>
        <w:r w:rsidR="00A23604">
          <w:rPr>
            <w:webHidden/>
          </w:rPr>
          <w:fldChar w:fldCharType="begin"/>
        </w:r>
        <w:r w:rsidR="00A23604">
          <w:rPr>
            <w:webHidden/>
          </w:rPr>
          <w:instrText xml:space="preserve"> PAGEREF _Toc395626696 \h </w:instrText>
        </w:r>
        <w:r w:rsidR="00A23604">
          <w:rPr>
            <w:webHidden/>
          </w:rPr>
        </w:r>
        <w:r w:rsidR="00A23604">
          <w:rPr>
            <w:webHidden/>
          </w:rPr>
          <w:fldChar w:fldCharType="separate"/>
        </w:r>
        <w:r>
          <w:rPr>
            <w:webHidden/>
          </w:rPr>
          <w:t>53</w:t>
        </w:r>
        <w:r w:rsidR="00A23604">
          <w:rPr>
            <w:webHidden/>
          </w:rPr>
          <w:fldChar w:fldCharType="end"/>
        </w:r>
      </w:hyperlink>
    </w:p>
    <w:p w:rsidR="00A23604" w:rsidRDefault="00ED766C">
      <w:pPr>
        <w:pStyle w:val="TOC2"/>
        <w:rPr>
          <w:rFonts w:asciiTheme="minorHAnsi" w:eastAsiaTheme="minorEastAsia" w:hAnsiTheme="minorHAnsi" w:cstheme="minorBidi"/>
          <w:sz w:val="22"/>
          <w:szCs w:val="22"/>
          <w:lang w:val="en-US" w:eastAsia="en-US"/>
        </w:rPr>
      </w:pPr>
      <w:hyperlink w:anchor="_Toc395626697" w:history="1">
        <w:r w:rsidR="00A23604" w:rsidRPr="003C1D6F">
          <w:rPr>
            <w:rStyle w:val="Hyperlink"/>
            <w:rFonts w:eastAsia="Times New Roman"/>
            <w:b/>
          </w:rPr>
          <w:t>Cuadro 10</w:t>
        </w:r>
        <w:r w:rsidR="00A23604">
          <w:rPr>
            <w:rFonts w:asciiTheme="minorHAnsi" w:eastAsiaTheme="minorEastAsia" w:hAnsiTheme="minorHAnsi" w:cstheme="minorBidi"/>
            <w:sz w:val="22"/>
            <w:szCs w:val="22"/>
            <w:lang w:val="en-US" w:eastAsia="en-US"/>
          </w:rPr>
          <w:tab/>
        </w:r>
        <w:r w:rsidR="00A23604" w:rsidRPr="003C1D6F">
          <w:rPr>
            <w:rStyle w:val="Hyperlink"/>
            <w:rFonts w:eastAsia="Times New Roman"/>
            <w:b/>
          </w:rPr>
          <w:t>Contribuciones percibidas por anticipado</w:t>
        </w:r>
        <w:r w:rsidR="00A23604">
          <w:rPr>
            <w:webHidden/>
          </w:rPr>
          <w:tab/>
        </w:r>
        <w:r w:rsidR="00A23604">
          <w:rPr>
            <w:webHidden/>
          </w:rPr>
          <w:fldChar w:fldCharType="begin"/>
        </w:r>
        <w:r w:rsidR="00A23604">
          <w:rPr>
            <w:webHidden/>
          </w:rPr>
          <w:instrText xml:space="preserve"> PAGEREF _Toc395626697 \h </w:instrText>
        </w:r>
        <w:r w:rsidR="00A23604">
          <w:rPr>
            <w:webHidden/>
          </w:rPr>
        </w:r>
        <w:r w:rsidR="00A23604">
          <w:rPr>
            <w:webHidden/>
          </w:rPr>
          <w:fldChar w:fldCharType="separate"/>
        </w:r>
        <w:r>
          <w:rPr>
            <w:webHidden/>
          </w:rPr>
          <w:t>59</w:t>
        </w:r>
        <w:r w:rsidR="00A23604">
          <w:rPr>
            <w:webHidden/>
          </w:rPr>
          <w:fldChar w:fldCharType="end"/>
        </w:r>
      </w:hyperlink>
    </w:p>
    <w:p w:rsidR="00A23604" w:rsidRDefault="00ED766C">
      <w:pPr>
        <w:pStyle w:val="TOC2"/>
        <w:rPr>
          <w:rFonts w:asciiTheme="minorHAnsi" w:eastAsiaTheme="minorEastAsia" w:hAnsiTheme="minorHAnsi" w:cstheme="minorBidi"/>
          <w:sz w:val="22"/>
          <w:szCs w:val="22"/>
          <w:lang w:val="en-US" w:eastAsia="en-US"/>
        </w:rPr>
      </w:pPr>
      <w:hyperlink w:anchor="_Toc395626698" w:history="1">
        <w:r w:rsidR="00A23604" w:rsidRPr="003C1D6F">
          <w:rPr>
            <w:rStyle w:val="Hyperlink"/>
            <w:rFonts w:eastAsia="Times New Roman"/>
            <w:b/>
          </w:rPr>
          <w:t>Cuadro 11</w:t>
        </w:r>
        <w:r w:rsidR="00A23604">
          <w:rPr>
            <w:rFonts w:asciiTheme="minorHAnsi" w:eastAsiaTheme="minorEastAsia" w:hAnsiTheme="minorHAnsi" w:cstheme="minorBidi"/>
            <w:sz w:val="22"/>
            <w:szCs w:val="22"/>
            <w:lang w:val="en-US" w:eastAsia="en-US"/>
          </w:rPr>
          <w:tab/>
        </w:r>
        <w:r w:rsidR="00A23604" w:rsidRPr="003C1D6F">
          <w:rPr>
            <w:rStyle w:val="Hyperlink"/>
            <w:rFonts w:eastAsia="Times New Roman"/>
            <w:b/>
          </w:rPr>
          <w:t>Fondos de operaciones al 31 de diciembre de 2013</w:t>
        </w:r>
        <w:r w:rsidR="00A23604">
          <w:rPr>
            <w:webHidden/>
          </w:rPr>
          <w:tab/>
        </w:r>
        <w:r w:rsidR="00A23604">
          <w:rPr>
            <w:webHidden/>
          </w:rPr>
          <w:fldChar w:fldCharType="begin"/>
        </w:r>
        <w:r w:rsidR="00A23604">
          <w:rPr>
            <w:webHidden/>
          </w:rPr>
          <w:instrText xml:space="preserve"> PAGEREF _Toc395626698 \h </w:instrText>
        </w:r>
        <w:r w:rsidR="00A23604">
          <w:rPr>
            <w:webHidden/>
          </w:rPr>
        </w:r>
        <w:r w:rsidR="00A23604">
          <w:rPr>
            <w:webHidden/>
          </w:rPr>
          <w:fldChar w:fldCharType="separate"/>
        </w:r>
        <w:r>
          <w:rPr>
            <w:webHidden/>
          </w:rPr>
          <w:t>60</w:t>
        </w:r>
        <w:r w:rsidR="00A23604">
          <w:rPr>
            <w:webHidden/>
          </w:rPr>
          <w:fldChar w:fldCharType="end"/>
        </w:r>
      </w:hyperlink>
    </w:p>
    <w:p w:rsidR="00A23604" w:rsidRDefault="00ED766C">
      <w:pPr>
        <w:pStyle w:val="TOC1"/>
        <w:rPr>
          <w:rFonts w:asciiTheme="minorHAnsi" w:eastAsiaTheme="minorEastAsia" w:hAnsiTheme="minorHAnsi" w:cstheme="minorBidi"/>
          <w:b w:val="0"/>
          <w:szCs w:val="22"/>
        </w:rPr>
      </w:pPr>
      <w:hyperlink w:anchor="_Toc395626699" w:history="1">
        <w:r w:rsidR="00A23604" w:rsidRPr="003C1D6F">
          <w:rPr>
            <w:rStyle w:val="Hyperlink"/>
            <w:lang w:val="es-ES_tradnl" w:eastAsia="da-DK"/>
          </w:rPr>
          <w:t>DISTRIBUCIÓN A LAS UNIONES DE MADRID Y LA HAYA</w:t>
        </w:r>
        <w:r w:rsidR="00A23604">
          <w:rPr>
            <w:webHidden/>
          </w:rPr>
          <w:tab/>
        </w:r>
        <w:r w:rsidR="00A23604">
          <w:rPr>
            <w:webHidden/>
          </w:rPr>
          <w:fldChar w:fldCharType="begin"/>
        </w:r>
        <w:r w:rsidR="00A23604">
          <w:rPr>
            <w:webHidden/>
          </w:rPr>
          <w:instrText xml:space="preserve"> PAGEREF _Toc395626699 \h </w:instrText>
        </w:r>
        <w:r w:rsidR="00A23604">
          <w:rPr>
            <w:webHidden/>
          </w:rPr>
        </w:r>
        <w:r w:rsidR="00A23604">
          <w:rPr>
            <w:webHidden/>
          </w:rPr>
          <w:fldChar w:fldCharType="separate"/>
        </w:r>
        <w:r>
          <w:rPr>
            <w:webHidden/>
          </w:rPr>
          <w:t>67</w:t>
        </w:r>
        <w:r w:rsidR="00A23604">
          <w:rPr>
            <w:webHidden/>
          </w:rPr>
          <w:fldChar w:fldCharType="end"/>
        </w:r>
      </w:hyperlink>
    </w:p>
    <w:p w:rsidR="00A23604" w:rsidRDefault="00ED766C">
      <w:pPr>
        <w:pStyle w:val="TOC2"/>
        <w:rPr>
          <w:rFonts w:asciiTheme="minorHAnsi" w:eastAsiaTheme="minorEastAsia" w:hAnsiTheme="minorHAnsi" w:cstheme="minorBidi"/>
          <w:sz w:val="22"/>
          <w:szCs w:val="22"/>
          <w:lang w:val="en-US" w:eastAsia="en-US"/>
        </w:rPr>
      </w:pPr>
      <w:hyperlink w:anchor="_Toc395626700" w:history="1">
        <w:r w:rsidR="00A23604" w:rsidRPr="003C1D6F">
          <w:rPr>
            <w:rStyle w:val="Hyperlink"/>
            <w:rFonts w:ascii="Arial Bold" w:eastAsia="Times New Roman" w:hAnsi="Arial Bold"/>
            <w:b/>
          </w:rPr>
          <w:t>Unión de Madrid – Tasas suplementarias – 2012</w:t>
        </w:r>
        <w:r w:rsidR="00A23604">
          <w:rPr>
            <w:webHidden/>
          </w:rPr>
          <w:tab/>
        </w:r>
        <w:r w:rsidR="00A23604">
          <w:rPr>
            <w:webHidden/>
          </w:rPr>
          <w:fldChar w:fldCharType="begin"/>
        </w:r>
        <w:r w:rsidR="00A23604">
          <w:rPr>
            <w:webHidden/>
          </w:rPr>
          <w:instrText xml:space="preserve"> PAGEREF _Toc395626700 \h </w:instrText>
        </w:r>
        <w:r w:rsidR="00A23604">
          <w:rPr>
            <w:webHidden/>
          </w:rPr>
        </w:r>
        <w:r w:rsidR="00A23604">
          <w:rPr>
            <w:webHidden/>
          </w:rPr>
          <w:fldChar w:fldCharType="separate"/>
        </w:r>
        <w:r>
          <w:rPr>
            <w:webHidden/>
          </w:rPr>
          <w:t>67</w:t>
        </w:r>
        <w:r w:rsidR="00A23604">
          <w:rPr>
            <w:webHidden/>
          </w:rPr>
          <w:fldChar w:fldCharType="end"/>
        </w:r>
      </w:hyperlink>
    </w:p>
    <w:p w:rsidR="00A23604" w:rsidRDefault="00ED766C">
      <w:pPr>
        <w:pStyle w:val="TOC2"/>
        <w:rPr>
          <w:rFonts w:asciiTheme="minorHAnsi" w:eastAsiaTheme="minorEastAsia" w:hAnsiTheme="minorHAnsi" w:cstheme="minorBidi"/>
          <w:sz w:val="22"/>
          <w:szCs w:val="22"/>
          <w:lang w:val="en-US" w:eastAsia="en-US"/>
        </w:rPr>
      </w:pPr>
      <w:hyperlink w:anchor="_Toc395626701" w:history="1">
        <w:r w:rsidR="00A23604" w:rsidRPr="003C1D6F">
          <w:rPr>
            <w:rStyle w:val="Hyperlink"/>
            <w:rFonts w:ascii="Arial Bold" w:eastAsia="Times New Roman" w:hAnsi="Arial Bold"/>
            <w:b/>
          </w:rPr>
          <w:t>Unión de Madrid – Complementos de tasa - 2012</w:t>
        </w:r>
        <w:r w:rsidR="00A23604">
          <w:rPr>
            <w:webHidden/>
          </w:rPr>
          <w:tab/>
        </w:r>
        <w:r w:rsidR="00A23604">
          <w:rPr>
            <w:webHidden/>
          </w:rPr>
          <w:fldChar w:fldCharType="begin"/>
        </w:r>
        <w:r w:rsidR="00A23604">
          <w:rPr>
            <w:webHidden/>
          </w:rPr>
          <w:instrText xml:space="preserve"> PAGEREF _Toc395626701 \h </w:instrText>
        </w:r>
        <w:r w:rsidR="00A23604">
          <w:rPr>
            <w:webHidden/>
          </w:rPr>
        </w:r>
        <w:r w:rsidR="00A23604">
          <w:rPr>
            <w:webHidden/>
          </w:rPr>
          <w:fldChar w:fldCharType="separate"/>
        </w:r>
        <w:r>
          <w:rPr>
            <w:webHidden/>
          </w:rPr>
          <w:t>69</w:t>
        </w:r>
        <w:r w:rsidR="00A23604">
          <w:rPr>
            <w:webHidden/>
          </w:rPr>
          <w:fldChar w:fldCharType="end"/>
        </w:r>
      </w:hyperlink>
    </w:p>
    <w:p w:rsidR="00A23604" w:rsidRDefault="00ED766C">
      <w:pPr>
        <w:pStyle w:val="TOC2"/>
        <w:rPr>
          <w:rFonts w:asciiTheme="minorHAnsi" w:eastAsiaTheme="minorEastAsia" w:hAnsiTheme="minorHAnsi" w:cstheme="minorBidi"/>
          <w:sz w:val="22"/>
          <w:szCs w:val="22"/>
          <w:lang w:val="en-US" w:eastAsia="en-US"/>
        </w:rPr>
      </w:pPr>
      <w:hyperlink w:anchor="_Toc395626702" w:history="1">
        <w:r w:rsidR="00A23604" w:rsidRPr="003C1D6F">
          <w:rPr>
            <w:rStyle w:val="Hyperlink"/>
            <w:rFonts w:ascii="Arial Bold" w:eastAsia="Times New Roman" w:hAnsi="Arial Bold"/>
            <w:b/>
          </w:rPr>
          <w:t>Unión de Madrid – Total de tasas – 2012</w:t>
        </w:r>
        <w:r w:rsidR="00A23604">
          <w:rPr>
            <w:webHidden/>
          </w:rPr>
          <w:tab/>
        </w:r>
        <w:r w:rsidR="00A23604">
          <w:rPr>
            <w:webHidden/>
          </w:rPr>
          <w:fldChar w:fldCharType="begin"/>
        </w:r>
        <w:r w:rsidR="00A23604">
          <w:rPr>
            <w:webHidden/>
          </w:rPr>
          <w:instrText xml:space="preserve"> PAGEREF _Toc395626702 \h </w:instrText>
        </w:r>
        <w:r w:rsidR="00A23604">
          <w:rPr>
            <w:webHidden/>
          </w:rPr>
        </w:r>
        <w:r w:rsidR="00A23604">
          <w:rPr>
            <w:webHidden/>
          </w:rPr>
          <w:fldChar w:fldCharType="separate"/>
        </w:r>
        <w:r>
          <w:rPr>
            <w:webHidden/>
          </w:rPr>
          <w:t>71</w:t>
        </w:r>
        <w:r w:rsidR="00A23604">
          <w:rPr>
            <w:webHidden/>
          </w:rPr>
          <w:fldChar w:fldCharType="end"/>
        </w:r>
      </w:hyperlink>
    </w:p>
    <w:p w:rsidR="00A23604" w:rsidRDefault="00ED766C">
      <w:pPr>
        <w:pStyle w:val="TOC2"/>
        <w:rPr>
          <w:rFonts w:asciiTheme="minorHAnsi" w:eastAsiaTheme="minorEastAsia" w:hAnsiTheme="minorHAnsi" w:cstheme="minorBidi"/>
          <w:sz w:val="22"/>
          <w:szCs w:val="22"/>
          <w:lang w:val="en-US" w:eastAsia="en-US"/>
        </w:rPr>
      </w:pPr>
      <w:hyperlink w:anchor="_Toc395626703" w:history="1">
        <w:r w:rsidR="00A23604" w:rsidRPr="003C1D6F">
          <w:rPr>
            <w:rStyle w:val="Hyperlink"/>
            <w:rFonts w:ascii="Arial Bold" w:eastAsia="Times New Roman" w:hAnsi="Arial Bold"/>
            <w:b/>
          </w:rPr>
          <w:t>Unión de Madrid – Tasas suplementarias – 2013</w:t>
        </w:r>
        <w:r w:rsidR="00A23604">
          <w:rPr>
            <w:webHidden/>
          </w:rPr>
          <w:tab/>
        </w:r>
        <w:r w:rsidR="00A23604">
          <w:rPr>
            <w:webHidden/>
          </w:rPr>
          <w:fldChar w:fldCharType="begin"/>
        </w:r>
        <w:r w:rsidR="00A23604">
          <w:rPr>
            <w:webHidden/>
          </w:rPr>
          <w:instrText xml:space="preserve"> PAGEREF _Toc395626703 \h </w:instrText>
        </w:r>
        <w:r w:rsidR="00A23604">
          <w:rPr>
            <w:webHidden/>
          </w:rPr>
        </w:r>
        <w:r w:rsidR="00A23604">
          <w:rPr>
            <w:webHidden/>
          </w:rPr>
          <w:fldChar w:fldCharType="separate"/>
        </w:r>
        <w:r>
          <w:rPr>
            <w:webHidden/>
          </w:rPr>
          <w:t>72</w:t>
        </w:r>
        <w:r w:rsidR="00A23604">
          <w:rPr>
            <w:webHidden/>
          </w:rPr>
          <w:fldChar w:fldCharType="end"/>
        </w:r>
      </w:hyperlink>
    </w:p>
    <w:p w:rsidR="00A23604" w:rsidRDefault="00ED766C">
      <w:pPr>
        <w:pStyle w:val="TOC2"/>
        <w:rPr>
          <w:rFonts w:asciiTheme="minorHAnsi" w:eastAsiaTheme="minorEastAsia" w:hAnsiTheme="minorHAnsi" w:cstheme="minorBidi"/>
          <w:sz w:val="22"/>
          <w:szCs w:val="22"/>
          <w:lang w:val="en-US" w:eastAsia="en-US"/>
        </w:rPr>
      </w:pPr>
      <w:hyperlink w:anchor="_Toc395626704" w:history="1">
        <w:r w:rsidR="00A23604" w:rsidRPr="003C1D6F">
          <w:rPr>
            <w:rStyle w:val="Hyperlink"/>
            <w:rFonts w:ascii="Arial Bold" w:eastAsia="Times New Roman" w:hAnsi="Arial Bold"/>
            <w:b/>
          </w:rPr>
          <w:t>Unión de Madrid – Complementos de tasa – 2013</w:t>
        </w:r>
        <w:r w:rsidR="00A23604">
          <w:rPr>
            <w:webHidden/>
          </w:rPr>
          <w:tab/>
        </w:r>
        <w:r w:rsidR="00A23604">
          <w:rPr>
            <w:webHidden/>
          </w:rPr>
          <w:fldChar w:fldCharType="begin"/>
        </w:r>
        <w:r w:rsidR="00A23604">
          <w:rPr>
            <w:webHidden/>
          </w:rPr>
          <w:instrText xml:space="preserve"> PAGEREF _Toc395626704 \h </w:instrText>
        </w:r>
        <w:r w:rsidR="00A23604">
          <w:rPr>
            <w:webHidden/>
          </w:rPr>
        </w:r>
        <w:r w:rsidR="00A23604">
          <w:rPr>
            <w:webHidden/>
          </w:rPr>
          <w:fldChar w:fldCharType="separate"/>
        </w:r>
        <w:r>
          <w:rPr>
            <w:webHidden/>
          </w:rPr>
          <w:t>74</w:t>
        </w:r>
        <w:r w:rsidR="00A23604">
          <w:rPr>
            <w:webHidden/>
          </w:rPr>
          <w:fldChar w:fldCharType="end"/>
        </w:r>
      </w:hyperlink>
    </w:p>
    <w:p w:rsidR="00A23604" w:rsidRDefault="00ED766C">
      <w:pPr>
        <w:pStyle w:val="TOC2"/>
        <w:rPr>
          <w:rFonts w:asciiTheme="minorHAnsi" w:eastAsiaTheme="minorEastAsia" w:hAnsiTheme="minorHAnsi" w:cstheme="minorBidi"/>
          <w:sz w:val="22"/>
          <w:szCs w:val="22"/>
          <w:lang w:val="en-US" w:eastAsia="en-US"/>
        </w:rPr>
      </w:pPr>
      <w:hyperlink w:anchor="_Toc395626705" w:history="1">
        <w:r w:rsidR="00A23604" w:rsidRPr="003C1D6F">
          <w:rPr>
            <w:rStyle w:val="Hyperlink"/>
            <w:rFonts w:ascii="Arial Bold" w:eastAsia="Times New Roman" w:hAnsi="Arial Bold"/>
            <w:b/>
          </w:rPr>
          <w:t>Unión de Madrid – Total de tasas en 2013</w:t>
        </w:r>
        <w:r w:rsidR="00A23604">
          <w:rPr>
            <w:webHidden/>
          </w:rPr>
          <w:tab/>
        </w:r>
        <w:r w:rsidR="00A23604">
          <w:rPr>
            <w:webHidden/>
          </w:rPr>
          <w:fldChar w:fldCharType="begin"/>
        </w:r>
        <w:r w:rsidR="00A23604">
          <w:rPr>
            <w:webHidden/>
          </w:rPr>
          <w:instrText xml:space="preserve"> PAGEREF _Toc395626705 \h </w:instrText>
        </w:r>
        <w:r w:rsidR="00A23604">
          <w:rPr>
            <w:webHidden/>
          </w:rPr>
        </w:r>
        <w:r w:rsidR="00A23604">
          <w:rPr>
            <w:webHidden/>
          </w:rPr>
          <w:fldChar w:fldCharType="separate"/>
        </w:r>
        <w:r>
          <w:rPr>
            <w:webHidden/>
          </w:rPr>
          <w:t>76</w:t>
        </w:r>
        <w:r w:rsidR="00A23604">
          <w:rPr>
            <w:webHidden/>
          </w:rPr>
          <w:fldChar w:fldCharType="end"/>
        </w:r>
      </w:hyperlink>
    </w:p>
    <w:p w:rsidR="00A23604" w:rsidRDefault="00ED766C">
      <w:pPr>
        <w:pStyle w:val="TOC2"/>
        <w:rPr>
          <w:rFonts w:asciiTheme="minorHAnsi" w:eastAsiaTheme="minorEastAsia" w:hAnsiTheme="minorHAnsi" w:cstheme="minorBidi"/>
          <w:sz w:val="22"/>
          <w:szCs w:val="22"/>
          <w:lang w:val="en-US" w:eastAsia="en-US"/>
        </w:rPr>
      </w:pPr>
      <w:hyperlink w:anchor="_Toc395626706" w:history="1">
        <w:r w:rsidR="00A23604" w:rsidRPr="003C1D6F">
          <w:rPr>
            <w:rStyle w:val="Hyperlink"/>
            <w:rFonts w:ascii="Arial Bold" w:eastAsia="Times New Roman" w:hAnsi="Arial Bold"/>
            <w:b/>
          </w:rPr>
          <w:t>Protocolo concerniente al Arreglo de Madrid - Tasas individuales – 2012</w:t>
        </w:r>
        <w:r w:rsidR="00A23604">
          <w:rPr>
            <w:webHidden/>
          </w:rPr>
          <w:tab/>
        </w:r>
        <w:r w:rsidR="00A23604">
          <w:rPr>
            <w:webHidden/>
          </w:rPr>
          <w:fldChar w:fldCharType="begin"/>
        </w:r>
        <w:r w:rsidR="00A23604">
          <w:rPr>
            <w:webHidden/>
          </w:rPr>
          <w:instrText xml:space="preserve"> PAGEREF _Toc395626706 \h </w:instrText>
        </w:r>
        <w:r w:rsidR="00A23604">
          <w:rPr>
            <w:webHidden/>
          </w:rPr>
        </w:r>
        <w:r w:rsidR="00A23604">
          <w:rPr>
            <w:webHidden/>
          </w:rPr>
          <w:fldChar w:fldCharType="separate"/>
        </w:r>
        <w:r>
          <w:rPr>
            <w:webHidden/>
          </w:rPr>
          <w:t>77</w:t>
        </w:r>
        <w:r w:rsidR="00A23604">
          <w:rPr>
            <w:webHidden/>
          </w:rPr>
          <w:fldChar w:fldCharType="end"/>
        </w:r>
      </w:hyperlink>
    </w:p>
    <w:p w:rsidR="00A23604" w:rsidRDefault="00ED766C">
      <w:pPr>
        <w:pStyle w:val="TOC2"/>
        <w:rPr>
          <w:rFonts w:asciiTheme="minorHAnsi" w:eastAsiaTheme="minorEastAsia" w:hAnsiTheme="minorHAnsi" w:cstheme="minorBidi"/>
          <w:sz w:val="22"/>
          <w:szCs w:val="22"/>
          <w:lang w:val="en-US" w:eastAsia="en-US"/>
        </w:rPr>
      </w:pPr>
      <w:hyperlink w:anchor="_Toc395626707" w:history="1">
        <w:r w:rsidR="00A23604" w:rsidRPr="003C1D6F">
          <w:rPr>
            <w:rStyle w:val="Hyperlink"/>
            <w:rFonts w:ascii="Arial Bold" w:eastAsia="Times New Roman" w:hAnsi="Arial Bold"/>
            <w:b/>
          </w:rPr>
          <w:t>Protocolo concerniente al Arreglo de Madrid - Tasas individuales – 2013</w:t>
        </w:r>
        <w:r w:rsidR="00A23604">
          <w:rPr>
            <w:webHidden/>
          </w:rPr>
          <w:tab/>
        </w:r>
        <w:r w:rsidR="00A23604">
          <w:rPr>
            <w:webHidden/>
          </w:rPr>
          <w:fldChar w:fldCharType="begin"/>
        </w:r>
        <w:r w:rsidR="00A23604">
          <w:rPr>
            <w:webHidden/>
          </w:rPr>
          <w:instrText xml:space="preserve"> PAGEREF _Toc395626707 \h </w:instrText>
        </w:r>
        <w:r w:rsidR="00A23604">
          <w:rPr>
            <w:webHidden/>
          </w:rPr>
        </w:r>
        <w:r w:rsidR="00A23604">
          <w:rPr>
            <w:webHidden/>
          </w:rPr>
          <w:fldChar w:fldCharType="separate"/>
        </w:r>
        <w:r>
          <w:rPr>
            <w:webHidden/>
          </w:rPr>
          <w:t>78</w:t>
        </w:r>
        <w:r w:rsidR="00A23604">
          <w:rPr>
            <w:webHidden/>
          </w:rPr>
          <w:fldChar w:fldCharType="end"/>
        </w:r>
      </w:hyperlink>
    </w:p>
    <w:p w:rsidR="00A23604" w:rsidRDefault="00ED766C">
      <w:pPr>
        <w:pStyle w:val="TOC2"/>
        <w:rPr>
          <w:rFonts w:asciiTheme="minorHAnsi" w:eastAsiaTheme="minorEastAsia" w:hAnsiTheme="minorHAnsi" w:cstheme="minorBidi"/>
          <w:sz w:val="22"/>
          <w:szCs w:val="22"/>
          <w:lang w:val="en-US" w:eastAsia="en-US"/>
        </w:rPr>
      </w:pPr>
      <w:hyperlink w:anchor="_Toc395626708" w:history="1">
        <w:r w:rsidR="00A23604" w:rsidRPr="003C1D6F">
          <w:rPr>
            <w:rStyle w:val="Hyperlink"/>
            <w:rFonts w:ascii="Arial Bold" w:eastAsia="Times New Roman" w:hAnsi="Arial Bold"/>
            <w:b/>
          </w:rPr>
          <w:t>Unión de Madrid – Tasas de tramitación- 2013</w:t>
        </w:r>
        <w:r w:rsidR="00A23604">
          <w:rPr>
            <w:webHidden/>
          </w:rPr>
          <w:tab/>
        </w:r>
        <w:r w:rsidR="00A23604">
          <w:rPr>
            <w:webHidden/>
          </w:rPr>
          <w:fldChar w:fldCharType="begin"/>
        </w:r>
        <w:r w:rsidR="00A23604">
          <w:rPr>
            <w:webHidden/>
          </w:rPr>
          <w:instrText xml:space="preserve"> PAGEREF _Toc395626708 \h </w:instrText>
        </w:r>
        <w:r w:rsidR="00A23604">
          <w:rPr>
            <w:webHidden/>
          </w:rPr>
        </w:r>
        <w:r w:rsidR="00A23604">
          <w:rPr>
            <w:webHidden/>
          </w:rPr>
          <w:fldChar w:fldCharType="separate"/>
        </w:r>
        <w:r>
          <w:rPr>
            <w:webHidden/>
          </w:rPr>
          <w:t>79</w:t>
        </w:r>
        <w:r w:rsidR="00A23604">
          <w:rPr>
            <w:webHidden/>
          </w:rPr>
          <w:fldChar w:fldCharType="end"/>
        </w:r>
      </w:hyperlink>
    </w:p>
    <w:p w:rsidR="00A23604" w:rsidRDefault="00ED766C">
      <w:pPr>
        <w:pStyle w:val="TOC2"/>
        <w:rPr>
          <w:rFonts w:asciiTheme="minorHAnsi" w:eastAsiaTheme="minorEastAsia" w:hAnsiTheme="minorHAnsi" w:cstheme="minorBidi"/>
          <w:sz w:val="22"/>
          <w:szCs w:val="22"/>
          <w:lang w:val="en-US" w:eastAsia="en-US"/>
        </w:rPr>
      </w:pPr>
      <w:hyperlink w:anchor="_Toc395626709" w:history="1">
        <w:r w:rsidR="00A23604" w:rsidRPr="003C1D6F">
          <w:rPr>
            <w:rStyle w:val="Hyperlink"/>
            <w:rFonts w:ascii="Arial Bold" w:eastAsia="Times New Roman" w:hAnsi="Arial Bold"/>
            <w:b/>
          </w:rPr>
          <w:t>Unión de Madrid – Pago efectuado conforme a la Regla 39 del Reglamento Común del Arreglo y el Protocolo de Madrid</w:t>
        </w:r>
        <w:r w:rsidR="00A23604">
          <w:rPr>
            <w:webHidden/>
          </w:rPr>
          <w:tab/>
        </w:r>
        <w:r w:rsidR="00A23604">
          <w:rPr>
            <w:webHidden/>
          </w:rPr>
          <w:fldChar w:fldCharType="begin"/>
        </w:r>
        <w:r w:rsidR="00A23604">
          <w:rPr>
            <w:webHidden/>
          </w:rPr>
          <w:instrText xml:space="preserve"> PAGEREF _Toc395626709 \h </w:instrText>
        </w:r>
        <w:r w:rsidR="00A23604">
          <w:rPr>
            <w:webHidden/>
          </w:rPr>
        </w:r>
        <w:r w:rsidR="00A23604">
          <w:rPr>
            <w:webHidden/>
          </w:rPr>
          <w:fldChar w:fldCharType="separate"/>
        </w:r>
        <w:r>
          <w:rPr>
            <w:webHidden/>
          </w:rPr>
          <w:t>80</w:t>
        </w:r>
        <w:r w:rsidR="00A23604">
          <w:rPr>
            <w:webHidden/>
          </w:rPr>
          <w:fldChar w:fldCharType="end"/>
        </w:r>
      </w:hyperlink>
    </w:p>
    <w:p w:rsidR="00A23604" w:rsidRDefault="00ED766C">
      <w:pPr>
        <w:pStyle w:val="TOC2"/>
        <w:rPr>
          <w:rFonts w:asciiTheme="minorHAnsi" w:eastAsiaTheme="minorEastAsia" w:hAnsiTheme="minorHAnsi" w:cstheme="minorBidi"/>
          <w:sz w:val="22"/>
          <w:szCs w:val="22"/>
          <w:lang w:val="en-US" w:eastAsia="en-US"/>
        </w:rPr>
      </w:pPr>
      <w:hyperlink w:anchor="_Toc395626710" w:history="1">
        <w:r w:rsidR="00A23604" w:rsidRPr="003C1D6F">
          <w:rPr>
            <w:rStyle w:val="Hyperlink"/>
            <w:rFonts w:eastAsia="Times New Roman"/>
            <w:b/>
          </w:rPr>
          <w:t>Unión de La Haya – Tasas estatales y tasas de designación – 2012</w:t>
        </w:r>
        <w:r w:rsidR="00A23604">
          <w:rPr>
            <w:webHidden/>
          </w:rPr>
          <w:tab/>
        </w:r>
        <w:r w:rsidR="00A23604">
          <w:rPr>
            <w:webHidden/>
          </w:rPr>
          <w:fldChar w:fldCharType="begin"/>
        </w:r>
        <w:r w:rsidR="00A23604">
          <w:rPr>
            <w:webHidden/>
          </w:rPr>
          <w:instrText xml:space="preserve"> PAGEREF _Toc395626710 \h </w:instrText>
        </w:r>
        <w:r w:rsidR="00A23604">
          <w:rPr>
            <w:webHidden/>
          </w:rPr>
        </w:r>
        <w:r w:rsidR="00A23604">
          <w:rPr>
            <w:webHidden/>
          </w:rPr>
          <w:fldChar w:fldCharType="separate"/>
        </w:r>
        <w:r>
          <w:rPr>
            <w:webHidden/>
          </w:rPr>
          <w:t>81</w:t>
        </w:r>
        <w:r w:rsidR="00A23604">
          <w:rPr>
            <w:webHidden/>
          </w:rPr>
          <w:fldChar w:fldCharType="end"/>
        </w:r>
      </w:hyperlink>
    </w:p>
    <w:p w:rsidR="00A23604" w:rsidRDefault="00ED766C">
      <w:pPr>
        <w:pStyle w:val="TOC2"/>
        <w:rPr>
          <w:rFonts w:asciiTheme="minorHAnsi" w:eastAsiaTheme="minorEastAsia" w:hAnsiTheme="minorHAnsi" w:cstheme="minorBidi"/>
          <w:sz w:val="22"/>
          <w:szCs w:val="22"/>
          <w:lang w:val="en-US" w:eastAsia="en-US"/>
        </w:rPr>
      </w:pPr>
      <w:hyperlink w:anchor="_Toc395626711" w:history="1">
        <w:r w:rsidR="00A23604" w:rsidRPr="003C1D6F">
          <w:rPr>
            <w:rStyle w:val="Hyperlink"/>
            <w:rFonts w:eastAsia="Times New Roman"/>
            <w:b/>
          </w:rPr>
          <w:t>Unión de La Haya – Tasas estatales y tasas de designación – 2013</w:t>
        </w:r>
        <w:r w:rsidR="00A23604">
          <w:rPr>
            <w:webHidden/>
          </w:rPr>
          <w:tab/>
        </w:r>
        <w:r w:rsidR="00A23604">
          <w:rPr>
            <w:webHidden/>
          </w:rPr>
          <w:fldChar w:fldCharType="begin"/>
        </w:r>
        <w:r w:rsidR="00A23604">
          <w:rPr>
            <w:webHidden/>
          </w:rPr>
          <w:instrText xml:space="preserve"> PAGEREF _Toc395626711 \h </w:instrText>
        </w:r>
        <w:r w:rsidR="00A23604">
          <w:rPr>
            <w:webHidden/>
          </w:rPr>
        </w:r>
        <w:r w:rsidR="00A23604">
          <w:rPr>
            <w:webHidden/>
          </w:rPr>
          <w:fldChar w:fldCharType="separate"/>
        </w:r>
        <w:r>
          <w:rPr>
            <w:webHidden/>
          </w:rPr>
          <w:t>82</w:t>
        </w:r>
        <w:r w:rsidR="00A23604">
          <w:rPr>
            <w:webHidden/>
          </w:rPr>
          <w:fldChar w:fldCharType="end"/>
        </w:r>
      </w:hyperlink>
    </w:p>
    <w:p w:rsidR="00A23604" w:rsidRDefault="00ED766C">
      <w:pPr>
        <w:pStyle w:val="TOC2"/>
        <w:rPr>
          <w:rFonts w:asciiTheme="minorHAnsi" w:eastAsiaTheme="minorEastAsia" w:hAnsiTheme="minorHAnsi" w:cstheme="minorBidi"/>
          <w:sz w:val="22"/>
          <w:szCs w:val="22"/>
          <w:lang w:val="en-US" w:eastAsia="en-US"/>
        </w:rPr>
      </w:pPr>
      <w:hyperlink w:anchor="_Toc395626712" w:history="1">
        <w:r w:rsidR="00A23604" w:rsidRPr="003C1D6F">
          <w:rPr>
            <w:rStyle w:val="Hyperlink"/>
            <w:rFonts w:eastAsia="Times New Roman"/>
            <w:b/>
          </w:rPr>
          <w:t>Uniones de Madrid y de La Haya – Distribución en 2012</w:t>
        </w:r>
        <w:r w:rsidR="00A23604">
          <w:rPr>
            <w:webHidden/>
          </w:rPr>
          <w:tab/>
        </w:r>
        <w:r w:rsidR="00A23604">
          <w:rPr>
            <w:webHidden/>
          </w:rPr>
          <w:fldChar w:fldCharType="begin"/>
        </w:r>
        <w:r w:rsidR="00A23604">
          <w:rPr>
            <w:webHidden/>
          </w:rPr>
          <w:instrText xml:space="preserve"> PAGEREF _Toc395626712 \h </w:instrText>
        </w:r>
        <w:r w:rsidR="00A23604">
          <w:rPr>
            <w:webHidden/>
          </w:rPr>
        </w:r>
        <w:r w:rsidR="00A23604">
          <w:rPr>
            <w:webHidden/>
          </w:rPr>
          <w:fldChar w:fldCharType="separate"/>
        </w:r>
        <w:r>
          <w:rPr>
            <w:webHidden/>
          </w:rPr>
          <w:t>83</w:t>
        </w:r>
        <w:r w:rsidR="00A23604">
          <w:rPr>
            <w:webHidden/>
          </w:rPr>
          <w:fldChar w:fldCharType="end"/>
        </w:r>
      </w:hyperlink>
    </w:p>
    <w:p w:rsidR="00A23604" w:rsidRDefault="00ED766C">
      <w:pPr>
        <w:pStyle w:val="TOC2"/>
        <w:rPr>
          <w:rFonts w:asciiTheme="minorHAnsi" w:eastAsiaTheme="minorEastAsia" w:hAnsiTheme="minorHAnsi" w:cstheme="minorBidi"/>
          <w:sz w:val="22"/>
          <w:szCs w:val="22"/>
          <w:lang w:val="en-US" w:eastAsia="en-US"/>
        </w:rPr>
      </w:pPr>
      <w:hyperlink w:anchor="_Toc395626713" w:history="1">
        <w:r w:rsidR="00A23604" w:rsidRPr="003C1D6F">
          <w:rPr>
            <w:rStyle w:val="Hyperlink"/>
            <w:rFonts w:eastAsia="Times New Roman"/>
            <w:b/>
          </w:rPr>
          <w:t>Uniones de Madrid y de La Haya – Distribución en 2013</w:t>
        </w:r>
        <w:r w:rsidR="00A23604">
          <w:rPr>
            <w:webHidden/>
          </w:rPr>
          <w:tab/>
        </w:r>
        <w:r w:rsidR="00A23604">
          <w:rPr>
            <w:webHidden/>
          </w:rPr>
          <w:fldChar w:fldCharType="begin"/>
        </w:r>
        <w:r w:rsidR="00A23604">
          <w:rPr>
            <w:webHidden/>
          </w:rPr>
          <w:instrText xml:space="preserve"> PAGEREF _Toc395626713 \h </w:instrText>
        </w:r>
        <w:r w:rsidR="00A23604">
          <w:rPr>
            <w:webHidden/>
          </w:rPr>
        </w:r>
        <w:r w:rsidR="00A23604">
          <w:rPr>
            <w:webHidden/>
          </w:rPr>
          <w:fldChar w:fldCharType="separate"/>
        </w:r>
        <w:r>
          <w:rPr>
            <w:webHidden/>
          </w:rPr>
          <w:t>84</w:t>
        </w:r>
        <w:r w:rsidR="00A23604">
          <w:rPr>
            <w:webHidden/>
          </w:rPr>
          <w:fldChar w:fldCharType="end"/>
        </w:r>
      </w:hyperlink>
    </w:p>
    <w:p w:rsidR="00A23604" w:rsidRDefault="00ED766C">
      <w:pPr>
        <w:pStyle w:val="TOC2"/>
        <w:rPr>
          <w:rFonts w:asciiTheme="minorHAnsi" w:eastAsiaTheme="minorEastAsia" w:hAnsiTheme="minorHAnsi" w:cstheme="minorBidi"/>
          <w:sz w:val="22"/>
          <w:szCs w:val="22"/>
          <w:lang w:val="en-US" w:eastAsia="en-US"/>
        </w:rPr>
      </w:pPr>
      <w:hyperlink w:anchor="_Toc395626714" w:history="1">
        <w:r w:rsidR="00A23604" w:rsidRPr="003C1D6F">
          <w:rPr>
            <w:rStyle w:val="Hyperlink"/>
            <w:rFonts w:eastAsia="Times New Roman"/>
            <w:b/>
          </w:rPr>
          <w:t>Uniones de Madrid y de La Haya - Recapitulativo 2012-2013</w:t>
        </w:r>
        <w:r w:rsidR="00A23604">
          <w:rPr>
            <w:webHidden/>
          </w:rPr>
          <w:tab/>
        </w:r>
        <w:r w:rsidR="00A23604">
          <w:rPr>
            <w:webHidden/>
          </w:rPr>
          <w:fldChar w:fldCharType="begin"/>
        </w:r>
        <w:r w:rsidR="00A23604">
          <w:rPr>
            <w:webHidden/>
          </w:rPr>
          <w:instrText xml:space="preserve"> PAGEREF _Toc395626714 \h </w:instrText>
        </w:r>
        <w:r w:rsidR="00A23604">
          <w:rPr>
            <w:webHidden/>
          </w:rPr>
        </w:r>
        <w:r w:rsidR="00A23604">
          <w:rPr>
            <w:webHidden/>
          </w:rPr>
          <w:fldChar w:fldCharType="separate"/>
        </w:r>
        <w:r>
          <w:rPr>
            <w:webHidden/>
          </w:rPr>
          <w:t>85</w:t>
        </w:r>
        <w:r w:rsidR="00A23604">
          <w:rPr>
            <w:webHidden/>
          </w:rPr>
          <w:fldChar w:fldCharType="end"/>
        </w:r>
      </w:hyperlink>
    </w:p>
    <w:p w:rsidR="00A23604" w:rsidRDefault="00ED766C">
      <w:pPr>
        <w:pStyle w:val="TOC1"/>
        <w:rPr>
          <w:rFonts w:asciiTheme="minorHAnsi" w:eastAsiaTheme="minorEastAsia" w:hAnsiTheme="minorHAnsi" w:cstheme="minorBidi"/>
          <w:b w:val="0"/>
          <w:szCs w:val="22"/>
        </w:rPr>
      </w:pPr>
      <w:hyperlink w:anchor="_Toc395626715" w:history="1">
        <w:r w:rsidR="00A23604" w:rsidRPr="003C1D6F">
          <w:rPr>
            <w:rStyle w:val="Hyperlink"/>
            <w:lang w:val="es-ES_tradnl"/>
          </w:rPr>
          <w:t>FONDOS FIDUCIARIOS</w:t>
        </w:r>
        <w:r w:rsidR="00A23604">
          <w:rPr>
            <w:webHidden/>
          </w:rPr>
          <w:tab/>
        </w:r>
        <w:r w:rsidR="00A23604">
          <w:rPr>
            <w:webHidden/>
          </w:rPr>
          <w:fldChar w:fldCharType="begin"/>
        </w:r>
        <w:r w:rsidR="00A23604">
          <w:rPr>
            <w:webHidden/>
          </w:rPr>
          <w:instrText xml:space="preserve"> PAGEREF _Toc395626715 \h </w:instrText>
        </w:r>
        <w:r w:rsidR="00A23604">
          <w:rPr>
            <w:webHidden/>
          </w:rPr>
        </w:r>
        <w:r w:rsidR="00A23604">
          <w:rPr>
            <w:webHidden/>
          </w:rPr>
          <w:fldChar w:fldCharType="separate"/>
        </w:r>
        <w:r>
          <w:rPr>
            <w:webHidden/>
          </w:rPr>
          <w:t>86</w:t>
        </w:r>
        <w:r w:rsidR="00A23604">
          <w:rPr>
            <w:webHidden/>
          </w:rPr>
          <w:fldChar w:fldCharType="end"/>
        </w:r>
      </w:hyperlink>
    </w:p>
    <w:p w:rsidR="004E3DF9" w:rsidRPr="00497F19" w:rsidRDefault="004E3DF9" w:rsidP="004E3DF9">
      <w:pPr>
        <w:rPr>
          <w:rStyle w:val="NORMALTEXT"/>
          <w:lang w:val="es-ES_tradnl"/>
        </w:rPr>
      </w:pPr>
      <w:r w:rsidRPr="00312310">
        <w:rPr>
          <w:b/>
          <w:bCs/>
          <w:iCs/>
          <w:noProof/>
          <w:sz w:val="21"/>
          <w:szCs w:val="21"/>
          <w:lang w:val="es-ES_tradnl"/>
        </w:rPr>
        <w:fldChar w:fldCharType="end"/>
      </w:r>
    </w:p>
    <w:p w:rsidR="004E3DF9" w:rsidRPr="00497F19" w:rsidRDefault="004E3DF9" w:rsidP="004E3DF9">
      <w:pPr>
        <w:rPr>
          <w:rStyle w:val="NORMALTEXT"/>
          <w:lang w:val="es-ES_tradnl"/>
        </w:rPr>
      </w:pPr>
    </w:p>
    <w:p w:rsidR="004E3DF9" w:rsidRPr="00497F19" w:rsidRDefault="004E3DF9" w:rsidP="004E3DF9">
      <w:pPr>
        <w:rPr>
          <w:rStyle w:val="NORMALTEXT"/>
          <w:lang w:val="es-ES_tradnl"/>
        </w:rPr>
      </w:pPr>
    </w:p>
    <w:p w:rsidR="004E3DF9" w:rsidRPr="00497F19" w:rsidRDefault="004E3DF9" w:rsidP="004E3DF9">
      <w:pPr>
        <w:rPr>
          <w:rStyle w:val="NORMALTEXT"/>
          <w:lang w:val="es-ES_tradnl"/>
        </w:rPr>
      </w:pPr>
    </w:p>
    <w:p w:rsidR="004E3DF9" w:rsidRPr="00497F19" w:rsidRDefault="004E3DF9" w:rsidP="004E3DF9">
      <w:pPr>
        <w:rPr>
          <w:rStyle w:val="NORMALTEXT"/>
          <w:lang w:val="es-ES_tradnl"/>
        </w:rPr>
      </w:pPr>
    </w:p>
    <w:p w:rsidR="004E3DF9" w:rsidRPr="00497F19" w:rsidRDefault="004E3DF9" w:rsidP="004E3DF9">
      <w:pPr>
        <w:rPr>
          <w:rStyle w:val="NORMALTEXT"/>
          <w:lang w:val="es-ES_tradnl"/>
        </w:rPr>
      </w:pPr>
    </w:p>
    <w:p w:rsidR="004E3DF9" w:rsidRPr="00497F19" w:rsidRDefault="004E3DF9" w:rsidP="004E3DF9">
      <w:pPr>
        <w:rPr>
          <w:rStyle w:val="NORMALTEXT"/>
          <w:lang w:val="es-ES_tradnl"/>
        </w:rPr>
      </w:pPr>
    </w:p>
    <w:p w:rsidR="004E3DF9" w:rsidRPr="00497F19" w:rsidRDefault="004E3DF9" w:rsidP="004E3DF9">
      <w:pPr>
        <w:rPr>
          <w:rStyle w:val="NORMALTEXT"/>
          <w:lang w:val="es-ES_tradnl"/>
        </w:rPr>
      </w:pPr>
    </w:p>
    <w:p w:rsidR="004E3DF9" w:rsidRPr="00497F19" w:rsidRDefault="004E3DF9" w:rsidP="004E3DF9">
      <w:pPr>
        <w:rPr>
          <w:rStyle w:val="NORMALTEXT"/>
          <w:lang w:val="es-ES_tradnl"/>
        </w:rPr>
      </w:pPr>
    </w:p>
    <w:p w:rsidR="004E3DF9" w:rsidRPr="00497F19" w:rsidRDefault="004E3DF9" w:rsidP="004E3DF9">
      <w:pPr>
        <w:rPr>
          <w:rStyle w:val="NORMALTEXT"/>
          <w:lang w:val="es-ES_tradnl"/>
        </w:rPr>
      </w:pPr>
    </w:p>
    <w:p w:rsidR="004E3DF9" w:rsidRPr="00497F19" w:rsidRDefault="004E3DF9" w:rsidP="004E3DF9">
      <w:pPr>
        <w:rPr>
          <w:lang w:val="es-ES_tradnl" w:eastAsia="da-DK"/>
        </w:rPr>
        <w:sectPr w:rsidR="004E3DF9" w:rsidRPr="00497F19" w:rsidSect="004E3DF9">
          <w:pgSz w:w="11907" w:h="16840" w:code="9"/>
          <w:pgMar w:top="1304" w:right="1418" w:bottom="1191" w:left="1418" w:header="510" w:footer="794" w:gutter="0"/>
          <w:pgNumType w:fmt="lowerRoman"/>
          <w:cols w:space="720"/>
          <w:titlePg/>
          <w:docGrid w:linePitch="326"/>
        </w:sectPr>
      </w:pPr>
    </w:p>
    <w:p w:rsidR="004E3DF9" w:rsidRPr="00497F19" w:rsidRDefault="004E3DF9" w:rsidP="004E3DF9">
      <w:pPr>
        <w:pStyle w:val="Heading1"/>
        <w:rPr>
          <w:lang w:val="es-ES_tradnl"/>
        </w:rPr>
      </w:pPr>
      <w:bookmarkStart w:id="3" w:name="_Toc395626656"/>
      <w:r w:rsidRPr="00497F19">
        <w:rPr>
          <w:lang w:val="es-ES_tradnl"/>
        </w:rPr>
        <w:lastRenderedPageBreak/>
        <w:t>PRINCIPALES PARÁMETROS FINANCIEROS Y DE OTRA ÍNDOLE</w:t>
      </w:r>
      <w:bookmarkEnd w:id="3"/>
    </w:p>
    <w:p w:rsidR="004E3DF9" w:rsidRPr="00497F19" w:rsidRDefault="004E3DF9" w:rsidP="004E3DF9">
      <w:pPr>
        <w:rPr>
          <w:lang w:val="es-ES_tradnl"/>
        </w:rPr>
      </w:pPr>
    </w:p>
    <w:p w:rsidR="004E3DF9" w:rsidRPr="00497F19" w:rsidRDefault="004E3DF9" w:rsidP="004E3DF9">
      <w:pPr>
        <w:rPr>
          <w:lang w:val="es-ES_tradnl"/>
        </w:rPr>
      </w:pPr>
      <w:r w:rsidRPr="00497F19">
        <w:rPr>
          <w:lang w:val="es-ES_tradnl" w:eastAsia="da-DK"/>
        </w:rPr>
        <w:t>(</w:t>
      </w:r>
      <w:proofErr w:type="gramStart"/>
      <w:r w:rsidRPr="00497F19">
        <w:rPr>
          <w:lang w:val="es-ES_tradnl"/>
        </w:rPr>
        <w:t>en</w:t>
      </w:r>
      <w:proofErr w:type="gramEnd"/>
      <w:r w:rsidRPr="00497F19">
        <w:rPr>
          <w:lang w:val="es-ES_tradnl"/>
        </w:rPr>
        <w:t xml:space="preserve"> millones de francos suizos</w:t>
      </w:r>
      <w:r w:rsidRPr="00497F19">
        <w:rPr>
          <w:lang w:val="es-ES_tradnl" w:eastAsia="da-DK"/>
        </w:rPr>
        <w:t>)</w:t>
      </w:r>
    </w:p>
    <w:p w:rsidR="004E3DF9" w:rsidRPr="00497F19" w:rsidRDefault="004E3DF9" w:rsidP="004E3DF9">
      <w:pPr>
        <w:rPr>
          <w:rStyle w:val="NORMALTEXT"/>
          <w:lang w:val="es-ES_tradnl"/>
        </w:rPr>
      </w:pPr>
    </w:p>
    <w:p w:rsidR="004E3DF9" w:rsidRPr="00497F19" w:rsidRDefault="00C76267" w:rsidP="004E3DF9">
      <w:pPr>
        <w:tabs>
          <w:tab w:val="left" w:pos="2160"/>
        </w:tabs>
        <w:rPr>
          <w:rStyle w:val="NORMALTEXT"/>
          <w:highlight w:val="yellow"/>
          <w:lang w:val="es-ES_tradnl"/>
        </w:rPr>
      </w:pPr>
      <w:r w:rsidRPr="00497F19">
        <w:rPr>
          <w:noProof/>
          <w:lang w:val="en-US" w:eastAsia="en-US"/>
        </w:rPr>
        <w:drawing>
          <wp:inline distT="0" distB="0" distL="0" distR="0" wp14:anchorId="75E9315E" wp14:editId="0E17C77B">
            <wp:extent cx="5760085" cy="5911726"/>
            <wp:effectExtent l="0" t="0" r="0" b="0"/>
            <wp:docPr id="4045" name="Picture 4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085" cy="5911726"/>
                    </a:xfrm>
                    <a:prstGeom prst="rect">
                      <a:avLst/>
                    </a:prstGeom>
                    <a:noFill/>
                    <a:ln>
                      <a:noFill/>
                    </a:ln>
                  </pic:spPr>
                </pic:pic>
              </a:graphicData>
            </a:graphic>
          </wp:inline>
        </w:drawing>
      </w:r>
    </w:p>
    <w:p w:rsidR="004E3DF9" w:rsidRPr="00497F19" w:rsidRDefault="004E3DF9" w:rsidP="004E3DF9">
      <w:pPr>
        <w:tabs>
          <w:tab w:val="left" w:pos="2160"/>
        </w:tabs>
        <w:rPr>
          <w:rStyle w:val="NORMALTEXT"/>
          <w:highlight w:val="yellow"/>
          <w:lang w:val="es-ES_tradnl"/>
        </w:rPr>
      </w:pPr>
    </w:p>
    <w:p w:rsidR="004E3DF9" w:rsidRPr="00497F19" w:rsidRDefault="004E3DF9" w:rsidP="004E3DF9">
      <w:pPr>
        <w:tabs>
          <w:tab w:val="left" w:pos="2160"/>
        </w:tabs>
        <w:rPr>
          <w:rStyle w:val="NORMALTEXT"/>
          <w:highlight w:val="yellow"/>
          <w:lang w:val="es-ES_tradnl"/>
        </w:rPr>
      </w:pPr>
    </w:p>
    <w:p w:rsidR="004E3DF9" w:rsidRPr="00497F19" w:rsidRDefault="004E3DF9" w:rsidP="004E3DF9">
      <w:pPr>
        <w:tabs>
          <w:tab w:val="left" w:pos="2160"/>
        </w:tabs>
        <w:rPr>
          <w:rStyle w:val="NORMALTEXT"/>
          <w:highlight w:val="yellow"/>
          <w:lang w:val="es-ES_tradnl"/>
        </w:rPr>
      </w:pPr>
    </w:p>
    <w:p w:rsidR="004E3DF9" w:rsidRPr="00497F19" w:rsidRDefault="004E3DF9" w:rsidP="004E3DF9">
      <w:pPr>
        <w:tabs>
          <w:tab w:val="left" w:pos="2160"/>
        </w:tabs>
        <w:rPr>
          <w:rStyle w:val="NORMALTEXT"/>
          <w:highlight w:val="yellow"/>
          <w:lang w:val="es-ES_tradnl"/>
        </w:rPr>
      </w:pPr>
    </w:p>
    <w:p w:rsidR="004E3DF9" w:rsidRPr="00497F19" w:rsidRDefault="004E3DF9" w:rsidP="004E3DF9">
      <w:pPr>
        <w:tabs>
          <w:tab w:val="left" w:pos="2160"/>
        </w:tabs>
        <w:rPr>
          <w:rStyle w:val="NORMALTEXT"/>
          <w:highlight w:val="yellow"/>
          <w:lang w:val="es-ES_tradnl"/>
        </w:rPr>
      </w:pPr>
    </w:p>
    <w:p w:rsidR="004E3DF9" w:rsidRPr="00497F19" w:rsidRDefault="004E3DF9" w:rsidP="004E3DF9">
      <w:pPr>
        <w:tabs>
          <w:tab w:val="left" w:pos="2160"/>
        </w:tabs>
        <w:rPr>
          <w:rStyle w:val="NORMALTEXT"/>
          <w:highlight w:val="yellow"/>
          <w:lang w:val="es-ES_tradnl"/>
        </w:rPr>
      </w:pPr>
    </w:p>
    <w:p w:rsidR="004E3DF9" w:rsidRPr="00497F19" w:rsidRDefault="004E3DF9" w:rsidP="004E3DF9">
      <w:pPr>
        <w:tabs>
          <w:tab w:val="left" w:pos="2160"/>
        </w:tabs>
        <w:rPr>
          <w:rStyle w:val="NORMALTEXT"/>
          <w:highlight w:val="yellow"/>
          <w:lang w:val="es-ES_tradnl"/>
        </w:rPr>
      </w:pPr>
    </w:p>
    <w:p w:rsidR="004E3DF9" w:rsidRPr="00497F19" w:rsidRDefault="004E3DF9" w:rsidP="004E3DF9">
      <w:pPr>
        <w:tabs>
          <w:tab w:val="left" w:pos="2160"/>
        </w:tabs>
        <w:rPr>
          <w:rStyle w:val="NORMALTEXT"/>
          <w:highlight w:val="yellow"/>
          <w:lang w:val="es-ES_tradnl"/>
        </w:rPr>
      </w:pPr>
    </w:p>
    <w:p w:rsidR="004E3DF9" w:rsidRPr="00497F19" w:rsidRDefault="004E3DF9" w:rsidP="004E3DF9">
      <w:pPr>
        <w:tabs>
          <w:tab w:val="left" w:pos="2160"/>
        </w:tabs>
        <w:rPr>
          <w:rStyle w:val="NORMALTEXT"/>
          <w:highlight w:val="yellow"/>
          <w:lang w:val="es-ES_tradnl"/>
        </w:rPr>
      </w:pPr>
    </w:p>
    <w:p w:rsidR="004E3DF9" w:rsidRPr="00497F19" w:rsidRDefault="004E3DF9" w:rsidP="004E3DF9">
      <w:pPr>
        <w:tabs>
          <w:tab w:val="left" w:pos="2160"/>
        </w:tabs>
        <w:rPr>
          <w:rStyle w:val="NORMALTEXT"/>
          <w:highlight w:val="yellow"/>
          <w:lang w:val="es-ES_tradnl"/>
        </w:rPr>
      </w:pPr>
    </w:p>
    <w:p w:rsidR="004E3DF9" w:rsidRPr="00497F19" w:rsidRDefault="004E3DF9" w:rsidP="004E3DF9">
      <w:pPr>
        <w:tabs>
          <w:tab w:val="left" w:pos="2160"/>
        </w:tabs>
        <w:rPr>
          <w:rStyle w:val="NORMALTEXT"/>
          <w:highlight w:val="yellow"/>
          <w:lang w:val="es-ES_tradnl"/>
        </w:rPr>
      </w:pPr>
    </w:p>
    <w:p w:rsidR="004E3DF9" w:rsidRPr="00497F19" w:rsidRDefault="004E3DF9" w:rsidP="004E3DF9">
      <w:pPr>
        <w:rPr>
          <w:rStyle w:val="NORMALTEXT"/>
          <w:lang w:val="es-ES_tradnl"/>
        </w:rPr>
      </w:pPr>
    </w:p>
    <w:p w:rsidR="004E3DF9" w:rsidRPr="00497F19" w:rsidRDefault="004E3DF9" w:rsidP="004E3DF9">
      <w:pPr>
        <w:jc w:val="both"/>
        <w:rPr>
          <w:sz w:val="19"/>
          <w:szCs w:val="19"/>
          <w:lang w:val="es-ES_tradnl"/>
        </w:rPr>
        <w:sectPr w:rsidR="004E3DF9" w:rsidRPr="00497F19" w:rsidSect="004E3DF9">
          <w:headerReference w:type="even" r:id="rId18"/>
          <w:headerReference w:type="default" r:id="rId19"/>
          <w:pgSz w:w="11907" w:h="16840" w:code="9"/>
          <w:pgMar w:top="567" w:right="1418" w:bottom="1361" w:left="1418" w:header="510" w:footer="510" w:gutter="0"/>
          <w:cols w:space="720"/>
          <w:docGrid w:linePitch="326"/>
        </w:sectPr>
      </w:pPr>
    </w:p>
    <w:p w:rsidR="004E3DF9" w:rsidRPr="00497F19" w:rsidRDefault="004E3DF9" w:rsidP="004E3DF9">
      <w:pPr>
        <w:pStyle w:val="Heading1"/>
        <w:rPr>
          <w:lang w:val="es-ES_tradnl"/>
        </w:rPr>
      </w:pPr>
      <w:bookmarkStart w:id="4" w:name="_Toc395626657"/>
      <w:r w:rsidRPr="00497F19">
        <w:rPr>
          <w:lang w:val="es-ES_tradnl"/>
        </w:rPr>
        <w:lastRenderedPageBreak/>
        <w:t>RESUMEN DE LOS RESULTADOS POR UNIÓN</w:t>
      </w:r>
      <w:bookmarkEnd w:id="4"/>
    </w:p>
    <w:p w:rsidR="004E3DF9" w:rsidRPr="00497F19" w:rsidRDefault="004E3DF9" w:rsidP="004E3DF9">
      <w:pPr>
        <w:rPr>
          <w:rStyle w:val="NORMALTEXT"/>
          <w:lang w:val="es-ES_tradnl"/>
        </w:rPr>
      </w:pPr>
    </w:p>
    <w:p w:rsidR="004E3DF9" w:rsidRPr="00497F19" w:rsidRDefault="006A2321" w:rsidP="006A2321">
      <w:pPr>
        <w:rPr>
          <w:lang w:val="es-ES_tradnl"/>
        </w:rPr>
      </w:pPr>
      <w:r w:rsidRPr="00497F19">
        <w:rPr>
          <w:lang w:val="es-ES_tradnl"/>
        </w:rPr>
        <w:t>El Cuadro 1 que se reproduce bajo estas líneas ofrece un completo resumen del desempeño financiero en 2012/13 de las Uniones.  En el cuadro se indica asimismo la situación de los fondos de reserva y de operaciones (FRO) a fines de 2013, cuyo importe ascendía a 208,8 millones de francos suizos.</w:t>
      </w:r>
    </w:p>
    <w:p w:rsidR="004E3DF9" w:rsidRPr="00497F19" w:rsidRDefault="004E3DF9" w:rsidP="004E3DF9">
      <w:pPr>
        <w:rPr>
          <w:lang w:val="es-ES_tradnl"/>
        </w:rPr>
      </w:pPr>
    </w:p>
    <w:p w:rsidR="004E3DF9" w:rsidRPr="00497F19" w:rsidRDefault="00FE411D" w:rsidP="004E3DF9">
      <w:pPr>
        <w:pStyle w:val="Heading2"/>
        <w:jc w:val="center"/>
        <w:rPr>
          <w:b/>
          <w:lang w:val="es-ES_tradnl"/>
        </w:rPr>
      </w:pPr>
      <w:bookmarkStart w:id="5" w:name="_Toc395626658"/>
      <w:r w:rsidRPr="00497F19">
        <w:rPr>
          <w:b/>
          <w:caps w:val="0"/>
          <w:lang w:val="es-ES_tradnl"/>
        </w:rPr>
        <w:t>Cuadro 1</w:t>
      </w:r>
      <w:r w:rsidRPr="00497F19">
        <w:rPr>
          <w:b/>
          <w:caps w:val="0"/>
          <w:lang w:val="es-ES_tradnl"/>
        </w:rPr>
        <w:tab/>
        <w:t>Fondos de reserva y de operaciones por Unión a fines de 2013</w:t>
      </w:r>
      <w:bookmarkEnd w:id="5"/>
    </w:p>
    <w:p w:rsidR="004E3DF9" w:rsidRPr="00497F19" w:rsidRDefault="004E3DF9" w:rsidP="004E3DF9">
      <w:pPr>
        <w:jc w:val="center"/>
        <w:rPr>
          <w:i/>
          <w:lang w:val="es-ES_tradnl" w:eastAsia="da-DK"/>
        </w:rPr>
      </w:pPr>
      <w:r w:rsidRPr="00497F19">
        <w:rPr>
          <w:i/>
          <w:lang w:val="es-ES_tradnl" w:eastAsia="da-DK"/>
        </w:rPr>
        <w:t>(</w:t>
      </w:r>
      <w:proofErr w:type="gramStart"/>
      <w:r w:rsidRPr="00497F19">
        <w:rPr>
          <w:i/>
          <w:lang w:val="es-ES_tradnl" w:eastAsia="da-DK"/>
        </w:rPr>
        <w:t>en</w:t>
      </w:r>
      <w:proofErr w:type="gramEnd"/>
      <w:r w:rsidRPr="00497F19">
        <w:rPr>
          <w:i/>
          <w:lang w:val="es-ES_tradnl" w:eastAsia="da-DK"/>
        </w:rPr>
        <w:t xml:space="preserve"> miles de francos suizos)</w:t>
      </w:r>
    </w:p>
    <w:p w:rsidR="004E3DF9" w:rsidRPr="00497F19" w:rsidRDefault="004E3DF9" w:rsidP="004E3DF9">
      <w:pPr>
        <w:rPr>
          <w:rStyle w:val="NORMALTEXT"/>
          <w:lang w:val="es-ES_tradnl"/>
        </w:rPr>
      </w:pPr>
    </w:p>
    <w:p w:rsidR="004E3DF9" w:rsidRPr="00497F19" w:rsidRDefault="005B55BC" w:rsidP="004E3DF9">
      <w:pPr>
        <w:rPr>
          <w:rStyle w:val="NORMALTEXT"/>
          <w:lang w:val="es-ES_tradnl"/>
        </w:rPr>
      </w:pPr>
      <w:r w:rsidRPr="00497F19">
        <w:rPr>
          <w:noProof/>
          <w:lang w:val="en-US" w:eastAsia="en-US"/>
        </w:rPr>
        <w:drawing>
          <wp:inline distT="0" distB="0" distL="0" distR="0" wp14:anchorId="414C758D" wp14:editId="2D468115">
            <wp:extent cx="5832475" cy="361828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32475" cy="3618285"/>
                    </a:xfrm>
                    <a:prstGeom prst="rect">
                      <a:avLst/>
                    </a:prstGeom>
                    <a:noFill/>
                    <a:ln>
                      <a:noFill/>
                    </a:ln>
                  </pic:spPr>
                </pic:pic>
              </a:graphicData>
            </a:graphic>
          </wp:inline>
        </w:drawing>
      </w:r>
    </w:p>
    <w:p w:rsidR="004E3DF9" w:rsidRPr="00497F19" w:rsidRDefault="004E3DF9" w:rsidP="004E3DF9">
      <w:pPr>
        <w:rPr>
          <w:rStyle w:val="NORMALTEXT"/>
          <w:lang w:val="es-ES_tradnl"/>
        </w:rPr>
      </w:pPr>
    </w:p>
    <w:p w:rsidR="004E3DF9" w:rsidRPr="00497F19" w:rsidRDefault="00216302" w:rsidP="004E3DF9">
      <w:pPr>
        <w:rPr>
          <w:szCs w:val="22"/>
          <w:lang w:val="es-ES_tradnl" w:eastAsia="da-DK"/>
        </w:rPr>
      </w:pPr>
      <w:r w:rsidRPr="00497F19">
        <w:rPr>
          <w:szCs w:val="22"/>
          <w:lang w:val="es-ES_tradnl" w:eastAsia="da-DK"/>
        </w:rPr>
        <w:t>En el Cuadro 1.2 que se reproduce bajo estas líneas, los ingresos y los gastos reales y presupuestados se comparan sobre una base presupuestaria por Uniones y por tipos de gastos directos/indirectos</w:t>
      </w:r>
      <w:r w:rsidR="004E3DF9" w:rsidRPr="00497F19">
        <w:rPr>
          <w:szCs w:val="22"/>
          <w:lang w:val="es-ES_tradnl" w:eastAsia="da-DK"/>
        </w:rPr>
        <w:t xml:space="preserve">.  </w:t>
      </w:r>
      <w:r w:rsidRPr="00497F19">
        <w:rPr>
          <w:szCs w:val="22"/>
          <w:lang w:val="es-ES_tradnl" w:eastAsia="da-DK"/>
        </w:rPr>
        <w:t xml:space="preserve">La clasificación de los gastos de las Uniones como directos o indirectos se ha verificado con arreglo a la metodología adoptada por las Asambleas de la OMPI en el contexto de la aprobación del presupuesto por programas para el bienio </w:t>
      </w:r>
      <w:r w:rsidR="004E3DF9" w:rsidRPr="00497F19">
        <w:rPr>
          <w:szCs w:val="22"/>
          <w:lang w:val="es-ES_tradnl" w:eastAsia="da-DK"/>
        </w:rPr>
        <w:t>2012/13 (</w:t>
      </w:r>
      <w:r w:rsidRPr="00497F19">
        <w:rPr>
          <w:szCs w:val="22"/>
          <w:lang w:val="es-ES_tradnl" w:eastAsia="da-DK"/>
        </w:rPr>
        <w:t>Anexo</w:t>
      </w:r>
      <w:r w:rsidR="004E3DF9" w:rsidRPr="00497F19">
        <w:rPr>
          <w:szCs w:val="22"/>
          <w:lang w:val="es-ES_tradnl" w:eastAsia="da-DK"/>
        </w:rPr>
        <w:t xml:space="preserve"> III </w:t>
      </w:r>
      <w:r w:rsidRPr="00497F19">
        <w:rPr>
          <w:szCs w:val="22"/>
          <w:lang w:val="es-ES_tradnl" w:eastAsia="da-DK"/>
        </w:rPr>
        <w:t>del presupuesto por programas de</w:t>
      </w:r>
      <w:r w:rsidR="004E3DF9" w:rsidRPr="00497F19">
        <w:rPr>
          <w:szCs w:val="22"/>
          <w:lang w:val="es-ES_tradnl" w:eastAsia="da-DK"/>
        </w:rPr>
        <w:t xml:space="preserve"> 2012/13).  </w:t>
      </w:r>
    </w:p>
    <w:p w:rsidR="004E3DF9" w:rsidRPr="00497F19" w:rsidRDefault="004E3DF9" w:rsidP="004E3DF9">
      <w:pPr>
        <w:rPr>
          <w:sz w:val="23"/>
          <w:szCs w:val="23"/>
          <w:lang w:val="es-ES_tradnl" w:eastAsia="da-DK"/>
        </w:rPr>
      </w:pPr>
    </w:p>
    <w:p w:rsidR="004E3DF9" w:rsidRPr="00497F19" w:rsidRDefault="00FE411D" w:rsidP="004E3DF9">
      <w:pPr>
        <w:pStyle w:val="Heading2"/>
        <w:jc w:val="center"/>
        <w:rPr>
          <w:b/>
          <w:lang w:val="es-ES_tradnl"/>
        </w:rPr>
      </w:pPr>
      <w:bookmarkStart w:id="6" w:name="_Toc395626659"/>
      <w:r w:rsidRPr="00497F19">
        <w:rPr>
          <w:b/>
          <w:caps w:val="0"/>
          <w:lang w:val="es-ES_tradnl"/>
        </w:rPr>
        <w:t>Cuadro 1.2</w:t>
      </w:r>
      <w:r w:rsidRPr="00497F19">
        <w:rPr>
          <w:b/>
          <w:caps w:val="0"/>
          <w:lang w:val="es-ES_tradnl"/>
        </w:rPr>
        <w:tab/>
        <w:t xml:space="preserve">Ingresos y gastos por Unión – </w:t>
      </w:r>
      <w:r w:rsidR="007551CE" w:rsidRPr="00497F19">
        <w:rPr>
          <w:b/>
          <w:caps w:val="0"/>
          <w:lang w:val="es-ES_tradnl"/>
        </w:rPr>
        <w:t xml:space="preserve">Bienio </w:t>
      </w:r>
      <w:r w:rsidRPr="00497F19">
        <w:rPr>
          <w:b/>
          <w:caps w:val="0"/>
          <w:lang w:val="es-ES_tradnl"/>
        </w:rPr>
        <w:t>2012/13 (base presupuestaria)</w:t>
      </w:r>
      <w:bookmarkEnd w:id="6"/>
    </w:p>
    <w:p w:rsidR="004E3DF9" w:rsidRPr="00497F19" w:rsidRDefault="004E3DF9" w:rsidP="004E3DF9">
      <w:pPr>
        <w:jc w:val="center"/>
        <w:rPr>
          <w:i/>
          <w:lang w:val="es-ES_tradnl" w:eastAsia="da-DK"/>
        </w:rPr>
      </w:pPr>
      <w:r w:rsidRPr="00497F19">
        <w:rPr>
          <w:i/>
          <w:lang w:val="es-ES_tradnl" w:eastAsia="da-DK"/>
        </w:rPr>
        <w:t>(</w:t>
      </w:r>
      <w:proofErr w:type="gramStart"/>
      <w:r w:rsidRPr="00497F19">
        <w:rPr>
          <w:i/>
          <w:lang w:val="es-ES_tradnl" w:eastAsia="da-DK"/>
        </w:rPr>
        <w:t>en</w:t>
      </w:r>
      <w:proofErr w:type="gramEnd"/>
      <w:r w:rsidRPr="00497F19">
        <w:rPr>
          <w:i/>
          <w:lang w:val="es-ES_tradnl" w:eastAsia="da-DK"/>
        </w:rPr>
        <w:t xml:space="preserve"> miles de francos suizos)</w:t>
      </w:r>
    </w:p>
    <w:p w:rsidR="004E3DF9" w:rsidRPr="00497F19" w:rsidRDefault="004E3DF9" w:rsidP="004E3DF9">
      <w:pPr>
        <w:jc w:val="center"/>
        <w:rPr>
          <w:i/>
          <w:lang w:val="es-ES_tradnl" w:eastAsia="da-DK"/>
        </w:rPr>
      </w:pPr>
    </w:p>
    <w:p w:rsidR="004E3DF9" w:rsidRPr="00497F19" w:rsidRDefault="005B55BC" w:rsidP="004E3DF9">
      <w:pPr>
        <w:jc w:val="center"/>
        <w:rPr>
          <w:sz w:val="23"/>
          <w:szCs w:val="23"/>
          <w:lang w:val="es-ES_tradnl" w:eastAsia="da-DK"/>
        </w:rPr>
      </w:pPr>
      <w:r w:rsidRPr="00497F19">
        <w:rPr>
          <w:noProof/>
          <w:lang w:val="en-US" w:eastAsia="en-US"/>
        </w:rPr>
        <w:drawing>
          <wp:inline distT="0" distB="0" distL="0" distR="0" wp14:anchorId="04D2DAD3" wp14:editId="28217C1D">
            <wp:extent cx="5832475" cy="1481816"/>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32475" cy="1481816"/>
                    </a:xfrm>
                    <a:prstGeom prst="rect">
                      <a:avLst/>
                    </a:prstGeom>
                    <a:noFill/>
                    <a:ln>
                      <a:noFill/>
                    </a:ln>
                  </pic:spPr>
                </pic:pic>
              </a:graphicData>
            </a:graphic>
          </wp:inline>
        </w:drawing>
      </w:r>
    </w:p>
    <w:p w:rsidR="004E3DF9" w:rsidRPr="00497F19" w:rsidRDefault="004E3DF9" w:rsidP="004E3DF9">
      <w:pPr>
        <w:keepNext/>
        <w:keepLines/>
        <w:rPr>
          <w:sz w:val="23"/>
          <w:szCs w:val="23"/>
          <w:lang w:val="es-ES_tradnl" w:eastAsia="da-DK"/>
        </w:rPr>
      </w:pPr>
    </w:p>
    <w:p w:rsidR="004E3DF9" w:rsidRPr="00497F19" w:rsidRDefault="004E3DF9" w:rsidP="004E3DF9">
      <w:pPr>
        <w:rPr>
          <w:bCs/>
          <w:sz w:val="19"/>
          <w:szCs w:val="19"/>
          <w:lang w:val="es-ES_tradnl"/>
        </w:rPr>
      </w:pPr>
    </w:p>
    <w:p w:rsidR="004E3DF9" w:rsidRPr="00497F19" w:rsidRDefault="00DF2B5E" w:rsidP="004E3DF9">
      <w:pPr>
        <w:rPr>
          <w:szCs w:val="22"/>
          <w:lang w:val="es-ES_tradnl"/>
        </w:rPr>
      </w:pPr>
      <w:r w:rsidRPr="00497F19">
        <w:rPr>
          <w:szCs w:val="22"/>
          <w:lang w:val="es-ES_tradnl"/>
        </w:rPr>
        <w:t>En el Cuadro 1.3 que se reproduce bajo estas líneas se indican de manera resumida los proyectos especiales con cargo a las reser</w:t>
      </w:r>
      <w:r w:rsidR="00C37FDD" w:rsidRPr="00497F19">
        <w:rPr>
          <w:szCs w:val="22"/>
          <w:lang w:val="es-ES_tradnl"/>
        </w:rPr>
        <w:t xml:space="preserve">vas que se estaban ejecutando al final </w:t>
      </w:r>
      <w:r w:rsidRPr="00497F19">
        <w:rPr>
          <w:szCs w:val="22"/>
          <w:lang w:val="es-ES_tradnl"/>
        </w:rPr>
        <w:t xml:space="preserve">de 2013.  </w:t>
      </w:r>
      <w:r w:rsidR="00C37FDD" w:rsidRPr="00497F19">
        <w:rPr>
          <w:szCs w:val="22"/>
          <w:lang w:val="es-ES_tradnl"/>
        </w:rPr>
        <w:t>El total de saldos</w:t>
      </w:r>
      <w:r w:rsidRPr="00497F19">
        <w:rPr>
          <w:szCs w:val="22"/>
          <w:lang w:val="es-ES_tradnl"/>
        </w:rPr>
        <w:t xml:space="preserve"> </w:t>
      </w:r>
      <w:r w:rsidR="00C37FDD" w:rsidRPr="00497F19">
        <w:rPr>
          <w:szCs w:val="22"/>
          <w:lang w:val="es-ES_tradnl"/>
        </w:rPr>
        <w:t xml:space="preserve">restantes </w:t>
      </w:r>
      <w:r w:rsidRPr="00497F19">
        <w:rPr>
          <w:szCs w:val="22"/>
          <w:lang w:val="es-ES_tradnl"/>
        </w:rPr>
        <w:t xml:space="preserve">de </w:t>
      </w:r>
      <w:r w:rsidR="00C37FDD" w:rsidRPr="00497F19">
        <w:rPr>
          <w:szCs w:val="22"/>
          <w:lang w:val="es-ES_tradnl"/>
        </w:rPr>
        <w:t xml:space="preserve">los </w:t>
      </w:r>
      <w:r w:rsidRPr="00497F19">
        <w:rPr>
          <w:szCs w:val="22"/>
          <w:lang w:val="es-ES_tradnl"/>
        </w:rPr>
        <w:t>proyectos al final de 2013 ascend</w:t>
      </w:r>
      <w:r w:rsidR="00C37FDD" w:rsidRPr="00497F19">
        <w:rPr>
          <w:szCs w:val="22"/>
          <w:lang w:val="es-ES_tradnl"/>
        </w:rPr>
        <w:t>ía</w:t>
      </w:r>
      <w:r w:rsidRPr="00497F19">
        <w:rPr>
          <w:szCs w:val="22"/>
          <w:lang w:val="es-ES_tradnl"/>
        </w:rPr>
        <w:t xml:space="preserve"> a 25,0 millones de francos suizos.  Cabe observar que la creación y presentación en los estados financieros anuales de una reserva específica para proyectos especiales con cargo a las reservas es una recomendación del Auditor Externo.</w:t>
      </w:r>
    </w:p>
    <w:p w:rsidR="004E3DF9" w:rsidRPr="00497F19" w:rsidRDefault="004E3DF9" w:rsidP="004E3DF9">
      <w:pPr>
        <w:keepNext/>
        <w:keepLines/>
        <w:rPr>
          <w:bCs/>
          <w:sz w:val="19"/>
          <w:szCs w:val="19"/>
          <w:lang w:val="es-ES_tradnl"/>
        </w:rPr>
      </w:pPr>
    </w:p>
    <w:p w:rsidR="004E3DF9" w:rsidRPr="00497F19" w:rsidRDefault="00E1166A" w:rsidP="004E3DF9">
      <w:pPr>
        <w:pStyle w:val="Heading2"/>
        <w:jc w:val="center"/>
        <w:rPr>
          <w:b/>
          <w:lang w:val="es-ES_tradnl"/>
        </w:rPr>
      </w:pPr>
      <w:bookmarkStart w:id="7" w:name="_Toc395626660"/>
      <w:r w:rsidRPr="00497F19">
        <w:rPr>
          <w:b/>
          <w:caps w:val="0"/>
          <w:lang w:val="es-ES_tradnl"/>
        </w:rPr>
        <w:t>Cuadro</w:t>
      </w:r>
      <w:r w:rsidR="00FE411D" w:rsidRPr="00497F19">
        <w:rPr>
          <w:b/>
          <w:caps w:val="0"/>
          <w:lang w:val="es-ES_tradnl"/>
        </w:rPr>
        <w:t xml:space="preserve"> 1.3</w:t>
      </w:r>
      <w:r w:rsidR="00FE411D" w:rsidRPr="00497F19">
        <w:rPr>
          <w:b/>
          <w:caps w:val="0"/>
          <w:lang w:val="es-ES_tradnl"/>
        </w:rPr>
        <w:tab/>
      </w:r>
      <w:r w:rsidRPr="00497F19">
        <w:rPr>
          <w:b/>
          <w:caps w:val="0"/>
          <w:lang w:val="es-ES_tradnl"/>
        </w:rPr>
        <w:t xml:space="preserve">Proyectos especiales con cargo a las reservas a fines de </w:t>
      </w:r>
      <w:r w:rsidR="00FE411D" w:rsidRPr="00497F19">
        <w:rPr>
          <w:b/>
          <w:caps w:val="0"/>
          <w:lang w:val="es-ES_tradnl"/>
        </w:rPr>
        <w:t>2013</w:t>
      </w:r>
      <w:bookmarkEnd w:id="7"/>
    </w:p>
    <w:p w:rsidR="004E3DF9" w:rsidRPr="00497F19" w:rsidRDefault="004E3DF9" w:rsidP="004E3DF9">
      <w:pPr>
        <w:jc w:val="center"/>
        <w:rPr>
          <w:i/>
          <w:lang w:val="es-ES_tradnl" w:eastAsia="da-DK"/>
        </w:rPr>
      </w:pPr>
      <w:r w:rsidRPr="00497F19">
        <w:rPr>
          <w:i/>
          <w:lang w:val="es-ES_tradnl" w:eastAsia="da-DK"/>
        </w:rPr>
        <w:t>(</w:t>
      </w:r>
      <w:proofErr w:type="gramStart"/>
      <w:r w:rsidR="00F76201" w:rsidRPr="00497F19">
        <w:rPr>
          <w:i/>
          <w:lang w:val="es-ES_tradnl" w:eastAsia="da-DK"/>
        </w:rPr>
        <w:t>en</w:t>
      </w:r>
      <w:proofErr w:type="gramEnd"/>
      <w:r w:rsidR="00F76201" w:rsidRPr="00497F19">
        <w:rPr>
          <w:i/>
          <w:lang w:val="es-ES_tradnl" w:eastAsia="da-DK"/>
        </w:rPr>
        <w:t xml:space="preserve"> miles de francos suizos</w:t>
      </w:r>
      <w:r w:rsidRPr="00497F19">
        <w:rPr>
          <w:i/>
          <w:lang w:val="es-ES_tradnl" w:eastAsia="da-DK"/>
        </w:rPr>
        <w:t>)</w:t>
      </w:r>
    </w:p>
    <w:p w:rsidR="004E3DF9" w:rsidRPr="00497F19" w:rsidRDefault="004E3DF9" w:rsidP="004E3DF9">
      <w:pPr>
        <w:rPr>
          <w:i/>
          <w:szCs w:val="22"/>
          <w:lang w:val="es-ES_tradnl" w:eastAsia="da-DK"/>
        </w:rPr>
      </w:pPr>
    </w:p>
    <w:p w:rsidR="004E3DF9" w:rsidRPr="00497F19" w:rsidRDefault="004E3DF9" w:rsidP="004E3DF9">
      <w:pPr>
        <w:jc w:val="center"/>
        <w:rPr>
          <w:i/>
          <w:lang w:val="es-ES_tradnl" w:eastAsia="da-DK"/>
        </w:rPr>
      </w:pPr>
    </w:p>
    <w:p w:rsidR="004E3DF9" w:rsidRPr="00497F19" w:rsidRDefault="005B55BC" w:rsidP="004E3DF9">
      <w:pPr>
        <w:rPr>
          <w:lang w:val="es-ES_tradnl" w:eastAsia="da-DK"/>
        </w:rPr>
      </w:pPr>
      <w:r w:rsidRPr="00497F19">
        <w:rPr>
          <w:noProof/>
          <w:lang w:val="en-US" w:eastAsia="en-US"/>
        </w:rPr>
        <w:drawing>
          <wp:inline distT="0" distB="0" distL="0" distR="0" wp14:anchorId="27A32580" wp14:editId="38E2657C">
            <wp:extent cx="5832475" cy="215970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32475" cy="2159705"/>
                    </a:xfrm>
                    <a:prstGeom prst="rect">
                      <a:avLst/>
                    </a:prstGeom>
                    <a:noFill/>
                    <a:ln>
                      <a:noFill/>
                    </a:ln>
                  </pic:spPr>
                </pic:pic>
              </a:graphicData>
            </a:graphic>
          </wp:inline>
        </w:drawing>
      </w:r>
    </w:p>
    <w:p w:rsidR="004E3DF9" w:rsidRPr="00497F19" w:rsidRDefault="004E3DF9" w:rsidP="004E3DF9">
      <w:pPr>
        <w:pStyle w:val="ListParagraph"/>
        <w:rPr>
          <w:rFonts w:ascii="Arial" w:hAnsi="Arial"/>
          <w:sz w:val="19"/>
          <w:szCs w:val="19"/>
          <w:lang w:val="es-ES_tradnl"/>
        </w:rPr>
      </w:pPr>
    </w:p>
    <w:p w:rsidR="004E3DF9" w:rsidRPr="00497F19" w:rsidRDefault="004E3DF9" w:rsidP="004E3DF9">
      <w:pPr>
        <w:pStyle w:val="ListParagraph"/>
        <w:rPr>
          <w:rFonts w:ascii="Arial" w:hAnsi="Arial"/>
          <w:sz w:val="19"/>
          <w:szCs w:val="19"/>
          <w:lang w:val="es-ES_tradnl"/>
        </w:rPr>
      </w:pPr>
    </w:p>
    <w:p w:rsidR="004E3DF9" w:rsidRPr="00497F19" w:rsidRDefault="00C37FDD" w:rsidP="004E3DF9">
      <w:pPr>
        <w:rPr>
          <w:sz w:val="19"/>
          <w:szCs w:val="19"/>
          <w:highlight w:val="yellow"/>
          <w:lang w:val="es-ES_tradnl"/>
        </w:rPr>
      </w:pPr>
      <w:r w:rsidRPr="00497F19">
        <w:rPr>
          <w:szCs w:val="22"/>
          <w:lang w:val="es-ES_tradnl"/>
        </w:rPr>
        <w:t>En el Cuadro 1.4 que se reproduce bajo estas líneas se indican de manera resumida los dos proyectos de construcción que se estaban ejecutando al final de 2013.</w:t>
      </w:r>
    </w:p>
    <w:p w:rsidR="004E3DF9" w:rsidRPr="00497F19" w:rsidRDefault="004E3DF9" w:rsidP="004E3DF9">
      <w:pPr>
        <w:rPr>
          <w:sz w:val="19"/>
          <w:szCs w:val="19"/>
          <w:highlight w:val="yellow"/>
          <w:lang w:val="es-ES_tradnl"/>
        </w:rPr>
      </w:pPr>
    </w:p>
    <w:p w:rsidR="004E3DF9" w:rsidRPr="003D24BA" w:rsidRDefault="00C37FDD" w:rsidP="004E3DF9">
      <w:pPr>
        <w:pStyle w:val="Heading2"/>
        <w:jc w:val="center"/>
        <w:rPr>
          <w:b/>
          <w:lang w:val="es-ES_tradnl"/>
        </w:rPr>
      </w:pPr>
      <w:bookmarkStart w:id="8" w:name="_Toc395626661"/>
      <w:r w:rsidRPr="003D24BA">
        <w:rPr>
          <w:b/>
          <w:caps w:val="0"/>
          <w:lang w:val="es-ES_tradnl"/>
        </w:rPr>
        <w:t>Cuadro</w:t>
      </w:r>
      <w:r w:rsidR="004E70E4" w:rsidRPr="003D24BA">
        <w:rPr>
          <w:b/>
          <w:caps w:val="0"/>
          <w:lang w:val="es-ES_tradnl"/>
        </w:rPr>
        <w:t xml:space="preserve"> 1.4</w:t>
      </w:r>
      <w:r w:rsidR="004E70E4" w:rsidRPr="003D24BA">
        <w:rPr>
          <w:b/>
          <w:caps w:val="0"/>
          <w:lang w:val="es-ES_tradnl"/>
        </w:rPr>
        <w:tab/>
      </w:r>
      <w:r w:rsidRPr="003D24BA">
        <w:rPr>
          <w:b/>
          <w:caps w:val="0"/>
          <w:lang w:val="es-ES_tradnl"/>
        </w:rPr>
        <w:t>Principales proyectos de construcción a fines de</w:t>
      </w:r>
      <w:r w:rsidR="004E70E4" w:rsidRPr="003D24BA">
        <w:rPr>
          <w:b/>
          <w:caps w:val="0"/>
          <w:lang w:val="es-ES_tradnl"/>
        </w:rPr>
        <w:t xml:space="preserve"> 2013</w:t>
      </w:r>
      <w:bookmarkEnd w:id="8"/>
    </w:p>
    <w:p w:rsidR="004E3DF9" w:rsidRPr="00497F19" w:rsidRDefault="004E3DF9" w:rsidP="004E3DF9">
      <w:pPr>
        <w:jc w:val="center"/>
        <w:rPr>
          <w:i/>
          <w:lang w:val="es-ES_tradnl" w:eastAsia="da-DK"/>
        </w:rPr>
      </w:pPr>
      <w:r w:rsidRPr="00497F19">
        <w:rPr>
          <w:i/>
          <w:lang w:val="es-ES_tradnl" w:eastAsia="da-DK"/>
        </w:rPr>
        <w:t>(</w:t>
      </w:r>
      <w:proofErr w:type="gramStart"/>
      <w:r w:rsidR="00F76201" w:rsidRPr="00497F19">
        <w:rPr>
          <w:i/>
          <w:lang w:val="es-ES_tradnl" w:eastAsia="da-DK"/>
        </w:rPr>
        <w:t>en</w:t>
      </w:r>
      <w:proofErr w:type="gramEnd"/>
      <w:r w:rsidR="00F76201" w:rsidRPr="00497F19">
        <w:rPr>
          <w:i/>
          <w:lang w:val="es-ES_tradnl" w:eastAsia="da-DK"/>
        </w:rPr>
        <w:t xml:space="preserve"> miles de francos suizos</w:t>
      </w:r>
      <w:r w:rsidRPr="00497F19">
        <w:rPr>
          <w:i/>
          <w:lang w:val="es-ES_tradnl" w:eastAsia="da-DK"/>
        </w:rPr>
        <w:t>)</w:t>
      </w:r>
    </w:p>
    <w:p w:rsidR="004E3DF9" w:rsidRPr="00497F19" w:rsidRDefault="004E3DF9" w:rsidP="004E3DF9">
      <w:pPr>
        <w:rPr>
          <w:sz w:val="19"/>
          <w:szCs w:val="19"/>
          <w:highlight w:val="yellow"/>
          <w:lang w:val="es-ES_tradnl"/>
        </w:rPr>
      </w:pPr>
    </w:p>
    <w:p w:rsidR="004E3DF9" w:rsidRPr="00497F19" w:rsidRDefault="004E3DF9" w:rsidP="004E3DF9">
      <w:pPr>
        <w:rPr>
          <w:sz w:val="19"/>
          <w:szCs w:val="19"/>
          <w:highlight w:val="yellow"/>
          <w:lang w:val="es-ES_tradnl"/>
        </w:rPr>
      </w:pPr>
    </w:p>
    <w:p w:rsidR="004E3DF9" w:rsidRPr="00497F19" w:rsidRDefault="005B55BC" w:rsidP="004E3DF9">
      <w:pPr>
        <w:rPr>
          <w:sz w:val="19"/>
          <w:szCs w:val="19"/>
          <w:highlight w:val="yellow"/>
          <w:lang w:val="es-ES_tradnl"/>
        </w:rPr>
        <w:sectPr w:rsidR="004E3DF9" w:rsidRPr="00497F19" w:rsidSect="004E3DF9">
          <w:headerReference w:type="even" r:id="rId23"/>
          <w:headerReference w:type="default" r:id="rId24"/>
          <w:pgSz w:w="11907" w:h="16840" w:code="9"/>
          <w:pgMar w:top="567" w:right="1304" w:bottom="1418" w:left="1418" w:header="510" w:footer="510" w:gutter="0"/>
          <w:cols w:space="720"/>
          <w:docGrid w:linePitch="326"/>
        </w:sectPr>
      </w:pPr>
      <w:r w:rsidRPr="00497F19">
        <w:rPr>
          <w:noProof/>
          <w:lang w:val="en-US" w:eastAsia="en-US"/>
        </w:rPr>
        <w:drawing>
          <wp:inline distT="0" distB="0" distL="0" distR="0" wp14:anchorId="605C128C" wp14:editId="47407028">
            <wp:extent cx="5832475" cy="1785058"/>
            <wp:effectExtent l="0" t="0" r="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32475" cy="1785058"/>
                    </a:xfrm>
                    <a:prstGeom prst="rect">
                      <a:avLst/>
                    </a:prstGeom>
                    <a:noFill/>
                    <a:ln>
                      <a:noFill/>
                    </a:ln>
                  </pic:spPr>
                </pic:pic>
              </a:graphicData>
            </a:graphic>
          </wp:inline>
        </w:drawing>
      </w:r>
    </w:p>
    <w:p w:rsidR="004E3DF9" w:rsidRPr="00497F19" w:rsidRDefault="00F76201" w:rsidP="004E3DF9">
      <w:pPr>
        <w:pStyle w:val="Heading1"/>
        <w:rPr>
          <w:sz w:val="25"/>
          <w:szCs w:val="25"/>
          <w:lang w:val="es-ES_tradnl"/>
        </w:rPr>
      </w:pPr>
      <w:bookmarkStart w:id="9" w:name="_Toc395626662"/>
      <w:r w:rsidRPr="00497F19">
        <w:rPr>
          <w:sz w:val="25"/>
          <w:szCs w:val="25"/>
          <w:lang w:val="es-ES_tradnl"/>
        </w:rPr>
        <w:lastRenderedPageBreak/>
        <w:t>PRESUPUESTO</w:t>
      </w:r>
      <w:bookmarkEnd w:id="9"/>
    </w:p>
    <w:p w:rsidR="004E3DF9" w:rsidRPr="00497F19" w:rsidRDefault="004E3DF9" w:rsidP="004E3DF9">
      <w:pPr>
        <w:widowControl w:val="0"/>
        <w:rPr>
          <w:sz w:val="23"/>
          <w:szCs w:val="23"/>
          <w:lang w:val="es-ES_tradnl"/>
        </w:rPr>
      </w:pPr>
    </w:p>
    <w:p w:rsidR="004E3DF9" w:rsidRPr="00497F19" w:rsidRDefault="00F76201" w:rsidP="004E3DF9">
      <w:pPr>
        <w:widowControl w:val="0"/>
        <w:rPr>
          <w:b/>
          <w:sz w:val="23"/>
          <w:szCs w:val="23"/>
          <w:lang w:val="es-ES_tradnl"/>
        </w:rPr>
      </w:pPr>
      <w:r w:rsidRPr="00497F19">
        <w:rPr>
          <w:b/>
          <w:sz w:val="23"/>
          <w:szCs w:val="23"/>
          <w:lang w:val="es-ES_tradnl"/>
        </w:rPr>
        <w:t>Presupuesto</w:t>
      </w:r>
    </w:p>
    <w:p w:rsidR="004E3DF9" w:rsidRPr="00497F19" w:rsidRDefault="004E3DF9" w:rsidP="004E3DF9">
      <w:pPr>
        <w:widowControl w:val="0"/>
        <w:rPr>
          <w:sz w:val="23"/>
          <w:szCs w:val="23"/>
          <w:lang w:val="es-ES_tradnl"/>
        </w:rPr>
      </w:pPr>
    </w:p>
    <w:p w:rsidR="004E3DF9" w:rsidRPr="00497F19" w:rsidRDefault="00ED2267" w:rsidP="00ED2267">
      <w:pPr>
        <w:widowControl w:val="0"/>
        <w:rPr>
          <w:szCs w:val="22"/>
          <w:lang w:val="es-ES_tradnl"/>
        </w:rPr>
      </w:pPr>
      <w:r w:rsidRPr="00497F19">
        <w:rPr>
          <w:szCs w:val="22"/>
          <w:lang w:val="es-ES_tradnl"/>
        </w:rPr>
        <w:t xml:space="preserve">El presupuesto por programas del bienio 2012/13 fue aprobado por </w:t>
      </w:r>
      <w:r w:rsidR="002242F2" w:rsidRPr="00497F19">
        <w:rPr>
          <w:szCs w:val="22"/>
          <w:lang w:val="es-ES_tradnl"/>
        </w:rPr>
        <w:t>la</w:t>
      </w:r>
      <w:r w:rsidRPr="00497F19">
        <w:rPr>
          <w:szCs w:val="22"/>
          <w:lang w:val="es-ES_tradnl"/>
        </w:rPr>
        <w:t xml:space="preserve"> 49ª </w:t>
      </w:r>
      <w:r w:rsidR="002242F2" w:rsidRPr="00497F19">
        <w:rPr>
          <w:szCs w:val="22"/>
          <w:lang w:val="es-ES_tradnl"/>
        </w:rPr>
        <w:t xml:space="preserve">serie de reuniones </w:t>
      </w:r>
      <w:r w:rsidRPr="00497F19">
        <w:rPr>
          <w:szCs w:val="22"/>
          <w:lang w:val="es-ES_tradnl"/>
        </w:rPr>
        <w:t xml:space="preserve">de las Asambleas de los Estados miembros de la OMPI en octubre de 2011 (documento A/49/18).  El presupuesto fue aprobado por un importe de 647,4 millones de francos suizos, con sujeción a “que la Secretaría haga esfuerzos para reducir gastos, aplicando medidas destinadas a fomentar la eficacia en función de los costos, por un importe de 10,2 millones de francos suizos, de modo que el presupuesto pase de 647,4 millones de francos suizos a 637,2 millones de francos suizos, entre otras medidas, por medio de políticas de viajes del personal y de terceros, gestión de locales, políticas de pago de ASE y honorarios de expertos y conferenciantes, programas de pasantías, recepciones y alquiler de locales y equipo durante las conferencias y reducción de costos de personal gracias a la mejora del diseño orgánico.  </w:t>
      </w:r>
      <w:r w:rsidR="00F76201" w:rsidRPr="00497F19">
        <w:rPr>
          <w:szCs w:val="22"/>
          <w:lang w:val="es-ES_tradnl"/>
        </w:rPr>
        <w:t xml:space="preserve">Estas medidas no afectarán a la ejecución de los programas, ni a los resultados y metas expuestos en la propuesta de presupuesto por programas.  </w:t>
      </w:r>
      <w:r w:rsidRPr="00497F19">
        <w:rPr>
          <w:szCs w:val="22"/>
          <w:lang w:val="es-ES_tradnl"/>
        </w:rPr>
        <w:t>La Secretaría informará a los Estados miembros acerca de la puesta en práctica de las medidas destinadas a fomentar la eficacia en los informes anuales sobre el rendimiento de los programas</w:t>
      </w:r>
      <w:r w:rsidR="004E3DF9" w:rsidRPr="00497F19">
        <w:rPr>
          <w:szCs w:val="22"/>
          <w:lang w:val="es-ES_tradnl"/>
        </w:rPr>
        <w:t xml:space="preserve">”.  </w:t>
      </w:r>
      <w:r w:rsidRPr="00497F19">
        <w:rPr>
          <w:szCs w:val="22"/>
          <w:lang w:val="es-ES_tradnl"/>
        </w:rPr>
        <w:t>El presupuesto final despu</w:t>
      </w:r>
      <w:r w:rsidR="00F14DD1" w:rsidRPr="00497F19">
        <w:rPr>
          <w:szCs w:val="22"/>
          <w:lang w:val="es-ES_tradnl"/>
        </w:rPr>
        <w:t>és de las tra</w:t>
      </w:r>
      <w:r w:rsidRPr="00497F19">
        <w:rPr>
          <w:szCs w:val="22"/>
          <w:lang w:val="es-ES_tradnl"/>
        </w:rPr>
        <w:t>n</w:t>
      </w:r>
      <w:r w:rsidR="00F14DD1" w:rsidRPr="00497F19">
        <w:rPr>
          <w:szCs w:val="22"/>
          <w:lang w:val="es-ES_tradnl"/>
        </w:rPr>
        <w:t>s</w:t>
      </w:r>
      <w:r w:rsidRPr="00497F19">
        <w:rPr>
          <w:szCs w:val="22"/>
          <w:lang w:val="es-ES_tradnl"/>
        </w:rPr>
        <w:t xml:space="preserve">ferencias ascendía a </w:t>
      </w:r>
      <w:r w:rsidR="004E3DF9" w:rsidRPr="00497F19">
        <w:rPr>
          <w:szCs w:val="22"/>
          <w:lang w:val="es-ES_tradnl"/>
        </w:rPr>
        <w:t>648</w:t>
      </w:r>
      <w:r w:rsidRPr="00497F19">
        <w:rPr>
          <w:szCs w:val="22"/>
          <w:lang w:val="es-ES_tradnl"/>
        </w:rPr>
        <w:t>,</w:t>
      </w:r>
      <w:r w:rsidR="004E3DF9" w:rsidRPr="00497F19">
        <w:rPr>
          <w:szCs w:val="22"/>
          <w:lang w:val="es-ES_tradnl"/>
        </w:rPr>
        <w:t xml:space="preserve">4 </w:t>
      </w:r>
      <w:r w:rsidRPr="00497F19">
        <w:rPr>
          <w:szCs w:val="22"/>
          <w:lang w:val="es-ES_tradnl"/>
        </w:rPr>
        <w:t xml:space="preserve">millones de francos suizos, </w:t>
      </w:r>
      <w:r w:rsidR="00580BD5" w:rsidRPr="00497F19">
        <w:rPr>
          <w:szCs w:val="22"/>
          <w:lang w:val="es-ES_tradnl"/>
        </w:rPr>
        <w:t>y reflejaba</w:t>
      </w:r>
      <w:r w:rsidRPr="00497F19">
        <w:rPr>
          <w:szCs w:val="22"/>
          <w:lang w:val="es-ES_tradnl"/>
        </w:rPr>
        <w:t xml:space="preserve"> la creación de </w:t>
      </w:r>
      <w:r w:rsidR="004E3DF9" w:rsidRPr="00497F19">
        <w:rPr>
          <w:szCs w:val="22"/>
          <w:lang w:val="es-ES_tradnl"/>
        </w:rPr>
        <w:t xml:space="preserve">5 </w:t>
      </w:r>
      <w:r w:rsidRPr="00497F19">
        <w:rPr>
          <w:szCs w:val="22"/>
          <w:lang w:val="es-ES_tradnl"/>
        </w:rPr>
        <w:t>puestos con arreglo a la “cláusula de flexibilidad</w:t>
      </w:r>
      <w:r w:rsidR="004E3DF9" w:rsidRPr="00497F19">
        <w:rPr>
          <w:szCs w:val="22"/>
          <w:lang w:val="es-ES_tradnl"/>
        </w:rPr>
        <w:t xml:space="preserve">” </w:t>
      </w:r>
      <w:r w:rsidRPr="00497F19">
        <w:rPr>
          <w:szCs w:val="22"/>
          <w:lang w:val="es-ES_tradnl"/>
        </w:rPr>
        <w:t xml:space="preserve">en el marco del Programa </w:t>
      </w:r>
      <w:r w:rsidR="004E3DF9" w:rsidRPr="00497F19">
        <w:rPr>
          <w:szCs w:val="22"/>
          <w:lang w:val="es-ES_tradnl"/>
        </w:rPr>
        <w:t>5 (</w:t>
      </w:r>
      <w:r w:rsidRPr="00497F19">
        <w:rPr>
          <w:szCs w:val="22"/>
          <w:lang w:val="es-ES_tradnl"/>
        </w:rPr>
        <w:t xml:space="preserve">Sistema del </w:t>
      </w:r>
      <w:r w:rsidR="004E3DF9" w:rsidRPr="00497F19">
        <w:rPr>
          <w:szCs w:val="22"/>
          <w:lang w:val="es-ES_tradnl"/>
        </w:rPr>
        <w:t xml:space="preserve">PCT) </w:t>
      </w:r>
      <w:r w:rsidR="00F14DD1" w:rsidRPr="00497F19">
        <w:rPr>
          <w:szCs w:val="22"/>
          <w:lang w:val="es-ES_tradnl"/>
        </w:rPr>
        <w:t>habida cuenta de que las actividades de registro del PCT fueron superiores a lo presupuestado, lo que dio lugar a una  asignación adicional de recursos d</w:t>
      </w:r>
      <w:r w:rsidR="008F4F51" w:rsidRPr="00497F19">
        <w:rPr>
          <w:szCs w:val="22"/>
          <w:lang w:val="es-ES_tradnl"/>
        </w:rPr>
        <w:t>e personal por un importe de 981</w:t>
      </w:r>
      <w:r w:rsidR="00F14DD1" w:rsidRPr="00497F19">
        <w:rPr>
          <w:szCs w:val="22"/>
          <w:lang w:val="es-ES_tradnl"/>
        </w:rPr>
        <w:t>.000 francos suizos para el bienio.</w:t>
      </w:r>
    </w:p>
    <w:p w:rsidR="004E3DF9" w:rsidRPr="00497F19" w:rsidRDefault="004E3DF9" w:rsidP="004E3DF9">
      <w:pPr>
        <w:widowControl w:val="0"/>
        <w:rPr>
          <w:sz w:val="23"/>
          <w:szCs w:val="23"/>
          <w:lang w:val="es-ES_tradnl"/>
        </w:rPr>
      </w:pPr>
    </w:p>
    <w:p w:rsidR="004E3DF9" w:rsidRPr="00497F19" w:rsidRDefault="004858B7" w:rsidP="004E3DF9">
      <w:pPr>
        <w:widowControl w:val="0"/>
        <w:rPr>
          <w:b/>
          <w:sz w:val="23"/>
          <w:szCs w:val="23"/>
          <w:lang w:val="es-ES_tradnl"/>
        </w:rPr>
      </w:pPr>
      <w:r w:rsidRPr="00497F19">
        <w:rPr>
          <w:b/>
          <w:sz w:val="23"/>
          <w:szCs w:val="23"/>
          <w:lang w:val="es-ES_tradnl"/>
        </w:rPr>
        <w:t>Transferencias</w:t>
      </w:r>
    </w:p>
    <w:p w:rsidR="004E3DF9" w:rsidRPr="00497F19" w:rsidRDefault="004E3DF9" w:rsidP="004E3DF9">
      <w:pPr>
        <w:widowControl w:val="0"/>
        <w:rPr>
          <w:sz w:val="23"/>
          <w:szCs w:val="23"/>
          <w:lang w:val="es-ES_tradnl"/>
        </w:rPr>
      </w:pPr>
    </w:p>
    <w:p w:rsidR="004E3DF9" w:rsidRPr="00497F19" w:rsidRDefault="00216302" w:rsidP="004E3DF9">
      <w:pPr>
        <w:widowControl w:val="0"/>
        <w:rPr>
          <w:szCs w:val="22"/>
          <w:lang w:val="es-ES_tradnl"/>
        </w:rPr>
      </w:pPr>
      <w:r w:rsidRPr="00497F19">
        <w:rPr>
          <w:szCs w:val="22"/>
          <w:lang w:val="es-ES_tradnl"/>
        </w:rPr>
        <w:t>En el cuadro</w:t>
      </w:r>
      <w:r w:rsidR="004E3DF9" w:rsidRPr="00497F19">
        <w:rPr>
          <w:szCs w:val="22"/>
          <w:lang w:val="es-ES_tradnl"/>
        </w:rPr>
        <w:t xml:space="preserve"> 2 </w:t>
      </w:r>
      <w:r w:rsidRPr="00497F19">
        <w:rPr>
          <w:szCs w:val="22"/>
          <w:lang w:val="es-ES_tradnl"/>
        </w:rPr>
        <w:t xml:space="preserve">se consignan las transferencias de recursos financieros hechas entre diferentes programas durante el bienio </w:t>
      </w:r>
      <w:r w:rsidR="004E3DF9" w:rsidRPr="00497F19">
        <w:rPr>
          <w:szCs w:val="22"/>
          <w:lang w:val="es-ES_tradnl"/>
        </w:rPr>
        <w:t xml:space="preserve">2012/13.  </w:t>
      </w:r>
      <w:r w:rsidRPr="00497F19">
        <w:rPr>
          <w:szCs w:val="22"/>
          <w:lang w:val="es-ES_tradnl"/>
        </w:rPr>
        <w:t xml:space="preserve">Dichas transferencias fueron efectuadas conforme a lo dispuesto en el artículo </w:t>
      </w:r>
      <w:r w:rsidR="004E3DF9" w:rsidRPr="00497F19">
        <w:rPr>
          <w:szCs w:val="22"/>
          <w:lang w:val="es-ES_tradnl"/>
        </w:rPr>
        <w:t xml:space="preserve">5.5 </w:t>
      </w:r>
      <w:r w:rsidRPr="00497F19">
        <w:rPr>
          <w:szCs w:val="22"/>
          <w:lang w:val="es-ES_tradnl"/>
        </w:rPr>
        <w:t>del Reglamento Financiero y la Reglamentación Financiera de la OMPI, que estipula</w:t>
      </w:r>
      <w:r w:rsidR="004E3DF9" w:rsidRPr="00497F19">
        <w:rPr>
          <w:szCs w:val="22"/>
          <w:lang w:val="es-ES_tradnl"/>
        </w:rPr>
        <w:t>:  “</w:t>
      </w:r>
      <w:r w:rsidRPr="00497F19">
        <w:rPr>
          <w:szCs w:val="22"/>
          <w:lang w:val="es-ES_tradnl"/>
        </w:rPr>
        <w:t>El Director General podrá efectuar transferencias de un programa a otro del presupuesto por programas durante un ejercicio económico determinado y hasta el límite del cinco por ciento de la cuantía total correspondiente a la consignación bienal del programa receptor, o al uno por ciento del presupuesto total, si esta suma fuese superior, cuando esas transferencias sean necesarias para asegurar el funcionamiento adecuado de los servicios</w:t>
      </w:r>
      <w:r w:rsidR="004E3DF9" w:rsidRPr="00497F19">
        <w:rPr>
          <w:szCs w:val="22"/>
          <w:lang w:val="es-ES_tradnl"/>
        </w:rPr>
        <w:t>.”</w:t>
      </w:r>
    </w:p>
    <w:p w:rsidR="004E3DF9" w:rsidRPr="00497F19" w:rsidRDefault="004E3DF9" w:rsidP="004E3DF9">
      <w:pPr>
        <w:widowControl w:val="0"/>
        <w:rPr>
          <w:sz w:val="23"/>
          <w:szCs w:val="23"/>
          <w:lang w:val="es-ES_tradnl"/>
        </w:rPr>
      </w:pPr>
    </w:p>
    <w:p w:rsidR="004E3DF9" w:rsidRPr="00497F19" w:rsidRDefault="00A236E0" w:rsidP="004E3DF9">
      <w:pPr>
        <w:widowControl w:val="0"/>
        <w:rPr>
          <w:szCs w:val="22"/>
          <w:lang w:val="es-ES_tradnl"/>
        </w:rPr>
      </w:pPr>
      <w:r w:rsidRPr="00497F19">
        <w:rPr>
          <w:szCs w:val="22"/>
          <w:lang w:val="es-ES_tradnl"/>
        </w:rPr>
        <w:t xml:space="preserve">A continuación figuran las principales transferencias </w:t>
      </w:r>
      <w:r w:rsidR="00F07C2E" w:rsidRPr="00497F19">
        <w:rPr>
          <w:szCs w:val="22"/>
          <w:lang w:val="es-ES_tradnl"/>
        </w:rPr>
        <w:t xml:space="preserve">hechas </w:t>
      </w:r>
      <w:r w:rsidRPr="00497F19">
        <w:rPr>
          <w:szCs w:val="22"/>
          <w:lang w:val="es-ES_tradnl"/>
        </w:rPr>
        <w:t>entre programas en</w:t>
      </w:r>
      <w:r w:rsidR="00D859D5">
        <w:rPr>
          <w:szCs w:val="22"/>
          <w:lang w:val="es-ES_tradnl"/>
        </w:rPr>
        <w:t xml:space="preserve"> el bienio </w:t>
      </w:r>
      <w:r w:rsidR="004E3DF9" w:rsidRPr="00497F19">
        <w:rPr>
          <w:szCs w:val="22"/>
          <w:lang w:val="es-ES_tradnl"/>
        </w:rPr>
        <w:t>2012/13:</w:t>
      </w:r>
    </w:p>
    <w:p w:rsidR="004E3DF9" w:rsidRPr="00497F19" w:rsidRDefault="004E3DF9" w:rsidP="004E3DF9">
      <w:pPr>
        <w:widowControl w:val="0"/>
        <w:rPr>
          <w:szCs w:val="22"/>
          <w:lang w:val="es-ES_tradnl"/>
        </w:rPr>
      </w:pPr>
    </w:p>
    <w:p w:rsidR="004E3DF9" w:rsidRPr="00497F19" w:rsidRDefault="004E3DF9" w:rsidP="004E3DF9">
      <w:pPr>
        <w:widowControl w:val="0"/>
        <w:numPr>
          <w:ilvl w:val="0"/>
          <w:numId w:val="21"/>
        </w:numPr>
        <w:rPr>
          <w:szCs w:val="22"/>
          <w:lang w:val="es-ES_tradnl"/>
        </w:rPr>
      </w:pPr>
      <w:r w:rsidRPr="00497F19">
        <w:rPr>
          <w:szCs w:val="22"/>
          <w:lang w:val="es-ES_tradnl"/>
        </w:rPr>
        <w:t>Transfer</w:t>
      </w:r>
      <w:r w:rsidR="00571665" w:rsidRPr="00497F19">
        <w:rPr>
          <w:szCs w:val="22"/>
          <w:lang w:val="es-ES_tradnl"/>
        </w:rPr>
        <w:t>e</w:t>
      </w:r>
      <w:r w:rsidR="00F07C2E" w:rsidRPr="00497F19">
        <w:rPr>
          <w:szCs w:val="22"/>
          <w:lang w:val="es-ES_tradnl"/>
        </w:rPr>
        <w:t xml:space="preserve">ncia de recursos al </w:t>
      </w:r>
      <w:r w:rsidRPr="00497F19">
        <w:rPr>
          <w:szCs w:val="22"/>
          <w:lang w:val="es-ES_tradnl"/>
        </w:rPr>
        <w:t xml:space="preserve"> Program</w:t>
      </w:r>
      <w:r w:rsidR="00F07C2E" w:rsidRPr="00497F19">
        <w:rPr>
          <w:szCs w:val="22"/>
          <w:lang w:val="es-ES_tradnl"/>
        </w:rPr>
        <w:t>a</w:t>
      </w:r>
      <w:r w:rsidRPr="00497F19">
        <w:rPr>
          <w:szCs w:val="22"/>
          <w:lang w:val="es-ES_tradnl"/>
        </w:rPr>
        <w:t xml:space="preserve"> 3 (</w:t>
      </w:r>
      <w:r w:rsidR="00F07C2E" w:rsidRPr="00497F19">
        <w:rPr>
          <w:szCs w:val="22"/>
          <w:lang w:val="es-ES_tradnl"/>
        </w:rPr>
        <w:t>Derecho de autor y derechos conexos</w:t>
      </w:r>
      <w:r w:rsidRPr="00497F19">
        <w:rPr>
          <w:szCs w:val="22"/>
          <w:lang w:val="es-ES_tradnl"/>
        </w:rPr>
        <w:t>)</w:t>
      </w:r>
      <w:r w:rsidR="00F07C2E" w:rsidRPr="00497F19">
        <w:rPr>
          <w:szCs w:val="22"/>
          <w:lang w:val="es-ES_tradnl"/>
        </w:rPr>
        <w:t xml:space="preserve"> para la celebración de las Conferencias Diplomáticas sobre el Tratado de Beijing sobre Interpretaciones y Ejecuciones Audiovisuales  (Tratado de Beijing) y el Tratado de Marrakech para facilitar el acceso a las obras publicadas a las personas ciegas, con discapacidad visual o con otras dificultades para acceder al texto impreso (Tratado de Marrakech).  La Conferencia Diplomática para el Tratado de Beijing se convocó en Beijing (China) del 20 al 26 de junio de 2012, y la Conferencia Diplomática para el Tratado de Marrakech se celebró en Marrakech (Marruecos) del 17 al 28 de junio de 2013.  Las transferencias al Programa 3 procedieron del Programa 2 (Marcas, dibujos y modelos industriales e indicaciones geográficas) y del Programa 4 (Conocimientos tradicionales, expresiones culturales tradicionales y recursos genéticos) debido al aplazamiento de las posibles conferencias diplomáticas sobre la adopción de un tratado internacional sobre el Derecho de los diseños industriales </w:t>
      </w:r>
      <w:r w:rsidRPr="00497F19">
        <w:rPr>
          <w:szCs w:val="22"/>
          <w:lang w:val="es-ES_tradnl"/>
        </w:rPr>
        <w:t>(Program</w:t>
      </w:r>
      <w:r w:rsidR="00F07C2E" w:rsidRPr="00497F19">
        <w:rPr>
          <w:szCs w:val="22"/>
          <w:lang w:val="es-ES_tradnl"/>
        </w:rPr>
        <w:t>a</w:t>
      </w:r>
      <w:r w:rsidRPr="00497F19">
        <w:rPr>
          <w:szCs w:val="22"/>
          <w:lang w:val="es-ES_tradnl"/>
        </w:rPr>
        <w:t xml:space="preserve"> 2) </w:t>
      </w:r>
      <w:r w:rsidR="00F07C2E" w:rsidRPr="00497F19">
        <w:rPr>
          <w:szCs w:val="22"/>
          <w:lang w:val="es-ES_tradnl"/>
        </w:rPr>
        <w:t>y los recursos genéticos, conocimientos tradicionales y expresiones culturales tradicionales</w:t>
      </w:r>
      <w:r w:rsidRPr="00497F19">
        <w:rPr>
          <w:szCs w:val="22"/>
          <w:lang w:val="es-ES_tradnl"/>
        </w:rPr>
        <w:t xml:space="preserve"> (Program</w:t>
      </w:r>
      <w:r w:rsidR="00F07C2E" w:rsidRPr="00497F19">
        <w:rPr>
          <w:szCs w:val="22"/>
          <w:lang w:val="es-ES_tradnl"/>
        </w:rPr>
        <w:t>a</w:t>
      </w:r>
      <w:r w:rsidRPr="00497F19">
        <w:rPr>
          <w:szCs w:val="22"/>
          <w:lang w:val="es-ES_tradnl"/>
        </w:rPr>
        <w:t xml:space="preserve"> 4). </w:t>
      </w:r>
    </w:p>
    <w:p w:rsidR="004E3DF9" w:rsidRPr="00497F19" w:rsidRDefault="004E3DF9" w:rsidP="004E3DF9">
      <w:pPr>
        <w:widowControl w:val="0"/>
        <w:rPr>
          <w:szCs w:val="22"/>
          <w:lang w:val="es-ES_tradnl"/>
        </w:rPr>
      </w:pPr>
    </w:p>
    <w:p w:rsidR="004E3DF9" w:rsidRPr="00497F19" w:rsidRDefault="00D84647" w:rsidP="00D84647">
      <w:pPr>
        <w:widowControl w:val="0"/>
        <w:numPr>
          <w:ilvl w:val="0"/>
          <w:numId w:val="21"/>
        </w:numPr>
        <w:rPr>
          <w:sz w:val="23"/>
          <w:szCs w:val="23"/>
          <w:lang w:val="es-ES_tradnl"/>
        </w:rPr>
      </w:pPr>
      <w:r w:rsidRPr="00497F19">
        <w:rPr>
          <w:sz w:val="23"/>
          <w:szCs w:val="23"/>
          <w:lang w:val="es-ES_tradnl"/>
        </w:rPr>
        <w:t>La provisión de recursos para el proyecto de la A.D. sobre fortalecimiento y desarrollo del sector audiovisual en Burkina Faso y en determinados países de África</w:t>
      </w:r>
      <w:r w:rsidRPr="00497F19">
        <w:rPr>
          <w:szCs w:val="22"/>
          <w:lang w:val="es-ES_tradnl"/>
        </w:rPr>
        <w:t xml:space="preserve"> </w:t>
      </w:r>
      <w:r w:rsidR="004E3DF9" w:rsidRPr="00497F19">
        <w:rPr>
          <w:szCs w:val="22"/>
          <w:lang w:val="es-ES_tradnl"/>
        </w:rPr>
        <w:t>(Program</w:t>
      </w:r>
      <w:r w:rsidRPr="00497F19">
        <w:rPr>
          <w:szCs w:val="22"/>
          <w:lang w:val="es-ES_tradnl"/>
        </w:rPr>
        <w:t>a</w:t>
      </w:r>
      <w:r w:rsidR="004E3DF9" w:rsidRPr="00497F19">
        <w:rPr>
          <w:szCs w:val="22"/>
          <w:lang w:val="es-ES_tradnl"/>
        </w:rPr>
        <w:t xml:space="preserve"> 3), </w:t>
      </w:r>
      <w:r w:rsidRPr="00497F19">
        <w:rPr>
          <w:szCs w:val="22"/>
          <w:lang w:val="es-ES_tradnl"/>
        </w:rPr>
        <w:t>aprobado por la 9ª sesión del CDIP, así como recursos adicionales para dos proyectos existentes</w:t>
      </w:r>
      <w:proofErr w:type="gramStart"/>
      <w:r w:rsidRPr="00497F19">
        <w:rPr>
          <w:szCs w:val="22"/>
          <w:lang w:val="es-ES_tradnl"/>
        </w:rPr>
        <w:t>:  el</w:t>
      </w:r>
      <w:proofErr w:type="gramEnd"/>
      <w:r w:rsidRPr="00497F19">
        <w:rPr>
          <w:szCs w:val="22"/>
          <w:lang w:val="es-ES_tradnl"/>
        </w:rPr>
        <w:t xml:space="preserve"> proyecto de la A.D. sobre P.I. y transferencia de tecnología:  desafíos comunes y búsqueda de soluciones </w:t>
      </w:r>
      <w:r w:rsidR="004E3DF9" w:rsidRPr="00497F19">
        <w:rPr>
          <w:szCs w:val="22"/>
          <w:lang w:val="es-ES_tradnl"/>
        </w:rPr>
        <w:t>(Program</w:t>
      </w:r>
      <w:r w:rsidRPr="00497F19">
        <w:rPr>
          <w:szCs w:val="22"/>
          <w:lang w:val="es-ES_tradnl"/>
        </w:rPr>
        <w:t xml:space="preserve">a 30), y sobre P.I. y la fuga de </w:t>
      </w:r>
      <w:r w:rsidR="00A51305" w:rsidRPr="00497F19">
        <w:rPr>
          <w:szCs w:val="22"/>
          <w:lang w:val="es-ES_tradnl"/>
        </w:rPr>
        <w:t>cerebros</w:t>
      </w:r>
      <w:r w:rsidRPr="00497F19">
        <w:rPr>
          <w:szCs w:val="22"/>
          <w:lang w:val="es-ES_tradnl"/>
        </w:rPr>
        <w:t xml:space="preserve"> </w:t>
      </w:r>
      <w:r w:rsidR="004E3DF9" w:rsidRPr="00497F19">
        <w:rPr>
          <w:sz w:val="23"/>
          <w:szCs w:val="23"/>
          <w:lang w:val="es-ES_tradnl"/>
        </w:rPr>
        <w:t>(Program</w:t>
      </w:r>
      <w:r w:rsidRPr="00497F19">
        <w:rPr>
          <w:sz w:val="23"/>
          <w:szCs w:val="23"/>
          <w:lang w:val="es-ES_tradnl"/>
        </w:rPr>
        <w:t>a</w:t>
      </w:r>
      <w:r w:rsidR="004E70E4" w:rsidRPr="00497F19">
        <w:rPr>
          <w:sz w:val="23"/>
          <w:szCs w:val="23"/>
          <w:lang w:val="es-ES_tradnl"/>
        </w:rPr>
        <w:t> </w:t>
      </w:r>
      <w:r w:rsidR="004E3DF9" w:rsidRPr="00497F19">
        <w:rPr>
          <w:sz w:val="23"/>
          <w:szCs w:val="23"/>
          <w:lang w:val="es-ES_tradnl"/>
        </w:rPr>
        <w:t xml:space="preserve">16). </w:t>
      </w:r>
    </w:p>
    <w:p w:rsidR="004E3DF9" w:rsidRPr="00497F19" w:rsidRDefault="004E3DF9" w:rsidP="004E3DF9">
      <w:pPr>
        <w:widowControl w:val="0"/>
        <w:rPr>
          <w:sz w:val="23"/>
          <w:szCs w:val="23"/>
          <w:lang w:val="es-ES_tradnl"/>
        </w:rPr>
      </w:pPr>
    </w:p>
    <w:p w:rsidR="00D84647" w:rsidRPr="00497F19" w:rsidRDefault="00D84647" w:rsidP="004E3DF9">
      <w:pPr>
        <w:widowControl w:val="0"/>
        <w:numPr>
          <w:ilvl w:val="0"/>
          <w:numId w:val="21"/>
        </w:numPr>
        <w:rPr>
          <w:szCs w:val="22"/>
          <w:lang w:val="es-ES_tradnl"/>
        </w:rPr>
      </w:pPr>
      <w:r w:rsidRPr="00497F19">
        <w:rPr>
          <w:szCs w:val="22"/>
          <w:lang w:val="es-ES_tradnl"/>
        </w:rPr>
        <w:t xml:space="preserve">Las asignaciones no relativas al personal del presupuesto de 2012/13 después de las transferencias reflejan los ajustes a la baja realizados para fomentar la eficacia en función de los costos en la mayoría de los programas, de conformidad con el compromiso de la Organización de reducir gastos en 10,2 millones de francos suizos en el bienio </w:t>
      </w:r>
      <w:r w:rsidR="004E3DF9" w:rsidRPr="00497F19">
        <w:rPr>
          <w:szCs w:val="22"/>
          <w:lang w:val="es-ES_tradnl"/>
        </w:rPr>
        <w:t xml:space="preserve">2012/13.  </w:t>
      </w:r>
      <w:r w:rsidRPr="00497F19">
        <w:rPr>
          <w:szCs w:val="22"/>
          <w:lang w:val="es-ES_tradnl"/>
        </w:rPr>
        <w:t>Se fomentó la eficacia y se obtuvieron ahorros en ámbitos como las misiones del personal y viajes de terceros, la organización de reuniones y actos oficiales, la adquisición de productos y servicios, las telecomunicaciones, los servicios de TIC, el despacho de correo, los servicios de traducción y la gestión de locales.</w:t>
      </w:r>
    </w:p>
    <w:p w:rsidR="004E3DF9" w:rsidRPr="00497F19" w:rsidRDefault="004E3DF9" w:rsidP="004E3DF9">
      <w:pPr>
        <w:widowControl w:val="0"/>
        <w:rPr>
          <w:szCs w:val="22"/>
          <w:lang w:val="es-ES_tradnl"/>
        </w:rPr>
      </w:pPr>
    </w:p>
    <w:p w:rsidR="004E3DF9" w:rsidRPr="00497F19" w:rsidRDefault="00D84647" w:rsidP="004E3DF9">
      <w:pPr>
        <w:widowControl w:val="0"/>
        <w:numPr>
          <w:ilvl w:val="0"/>
          <w:numId w:val="21"/>
        </w:numPr>
        <w:rPr>
          <w:szCs w:val="22"/>
          <w:lang w:val="es-ES_tradnl"/>
        </w:rPr>
      </w:pPr>
      <w:r w:rsidRPr="00497F19">
        <w:rPr>
          <w:szCs w:val="22"/>
          <w:lang w:val="es-ES_tradnl"/>
        </w:rPr>
        <w:t>Las transferencias de rec</w:t>
      </w:r>
      <w:r w:rsidR="000274D8" w:rsidRPr="00497F19">
        <w:rPr>
          <w:szCs w:val="22"/>
          <w:lang w:val="es-ES_tradnl"/>
        </w:rPr>
        <w:t>ursos adicionales para restablecer</w:t>
      </w:r>
      <w:r w:rsidRPr="00497F19">
        <w:rPr>
          <w:szCs w:val="22"/>
          <w:lang w:val="es-ES_tradnl"/>
        </w:rPr>
        <w:t xml:space="preserve"> las </w:t>
      </w:r>
      <w:r w:rsidR="000D13D6" w:rsidRPr="00497F19">
        <w:rPr>
          <w:szCs w:val="22"/>
          <w:lang w:val="es-ES_tradnl"/>
        </w:rPr>
        <w:t>partidas destinadas a</w:t>
      </w:r>
      <w:r w:rsidRPr="00497F19">
        <w:rPr>
          <w:szCs w:val="22"/>
          <w:lang w:val="es-ES_tradnl"/>
        </w:rPr>
        <w:t xml:space="preserve"> </w:t>
      </w:r>
      <w:r w:rsidR="00D02501" w:rsidRPr="00497F19">
        <w:rPr>
          <w:szCs w:val="22"/>
          <w:lang w:val="es-ES_tradnl"/>
        </w:rPr>
        <w:t>beneficios</w:t>
      </w:r>
      <w:r w:rsidRPr="00497F19">
        <w:rPr>
          <w:szCs w:val="22"/>
          <w:lang w:val="es-ES_tradnl"/>
        </w:rPr>
        <w:t xml:space="preserve"> a los empleados </w:t>
      </w:r>
      <w:r w:rsidR="000D13D6" w:rsidRPr="00497F19">
        <w:rPr>
          <w:szCs w:val="22"/>
          <w:lang w:val="es-ES_tradnl"/>
        </w:rPr>
        <w:t xml:space="preserve">(también denominados prestaciones a los empleados) </w:t>
      </w:r>
      <w:r w:rsidRPr="00497F19">
        <w:rPr>
          <w:szCs w:val="22"/>
          <w:lang w:val="es-ES_tradnl"/>
        </w:rPr>
        <w:t>después de</w:t>
      </w:r>
      <w:r w:rsidR="004E01F7" w:rsidRPr="00497F19">
        <w:rPr>
          <w:szCs w:val="22"/>
          <w:lang w:val="es-ES_tradnl"/>
        </w:rPr>
        <w:t xml:space="preserve"> </w:t>
      </w:r>
      <w:r w:rsidRPr="00497F19">
        <w:rPr>
          <w:szCs w:val="22"/>
          <w:lang w:val="es-ES_tradnl"/>
        </w:rPr>
        <w:t>l</w:t>
      </w:r>
      <w:r w:rsidR="004E01F7" w:rsidRPr="00497F19">
        <w:rPr>
          <w:szCs w:val="22"/>
          <w:lang w:val="es-ES_tradnl"/>
        </w:rPr>
        <w:t>a separación del</w:t>
      </w:r>
      <w:r w:rsidRPr="00497F19">
        <w:rPr>
          <w:szCs w:val="22"/>
          <w:lang w:val="es-ES_tradnl"/>
        </w:rPr>
        <w:t xml:space="preserve"> servicio que se presupuestaron inicialmente a un nivel inferior al de los bienios precedentes.  </w:t>
      </w:r>
      <w:r w:rsidR="006C13AC" w:rsidRPr="00497F19">
        <w:rPr>
          <w:szCs w:val="22"/>
          <w:lang w:val="es-ES_tradnl"/>
        </w:rPr>
        <w:t>Estas transferencias, que tenían que ver con los recursos de personal, afectaban a todos los programas, excepto al Programa 29, que carecía de puestos presupuestados.</w:t>
      </w:r>
    </w:p>
    <w:p w:rsidR="004E3DF9" w:rsidRPr="00497F19" w:rsidRDefault="004E3DF9" w:rsidP="004E3DF9">
      <w:pPr>
        <w:widowControl w:val="0"/>
        <w:rPr>
          <w:szCs w:val="22"/>
          <w:lang w:val="es-ES_tradnl"/>
        </w:rPr>
      </w:pPr>
    </w:p>
    <w:p w:rsidR="004E3DF9" w:rsidRPr="00497F19" w:rsidRDefault="006C13AC" w:rsidP="006C13AC">
      <w:pPr>
        <w:widowControl w:val="0"/>
        <w:numPr>
          <w:ilvl w:val="0"/>
          <w:numId w:val="21"/>
        </w:numPr>
        <w:rPr>
          <w:szCs w:val="22"/>
          <w:lang w:val="es-ES_tradnl"/>
        </w:rPr>
      </w:pPr>
      <w:r w:rsidRPr="00497F19">
        <w:rPr>
          <w:szCs w:val="22"/>
          <w:lang w:val="es-ES_tradnl"/>
        </w:rPr>
        <w:t>Las transferencias de recursos adicionales para servicios de traducción en el PCT y en los Servicios de conferencias y lingüísticos habida cuenta del aumento del volumen de trabajo, reflejada en los Programas 5 (Sistema del PCT) y 27 (Servicios de conferencias y lingüísticos), debido al</w:t>
      </w:r>
      <w:r w:rsidR="002B576C" w:rsidRPr="00497F19">
        <w:rPr>
          <w:szCs w:val="22"/>
          <w:lang w:val="es-ES_tradnl"/>
        </w:rPr>
        <w:t xml:space="preserve"> aumento del</w:t>
      </w:r>
      <w:r w:rsidRPr="00497F19">
        <w:rPr>
          <w:szCs w:val="22"/>
          <w:lang w:val="es-ES_tradnl"/>
        </w:rPr>
        <w:t xml:space="preserve"> número de solicitudes y a la aplicación de la Política </w:t>
      </w:r>
      <w:r w:rsidR="00A51305" w:rsidRPr="00497F19">
        <w:rPr>
          <w:szCs w:val="22"/>
          <w:lang w:val="es-ES_tradnl"/>
        </w:rPr>
        <w:t>Lingüística</w:t>
      </w:r>
      <w:r w:rsidRPr="00497F19">
        <w:rPr>
          <w:szCs w:val="22"/>
          <w:lang w:val="es-ES_tradnl"/>
        </w:rPr>
        <w:t xml:space="preserve"> de la OMPI, respectivamente</w:t>
      </w:r>
      <w:r w:rsidR="004E3DF9" w:rsidRPr="00497F19">
        <w:rPr>
          <w:szCs w:val="22"/>
          <w:lang w:val="es-ES_tradnl"/>
        </w:rPr>
        <w:t>.</w:t>
      </w:r>
    </w:p>
    <w:p w:rsidR="004E3DF9" w:rsidRPr="00497F19" w:rsidRDefault="004E3DF9" w:rsidP="004E3DF9">
      <w:pPr>
        <w:widowControl w:val="0"/>
        <w:rPr>
          <w:szCs w:val="22"/>
          <w:lang w:val="es-ES_tradnl"/>
        </w:rPr>
      </w:pPr>
    </w:p>
    <w:p w:rsidR="004E3DF9" w:rsidRPr="00497F19" w:rsidRDefault="00C366AD" w:rsidP="00C366AD">
      <w:pPr>
        <w:widowControl w:val="0"/>
        <w:rPr>
          <w:szCs w:val="22"/>
          <w:lang w:val="es-ES_tradnl"/>
        </w:rPr>
      </w:pPr>
      <w:r w:rsidRPr="00497F19">
        <w:rPr>
          <w:szCs w:val="22"/>
          <w:lang w:val="es-ES_tradnl"/>
        </w:rPr>
        <w:t>En el Informe sobre el rendimiento de los programas (PPR) correspondiente al bienio 2012/13 podrán hallarse otras informaciones detalladas acerca de las transferencias de recursos por programa.</w:t>
      </w:r>
    </w:p>
    <w:p w:rsidR="004E3DF9" w:rsidRPr="00497F19" w:rsidRDefault="004E3DF9" w:rsidP="004E3DF9">
      <w:pPr>
        <w:widowControl w:val="0"/>
        <w:rPr>
          <w:szCs w:val="22"/>
          <w:lang w:val="es-ES_tradnl"/>
        </w:rPr>
      </w:pPr>
    </w:p>
    <w:p w:rsidR="004E3DF9" w:rsidRPr="00497F19" w:rsidRDefault="004E3DF9" w:rsidP="004E3DF9">
      <w:pPr>
        <w:widowControl w:val="0"/>
        <w:rPr>
          <w:sz w:val="23"/>
          <w:szCs w:val="23"/>
          <w:lang w:val="es-ES_tradnl"/>
        </w:rPr>
      </w:pPr>
    </w:p>
    <w:p w:rsidR="004E3DF9" w:rsidRPr="00497F19" w:rsidRDefault="004E3DF9" w:rsidP="004E3DF9">
      <w:pPr>
        <w:widowControl w:val="0"/>
        <w:rPr>
          <w:sz w:val="23"/>
          <w:szCs w:val="23"/>
          <w:lang w:val="es-ES_tradnl"/>
        </w:rPr>
      </w:pPr>
    </w:p>
    <w:p w:rsidR="004E3DF9" w:rsidRPr="00497F19" w:rsidRDefault="004E3DF9" w:rsidP="004E3DF9">
      <w:pPr>
        <w:widowControl w:val="0"/>
        <w:rPr>
          <w:sz w:val="23"/>
          <w:szCs w:val="23"/>
          <w:lang w:val="es-ES_tradnl"/>
        </w:rPr>
      </w:pPr>
    </w:p>
    <w:p w:rsidR="004E3DF9" w:rsidRPr="00497F19" w:rsidRDefault="004E3DF9" w:rsidP="004E3DF9">
      <w:pPr>
        <w:widowControl w:val="0"/>
        <w:rPr>
          <w:sz w:val="23"/>
          <w:szCs w:val="23"/>
          <w:lang w:val="es-ES_tradnl"/>
        </w:rPr>
      </w:pPr>
    </w:p>
    <w:p w:rsidR="004E3DF9" w:rsidRPr="00497F19" w:rsidRDefault="004E3DF9" w:rsidP="004E3DF9">
      <w:pPr>
        <w:widowControl w:val="0"/>
        <w:rPr>
          <w:sz w:val="23"/>
          <w:szCs w:val="23"/>
          <w:lang w:val="es-ES_tradnl"/>
        </w:rPr>
      </w:pPr>
    </w:p>
    <w:p w:rsidR="004E3DF9" w:rsidRPr="00497F19" w:rsidRDefault="004E3DF9" w:rsidP="004E3DF9">
      <w:pPr>
        <w:widowControl w:val="0"/>
        <w:rPr>
          <w:sz w:val="23"/>
          <w:szCs w:val="23"/>
          <w:lang w:val="es-ES_tradnl"/>
        </w:rPr>
        <w:sectPr w:rsidR="004E3DF9" w:rsidRPr="00497F19" w:rsidSect="004E3DF9">
          <w:headerReference w:type="default" r:id="rId26"/>
          <w:pgSz w:w="11907" w:h="16840" w:code="9"/>
          <w:pgMar w:top="567" w:right="1304" w:bottom="1418" w:left="1418" w:header="510" w:footer="510" w:gutter="0"/>
          <w:cols w:space="720"/>
          <w:docGrid w:linePitch="299"/>
        </w:sectPr>
      </w:pPr>
    </w:p>
    <w:p w:rsidR="004E3DF9" w:rsidRPr="00497F19" w:rsidRDefault="004E70E4" w:rsidP="004E3DF9">
      <w:pPr>
        <w:pStyle w:val="Heading2"/>
        <w:jc w:val="center"/>
        <w:rPr>
          <w:b/>
          <w:lang w:val="es-ES_tradnl"/>
        </w:rPr>
      </w:pPr>
      <w:bookmarkStart w:id="10" w:name="_Toc395626663"/>
      <w:r w:rsidRPr="00497F19">
        <w:rPr>
          <w:b/>
          <w:caps w:val="0"/>
          <w:lang w:val="es-ES_tradnl"/>
        </w:rPr>
        <w:lastRenderedPageBreak/>
        <w:t>Cuadro 2</w:t>
      </w:r>
      <w:r w:rsidRPr="00497F19">
        <w:rPr>
          <w:b/>
          <w:caps w:val="0"/>
          <w:lang w:val="es-ES_tradnl"/>
        </w:rPr>
        <w:tab/>
        <w:t xml:space="preserve">Presupuesto aprobado y transferencias, por programa – </w:t>
      </w:r>
      <w:r w:rsidR="007551CE" w:rsidRPr="00497F19">
        <w:rPr>
          <w:b/>
          <w:caps w:val="0"/>
          <w:lang w:val="es-ES_tradnl"/>
        </w:rPr>
        <w:t xml:space="preserve">Bienio </w:t>
      </w:r>
      <w:r w:rsidR="004E3DF9" w:rsidRPr="00497F19">
        <w:rPr>
          <w:b/>
          <w:lang w:val="es-ES_tradnl"/>
        </w:rPr>
        <w:t>2012/13</w:t>
      </w:r>
      <w:bookmarkEnd w:id="10"/>
    </w:p>
    <w:p w:rsidR="004E3DF9" w:rsidRPr="00497F19" w:rsidRDefault="004E3DF9" w:rsidP="004E3DF9">
      <w:pPr>
        <w:jc w:val="center"/>
        <w:rPr>
          <w:i/>
          <w:lang w:val="es-ES_tradnl" w:eastAsia="da-DK"/>
        </w:rPr>
      </w:pPr>
      <w:r w:rsidRPr="00497F19">
        <w:rPr>
          <w:i/>
          <w:lang w:val="es-ES_tradnl" w:eastAsia="da-DK"/>
        </w:rPr>
        <w:t>(</w:t>
      </w:r>
      <w:proofErr w:type="gramStart"/>
      <w:r w:rsidR="004858B7" w:rsidRPr="00497F19">
        <w:rPr>
          <w:i/>
          <w:lang w:val="es-ES_tradnl" w:eastAsia="da-DK"/>
        </w:rPr>
        <w:t>en</w:t>
      </w:r>
      <w:proofErr w:type="gramEnd"/>
      <w:r w:rsidR="004858B7" w:rsidRPr="00497F19">
        <w:rPr>
          <w:i/>
          <w:lang w:val="es-ES_tradnl" w:eastAsia="da-DK"/>
        </w:rPr>
        <w:t xml:space="preserve"> miles de francos suizos</w:t>
      </w:r>
      <w:r w:rsidRPr="00497F19">
        <w:rPr>
          <w:i/>
          <w:lang w:val="es-ES_tradnl" w:eastAsia="da-DK"/>
        </w:rPr>
        <w:t>)</w:t>
      </w:r>
    </w:p>
    <w:p w:rsidR="004E3DF9" w:rsidRPr="00497F19" w:rsidRDefault="00BC6E44" w:rsidP="00BC6E44">
      <w:pPr>
        <w:jc w:val="center"/>
        <w:rPr>
          <w:sz w:val="25"/>
          <w:szCs w:val="25"/>
          <w:lang w:val="es-ES_tradnl"/>
        </w:rPr>
      </w:pPr>
      <w:r w:rsidRPr="00497F19">
        <w:rPr>
          <w:noProof/>
          <w:lang w:val="en-US" w:eastAsia="en-US"/>
        </w:rPr>
        <w:drawing>
          <wp:inline distT="0" distB="0" distL="0" distR="0" wp14:anchorId="0E1B8C92" wp14:editId="51EC6EF1">
            <wp:extent cx="6549656" cy="5313418"/>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553956" cy="5316906"/>
                    </a:xfrm>
                    <a:prstGeom prst="rect">
                      <a:avLst/>
                    </a:prstGeom>
                    <a:noFill/>
                    <a:ln>
                      <a:noFill/>
                    </a:ln>
                  </pic:spPr>
                </pic:pic>
              </a:graphicData>
            </a:graphic>
          </wp:inline>
        </w:drawing>
      </w:r>
    </w:p>
    <w:p w:rsidR="004E3DF9" w:rsidRPr="00497F19" w:rsidRDefault="004E70E4" w:rsidP="004E3DF9">
      <w:pPr>
        <w:pStyle w:val="Heading2"/>
        <w:jc w:val="center"/>
        <w:rPr>
          <w:b/>
          <w:sz w:val="25"/>
          <w:szCs w:val="25"/>
          <w:lang w:val="es-ES_tradnl"/>
        </w:rPr>
      </w:pPr>
      <w:bookmarkStart w:id="11" w:name="_Toc395626664"/>
      <w:r w:rsidRPr="00497F19">
        <w:rPr>
          <w:b/>
          <w:caps w:val="0"/>
          <w:lang w:val="es-ES_tradnl"/>
        </w:rPr>
        <w:lastRenderedPageBreak/>
        <w:t>Cuadro 3</w:t>
      </w:r>
      <w:r w:rsidRPr="00497F19">
        <w:rPr>
          <w:b/>
          <w:caps w:val="0"/>
          <w:lang w:val="es-ES_tradnl"/>
        </w:rPr>
        <w:tab/>
        <w:t>Relación</w:t>
      </w:r>
      <w:r w:rsidRPr="00497F19">
        <w:rPr>
          <w:b/>
          <w:lang w:val="es-ES_tradnl"/>
        </w:rPr>
        <w:t xml:space="preserve"> </w:t>
      </w:r>
      <w:r w:rsidRPr="00497F19">
        <w:rPr>
          <w:b/>
          <w:caps w:val="0"/>
          <w:lang w:val="es-ES_tradnl"/>
        </w:rPr>
        <w:t xml:space="preserve">de puestos y empleados, por programa – </w:t>
      </w:r>
      <w:r w:rsidR="007551CE" w:rsidRPr="00497F19">
        <w:rPr>
          <w:b/>
          <w:caps w:val="0"/>
          <w:lang w:val="es-ES_tradnl"/>
        </w:rPr>
        <w:t xml:space="preserve">Bienio </w:t>
      </w:r>
      <w:r w:rsidRPr="00497F19">
        <w:rPr>
          <w:b/>
          <w:caps w:val="0"/>
          <w:lang w:val="es-ES_tradnl"/>
        </w:rPr>
        <w:t>2012/13</w:t>
      </w:r>
      <w:bookmarkEnd w:id="11"/>
    </w:p>
    <w:p w:rsidR="004E3DF9" w:rsidRPr="00497F19" w:rsidRDefault="004E3DF9" w:rsidP="004E3DF9">
      <w:pPr>
        <w:rPr>
          <w:lang w:val="es-ES_tradnl" w:eastAsia="da-DK"/>
        </w:rPr>
      </w:pPr>
    </w:p>
    <w:p w:rsidR="004E3DF9" w:rsidRPr="00497F19" w:rsidRDefault="00397A0F" w:rsidP="00397A0F">
      <w:pPr>
        <w:jc w:val="center"/>
        <w:rPr>
          <w:lang w:val="es-ES_tradnl" w:eastAsia="da-DK"/>
        </w:rPr>
      </w:pPr>
      <w:r w:rsidRPr="00497F19">
        <w:rPr>
          <w:noProof/>
          <w:lang w:val="en-US" w:eastAsia="en-US"/>
        </w:rPr>
        <w:drawing>
          <wp:inline distT="0" distB="0" distL="0" distR="0" wp14:anchorId="7668EC56" wp14:editId="323FA8D0">
            <wp:extent cx="9121408" cy="5463362"/>
            <wp:effectExtent l="0" t="0" r="381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128609" cy="5467675"/>
                    </a:xfrm>
                    <a:prstGeom prst="rect">
                      <a:avLst/>
                    </a:prstGeom>
                    <a:noFill/>
                    <a:ln>
                      <a:noFill/>
                    </a:ln>
                  </pic:spPr>
                </pic:pic>
              </a:graphicData>
            </a:graphic>
          </wp:inline>
        </w:drawing>
      </w:r>
    </w:p>
    <w:p w:rsidR="004E3DF9" w:rsidRPr="00497F19" w:rsidRDefault="004E3DF9" w:rsidP="004E3DF9">
      <w:pPr>
        <w:rPr>
          <w:lang w:val="es-ES_tradnl" w:eastAsia="da-DK"/>
        </w:rPr>
        <w:sectPr w:rsidR="004E3DF9" w:rsidRPr="00497F19" w:rsidSect="004E3DF9">
          <w:headerReference w:type="default" r:id="rId29"/>
          <w:pgSz w:w="16840" w:h="11907" w:orient="landscape" w:code="9"/>
          <w:pgMar w:top="1134" w:right="1361" w:bottom="1418" w:left="567" w:header="510" w:footer="510" w:gutter="0"/>
          <w:cols w:space="720"/>
          <w:docGrid w:linePitch="326"/>
        </w:sectPr>
      </w:pPr>
    </w:p>
    <w:p w:rsidR="004E3DF9" w:rsidRPr="00497F19" w:rsidRDefault="004858B7" w:rsidP="004E3DF9">
      <w:pPr>
        <w:pStyle w:val="Heading1"/>
        <w:keepNext w:val="0"/>
        <w:tabs>
          <w:tab w:val="num" w:pos="0"/>
        </w:tabs>
        <w:rPr>
          <w:sz w:val="25"/>
          <w:szCs w:val="25"/>
          <w:lang w:val="es-ES_tradnl"/>
        </w:rPr>
      </w:pPr>
      <w:bookmarkStart w:id="12" w:name="_Toc395626665"/>
      <w:r w:rsidRPr="00497F19">
        <w:rPr>
          <w:sz w:val="25"/>
          <w:szCs w:val="25"/>
          <w:lang w:val="es-ES_tradnl"/>
        </w:rPr>
        <w:lastRenderedPageBreak/>
        <w:t>GASTOS</w:t>
      </w:r>
      <w:bookmarkEnd w:id="12"/>
    </w:p>
    <w:p w:rsidR="004E3DF9" w:rsidRPr="00497F19" w:rsidRDefault="004E3DF9" w:rsidP="004E3DF9">
      <w:pPr>
        <w:rPr>
          <w:rStyle w:val="NORMALTEXT"/>
          <w:lang w:val="es-ES_tradnl"/>
        </w:rPr>
      </w:pPr>
    </w:p>
    <w:p w:rsidR="004E3DF9" w:rsidRPr="00497F19" w:rsidRDefault="007551CE" w:rsidP="004E3DF9">
      <w:pPr>
        <w:rPr>
          <w:bCs/>
          <w:szCs w:val="28"/>
          <w:lang w:val="es-ES_tradnl" w:eastAsia="da-DK"/>
        </w:rPr>
      </w:pPr>
      <w:r w:rsidRPr="00497F19">
        <w:rPr>
          <w:bCs/>
          <w:szCs w:val="28"/>
          <w:lang w:val="es-ES_tradnl" w:eastAsia="da-DK"/>
        </w:rPr>
        <w:t>El gasto presupuestario total correspondiente al bienio 2012/13 ascendió a 611,8 millones de francos suizos, cifra que representa un índice de utilización del 94,5% sobre el presupuesto aprobado de 647,4 millones de francos suizos</w:t>
      </w:r>
      <w:r w:rsidR="004E3DF9" w:rsidRPr="00497F19">
        <w:rPr>
          <w:bCs/>
          <w:szCs w:val="28"/>
          <w:lang w:val="es-ES_tradnl" w:eastAsia="da-DK"/>
        </w:rPr>
        <w:t>.</w:t>
      </w:r>
    </w:p>
    <w:p w:rsidR="004E3DF9" w:rsidRPr="00497F19" w:rsidRDefault="004E3DF9" w:rsidP="004E3DF9">
      <w:pPr>
        <w:tabs>
          <w:tab w:val="left" w:pos="7425"/>
        </w:tabs>
        <w:rPr>
          <w:bCs/>
          <w:szCs w:val="28"/>
          <w:lang w:val="es-ES_tradnl" w:eastAsia="da-DK"/>
        </w:rPr>
      </w:pPr>
    </w:p>
    <w:p w:rsidR="004E3DF9" w:rsidRPr="00497F19" w:rsidRDefault="00225326" w:rsidP="00225326">
      <w:pPr>
        <w:rPr>
          <w:bCs/>
          <w:szCs w:val="28"/>
          <w:lang w:val="es-ES_tradnl" w:eastAsia="da-DK"/>
        </w:rPr>
      </w:pPr>
      <w:r w:rsidRPr="00497F19">
        <w:rPr>
          <w:bCs/>
          <w:szCs w:val="28"/>
          <w:lang w:val="es-ES_tradnl" w:eastAsia="da-DK"/>
        </w:rPr>
        <w:t>La Organización siguió acelerando la aplicación de varis medidas de fomento de la eficacia en función de lo</w:t>
      </w:r>
      <w:r w:rsidR="0060237F" w:rsidRPr="00497F19">
        <w:rPr>
          <w:bCs/>
          <w:szCs w:val="28"/>
          <w:lang w:val="es-ES_tradnl" w:eastAsia="da-DK"/>
        </w:rPr>
        <w:t>s costos a raíz de las directrice</w:t>
      </w:r>
      <w:r w:rsidRPr="00497F19">
        <w:rPr>
          <w:bCs/>
          <w:szCs w:val="28"/>
          <w:lang w:val="es-ES_tradnl" w:eastAsia="da-DK"/>
        </w:rPr>
        <w:t>s de los Estados miembros en relación con la aprobación del presupuesto por programas bienal.  Se proporcionó a los Estados miembros los siguientes informes detallados sobre la marcha de la labor</w:t>
      </w:r>
      <w:proofErr w:type="gramStart"/>
      <w:r w:rsidRPr="00497F19">
        <w:rPr>
          <w:bCs/>
          <w:szCs w:val="28"/>
          <w:lang w:val="es-ES_tradnl" w:eastAsia="da-DK"/>
        </w:rPr>
        <w:t>:  Panorama</w:t>
      </w:r>
      <w:proofErr w:type="gramEnd"/>
      <w:r w:rsidRPr="00497F19">
        <w:rPr>
          <w:bCs/>
          <w:szCs w:val="28"/>
          <w:lang w:val="es-ES_tradnl" w:eastAsia="da-DK"/>
        </w:rPr>
        <w:t xml:space="preserve"> financiero de 2012;  Informe sobre la marcha de la aplicación de las medidas destinadas a fomentar la eficacia en función de los costos, septiembre de 2012, </w:t>
      </w:r>
      <w:r w:rsidR="004E3DF9" w:rsidRPr="00497F19">
        <w:rPr>
          <w:bCs/>
          <w:szCs w:val="28"/>
          <w:lang w:val="es-ES_tradnl" w:eastAsia="da-DK"/>
        </w:rPr>
        <w:t>(document</w:t>
      </w:r>
      <w:r w:rsidRPr="00497F19">
        <w:rPr>
          <w:bCs/>
          <w:szCs w:val="28"/>
          <w:lang w:val="es-ES_tradnl" w:eastAsia="da-DK"/>
        </w:rPr>
        <w:t>o</w:t>
      </w:r>
      <w:r w:rsidR="004E3DF9" w:rsidRPr="00497F19">
        <w:rPr>
          <w:bCs/>
          <w:szCs w:val="28"/>
          <w:lang w:val="es-ES_tradnl" w:eastAsia="da-DK"/>
        </w:rPr>
        <w:t xml:space="preserve"> WO/PBC/19/9) </w:t>
      </w:r>
      <w:r w:rsidRPr="00497F19">
        <w:rPr>
          <w:bCs/>
          <w:szCs w:val="28"/>
          <w:lang w:val="es-ES_tradnl" w:eastAsia="da-DK"/>
        </w:rPr>
        <w:t xml:space="preserve">e Informe sobre la aplicación de medidas destinadas a fomentar la eficacia en función de los costos, septiembre de 2013 </w:t>
      </w:r>
      <w:r w:rsidR="004E3DF9" w:rsidRPr="00497F19">
        <w:rPr>
          <w:bCs/>
          <w:szCs w:val="28"/>
          <w:lang w:val="es-ES_tradnl" w:eastAsia="da-DK"/>
        </w:rPr>
        <w:t>(document</w:t>
      </w:r>
      <w:r w:rsidRPr="00497F19">
        <w:rPr>
          <w:bCs/>
          <w:szCs w:val="28"/>
          <w:lang w:val="es-ES_tradnl" w:eastAsia="da-DK"/>
        </w:rPr>
        <w:t>o</w:t>
      </w:r>
      <w:r w:rsidR="004E3DF9" w:rsidRPr="00497F19">
        <w:rPr>
          <w:bCs/>
          <w:szCs w:val="28"/>
          <w:lang w:val="es-ES_tradnl" w:eastAsia="da-DK"/>
        </w:rPr>
        <w:t xml:space="preserve"> WO/PBC/21/19).  </w:t>
      </w:r>
      <w:r w:rsidRPr="00497F19">
        <w:rPr>
          <w:bCs/>
          <w:szCs w:val="28"/>
          <w:lang w:val="es-ES_tradnl" w:eastAsia="da-DK"/>
        </w:rPr>
        <w:t xml:space="preserve">El informe final sobre las medidas destinadas a fomentar la eficacia en función de los costos durante el bienio </w:t>
      </w:r>
      <w:r w:rsidR="004E3DF9" w:rsidRPr="00497F19">
        <w:rPr>
          <w:bCs/>
          <w:szCs w:val="28"/>
          <w:lang w:val="es-ES_tradnl" w:eastAsia="da-DK"/>
        </w:rPr>
        <w:t>2012/13</w:t>
      </w:r>
      <w:r w:rsidRPr="00497F19">
        <w:rPr>
          <w:bCs/>
          <w:szCs w:val="28"/>
          <w:lang w:val="es-ES_tradnl" w:eastAsia="da-DK"/>
        </w:rPr>
        <w:t xml:space="preserve"> figura en el Informe sobre el rendimiento de los programas en</w:t>
      </w:r>
      <w:r w:rsidR="004E3DF9" w:rsidRPr="00497F19">
        <w:rPr>
          <w:bCs/>
          <w:szCs w:val="28"/>
          <w:lang w:val="es-ES_tradnl" w:eastAsia="da-DK"/>
        </w:rPr>
        <w:t xml:space="preserve"> 2012/13.</w:t>
      </w:r>
    </w:p>
    <w:p w:rsidR="004E3DF9" w:rsidRPr="00497F19" w:rsidRDefault="004E3DF9" w:rsidP="004E3DF9">
      <w:pPr>
        <w:rPr>
          <w:bCs/>
          <w:szCs w:val="28"/>
          <w:lang w:val="es-ES_tradnl" w:eastAsia="da-DK"/>
        </w:rPr>
      </w:pPr>
    </w:p>
    <w:p w:rsidR="004E3DF9" w:rsidRPr="00497F19" w:rsidRDefault="00225326" w:rsidP="004E3DF9">
      <w:pPr>
        <w:rPr>
          <w:bCs/>
          <w:szCs w:val="28"/>
          <w:lang w:val="es-ES_tradnl" w:eastAsia="da-DK"/>
        </w:rPr>
      </w:pPr>
      <w:r w:rsidRPr="00497F19">
        <w:rPr>
          <w:bCs/>
          <w:szCs w:val="28"/>
          <w:lang w:val="es-ES_tradnl" w:eastAsia="da-DK"/>
        </w:rPr>
        <w:t>El Cuadro 4 ofrece una visión de conjunto del presupuesto aprobado</w:t>
      </w:r>
      <w:r w:rsidR="003830A2" w:rsidRPr="00497F19">
        <w:rPr>
          <w:bCs/>
          <w:szCs w:val="28"/>
          <w:lang w:val="es-ES_tradnl" w:eastAsia="da-DK"/>
        </w:rPr>
        <w:t xml:space="preserve"> de</w:t>
      </w:r>
      <w:r w:rsidRPr="00497F19">
        <w:rPr>
          <w:bCs/>
          <w:szCs w:val="28"/>
          <w:lang w:val="es-ES_tradnl" w:eastAsia="da-DK"/>
        </w:rPr>
        <w:t xml:space="preserve"> 2012/13, el presupuesto después de las transferencias, los gastos y el índice de utilización presupuestaria por programa.  En el Informe sobre el rendimiento de los programas correspondiente al bienio 2012/13 se ofrece información más detallada sobre la utilización de los recursos por programa y la consecución de los resultados previstos.</w:t>
      </w:r>
    </w:p>
    <w:p w:rsidR="004E3DF9" w:rsidRPr="00497F19" w:rsidRDefault="004E3DF9" w:rsidP="004E3DF9">
      <w:pPr>
        <w:rPr>
          <w:bCs/>
          <w:szCs w:val="28"/>
          <w:lang w:val="es-ES_tradnl" w:eastAsia="da-DK"/>
        </w:rPr>
      </w:pPr>
    </w:p>
    <w:p w:rsidR="004E3DF9" w:rsidRPr="00497F19" w:rsidRDefault="00225326" w:rsidP="004E3DF9">
      <w:pPr>
        <w:rPr>
          <w:bCs/>
          <w:szCs w:val="28"/>
          <w:lang w:val="es-ES_tradnl" w:eastAsia="da-DK"/>
        </w:rPr>
      </w:pPr>
      <w:r w:rsidRPr="00497F19">
        <w:rPr>
          <w:bCs/>
          <w:szCs w:val="28"/>
          <w:lang w:val="es-ES_tradnl" w:eastAsia="da-DK"/>
        </w:rPr>
        <w:t>En el Cuadro 5 se comparan el presupuesto aprobado 2012/13, el presupuesto después de las transferencias y los gastos reales por categorías de costo.</w:t>
      </w:r>
    </w:p>
    <w:p w:rsidR="004E3DF9" w:rsidRPr="00917518" w:rsidRDefault="004E3DF9" w:rsidP="00917518">
      <w:pPr>
        <w:rPr>
          <w:bCs/>
          <w:iCs/>
          <w:szCs w:val="28"/>
          <w:lang w:eastAsia="da-DK"/>
        </w:rPr>
      </w:pPr>
    </w:p>
    <w:p w:rsidR="004E3DF9" w:rsidRPr="00497F19" w:rsidRDefault="004E70E4" w:rsidP="00F85724">
      <w:pPr>
        <w:pStyle w:val="Heading2"/>
        <w:keepNext w:val="0"/>
        <w:spacing w:before="0"/>
        <w:jc w:val="center"/>
        <w:rPr>
          <w:b/>
          <w:lang w:val="es-ES_tradnl"/>
        </w:rPr>
      </w:pPr>
      <w:bookmarkStart w:id="13" w:name="_Toc395626666"/>
      <w:r w:rsidRPr="00497F19">
        <w:rPr>
          <w:b/>
          <w:caps w:val="0"/>
          <w:lang w:val="es-ES_tradnl"/>
        </w:rPr>
        <w:t>Cuadro 4</w:t>
      </w:r>
      <w:r w:rsidRPr="00497F19">
        <w:rPr>
          <w:b/>
          <w:caps w:val="0"/>
          <w:lang w:val="es-ES_tradnl"/>
        </w:rPr>
        <w:tab/>
        <w:t>Informe sobre presupuesto y gastos, por programa – Bienio 2012/13</w:t>
      </w:r>
      <w:bookmarkEnd w:id="13"/>
    </w:p>
    <w:p w:rsidR="004E3DF9" w:rsidRPr="00497F19" w:rsidRDefault="004E3DF9" w:rsidP="00F85724">
      <w:pPr>
        <w:spacing w:after="120"/>
        <w:jc w:val="center"/>
        <w:rPr>
          <w:i/>
          <w:lang w:val="es-ES_tradnl" w:eastAsia="da-DK"/>
        </w:rPr>
      </w:pPr>
      <w:r w:rsidRPr="00497F19">
        <w:rPr>
          <w:i/>
          <w:lang w:val="es-ES_tradnl" w:eastAsia="da-DK"/>
        </w:rPr>
        <w:t>(</w:t>
      </w:r>
      <w:proofErr w:type="gramStart"/>
      <w:r w:rsidR="004858B7" w:rsidRPr="00497F19">
        <w:rPr>
          <w:i/>
          <w:lang w:val="es-ES_tradnl" w:eastAsia="da-DK"/>
        </w:rPr>
        <w:t>en</w:t>
      </w:r>
      <w:proofErr w:type="gramEnd"/>
      <w:r w:rsidR="004858B7" w:rsidRPr="00497F19">
        <w:rPr>
          <w:i/>
          <w:lang w:val="es-ES_tradnl" w:eastAsia="da-DK"/>
        </w:rPr>
        <w:t xml:space="preserve"> miles de francos suizos</w:t>
      </w:r>
      <w:r w:rsidRPr="00497F19">
        <w:rPr>
          <w:i/>
          <w:lang w:val="es-ES_tradnl" w:eastAsia="da-DK"/>
        </w:rPr>
        <w:t>)</w:t>
      </w:r>
    </w:p>
    <w:p w:rsidR="004E3DF9" w:rsidRPr="00497F19" w:rsidRDefault="005D7A6C" w:rsidP="00F85724">
      <w:pPr>
        <w:jc w:val="center"/>
        <w:rPr>
          <w:rFonts w:ascii="Arial Bold" w:hAnsi="Arial Bold"/>
          <w:b/>
          <w:bCs/>
          <w:iCs/>
          <w:szCs w:val="28"/>
          <w:lang w:val="es-ES_tradnl" w:eastAsia="da-DK"/>
        </w:rPr>
      </w:pPr>
      <w:r w:rsidRPr="00497F19">
        <w:rPr>
          <w:noProof/>
          <w:lang w:val="en-US" w:eastAsia="en-US"/>
        </w:rPr>
        <w:drawing>
          <wp:inline distT="0" distB="0" distL="0" distR="0" wp14:anchorId="4F3BF9EB" wp14:editId="4AEF9BB7">
            <wp:extent cx="4505325" cy="418134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16746" cy="4191945"/>
                    </a:xfrm>
                    <a:prstGeom prst="rect">
                      <a:avLst/>
                    </a:prstGeom>
                    <a:noFill/>
                    <a:ln>
                      <a:noFill/>
                    </a:ln>
                  </pic:spPr>
                </pic:pic>
              </a:graphicData>
            </a:graphic>
          </wp:inline>
        </w:drawing>
      </w:r>
      <w:r w:rsidR="004E3DF9" w:rsidRPr="00497F19">
        <w:rPr>
          <w:lang w:val="es-ES_tradnl"/>
        </w:rPr>
        <w:br w:type="page"/>
      </w:r>
    </w:p>
    <w:p w:rsidR="004E3DF9" w:rsidRPr="00497F19" w:rsidRDefault="007551CE" w:rsidP="007551CE">
      <w:pPr>
        <w:pStyle w:val="Heading2"/>
        <w:keepNext w:val="0"/>
        <w:widowControl w:val="0"/>
        <w:tabs>
          <w:tab w:val="left" w:pos="567"/>
        </w:tabs>
        <w:spacing w:before="0" w:after="0" w:line="300" w:lineRule="atLeast"/>
        <w:jc w:val="center"/>
        <w:rPr>
          <w:rFonts w:ascii="Arial Bold" w:eastAsia="Times New Roman" w:hAnsi="Arial Bold"/>
          <w:b/>
          <w:caps w:val="0"/>
          <w:lang w:val="es-ES_tradnl" w:eastAsia="da-DK"/>
        </w:rPr>
      </w:pPr>
      <w:bookmarkStart w:id="14" w:name="_Toc395626667"/>
      <w:r w:rsidRPr="00497F19">
        <w:rPr>
          <w:rFonts w:ascii="Arial Bold" w:eastAsia="Times New Roman" w:hAnsi="Arial Bold"/>
          <w:b/>
          <w:caps w:val="0"/>
          <w:lang w:val="es-ES_tradnl" w:eastAsia="da-DK"/>
        </w:rPr>
        <w:lastRenderedPageBreak/>
        <w:t>Cuadro</w:t>
      </w:r>
      <w:r w:rsidR="004E3DF9" w:rsidRPr="00497F19">
        <w:rPr>
          <w:rFonts w:ascii="Arial Bold" w:eastAsia="Times New Roman" w:hAnsi="Arial Bold"/>
          <w:b/>
          <w:caps w:val="0"/>
          <w:lang w:val="es-ES_tradnl" w:eastAsia="da-DK"/>
        </w:rPr>
        <w:t xml:space="preserve"> 5</w:t>
      </w:r>
      <w:r w:rsidR="004E3DF9" w:rsidRPr="00497F19">
        <w:rPr>
          <w:rFonts w:ascii="Arial Bold" w:eastAsia="Times New Roman" w:hAnsi="Arial Bold"/>
          <w:b/>
          <w:caps w:val="0"/>
          <w:lang w:val="es-ES_tradnl" w:eastAsia="da-DK"/>
        </w:rPr>
        <w:tab/>
      </w:r>
      <w:r w:rsidRPr="00497F19">
        <w:rPr>
          <w:rFonts w:ascii="Arial Bold" w:eastAsia="Times New Roman" w:hAnsi="Arial Bold"/>
          <w:b/>
          <w:caps w:val="0"/>
          <w:lang w:val="es-ES_tradnl" w:eastAsia="da-DK"/>
        </w:rPr>
        <w:t>Gastos por objeto de gasto</w:t>
      </w:r>
      <w:r w:rsidR="004E3DF9" w:rsidRPr="00497F19">
        <w:rPr>
          <w:rFonts w:ascii="Arial Bold" w:eastAsia="Times New Roman" w:hAnsi="Arial Bold"/>
          <w:b/>
          <w:caps w:val="0"/>
          <w:lang w:val="es-ES_tradnl" w:eastAsia="da-DK"/>
        </w:rPr>
        <w:t xml:space="preserve"> – </w:t>
      </w:r>
      <w:r w:rsidRPr="00497F19">
        <w:rPr>
          <w:rFonts w:ascii="Arial Bold" w:eastAsia="Times New Roman" w:hAnsi="Arial Bold"/>
          <w:b/>
          <w:caps w:val="0"/>
          <w:lang w:val="es-ES_tradnl" w:eastAsia="da-DK"/>
        </w:rPr>
        <w:t xml:space="preserve">Bienio </w:t>
      </w:r>
      <w:r w:rsidR="004E3DF9" w:rsidRPr="00497F19">
        <w:rPr>
          <w:rFonts w:ascii="Arial Bold" w:eastAsia="Times New Roman" w:hAnsi="Arial Bold"/>
          <w:b/>
          <w:caps w:val="0"/>
          <w:lang w:val="es-ES_tradnl" w:eastAsia="da-DK"/>
        </w:rPr>
        <w:t>2012/13</w:t>
      </w:r>
      <w:bookmarkEnd w:id="14"/>
    </w:p>
    <w:p w:rsidR="004E3DF9" w:rsidRPr="00497F19" w:rsidRDefault="004E3DF9" w:rsidP="004E3DF9">
      <w:pPr>
        <w:jc w:val="center"/>
        <w:rPr>
          <w:i/>
          <w:lang w:val="es-ES_tradnl" w:eastAsia="da-DK"/>
        </w:rPr>
      </w:pPr>
      <w:r w:rsidRPr="00497F19">
        <w:rPr>
          <w:i/>
          <w:lang w:val="es-ES_tradnl" w:eastAsia="da-DK"/>
        </w:rPr>
        <w:t>(</w:t>
      </w:r>
      <w:proofErr w:type="gramStart"/>
      <w:r w:rsidR="004858B7" w:rsidRPr="00497F19">
        <w:rPr>
          <w:i/>
          <w:lang w:val="es-ES_tradnl" w:eastAsia="da-DK"/>
        </w:rPr>
        <w:t>en</w:t>
      </w:r>
      <w:proofErr w:type="gramEnd"/>
      <w:r w:rsidR="004858B7" w:rsidRPr="00497F19">
        <w:rPr>
          <w:i/>
          <w:lang w:val="es-ES_tradnl" w:eastAsia="da-DK"/>
        </w:rPr>
        <w:t xml:space="preserve"> miles de francos suizos</w:t>
      </w:r>
      <w:r w:rsidRPr="00497F19">
        <w:rPr>
          <w:i/>
          <w:lang w:val="es-ES_tradnl" w:eastAsia="da-DK"/>
        </w:rPr>
        <w:t>)</w:t>
      </w:r>
    </w:p>
    <w:p w:rsidR="004E3DF9" w:rsidRPr="00497F19" w:rsidRDefault="004E3DF9" w:rsidP="004E3DF9">
      <w:pPr>
        <w:jc w:val="center"/>
        <w:rPr>
          <w:lang w:val="es-ES_tradnl" w:eastAsia="da-DK"/>
        </w:rPr>
      </w:pPr>
    </w:p>
    <w:p w:rsidR="004E3DF9" w:rsidRPr="00497F19" w:rsidRDefault="005D7A6C" w:rsidP="004E3DF9">
      <w:pPr>
        <w:rPr>
          <w:sz w:val="23"/>
          <w:szCs w:val="23"/>
          <w:lang w:val="es-ES_tradnl"/>
        </w:rPr>
      </w:pPr>
      <w:r w:rsidRPr="00497F19">
        <w:rPr>
          <w:noProof/>
          <w:lang w:val="en-US" w:eastAsia="en-US"/>
        </w:rPr>
        <w:drawing>
          <wp:inline distT="0" distB="0" distL="0" distR="0" wp14:anchorId="6535922C" wp14:editId="533581E4">
            <wp:extent cx="5760085" cy="567395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60085" cy="5673952"/>
                    </a:xfrm>
                    <a:prstGeom prst="rect">
                      <a:avLst/>
                    </a:prstGeom>
                    <a:noFill/>
                    <a:ln>
                      <a:noFill/>
                    </a:ln>
                  </pic:spPr>
                </pic:pic>
              </a:graphicData>
            </a:graphic>
          </wp:inline>
        </w:drawing>
      </w:r>
    </w:p>
    <w:p w:rsidR="004E3DF9" w:rsidRPr="00497F19" w:rsidRDefault="004E3DF9" w:rsidP="004E3DF9">
      <w:pPr>
        <w:rPr>
          <w:rFonts w:eastAsiaTheme="minorHAnsi"/>
          <w:lang w:val="es-ES_tradnl"/>
        </w:rPr>
      </w:pPr>
    </w:p>
    <w:p w:rsidR="004E3DF9" w:rsidRPr="00497F19" w:rsidRDefault="00774D8D" w:rsidP="007551CE">
      <w:pPr>
        <w:pStyle w:val="Heading2"/>
        <w:keepNext w:val="0"/>
        <w:widowControl w:val="0"/>
        <w:tabs>
          <w:tab w:val="left" w:pos="567"/>
        </w:tabs>
        <w:spacing w:before="0" w:after="0" w:line="300" w:lineRule="atLeast"/>
        <w:rPr>
          <w:rFonts w:ascii="Arial Bold" w:eastAsiaTheme="minorHAnsi" w:hAnsi="Arial Bold"/>
          <w:b/>
          <w:caps w:val="0"/>
          <w:lang w:val="es-ES_tradnl" w:eastAsia="da-DK"/>
        </w:rPr>
      </w:pPr>
      <w:bookmarkStart w:id="15" w:name="_Toc395626668"/>
      <w:r w:rsidRPr="00497F19">
        <w:rPr>
          <w:rFonts w:ascii="Arial Bold" w:eastAsiaTheme="minorHAnsi" w:hAnsi="Arial Bold"/>
          <w:b/>
          <w:caps w:val="0"/>
          <w:lang w:val="es-ES_tradnl" w:eastAsia="da-DK"/>
        </w:rPr>
        <w:t>Recursos de personal</w:t>
      </w:r>
      <w:bookmarkEnd w:id="15"/>
    </w:p>
    <w:p w:rsidR="004E3DF9" w:rsidRPr="00497F19" w:rsidRDefault="004E3DF9" w:rsidP="004E3DF9">
      <w:pPr>
        <w:rPr>
          <w:rFonts w:eastAsiaTheme="minorHAnsi"/>
          <w:lang w:val="es-ES_tradnl" w:eastAsia="da-DK"/>
        </w:rPr>
      </w:pPr>
    </w:p>
    <w:p w:rsidR="00E6237F" w:rsidRPr="00497F19" w:rsidRDefault="00E6237F" w:rsidP="004E3DF9">
      <w:pPr>
        <w:rPr>
          <w:rFonts w:eastAsiaTheme="minorHAnsi"/>
          <w:szCs w:val="22"/>
          <w:lang w:val="es-ES_tradnl"/>
        </w:rPr>
      </w:pPr>
      <w:r w:rsidRPr="00497F19">
        <w:rPr>
          <w:rFonts w:eastAsiaTheme="minorHAnsi"/>
          <w:szCs w:val="22"/>
          <w:lang w:val="es-ES_tradnl"/>
        </w:rPr>
        <w:t>El total de costos de personal en el bienio 2012/13 ascendió a 413,4 millones de francos suizos de conformidad con el presupuesto aprobado de 2012/13 y el presupuesto después de las transferencias.  Los gastos de personal en 2012/13 ascendieron a 17 millones de francos suizos más que los gastos de persona</w:t>
      </w:r>
      <w:r w:rsidR="003830A2" w:rsidRPr="00497F19">
        <w:rPr>
          <w:rFonts w:eastAsiaTheme="minorHAnsi"/>
          <w:szCs w:val="22"/>
          <w:lang w:val="es-ES_tradnl"/>
        </w:rPr>
        <w:t>l</w:t>
      </w:r>
      <w:r w:rsidRPr="00497F19">
        <w:rPr>
          <w:rFonts w:eastAsiaTheme="minorHAnsi"/>
          <w:szCs w:val="22"/>
          <w:lang w:val="es-ES_tradnl"/>
        </w:rPr>
        <w:t xml:space="preserve"> de 396,4 millones de francos suizos del bienio 2010/11.  Este aumento se debió principalmente a la incidencia de los aumentos reglamentarios, los aumentos de sueldo dentro del grado, las regularizaciones de personal temporal con muchos años de servicio y las reclasificaciones.</w:t>
      </w:r>
    </w:p>
    <w:p w:rsidR="004E3DF9" w:rsidRPr="00497F19" w:rsidRDefault="004E3DF9" w:rsidP="004E3DF9">
      <w:pPr>
        <w:rPr>
          <w:rFonts w:eastAsiaTheme="minorHAnsi"/>
          <w:szCs w:val="22"/>
          <w:lang w:val="es-ES_tradnl"/>
        </w:rPr>
      </w:pPr>
    </w:p>
    <w:p w:rsidR="004E3DF9" w:rsidRPr="00497F19" w:rsidRDefault="00E6237F" w:rsidP="004E3DF9">
      <w:pPr>
        <w:rPr>
          <w:rFonts w:eastAsiaTheme="minorHAnsi"/>
          <w:szCs w:val="22"/>
          <w:lang w:val="es-ES_tradnl"/>
        </w:rPr>
      </w:pPr>
      <w:r w:rsidRPr="00497F19">
        <w:rPr>
          <w:rFonts w:eastAsiaTheme="minorHAnsi"/>
          <w:szCs w:val="22"/>
          <w:lang w:val="es-ES_tradnl"/>
        </w:rPr>
        <w:t xml:space="preserve">En su 42ª </w:t>
      </w:r>
      <w:r w:rsidR="002242F2" w:rsidRPr="00497F19">
        <w:rPr>
          <w:szCs w:val="22"/>
          <w:lang w:val="es-ES_tradnl"/>
        </w:rPr>
        <w:t xml:space="preserve">serie de reuniones </w:t>
      </w:r>
      <w:r w:rsidRPr="00497F19">
        <w:rPr>
          <w:rFonts w:eastAsiaTheme="minorHAnsi"/>
          <w:szCs w:val="22"/>
          <w:lang w:val="es-ES_tradnl"/>
        </w:rPr>
        <w:t xml:space="preserve">de septiembre-octubre de 2011, el Comité de Coordinación aprobó las propuestas de modificaciones del Estatuto y Reglamento del Personal con efecto a partir de enero de 2012.  Entre las modificaciones, se introdujeron dos nuevos tipos de nombramiento, a saber, los nombramientos temporales y continuos, en concordancia con el marco contractual recomendado por la Comisión de Administración Pública Internacional (CAPI).  Como se indica en el documento </w:t>
      </w:r>
      <w:r w:rsidR="004E3DF9" w:rsidRPr="00497F19">
        <w:rPr>
          <w:rFonts w:eastAsiaTheme="minorHAnsi"/>
          <w:szCs w:val="22"/>
          <w:lang w:val="es-ES_tradnl"/>
        </w:rPr>
        <w:t>WO/CC/65/1</w:t>
      </w:r>
      <w:r w:rsidR="008F7C42" w:rsidRPr="00497F19">
        <w:rPr>
          <w:rFonts w:eastAsiaTheme="minorHAnsi"/>
          <w:szCs w:val="22"/>
          <w:lang w:val="es-ES_tradnl"/>
        </w:rPr>
        <w:t xml:space="preserve">, “el objetivo de las modificaciones propuestas es, en primera instancia, permitir a la OMPI mejorar su marco contractual y </w:t>
      </w:r>
      <w:r w:rsidR="008F7C42" w:rsidRPr="00497F19">
        <w:rPr>
          <w:rFonts w:eastAsiaTheme="minorHAnsi"/>
          <w:szCs w:val="22"/>
          <w:lang w:val="es-ES_tradnl"/>
        </w:rPr>
        <w:lastRenderedPageBreak/>
        <w:t>procedimientos de contratación.  Se prevén las ventajas siguientes</w:t>
      </w:r>
      <w:proofErr w:type="gramStart"/>
      <w:r w:rsidR="008F7C42" w:rsidRPr="00497F19">
        <w:rPr>
          <w:rFonts w:eastAsiaTheme="minorHAnsi"/>
          <w:szCs w:val="22"/>
          <w:lang w:val="es-ES_tradnl"/>
        </w:rPr>
        <w:t>:  transparencia</w:t>
      </w:r>
      <w:proofErr w:type="gramEnd"/>
      <w:r w:rsidR="008F7C42" w:rsidRPr="00497F19">
        <w:rPr>
          <w:rFonts w:eastAsiaTheme="minorHAnsi"/>
          <w:szCs w:val="22"/>
          <w:lang w:val="es-ES_tradnl"/>
        </w:rPr>
        <w:t xml:space="preserve"> en los tipos de contratos, mejores prestaciones para el personal temporal, contratación más eficaz de personal y </w:t>
      </w:r>
      <w:r w:rsidR="0013375A" w:rsidRPr="00497F19">
        <w:rPr>
          <w:rFonts w:eastAsiaTheme="minorHAnsi"/>
          <w:szCs w:val="22"/>
          <w:lang w:val="es-ES_tradnl"/>
        </w:rPr>
        <w:t>re</w:t>
      </w:r>
      <w:r w:rsidR="008F7C42" w:rsidRPr="00497F19">
        <w:rPr>
          <w:rFonts w:eastAsiaTheme="minorHAnsi"/>
          <w:szCs w:val="22"/>
          <w:lang w:val="es-ES_tradnl"/>
        </w:rPr>
        <w:t xml:space="preserve">solución </w:t>
      </w:r>
      <w:r w:rsidR="0013375A" w:rsidRPr="00497F19">
        <w:rPr>
          <w:rFonts w:eastAsiaTheme="minorHAnsi"/>
          <w:szCs w:val="22"/>
          <w:lang w:val="es-ES_tradnl"/>
        </w:rPr>
        <w:t>de las condiciones de empleo del personal temporal con muchos años de servicio.”  A</w:t>
      </w:r>
      <w:r w:rsidRPr="00497F19">
        <w:rPr>
          <w:rFonts w:eastAsiaTheme="minorHAnsi"/>
          <w:szCs w:val="22"/>
          <w:lang w:val="es-ES_tradnl"/>
        </w:rPr>
        <w:t>l final del bienio, se había llevado a cabo en gran medida el proceso de reforma de los contratos.</w:t>
      </w:r>
    </w:p>
    <w:p w:rsidR="00467902" w:rsidRPr="00497F19" w:rsidRDefault="00467902" w:rsidP="004E3DF9">
      <w:pPr>
        <w:rPr>
          <w:rFonts w:eastAsiaTheme="minorHAnsi"/>
          <w:szCs w:val="22"/>
          <w:lang w:val="es-ES_tradnl"/>
        </w:rPr>
      </w:pPr>
    </w:p>
    <w:p w:rsidR="00911234" w:rsidRPr="00497F19" w:rsidRDefault="00911234" w:rsidP="004E3DF9">
      <w:pPr>
        <w:rPr>
          <w:rFonts w:eastAsiaTheme="minorHAnsi"/>
          <w:szCs w:val="22"/>
          <w:lang w:val="es-ES_tradnl"/>
        </w:rPr>
      </w:pPr>
      <w:r w:rsidRPr="00497F19">
        <w:rPr>
          <w:rFonts w:eastAsiaTheme="minorHAnsi"/>
          <w:szCs w:val="22"/>
          <w:lang w:val="es-ES_tradnl"/>
        </w:rPr>
        <w:t xml:space="preserve">El presupuesto aprobado de 2012/13 contenía </w:t>
      </w:r>
      <w:r w:rsidR="004E01F7" w:rsidRPr="00497F19">
        <w:rPr>
          <w:rFonts w:eastAsiaTheme="minorHAnsi"/>
          <w:szCs w:val="22"/>
          <w:lang w:val="es-ES_tradnl"/>
        </w:rPr>
        <w:t>partidas</w:t>
      </w:r>
      <w:r w:rsidRPr="00497F19">
        <w:rPr>
          <w:rFonts w:eastAsiaTheme="minorHAnsi"/>
          <w:szCs w:val="22"/>
          <w:lang w:val="es-ES_tradnl"/>
        </w:rPr>
        <w:t xml:space="preserve"> para la regularización de hasta 60 empleados temporales con muchos años de servicio que ejecutaban funciones permanentes.  Al final del bienio, se habían cubierto los 60 puestos de personal temporal con muchos años de servicio o estaban a punto de finalizarse los concursos.</w:t>
      </w:r>
    </w:p>
    <w:p w:rsidR="00911234" w:rsidRPr="00497F19" w:rsidRDefault="00911234" w:rsidP="004E3DF9">
      <w:pPr>
        <w:rPr>
          <w:rFonts w:eastAsiaTheme="minorHAnsi"/>
          <w:szCs w:val="22"/>
          <w:lang w:val="es-ES_tradnl"/>
        </w:rPr>
      </w:pPr>
    </w:p>
    <w:p w:rsidR="00911234" w:rsidRPr="00497F19" w:rsidRDefault="00911234" w:rsidP="004E3DF9">
      <w:pPr>
        <w:rPr>
          <w:rFonts w:eastAsiaTheme="minorHAnsi"/>
          <w:szCs w:val="22"/>
          <w:lang w:val="es-ES_tradnl"/>
        </w:rPr>
      </w:pPr>
      <w:r w:rsidRPr="00497F19">
        <w:rPr>
          <w:rFonts w:eastAsiaTheme="minorHAnsi"/>
          <w:szCs w:val="22"/>
          <w:lang w:val="es-ES_tradnl"/>
        </w:rPr>
        <w:t xml:space="preserve">Asimismo, el presupuesto aprobado de 2012/13 contenía </w:t>
      </w:r>
      <w:r w:rsidR="004E01F7" w:rsidRPr="00497F19">
        <w:rPr>
          <w:rFonts w:eastAsiaTheme="minorHAnsi"/>
          <w:szCs w:val="22"/>
          <w:lang w:val="es-ES_tradnl"/>
        </w:rPr>
        <w:t xml:space="preserve">partidas </w:t>
      </w:r>
      <w:r w:rsidRPr="00497F19">
        <w:rPr>
          <w:rFonts w:eastAsiaTheme="minorHAnsi"/>
          <w:szCs w:val="22"/>
          <w:lang w:val="es-ES_tradnl"/>
        </w:rPr>
        <w:t xml:space="preserve">para </w:t>
      </w:r>
      <w:r w:rsidR="00D02501" w:rsidRPr="00497F19">
        <w:rPr>
          <w:rFonts w:eastAsiaTheme="minorHAnsi"/>
          <w:szCs w:val="22"/>
          <w:lang w:val="es-ES_tradnl"/>
        </w:rPr>
        <w:t>los beneficios</w:t>
      </w:r>
      <w:r w:rsidRPr="00497F19">
        <w:rPr>
          <w:rFonts w:eastAsiaTheme="minorHAnsi"/>
          <w:szCs w:val="22"/>
          <w:lang w:val="es-ES_tradnl"/>
        </w:rPr>
        <w:t xml:space="preserve"> a </w:t>
      </w:r>
      <w:r w:rsidR="00661527" w:rsidRPr="00497F19">
        <w:rPr>
          <w:rFonts w:eastAsiaTheme="minorHAnsi"/>
          <w:szCs w:val="22"/>
          <w:lang w:val="es-ES_tradnl"/>
        </w:rPr>
        <w:t xml:space="preserve">los </w:t>
      </w:r>
      <w:r w:rsidRPr="00497F19">
        <w:rPr>
          <w:rFonts w:eastAsiaTheme="minorHAnsi"/>
          <w:szCs w:val="22"/>
          <w:lang w:val="es-ES_tradnl"/>
        </w:rPr>
        <w:t>empleados después de</w:t>
      </w:r>
      <w:r w:rsidR="006269A8" w:rsidRPr="00497F19">
        <w:rPr>
          <w:rFonts w:eastAsiaTheme="minorHAnsi"/>
          <w:szCs w:val="22"/>
          <w:lang w:val="es-ES_tradnl"/>
        </w:rPr>
        <w:t xml:space="preserve"> </w:t>
      </w:r>
      <w:r w:rsidRPr="00497F19">
        <w:rPr>
          <w:rFonts w:eastAsiaTheme="minorHAnsi"/>
          <w:szCs w:val="22"/>
          <w:lang w:val="es-ES_tradnl"/>
        </w:rPr>
        <w:t>l</w:t>
      </w:r>
      <w:r w:rsidR="006269A8" w:rsidRPr="00497F19">
        <w:rPr>
          <w:rFonts w:eastAsiaTheme="minorHAnsi"/>
          <w:szCs w:val="22"/>
          <w:lang w:val="es-ES_tradnl"/>
        </w:rPr>
        <w:t>a separación del</w:t>
      </w:r>
      <w:r w:rsidRPr="00497F19">
        <w:rPr>
          <w:rFonts w:eastAsiaTheme="minorHAnsi"/>
          <w:szCs w:val="22"/>
          <w:lang w:val="es-ES_tradnl"/>
        </w:rPr>
        <w:t xml:space="preserve"> servicio, incluido el seguro médico después de</w:t>
      </w:r>
      <w:r w:rsidR="004E01F7" w:rsidRPr="00497F19">
        <w:rPr>
          <w:rFonts w:eastAsiaTheme="minorHAnsi"/>
          <w:szCs w:val="22"/>
          <w:lang w:val="es-ES_tradnl"/>
        </w:rPr>
        <w:t xml:space="preserve"> </w:t>
      </w:r>
      <w:r w:rsidRPr="00497F19">
        <w:rPr>
          <w:rFonts w:eastAsiaTheme="minorHAnsi"/>
          <w:szCs w:val="22"/>
          <w:lang w:val="es-ES_tradnl"/>
        </w:rPr>
        <w:t>l</w:t>
      </w:r>
      <w:r w:rsidR="004E01F7" w:rsidRPr="00497F19">
        <w:rPr>
          <w:rFonts w:eastAsiaTheme="minorHAnsi"/>
          <w:szCs w:val="22"/>
          <w:lang w:val="es-ES_tradnl"/>
        </w:rPr>
        <w:t>a separación del</w:t>
      </w:r>
      <w:r w:rsidRPr="00497F19">
        <w:rPr>
          <w:rFonts w:eastAsiaTheme="minorHAnsi"/>
          <w:szCs w:val="22"/>
          <w:lang w:val="es-ES_tradnl"/>
        </w:rPr>
        <w:t xml:space="preserve"> servicio por un importe del dos por ciento de los costos de puestos, en comparación con el seis por ciento de los bienios precedentes.  </w:t>
      </w:r>
      <w:r w:rsidR="006269A8" w:rsidRPr="00497F19">
        <w:rPr>
          <w:rFonts w:eastAsiaTheme="minorHAnsi"/>
          <w:szCs w:val="22"/>
          <w:lang w:val="es-ES_tradnl"/>
        </w:rPr>
        <w:t xml:space="preserve">Esto tenía por fin “mantener los costos generales de los puestos a un nivel que se </w:t>
      </w:r>
      <w:r w:rsidR="00A02B48" w:rsidRPr="00497F19">
        <w:rPr>
          <w:rFonts w:eastAsiaTheme="minorHAnsi"/>
          <w:szCs w:val="22"/>
          <w:lang w:val="es-ES_tradnl"/>
        </w:rPr>
        <w:t>[adaptara]</w:t>
      </w:r>
      <w:r w:rsidR="006269A8" w:rsidRPr="00497F19">
        <w:rPr>
          <w:rFonts w:eastAsiaTheme="minorHAnsi"/>
          <w:szCs w:val="22"/>
          <w:lang w:val="es-ES_tradnl"/>
        </w:rPr>
        <w:t xml:space="preserve"> a la proyección de ingresos de la Organización”.  Asimismo, en el documento del presupuesto por programas de 2012/13 </w:t>
      </w:r>
      <w:r w:rsidR="00FE3757" w:rsidRPr="00497F19">
        <w:rPr>
          <w:rFonts w:eastAsiaTheme="minorHAnsi"/>
          <w:szCs w:val="22"/>
          <w:lang w:val="es-ES_tradnl"/>
        </w:rPr>
        <w:t xml:space="preserve">se declaraba que “el Director General ha indicado que, en caso de que aumenten los ingresos, dará prioridad a restablecer dicha reserva en el momento oportuno”.  En consecuencia, los </w:t>
      </w:r>
      <w:r w:rsidR="00661527" w:rsidRPr="00497F19">
        <w:rPr>
          <w:rFonts w:eastAsiaTheme="minorHAnsi"/>
          <w:szCs w:val="22"/>
          <w:lang w:val="es-ES_tradnl"/>
        </w:rPr>
        <w:t xml:space="preserve">gastos reales de personal de 2012/13 incluyen la partida de 18,9 millones de francos suizos para </w:t>
      </w:r>
      <w:r w:rsidR="00D02501" w:rsidRPr="00497F19">
        <w:rPr>
          <w:rFonts w:eastAsiaTheme="minorHAnsi"/>
          <w:szCs w:val="22"/>
          <w:lang w:val="es-ES_tradnl"/>
        </w:rPr>
        <w:t>beneficios</w:t>
      </w:r>
      <w:r w:rsidR="00661527" w:rsidRPr="00497F19">
        <w:rPr>
          <w:rFonts w:eastAsiaTheme="minorHAnsi"/>
          <w:szCs w:val="22"/>
          <w:lang w:val="es-ES_tradnl"/>
        </w:rPr>
        <w:t xml:space="preserve"> a los empleados después de la separación del servicio. </w:t>
      </w:r>
    </w:p>
    <w:p w:rsidR="00911234" w:rsidRPr="00497F19" w:rsidRDefault="00911234" w:rsidP="004E3DF9">
      <w:pPr>
        <w:rPr>
          <w:rFonts w:eastAsiaTheme="minorHAnsi"/>
          <w:szCs w:val="22"/>
          <w:lang w:val="es-ES_tradnl"/>
        </w:rPr>
      </w:pPr>
    </w:p>
    <w:p w:rsidR="004E3DF9" w:rsidRPr="00497F19" w:rsidRDefault="00F93FD6" w:rsidP="00810EBE">
      <w:pPr>
        <w:rPr>
          <w:rFonts w:eastAsiaTheme="minorHAnsi"/>
          <w:szCs w:val="22"/>
          <w:lang w:val="es-ES_tradnl"/>
        </w:rPr>
      </w:pPr>
      <w:r w:rsidRPr="00497F19">
        <w:rPr>
          <w:rFonts w:eastAsiaTheme="minorHAnsi"/>
          <w:szCs w:val="22"/>
          <w:lang w:val="es-ES_tradnl"/>
        </w:rPr>
        <w:t xml:space="preserve">En el cuadro que figura más abajo se indica la evolución de los recursos de personal por año.  El aumento en 2013 </w:t>
      </w:r>
      <w:r w:rsidR="00810EBE" w:rsidRPr="00497F19">
        <w:rPr>
          <w:rFonts w:eastAsiaTheme="minorHAnsi"/>
          <w:szCs w:val="22"/>
          <w:lang w:val="es-ES_tradnl"/>
        </w:rPr>
        <w:t xml:space="preserve">se debe al cargo único de diciembre de 2013 por un importe de 12,5 millones de francos suizos atribuible a la restitución de la partida para </w:t>
      </w:r>
      <w:r w:rsidR="00D02501" w:rsidRPr="00497F19">
        <w:rPr>
          <w:rFonts w:eastAsiaTheme="minorHAnsi"/>
          <w:szCs w:val="22"/>
          <w:lang w:val="es-ES_tradnl"/>
        </w:rPr>
        <w:t>los beneficios</w:t>
      </w:r>
      <w:r w:rsidR="00810EBE" w:rsidRPr="00497F19">
        <w:rPr>
          <w:rFonts w:eastAsiaTheme="minorHAnsi"/>
          <w:szCs w:val="22"/>
          <w:lang w:val="es-ES_tradnl"/>
        </w:rPr>
        <w:t xml:space="preserve"> a los empleados después de la separación del servicio, explicada anteriormente.  El importe de 12,5 millones de francos suizos forma parte de la partida total de 18,9 millones de francos suizos para </w:t>
      </w:r>
      <w:r w:rsidR="00D02501" w:rsidRPr="00497F19">
        <w:rPr>
          <w:rFonts w:eastAsiaTheme="minorHAnsi"/>
          <w:szCs w:val="22"/>
          <w:lang w:val="es-ES_tradnl"/>
        </w:rPr>
        <w:t>beneficios</w:t>
      </w:r>
      <w:r w:rsidR="00810EBE" w:rsidRPr="00497F19">
        <w:rPr>
          <w:rFonts w:eastAsiaTheme="minorHAnsi"/>
          <w:szCs w:val="22"/>
          <w:lang w:val="es-ES_tradnl"/>
        </w:rPr>
        <w:t xml:space="preserve"> a los empleados después de la separación del servicio contabilizada en el presupuesto ordinario que se ha mencionado anteriormente.</w:t>
      </w:r>
    </w:p>
    <w:p w:rsidR="004E3DF9" w:rsidRPr="00497F19" w:rsidRDefault="004E3DF9" w:rsidP="004E3DF9">
      <w:pPr>
        <w:rPr>
          <w:rFonts w:eastAsiaTheme="minorHAnsi"/>
          <w:szCs w:val="22"/>
          <w:lang w:val="es-ES_tradnl"/>
        </w:rPr>
      </w:pPr>
    </w:p>
    <w:p w:rsidR="004E3DF9" w:rsidRPr="00497F19" w:rsidRDefault="00CD312F" w:rsidP="00774D8D">
      <w:pPr>
        <w:pStyle w:val="Heading3"/>
        <w:spacing w:before="0" w:after="0"/>
        <w:jc w:val="center"/>
        <w:rPr>
          <w:rFonts w:ascii="Arial Bold" w:eastAsiaTheme="minorHAnsi" w:hAnsi="Arial Bold"/>
          <w:b/>
          <w:bCs w:val="0"/>
          <w:szCs w:val="22"/>
          <w:u w:val="none"/>
          <w:lang w:val="es-ES_tradnl" w:eastAsia="en-US"/>
        </w:rPr>
      </w:pPr>
      <w:bookmarkStart w:id="16" w:name="_Toc395626669"/>
      <w:r w:rsidRPr="00497F19">
        <w:rPr>
          <w:rFonts w:ascii="Arial Bold" w:eastAsiaTheme="minorHAnsi" w:hAnsi="Arial Bold"/>
          <w:b/>
          <w:bCs w:val="0"/>
          <w:szCs w:val="22"/>
          <w:u w:val="none"/>
          <w:lang w:val="es-ES_tradnl" w:eastAsia="en-US"/>
        </w:rPr>
        <w:t>Evolución de los gastos de personal</w:t>
      </w:r>
      <w:r w:rsidR="007542DA" w:rsidRPr="00497F19">
        <w:rPr>
          <w:rFonts w:ascii="Arial Bold" w:eastAsiaTheme="minorHAnsi" w:hAnsi="Arial Bold"/>
          <w:b/>
          <w:bCs w:val="0"/>
          <w:szCs w:val="22"/>
          <w:u w:val="none"/>
          <w:lang w:val="es-ES_tradnl" w:eastAsia="en-US"/>
        </w:rPr>
        <w:t>,</w:t>
      </w:r>
      <w:r w:rsidRPr="00497F19">
        <w:rPr>
          <w:rFonts w:ascii="Arial Bold" w:eastAsiaTheme="minorHAnsi" w:hAnsi="Arial Bold"/>
          <w:b/>
          <w:bCs w:val="0"/>
          <w:szCs w:val="22"/>
          <w:u w:val="none"/>
          <w:lang w:val="es-ES_tradnl" w:eastAsia="en-US"/>
        </w:rPr>
        <w:t xml:space="preserve"> por año</w:t>
      </w:r>
      <w:bookmarkEnd w:id="16"/>
      <w:r w:rsidR="004E3DF9" w:rsidRPr="00497F19">
        <w:rPr>
          <w:rFonts w:ascii="Arial Bold" w:eastAsiaTheme="minorHAnsi" w:hAnsi="Arial Bold"/>
          <w:b/>
          <w:bCs w:val="0"/>
          <w:szCs w:val="22"/>
          <w:u w:val="none"/>
          <w:lang w:val="es-ES_tradnl" w:eastAsia="en-US"/>
        </w:rPr>
        <w:t xml:space="preserve"> </w:t>
      </w:r>
    </w:p>
    <w:p w:rsidR="004E3DF9" w:rsidRPr="00497F19" w:rsidRDefault="004858B7" w:rsidP="004E3DF9">
      <w:pPr>
        <w:spacing w:line="276" w:lineRule="auto"/>
        <w:jc w:val="center"/>
        <w:rPr>
          <w:rFonts w:eastAsiaTheme="minorHAnsi"/>
          <w:i/>
          <w:iCs/>
          <w:szCs w:val="22"/>
          <w:lang w:val="es-ES_tradnl"/>
        </w:rPr>
      </w:pPr>
      <w:r w:rsidRPr="00497F19">
        <w:rPr>
          <w:rFonts w:eastAsiaTheme="minorHAnsi"/>
          <w:i/>
          <w:iCs/>
          <w:szCs w:val="22"/>
          <w:lang w:val="es-ES_tradnl"/>
        </w:rPr>
        <w:t>(</w:t>
      </w:r>
      <w:proofErr w:type="gramStart"/>
      <w:r w:rsidRPr="00497F19">
        <w:rPr>
          <w:rFonts w:eastAsiaTheme="minorHAnsi"/>
          <w:i/>
          <w:iCs/>
          <w:szCs w:val="22"/>
          <w:lang w:val="es-ES_tradnl"/>
        </w:rPr>
        <w:t>en</w:t>
      </w:r>
      <w:proofErr w:type="gramEnd"/>
      <w:r w:rsidRPr="00497F19">
        <w:rPr>
          <w:rFonts w:eastAsiaTheme="minorHAnsi"/>
          <w:i/>
          <w:iCs/>
          <w:szCs w:val="22"/>
          <w:lang w:val="es-ES_tradnl"/>
        </w:rPr>
        <w:t xml:space="preserve"> millones de francos suizos</w:t>
      </w:r>
      <w:r w:rsidR="004E3DF9" w:rsidRPr="00497F19">
        <w:rPr>
          <w:rFonts w:eastAsiaTheme="minorHAnsi"/>
          <w:i/>
          <w:iCs/>
          <w:szCs w:val="22"/>
          <w:lang w:val="es-ES_tradnl"/>
        </w:rPr>
        <w:t>)</w:t>
      </w:r>
    </w:p>
    <w:p w:rsidR="004E3DF9" w:rsidRPr="00497F19" w:rsidRDefault="004E3DF9" w:rsidP="004E3DF9">
      <w:pPr>
        <w:spacing w:line="276" w:lineRule="auto"/>
        <w:jc w:val="center"/>
        <w:rPr>
          <w:rFonts w:eastAsiaTheme="minorHAnsi"/>
          <w:szCs w:val="22"/>
          <w:lang w:val="es-ES_tradnl"/>
        </w:rPr>
      </w:pPr>
    </w:p>
    <w:p w:rsidR="004E3DF9" w:rsidRPr="00497F19" w:rsidRDefault="00872F98" w:rsidP="004E3DF9">
      <w:pPr>
        <w:rPr>
          <w:szCs w:val="22"/>
          <w:lang w:val="es-ES_tradnl"/>
        </w:rPr>
      </w:pPr>
      <w:r w:rsidRPr="00497F19">
        <w:rPr>
          <w:noProof/>
          <w:lang w:val="en-US" w:eastAsia="en-US"/>
        </w:rPr>
        <w:drawing>
          <wp:inline distT="0" distB="0" distL="0" distR="0" wp14:anchorId="46C4F4D9" wp14:editId="0CF20DB0">
            <wp:extent cx="5760085" cy="80374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60085" cy="803745"/>
                    </a:xfrm>
                    <a:prstGeom prst="rect">
                      <a:avLst/>
                    </a:prstGeom>
                    <a:noFill/>
                    <a:ln>
                      <a:noFill/>
                    </a:ln>
                  </pic:spPr>
                </pic:pic>
              </a:graphicData>
            </a:graphic>
          </wp:inline>
        </w:drawing>
      </w:r>
    </w:p>
    <w:p w:rsidR="004E3DF9" w:rsidRPr="00497F19" w:rsidRDefault="004E3DF9" w:rsidP="004E3DF9">
      <w:pPr>
        <w:rPr>
          <w:b/>
          <w:lang w:val="es-ES_tradnl"/>
        </w:rPr>
      </w:pPr>
      <w:r w:rsidRPr="00497F19">
        <w:rPr>
          <w:b/>
          <w:lang w:val="es-ES_tradnl"/>
        </w:rPr>
        <w:br w:type="page"/>
      </w:r>
    </w:p>
    <w:p w:rsidR="004E3DF9" w:rsidRPr="00497F19" w:rsidRDefault="00774D8D" w:rsidP="00774D8D">
      <w:pPr>
        <w:pStyle w:val="Heading2"/>
        <w:keepNext w:val="0"/>
        <w:widowControl w:val="0"/>
        <w:tabs>
          <w:tab w:val="left" w:pos="567"/>
        </w:tabs>
        <w:spacing w:before="0" w:after="0" w:line="300" w:lineRule="atLeast"/>
        <w:rPr>
          <w:rFonts w:ascii="Arial Bold" w:eastAsiaTheme="minorHAnsi" w:hAnsi="Arial Bold"/>
          <w:b/>
          <w:caps w:val="0"/>
          <w:lang w:val="es-ES_tradnl" w:eastAsia="da-DK"/>
        </w:rPr>
      </w:pPr>
      <w:bookmarkStart w:id="17" w:name="_Toc395626670"/>
      <w:r w:rsidRPr="00497F19">
        <w:rPr>
          <w:rFonts w:ascii="Arial Bold" w:eastAsiaTheme="minorHAnsi" w:hAnsi="Arial Bold"/>
          <w:b/>
          <w:caps w:val="0"/>
          <w:lang w:val="es-ES_tradnl" w:eastAsia="da-DK"/>
        </w:rPr>
        <w:lastRenderedPageBreak/>
        <w:t xml:space="preserve">Viajes </w:t>
      </w:r>
      <w:r w:rsidR="004858B7" w:rsidRPr="00497F19">
        <w:rPr>
          <w:rFonts w:ascii="Arial Bold" w:eastAsiaTheme="minorHAnsi" w:hAnsi="Arial Bold"/>
          <w:b/>
          <w:caps w:val="0"/>
          <w:lang w:val="es-ES_tradnl" w:eastAsia="da-DK"/>
        </w:rPr>
        <w:t>y becas</w:t>
      </w:r>
      <w:bookmarkEnd w:id="17"/>
    </w:p>
    <w:p w:rsidR="004E3DF9" w:rsidRPr="00497F19" w:rsidRDefault="004E3DF9" w:rsidP="004E3DF9">
      <w:pPr>
        <w:rPr>
          <w:b/>
          <w:lang w:val="es-ES_tradnl"/>
        </w:rPr>
      </w:pPr>
    </w:p>
    <w:p w:rsidR="004E3DF9" w:rsidRPr="00497F19" w:rsidRDefault="00213EC5" w:rsidP="004E3DF9">
      <w:pPr>
        <w:rPr>
          <w:lang w:val="es-ES_tradnl"/>
        </w:rPr>
      </w:pPr>
      <w:r w:rsidRPr="00497F19">
        <w:rPr>
          <w:lang w:val="es-ES_tradnl"/>
        </w:rPr>
        <w:t xml:space="preserve">El total de los gastos relativos a viajes y becas ascendió a 30,9 millones de francos suizos durante el bienio, una disminución </w:t>
      </w:r>
      <w:r w:rsidR="00C51450" w:rsidRPr="00497F19">
        <w:rPr>
          <w:lang w:val="es-ES_tradnl"/>
        </w:rPr>
        <w:t>de 8,6 millones de francos suizos, es decir, el 21,7%, en comparación con el presupuesto después de las transferencias.</w:t>
      </w:r>
    </w:p>
    <w:p w:rsidR="004E3DF9" w:rsidRPr="00497F19" w:rsidRDefault="004E3DF9" w:rsidP="004E3DF9">
      <w:pPr>
        <w:rPr>
          <w:lang w:val="es-ES_tradnl"/>
        </w:rPr>
      </w:pPr>
    </w:p>
    <w:p w:rsidR="004E3DF9" w:rsidRPr="00497F19" w:rsidRDefault="00213EC5" w:rsidP="00774D8D">
      <w:pPr>
        <w:pStyle w:val="Heading3"/>
        <w:spacing w:before="0" w:after="0"/>
        <w:jc w:val="center"/>
        <w:rPr>
          <w:rFonts w:ascii="Arial Bold" w:eastAsiaTheme="minorHAnsi" w:hAnsi="Arial Bold"/>
          <w:b/>
          <w:bCs w:val="0"/>
          <w:szCs w:val="22"/>
          <w:u w:val="none"/>
          <w:lang w:val="es-ES_tradnl" w:eastAsia="en-US"/>
        </w:rPr>
      </w:pPr>
      <w:bookmarkStart w:id="18" w:name="_Toc395626671"/>
      <w:r w:rsidRPr="00497F19">
        <w:rPr>
          <w:rFonts w:ascii="Arial Bold" w:eastAsiaTheme="minorHAnsi" w:hAnsi="Arial Bold"/>
          <w:b/>
          <w:bCs w:val="0"/>
          <w:szCs w:val="22"/>
          <w:u w:val="none"/>
          <w:lang w:val="es-ES_tradnl" w:eastAsia="en-US"/>
        </w:rPr>
        <w:t xml:space="preserve">Evolución de los gastos </w:t>
      </w:r>
      <w:r w:rsidR="00FF6A3A" w:rsidRPr="00497F19">
        <w:rPr>
          <w:rFonts w:ascii="Arial Bold" w:eastAsiaTheme="minorHAnsi" w:hAnsi="Arial Bold"/>
          <w:b/>
          <w:bCs w:val="0"/>
          <w:szCs w:val="22"/>
          <w:u w:val="none"/>
          <w:lang w:val="es-ES_tradnl" w:eastAsia="en-US"/>
        </w:rPr>
        <w:t>de</w:t>
      </w:r>
      <w:r w:rsidRPr="00497F19">
        <w:rPr>
          <w:rFonts w:ascii="Arial Bold" w:eastAsiaTheme="minorHAnsi" w:hAnsi="Arial Bold"/>
          <w:b/>
          <w:bCs w:val="0"/>
          <w:szCs w:val="22"/>
          <w:u w:val="none"/>
          <w:lang w:val="es-ES_tradnl" w:eastAsia="en-US"/>
        </w:rPr>
        <w:t xml:space="preserve"> viajes y becas</w:t>
      </w:r>
      <w:r w:rsidR="00FF6A3A" w:rsidRPr="00497F19">
        <w:rPr>
          <w:rFonts w:ascii="Arial Bold" w:eastAsiaTheme="minorHAnsi" w:hAnsi="Arial Bold"/>
          <w:b/>
          <w:bCs w:val="0"/>
          <w:szCs w:val="22"/>
          <w:u w:val="none"/>
          <w:lang w:val="es-ES_tradnl" w:eastAsia="en-US"/>
        </w:rPr>
        <w:t>,</w:t>
      </w:r>
      <w:r w:rsidRPr="00497F19">
        <w:rPr>
          <w:rFonts w:ascii="Arial Bold" w:eastAsiaTheme="minorHAnsi" w:hAnsi="Arial Bold"/>
          <w:b/>
          <w:bCs w:val="0"/>
          <w:szCs w:val="22"/>
          <w:u w:val="none"/>
          <w:lang w:val="es-ES_tradnl" w:eastAsia="en-US"/>
        </w:rPr>
        <w:t xml:space="preserve"> por año</w:t>
      </w:r>
      <w:bookmarkEnd w:id="18"/>
      <w:r w:rsidRPr="00497F19">
        <w:rPr>
          <w:rFonts w:ascii="Arial Bold" w:eastAsiaTheme="minorHAnsi" w:hAnsi="Arial Bold"/>
          <w:b/>
          <w:bCs w:val="0"/>
          <w:szCs w:val="22"/>
          <w:u w:val="none"/>
          <w:lang w:val="es-ES_tradnl" w:eastAsia="en-US"/>
        </w:rPr>
        <w:t xml:space="preserve"> </w:t>
      </w:r>
    </w:p>
    <w:p w:rsidR="004E3DF9" w:rsidRPr="00497F19" w:rsidRDefault="004E3DF9" w:rsidP="004E3DF9">
      <w:pPr>
        <w:jc w:val="center"/>
        <w:rPr>
          <w:i/>
          <w:iCs/>
          <w:lang w:val="es-ES_tradnl"/>
        </w:rPr>
      </w:pPr>
      <w:r w:rsidRPr="00497F19">
        <w:rPr>
          <w:i/>
          <w:iCs/>
          <w:lang w:val="es-ES_tradnl"/>
        </w:rPr>
        <w:t>(</w:t>
      </w:r>
      <w:proofErr w:type="gramStart"/>
      <w:r w:rsidR="004858B7" w:rsidRPr="00497F19">
        <w:rPr>
          <w:rFonts w:eastAsiaTheme="minorHAnsi"/>
          <w:i/>
          <w:iCs/>
          <w:szCs w:val="22"/>
          <w:lang w:val="es-ES_tradnl"/>
        </w:rPr>
        <w:t>en</w:t>
      </w:r>
      <w:proofErr w:type="gramEnd"/>
      <w:r w:rsidR="004858B7" w:rsidRPr="00497F19">
        <w:rPr>
          <w:rFonts w:eastAsiaTheme="minorHAnsi"/>
          <w:i/>
          <w:iCs/>
          <w:szCs w:val="22"/>
          <w:lang w:val="es-ES_tradnl"/>
        </w:rPr>
        <w:t xml:space="preserve"> millones de francos suizos</w:t>
      </w:r>
      <w:r w:rsidRPr="00497F19">
        <w:rPr>
          <w:i/>
          <w:iCs/>
          <w:lang w:val="es-ES_tradnl"/>
        </w:rPr>
        <w:t>)</w:t>
      </w:r>
    </w:p>
    <w:p w:rsidR="004E3DF9" w:rsidRPr="00497F19" w:rsidRDefault="004E3DF9" w:rsidP="004E3DF9">
      <w:pPr>
        <w:jc w:val="center"/>
        <w:rPr>
          <w:lang w:val="es-ES_tradnl"/>
        </w:rPr>
      </w:pPr>
    </w:p>
    <w:p w:rsidR="004E3DF9" w:rsidRPr="00497F19" w:rsidRDefault="00292231" w:rsidP="004E3DF9">
      <w:pPr>
        <w:rPr>
          <w:lang w:val="es-ES_tradnl"/>
        </w:rPr>
      </w:pPr>
      <w:r w:rsidRPr="00497F19">
        <w:rPr>
          <w:noProof/>
          <w:lang w:val="en-US" w:eastAsia="en-US"/>
        </w:rPr>
        <w:drawing>
          <wp:inline distT="0" distB="0" distL="0" distR="0" wp14:anchorId="3D03DF25" wp14:editId="58946FD9">
            <wp:extent cx="5580736" cy="2011229"/>
            <wp:effectExtent l="0" t="0" r="127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79161" cy="2010661"/>
                    </a:xfrm>
                    <a:prstGeom prst="rect">
                      <a:avLst/>
                    </a:prstGeom>
                    <a:noFill/>
                    <a:ln>
                      <a:noFill/>
                    </a:ln>
                  </pic:spPr>
                </pic:pic>
              </a:graphicData>
            </a:graphic>
          </wp:inline>
        </w:drawing>
      </w:r>
    </w:p>
    <w:p w:rsidR="004E3DF9" w:rsidRPr="00497F19" w:rsidRDefault="004E3DF9" w:rsidP="004E3DF9">
      <w:pPr>
        <w:rPr>
          <w:lang w:val="es-ES_tradnl"/>
        </w:rPr>
      </w:pPr>
    </w:p>
    <w:p w:rsidR="004E3DF9" w:rsidRPr="00497F19" w:rsidRDefault="00292231" w:rsidP="004B4B63">
      <w:pPr>
        <w:jc w:val="center"/>
        <w:rPr>
          <w:lang w:val="es-ES_tradnl"/>
        </w:rPr>
      </w:pPr>
      <w:r w:rsidRPr="00497F19">
        <w:rPr>
          <w:noProof/>
          <w:lang w:val="en-US" w:eastAsia="en-US"/>
        </w:rPr>
        <w:drawing>
          <wp:inline distT="0" distB="0" distL="0" distR="0" wp14:anchorId="5193B6C4" wp14:editId="2AD75C5D">
            <wp:extent cx="4438992" cy="2408062"/>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442704" cy="2410076"/>
                    </a:xfrm>
                    <a:prstGeom prst="rect">
                      <a:avLst/>
                    </a:prstGeom>
                    <a:noFill/>
                    <a:ln>
                      <a:noFill/>
                    </a:ln>
                  </pic:spPr>
                </pic:pic>
              </a:graphicData>
            </a:graphic>
          </wp:inline>
        </w:drawing>
      </w:r>
    </w:p>
    <w:p w:rsidR="004E3DF9" w:rsidRPr="00497F19" w:rsidRDefault="004E3DF9" w:rsidP="004E3DF9">
      <w:pPr>
        <w:rPr>
          <w:lang w:val="es-ES_tradnl"/>
        </w:rPr>
      </w:pPr>
    </w:p>
    <w:p w:rsidR="0068656E" w:rsidRPr="00497F19" w:rsidRDefault="0068656E" w:rsidP="004E3DF9">
      <w:pPr>
        <w:rPr>
          <w:lang w:val="es-ES_tradnl"/>
        </w:rPr>
      </w:pPr>
      <w:r w:rsidRPr="00497F19">
        <w:rPr>
          <w:lang w:val="es-ES_tradnl"/>
        </w:rPr>
        <w:t xml:space="preserve">El aumento de los gastos de viajes de terceros en 2013 a partir de 2012 se debió principalmente a la celebración de la serie extraordinaria de reuniones de las </w:t>
      </w:r>
      <w:r w:rsidR="00A51305" w:rsidRPr="00497F19">
        <w:rPr>
          <w:lang w:val="es-ES_tradnl"/>
        </w:rPr>
        <w:t>Asambleas</w:t>
      </w:r>
      <w:r w:rsidRPr="00497F19">
        <w:rPr>
          <w:lang w:val="es-ES_tradnl"/>
        </w:rPr>
        <w:t xml:space="preserve"> de los Estados miembros en diciembre de 2013 </w:t>
      </w:r>
      <w:r w:rsidR="008F4F51" w:rsidRPr="00497F19">
        <w:rPr>
          <w:lang w:val="es-ES_tradnl"/>
        </w:rPr>
        <w:t>así como al aumento global de actividades en el segundo año del bienio.  En cuanto al bienio en conjunto, cabe observar una disminución en comparación con 2010/11 debido en gran medida al efecto de las medidas de costoeficacia aplicadas durante el bienio.</w:t>
      </w:r>
    </w:p>
    <w:p w:rsidR="004E3DF9" w:rsidRPr="00497F19" w:rsidRDefault="004E3DF9" w:rsidP="004E3DF9">
      <w:pPr>
        <w:rPr>
          <w:lang w:val="es-ES_tradnl"/>
        </w:rPr>
      </w:pPr>
    </w:p>
    <w:p w:rsidR="008F4F51" w:rsidRPr="00497F19" w:rsidRDefault="008F4F51" w:rsidP="004E3DF9">
      <w:pPr>
        <w:rPr>
          <w:lang w:val="es-ES_tradnl"/>
        </w:rPr>
      </w:pPr>
      <w:r w:rsidRPr="00497F19">
        <w:rPr>
          <w:lang w:val="es-ES_tradnl"/>
        </w:rPr>
        <w:t xml:space="preserve">El aumento en el presupuesto de 2012/13 después de las transferencias, en lo que atañe a las becas, se produjo a consecuencia del proceso de reforma de los contratos iniciado en enero de 2013.  Concretamente, en el Centro de Arbitraje y Mediación, se contrató a varios administradores de procedimientos mediante contratos de trabajo temporales.  A fin de reconocer el acuerdo mediante el que la Organización proporciona a jóvenes profesionales experiencia en la administración de procedimientos para fortalecer sus conocimientos y competencia profesional en los ámbitos comprendidos bajo la responsabilidad del Centro de Arbitraje y Mediación, en 2013 se creó el Programa de becas de la OMPI.  En consecuencia, </w:t>
      </w:r>
      <w:r w:rsidR="00A51305" w:rsidRPr="00497F19">
        <w:rPr>
          <w:lang w:val="es-ES_tradnl"/>
        </w:rPr>
        <w:t>las</w:t>
      </w:r>
      <w:r w:rsidRPr="00497F19">
        <w:rPr>
          <w:lang w:val="es-ES_tradnl"/>
        </w:rPr>
        <w:t xml:space="preserve"> partidas presupuestarias comprendidas previamente en la categoría de empleados temporales se trasladaron a la categoría de Becas.  Además, se incurrió en gastos más elevados correspondientes a becas de cursos en el marco del Programa 11 (Academia de la </w:t>
      </w:r>
      <w:r w:rsidRPr="00497F19">
        <w:rPr>
          <w:lang w:val="es-ES_tradnl"/>
        </w:rPr>
        <w:lastRenderedPageBreak/>
        <w:t>OMPI).  Esto se debió al aumento en los programas de formación, incluidos los programas de maestría conjuntos, ofrecidos a los Estados miembros.</w:t>
      </w:r>
    </w:p>
    <w:p w:rsidR="008F4F51" w:rsidRPr="00497F19" w:rsidRDefault="008F4F51" w:rsidP="004E3DF9">
      <w:pPr>
        <w:rPr>
          <w:lang w:val="es-ES_tradnl"/>
        </w:rPr>
      </w:pPr>
    </w:p>
    <w:p w:rsidR="004E3DF9" w:rsidRPr="00497F19" w:rsidRDefault="00774D8D" w:rsidP="00774D8D">
      <w:pPr>
        <w:pStyle w:val="Heading2"/>
        <w:keepNext w:val="0"/>
        <w:widowControl w:val="0"/>
        <w:tabs>
          <w:tab w:val="left" w:pos="567"/>
        </w:tabs>
        <w:spacing w:before="0" w:after="0" w:line="300" w:lineRule="atLeast"/>
        <w:rPr>
          <w:rFonts w:ascii="Arial Bold" w:eastAsiaTheme="minorHAnsi" w:hAnsi="Arial Bold"/>
          <w:b/>
          <w:caps w:val="0"/>
          <w:lang w:val="es-ES_tradnl" w:eastAsia="da-DK"/>
        </w:rPr>
      </w:pPr>
      <w:bookmarkStart w:id="19" w:name="_Toc395626672"/>
      <w:r w:rsidRPr="00497F19">
        <w:rPr>
          <w:rFonts w:ascii="Arial Bold" w:eastAsiaTheme="minorHAnsi" w:hAnsi="Arial Bold"/>
          <w:b/>
          <w:caps w:val="0"/>
          <w:lang w:val="es-ES_tradnl" w:eastAsia="da-DK"/>
        </w:rPr>
        <w:t xml:space="preserve">Servicios </w:t>
      </w:r>
      <w:r w:rsidR="004858B7" w:rsidRPr="00497F19">
        <w:rPr>
          <w:rFonts w:ascii="Arial Bold" w:eastAsiaTheme="minorHAnsi" w:hAnsi="Arial Bold"/>
          <w:b/>
          <w:caps w:val="0"/>
          <w:lang w:val="es-ES_tradnl" w:eastAsia="da-DK"/>
        </w:rPr>
        <w:t>contractuales</w:t>
      </w:r>
      <w:bookmarkEnd w:id="19"/>
    </w:p>
    <w:p w:rsidR="004E3DF9" w:rsidRPr="00497F19" w:rsidRDefault="004E3DF9" w:rsidP="004E3DF9">
      <w:pPr>
        <w:rPr>
          <w:lang w:val="es-ES_tradnl" w:eastAsia="da-DK"/>
        </w:rPr>
      </w:pPr>
    </w:p>
    <w:p w:rsidR="004E3DF9" w:rsidRPr="00497F19" w:rsidRDefault="008F4F51" w:rsidP="004E3DF9">
      <w:pPr>
        <w:spacing w:after="200" w:line="276" w:lineRule="auto"/>
        <w:rPr>
          <w:lang w:val="es-ES_tradnl"/>
        </w:rPr>
      </w:pPr>
      <w:r w:rsidRPr="00497F19">
        <w:rPr>
          <w:lang w:val="es-ES_tradnl"/>
        </w:rPr>
        <w:t xml:space="preserve">Los gastos de servicios contractuales ascendieron a </w:t>
      </w:r>
      <w:r w:rsidR="004E3DF9" w:rsidRPr="00497F19">
        <w:rPr>
          <w:lang w:val="es-ES_tradnl"/>
        </w:rPr>
        <w:t>111</w:t>
      </w:r>
      <w:r w:rsidRPr="00497F19">
        <w:rPr>
          <w:lang w:val="es-ES_tradnl"/>
        </w:rPr>
        <w:t>,1 millones de francos suizos</w:t>
      </w:r>
      <w:r w:rsidR="004E3DF9" w:rsidRPr="00497F19">
        <w:rPr>
          <w:lang w:val="es-ES_tradnl"/>
        </w:rPr>
        <w:t xml:space="preserve"> </w:t>
      </w:r>
      <w:r w:rsidRPr="00497F19">
        <w:rPr>
          <w:lang w:val="es-ES_tradnl"/>
        </w:rPr>
        <w:t>e</w:t>
      </w:r>
      <w:r w:rsidR="004E3DF9" w:rsidRPr="00497F19">
        <w:rPr>
          <w:lang w:val="es-ES_tradnl"/>
        </w:rPr>
        <w:t>n</w:t>
      </w:r>
      <w:r w:rsidRPr="00497F19">
        <w:rPr>
          <w:lang w:val="es-ES_tradnl"/>
        </w:rPr>
        <w:t xml:space="preserve"> el</w:t>
      </w:r>
      <w:r w:rsidR="004E3DF9" w:rsidRPr="00497F19">
        <w:rPr>
          <w:lang w:val="es-ES_tradnl"/>
        </w:rPr>
        <w:t xml:space="preserve"> </w:t>
      </w:r>
      <w:r w:rsidRPr="00497F19">
        <w:rPr>
          <w:lang w:val="es-ES_tradnl"/>
        </w:rPr>
        <w:t xml:space="preserve">bienio </w:t>
      </w:r>
      <w:r w:rsidR="004E3DF9" w:rsidRPr="00497F19">
        <w:rPr>
          <w:lang w:val="es-ES_tradnl"/>
        </w:rPr>
        <w:t xml:space="preserve">2012/13.  </w:t>
      </w:r>
      <w:r w:rsidRPr="00497F19">
        <w:rPr>
          <w:lang w:val="es-ES_tradnl"/>
        </w:rPr>
        <w:t>Esto representa</w:t>
      </w:r>
      <w:r w:rsidR="004E3DF9" w:rsidRPr="00497F19">
        <w:rPr>
          <w:lang w:val="es-ES_tradnl"/>
        </w:rPr>
        <w:t xml:space="preserve"> </w:t>
      </w:r>
      <w:r w:rsidRPr="00497F19">
        <w:rPr>
          <w:lang w:val="es-ES_tradnl"/>
        </w:rPr>
        <w:t xml:space="preserve">una disminución de </w:t>
      </w:r>
      <w:r w:rsidR="004E3DF9" w:rsidRPr="00497F19">
        <w:rPr>
          <w:lang w:val="es-ES_tradnl"/>
        </w:rPr>
        <w:t>15</w:t>
      </w:r>
      <w:r w:rsidRPr="00497F19">
        <w:rPr>
          <w:lang w:val="es-ES_tradnl"/>
        </w:rPr>
        <w:t>,5 millones de francos suizos</w:t>
      </w:r>
      <w:r w:rsidR="004E3DF9" w:rsidRPr="00497F19">
        <w:rPr>
          <w:lang w:val="es-ES_tradnl"/>
        </w:rPr>
        <w:t xml:space="preserve">, </w:t>
      </w:r>
      <w:r w:rsidRPr="00497F19">
        <w:rPr>
          <w:lang w:val="es-ES_tradnl"/>
        </w:rPr>
        <w:t xml:space="preserve">es decir, el </w:t>
      </w:r>
      <w:r w:rsidR="004E3DF9" w:rsidRPr="00497F19">
        <w:rPr>
          <w:lang w:val="es-ES_tradnl"/>
        </w:rPr>
        <w:t>12</w:t>
      </w:r>
      <w:r w:rsidRPr="00497F19">
        <w:rPr>
          <w:lang w:val="es-ES_tradnl"/>
        </w:rPr>
        <w:t>,</w:t>
      </w:r>
      <w:r w:rsidR="004E3DF9" w:rsidRPr="00497F19">
        <w:rPr>
          <w:lang w:val="es-ES_tradnl"/>
        </w:rPr>
        <w:t>2</w:t>
      </w:r>
      <w:r w:rsidRPr="00497F19">
        <w:rPr>
          <w:lang w:val="es-ES_tradnl"/>
        </w:rPr>
        <w:t>%</w:t>
      </w:r>
      <w:r w:rsidR="004E3DF9" w:rsidRPr="00497F19">
        <w:rPr>
          <w:lang w:val="es-ES_tradnl"/>
        </w:rPr>
        <w:t xml:space="preserve">, </w:t>
      </w:r>
      <w:r w:rsidRPr="00497F19">
        <w:rPr>
          <w:lang w:val="es-ES_tradnl"/>
        </w:rPr>
        <w:t xml:space="preserve">en comparación con el presupuesto de </w:t>
      </w:r>
      <w:r w:rsidR="004E3DF9" w:rsidRPr="00497F19">
        <w:rPr>
          <w:lang w:val="es-ES_tradnl"/>
        </w:rPr>
        <w:t>2012/13</w:t>
      </w:r>
      <w:r w:rsidRPr="00497F19">
        <w:rPr>
          <w:lang w:val="es-ES_tradnl"/>
        </w:rPr>
        <w:t xml:space="preserve"> después de las transferencias</w:t>
      </w:r>
      <w:r w:rsidR="004858B7" w:rsidRPr="00497F19">
        <w:rPr>
          <w:lang w:val="es-ES_tradnl"/>
        </w:rPr>
        <w:t>.</w:t>
      </w:r>
    </w:p>
    <w:p w:rsidR="004E3DF9" w:rsidRPr="00497F19" w:rsidRDefault="008F4F51" w:rsidP="00922168">
      <w:pPr>
        <w:pStyle w:val="Heading3"/>
        <w:spacing w:before="0" w:after="0"/>
        <w:jc w:val="center"/>
        <w:rPr>
          <w:rFonts w:eastAsiaTheme="minorHAnsi"/>
          <w:b/>
          <w:u w:val="none"/>
          <w:lang w:val="es-ES_tradnl"/>
        </w:rPr>
      </w:pPr>
      <w:bookmarkStart w:id="20" w:name="_Toc395626673"/>
      <w:r w:rsidRPr="00497F19">
        <w:rPr>
          <w:rFonts w:eastAsiaTheme="minorHAnsi"/>
          <w:b/>
          <w:u w:val="none"/>
          <w:lang w:val="es-ES_tradnl"/>
        </w:rPr>
        <w:t>Evolución de los gastos de servicios contractuales, por año</w:t>
      </w:r>
      <w:bookmarkEnd w:id="20"/>
      <w:r w:rsidRPr="00497F19">
        <w:rPr>
          <w:rFonts w:eastAsiaTheme="minorHAnsi"/>
          <w:b/>
          <w:u w:val="none"/>
          <w:lang w:val="es-ES_tradnl"/>
        </w:rPr>
        <w:t xml:space="preserve"> </w:t>
      </w:r>
    </w:p>
    <w:p w:rsidR="004E3DF9" w:rsidRPr="00497F19" w:rsidRDefault="004E3DF9" w:rsidP="004E3DF9">
      <w:pPr>
        <w:jc w:val="center"/>
        <w:rPr>
          <w:i/>
          <w:iCs/>
          <w:lang w:val="es-ES_tradnl"/>
        </w:rPr>
      </w:pPr>
      <w:r w:rsidRPr="00497F19">
        <w:rPr>
          <w:i/>
          <w:iCs/>
          <w:lang w:val="es-ES_tradnl"/>
        </w:rPr>
        <w:t>(</w:t>
      </w:r>
      <w:proofErr w:type="gramStart"/>
      <w:r w:rsidR="004858B7" w:rsidRPr="00497F19">
        <w:rPr>
          <w:rFonts w:eastAsiaTheme="minorHAnsi"/>
          <w:i/>
          <w:iCs/>
          <w:szCs w:val="22"/>
          <w:lang w:val="es-ES_tradnl"/>
        </w:rPr>
        <w:t>en</w:t>
      </w:r>
      <w:proofErr w:type="gramEnd"/>
      <w:r w:rsidR="004858B7" w:rsidRPr="00497F19">
        <w:rPr>
          <w:rFonts w:eastAsiaTheme="minorHAnsi"/>
          <w:i/>
          <w:iCs/>
          <w:szCs w:val="22"/>
          <w:lang w:val="es-ES_tradnl"/>
        </w:rPr>
        <w:t xml:space="preserve"> millones de francos suizos</w:t>
      </w:r>
      <w:r w:rsidRPr="00497F19">
        <w:rPr>
          <w:i/>
          <w:iCs/>
          <w:lang w:val="es-ES_tradnl"/>
        </w:rPr>
        <w:t>)</w:t>
      </w:r>
    </w:p>
    <w:p w:rsidR="004E3DF9" w:rsidRPr="00497F19" w:rsidRDefault="004E3DF9" w:rsidP="004E3DF9">
      <w:pPr>
        <w:jc w:val="center"/>
        <w:rPr>
          <w:iCs/>
          <w:lang w:val="es-ES_tradnl"/>
        </w:rPr>
      </w:pPr>
    </w:p>
    <w:p w:rsidR="004E3DF9" w:rsidRPr="00497F19" w:rsidRDefault="00B53D0A" w:rsidP="004E3DF9">
      <w:pPr>
        <w:rPr>
          <w:lang w:val="es-ES_tradnl"/>
        </w:rPr>
      </w:pPr>
      <w:r w:rsidRPr="00497F19">
        <w:rPr>
          <w:noProof/>
          <w:lang w:val="en-US" w:eastAsia="en-US"/>
        </w:rPr>
        <w:drawing>
          <wp:inline distT="0" distB="0" distL="0" distR="0" wp14:anchorId="22FF297D" wp14:editId="31E761C0">
            <wp:extent cx="5495925" cy="2804623"/>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93503" cy="2803387"/>
                    </a:xfrm>
                    <a:prstGeom prst="rect">
                      <a:avLst/>
                    </a:prstGeom>
                    <a:noFill/>
                    <a:ln>
                      <a:noFill/>
                    </a:ln>
                  </pic:spPr>
                </pic:pic>
              </a:graphicData>
            </a:graphic>
          </wp:inline>
        </w:drawing>
      </w:r>
    </w:p>
    <w:p w:rsidR="004E3DF9" w:rsidRPr="00497F19" w:rsidRDefault="004E3DF9" w:rsidP="004E3DF9">
      <w:pPr>
        <w:rPr>
          <w:lang w:val="es-ES_tradnl"/>
        </w:rPr>
      </w:pPr>
    </w:p>
    <w:p w:rsidR="004E3DF9" w:rsidRPr="00497F19" w:rsidRDefault="00B53D0A" w:rsidP="004B4B63">
      <w:pPr>
        <w:jc w:val="center"/>
        <w:rPr>
          <w:lang w:val="es-ES_tradnl"/>
        </w:rPr>
      </w:pPr>
      <w:r w:rsidRPr="00497F19">
        <w:rPr>
          <w:noProof/>
          <w:lang w:val="en-US" w:eastAsia="en-US"/>
        </w:rPr>
        <w:drawing>
          <wp:inline distT="0" distB="0" distL="0" distR="0" wp14:anchorId="149DC537" wp14:editId="03A386E2">
            <wp:extent cx="4068713" cy="2416311"/>
            <wp:effectExtent l="0" t="0" r="8255"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067345" cy="2415499"/>
                    </a:xfrm>
                    <a:prstGeom prst="rect">
                      <a:avLst/>
                    </a:prstGeom>
                    <a:noFill/>
                    <a:ln>
                      <a:noFill/>
                    </a:ln>
                  </pic:spPr>
                </pic:pic>
              </a:graphicData>
            </a:graphic>
          </wp:inline>
        </w:drawing>
      </w:r>
    </w:p>
    <w:p w:rsidR="004E3DF9" w:rsidRPr="00497F19" w:rsidRDefault="004E3DF9" w:rsidP="004E3DF9">
      <w:pPr>
        <w:rPr>
          <w:lang w:val="es-ES_tradnl"/>
        </w:rPr>
      </w:pPr>
    </w:p>
    <w:p w:rsidR="00132525" w:rsidRPr="00497F19" w:rsidRDefault="00132525" w:rsidP="004E3DF9">
      <w:pPr>
        <w:rPr>
          <w:lang w:val="es-ES_tradnl"/>
        </w:rPr>
      </w:pPr>
      <w:r w:rsidRPr="00497F19">
        <w:rPr>
          <w:lang w:val="es-ES_tradnl"/>
        </w:rPr>
        <w:t xml:space="preserve">El aumento en el presupuesto de 2012/13 después de las transferencias </w:t>
      </w:r>
      <w:r w:rsidR="001D7272" w:rsidRPr="00497F19">
        <w:rPr>
          <w:lang w:val="es-ES_tradnl"/>
        </w:rPr>
        <w:t>correspondiente a ASE y servicios comerciales se debió principalmente a las partidas adicionales para i) la subcontratación externa de traducciones en el marco del Programa 5 (Sistema del PCT), ii) la finalización de la iniciativa de PRI en el marco del Programa 21 (Gestión ejecutiva) y iii) la subcontratación externa de mayores volúmenes de traducción como consecuencia de la aplicación de la Política Lingüística de la OMPI en el marco del Programa 27 (Servicios de conferencias y lingüísticos).</w:t>
      </w:r>
    </w:p>
    <w:p w:rsidR="004E3DF9" w:rsidRPr="00497F19" w:rsidRDefault="004E3DF9" w:rsidP="004E3DF9">
      <w:pPr>
        <w:rPr>
          <w:lang w:val="es-ES_tradnl"/>
        </w:rPr>
      </w:pPr>
    </w:p>
    <w:p w:rsidR="004E3DF9" w:rsidRPr="00497F19" w:rsidRDefault="001D7272" w:rsidP="004E3DF9">
      <w:pPr>
        <w:rPr>
          <w:lang w:val="es-ES_tradnl"/>
        </w:rPr>
      </w:pPr>
      <w:r w:rsidRPr="00497F19">
        <w:rPr>
          <w:lang w:val="es-ES_tradnl"/>
        </w:rPr>
        <w:t xml:space="preserve">El aumento de los gastos de ASE y servicios comerciales en 2013 en comparación con 2012 se debió principalmente a los mayores volúmenes de traducción en el Programa 5 (Sistema del PCT) y al aumento de la subcontratación externa de servicios de gestión de la infraestructura (redes y servidores) encomendada al Centro Internacional de Cálculo de las Naciones Unidas (CICE), en el marco del </w:t>
      </w:r>
      <w:r w:rsidR="004E3DF9" w:rsidRPr="00497F19">
        <w:rPr>
          <w:lang w:val="es-ES_tradnl"/>
        </w:rPr>
        <w:t>Program</w:t>
      </w:r>
      <w:r w:rsidRPr="00497F19">
        <w:rPr>
          <w:lang w:val="es-ES_tradnl"/>
        </w:rPr>
        <w:t>a</w:t>
      </w:r>
      <w:r w:rsidR="004E3DF9" w:rsidRPr="00497F19">
        <w:rPr>
          <w:lang w:val="es-ES_tradnl"/>
        </w:rPr>
        <w:t xml:space="preserve"> 25 (T</w:t>
      </w:r>
      <w:r w:rsidRPr="00497F19">
        <w:rPr>
          <w:lang w:val="es-ES_tradnl"/>
        </w:rPr>
        <w:t>IC</w:t>
      </w:r>
      <w:r w:rsidR="004E3DF9" w:rsidRPr="00497F19">
        <w:rPr>
          <w:lang w:val="es-ES_tradnl"/>
        </w:rPr>
        <w:t xml:space="preserve">). </w:t>
      </w:r>
    </w:p>
    <w:p w:rsidR="001D7272" w:rsidRPr="00497F19" w:rsidRDefault="001D7272" w:rsidP="00917518">
      <w:pPr>
        <w:rPr>
          <w:lang w:val="es-ES_tradnl" w:eastAsia="da-DK"/>
        </w:rPr>
      </w:pPr>
    </w:p>
    <w:p w:rsidR="004E3DF9" w:rsidRPr="00497F19" w:rsidRDefault="00774D8D" w:rsidP="00774D8D">
      <w:pPr>
        <w:pStyle w:val="Heading2"/>
        <w:keepNext w:val="0"/>
        <w:widowControl w:val="0"/>
        <w:tabs>
          <w:tab w:val="left" w:pos="567"/>
        </w:tabs>
        <w:spacing w:before="0" w:after="0" w:line="300" w:lineRule="atLeast"/>
        <w:rPr>
          <w:rFonts w:ascii="Arial Bold" w:eastAsiaTheme="minorHAnsi" w:hAnsi="Arial Bold"/>
          <w:b/>
          <w:caps w:val="0"/>
          <w:lang w:val="es-ES_tradnl" w:eastAsia="da-DK"/>
        </w:rPr>
      </w:pPr>
      <w:bookmarkStart w:id="21" w:name="_Toc395626674"/>
      <w:r w:rsidRPr="00497F19">
        <w:rPr>
          <w:rFonts w:ascii="Arial Bold" w:eastAsiaTheme="minorHAnsi" w:hAnsi="Arial Bold"/>
          <w:b/>
          <w:caps w:val="0"/>
          <w:lang w:val="es-ES_tradnl" w:eastAsia="da-DK"/>
        </w:rPr>
        <w:t xml:space="preserve">Gastos </w:t>
      </w:r>
      <w:r w:rsidR="004858B7" w:rsidRPr="00497F19">
        <w:rPr>
          <w:rFonts w:ascii="Arial Bold" w:eastAsiaTheme="minorHAnsi" w:hAnsi="Arial Bold"/>
          <w:b/>
          <w:caps w:val="0"/>
          <w:lang w:val="es-ES_tradnl" w:eastAsia="da-DK"/>
        </w:rPr>
        <w:t>de operación</w:t>
      </w:r>
      <w:bookmarkEnd w:id="21"/>
    </w:p>
    <w:p w:rsidR="004E3DF9" w:rsidRPr="00497F19" w:rsidRDefault="004E3DF9" w:rsidP="004E3DF9">
      <w:pPr>
        <w:rPr>
          <w:lang w:val="es-ES_tradnl"/>
        </w:rPr>
      </w:pPr>
    </w:p>
    <w:p w:rsidR="001D7272" w:rsidRPr="00497F19" w:rsidRDefault="001D7272" w:rsidP="004E3DF9">
      <w:pPr>
        <w:spacing w:after="200" w:line="276" w:lineRule="auto"/>
        <w:rPr>
          <w:lang w:val="es-ES_tradnl"/>
        </w:rPr>
      </w:pPr>
      <w:r w:rsidRPr="00497F19">
        <w:rPr>
          <w:lang w:val="es-ES_tradnl"/>
        </w:rPr>
        <w:t>Los gastos de operación ascendieron a 50,0 millones de fra</w:t>
      </w:r>
      <w:r w:rsidR="00B53D0A" w:rsidRPr="00497F19">
        <w:rPr>
          <w:lang w:val="es-ES_tradnl"/>
        </w:rPr>
        <w:t>ncos suizos, una disminución de </w:t>
      </w:r>
      <w:r w:rsidRPr="00497F19">
        <w:rPr>
          <w:lang w:val="es-ES_tradnl"/>
        </w:rPr>
        <w:t>5,5 millones de francos suizos, es decir, el 10%, en co</w:t>
      </w:r>
      <w:r w:rsidR="00B53D0A" w:rsidRPr="00497F19">
        <w:rPr>
          <w:lang w:val="es-ES_tradnl"/>
        </w:rPr>
        <w:t>mparación con el presupuesto de </w:t>
      </w:r>
      <w:r w:rsidRPr="00497F19">
        <w:rPr>
          <w:lang w:val="es-ES_tradnl"/>
        </w:rPr>
        <w:t>2012/13 después de las transferencias.</w:t>
      </w:r>
    </w:p>
    <w:p w:rsidR="004E3DF9" w:rsidRPr="00497F19" w:rsidRDefault="001D7272" w:rsidP="00774D8D">
      <w:pPr>
        <w:pStyle w:val="Heading3"/>
        <w:jc w:val="center"/>
        <w:rPr>
          <w:rFonts w:ascii="Arial Bold" w:eastAsiaTheme="minorHAnsi" w:hAnsi="Arial Bold"/>
          <w:b/>
          <w:bCs w:val="0"/>
          <w:szCs w:val="22"/>
          <w:u w:val="none"/>
          <w:lang w:val="es-ES_tradnl" w:eastAsia="en-US"/>
        </w:rPr>
      </w:pPr>
      <w:bookmarkStart w:id="22" w:name="_Toc395626675"/>
      <w:r w:rsidRPr="00497F19">
        <w:rPr>
          <w:rFonts w:ascii="Arial Bold" w:eastAsiaTheme="minorHAnsi" w:hAnsi="Arial Bold"/>
          <w:b/>
          <w:bCs w:val="0"/>
          <w:szCs w:val="22"/>
          <w:u w:val="none"/>
          <w:lang w:val="es-ES_tradnl" w:eastAsia="en-US"/>
        </w:rPr>
        <w:t>Evolución</w:t>
      </w:r>
      <w:r w:rsidR="004E3DF9" w:rsidRPr="00497F19">
        <w:rPr>
          <w:rFonts w:ascii="Arial Bold" w:eastAsiaTheme="minorHAnsi" w:hAnsi="Arial Bold"/>
          <w:b/>
          <w:bCs w:val="0"/>
          <w:szCs w:val="22"/>
          <w:u w:val="none"/>
          <w:lang w:val="es-ES_tradnl" w:eastAsia="en-US"/>
        </w:rPr>
        <w:t xml:space="preserve"> </w:t>
      </w:r>
      <w:r w:rsidRPr="00497F19">
        <w:rPr>
          <w:rFonts w:ascii="Arial Bold" w:eastAsiaTheme="minorHAnsi" w:hAnsi="Arial Bold"/>
          <w:b/>
          <w:bCs w:val="0"/>
          <w:szCs w:val="22"/>
          <w:u w:val="none"/>
          <w:lang w:val="es-ES_tradnl" w:eastAsia="en-US"/>
        </w:rPr>
        <w:t>de los gastos de operación, por año</w:t>
      </w:r>
      <w:bookmarkEnd w:id="22"/>
      <w:r w:rsidRPr="00497F19">
        <w:rPr>
          <w:rFonts w:ascii="Arial Bold" w:eastAsiaTheme="minorHAnsi" w:hAnsi="Arial Bold"/>
          <w:b/>
          <w:bCs w:val="0"/>
          <w:szCs w:val="22"/>
          <w:u w:val="none"/>
          <w:lang w:val="es-ES_tradnl" w:eastAsia="en-US"/>
        </w:rPr>
        <w:t xml:space="preserve"> </w:t>
      </w:r>
    </w:p>
    <w:p w:rsidR="004E3DF9" w:rsidRPr="00497F19" w:rsidRDefault="004E3DF9" w:rsidP="004E3DF9">
      <w:pPr>
        <w:jc w:val="center"/>
        <w:rPr>
          <w:i/>
          <w:iCs/>
          <w:lang w:val="es-ES_tradnl"/>
        </w:rPr>
      </w:pPr>
      <w:r w:rsidRPr="00497F19">
        <w:rPr>
          <w:i/>
          <w:iCs/>
          <w:lang w:val="es-ES_tradnl"/>
        </w:rPr>
        <w:t>(</w:t>
      </w:r>
      <w:proofErr w:type="gramStart"/>
      <w:r w:rsidR="004858B7" w:rsidRPr="00497F19">
        <w:rPr>
          <w:i/>
          <w:iCs/>
          <w:lang w:val="es-ES_tradnl"/>
        </w:rPr>
        <w:t>en</w:t>
      </w:r>
      <w:proofErr w:type="gramEnd"/>
      <w:r w:rsidR="004858B7" w:rsidRPr="00497F19">
        <w:rPr>
          <w:i/>
          <w:iCs/>
          <w:lang w:val="es-ES_tradnl"/>
        </w:rPr>
        <w:t xml:space="preserve"> millones de francos suizos</w:t>
      </w:r>
      <w:r w:rsidRPr="00497F19">
        <w:rPr>
          <w:i/>
          <w:iCs/>
          <w:lang w:val="es-ES_tradnl"/>
        </w:rPr>
        <w:t>)</w:t>
      </w:r>
    </w:p>
    <w:p w:rsidR="004E3DF9" w:rsidRPr="00497F19" w:rsidRDefault="004E3DF9" w:rsidP="004E3DF9">
      <w:pPr>
        <w:rPr>
          <w:lang w:val="es-ES_tradnl"/>
        </w:rPr>
      </w:pPr>
    </w:p>
    <w:p w:rsidR="004E3DF9" w:rsidRPr="00497F19" w:rsidRDefault="001B4909" w:rsidP="004E3DF9">
      <w:pPr>
        <w:rPr>
          <w:lang w:val="es-ES_tradnl"/>
        </w:rPr>
      </w:pPr>
      <w:r w:rsidRPr="00497F19">
        <w:rPr>
          <w:noProof/>
          <w:lang w:val="en-US" w:eastAsia="en-US"/>
        </w:rPr>
        <w:drawing>
          <wp:inline distT="0" distB="0" distL="0" distR="0" wp14:anchorId="337A2C8C" wp14:editId="710BC349">
            <wp:extent cx="5550894" cy="280987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553023" cy="2810953"/>
                    </a:xfrm>
                    <a:prstGeom prst="rect">
                      <a:avLst/>
                    </a:prstGeom>
                    <a:noFill/>
                    <a:ln>
                      <a:noFill/>
                    </a:ln>
                  </pic:spPr>
                </pic:pic>
              </a:graphicData>
            </a:graphic>
          </wp:inline>
        </w:drawing>
      </w:r>
    </w:p>
    <w:p w:rsidR="004E3DF9" w:rsidRPr="00497F19" w:rsidRDefault="004E3DF9" w:rsidP="004E3DF9">
      <w:pPr>
        <w:rPr>
          <w:lang w:val="es-ES_tradnl"/>
        </w:rPr>
      </w:pPr>
    </w:p>
    <w:p w:rsidR="004E3DF9" w:rsidRPr="00497F19" w:rsidRDefault="001B4909" w:rsidP="002A2E4B">
      <w:pPr>
        <w:jc w:val="center"/>
        <w:rPr>
          <w:lang w:val="es-ES_tradnl"/>
        </w:rPr>
      </w:pPr>
      <w:r w:rsidRPr="00497F19">
        <w:rPr>
          <w:noProof/>
          <w:lang w:val="en-US" w:eastAsia="en-US"/>
        </w:rPr>
        <w:drawing>
          <wp:inline distT="0" distB="0" distL="0" distR="0" wp14:anchorId="6B4FABD9" wp14:editId="6A808610">
            <wp:extent cx="3512701" cy="2134207"/>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513708" cy="2134819"/>
                    </a:xfrm>
                    <a:prstGeom prst="rect">
                      <a:avLst/>
                    </a:prstGeom>
                    <a:noFill/>
                    <a:ln>
                      <a:noFill/>
                    </a:ln>
                  </pic:spPr>
                </pic:pic>
              </a:graphicData>
            </a:graphic>
          </wp:inline>
        </w:drawing>
      </w:r>
    </w:p>
    <w:p w:rsidR="004E3DF9" w:rsidRPr="00497F19" w:rsidRDefault="004E3DF9" w:rsidP="004E3DF9">
      <w:pPr>
        <w:rPr>
          <w:lang w:val="es-ES_tradnl"/>
        </w:rPr>
      </w:pPr>
    </w:p>
    <w:p w:rsidR="00FA4EAA" w:rsidRPr="00497F19" w:rsidRDefault="00FA4EAA" w:rsidP="004E3DF9">
      <w:pPr>
        <w:tabs>
          <w:tab w:val="left" w:pos="567"/>
        </w:tabs>
        <w:ind w:right="91"/>
        <w:rPr>
          <w:lang w:val="es-ES_tradnl"/>
        </w:rPr>
      </w:pPr>
      <w:r w:rsidRPr="00497F19">
        <w:rPr>
          <w:lang w:val="es-ES_tradnl"/>
        </w:rPr>
        <w:t xml:space="preserve">El aumento importante </w:t>
      </w:r>
      <w:r w:rsidR="007058C9" w:rsidRPr="00497F19">
        <w:rPr>
          <w:lang w:val="es-ES_tradnl"/>
        </w:rPr>
        <w:t>de</w:t>
      </w:r>
      <w:r w:rsidRPr="00497F19">
        <w:rPr>
          <w:lang w:val="es-ES_tradnl"/>
        </w:rPr>
        <w:t xml:space="preserve"> los gastos comprendidos en la rúbrica de Cargas administrativas y bancarias en comparación con el presupuesto después de las transferencias se debi</w:t>
      </w:r>
      <w:r w:rsidR="007058C9" w:rsidRPr="00497F19">
        <w:rPr>
          <w:lang w:val="es-ES_tradnl"/>
        </w:rPr>
        <w:t>ó al hecho de que los</w:t>
      </w:r>
      <w:r w:rsidRPr="00497F19">
        <w:rPr>
          <w:lang w:val="es-ES_tradnl"/>
        </w:rPr>
        <w:t xml:space="preserve"> pago</w:t>
      </w:r>
      <w:r w:rsidR="007058C9" w:rsidRPr="00497F19">
        <w:rPr>
          <w:lang w:val="es-ES_tradnl"/>
        </w:rPr>
        <w:t>s</w:t>
      </w:r>
      <w:r w:rsidRPr="00497F19">
        <w:rPr>
          <w:lang w:val="es-ES_tradnl"/>
        </w:rPr>
        <w:t xml:space="preserve"> de</w:t>
      </w:r>
      <w:r w:rsidR="007058C9" w:rsidRPr="00497F19">
        <w:rPr>
          <w:lang w:val="es-ES_tradnl"/>
        </w:rPr>
        <w:t xml:space="preserve"> los</w:t>
      </w:r>
      <w:r w:rsidRPr="00497F19">
        <w:rPr>
          <w:lang w:val="es-ES_tradnl"/>
        </w:rPr>
        <w:t xml:space="preserve"> intereses relacionados con el proyecto de construcción del nuevo edificio se presupuestaron en la rúbrica de Locales y mantenimiento;  mientras que las cargas reales se contabilizaron en el apartado de Cargas administrativas y bancarias.</w:t>
      </w:r>
    </w:p>
    <w:p w:rsidR="00FA4EAA" w:rsidRPr="00497F19" w:rsidRDefault="00FA4EAA" w:rsidP="004E3DF9">
      <w:pPr>
        <w:tabs>
          <w:tab w:val="left" w:pos="567"/>
        </w:tabs>
        <w:ind w:right="91"/>
        <w:rPr>
          <w:lang w:val="es-ES_tradnl"/>
        </w:rPr>
      </w:pPr>
    </w:p>
    <w:p w:rsidR="004E3DF9" w:rsidRPr="00497F19" w:rsidRDefault="002A47CA" w:rsidP="002A47CA">
      <w:pPr>
        <w:tabs>
          <w:tab w:val="left" w:pos="567"/>
        </w:tabs>
        <w:ind w:right="91"/>
        <w:jc w:val="both"/>
        <w:rPr>
          <w:lang w:val="es-ES_tradnl"/>
        </w:rPr>
      </w:pPr>
      <w:r w:rsidRPr="00497F19">
        <w:rPr>
          <w:lang w:val="es-ES_tradnl"/>
        </w:rPr>
        <w:lastRenderedPageBreak/>
        <w:t xml:space="preserve">La disminución de los gastos de locales y mantenimiento en </w:t>
      </w:r>
      <w:r w:rsidR="004E3DF9" w:rsidRPr="00497F19">
        <w:rPr>
          <w:lang w:val="es-ES_tradnl"/>
        </w:rPr>
        <w:t>2012/13</w:t>
      </w:r>
      <w:r w:rsidRPr="00497F19">
        <w:rPr>
          <w:lang w:val="es-ES_tradnl"/>
        </w:rPr>
        <w:t xml:space="preserve"> en comparación con lo</w:t>
      </w:r>
      <w:r w:rsidR="00840F85" w:rsidRPr="00497F19">
        <w:rPr>
          <w:lang w:val="es-ES_tradnl"/>
        </w:rPr>
        <w:t>s bienios anteriores se debió</w:t>
      </w:r>
      <w:r w:rsidRPr="00497F19">
        <w:rPr>
          <w:lang w:val="es-ES_tradnl"/>
        </w:rPr>
        <w:t xml:space="preserve"> principalmente a la cancelación de</w:t>
      </w:r>
      <w:r w:rsidR="001D6D64" w:rsidRPr="00497F19">
        <w:rPr>
          <w:lang w:val="es-ES_tradnl"/>
        </w:rPr>
        <w:t xml:space="preserve"> </w:t>
      </w:r>
      <w:r w:rsidRPr="00497F19">
        <w:rPr>
          <w:lang w:val="es-ES_tradnl"/>
        </w:rPr>
        <w:t>l</w:t>
      </w:r>
      <w:r w:rsidR="001D6D64" w:rsidRPr="00497F19">
        <w:rPr>
          <w:lang w:val="es-ES_tradnl"/>
        </w:rPr>
        <w:t>os contratos de</w:t>
      </w:r>
      <w:r w:rsidRPr="00497F19">
        <w:rPr>
          <w:lang w:val="es-ES_tradnl"/>
        </w:rPr>
        <w:t xml:space="preserve"> alquiler de espacio</w:t>
      </w:r>
      <w:r w:rsidR="0010585F" w:rsidRPr="00497F19">
        <w:rPr>
          <w:lang w:val="es-ES_tradnl"/>
        </w:rPr>
        <w:t>s</w:t>
      </w:r>
      <w:r w:rsidRPr="00497F19">
        <w:rPr>
          <w:lang w:val="es-ES_tradnl"/>
        </w:rPr>
        <w:t xml:space="preserve"> de oficina fuera del recinto de la OMPI una vez finalizado el nuevo edificio.  Dicha reducción </w:t>
      </w:r>
      <w:r w:rsidR="002A63A0" w:rsidRPr="00497F19">
        <w:rPr>
          <w:lang w:val="es-ES_tradnl"/>
        </w:rPr>
        <w:t xml:space="preserve">se vio </w:t>
      </w:r>
      <w:r w:rsidRPr="00497F19">
        <w:rPr>
          <w:lang w:val="es-ES_tradnl"/>
        </w:rPr>
        <w:t>contrarrest</w:t>
      </w:r>
      <w:r w:rsidR="002A63A0" w:rsidRPr="00497F19">
        <w:rPr>
          <w:lang w:val="es-ES_tradnl"/>
        </w:rPr>
        <w:t>ada</w:t>
      </w:r>
      <w:r w:rsidRPr="00497F19">
        <w:rPr>
          <w:lang w:val="es-ES_tradnl"/>
        </w:rPr>
        <w:t xml:space="preserve"> en parte por unos gastos y costos de mantenimiento algo más elevados en relación con el funcionamiento del nuevo edificio.</w:t>
      </w:r>
    </w:p>
    <w:p w:rsidR="004E3DF9" w:rsidRPr="00497F19" w:rsidRDefault="004E3DF9" w:rsidP="004E3DF9">
      <w:pPr>
        <w:tabs>
          <w:tab w:val="left" w:pos="567"/>
        </w:tabs>
        <w:ind w:right="91"/>
        <w:rPr>
          <w:lang w:val="es-ES_tradnl"/>
        </w:rPr>
      </w:pPr>
    </w:p>
    <w:p w:rsidR="004E3DF9" w:rsidRPr="00497F19" w:rsidRDefault="00774D8D" w:rsidP="00774D8D">
      <w:pPr>
        <w:pStyle w:val="Heading2"/>
        <w:keepNext w:val="0"/>
        <w:widowControl w:val="0"/>
        <w:tabs>
          <w:tab w:val="left" w:pos="567"/>
        </w:tabs>
        <w:spacing w:before="0" w:after="0" w:line="300" w:lineRule="atLeast"/>
        <w:rPr>
          <w:rFonts w:ascii="Arial Bold" w:eastAsiaTheme="minorHAnsi" w:hAnsi="Arial Bold"/>
          <w:b/>
          <w:caps w:val="0"/>
          <w:lang w:val="es-ES_tradnl" w:eastAsia="da-DK"/>
        </w:rPr>
      </w:pPr>
      <w:bookmarkStart w:id="23" w:name="_Toc395626676"/>
      <w:r w:rsidRPr="00497F19">
        <w:rPr>
          <w:rFonts w:ascii="Arial Bold" w:eastAsiaTheme="minorHAnsi" w:hAnsi="Arial Bold"/>
          <w:b/>
          <w:caps w:val="0"/>
          <w:lang w:val="es-ES_tradnl" w:eastAsia="da-DK"/>
        </w:rPr>
        <w:t>Equipo y suministros</w:t>
      </w:r>
      <w:bookmarkEnd w:id="23"/>
    </w:p>
    <w:p w:rsidR="004E3DF9" w:rsidRPr="00497F19" w:rsidRDefault="004E3DF9" w:rsidP="004E3DF9">
      <w:pPr>
        <w:rPr>
          <w:lang w:val="es-ES_tradnl" w:eastAsia="da-DK"/>
        </w:rPr>
      </w:pPr>
    </w:p>
    <w:p w:rsidR="007058C9" w:rsidRPr="00497F19" w:rsidRDefault="007058C9" w:rsidP="004E3DF9">
      <w:pPr>
        <w:tabs>
          <w:tab w:val="left" w:pos="567"/>
        </w:tabs>
        <w:ind w:right="91"/>
        <w:rPr>
          <w:lang w:val="es-ES_tradnl"/>
        </w:rPr>
      </w:pPr>
      <w:r w:rsidRPr="00497F19">
        <w:rPr>
          <w:lang w:val="es-ES_tradnl"/>
        </w:rPr>
        <w:t>El gasto relativo a equipo y suministros ascendió a 6,5 mi</w:t>
      </w:r>
      <w:r w:rsidR="00AD3850">
        <w:rPr>
          <w:lang w:val="es-ES_tradnl"/>
        </w:rPr>
        <w:t>llones de francos suizos en </w:t>
      </w:r>
      <w:r w:rsidR="004E3DF9" w:rsidRPr="00497F19">
        <w:rPr>
          <w:lang w:val="es-ES_tradnl"/>
        </w:rPr>
        <w:t>2012/13,</w:t>
      </w:r>
      <w:r w:rsidRPr="00497F19">
        <w:rPr>
          <w:lang w:val="es-ES_tradnl"/>
        </w:rPr>
        <w:t xml:space="preserve"> una disminución de 3,5 millones de francos suizos, es decir, el 35%, en comparaci</w:t>
      </w:r>
      <w:r w:rsidR="005E6A55" w:rsidRPr="00497F19">
        <w:rPr>
          <w:lang w:val="es-ES_tradnl"/>
        </w:rPr>
        <w:t>ón con el presupuesto bienal</w:t>
      </w:r>
      <w:r w:rsidRPr="00497F19">
        <w:rPr>
          <w:lang w:val="es-ES_tradnl"/>
        </w:rPr>
        <w:t xml:space="preserve"> después de las transferencias.  La reducci</w:t>
      </w:r>
      <w:r w:rsidR="005E6A55" w:rsidRPr="00497F19">
        <w:rPr>
          <w:lang w:val="es-ES_tradnl"/>
        </w:rPr>
        <w:t xml:space="preserve">ón correspondió </w:t>
      </w:r>
      <w:r w:rsidRPr="00497F19">
        <w:rPr>
          <w:lang w:val="es-ES_tradnl"/>
        </w:rPr>
        <w:t xml:space="preserve">íntegramente </w:t>
      </w:r>
      <w:r w:rsidR="005E6A55" w:rsidRPr="00497F19">
        <w:rPr>
          <w:lang w:val="es-ES_tradnl"/>
        </w:rPr>
        <w:t xml:space="preserve">a </w:t>
      </w:r>
      <w:r w:rsidRPr="00497F19">
        <w:rPr>
          <w:lang w:val="es-ES_tradnl"/>
        </w:rPr>
        <w:t>la subcategoría de Mobiliario y equipo.</w:t>
      </w:r>
      <w:r w:rsidR="004E3DF9" w:rsidRPr="00497F19">
        <w:rPr>
          <w:lang w:val="es-ES_tradnl"/>
        </w:rPr>
        <w:t xml:space="preserve"> </w:t>
      </w:r>
    </w:p>
    <w:p w:rsidR="004E3DF9" w:rsidRPr="00497F19" w:rsidRDefault="004E3DF9" w:rsidP="004E3DF9">
      <w:pPr>
        <w:tabs>
          <w:tab w:val="left" w:pos="567"/>
        </w:tabs>
        <w:ind w:right="91"/>
        <w:rPr>
          <w:lang w:val="es-ES_tradnl"/>
        </w:rPr>
      </w:pPr>
    </w:p>
    <w:p w:rsidR="004E3DF9" w:rsidRPr="00497F19" w:rsidRDefault="007058C9" w:rsidP="00774D8D">
      <w:pPr>
        <w:pStyle w:val="Heading3"/>
        <w:spacing w:before="0" w:after="0"/>
        <w:jc w:val="center"/>
        <w:rPr>
          <w:rFonts w:ascii="Arial Bold" w:eastAsiaTheme="minorHAnsi" w:hAnsi="Arial Bold"/>
          <w:b/>
          <w:bCs w:val="0"/>
          <w:szCs w:val="22"/>
          <w:u w:val="none"/>
          <w:lang w:val="es-ES_tradnl" w:eastAsia="en-US"/>
        </w:rPr>
      </w:pPr>
      <w:bookmarkStart w:id="24" w:name="_Toc395626677"/>
      <w:r w:rsidRPr="00497F19">
        <w:rPr>
          <w:rFonts w:ascii="Arial Bold" w:eastAsiaTheme="minorHAnsi" w:hAnsi="Arial Bold"/>
          <w:b/>
          <w:bCs w:val="0"/>
          <w:szCs w:val="22"/>
          <w:u w:val="none"/>
          <w:lang w:val="es-ES_tradnl" w:eastAsia="en-US"/>
        </w:rPr>
        <w:t>Evolución de los gastos de equipo y suministros, por año</w:t>
      </w:r>
      <w:bookmarkEnd w:id="24"/>
      <w:r w:rsidR="004E3DF9" w:rsidRPr="00497F19">
        <w:rPr>
          <w:rFonts w:ascii="Arial Bold" w:eastAsiaTheme="minorHAnsi" w:hAnsi="Arial Bold"/>
          <w:b/>
          <w:bCs w:val="0"/>
          <w:szCs w:val="22"/>
          <w:u w:val="none"/>
          <w:lang w:val="es-ES_tradnl" w:eastAsia="en-US"/>
        </w:rPr>
        <w:t xml:space="preserve"> </w:t>
      </w:r>
    </w:p>
    <w:p w:rsidR="004E3DF9" w:rsidRPr="00497F19" w:rsidRDefault="004E3DF9" w:rsidP="004E3DF9">
      <w:pPr>
        <w:jc w:val="center"/>
        <w:rPr>
          <w:i/>
          <w:iCs/>
          <w:lang w:val="es-ES_tradnl"/>
        </w:rPr>
      </w:pPr>
      <w:r w:rsidRPr="00497F19">
        <w:rPr>
          <w:i/>
          <w:iCs/>
          <w:lang w:val="es-ES_tradnl"/>
        </w:rPr>
        <w:t>(</w:t>
      </w:r>
      <w:proofErr w:type="gramStart"/>
      <w:r w:rsidR="003A30A3" w:rsidRPr="00497F19">
        <w:rPr>
          <w:i/>
          <w:iCs/>
          <w:lang w:val="es-ES_tradnl"/>
        </w:rPr>
        <w:t>en</w:t>
      </w:r>
      <w:proofErr w:type="gramEnd"/>
      <w:r w:rsidR="003A30A3" w:rsidRPr="00497F19">
        <w:rPr>
          <w:i/>
          <w:iCs/>
          <w:lang w:val="es-ES_tradnl"/>
        </w:rPr>
        <w:t xml:space="preserve"> millones de francos suizos</w:t>
      </w:r>
      <w:r w:rsidRPr="00497F19">
        <w:rPr>
          <w:i/>
          <w:iCs/>
          <w:lang w:val="es-ES_tradnl"/>
        </w:rPr>
        <w:t>)</w:t>
      </w:r>
    </w:p>
    <w:p w:rsidR="004E3DF9" w:rsidRPr="00497F19" w:rsidRDefault="004E3DF9" w:rsidP="004E3DF9">
      <w:pPr>
        <w:rPr>
          <w:lang w:val="es-ES_tradnl"/>
        </w:rPr>
      </w:pPr>
    </w:p>
    <w:p w:rsidR="004E3DF9" w:rsidRPr="00497F19" w:rsidRDefault="001B4909" w:rsidP="004E3DF9">
      <w:pPr>
        <w:rPr>
          <w:lang w:val="es-ES_tradnl"/>
        </w:rPr>
      </w:pPr>
      <w:r w:rsidRPr="00497F19">
        <w:rPr>
          <w:noProof/>
          <w:lang w:val="en-US" w:eastAsia="en-US"/>
        </w:rPr>
        <w:drawing>
          <wp:inline distT="0" distB="0" distL="0" distR="0" wp14:anchorId="5FA3F2BF" wp14:editId="2FA4688C">
            <wp:extent cx="5760085" cy="1679808"/>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60085" cy="1679808"/>
                    </a:xfrm>
                    <a:prstGeom prst="rect">
                      <a:avLst/>
                    </a:prstGeom>
                    <a:noFill/>
                    <a:ln>
                      <a:noFill/>
                    </a:ln>
                  </pic:spPr>
                </pic:pic>
              </a:graphicData>
            </a:graphic>
          </wp:inline>
        </w:drawing>
      </w:r>
    </w:p>
    <w:p w:rsidR="004E3DF9" w:rsidRPr="00497F19" w:rsidRDefault="004E3DF9" w:rsidP="004E3DF9">
      <w:pPr>
        <w:rPr>
          <w:lang w:val="es-ES_tradnl"/>
        </w:rPr>
      </w:pPr>
    </w:p>
    <w:p w:rsidR="004E3DF9" w:rsidRPr="00497F19" w:rsidRDefault="001B4909" w:rsidP="00AD3850">
      <w:pPr>
        <w:jc w:val="center"/>
        <w:rPr>
          <w:lang w:val="es-ES_tradnl"/>
        </w:rPr>
      </w:pPr>
      <w:r w:rsidRPr="00497F19">
        <w:rPr>
          <w:noProof/>
          <w:lang w:val="en-US" w:eastAsia="en-US"/>
        </w:rPr>
        <w:drawing>
          <wp:inline distT="0" distB="0" distL="0" distR="0" wp14:anchorId="514B908F" wp14:editId="5AF5A5A6">
            <wp:extent cx="3910232" cy="2437726"/>
            <wp:effectExtent l="0" t="0" r="0" b="127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908488" cy="2436638"/>
                    </a:xfrm>
                    <a:prstGeom prst="rect">
                      <a:avLst/>
                    </a:prstGeom>
                    <a:noFill/>
                    <a:ln>
                      <a:noFill/>
                    </a:ln>
                  </pic:spPr>
                </pic:pic>
              </a:graphicData>
            </a:graphic>
          </wp:inline>
        </w:drawing>
      </w:r>
    </w:p>
    <w:p w:rsidR="007058C9" w:rsidRPr="00497F19" w:rsidRDefault="007058C9" w:rsidP="004E3DF9">
      <w:pPr>
        <w:tabs>
          <w:tab w:val="left" w:pos="567"/>
        </w:tabs>
        <w:ind w:right="91"/>
        <w:rPr>
          <w:lang w:val="es-ES_tradnl"/>
        </w:rPr>
      </w:pPr>
    </w:p>
    <w:p w:rsidR="00941645" w:rsidRPr="00497F19" w:rsidRDefault="00941645" w:rsidP="004E3DF9">
      <w:pPr>
        <w:tabs>
          <w:tab w:val="left" w:pos="567"/>
        </w:tabs>
        <w:ind w:right="91"/>
        <w:rPr>
          <w:lang w:val="es-ES_tradnl"/>
        </w:rPr>
      </w:pPr>
      <w:r w:rsidRPr="00497F19">
        <w:rPr>
          <w:lang w:val="es-ES_tradnl"/>
        </w:rPr>
        <w:t xml:space="preserve">Los gastos más elevados de Suministros y materiales en comparación con el presupuesto de 2012/13 después de las transferencias </w:t>
      </w:r>
      <w:r w:rsidR="00A51305" w:rsidRPr="00497F19">
        <w:rPr>
          <w:lang w:val="es-ES_tradnl"/>
        </w:rPr>
        <w:t>tuvieron</w:t>
      </w:r>
      <w:r w:rsidRPr="00497F19">
        <w:rPr>
          <w:lang w:val="es-ES_tradnl"/>
        </w:rPr>
        <w:t xml:space="preserve"> que ver principalmente con la compra de programas informáticos en el marco del Programa 25 (TIC).  Parte del aumento, en comparación con el bienio precedente, también guardaba relación con el aumento de los costos de mantenimiento de los programas informáticos, los suministros de papel y los recursos de la biblioteca.</w:t>
      </w:r>
    </w:p>
    <w:p w:rsidR="00941645" w:rsidRPr="00497F19" w:rsidRDefault="00941645" w:rsidP="004E3DF9">
      <w:pPr>
        <w:tabs>
          <w:tab w:val="left" w:pos="567"/>
        </w:tabs>
        <w:ind w:right="91"/>
        <w:rPr>
          <w:lang w:val="es-ES_tradnl"/>
        </w:rPr>
      </w:pPr>
    </w:p>
    <w:p w:rsidR="004E3DF9" w:rsidRDefault="00941645" w:rsidP="00941645">
      <w:pPr>
        <w:tabs>
          <w:tab w:val="left" w:pos="567"/>
        </w:tabs>
        <w:ind w:right="91"/>
        <w:rPr>
          <w:lang w:val="es-ES_tradnl"/>
        </w:rPr>
      </w:pPr>
      <w:r w:rsidRPr="00497F19">
        <w:rPr>
          <w:lang w:val="es-ES_tradnl"/>
        </w:rPr>
        <w:t xml:space="preserve">La reducción de los gastos de </w:t>
      </w:r>
      <w:r w:rsidR="004E3DF9" w:rsidRPr="00497F19">
        <w:rPr>
          <w:lang w:val="es-ES_tradnl"/>
        </w:rPr>
        <w:t>2012/13</w:t>
      </w:r>
      <w:r w:rsidRPr="00497F19">
        <w:rPr>
          <w:lang w:val="es-ES_tradnl"/>
        </w:rPr>
        <w:t xml:space="preserve"> correspondientes a la rúbrica Mobiliario y equipo en comparación con </w:t>
      </w:r>
      <w:r w:rsidR="008068CB" w:rsidRPr="00497F19">
        <w:rPr>
          <w:lang w:val="es-ES_tradnl"/>
        </w:rPr>
        <w:t>los d</w:t>
      </w:r>
      <w:r w:rsidRPr="00497F19">
        <w:rPr>
          <w:lang w:val="es-ES_tradnl"/>
        </w:rPr>
        <w:t xml:space="preserve">el bienio precedente </w:t>
      </w:r>
      <w:r w:rsidR="004E3DF9" w:rsidRPr="00497F19">
        <w:rPr>
          <w:lang w:val="es-ES_tradnl"/>
        </w:rPr>
        <w:t xml:space="preserve"> </w:t>
      </w:r>
      <w:r w:rsidRPr="00497F19">
        <w:rPr>
          <w:lang w:val="es-ES_tradnl"/>
        </w:rPr>
        <w:t xml:space="preserve">se debió principalmente a </w:t>
      </w:r>
      <w:r w:rsidR="00663903" w:rsidRPr="00497F19">
        <w:rPr>
          <w:lang w:val="es-ES_tradnl"/>
        </w:rPr>
        <w:t>la disminución de los costos</w:t>
      </w:r>
      <w:r w:rsidRPr="00497F19">
        <w:rPr>
          <w:lang w:val="es-ES_tradnl"/>
        </w:rPr>
        <w:t xml:space="preserve"> </w:t>
      </w:r>
      <w:r w:rsidR="00663903" w:rsidRPr="00497F19">
        <w:rPr>
          <w:lang w:val="es-ES_tradnl"/>
        </w:rPr>
        <w:t>d</w:t>
      </w:r>
      <w:r w:rsidRPr="00497F19">
        <w:rPr>
          <w:lang w:val="es-ES_tradnl"/>
        </w:rPr>
        <w:t xml:space="preserve">e compra de material de T.I., concretamente servidores.  En </w:t>
      </w:r>
      <w:r w:rsidR="004E3DF9" w:rsidRPr="00497F19">
        <w:rPr>
          <w:lang w:val="es-ES_tradnl"/>
        </w:rPr>
        <w:t xml:space="preserve">2012/13, </w:t>
      </w:r>
      <w:r w:rsidRPr="00497F19">
        <w:rPr>
          <w:lang w:val="es-ES_tradnl"/>
        </w:rPr>
        <w:t>los servicios de servidores se subcontrataron cada vez más al CICE.</w:t>
      </w:r>
    </w:p>
    <w:p w:rsidR="002C624C" w:rsidRPr="00497F19" w:rsidRDefault="002C624C" w:rsidP="00941645">
      <w:pPr>
        <w:tabs>
          <w:tab w:val="left" w:pos="567"/>
        </w:tabs>
        <w:ind w:right="91"/>
        <w:rPr>
          <w:lang w:val="es-ES_tradnl"/>
        </w:rPr>
      </w:pPr>
    </w:p>
    <w:p w:rsidR="00774D8D" w:rsidRPr="00497F19" w:rsidRDefault="00774D8D" w:rsidP="004E3DF9">
      <w:pPr>
        <w:tabs>
          <w:tab w:val="left" w:pos="567"/>
        </w:tabs>
        <w:ind w:right="91"/>
        <w:rPr>
          <w:lang w:val="es-ES_tradnl"/>
        </w:rPr>
        <w:sectPr w:rsidR="00774D8D" w:rsidRPr="00497F19" w:rsidSect="004E3DF9">
          <w:headerReference w:type="default" r:id="rId41"/>
          <w:pgSz w:w="11907" w:h="16840" w:code="9"/>
          <w:pgMar w:top="567" w:right="1418" w:bottom="1361" w:left="1418" w:header="510" w:footer="510" w:gutter="0"/>
          <w:cols w:space="720"/>
          <w:docGrid w:linePitch="326"/>
        </w:sectPr>
      </w:pPr>
    </w:p>
    <w:p w:rsidR="004E3DF9" w:rsidRPr="00497F19" w:rsidRDefault="004E3DF9" w:rsidP="004E3DF9">
      <w:pPr>
        <w:tabs>
          <w:tab w:val="left" w:pos="567"/>
        </w:tabs>
        <w:spacing w:after="200" w:line="276" w:lineRule="auto"/>
        <w:ind w:right="91"/>
        <w:rPr>
          <w:lang w:val="es-ES_tradnl"/>
        </w:rPr>
      </w:pPr>
    </w:p>
    <w:p w:rsidR="004E3DF9" w:rsidRPr="00497F19" w:rsidRDefault="004E3DF9" w:rsidP="00774D8D">
      <w:pPr>
        <w:pStyle w:val="Heading1"/>
        <w:keepNext w:val="0"/>
        <w:tabs>
          <w:tab w:val="num" w:pos="0"/>
        </w:tabs>
        <w:spacing w:before="0" w:after="0" w:line="300" w:lineRule="atLeast"/>
        <w:rPr>
          <w:rFonts w:eastAsia="Times New Roman"/>
          <w:caps w:val="0"/>
          <w:sz w:val="25"/>
          <w:szCs w:val="25"/>
          <w:lang w:val="es-ES_tradnl" w:eastAsia="da-DK"/>
        </w:rPr>
      </w:pPr>
      <w:bookmarkStart w:id="25" w:name="_Toc395626678"/>
      <w:r w:rsidRPr="00497F19">
        <w:rPr>
          <w:rFonts w:eastAsia="Times New Roman"/>
          <w:caps w:val="0"/>
          <w:sz w:val="25"/>
          <w:szCs w:val="25"/>
          <w:lang w:val="es-ES_tradnl" w:eastAsia="da-DK"/>
        </w:rPr>
        <w:t>IN</w:t>
      </w:r>
      <w:r w:rsidR="003A30A3" w:rsidRPr="00497F19">
        <w:rPr>
          <w:rFonts w:eastAsia="Times New Roman"/>
          <w:caps w:val="0"/>
          <w:sz w:val="25"/>
          <w:szCs w:val="25"/>
          <w:lang w:val="es-ES_tradnl" w:eastAsia="da-DK"/>
        </w:rPr>
        <w:t>GRESOS</w:t>
      </w:r>
      <w:bookmarkEnd w:id="25"/>
    </w:p>
    <w:p w:rsidR="004E3DF9" w:rsidRPr="00497F19" w:rsidRDefault="00774D8D" w:rsidP="00774D8D">
      <w:pPr>
        <w:pStyle w:val="Heading2"/>
        <w:keepNext w:val="0"/>
        <w:widowControl w:val="0"/>
        <w:tabs>
          <w:tab w:val="left" w:pos="567"/>
        </w:tabs>
        <w:spacing w:before="0" w:after="0" w:line="300" w:lineRule="atLeast"/>
        <w:jc w:val="center"/>
        <w:rPr>
          <w:rFonts w:ascii="Arial Bold" w:eastAsiaTheme="minorHAnsi" w:hAnsi="Arial Bold"/>
          <w:b/>
          <w:caps w:val="0"/>
          <w:lang w:val="es-ES_tradnl" w:eastAsia="da-DK"/>
        </w:rPr>
      </w:pPr>
      <w:bookmarkStart w:id="26" w:name="_Toc395626679"/>
      <w:r w:rsidRPr="00497F19">
        <w:rPr>
          <w:rFonts w:ascii="Arial Bold" w:eastAsiaTheme="minorHAnsi" w:hAnsi="Arial Bold"/>
          <w:b/>
          <w:caps w:val="0"/>
          <w:lang w:val="es-ES_tradnl" w:eastAsia="da-DK"/>
        </w:rPr>
        <w:t>Cuadro 6</w:t>
      </w:r>
      <w:r w:rsidRPr="00497F19">
        <w:rPr>
          <w:rFonts w:ascii="Arial Bold" w:eastAsiaTheme="minorHAnsi" w:hAnsi="Arial Bold"/>
          <w:b/>
          <w:caps w:val="0"/>
          <w:lang w:val="es-ES_tradnl" w:eastAsia="da-DK"/>
        </w:rPr>
        <w:tab/>
        <w:t>Ingresos en 2012/13</w:t>
      </w:r>
      <w:bookmarkEnd w:id="26"/>
    </w:p>
    <w:p w:rsidR="004E3DF9" w:rsidRPr="00497F19" w:rsidRDefault="004E3DF9" w:rsidP="004E3DF9">
      <w:pPr>
        <w:jc w:val="center"/>
        <w:rPr>
          <w:i/>
          <w:iCs/>
          <w:lang w:val="es-ES_tradnl"/>
        </w:rPr>
      </w:pPr>
      <w:r w:rsidRPr="00497F19">
        <w:rPr>
          <w:i/>
          <w:iCs/>
          <w:lang w:val="es-ES_tradnl"/>
        </w:rPr>
        <w:t>(</w:t>
      </w:r>
      <w:proofErr w:type="gramStart"/>
      <w:r w:rsidR="003A30A3" w:rsidRPr="00497F19">
        <w:rPr>
          <w:i/>
          <w:iCs/>
          <w:lang w:val="es-ES_tradnl"/>
        </w:rPr>
        <w:t>en</w:t>
      </w:r>
      <w:proofErr w:type="gramEnd"/>
      <w:r w:rsidR="003A30A3" w:rsidRPr="00497F19">
        <w:rPr>
          <w:i/>
          <w:iCs/>
          <w:lang w:val="es-ES_tradnl"/>
        </w:rPr>
        <w:t xml:space="preserve"> millones de francos suizos</w:t>
      </w:r>
      <w:r w:rsidRPr="00497F19">
        <w:rPr>
          <w:i/>
          <w:iCs/>
          <w:lang w:val="es-ES_tradnl"/>
        </w:rPr>
        <w:t>)</w:t>
      </w:r>
    </w:p>
    <w:p w:rsidR="004E3DF9" w:rsidRPr="00497F19" w:rsidRDefault="004E3DF9" w:rsidP="004E3DF9">
      <w:pPr>
        <w:jc w:val="center"/>
        <w:rPr>
          <w:i/>
          <w:iCs/>
          <w:lang w:val="es-ES_tradnl"/>
        </w:rPr>
      </w:pPr>
    </w:p>
    <w:p w:rsidR="004E3DF9" w:rsidRPr="00497F19" w:rsidRDefault="001B4909" w:rsidP="004E3DF9">
      <w:pPr>
        <w:rPr>
          <w:lang w:val="es-ES_tradnl"/>
        </w:rPr>
      </w:pPr>
      <w:r w:rsidRPr="00497F19">
        <w:rPr>
          <w:noProof/>
          <w:lang w:val="en-US" w:eastAsia="en-US"/>
        </w:rPr>
        <w:drawing>
          <wp:inline distT="0" distB="0" distL="0" distR="0" wp14:anchorId="1CE0BA22" wp14:editId="7451623F">
            <wp:extent cx="5760085" cy="3479686"/>
            <wp:effectExtent l="0" t="0" r="0" b="698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60085" cy="3479686"/>
                    </a:xfrm>
                    <a:prstGeom prst="rect">
                      <a:avLst/>
                    </a:prstGeom>
                    <a:noFill/>
                    <a:ln>
                      <a:noFill/>
                    </a:ln>
                  </pic:spPr>
                </pic:pic>
              </a:graphicData>
            </a:graphic>
          </wp:inline>
        </w:drawing>
      </w:r>
    </w:p>
    <w:p w:rsidR="004E3DF9" w:rsidRPr="00497F19" w:rsidRDefault="004E3DF9" w:rsidP="004E3DF9">
      <w:pPr>
        <w:tabs>
          <w:tab w:val="left" w:pos="567"/>
        </w:tabs>
        <w:ind w:right="91"/>
        <w:rPr>
          <w:lang w:val="es-ES_tradnl"/>
        </w:rPr>
      </w:pPr>
    </w:p>
    <w:p w:rsidR="00E729A7" w:rsidRPr="00497F19" w:rsidRDefault="00E729A7" w:rsidP="004E3DF9">
      <w:pPr>
        <w:tabs>
          <w:tab w:val="left" w:pos="567"/>
        </w:tabs>
        <w:ind w:right="91"/>
        <w:rPr>
          <w:lang w:val="es-ES_tradnl"/>
        </w:rPr>
      </w:pPr>
      <w:r w:rsidRPr="00497F19">
        <w:rPr>
          <w:lang w:val="es-ES_tradnl"/>
        </w:rPr>
        <w:t xml:space="preserve">Los ingresos reales sobre una base presupuestaria ascendieron a </w:t>
      </w:r>
      <w:r w:rsidR="004E3DF9" w:rsidRPr="00497F19">
        <w:rPr>
          <w:lang w:val="es-ES_tradnl"/>
        </w:rPr>
        <w:t>680</w:t>
      </w:r>
      <w:r w:rsidRPr="00497F19">
        <w:rPr>
          <w:lang w:val="es-ES_tradnl"/>
        </w:rPr>
        <w:t>,7 millones de francos suizos</w:t>
      </w:r>
      <w:r w:rsidR="004E3DF9" w:rsidRPr="00497F19">
        <w:rPr>
          <w:lang w:val="es-ES_tradnl"/>
        </w:rPr>
        <w:t xml:space="preserve">; </w:t>
      </w:r>
      <w:r w:rsidRPr="00497F19">
        <w:rPr>
          <w:lang w:val="es-ES_tradnl"/>
        </w:rPr>
        <w:t xml:space="preserve"> un aumento de 33,3 millones de francos suizos, es decir, el 5,1%, sobre</w:t>
      </w:r>
      <w:r w:rsidR="00721E87" w:rsidRPr="00497F19">
        <w:rPr>
          <w:lang w:val="es-ES_tradnl"/>
        </w:rPr>
        <w:t xml:space="preserve"> las previsiones presupuestadas</w:t>
      </w:r>
      <w:r w:rsidRPr="00497F19">
        <w:rPr>
          <w:lang w:val="es-ES_tradnl"/>
        </w:rPr>
        <w:t xml:space="preserve">. </w:t>
      </w:r>
    </w:p>
    <w:p w:rsidR="004E3DF9" w:rsidRPr="00497F19" w:rsidRDefault="004E3DF9" w:rsidP="004E3DF9">
      <w:pPr>
        <w:tabs>
          <w:tab w:val="left" w:pos="567"/>
        </w:tabs>
        <w:ind w:right="91"/>
        <w:rPr>
          <w:lang w:val="es-ES_tradnl"/>
        </w:rPr>
      </w:pPr>
    </w:p>
    <w:p w:rsidR="00E729A7" w:rsidRPr="00497F19" w:rsidRDefault="00D27165" w:rsidP="004E3DF9">
      <w:pPr>
        <w:tabs>
          <w:tab w:val="left" w:pos="567"/>
        </w:tabs>
        <w:ind w:right="91"/>
        <w:rPr>
          <w:lang w:val="es-ES_tradnl"/>
        </w:rPr>
      </w:pPr>
      <w:r w:rsidRPr="00497F19">
        <w:rPr>
          <w:lang w:val="es-ES_tradnl"/>
        </w:rPr>
        <w:t xml:space="preserve">Los ingresos procedentes de contribuciones obligatorias ascendieron a 35,1 millones de francos suizos, una cifra superior a la de la previsión bienal, debido principalmente al cambio en la clase de contribución de la República de Corea, </w:t>
      </w:r>
      <w:r w:rsidR="00721E87" w:rsidRPr="00497F19">
        <w:rPr>
          <w:lang w:val="es-ES_tradnl"/>
        </w:rPr>
        <w:t xml:space="preserve">que pasó </w:t>
      </w:r>
      <w:r w:rsidRPr="00497F19">
        <w:rPr>
          <w:lang w:val="es-ES_tradnl"/>
        </w:rPr>
        <w:t>de la V a la IVbis.</w:t>
      </w:r>
    </w:p>
    <w:p w:rsidR="004E3DF9" w:rsidRPr="00497F19" w:rsidRDefault="004E3DF9" w:rsidP="004E3DF9">
      <w:pPr>
        <w:tabs>
          <w:tab w:val="left" w:pos="567"/>
        </w:tabs>
        <w:ind w:right="91"/>
        <w:rPr>
          <w:lang w:val="es-ES_tradnl"/>
        </w:rPr>
      </w:pPr>
    </w:p>
    <w:p w:rsidR="004E3DF9" w:rsidRPr="00497F19" w:rsidRDefault="00D27165" w:rsidP="00D27165">
      <w:pPr>
        <w:tabs>
          <w:tab w:val="left" w:pos="567"/>
        </w:tabs>
        <w:ind w:right="91"/>
        <w:rPr>
          <w:lang w:val="es-ES_tradnl"/>
        </w:rPr>
      </w:pPr>
      <w:r w:rsidRPr="00497F19">
        <w:rPr>
          <w:lang w:val="es-ES_tradnl"/>
        </w:rPr>
        <w:t xml:space="preserve">Los ingresos de tasas del Sistema del PCT ascendieron a </w:t>
      </w:r>
      <w:r w:rsidR="004E3DF9" w:rsidRPr="00497F19">
        <w:rPr>
          <w:lang w:val="es-ES_tradnl"/>
        </w:rPr>
        <w:t>514</w:t>
      </w:r>
      <w:r w:rsidRPr="00497F19">
        <w:rPr>
          <w:lang w:val="es-ES_tradnl"/>
        </w:rPr>
        <w:t>,</w:t>
      </w:r>
      <w:r w:rsidR="004E3DF9" w:rsidRPr="00497F19">
        <w:rPr>
          <w:lang w:val="es-ES_tradnl"/>
        </w:rPr>
        <w:t xml:space="preserve">9 </w:t>
      </w:r>
      <w:r w:rsidRPr="00497F19">
        <w:rPr>
          <w:lang w:val="es-ES_tradnl"/>
        </w:rPr>
        <w:t>millones de francos suizos</w:t>
      </w:r>
      <w:r w:rsidR="004E3DF9" w:rsidRPr="00497F19">
        <w:rPr>
          <w:lang w:val="es-ES_tradnl"/>
        </w:rPr>
        <w:t xml:space="preserve">; </w:t>
      </w:r>
      <w:r w:rsidRPr="00497F19">
        <w:rPr>
          <w:lang w:val="es-ES_tradnl"/>
        </w:rPr>
        <w:t xml:space="preserve"> un aumento de </w:t>
      </w:r>
      <w:r w:rsidR="004E3DF9" w:rsidRPr="00497F19">
        <w:rPr>
          <w:lang w:val="es-ES_tradnl"/>
        </w:rPr>
        <w:t>34</w:t>
      </w:r>
      <w:r w:rsidRPr="00497F19">
        <w:rPr>
          <w:lang w:val="es-ES_tradnl"/>
        </w:rPr>
        <w:t>,</w:t>
      </w:r>
      <w:r w:rsidR="004E3DF9" w:rsidRPr="00497F19">
        <w:rPr>
          <w:lang w:val="es-ES_tradnl"/>
        </w:rPr>
        <w:t xml:space="preserve">3 </w:t>
      </w:r>
      <w:r w:rsidRPr="00497F19">
        <w:rPr>
          <w:lang w:val="es-ES_tradnl"/>
        </w:rPr>
        <w:t>millones de francos suizos, es decir, el</w:t>
      </w:r>
      <w:r w:rsidR="004E3DF9" w:rsidRPr="00497F19">
        <w:rPr>
          <w:lang w:val="es-ES_tradnl"/>
        </w:rPr>
        <w:t xml:space="preserve"> 7</w:t>
      </w:r>
      <w:r w:rsidRPr="00497F19">
        <w:rPr>
          <w:lang w:val="es-ES_tradnl"/>
        </w:rPr>
        <w:t>,</w:t>
      </w:r>
      <w:r w:rsidR="004E3DF9" w:rsidRPr="00497F19">
        <w:rPr>
          <w:lang w:val="es-ES_tradnl"/>
        </w:rPr>
        <w:t>1</w:t>
      </w:r>
      <w:r w:rsidRPr="00497F19">
        <w:rPr>
          <w:lang w:val="es-ES_tradnl"/>
        </w:rPr>
        <w:t>%, en comparación con el objetivo presupuestado de 4</w:t>
      </w:r>
      <w:r w:rsidR="004E3DF9" w:rsidRPr="00497F19">
        <w:rPr>
          <w:lang w:val="es-ES_tradnl"/>
        </w:rPr>
        <w:t>80</w:t>
      </w:r>
      <w:r w:rsidRPr="00497F19">
        <w:rPr>
          <w:lang w:val="es-ES_tradnl"/>
        </w:rPr>
        <w:t>,</w:t>
      </w:r>
      <w:r w:rsidR="004E3DF9" w:rsidRPr="00497F19">
        <w:rPr>
          <w:lang w:val="es-ES_tradnl"/>
        </w:rPr>
        <w:t>6 </w:t>
      </w:r>
      <w:r w:rsidRPr="00497F19">
        <w:rPr>
          <w:lang w:val="es-ES_tradnl"/>
        </w:rPr>
        <w:t>millones de francos suizos</w:t>
      </w:r>
      <w:r w:rsidR="004E3DF9" w:rsidRPr="00497F19">
        <w:rPr>
          <w:lang w:val="es-ES_tradnl"/>
        </w:rPr>
        <w:t xml:space="preserve">.  </w:t>
      </w:r>
      <w:r w:rsidRPr="00497F19">
        <w:rPr>
          <w:lang w:val="es-ES_tradnl"/>
        </w:rPr>
        <w:t xml:space="preserve">El número de solicitudes internacionales PCT presentadas en el bienio </w:t>
      </w:r>
      <w:r w:rsidR="004E3DF9" w:rsidRPr="00497F19">
        <w:rPr>
          <w:lang w:val="es-ES_tradnl"/>
        </w:rPr>
        <w:t xml:space="preserve">2012/13 </w:t>
      </w:r>
      <w:r w:rsidRPr="00497F19">
        <w:rPr>
          <w:lang w:val="es-ES_tradnl"/>
        </w:rPr>
        <w:t xml:space="preserve">ascendió a </w:t>
      </w:r>
      <w:r w:rsidR="004E3DF9" w:rsidRPr="00497F19">
        <w:rPr>
          <w:lang w:val="es-ES_tradnl"/>
        </w:rPr>
        <w:t>400</w:t>
      </w:r>
      <w:r w:rsidRPr="00497F19">
        <w:rPr>
          <w:lang w:val="es-ES_tradnl"/>
        </w:rPr>
        <w:t>.</w:t>
      </w:r>
      <w:r w:rsidR="004E3DF9" w:rsidRPr="00497F19">
        <w:rPr>
          <w:lang w:val="es-ES_tradnl"/>
        </w:rPr>
        <w:t xml:space="preserve">612 </w:t>
      </w:r>
      <w:r w:rsidRPr="00497F19">
        <w:rPr>
          <w:lang w:val="es-ES_tradnl"/>
        </w:rPr>
        <w:t>solicitudes</w:t>
      </w:r>
      <w:r w:rsidR="004E3DF9" w:rsidRPr="00497F19">
        <w:rPr>
          <w:lang w:val="es-ES_tradnl"/>
        </w:rPr>
        <w:t xml:space="preserve">; </w:t>
      </w:r>
      <w:r w:rsidRPr="00497F19">
        <w:rPr>
          <w:lang w:val="es-ES_tradnl"/>
        </w:rPr>
        <w:t xml:space="preserve"> un aumento de </w:t>
      </w:r>
      <w:r w:rsidR="004E3DF9" w:rsidRPr="00497F19">
        <w:rPr>
          <w:lang w:val="es-ES_tradnl"/>
        </w:rPr>
        <w:t>32</w:t>
      </w:r>
      <w:r w:rsidRPr="00497F19">
        <w:rPr>
          <w:lang w:val="es-ES_tradnl"/>
        </w:rPr>
        <w:t>.</w:t>
      </w:r>
      <w:r w:rsidR="004E3DF9" w:rsidRPr="00497F19">
        <w:rPr>
          <w:lang w:val="es-ES_tradnl"/>
        </w:rPr>
        <w:t xml:space="preserve">612 </w:t>
      </w:r>
      <w:r w:rsidRPr="00497F19">
        <w:rPr>
          <w:lang w:val="es-ES_tradnl"/>
        </w:rPr>
        <w:t>solicitudes, es decir, el</w:t>
      </w:r>
      <w:r w:rsidR="004E3DF9" w:rsidRPr="00497F19">
        <w:rPr>
          <w:lang w:val="es-ES_tradnl"/>
        </w:rPr>
        <w:t>, 9</w:t>
      </w:r>
      <w:r w:rsidRPr="00497F19">
        <w:rPr>
          <w:lang w:val="es-ES_tradnl"/>
        </w:rPr>
        <w:t>%, en comparación con el objetivo presupuestado de 368.000</w:t>
      </w:r>
      <w:r w:rsidR="004E3DF9" w:rsidRPr="00497F19">
        <w:rPr>
          <w:lang w:val="es-ES_tradnl"/>
        </w:rPr>
        <w:t xml:space="preserve"> </w:t>
      </w:r>
      <w:r w:rsidRPr="00497F19">
        <w:rPr>
          <w:lang w:val="es-ES_tradnl"/>
        </w:rPr>
        <w:t>solicitudes</w:t>
      </w:r>
      <w:r w:rsidR="000D0102" w:rsidRPr="00497F19">
        <w:rPr>
          <w:lang w:val="es-ES_tradnl"/>
        </w:rPr>
        <w:t xml:space="preserve"> para el bienio</w:t>
      </w:r>
      <w:r w:rsidR="004E3DF9" w:rsidRPr="00497F19">
        <w:rPr>
          <w:lang w:val="es-ES_tradnl"/>
        </w:rPr>
        <w:t>.</w:t>
      </w:r>
    </w:p>
    <w:p w:rsidR="004E3DF9" w:rsidRPr="00497F19" w:rsidRDefault="004E3DF9" w:rsidP="004E3DF9">
      <w:pPr>
        <w:tabs>
          <w:tab w:val="left" w:pos="567"/>
        </w:tabs>
        <w:ind w:right="91"/>
        <w:rPr>
          <w:lang w:val="es-ES_tradnl"/>
        </w:rPr>
      </w:pPr>
    </w:p>
    <w:p w:rsidR="004E3DF9" w:rsidRPr="00497F19" w:rsidRDefault="000D0102" w:rsidP="00333012">
      <w:pPr>
        <w:tabs>
          <w:tab w:val="left" w:pos="567"/>
        </w:tabs>
        <w:ind w:right="91"/>
        <w:rPr>
          <w:lang w:val="es-ES_tradnl"/>
        </w:rPr>
      </w:pPr>
      <w:r w:rsidRPr="00497F19">
        <w:rPr>
          <w:lang w:val="es-ES_tradnl"/>
        </w:rPr>
        <w:t xml:space="preserve">Los ingresos de tasas del Sistema de Madrid ascendieron a </w:t>
      </w:r>
      <w:r w:rsidR="004E3DF9" w:rsidRPr="00497F19">
        <w:rPr>
          <w:lang w:val="es-ES_tradnl"/>
        </w:rPr>
        <w:t xml:space="preserve">108 </w:t>
      </w:r>
      <w:r w:rsidRPr="00497F19">
        <w:rPr>
          <w:lang w:val="es-ES_tradnl"/>
        </w:rPr>
        <w:t>millones de francos suizos</w:t>
      </w:r>
      <w:r w:rsidR="004E3DF9" w:rsidRPr="00497F19">
        <w:rPr>
          <w:lang w:val="es-ES_tradnl"/>
        </w:rPr>
        <w:t xml:space="preserve">; </w:t>
      </w:r>
      <w:r w:rsidRPr="00497F19">
        <w:rPr>
          <w:lang w:val="es-ES_tradnl"/>
        </w:rPr>
        <w:t xml:space="preserve"> un aumento de </w:t>
      </w:r>
      <w:r w:rsidR="00951FB6" w:rsidRPr="00497F19">
        <w:rPr>
          <w:lang w:val="es-ES_tradnl"/>
        </w:rPr>
        <w:t>3,6 millones de francos suizo</w:t>
      </w:r>
      <w:r w:rsidR="00D003D6" w:rsidRPr="00497F19">
        <w:rPr>
          <w:lang w:val="es-ES_tradnl"/>
        </w:rPr>
        <w:t>s</w:t>
      </w:r>
      <w:r w:rsidR="00951FB6" w:rsidRPr="00497F19">
        <w:rPr>
          <w:lang w:val="es-ES_tradnl"/>
        </w:rPr>
        <w:t xml:space="preserve">, es decir, el 3,4%, en comparación con el objetivo presupuestado de 104,4 millones de francos suizos.  </w:t>
      </w:r>
      <w:r w:rsidR="00333012" w:rsidRPr="00497F19">
        <w:rPr>
          <w:lang w:val="es-ES_tradnl"/>
        </w:rPr>
        <w:t xml:space="preserve">El número de registros y renovaciones en el marco del Sistema de Madrid ascendió a </w:t>
      </w:r>
      <w:r w:rsidR="004E3DF9" w:rsidRPr="00497F19">
        <w:rPr>
          <w:lang w:val="es-ES_tradnl"/>
        </w:rPr>
        <w:t>131</w:t>
      </w:r>
      <w:r w:rsidR="00333012" w:rsidRPr="00497F19">
        <w:rPr>
          <w:lang w:val="es-ES_tradnl"/>
        </w:rPr>
        <w:t>.</w:t>
      </w:r>
      <w:r w:rsidR="004E3DF9" w:rsidRPr="00497F19">
        <w:rPr>
          <w:lang w:val="es-ES_tradnl"/>
        </w:rPr>
        <w:t xml:space="preserve">241 </w:t>
      </w:r>
      <w:r w:rsidR="00333012" w:rsidRPr="00497F19">
        <w:rPr>
          <w:lang w:val="es-ES_tradnl"/>
        </w:rPr>
        <w:t>durante el bienio</w:t>
      </w:r>
      <w:r w:rsidR="004E3DF9" w:rsidRPr="00497F19">
        <w:rPr>
          <w:lang w:val="es-ES_tradnl"/>
        </w:rPr>
        <w:t xml:space="preserve">, </w:t>
      </w:r>
      <w:r w:rsidR="00333012" w:rsidRPr="00497F19">
        <w:rPr>
          <w:lang w:val="es-ES_tradnl"/>
        </w:rPr>
        <w:t>superando en 2.341, es decir, el 1,8%, el objetivo presupuestado de 128.</w:t>
      </w:r>
      <w:r w:rsidR="004E3DF9" w:rsidRPr="00497F19">
        <w:rPr>
          <w:lang w:val="es-ES_tradnl"/>
        </w:rPr>
        <w:t xml:space="preserve">900.  </w:t>
      </w:r>
      <w:r w:rsidR="00333012" w:rsidRPr="00497F19">
        <w:rPr>
          <w:lang w:val="es-ES_tradnl"/>
        </w:rPr>
        <w:t xml:space="preserve">Los ingresos de tasas del Sistema de La Haya alcanzaron los 6,3 millones de francos suizos, </w:t>
      </w:r>
      <w:r w:rsidR="004E3DF9" w:rsidRPr="00497F19">
        <w:rPr>
          <w:lang w:val="es-ES_tradnl"/>
        </w:rPr>
        <w:t>4</w:t>
      </w:r>
      <w:r w:rsidR="00333012" w:rsidRPr="00497F19">
        <w:rPr>
          <w:lang w:val="es-ES_tradnl"/>
        </w:rPr>
        <w:t>,</w:t>
      </w:r>
      <w:r w:rsidR="004E3DF9" w:rsidRPr="00497F19">
        <w:rPr>
          <w:lang w:val="es-ES_tradnl"/>
        </w:rPr>
        <w:t xml:space="preserve">9 </w:t>
      </w:r>
      <w:r w:rsidR="00951FB6" w:rsidRPr="00497F19">
        <w:rPr>
          <w:lang w:val="es-ES_tradnl"/>
        </w:rPr>
        <w:t>millones de francos suizos</w:t>
      </w:r>
      <w:r w:rsidR="00333012" w:rsidRPr="00497F19">
        <w:rPr>
          <w:lang w:val="es-ES_tradnl"/>
        </w:rPr>
        <w:t xml:space="preserve"> menos</w:t>
      </w:r>
      <w:r w:rsidR="004E3DF9" w:rsidRPr="00497F19">
        <w:rPr>
          <w:lang w:val="es-ES_tradnl"/>
        </w:rPr>
        <w:t xml:space="preserve">, </w:t>
      </w:r>
      <w:r w:rsidR="00333012" w:rsidRPr="00497F19">
        <w:rPr>
          <w:lang w:val="es-ES_tradnl"/>
        </w:rPr>
        <w:t xml:space="preserve">es decir, el </w:t>
      </w:r>
      <w:r w:rsidR="004E3DF9" w:rsidRPr="00497F19">
        <w:rPr>
          <w:lang w:val="es-ES_tradnl"/>
        </w:rPr>
        <w:t>43</w:t>
      </w:r>
      <w:r w:rsidR="00333012" w:rsidRPr="00497F19">
        <w:rPr>
          <w:lang w:val="es-ES_tradnl"/>
        </w:rPr>
        <w:t>,</w:t>
      </w:r>
      <w:r w:rsidR="004E3DF9" w:rsidRPr="00497F19">
        <w:rPr>
          <w:lang w:val="es-ES_tradnl"/>
        </w:rPr>
        <w:t xml:space="preserve">6 </w:t>
      </w:r>
      <w:r w:rsidR="00333012" w:rsidRPr="00497F19">
        <w:rPr>
          <w:lang w:val="es-ES_tradnl"/>
        </w:rPr>
        <w:t>%</w:t>
      </w:r>
      <w:r w:rsidR="004E3DF9" w:rsidRPr="00497F19">
        <w:rPr>
          <w:lang w:val="es-ES_tradnl"/>
        </w:rPr>
        <w:t>,</w:t>
      </w:r>
      <w:r w:rsidR="00333012" w:rsidRPr="00497F19">
        <w:rPr>
          <w:lang w:val="es-ES_tradnl"/>
        </w:rPr>
        <w:t xml:space="preserve"> que el objetivo presupuestado de </w:t>
      </w:r>
      <w:r w:rsidR="004E3DF9" w:rsidRPr="00497F19">
        <w:rPr>
          <w:lang w:val="es-ES_tradnl"/>
        </w:rPr>
        <w:t>11</w:t>
      </w:r>
      <w:r w:rsidR="00333012" w:rsidRPr="00497F19">
        <w:rPr>
          <w:lang w:val="es-ES_tradnl"/>
        </w:rPr>
        <w:t>,</w:t>
      </w:r>
      <w:r w:rsidR="004E3DF9" w:rsidRPr="00497F19">
        <w:rPr>
          <w:lang w:val="es-ES_tradnl"/>
        </w:rPr>
        <w:t>2 </w:t>
      </w:r>
      <w:r w:rsidR="00951FB6" w:rsidRPr="00497F19">
        <w:rPr>
          <w:lang w:val="es-ES_tradnl"/>
        </w:rPr>
        <w:t>millones de francos suizos</w:t>
      </w:r>
      <w:r w:rsidR="004E3DF9" w:rsidRPr="00497F19">
        <w:rPr>
          <w:lang w:val="es-ES_tradnl"/>
        </w:rPr>
        <w:t xml:space="preserve">.  </w:t>
      </w:r>
      <w:r w:rsidR="00333012" w:rsidRPr="00497F19">
        <w:rPr>
          <w:lang w:val="es-ES_tradnl"/>
        </w:rPr>
        <w:t xml:space="preserve">Esta disminución se debió a una disminución del 37,3% del número de registros y renovaciones del Sistema de La Haya, es decir, 6.647 registros y renovaciones, en comparación con el objetivo presupuestado de </w:t>
      </w:r>
      <w:r w:rsidR="004E3DF9" w:rsidRPr="00497F19">
        <w:rPr>
          <w:lang w:val="es-ES_tradnl"/>
        </w:rPr>
        <w:t>17</w:t>
      </w:r>
      <w:r w:rsidR="00333012" w:rsidRPr="00497F19">
        <w:rPr>
          <w:lang w:val="es-ES_tradnl"/>
        </w:rPr>
        <w:t>.</w:t>
      </w:r>
      <w:r w:rsidR="004E3DF9" w:rsidRPr="00497F19">
        <w:rPr>
          <w:lang w:val="es-ES_tradnl"/>
        </w:rPr>
        <w:t xml:space="preserve">800 </w:t>
      </w:r>
      <w:r w:rsidR="00333012" w:rsidRPr="00497F19">
        <w:rPr>
          <w:lang w:val="es-ES_tradnl"/>
        </w:rPr>
        <w:t>registros y renovaciones</w:t>
      </w:r>
      <w:r w:rsidR="004E3DF9" w:rsidRPr="00497F19">
        <w:rPr>
          <w:lang w:val="es-ES_tradnl"/>
        </w:rPr>
        <w:t>.</w:t>
      </w:r>
    </w:p>
    <w:p w:rsidR="004E3DF9" w:rsidRPr="00497F19" w:rsidRDefault="004E3DF9" w:rsidP="004E3DF9">
      <w:pPr>
        <w:tabs>
          <w:tab w:val="left" w:pos="567"/>
        </w:tabs>
        <w:ind w:right="91"/>
        <w:rPr>
          <w:lang w:val="es-ES_tradnl"/>
        </w:rPr>
      </w:pPr>
    </w:p>
    <w:p w:rsidR="007C0FA0" w:rsidRPr="00497F19" w:rsidRDefault="007C0FA0" w:rsidP="004E3DF9">
      <w:pPr>
        <w:rPr>
          <w:lang w:val="es-ES_tradnl"/>
        </w:rPr>
      </w:pPr>
    </w:p>
    <w:p w:rsidR="004E3DF9" w:rsidRPr="00497F19" w:rsidRDefault="007C0FA0" w:rsidP="007C0FA0">
      <w:pPr>
        <w:rPr>
          <w:lang w:val="es-ES_tradnl"/>
        </w:rPr>
      </w:pPr>
      <w:r w:rsidRPr="00497F19">
        <w:rPr>
          <w:lang w:val="es-ES_tradnl"/>
        </w:rPr>
        <w:t>Los ingresos de arbitraje ascendieron a 3,</w:t>
      </w:r>
      <w:r w:rsidR="004E3DF9" w:rsidRPr="00497F19">
        <w:rPr>
          <w:lang w:val="es-ES_tradnl"/>
        </w:rPr>
        <w:t xml:space="preserve">3 </w:t>
      </w:r>
      <w:r w:rsidR="00951FB6" w:rsidRPr="00497F19">
        <w:rPr>
          <w:lang w:val="es-ES_tradnl"/>
        </w:rPr>
        <w:t>millones de francos suizos</w:t>
      </w:r>
      <w:r w:rsidR="002C6A62">
        <w:rPr>
          <w:lang w:val="es-ES_tradnl"/>
        </w:rPr>
        <w:t>, superando en un </w:t>
      </w:r>
      <w:r w:rsidRPr="00497F19">
        <w:rPr>
          <w:lang w:val="es-ES_tradnl"/>
        </w:rPr>
        <w:t xml:space="preserve">19% el objetivo presupuestado de </w:t>
      </w:r>
      <w:r w:rsidR="004E3DF9" w:rsidRPr="00497F19">
        <w:rPr>
          <w:lang w:val="es-ES_tradnl"/>
        </w:rPr>
        <w:t>2</w:t>
      </w:r>
      <w:r w:rsidRPr="00497F19">
        <w:rPr>
          <w:lang w:val="es-ES_tradnl"/>
        </w:rPr>
        <w:t>,</w:t>
      </w:r>
      <w:r w:rsidR="004E3DF9" w:rsidRPr="00497F19">
        <w:rPr>
          <w:lang w:val="es-ES_tradnl"/>
        </w:rPr>
        <w:t>7 </w:t>
      </w:r>
      <w:r w:rsidR="00951FB6" w:rsidRPr="00497F19">
        <w:rPr>
          <w:lang w:val="es-ES_tradnl"/>
        </w:rPr>
        <w:t>millones de francos suizos</w:t>
      </w:r>
      <w:r w:rsidR="004E3DF9" w:rsidRPr="00497F19">
        <w:rPr>
          <w:lang w:val="es-ES_tradnl"/>
        </w:rPr>
        <w:t xml:space="preserve">.  </w:t>
      </w:r>
      <w:r w:rsidRPr="00497F19">
        <w:rPr>
          <w:lang w:val="es-ES_tradnl"/>
        </w:rPr>
        <w:t>Este aumento se debió principalmente a los ingresos procedentes de las demandas presentadas en virtud de las dos políticas principales de solución de controversias en materia de nombres de dominio</w:t>
      </w:r>
      <w:proofErr w:type="gramStart"/>
      <w:r w:rsidRPr="00497F19">
        <w:rPr>
          <w:lang w:val="es-ES_tradnl"/>
        </w:rPr>
        <w:t xml:space="preserve">:  </w:t>
      </w:r>
      <w:r w:rsidR="008E2244" w:rsidRPr="00497F19">
        <w:rPr>
          <w:lang w:val="es-ES_tradnl"/>
        </w:rPr>
        <w:t>l</w:t>
      </w:r>
      <w:r w:rsidR="00F0324B">
        <w:rPr>
          <w:lang w:val="es-ES_tradnl"/>
        </w:rPr>
        <w:t>a</w:t>
      </w:r>
      <w:proofErr w:type="gramEnd"/>
      <w:r w:rsidR="00F0324B">
        <w:rPr>
          <w:lang w:val="es-ES_tradnl"/>
        </w:rPr>
        <w:t xml:space="preserve"> Política</w:t>
      </w:r>
      <w:r w:rsidR="004E3DF9" w:rsidRPr="00497F19">
        <w:rPr>
          <w:lang w:val="es-ES_tradnl"/>
        </w:rPr>
        <w:t xml:space="preserve"> Uniform</w:t>
      </w:r>
      <w:r w:rsidR="008E2244" w:rsidRPr="00497F19">
        <w:rPr>
          <w:lang w:val="es-ES_tradnl"/>
        </w:rPr>
        <w:t xml:space="preserve">e de Solución de Controversias en materia de Nombres de Dominio y el procedimiento de objeción relativa a derechos de terceros, </w:t>
      </w:r>
      <w:r w:rsidRPr="00497F19">
        <w:rPr>
          <w:lang w:val="es-ES_tradnl"/>
        </w:rPr>
        <w:t>que no formaban parte de las previsiones de ingresos iniciales.</w:t>
      </w:r>
    </w:p>
    <w:p w:rsidR="004E3DF9" w:rsidRPr="00497F19" w:rsidRDefault="004E3DF9" w:rsidP="004E3DF9">
      <w:pPr>
        <w:rPr>
          <w:lang w:val="es-ES_tradnl"/>
        </w:rPr>
      </w:pPr>
    </w:p>
    <w:p w:rsidR="008E2244" w:rsidRPr="00497F19" w:rsidRDefault="008E2244" w:rsidP="004E3DF9">
      <w:pPr>
        <w:rPr>
          <w:lang w:val="es-ES_tradnl"/>
        </w:rPr>
      </w:pPr>
      <w:r w:rsidRPr="00497F19">
        <w:rPr>
          <w:lang w:val="es-ES_tradnl"/>
        </w:rPr>
        <w:t xml:space="preserve">Los ingresos procedentes de publicaciones ascendieron a </w:t>
      </w:r>
      <w:r w:rsidR="004F49A8" w:rsidRPr="00497F19">
        <w:rPr>
          <w:lang w:val="es-ES_tradnl"/>
        </w:rPr>
        <w:t>un millón de francos suizos, en concordancia con el objetivo presupuestado.</w:t>
      </w:r>
    </w:p>
    <w:p w:rsidR="004E3DF9" w:rsidRPr="00497F19" w:rsidRDefault="004E3DF9" w:rsidP="004E3DF9">
      <w:pPr>
        <w:rPr>
          <w:lang w:val="es-ES_tradnl"/>
        </w:rPr>
      </w:pPr>
    </w:p>
    <w:p w:rsidR="004F49A8" w:rsidRPr="00497F19" w:rsidRDefault="004F49A8" w:rsidP="004E3DF9">
      <w:pPr>
        <w:rPr>
          <w:lang w:val="es-ES_tradnl"/>
        </w:rPr>
      </w:pPr>
      <w:r w:rsidRPr="00497F19">
        <w:rPr>
          <w:lang w:val="es-ES_tradnl"/>
        </w:rPr>
        <w:t xml:space="preserve">Los ingresos </w:t>
      </w:r>
      <w:r w:rsidR="006C69DE" w:rsidRPr="00497F19">
        <w:rPr>
          <w:lang w:val="es-ES_tradnl"/>
        </w:rPr>
        <w:t>en</w:t>
      </w:r>
      <w:r w:rsidRPr="00497F19">
        <w:rPr>
          <w:lang w:val="es-ES_tradnl"/>
        </w:rPr>
        <w:t xml:space="preserve"> concepto de intereses alcanzaron los 3,4 </w:t>
      </w:r>
      <w:r w:rsidR="00951FB6" w:rsidRPr="00497F19">
        <w:rPr>
          <w:lang w:val="es-ES_tradnl"/>
        </w:rPr>
        <w:t>millones de francos suizos</w:t>
      </w:r>
      <w:r w:rsidR="004E3DF9" w:rsidRPr="00497F19">
        <w:rPr>
          <w:lang w:val="es-ES_tradnl"/>
        </w:rPr>
        <w:t xml:space="preserve">, </w:t>
      </w:r>
      <w:r w:rsidR="00F0324B">
        <w:rPr>
          <w:lang w:val="es-ES_tradnl"/>
        </w:rPr>
        <w:t>un </w:t>
      </w:r>
      <w:r w:rsidR="004E3DF9" w:rsidRPr="00497F19">
        <w:rPr>
          <w:lang w:val="es-ES_tradnl"/>
        </w:rPr>
        <w:t>57</w:t>
      </w:r>
      <w:r w:rsidRPr="00497F19">
        <w:rPr>
          <w:lang w:val="es-ES_tradnl"/>
        </w:rPr>
        <w:t>,</w:t>
      </w:r>
      <w:r w:rsidR="004E3DF9" w:rsidRPr="00497F19">
        <w:rPr>
          <w:lang w:val="es-ES_tradnl"/>
        </w:rPr>
        <w:t>8</w:t>
      </w:r>
      <w:r w:rsidRPr="00497F19">
        <w:rPr>
          <w:lang w:val="es-ES_tradnl"/>
        </w:rPr>
        <w:t xml:space="preserve">% menos que las estimaciones presupuestadas para </w:t>
      </w:r>
      <w:r w:rsidR="004E3DF9" w:rsidRPr="00497F19">
        <w:rPr>
          <w:lang w:val="es-ES_tradnl"/>
        </w:rPr>
        <w:t xml:space="preserve">2012/13, </w:t>
      </w:r>
      <w:r w:rsidRPr="00497F19">
        <w:rPr>
          <w:lang w:val="es-ES_tradnl"/>
        </w:rPr>
        <w:t xml:space="preserve">debido principalmente a la reducción de los tipos de interés abonados con respecto a las cuentas de depósito de la OMPI en el Banco Nacional Suizo. </w:t>
      </w:r>
    </w:p>
    <w:p w:rsidR="004E3DF9" w:rsidRPr="00497F19" w:rsidRDefault="004E3DF9" w:rsidP="004E3DF9">
      <w:pPr>
        <w:rPr>
          <w:lang w:val="es-ES_tradnl"/>
        </w:rPr>
      </w:pPr>
    </w:p>
    <w:p w:rsidR="00765063" w:rsidRPr="00497F19" w:rsidRDefault="00765063" w:rsidP="004E3DF9">
      <w:pPr>
        <w:rPr>
          <w:lang w:val="es-ES_tradnl"/>
        </w:rPr>
      </w:pPr>
      <w:r w:rsidRPr="00497F19">
        <w:rPr>
          <w:lang w:val="es-ES_tradnl"/>
        </w:rPr>
        <w:t xml:space="preserve">Los ingresos diversos ascendieron a </w:t>
      </w:r>
      <w:r w:rsidR="004E3DF9" w:rsidRPr="00497F19">
        <w:rPr>
          <w:lang w:val="es-ES_tradnl"/>
        </w:rPr>
        <w:t>8</w:t>
      </w:r>
      <w:r w:rsidRPr="00497F19">
        <w:rPr>
          <w:lang w:val="es-ES_tradnl"/>
        </w:rPr>
        <w:t>,</w:t>
      </w:r>
      <w:r w:rsidR="004E3DF9" w:rsidRPr="00497F19">
        <w:rPr>
          <w:lang w:val="es-ES_tradnl"/>
        </w:rPr>
        <w:t xml:space="preserve">7 </w:t>
      </w:r>
      <w:r w:rsidR="00951FB6" w:rsidRPr="00497F19">
        <w:rPr>
          <w:lang w:val="es-ES_tradnl"/>
        </w:rPr>
        <w:t>millones de francos suizos</w:t>
      </w:r>
      <w:r w:rsidRPr="00497F19">
        <w:rPr>
          <w:lang w:val="es-ES_tradnl"/>
        </w:rPr>
        <w:t xml:space="preserve">, superando el importe presupuestado en </w:t>
      </w:r>
      <w:r w:rsidR="004E3DF9" w:rsidRPr="00497F19">
        <w:rPr>
          <w:lang w:val="es-ES_tradnl"/>
        </w:rPr>
        <w:t>4</w:t>
      </w:r>
      <w:r w:rsidRPr="00497F19">
        <w:rPr>
          <w:lang w:val="es-ES_tradnl"/>
        </w:rPr>
        <w:t>,</w:t>
      </w:r>
      <w:r w:rsidR="004E3DF9" w:rsidRPr="00497F19">
        <w:rPr>
          <w:lang w:val="es-ES_tradnl"/>
        </w:rPr>
        <w:t xml:space="preserve">1 </w:t>
      </w:r>
      <w:r w:rsidR="00951FB6" w:rsidRPr="00497F19">
        <w:rPr>
          <w:lang w:val="es-ES_tradnl"/>
        </w:rPr>
        <w:t>millones de francos suizos</w:t>
      </w:r>
      <w:r w:rsidRPr="00497F19">
        <w:rPr>
          <w:lang w:val="es-ES_tradnl"/>
        </w:rPr>
        <w:t>, es decir, más del</w:t>
      </w:r>
      <w:r w:rsidR="004E3DF9" w:rsidRPr="00497F19">
        <w:rPr>
          <w:lang w:val="es-ES_tradnl"/>
        </w:rPr>
        <w:t xml:space="preserve"> 90</w:t>
      </w:r>
      <w:r w:rsidRPr="00497F19">
        <w:rPr>
          <w:lang w:val="es-ES_tradnl"/>
        </w:rPr>
        <w:t>%</w:t>
      </w:r>
      <w:r w:rsidR="004E3DF9" w:rsidRPr="00497F19">
        <w:rPr>
          <w:lang w:val="es-ES_tradnl"/>
        </w:rPr>
        <w:t xml:space="preserve">.  </w:t>
      </w:r>
      <w:r w:rsidRPr="00497F19">
        <w:rPr>
          <w:lang w:val="es-ES_tradnl"/>
        </w:rPr>
        <w:t xml:space="preserve">Esto incluye varios ajustes contables con respecto a años anteriores, </w:t>
      </w:r>
      <w:r w:rsidR="003E5E53" w:rsidRPr="00497F19">
        <w:rPr>
          <w:lang w:val="es-ES_tradnl"/>
        </w:rPr>
        <w:t xml:space="preserve">ajustes por variación de los tipos de cambio, cargas administrativas del Programa de las Naciones Unidas para el Desarrollo (PNUD), etc.  El aumento </w:t>
      </w:r>
      <w:r w:rsidR="00957B34" w:rsidRPr="00497F19">
        <w:rPr>
          <w:lang w:val="es-ES_tradnl"/>
        </w:rPr>
        <w:t>respecto del objetivo presupuestado se debió principalmente a notas de crédito en relación con los servicios del CICE.</w:t>
      </w:r>
    </w:p>
    <w:p w:rsidR="004E3DF9" w:rsidRPr="00497F19" w:rsidRDefault="004E3DF9" w:rsidP="004E3DF9">
      <w:pPr>
        <w:rPr>
          <w:lang w:val="es-ES_tradnl"/>
        </w:rPr>
      </w:pPr>
    </w:p>
    <w:p w:rsidR="004E3DF9" w:rsidRPr="00497F19" w:rsidRDefault="004E3DF9" w:rsidP="004E3DF9">
      <w:pPr>
        <w:rPr>
          <w:lang w:val="es-ES_tradnl"/>
        </w:rPr>
      </w:pPr>
    </w:p>
    <w:p w:rsidR="004E3DF9" w:rsidRPr="00917518" w:rsidRDefault="004E3DF9" w:rsidP="00917518">
      <w:pPr>
        <w:rPr>
          <w:lang w:val="es-ES_tradnl"/>
        </w:rPr>
      </w:pPr>
    </w:p>
    <w:p w:rsidR="004E3DF9" w:rsidRPr="00917518" w:rsidRDefault="004E3DF9" w:rsidP="00917518">
      <w:pPr>
        <w:rPr>
          <w:lang w:val="es-ES_tradnl"/>
        </w:rPr>
      </w:pPr>
    </w:p>
    <w:p w:rsidR="004E3DF9" w:rsidRPr="00917518" w:rsidRDefault="004E3DF9" w:rsidP="00917518">
      <w:pPr>
        <w:rPr>
          <w:lang w:val="es-ES_tradnl"/>
        </w:rPr>
        <w:sectPr w:rsidR="004E3DF9" w:rsidRPr="00917518" w:rsidSect="004E3DF9">
          <w:headerReference w:type="default" r:id="rId43"/>
          <w:pgSz w:w="11907" w:h="16840" w:code="9"/>
          <w:pgMar w:top="567" w:right="1418" w:bottom="1361" w:left="1418" w:header="510" w:footer="510" w:gutter="0"/>
          <w:cols w:space="720"/>
          <w:docGrid w:linePitch="326"/>
        </w:sectPr>
      </w:pPr>
    </w:p>
    <w:p w:rsidR="004E3DF9" w:rsidRPr="00497F19" w:rsidRDefault="004E3DF9" w:rsidP="00774D8D">
      <w:pPr>
        <w:pStyle w:val="Heading1"/>
        <w:pageBreakBefore/>
        <w:tabs>
          <w:tab w:val="num" w:pos="567"/>
        </w:tabs>
        <w:spacing w:before="0" w:after="0" w:line="300" w:lineRule="atLeast"/>
        <w:ind w:left="567" w:hanging="567"/>
        <w:rPr>
          <w:rFonts w:eastAsia="Times New Roman"/>
          <w:caps w:val="0"/>
          <w:sz w:val="25"/>
          <w:szCs w:val="25"/>
          <w:lang w:val="es-ES_tradnl" w:eastAsia="da-DK"/>
        </w:rPr>
      </w:pPr>
      <w:bookmarkStart w:id="27" w:name="_Toc395626680"/>
      <w:r w:rsidRPr="00497F19">
        <w:rPr>
          <w:rFonts w:eastAsia="Times New Roman"/>
          <w:caps w:val="0"/>
          <w:sz w:val="25"/>
          <w:szCs w:val="25"/>
          <w:lang w:val="es-ES_tradnl" w:eastAsia="da-DK"/>
        </w:rPr>
        <w:lastRenderedPageBreak/>
        <w:t>INVE</w:t>
      </w:r>
      <w:r w:rsidR="003A30A3" w:rsidRPr="00497F19">
        <w:rPr>
          <w:rFonts w:eastAsia="Times New Roman"/>
          <w:caps w:val="0"/>
          <w:sz w:val="25"/>
          <w:szCs w:val="25"/>
          <w:lang w:val="es-ES_tradnl" w:eastAsia="da-DK"/>
        </w:rPr>
        <w:t xml:space="preserve">RSIONES </w:t>
      </w:r>
      <w:r w:rsidR="00774D8D" w:rsidRPr="00497F19">
        <w:rPr>
          <w:rFonts w:eastAsia="Times New Roman"/>
          <w:caps w:val="0"/>
          <w:sz w:val="25"/>
          <w:szCs w:val="25"/>
          <w:lang w:val="es-ES_tradnl" w:eastAsia="da-DK"/>
        </w:rPr>
        <w:t xml:space="preserve">EN </w:t>
      </w:r>
      <w:r w:rsidRPr="00497F19">
        <w:rPr>
          <w:rFonts w:eastAsia="Times New Roman"/>
          <w:caps w:val="0"/>
          <w:sz w:val="25"/>
          <w:szCs w:val="25"/>
          <w:lang w:val="es-ES_tradnl" w:eastAsia="da-DK"/>
        </w:rPr>
        <w:t>2012/13</w:t>
      </w:r>
      <w:bookmarkEnd w:id="27"/>
    </w:p>
    <w:p w:rsidR="004E3DF9" w:rsidRPr="00497F19" w:rsidRDefault="004E3DF9" w:rsidP="004E3DF9">
      <w:pPr>
        <w:autoSpaceDE w:val="0"/>
        <w:autoSpaceDN w:val="0"/>
        <w:adjustRightInd w:val="0"/>
        <w:ind w:right="-59"/>
        <w:jc w:val="both"/>
        <w:rPr>
          <w:rStyle w:val="NORMALTEXT"/>
          <w:lang w:val="es-ES_tradnl"/>
        </w:rPr>
      </w:pPr>
    </w:p>
    <w:p w:rsidR="004E3DF9" w:rsidRPr="00497F19" w:rsidRDefault="003A30A3" w:rsidP="004E3DF9">
      <w:pPr>
        <w:rPr>
          <w:rStyle w:val="NORMALTEXT"/>
          <w:lang w:val="es-ES_tradnl"/>
        </w:rPr>
      </w:pPr>
      <w:r w:rsidRPr="00497F19">
        <w:rPr>
          <w:rStyle w:val="NORMALTEXT"/>
          <w:lang w:val="es-ES_tradnl"/>
        </w:rPr>
        <w:t>Todas las inversiones de la OMPI se realizan de conformidad con la Política de inversiones de la OMPI que fue aprobada por los Estados miembros en la cuadragésima novena serie de reuniones de las Asambleas (documento A/49/14), celebrada en 2011.</w:t>
      </w:r>
    </w:p>
    <w:p w:rsidR="004E3DF9" w:rsidRPr="00497F19" w:rsidRDefault="004E3DF9" w:rsidP="004E3DF9">
      <w:pPr>
        <w:rPr>
          <w:rStyle w:val="NORMALTEXT"/>
          <w:lang w:val="es-ES_tradnl"/>
        </w:rPr>
      </w:pPr>
    </w:p>
    <w:p w:rsidR="004E3DF9" w:rsidRPr="00497F19" w:rsidRDefault="003A30A3" w:rsidP="004E3DF9">
      <w:pPr>
        <w:rPr>
          <w:rStyle w:val="NORMALTEXT"/>
          <w:lang w:val="es-ES_tradnl"/>
        </w:rPr>
      </w:pPr>
      <w:r w:rsidRPr="00497F19">
        <w:rPr>
          <w:rStyle w:val="NORMALTEXT"/>
          <w:lang w:val="es-ES_tradnl"/>
        </w:rPr>
        <w:t>En consecuencia, las inversiones se realizan como sigue:</w:t>
      </w:r>
    </w:p>
    <w:p w:rsidR="004E3DF9" w:rsidRPr="00497F19" w:rsidRDefault="004E3DF9" w:rsidP="004E3DF9">
      <w:pPr>
        <w:rPr>
          <w:rStyle w:val="NORMALTEXT"/>
          <w:lang w:val="es-ES_tradnl"/>
        </w:rPr>
      </w:pPr>
    </w:p>
    <w:p w:rsidR="004E3DF9" w:rsidRPr="00497F19" w:rsidRDefault="003A30A3" w:rsidP="004E3DF9">
      <w:pPr>
        <w:pStyle w:val="ListParagraph"/>
        <w:numPr>
          <w:ilvl w:val="0"/>
          <w:numId w:val="22"/>
        </w:numPr>
        <w:spacing w:after="0" w:line="240" w:lineRule="auto"/>
        <w:ind w:left="561" w:hanging="561"/>
        <w:rPr>
          <w:rStyle w:val="NORMALTEXT"/>
          <w:lang w:val="es-ES_tradnl"/>
        </w:rPr>
      </w:pPr>
      <w:r w:rsidRPr="00497F19">
        <w:rPr>
          <w:rStyle w:val="NORMALTEXT"/>
          <w:lang w:val="es-ES_tradnl"/>
        </w:rPr>
        <w:t>Todas las inversiones de la OMPI en francos suizos se efect</w:t>
      </w:r>
      <w:r w:rsidR="00774D8D" w:rsidRPr="00497F19">
        <w:rPr>
          <w:rStyle w:val="NORMALTEXT"/>
          <w:lang w:val="es-ES_tradnl"/>
        </w:rPr>
        <w:t>ú</w:t>
      </w:r>
      <w:r w:rsidRPr="00497F19">
        <w:rPr>
          <w:rStyle w:val="NORMALTEXT"/>
          <w:lang w:val="es-ES_tradnl"/>
        </w:rPr>
        <w:t>a</w:t>
      </w:r>
      <w:r w:rsidR="00774D8D" w:rsidRPr="00497F19">
        <w:rPr>
          <w:rStyle w:val="NORMALTEXT"/>
          <w:lang w:val="es-ES_tradnl"/>
        </w:rPr>
        <w:t>n</w:t>
      </w:r>
      <w:r w:rsidRPr="00497F19">
        <w:rPr>
          <w:rStyle w:val="NORMALTEXT"/>
          <w:lang w:val="es-ES_tradnl"/>
        </w:rPr>
        <w:t xml:space="preserve"> en el Banco Nacional Suizo (BNS) siempre y cuando el tipo de interés ofrecido por dicha entidad sea superior al que ofrezcan los bancos comerciales poseedores de la calificación crediticia exigida</w:t>
      </w:r>
      <w:r w:rsidR="004E3DF9" w:rsidRPr="00497F19">
        <w:rPr>
          <w:rStyle w:val="NORMALTEXT"/>
          <w:lang w:val="es-ES_tradnl"/>
        </w:rPr>
        <w:t>.</w:t>
      </w:r>
    </w:p>
    <w:p w:rsidR="004E3DF9" w:rsidRPr="00497F19" w:rsidRDefault="004E3DF9" w:rsidP="004E3DF9">
      <w:pPr>
        <w:pStyle w:val="ListParagraph"/>
        <w:spacing w:after="0" w:line="240" w:lineRule="auto"/>
        <w:ind w:left="561"/>
        <w:rPr>
          <w:rStyle w:val="NORMALTEXT"/>
          <w:lang w:val="es-ES_tradnl"/>
        </w:rPr>
      </w:pPr>
    </w:p>
    <w:p w:rsidR="001A6D77" w:rsidRPr="00497F19" w:rsidRDefault="001A6D77" w:rsidP="001A6D77">
      <w:pPr>
        <w:pStyle w:val="ListParagraph"/>
        <w:numPr>
          <w:ilvl w:val="0"/>
          <w:numId w:val="22"/>
        </w:numPr>
        <w:spacing w:after="120" w:line="240" w:lineRule="auto"/>
        <w:ind w:left="567" w:hanging="567"/>
        <w:rPr>
          <w:rStyle w:val="NORMALTEXT"/>
          <w:lang w:val="es-ES_tradnl"/>
        </w:rPr>
      </w:pPr>
      <w:r w:rsidRPr="00497F19">
        <w:rPr>
          <w:rStyle w:val="NORMALTEXT"/>
          <w:lang w:val="es-ES_tradnl"/>
        </w:rPr>
        <w:t xml:space="preserve">Las inversiones distintas de las efectuadas en el BNS se limitarán a fondos del mercado monetario y a depósitos a plazo en bancos poseedores de una calificación crediticia de nivel AA-/Aa3 (Standard and Poor’s / Moody’s) o superior y a </w:t>
      </w:r>
      <w:r w:rsidR="00A51305" w:rsidRPr="00497F19">
        <w:rPr>
          <w:rStyle w:val="NORMALTEXT"/>
          <w:lang w:val="es-ES_tradnl"/>
        </w:rPr>
        <w:t>bonos</w:t>
      </w:r>
      <w:r w:rsidRPr="00497F19">
        <w:rPr>
          <w:rStyle w:val="NORMALTEXT"/>
          <w:lang w:val="es-ES_tradnl"/>
        </w:rPr>
        <w:t xml:space="preserve"> de empresas o gubernamentales de elevada calidad que tengan una calificación crediticia de nivel AA-/Aa3 o superior. </w:t>
      </w:r>
    </w:p>
    <w:p w:rsidR="004E3DF9" w:rsidRPr="00497F19" w:rsidRDefault="004E3DF9" w:rsidP="001A6D77">
      <w:pPr>
        <w:spacing w:after="120"/>
        <w:ind w:left="567" w:hanging="567"/>
        <w:rPr>
          <w:rStyle w:val="NORMALTEXT"/>
          <w:lang w:val="es-ES_tradnl"/>
        </w:rPr>
      </w:pPr>
      <w:r w:rsidRPr="00497F19">
        <w:rPr>
          <w:rStyle w:val="NORMALTEXT"/>
          <w:lang w:val="es-ES_tradnl"/>
        </w:rPr>
        <w:t>c)</w:t>
      </w:r>
      <w:r w:rsidRPr="00497F19">
        <w:rPr>
          <w:rStyle w:val="NORMALTEXT"/>
          <w:lang w:val="es-ES_tradnl"/>
        </w:rPr>
        <w:tab/>
      </w:r>
      <w:r w:rsidR="001A6D77" w:rsidRPr="00497F19">
        <w:rPr>
          <w:rStyle w:val="NORMALTEXT"/>
          <w:lang w:val="es-ES_tradnl"/>
        </w:rPr>
        <w:t>Los importes mantenidos en nombre de fondos fiduciarios (cuentas especiales) se invertirán en efectos del mercado monetario y depósitos a plazo en bancos que tengan la calificación crediticia exigida.</w:t>
      </w:r>
    </w:p>
    <w:p w:rsidR="004E3DF9" w:rsidRPr="00497F19" w:rsidRDefault="004E3DF9" w:rsidP="004E3DF9">
      <w:pPr>
        <w:ind w:left="567" w:hanging="567"/>
        <w:rPr>
          <w:rStyle w:val="NORMALTEXT"/>
          <w:lang w:val="es-ES_tradnl"/>
        </w:rPr>
      </w:pPr>
    </w:p>
    <w:p w:rsidR="004E3DF9" w:rsidRPr="00497F19" w:rsidRDefault="003A30A3" w:rsidP="004E3DF9">
      <w:pPr>
        <w:rPr>
          <w:rStyle w:val="NORMALTEXT"/>
          <w:lang w:val="es-ES_tradnl"/>
        </w:rPr>
      </w:pPr>
      <w:r w:rsidRPr="00497F19">
        <w:rPr>
          <w:rStyle w:val="NORMALTEXT"/>
          <w:lang w:val="es-ES_tradnl"/>
        </w:rPr>
        <w:t>Se detallan en el Cuadro 7 las inversiones realizadas durante el bienio.  Nótese que con arreglo a la Política de inversiones</w:t>
      </w:r>
      <w:r w:rsidR="00F066BD" w:rsidRPr="00497F19">
        <w:rPr>
          <w:rStyle w:val="NORMALTEXT"/>
          <w:lang w:val="es-ES_tradnl"/>
        </w:rPr>
        <w:t>,</w:t>
      </w:r>
      <w:r w:rsidRPr="00497F19">
        <w:rPr>
          <w:rStyle w:val="NORMALTEXT"/>
          <w:lang w:val="es-ES_tradnl"/>
        </w:rPr>
        <w:t xml:space="preserve"> la Organización se ve actualmente impedida de efectuar depósitos en dos de sus bancos tradicionales como son UBS y Crédit Suisse por cuanto sus respectivas calificaciones crediticias a largo plazo no alcanzan el nivel mínimo estipulado en la Política</w:t>
      </w:r>
      <w:r w:rsidR="004E3DF9" w:rsidRPr="00497F19">
        <w:rPr>
          <w:rStyle w:val="NORMALTEXT"/>
          <w:lang w:val="es-ES_tradnl"/>
        </w:rPr>
        <w:t>.</w:t>
      </w:r>
    </w:p>
    <w:p w:rsidR="004E3DF9" w:rsidRPr="00497F19" w:rsidRDefault="004E3DF9" w:rsidP="004E3DF9">
      <w:pPr>
        <w:rPr>
          <w:rStyle w:val="NORMALTEXT"/>
          <w:lang w:val="es-ES_tradnl"/>
        </w:rPr>
      </w:pPr>
    </w:p>
    <w:p w:rsidR="004E3DF9" w:rsidRPr="00A23604" w:rsidRDefault="003A30A3" w:rsidP="00A23604">
      <w:pPr>
        <w:pStyle w:val="Heading2"/>
        <w:rPr>
          <w:rFonts w:ascii="Arial Bold" w:hAnsi="Arial Bold"/>
          <w:b/>
          <w:caps w:val="0"/>
          <w:lang w:val="es-ES_tradnl"/>
        </w:rPr>
      </w:pPr>
      <w:bookmarkStart w:id="28" w:name="_Toc395626681"/>
      <w:r w:rsidRPr="00A23604">
        <w:rPr>
          <w:rFonts w:ascii="Arial Bold" w:hAnsi="Arial Bold"/>
          <w:b/>
          <w:caps w:val="0"/>
          <w:lang w:val="es-ES_tradnl"/>
        </w:rPr>
        <w:t>Riesgos financieros</w:t>
      </w:r>
      <w:bookmarkEnd w:id="28"/>
    </w:p>
    <w:p w:rsidR="004E3DF9" w:rsidRPr="00497F19" w:rsidRDefault="004E3DF9" w:rsidP="004E3DF9">
      <w:pPr>
        <w:rPr>
          <w:rStyle w:val="NORMALTEXT"/>
          <w:lang w:val="es-ES_tradnl"/>
        </w:rPr>
      </w:pPr>
    </w:p>
    <w:p w:rsidR="004E3DF9" w:rsidRPr="00497F19" w:rsidRDefault="003A30A3" w:rsidP="004E3DF9">
      <w:pPr>
        <w:rPr>
          <w:rStyle w:val="NORMALTEXT"/>
          <w:lang w:val="es-ES_tradnl"/>
        </w:rPr>
      </w:pPr>
      <w:r w:rsidRPr="00497F19">
        <w:rPr>
          <w:rStyle w:val="NORMALTEXT"/>
          <w:lang w:val="es-ES_tradnl"/>
        </w:rPr>
        <w:t>La OMPI ha elaborado unas políticas de gestión de los riesgos con arreglo a su Reglamento Financiero y su Reglamentación Financiera.  La Organización se halla expuesta a ciertos riesgos financieros, en particular el riesgo de crédito, el riesgo de tipo de interés, el riesgo de liquidez y el riesgo cambiario.  El objetivo primordial de la Política de inversiones consiste en reducir al mínimo el riesgo del principal asegura</w:t>
      </w:r>
      <w:r w:rsidR="00F066BD" w:rsidRPr="00497F19">
        <w:rPr>
          <w:rStyle w:val="NORMALTEXT"/>
          <w:lang w:val="es-ES_tradnl"/>
        </w:rPr>
        <w:t>ndo al mismo tiempo</w:t>
      </w:r>
      <w:r w:rsidRPr="00497F19">
        <w:rPr>
          <w:rStyle w:val="NORMALTEXT"/>
          <w:lang w:val="es-ES_tradnl"/>
        </w:rPr>
        <w:t xml:space="preserve"> el mantenimiento de la liquidez necesaria para atender las necesidades de efectivo de la Organización.  </w:t>
      </w:r>
      <w:r w:rsidR="00F066BD" w:rsidRPr="00497F19">
        <w:rPr>
          <w:rStyle w:val="NORMALTEXT"/>
          <w:lang w:val="es-ES_tradnl"/>
        </w:rPr>
        <w:t xml:space="preserve">En el marco de </w:t>
      </w:r>
      <w:r w:rsidRPr="00497F19">
        <w:rPr>
          <w:rStyle w:val="NORMALTEXT"/>
          <w:lang w:val="es-ES_tradnl"/>
        </w:rPr>
        <w:t>este objetivo general</w:t>
      </w:r>
      <w:r w:rsidR="00F066BD" w:rsidRPr="00497F19">
        <w:rPr>
          <w:rStyle w:val="NORMALTEXT"/>
          <w:lang w:val="es-ES_tradnl"/>
        </w:rPr>
        <w:t>, la gestión de las inversiones de la Organización se realiza teniendo en cuentas las consideraciones siguientes</w:t>
      </w:r>
      <w:r w:rsidRPr="00497F19">
        <w:rPr>
          <w:rStyle w:val="NORMALTEXT"/>
          <w:lang w:val="es-ES_tradnl"/>
        </w:rPr>
        <w:t xml:space="preserve"> (por orden de importancia):</w:t>
      </w:r>
    </w:p>
    <w:p w:rsidR="004E3DF9" w:rsidRPr="00497F19" w:rsidRDefault="004E3DF9" w:rsidP="004E3DF9">
      <w:pPr>
        <w:rPr>
          <w:rStyle w:val="NORMALTEXT"/>
          <w:lang w:val="es-ES_tradnl"/>
        </w:rPr>
      </w:pPr>
    </w:p>
    <w:p w:rsidR="004E3DF9" w:rsidRPr="00497F19" w:rsidRDefault="004E3DF9" w:rsidP="004E3DF9">
      <w:pPr>
        <w:rPr>
          <w:rStyle w:val="NORMALTEXT"/>
          <w:lang w:val="es-ES_tradnl"/>
        </w:rPr>
      </w:pPr>
      <w:r w:rsidRPr="00497F19">
        <w:rPr>
          <w:rStyle w:val="NORMALTEXT"/>
          <w:lang w:val="es-ES_tradnl"/>
        </w:rPr>
        <w:t>1)</w:t>
      </w:r>
      <w:r w:rsidRPr="00497F19">
        <w:rPr>
          <w:rStyle w:val="NORMALTEXT"/>
          <w:lang w:val="es-ES_tradnl"/>
        </w:rPr>
        <w:tab/>
      </w:r>
      <w:r w:rsidR="00CB5C3D" w:rsidRPr="00497F19">
        <w:rPr>
          <w:rStyle w:val="NORMALTEXT"/>
          <w:lang w:val="es-ES_tradnl"/>
        </w:rPr>
        <w:t xml:space="preserve">La conservación del </w:t>
      </w:r>
      <w:r w:rsidRPr="00497F19">
        <w:rPr>
          <w:rStyle w:val="NORMALTEXT"/>
          <w:lang w:val="es-ES_tradnl"/>
        </w:rPr>
        <w:t>capital;</w:t>
      </w:r>
    </w:p>
    <w:p w:rsidR="004E3DF9" w:rsidRPr="00497F19" w:rsidRDefault="004E3DF9" w:rsidP="004E3DF9">
      <w:pPr>
        <w:rPr>
          <w:rStyle w:val="NORMALTEXT"/>
          <w:lang w:val="es-ES_tradnl"/>
        </w:rPr>
      </w:pPr>
      <w:r w:rsidRPr="00497F19">
        <w:rPr>
          <w:rStyle w:val="NORMALTEXT"/>
          <w:lang w:val="es-ES_tradnl"/>
        </w:rPr>
        <w:t>2)</w:t>
      </w:r>
      <w:r w:rsidRPr="00497F19">
        <w:rPr>
          <w:rStyle w:val="NORMALTEXT"/>
          <w:lang w:val="es-ES_tradnl"/>
        </w:rPr>
        <w:tab/>
      </w:r>
      <w:r w:rsidR="00CB5C3D" w:rsidRPr="00497F19">
        <w:rPr>
          <w:rStyle w:val="NORMALTEXT"/>
          <w:lang w:val="es-ES_tradnl"/>
        </w:rPr>
        <w:t>la liquidez</w:t>
      </w:r>
      <w:r w:rsidRPr="00497F19">
        <w:rPr>
          <w:rStyle w:val="NORMALTEXT"/>
          <w:lang w:val="es-ES_tradnl"/>
        </w:rPr>
        <w:t>;</w:t>
      </w:r>
    </w:p>
    <w:p w:rsidR="004E3DF9" w:rsidRPr="00497F19" w:rsidRDefault="004E3DF9" w:rsidP="004E3DF9">
      <w:pPr>
        <w:rPr>
          <w:rStyle w:val="NORMALTEXT"/>
          <w:lang w:val="es-ES_tradnl"/>
        </w:rPr>
      </w:pPr>
      <w:r w:rsidRPr="00497F19">
        <w:rPr>
          <w:rStyle w:val="NORMALTEXT"/>
          <w:lang w:val="es-ES_tradnl"/>
        </w:rPr>
        <w:t>3)</w:t>
      </w:r>
      <w:r w:rsidRPr="00497F19">
        <w:rPr>
          <w:rStyle w:val="NORMALTEXT"/>
          <w:lang w:val="es-ES_tradnl"/>
        </w:rPr>
        <w:tab/>
      </w:r>
      <w:r w:rsidR="00CB5C3D" w:rsidRPr="00497F19">
        <w:rPr>
          <w:rStyle w:val="NORMALTEXT"/>
          <w:lang w:val="es-ES_tradnl"/>
        </w:rPr>
        <w:t>la tasa de rentabilidad</w:t>
      </w:r>
      <w:r w:rsidRPr="00497F19">
        <w:rPr>
          <w:rStyle w:val="NORMALTEXT"/>
          <w:lang w:val="es-ES_tradnl"/>
        </w:rPr>
        <w:t>.</w:t>
      </w:r>
    </w:p>
    <w:p w:rsidR="004E3DF9" w:rsidRPr="00497F19" w:rsidRDefault="004E3DF9" w:rsidP="004E3DF9">
      <w:pPr>
        <w:rPr>
          <w:rStyle w:val="NORMALTEXT"/>
          <w:lang w:val="es-ES_tradnl"/>
        </w:rPr>
      </w:pPr>
    </w:p>
    <w:p w:rsidR="004E3DF9" w:rsidRPr="00497F19" w:rsidRDefault="003A30A3" w:rsidP="004E3DF9">
      <w:pPr>
        <w:rPr>
          <w:rStyle w:val="NORMALTEXT"/>
          <w:rFonts w:eastAsia="Times New Roman" w:cs="Times New Roman"/>
          <w:i/>
          <w:lang w:val="es-ES_tradnl" w:eastAsia="en-US"/>
        </w:rPr>
      </w:pPr>
      <w:r w:rsidRPr="00497F19">
        <w:rPr>
          <w:rStyle w:val="NORMALTEXT"/>
          <w:rFonts w:eastAsia="Times New Roman" w:cs="Times New Roman"/>
          <w:i/>
          <w:lang w:val="es-ES_tradnl" w:eastAsia="en-US"/>
        </w:rPr>
        <w:t>Riesgo de crédito</w:t>
      </w:r>
    </w:p>
    <w:p w:rsidR="004E3DF9" w:rsidRPr="00497F19" w:rsidRDefault="004E3DF9" w:rsidP="004E3DF9">
      <w:pPr>
        <w:rPr>
          <w:rStyle w:val="NORMALTEXT"/>
          <w:lang w:val="es-ES_tradnl"/>
        </w:rPr>
      </w:pPr>
    </w:p>
    <w:p w:rsidR="004E3DF9" w:rsidRPr="00497F19" w:rsidRDefault="003A30A3" w:rsidP="004E3DF9">
      <w:pPr>
        <w:rPr>
          <w:rStyle w:val="NORMALTEXT"/>
          <w:lang w:val="es-ES_tradnl"/>
        </w:rPr>
      </w:pPr>
      <w:r w:rsidRPr="00497F19">
        <w:rPr>
          <w:rStyle w:val="NORMALTEXT"/>
          <w:lang w:val="es-ES_tradnl"/>
        </w:rPr>
        <w:t xml:space="preserve">Las inversiones son mantenidas en bancos con riesgo soberano o con calificaciones crediticias de AA-/Aa3 o superiores. </w:t>
      </w:r>
      <w:r w:rsidR="00F066BD" w:rsidRPr="00497F19">
        <w:rPr>
          <w:rStyle w:val="NORMALTEXT"/>
          <w:lang w:val="es-ES_tradnl"/>
        </w:rPr>
        <w:t xml:space="preserve"> </w:t>
      </w:r>
      <w:r w:rsidRPr="00497F19">
        <w:rPr>
          <w:rStyle w:val="NORMALTEXT"/>
          <w:lang w:val="es-ES_tradnl"/>
        </w:rPr>
        <w:t xml:space="preserve">Las cuentas por cobrar provienen casi exclusivamente de Estados miembros que representan </w:t>
      </w:r>
      <w:r w:rsidR="00F066BD" w:rsidRPr="00497F19">
        <w:rPr>
          <w:rStyle w:val="NORMALTEXT"/>
          <w:lang w:val="es-ES_tradnl"/>
        </w:rPr>
        <w:t xml:space="preserve">a </w:t>
      </w:r>
      <w:r w:rsidRPr="00497F19">
        <w:rPr>
          <w:rStyle w:val="NORMALTEXT"/>
          <w:lang w:val="es-ES_tradnl"/>
        </w:rPr>
        <w:t>Gobiernos soberanos, por lo que los riesgos relativos al crédito se consideran como de menor importancia.</w:t>
      </w:r>
    </w:p>
    <w:p w:rsidR="004E3DF9" w:rsidRPr="00497F19" w:rsidRDefault="004E3DF9" w:rsidP="004E3DF9">
      <w:pPr>
        <w:rPr>
          <w:rStyle w:val="NORMALTEXT"/>
          <w:lang w:val="es-ES_tradnl"/>
        </w:rPr>
      </w:pPr>
    </w:p>
    <w:p w:rsidR="004E3DF9" w:rsidRPr="00497F19" w:rsidRDefault="003A30A3" w:rsidP="004E3DF9">
      <w:pPr>
        <w:rPr>
          <w:rStyle w:val="NORMALTEXT"/>
          <w:rFonts w:eastAsia="Times New Roman" w:cs="Times New Roman"/>
          <w:i/>
          <w:lang w:val="es-ES_tradnl" w:eastAsia="en-US"/>
        </w:rPr>
      </w:pPr>
      <w:r w:rsidRPr="00497F19">
        <w:rPr>
          <w:rStyle w:val="NORMALTEXT"/>
          <w:rFonts w:eastAsia="Times New Roman" w:cs="Times New Roman"/>
          <w:i/>
          <w:lang w:val="es-ES_tradnl" w:eastAsia="en-US"/>
        </w:rPr>
        <w:t>Riesgo de tipo de interés</w:t>
      </w:r>
    </w:p>
    <w:p w:rsidR="004E3DF9" w:rsidRPr="00497F19" w:rsidRDefault="004E3DF9" w:rsidP="004E3DF9">
      <w:pPr>
        <w:rPr>
          <w:rStyle w:val="NORMALTEXT"/>
          <w:lang w:val="es-ES_tradnl"/>
        </w:rPr>
      </w:pPr>
    </w:p>
    <w:p w:rsidR="004E3DF9" w:rsidRPr="00497F19" w:rsidRDefault="003A30A3" w:rsidP="004E3DF9">
      <w:pPr>
        <w:rPr>
          <w:rStyle w:val="NORMALTEXT"/>
          <w:lang w:val="es-ES_tradnl"/>
        </w:rPr>
      </w:pPr>
      <w:r w:rsidRPr="00497F19">
        <w:rPr>
          <w:rStyle w:val="NORMALTEXT"/>
          <w:lang w:val="es-ES_tradnl"/>
        </w:rPr>
        <w:t xml:space="preserve">Dado que tan sólo un 3% del presupuesto de explotación se financia con cargo a ingresos procedentes del rendimiento de </w:t>
      </w:r>
      <w:r w:rsidR="00F066BD" w:rsidRPr="00497F19">
        <w:rPr>
          <w:rStyle w:val="NORMALTEXT"/>
          <w:lang w:val="es-ES_tradnl"/>
        </w:rPr>
        <w:t xml:space="preserve">las </w:t>
      </w:r>
      <w:r w:rsidRPr="00497F19">
        <w:rPr>
          <w:rStyle w:val="NORMALTEXT"/>
          <w:lang w:val="es-ES_tradnl"/>
        </w:rPr>
        <w:t>inversiones, la exposición de la Organización al riesgo de declive de los tipos de interés es limitado.  La OMPI no recurre al uso de instrumentos financieros para cubrir el riesgo de tipo de interés.</w:t>
      </w:r>
    </w:p>
    <w:p w:rsidR="004E3DF9" w:rsidRPr="00497F19" w:rsidRDefault="004E3DF9" w:rsidP="004E3DF9">
      <w:pPr>
        <w:rPr>
          <w:rStyle w:val="NORMALTEXT"/>
          <w:lang w:val="es-ES_tradnl"/>
        </w:rPr>
      </w:pPr>
    </w:p>
    <w:p w:rsidR="004E3DF9" w:rsidRPr="00497F19" w:rsidRDefault="003A30A3" w:rsidP="004E3DF9">
      <w:pPr>
        <w:rPr>
          <w:rStyle w:val="NORMALTEXT"/>
          <w:rFonts w:eastAsia="Times New Roman" w:cs="Times New Roman"/>
          <w:i/>
          <w:lang w:val="es-ES_tradnl" w:eastAsia="en-US"/>
        </w:rPr>
      </w:pPr>
      <w:r w:rsidRPr="00497F19">
        <w:rPr>
          <w:rStyle w:val="NORMALTEXT"/>
          <w:rFonts w:eastAsia="Times New Roman" w:cs="Times New Roman"/>
          <w:i/>
          <w:lang w:val="es-ES_tradnl" w:eastAsia="en-US"/>
        </w:rPr>
        <w:t>Riesgo de liquidez</w:t>
      </w:r>
    </w:p>
    <w:p w:rsidR="004E3DF9" w:rsidRPr="00497F19" w:rsidRDefault="004E3DF9" w:rsidP="004E3DF9">
      <w:pPr>
        <w:rPr>
          <w:rStyle w:val="NORMALTEXT"/>
          <w:i/>
          <w:lang w:val="es-ES_tradnl"/>
        </w:rPr>
      </w:pPr>
    </w:p>
    <w:p w:rsidR="004E3DF9" w:rsidRPr="00497F19" w:rsidRDefault="003A30A3" w:rsidP="004E3DF9">
      <w:pPr>
        <w:rPr>
          <w:rStyle w:val="NORMALTEXT"/>
          <w:lang w:val="es-ES_tradnl"/>
        </w:rPr>
      </w:pPr>
      <w:r w:rsidRPr="00497F19">
        <w:rPr>
          <w:rStyle w:val="NORMALTEXT"/>
          <w:lang w:val="es-ES_tradnl"/>
        </w:rPr>
        <w:t>La Organización no tiene una exposición importante al riesgo de liquidez por cuanto dispone de cuantiosos recursos de efectivo no sujetos a restricciones que se reconstituyen gracias al resultado de sus operaciones.  La Política de Inversiones de la Organización ha sido elaborada para velar por que las inversiones consistan principalmente en depósitos líquidos a corto plazo.</w:t>
      </w:r>
    </w:p>
    <w:p w:rsidR="004E3DF9" w:rsidRPr="00497F19" w:rsidRDefault="004E3DF9" w:rsidP="004E3DF9">
      <w:pPr>
        <w:rPr>
          <w:rStyle w:val="NORMALTEXT"/>
          <w:lang w:val="es-ES_tradnl"/>
        </w:rPr>
      </w:pPr>
    </w:p>
    <w:p w:rsidR="004E3DF9" w:rsidRPr="00497F19" w:rsidRDefault="003A30A3" w:rsidP="004E3DF9">
      <w:pPr>
        <w:rPr>
          <w:rStyle w:val="NORMALTEXT"/>
          <w:rFonts w:eastAsia="Times New Roman" w:cs="Times New Roman"/>
          <w:i/>
          <w:lang w:val="es-ES_tradnl" w:eastAsia="en-US"/>
        </w:rPr>
      </w:pPr>
      <w:r w:rsidRPr="00497F19">
        <w:rPr>
          <w:rStyle w:val="NORMALTEXT"/>
          <w:rFonts w:eastAsia="Times New Roman" w:cs="Times New Roman"/>
          <w:i/>
          <w:lang w:val="es-ES_tradnl" w:eastAsia="en-US"/>
        </w:rPr>
        <w:t>Riesgo cambiario</w:t>
      </w:r>
    </w:p>
    <w:p w:rsidR="004E3DF9" w:rsidRPr="00497F19" w:rsidRDefault="004E3DF9" w:rsidP="004E3DF9">
      <w:pPr>
        <w:rPr>
          <w:rStyle w:val="NORMALTEXT"/>
          <w:i/>
          <w:lang w:val="es-ES_tradnl"/>
        </w:rPr>
      </w:pPr>
    </w:p>
    <w:p w:rsidR="004E3DF9" w:rsidRPr="00497F19" w:rsidRDefault="003A30A3" w:rsidP="004E3DF9">
      <w:pPr>
        <w:rPr>
          <w:rStyle w:val="NORMALTEXT"/>
          <w:lang w:val="es-ES_tradnl"/>
        </w:rPr>
      </w:pPr>
      <w:r w:rsidRPr="00497F19">
        <w:rPr>
          <w:rStyle w:val="NORMALTEXT"/>
          <w:lang w:val="es-ES_tradnl"/>
        </w:rPr>
        <w:t>La Organización está expuesta al riesgo cambiario resultante de las fluctuaciones de los tipos de cambio monetario.  En la medida de lo posible, las inversiones a corto, medio y largo plazo se gestionan estableciendo una correspondencia entre las monedas poseídas, las previsiones de ingresos y las previsiones de desembolsos en términos de moneda y plazo.  La Organización no utiliza instrumentos financieros derivados para cubrir el riesgo de cambio</w:t>
      </w:r>
      <w:r w:rsidR="004E3DF9" w:rsidRPr="00497F19">
        <w:rPr>
          <w:rStyle w:val="NORMALTEXT"/>
          <w:lang w:val="es-ES_tradnl"/>
        </w:rPr>
        <w:t>.</w:t>
      </w:r>
    </w:p>
    <w:p w:rsidR="004E3DF9" w:rsidRPr="00497F19" w:rsidRDefault="004E3DF9" w:rsidP="004E3DF9">
      <w:pPr>
        <w:rPr>
          <w:rStyle w:val="NORMALTEXT"/>
          <w:lang w:val="es-ES_tradnl"/>
        </w:rPr>
      </w:pPr>
    </w:p>
    <w:p w:rsidR="00417743" w:rsidRPr="00497F19" w:rsidRDefault="00417743">
      <w:pPr>
        <w:rPr>
          <w:rFonts w:ascii="Arial Bold" w:hAnsi="Arial Bold"/>
          <w:b/>
          <w:bCs/>
          <w:iCs/>
          <w:szCs w:val="28"/>
          <w:lang w:val="es-ES_tradnl" w:eastAsia="da-DK"/>
        </w:rPr>
      </w:pPr>
      <w:r w:rsidRPr="00497F19">
        <w:rPr>
          <w:rFonts w:ascii="Arial Bold" w:hAnsi="Arial Bold"/>
          <w:b/>
          <w:caps/>
          <w:lang w:val="es-ES_tradnl" w:eastAsia="da-DK"/>
        </w:rPr>
        <w:br w:type="page"/>
      </w:r>
    </w:p>
    <w:p w:rsidR="004E3DF9" w:rsidRPr="00497F19" w:rsidRDefault="00232848" w:rsidP="00417743">
      <w:pPr>
        <w:pStyle w:val="Heading2"/>
        <w:keepNext w:val="0"/>
        <w:widowControl w:val="0"/>
        <w:tabs>
          <w:tab w:val="left" w:pos="567"/>
        </w:tabs>
        <w:spacing w:before="0" w:after="0" w:line="300" w:lineRule="atLeast"/>
        <w:jc w:val="center"/>
        <w:rPr>
          <w:rFonts w:ascii="Arial Bold" w:hAnsi="Arial Bold"/>
          <w:b/>
          <w:caps w:val="0"/>
          <w:lang w:val="es-ES_tradnl" w:eastAsia="da-DK"/>
        </w:rPr>
      </w:pPr>
      <w:bookmarkStart w:id="29" w:name="_Toc395626682"/>
      <w:r w:rsidRPr="00497F19">
        <w:rPr>
          <w:rFonts w:ascii="Arial Bold" w:hAnsi="Arial Bold"/>
          <w:b/>
          <w:caps w:val="0"/>
          <w:lang w:val="es-ES_tradnl" w:eastAsia="da-DK"/>
        </w:rPr>
        <w:lastRenderedPageBreak/>
        <w:t>Cuadro</w:t>
      </w:r>
      <w:r w:rsidR="004E3DF9" w:rsidRPr="00497F19">
        <w:rPr>
          <w:rFonts w:ascii="Arial Bold" w:hAnsi="Arial Bold"/>
          <w:b/>
          <w:caps w:val="0"/>
          <w:lang w:val="es-ES_tradnl" w:eastAsia="da-DK"/>
        </w:rPr>
        <w:t xml:space="preserve"> 7</w:t>
      </w:r>
      <w:r w:rsidR="004E3DF9" w:rsidRPr="00497F19">
        <w:rPr>
          <w:rFonts w:ascii="Arial Bold" w:hAnsi="Arial Bold"/>
          <w:b/>
          <w:caps w:val="0"/>
          <w:lang w:val="es-ES_tradnl" w:eastAsia="da-DK"/>
        </w:rPr>
        <w:tab/>
        <w:t>Inve</w:t>
      </w:r>
      <w:r w:rsidRPr="00497F19">
        <w:rPr>
          <w:rFonts w:ascii="Arial Bold" w:hAnsi="Arial Bold"/>
          <w:b/>
          <w:caps w:val="0"/>
          <w:lang w:val="es-ES_tradnl" w:eastAsia="da-DK"/>
        </w:rPr>
        <w:t xml:space="preserve">rsiones en </w:t>
      </w:r>
      <w:r w:rsidR="004E3DF9" w:rsidRPr="00497F19">
        <w:rPr>
          <w:rFonts w:ascii="Arial Bold" w:hAnsi="Arial Bold"/>
          <w:b/>
          <w:caps w:val="0"/>
          <w:lang w:val="es-ES_tradnl" w:eastAsia="da-DK"/>
        </w:rPr>
        <w:t xml:space="preserve">2012 </w:t>
      </w:r>
      <w:r w:rsidRPr="00497F19">
        <w:rPr>
          <w:rFonts w:ascii="Arial Bold" w:hAnsi="Arial Bold"/>
          <w:b/>
          <w:caps w:val="0"/>
          <w:lang w:val="es-ES_tradnl" w:eastAsia="da-DK"/>
        </w:rPr>
        <w:t xml:space="preserve">y </w:t>
      </w:r>
      <w:r w:rsidR="004E3DF9" w:rsidRPr="00497F19">
        <w:rPr>
          <w:rFonts w:ascii="Arial Bold" w:hAnsi="Arial Bold"/>
          <w:b/>
          <w:caps w:val="0"/>
          <w:lang w:val="es-ES_tradnl" w:eastAsia="da-DK"/>
        </w:rPr>
        <w:t>2013</w:t>
      </w:r>
      <w:bookmarkEnd w:id="29"/>
    </w:p>
    <w:p w:rsidR="004E3DF9" w:rsidRPr="00497F19" w:rsidRDefault="004E3DF9" w:rsidP="004E3DF9">
      <w:pPr>
        <w:jc w:val="center"/>
        <w:rPr>
          <w:rStyle w:val="NORMALTEXT"/>
          <w:lang w:val="es-ES_tradnl"/>
        </w:rPr>
      </w:pPr>
    </w:p>
    <w:p w:rsidR="004E3DF9" w:rsidRPr="00497F19" w:rsidRDefault="00D42B10" w:rsidP="00D42B10">
      <w:pPr>
        <w:autoSpaceDE w:val="0"/>
        <w:autoSpaceDN w:val="0"/>
        <w:adjustRightInd w:val="0"/>
        <w:jc w:val="center"/>
        <w:rPr>
          <w:sz w:val="21"/>
          <w:szCs w:val="21"/>
          <w:lang w:val="es-ES_tradnl"/>
        </w:rPr>
      </w:pPr>
      <w:r w:rsidRPr="00497F19">
        <w:rPr>
          <w:noProof/>
          <w:lang w:val="en-US" w:eastAsia="en-US"/>
        </w:rPr>
        <w:drawing>
          <wp:inline distT="0" distB="0" distL="0" distR="0" wp14:anchorId="7132F80E" wp14:editId="4B6323F3">
            <wp:extent cx="5268878" cy="8505850"/>
            <wp:effectExtent l="0" t="0" r="825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66353" cy="8501773"/>
                    </a:xfrm>
                    <a:prstGeom prst="rect">
                      <a:avLst/>
                    </a:prstGeom>
                    <a:noFill/>
                    <a:ln>
                      <a:noFill/>
                    </a:ln>
                  </pic:spPr>
                </pic:pic>
              </a:graphicData>
            </a:graphic>
          </wp:inline>
        </w:drawing>
      </w:r>
    </w:p>
    <w:p w:rsidR="00D42B10" w:rsidRPr="00497F19" w:rsidRDefault="00D42B10" w:rsidP="00D42B10">
      <w:pPr>
        <w:autoSpaceDE w:val="0"/>
        <w:autoSpaceDN w:val="0"/>
        <w:adjustRightInd w:val="0"/>
        <w:jc w:val="both"/>
        <w:rPr>
          <w:sz w:val="21"/>
          <w:szCs w:val="21"/>
          <w:lang w:val="es-ES_tradnl"/>
        </w:rPr>
      </w:pPr>
    </w:p>
    <w:p w:rsidR="004E3DF9" w:rsidRPr="00497F19" w:rsidRDefault="003A30A3" w:rsidP="008C2684">
      <w:pPr>
        <w:pStyle w:val="Heading1"/>
        <w:keepNext w:val="0"/>
        <w:pageBreakBefore/>
        <w:tabs>
          <w:tab w:val="num" w:pos="567"/>
        </w:tabs>
        <w:spacing w:before="0" w:after="0" w:line="300" w:lineRule="atLeast"/>
        <w:ind w:left="567" w:hanging="567"/>
        <w:rPr>
          <w:rFonts w:eastAsia="Times New Roman"/>
          <w:caps w:val="0"/>
          <w:lang w:val="es-ES_tradnl" w:eastAsia="da-DK"/>
        </w:rPr>
      </w:pPr>
      <w:bookmarkStart w:id="30" w:name="_Toc395626683"/>
      <w:r w:rsidRPr="00497F19">
        <w:rPr>
          <w:rFonts w:eastAsia="Times New Roman"/>
          <w:caps w:val="0"/>
          <w:lang w:val="es-ES_tradnl" w:eastAsia="da-DK"/>
        </w:rPr>
        <w:lastRenderedPageBreak/>
        <w:t>ESTADOS FINANCIEROS</w:t>
      </w:r>
      <w:bookmarkEnd w:id="30"/>
    </w:p>
    <w:p w:rsidR="004E3DF9" w:rsidRPr="00497F19" w:rsidRDefault="004E3DF9" w:rsidP="004E3DF9">
      <w:pPr>
        <w:spacing w:after="120"/>
        <w:jc w:val="both"/>
        <w:rPr>
          <w:lang w:val="es-ES_tradnl"/>
        </w:rPr>
      </w:pPr>
    </w:p>
    <w:p w:rsidR="004E3DF9" w:rsidRPr="00497F19" w:rsidRDefault="00085C0D" w:rsidP="00085C0D">
      <w:pPr>
        <w:jc w:val="both"/>
        <w:rPr>
          <w:lang w:val="es-ES_tradnl"/>
        </w:rPr>
      </w:pPr>
      <w:r w:rsidRPr="00497F19">
        <w:rPr>
          <w:lang w:val="es-ES_tradnl"/>
        </w:rPr>
        <w:t>Con respecto a cada uno de los dos años del bienio 2012/13 los estados financieros de la OMPI se han elaborado con arreglo a las Normas Internacionales de Contabilidad del Sector Público (IPSAS).</w:t>
      </w:r>
    </w:p>
    <w:p w:rsidR="004E3DF9" w:rsidRPr="00497F19" w:rsidRDefault="004E3DF9" w:rsidP="004E3DF9">
      <w:pPr>
        <w:jc w:val="both"/>
        <w:rPr>
          <w:lang w:val="es-ES_tradnl"/>
        </w:rPr>
      </w:pPr>
    </w:p>
    <w:p w:rsidR="004E3DF9" w:rsidRPr="00497F19" w:rsidRDefault="003A30A3" w:rsidP="004E3DF9">
      <w:pPr>
        <w:rPr>
          <w:b/>
          <w:lang w:val="es-ES_tradnl"/>
        </w:rPr>
      </w:pPr>
      <w:r w:rsidRPr="00497F19">
        <w:rPr>
          <w:b/>
          <w:lang w:val="es-ES_tradnl"/>
        </w:rPr>
        <w:t>La transición a las IPSAS</w:t>
      </w:r>
    </w:p>
    <w:p w:rsidR="004E3DF9" w:rsidRPr="00497F19" w:rsidRDefault="004E3DF9" w:rsidP="004E3DF9">
      <w:pPr>
        <w:rPr>
          <w:lang w:val="es-ES_tradnl"/>
        </w:rPr>
      </w:pPr>
    </w:p>
    <w:p w:rsidR="004E3DF9" w:rsidRPr="00497F19" w:rsidRDefault="003A30A3" w:rsidP="004E3DF9">
      <w:pPr>
        <w:autoSpaceDE w:val="0"/>
        <w:autoSpaceDN w:val="0"/>
        <w:adjustRightInd w:val="0"/>
        <w:jc w:val="both"/>
        <w:rPr>
          <w:rFonts w:ascii="Times-Roman" w:hAnsi="Times-Roman"/>
          <w:lang w:val="es-ES_tradnl"/>
        </w:rPr>
      </w:pPr>
      <w:r w:rsidRPr="00497F19">
        <w:rPr>
          <w:szCs w:val="22"/>
          <w:lang w:val="es-ES_tradnl"/>
        </w:rPr>
        <w:t xml:space="preserve">El 30 de noviembre de 2005, el Comité de Alto Nivel sobre Gestión (HLCM) recomendó que todas las organizaciones del sistema de las Naciones Unidas adoptaran las IPSAS como sus normas de contabilidad </w:t>
      </w:r>
      <w:r w:rsidR="008C2684" w:rsidRPr="00497F19">
        <w:rPr>
          <w:szCs w:val="22"/>
          <w:lang w:val="es-ES_tradnl"/>
        </w:rPr>
        <w:t xml:space="preserve">a </w:t>
      </w:r>
      <w:r w:rsidRPr="00497F19">
        <w:rPr>
          <w:szCs w:val="22"/>
          <w:lang w:val="es-ES_tradnl"/>
        </w:rPr>
        <w:t>más tard</w:t>
      </w:r>
      <w:r w:rsidR="008C2684" w:rsidRPr="00497F19">
        <w:rPr>
          <w:szCs w:val="22"/>
          <w:lang w:val="es-ES_tradnl"/>
        </w:rPr>
        <w:t xml:space="preserve">ar </w:t>
      </w:r>
      <w:r w:rsidRPr="00497F19">
        <w:rPr>
          <w:szCs w:val="22"/>
          <w:lang w:val="es-ES_tradnl"/>
        </w:rPr>
        <w:t>e</w:t>
      </w:r>
      <w:r w:rsidR="008C2684" w:rsidRPr="00497F19">
        <w:rPr>
          <w:szCs w:val="22"/>
          <w:lang w:val="es-ES_tradnl"/>
        </w:rPr>
        <w:t>n</w:t>
      </w:r>
      <w:r w:rsidRPr="00497F19">
        <w:rPr>
          <w:szCs w:val="22"/>
          <w:lang w:val="es-ES_tradnl"/>
        </w:rPr>
        <w:t xml:space="preserve"> 2010. </w:t>
      </w:r>
      <w:r w:rsidR="008C2684" w:rsidRPr="00497F19">
        <w:rPr>
          <w:szCs w:val="22"/>
          <w:lang w:val="es-ES_tradnl"/>
        </w:rPr>
        <w:t xml:space="preserve"> </w:t>
      </w:r>
      <w:r w:rsidRPr="00497F19">
        <w:rPr>
          <w:szCs w:val="22"/>
          <w:lang w:val="es-ES_tradnl"/>
        </w:rPr>
        <w:t xml:space="preserve">Esta recomendación se inspiraba en la inequívoca necesidad de que el </w:t>
      </w:r>
      <w:r w:rsidR="00A90C9E" w:rsidRPr="00497F19">
        <w:rPr>
          <w:szCs w:val="22"/>
          <w:lang w:val="es-ES_tradnl"/>
        </w:rPr>
        <w:t>cuentas z</w:t>
      </w:r>
      <w:r w:rsidRPr="00497F19">
        <w:rPr>
          <w:szCs w:val="22"/>
          <w:lang w:val="es-ES_tradnl"/>
        </w:rPr>
        <w:t xml:space="preserve"> de las Naciones Unidas abrazara unas normas de contabilidad mejoradas</w:t>
      </w:r>
      <w:r w:rsidR="008C2684" w:rsidRPr="00497F19">
        <w:rPr>
          <w:szCs w:val="22"/>
          <w:lang w:val="es-ES_tradnl"/>
        </w:rPr>
        <w:t>,</w:t>
      </w:r>
      <w:r w:rsidRPr="00497F19">
        <w:rPr>
          <w:szCs w:val="22"/>
          <w:lang w:val="es-ES_tradnl"/>
        </w:rPr>
        <w:t xml:space="preserve"> independientes y aceptadas universalmente a fin de incrementar la calidad y la credibilidad de los informes financieros.  Las normas IPSAS han sido elaboradas por la Junta de Normas Internacionales de Contabilidad del Sector Público (IPSASB), que forma parte de la Federación Internacional de Expertos Contables (IFAC).</w:t>
      </w:r>
    </w:p>
    <w:p w:rsidR="004E3DF9" w:rsidRPr="00497F19" w:rsidRDefault="004E3DF9" w:rsidP="004E3DF9">
      <w:pPr>
        <w:autoSpaceDE w:val="0"/>
        <w:autoSpaceDN w:val="0"/>
        <w:adjustRightInd w:val="0"/>
        <w:jc w:val="both"/>
        <w:rPr>
          <w:rFonts w:ascii="Times-Roman" w:hAnsi="Times-Roman"/>
          <w:lang w:val="es-ES_tradnl"/>
        </w:rPr>
      </w:pPr>
    </w:p>
    <w:p w:rsidR="004E3DF9" w:rsidRPr="00497F19" w:rsidRDefault="003A30A3" w:rsidP="004E3DF9">
      <w:pPr>
        <w:autoSpaceDE w:val="0"/>
        <w:autoSpaceDN w:val="0"/>
        <w:adjustRightInd w:val="0"/>
        <w:jc w:val="both"/>
        <w:rPr>
          <w:szCs w:val="22"/>
          <w:lang w:val="es-ES_tradnl"/>
        </w:rPr>
      </w:pPr>
      <w:r w:rsidRPr="00497F19">
        <w:rPr>
          <w:szCs w:val="22"/>
          <w:lang w:val="es-ES_tradnl"/>
        </w:rPr>
        <w:t xml:space="preserve">En la cuadragésima tercera serie de reuniones de </w:t>
      </w:r>
      <w:r w:rsidR="008C2684" w:rsidRPr="00497F19">
        <w:rPr>
          <w:szCs w:val="22"/>
          <w:lang w:val="es-ES_tradnl"/>
        </w:rPr>
        <w:t xml:space="preserve">las Asambleas (24 de septiembre a </w:t>
      </w:r>
      <w:r w:rsidRPr="00497F19">
        <w:rPr>
          <w:szCs w:val="22"/>
          <w:lang w:val="es-ES_tradnl"/>
        </w:rPr>
        <w:t>3 de</w:t>
      </w:r>
      <w:r w:rsidR="008C2684" w:rsidRPr="00497F19">
        <w:rPr>
          <w:szCs w:val="22"/>
          <w:lang w:val="es-ES_tradnl"/>
        </w:rPr>
        <w:t xml:space="preserve"> octubre de 2007), los Estados m</w:t>
      </w:r>
      <w:r w:rsidRPr="00497F19">
        <w:rPr>
          <w:szCs w:val="22"/>
          <w:lang w:val="es-ES_tradnl"/>
        </w:rPr>
        <w:t xml:space="preserve">iembros acordaron en principio que la OMPI adoptaría las IPSAS antes de 2010.  El proyecto tendente a la implantación de las IPSAS en la OMPI presuponía considerables actividades de desarrollo y modificaciones en el sistema informático y la correspondiente propuesta fue aprobada por la cuadragésima sexta serie de reuniones de las Asambleas en diciembre de 2008.  Numerosas organizaciones de las Naciones Unidas no alcanzaron a respetar el plazo original fijado para la aplicación de las IPSAS, pero la OMPI mantuvo el año 2010 como fecha límite.  Una vez obtenido el dictamen incondicionalmente favorable de la auditoría de sus estados financieros de 2010, la OMPI se convirtió en miembro del reducido grupo de apenas nueve organizaciones de las Naciones Unidas que adoptaron las IPSAS </w:t>
      </w:r>
      <w:r w:rsidR="008C2684" w:rsidRPr="00497F19">
        <w:rPr>
          <w:szCs w:val="22"/>
          <w:lang w:val="es-ES_tradnl"/>
        </w:rPr>
        <w:t xml:space="preserve">para la fecha originalmente planificada </w:t>
      </w:r>
      <w:r w:rsidRPr="00497F19">
        <w:rPr>
          <w:szCs w:val="22"/>
          <w:lang w:val="es-ES_tradnl"/>
        </w:rPr>
        <w:t>del 1 de enero de 2010.</w:t>
      </w:r>
    </w:p>
    <w:p w:rsidR="004E3DF9" w:rsidRPr="00497F19" w:rsidRDefault="004E3DF9" w:rsidP="004E3DF9">
      <w:pPr>
        <w:autoSpaceDE w:val="0"/>
        <w:autoSpaceDN w:val="0"/>
        <w:adjustRightInd w:val="0"/>
        <w:jc w:val="both"/>
        <w:rPr>
          <w:szCs w:val="22"/>
          <w:lang w:val="es-ES_tradnl"/>
        </w:rPr>
      </w:pPr>
    </w:p>
    <w:p w:rsidR="004E3DF9" w:rsidRPr="00497F19" w:rsidRDefault="003A30A3" w:rsidP="004E3DF9">
      <w:pPr>
        <w:rPr>
          <w:b/>
          <w:lang w:val="es-ES_tradnl"/>
        </w:rPr>
      </w:pPr>
      <w:r w:rsidRPr="00497F19">
        <w:rPr>
          <w:b/>
          <w:lang w:val="es-ES_tradnl"/>
        </w:rPr>
        <w:t>La incidencia contable de las IPSAS</w:t>
      </w:r>
    </w:p>
    <w:p w:rsidR="004E3DF9" w:rsidRPr="00497F19" w:rsidRDefault="004E3DF9" w:rsidP="004E3DF9">
      <w:pPr>
        <w:rPr>
          <w:lang w:val="es-ES_tradnl"/>
        </w:rPr>
      </w:pPr>
    </w:p>
    <w:p w:rsidR="004E3DF9" w:rsidRPr="00497F19" w:rsidRDefault="00BA52B8" w:rsidP="004E3DF9">
      <w:pPr>
        <w:jc w:val="both"/>
        <w:rPr>
          <w:szCs w:val="22"/>
          <w:lang w:val="es-ES_tradnl"/>
        </w:rPr>
      </w:pPr>
      <w:r w:rsidRPr="00497F19">
        <w:rPr>
          <w:szCs w:val="22"/>
          <w:lang w:val="es-ES_tradnl"/>
        </w:rPr>
        <w:t>La aplicación de las IPSAS requiere la introducción de la base contable integral de acumulación (o devengo)</w:t>
      </w:r>
      <w:r w:rsidR="004E3DF9" w:rsidRPr="00497F19">
        <w:rPr>
          <w:szCs w:val="22"/>
          <w:lang w:val="es-ES_tradnl"/>
        </w:rPr>
        <w:t xml:space="preserve">. </w:t>
      </w:r>
      <w:r w:rsidRPr="00497F19">
        <w:rPr>
          <w:szCs w:val="22"/>
          <w:lang w:val="es-ES_tradnl"/>
        </w:rPr>
        <w:t xml:space="preserve"> </w:t>
      </w:r>
      <w:r w:rsidR="003A30A3" w:rsidRPr="00497F19">
        <w:rPr>
          <w:szCs w:val="22"/>
          <w:lang w:val="es-ES_tradnl"/>
        </w:rPr>
        <w:t xml:space="preserve">La contabilidad de devengo implica el reconocimiento de las operaciones y de los acontecimientos en el momento en que tienen lugar, lo que significa que son registrados en las escrituras contables y </w:t>
      </w:r>
      <w:proofErr w:type="gramStart"/>
      <w:r w:rsidR="003A30A3" w:rsidRPr="00497F19">
        <w:rPr>
          <w:szCs w:val="22"/>
          <w:lang w:val="es-ES_tradnl"/>
        </w:rPr>
        <w:t>reflejados</w:t>
      </w:r>
      <w:proofErr w:type="gramEnd"/>
      <w:r w:rsidR="003A30A3" w:rsidRPr="00497F19">
        <w:rPr>
          <w:szCs w:val="22"/>
          <w:lang w:val="es-ES_tradnl"/>
        </w:rPr>
        <w:t xml:space="preserve"> en los estados financieros de los períodos financieros a los que se refieren y no sólo cuando se percibe o se paga dinero efectivo o su equivalente.</w:t>
      </w:r>
    </w:p>
    <w:p w:rsidR="004E3DF9" w:rsidRPr="00497F19" w:rsidRDefault="004E3DF9" w:rsidP="004E3DF9">
      <w:pPr>
        <w:jc w:val="both"/>
        <w:rPr>
          <w:szCs w:val="22"/>
          <w:lang w:val="es-ES_tradnl"/>
        </w:rPr>
      </w:pPr>
    </w:p>
    <w:p w:rsidR="004E3DF9" w:rsidRPr="00497F19" w:rsidRDefault="00BA52B8" w:rsidP="004E3DF9">
      <w:pPr>
        <w:jc w:val="both"/>
        <w:rPr>
          <w:szCs w:val="22"/>
          <w:lang w:val="es-ES_tradnl"/>
        </w:rPr>
      </w:pPr>
      <w:r w:rsidRPr="00497F19">
        <w:rPr>
          <w:szCs w:val="22"/>
          <w:lang w:val="es-ES_tradnl"/>
        </w:rPr>
        <w:t xml:space="preserve">En virtud de las </w:t>
      </w:r>
      <w:r w:rsidR="004E3DF9" w:rsidRPr="00497F19">
        <w:rPr>
          <w:szCs w:val="22"/>
          <w:lang w:val="es-ES_tradnl"/>
        </w:rPr>
        <w:t xml:space="preserve">IPSAS, </w:t>
      </w:r>
      <w:r w:rsidRPr="00497F19">
        <w:rPr>
          <w:szCs w:val="22"/>
          <w:lang w:val="es-ES_tradnl"/>
        </w:rPr>
        <w:t>la OMPI debe reconocer el valor de las prestaciones futuras de los empleados (por ejemplo, las va</w:t>
      </w:r>
      <w:r w:rsidR="007B6B72" w:rsidRPr="00497F19">
        <w:rPr>
          <w:szCs w:val="22"/>
          <w:lang w:val="es-ES_tradnl"/>
        </w:rPr>
        <w:t xml:space="preserve">caciones anuales acumuladas, la prima </w:t>
      </w:r>
      <w:r w:rsidRPr="00497F19">
        <w:rPr>
          <w:szCs w:val="22"/>
          <w:lang w:val="es-ES_tradnl"/>
        </w:rPr>
        <w:t>de repatriación, o el seguro médico tras la separación del servicio</w:t>
      </w:r>
      <w:r w:rsidR="004E3DF9" w:rsidRPr="00497F19">
        <w:rPr>
          <w:szCs w:val="22"/>
          <w:lang w:val="es-ES_tradnl"/>
        </w:rPr>
        <w:t xml:space="preserve">) </w:t>
      </w:r>
      <w:r w:rsidRPr="00497F19">
        <w:rPr>
          <w:szCs w:val="22"/>
          <w:lang w:val="es-ES_tradnl"/>
        </w:rPr>
        <w:t>que han devengado en su favor los miembros del personal de la OMPI pero que no han recibido aún.  Estas obligaciones ahora se registran para aprehender el coste que supone el empleo de personal, mientras que antes de la introducción de las IPSAS esas prestaciones solo se registraban como gasto únicamente en el momento de ser pagadas</w:t>
      </w:r>
      <w:r w:rsidR="004E3DF9" w:rsidRPr="00497F19">
        <w:rPr>
          <w:szCs w:val="22"/>
          <w:lang w:val="es-ES_tradnl"/>
        </w:rPr>
        <w:t>.</w:t>
      </w:r>
    </w:p>
    <w:p w:rsidR="004E3DF9" w:rsidRPr="00497F19" w:rsidRDefault="004E3DF9" w:rsidP="004E3DF9">
      <w:pPr>
        <w:jc w:val="both"/>
        <w:rPr>
          <w:szCs w:val="22"/>
          <w:lang w:val="es-ES_tradnl"/>
        </w:rPr>
      </w:pPr>
    </w:p>
    <w:p w:rsidR="004E3DF9" w:rsidRPr="00497F19" w:rsidRDefault="00BA52B8" w:rsidP="004E3DF9">
      <w:pPr>
        <w:jc w:val="both"/>
        <w:rPr>
          <w:szCs w:val="22"/>
          <w:lang w:val="es-ES_tradnl"/>
        </w:rPr>
      </w:pPr>
      <w:r w:rsidRPr="00497F19">
        <w:rPr>
          <w:szCs w:val="22"/>
          <w:lang w:val="es-ES_tradnl"/>
        </w:rPr>
        <w:t>Las IPSAS exigen que los bienes (terrenos y edificios</w:t>
      </w:r>
      <w:r w:rsidR="004E3DF9" w:rsidRPr="00497F19">
        <w:rPr>
          <w:szCs w:val="22"/>
          <w:lang w:val="es-ES_tradnl"/>
        </w:rPr>
        <w:t xml:space="preserve">), </w:t>
      </w:r>
      <w:r w:rsidRPr="00497F19">
        <w:rPr>
          <w:szCs w:val="22"/>
          <w:lang w:val="es-ES_tradnl"/>
        </w:rPr>
        <w:t xml:space="preserve">el </w:t>
      </w:r>
      <w:r w:rsidR="004E3DF9" w:rsidRPr="00497F19">
        <w:rPr>
          <w:szCs w:val="22"/>
          <w:lang w:val="es-ES_tradnl"/>
        </w:rPr>
        <w:t>equip</w:t>
      </w:r>
      <w:r w:rsidRPr="00497F19">
        <w:rPr>
          <w:szCs w:val="22"/>
          <w:lang w:val="es-ES_tradnl"/>
        </w:rPr>
        <w:t xml:space="preserve">o y determinados </w:t>
      </w:r>
      <w:r w:rsidR="00EE7401" w:rsidRPr="00497F19">
        <w:rPr>
          <w:szCs w:val="22"/>
          <w:lang w:val="es-ES_tradnl"/>
        </w:rPr>
        <w:t>activos intangibles</w:t>
      </w:r>
      <w:r w:rsidR="004E3DF9" w:rsidRPr="00497F19">
        <w:rPr>
          <w:szCs w:val="22"/>
          <w:lang w:val="es-ES_tradnl"/>
        </w:rPr>
        <w:t xml:space="preserve"> (</w:t>
      </w:r>
      <w:r w:rsidR="004E3DF9" w:rsidRPr="00497F19">
        <w:rPr>
          <w:i/>
          <w:szCs w:val="22"/>
          <w:lang w:val="es-ES_tradnl"/>
        </w:rPr>
        <w:t>software</w:t>
      </w:r>
      <w:r w:rsidR="004E3DF9" w:rsidRPr="00497F19">
        <w:rPr>
          <w:szCs w:val="22"/>
          <w:lang w:val="es-ES_tradnl"/>
        </w:rPr>
        <w:t xml:space="preserve">, </w:t>
      </w:r>
      <w:r w:rsidRPr="00497F19">
        <w:rPr>
          <w:szCs w:val="22"/>
          <w:lang w:val="es-ES_tradnl"/>
        </w:rPr>
        <w:t>derechos de superficie</w:t>
      </w:r>
      <w:r w:rsidR="004E3DF9" w:rsidRPr="00497F19">
        <w:rPr>
          <w:szCs w:val="22"/>
          <w:lang w:val="es-ES_tradnl"/>
        </w:rPr>
        <w:t xml:space="preserve">) </w:t>
      </w:r>
      <w:r w:rsidRPr="00497F19">
        <w:rPr>
          <w:szCs w:val="22"/>
          <w:lang w:val="es-ES_tradnl"/>
        </w:rPr>
        <w:t>de la</w:t>
      </w:r>
      <w:r w:rsidR="004E3DF9" w:rsidRPr="00497F19">
        <w:rPr>
          <w:szCs w:val="22"/>
          <w:lang w:val="es-ES_tradnl"/>
        </w:rPr>
        <w:t xml:space="preserve"> Organiza</w:t>
      </w:r>
      <w:r w:rsidRPr="00497F19">
        <w:rPr>
          <w:szCs w:val="22"/>
          <w:lang w:val="es-ES_tradnl"/>
        </w:rPr>
        <w:t>c</w:t>
      </w:r>
      <w:r w:rsidR="004E3DF9" w:rsidRPr="00497F19">
        <w:rPr>
          <w:szCs w:val="22"/>
          <w:lang w:val="es-ES_tradnl"/>
        </w:rPr>
        <w:t>i</w:t>
      </w:r>
      <w:r w:rsidRPr="00497F19">
        <w:rPr>
          <w:szCs w:val="22"/>
          <w:lang w:val="es-ES_tradnl"/>
        </w:rPr>
        <w:t>ó</w:t>
      </w:r>
      <w:r w:rsidR="004E3DF9" w:rsidRPr="00497F19">
        <w:rPr>
          <w:szCs w:val="22"/>
          <w:lang w:val="es-ES_tradnl"/>
        </w:rPr>
        <w:t xml:space="preserve">n </w:t>
      </w:r>
      <w:r w:rsidRPr="00497F19">
        <w:rPr>
          <w:szCs w:val="22"/>
          <w:lang w:val="es-ES_tradnl"/>
        </w:rPr>
        <w:t xml:space="preserve">se capitalicen en los estados financieros y sean depreciados a lo largo de </w:t>
      </w:r>
      <w:r w:rsidR="00BC587C" w:rsidRPr="00497F19">
        <w:rPr>
          <w:szCs w:val="22"/>
          <w:lang w:val="es-ES_tradnl"/>
        </w:rPr>
        <w:t>su vida económica útil</w:t>
      </w:r>
      <w:r w:rsidR="004E3DF9" w:rsidRPr="00497F19">
        <w:rPr>
          <w:szCs w:val="22"/>
          <w:lang w:val="es-ES_tradnl"/>
        </w:rPr>
        <w:t xml:space="preserve">. </w:t>
      </w:r>
    </w:p>
    <w:p w:rsidR="004E3DF9" w:rsidRPr="00497F19" w:rsidRDefault="004E3DF9" w:rsidP="004E3DF9">
      <w:pPr>
        <w:jc w:val="both"/>
        <w:rPr>
          <w:szCs w:val="22"/>
          <w:lang w:val="es-ES_tradnl"/>
        </w:rPr>
      </w:pPr>
    </w:p>
    <w:p w:rsidR="004E3DF9" w:rsidRPr="00497F19" w:rsidRDefault="003A30A3" w:rsidP="004E3DF9">
      <w:pPr>
        <w:jc w:val="both"/>
        <w:rPr>
          <w:szCs w:val="22"/>
          <w:lang w:val="es-ES_tradnl"/>
        </w:rPr>
      </w:pPr>
      <w:r w:rsidRPr="00497F19">
        <w:rPr>
          <w:szCs w:val="22"/>
          <w:lang w:val="es-ES_tradnl"/>
        </w:rPr>
        <w:t xml:space="preserve">La aplicación de las IPSAS afecta también a la forma en que la OMPI puede registrar los ingresos procedentes de sus actividades. </w:t>
      </w:r>
      <w:r w:rsidR="00BC587C" w:rsidRPr="00497F19">
        <w:rPr>
          <w:szCs w:val="22"/>
          <w:lang w:val="es-ES_tradnl"/>
        </w:rPr>
        <w:t xml:space="preserve"> </w:t>
      </w:r>
      <w:r w:rsidRPr="00497F19">
        <w:rPr>
          <w:szCs w:val="22"/>
          <w:lang w:val="es-ES_tradnl"/>
        </w:rPr>
        <w:t xml:space="preserve">En muchos casos, la Organización recauda tasas y cargos por servicios antes de que éstos sean prestados por completo, o antes de que la tasa se acumule (o devengue) de conformidad con los tratados, acuerdos, protocolos y reglamentos administrados por la Organización. </w:t>
      </w:r>
      <w:r w:rsidR="00BC587C" w:rsidRPr="00497F19">
        <w:rPr>
          <w:szCs w:val="22"/>
          <w:lang w:val="es-ES_tradnl"/>
        </w:rPr>
        <w:t xml:space="preserve"> </w:t>
      </w:r>
      <w:r w:rsidRPr="00497F19">
        <w:rPr>
          <w:szCs w:val="22"/>
          <w:lang w:val="es-ES_tradnl"/>
        </w:rPr>
        <w:t xml:space="preserve">En tales casos las IPSAS obligan a diferir los ingresos procedentes de las tasas recaudadas hasta el momento en que puedan reputarse como devengados de conformidad con los reglamentos aplicables a la fuente de </w:t>
      </w:r>
      <w:r w:rsidRPr="00497F19">
        <w:rPr>
          <w:szCs w:val="22"/>
          <w:lang w:val="es-ES_tradnl"/>
        </w:rPr>
        <w:lastRenderedPageBreak/>
        <w:t xml:space="preserve">ingresos considerada. </w:t>
      </w:r>
      <w:r w:rsidR="00BC587C" w:rsidRPr="00497F19">
        <w:rPr>
          <w:szCs w:val="22"/>
          <w:lang w:val="es-ES_tradnl"/>
        </w:rPr>
        <w:t xml:space="preserve"> </w:t>
      </w:r>
      <w:r w:rsidRPr="00497F19">
        <w:rPr>
          <w:szCs w:val="22"/>
          <w:lang w:val="es-ES_tradnl"/>
        </w:rPr>
        <w:t>Esto conduce a reconocer importantes obligaciones por ingresos no devengados en los estados financieros de la OMPI.</w:t>
      </w:r>
    </w:p>
    <w:p w:rsidR="004E3DF9" w:rsidRPr="00497F19" w:rsidRDefault="004E3DF9" w:rsidP="004E3DF9">
      <w:pPr>
        <w:jc w:val="both"/>
        <w:rPr>
          <w:szCs w:val="22"/>
          <w:lang w:val="es-ES_tradnl"/>
        </w:rPr>
      </w:pPr>
    </w:p>
    <w:p w:rsidR="004E3DF9" w:rsidRPr="00497F19" w:rsidRDefault="00BC587C" w:rsidP="004E3DF9">
      <w:pPr>
        <w:autoSpaceDE w:val="0"/>
        <w:autoSpaceDN w:val="0"/>
        <w:adjustRightInd w:val="0"/>
        <w:jc w:val="both"/>
        <w:rPr>
          <w:szCs w:val="22"/>
          <w:lang w:val="es-ES_tradnl"/>
        </w:rPr>
      </w:pPr>
      <w:r w:rsidRPr="00497F19">
        <w:rPr>
          <w:szCs w:val="22"/>
          <w:lang w:val="es-ES_tradnl"/>
        </w:rPr>
        <w:t>En la actualidad, la aplicación de las IPSAS no incide sobre la elaboración del presupuesto por programas de la OMPI, que se presenta aún según el criterio del devengo modificado</w:t>
      </w:r>
      <w:r w:rsidR="004E3DF9" w:rsidRPr="00497F19">
        <w:rPr>
          <w:szCs w:val="22"/>
          <w:lang w:val="es-ES_tradnl"/>
        </w:rPr>
        <w:t xml:space="preserve">. </w:t>
      </w:r>
      <w:r w:rsidR="003A30A3" w:rsidRPr="00497F19">
        <w:rPr>
          <w:szCs w:val="22"/>
          <w:lang w:val="es-ES_tradnl"/>
        </w:rPr>
        <w:t xml:space="preserve"> Comoquiera que esta base contable es distinta de la base contable integral de devengo, las IPSAS exigen que se efectúe una conciliación entre el presupuesto y los estados financieros</w:t>
      </w:r>
      <w:r w:rsidR="004E3DF9" w:rsidRPr="00497F19">
        <w:rPr>
          <w:szCs w:val="22"/>
          <w:lang w:val="es-ES_tradnl"/>
        </w:rPr>
        <w:t>.</w:t>
      </w:r>
    </w:p>
    <w:p w:rsidR="004E3DF9" w:rsidRPr="00497F19" w:rsidRDefault="004E3DF9" w:rsidP="004E3DF9">
      <w:pPr>
        <w:autoSpaceDE w:val="0"/>
        <w:autoSpaceDN w:val="0"/>
        <w:adjustRightInd w:val="0"/>
        <w:jc w:val="both"/>
        <w:rPr>
          <w:szCs w:val="22"/>
          <w:lang w:val="es-ES_tradnl"/>
        </w:rPr>
      </w:pPr>
    </w:p>
    <w:p w:rsidR="004E3DF9" w:rsidRPr="00497F19" w:rsidRDefault="003A30A3" w:rsidP="004E3DF9">
      <w:pPr>
        <w:rPr>
          <w:b/>
          <w:lang w:val="es-ES_tradnl"/>
        </w:rPr>
      </w:pPr>
      <w:r w:rsidRPr="00497F19">
        <w:rPr>
          <w:b/>
          <w:lang w:val="es-ES_tradnl"/>
        </w:rPr>
        <w:t>Presentación de la información financiera con arreglo a las IPSAS</w:t>
      </w:r>
    </w:p>
    <w:p w:rsidR="004E3DF9" w:rsidRPr="00497F19" w:rsidRDefault="004E3DF9" w:rsidP="004E3DF9">
      <w:pPr>
        <w:rPr>
          <w:lang w:val="es-ES_tradnl"/>
        </w:rPr>
      </w:pPr>
    </w:p>
    <w:p w:rsidR="004E3DF9" w:rsidRPr="00497F19" w:rsidRDefault="00BC587C" w:rsidP="004E3DF9">
      <w:pPr>
        <w:autoSpaceDE w:val="0"/>
        <w:autoSpaceDN w:val="0"/>
        <w:adjustRightInd w:val="0"/>
        <w:jc w:val="both"/>
        <w:rPr>
          <w:szCs w:val="22"/>
          <w:lang w:val="es-ES_tradnl"/>
        </w:rPr>
      </w:pPr>
      <w:r w:rsidRPr="00497F19">
        <w:rPr>
          <w:szCs w:val="22"/>
          <w:lang w:val="es-ES_tradnl"/>
        </w:rPr>
        <w:t>Dado que las IPSAS exigen la presentación de estados financieros anuales, la OMPI elabora actualmente un juego de estados financieros separados para cada año civil del bienio</w:t>
      </w:r>
      <w:r w:rsidR="004E3DF9" w:rsidRPr="00497F19">
        <w:rPr>
          <w:szCs w:val="22"/>
          <w:lang w:val="es-ES_tradnl"/>
        </w:rPr>
        <w:t>.</w:t>
      </w:r>
      <w:r w:rsidRPr="00497F19">
        <w:rPr>
          <w:szCs w:val="22"/>
          <w:lang w:val="es-ES_tradnl"/>
        </w:rPr>
        <w:t xml:space="preserve"> </w:t>
      </w:r>
      <w:r w:rsidR="004E3DF9" w:rsidRPr="00497F19">
        <w:rPr>
          <w:szCs w:val="22"/>
          <w:lang w:val="es-ES_tradnl"/>
        </w:rPr>
        <w:t xml:space="preserve"> </w:t>
      </w:r>
      <w:r w:rsidRPr="00497F19">
        <w:rPr>
          <w:szCs w:val="22"/>
          <w:lang w:val="es-ES_tradnl"/>
        </w:rPr>
        <w:t>Dichos estados financieros se presentan separadamente del Informe de gestión financiera, y para acceder a la información financiera completa de la Organización, preparada con arreglo a las IPSAS, es preciso consultar los estados financieros anuales de la OMPI</w:t>
      </w:r>
      <w:r w:rsidR="004E3DF9" w:rsidRPr="00497F19">
        <w:rPr>
          <w:szCs w:val="22"/>
          <w:lang w:val="es-ES_tradnl"/>
        </w:rPr>
        <w:t>.</w:t>
      </w:r>
    </w:p>
    <w:p w:rsidR="004E3DF9" w:rsidRPr="00497F19" w:rsidRDefault="004E3DF9" w:rsidP="004E3DF9">
      <w:pPr>
        <w:autoSpaceDE w:val="0"/>
        <w:autoSpaceDN w:val="0"/>
        <w:adjustRightInd w:val="0"/>
        <w:jc w:val="both"/>
        <w:rPr>
          <w:szCs w:val="22"/>
          <w:lang w:val="es-ES_tradnl"/>
        </w:rPr>
      </w:pPr>
    </w:p>
    <w:p w:rsidR="004E3DF9" w:rsidRPr="00497F19" w:rsidRDefault="003A30A3" w:rsidP="004E3DF9">
      <w:pPr>
        <w:autoSpaceDE w:val="0"/>
        <w:autoSpaceDN w:val="0"/>
        <w:adjustRightInd w:val="0"/>
        <w:jc w:val="both"/>
        <w:rPr>
          <w:szCs w:val="22"/>
          <w:lang w:val="es-ES_tradnl"/>
        </w:rPr>
      </w:pPr>
      <w:r w:rsidRPr="00497F19">
        <w:rPr>
          <w:szCs w:val="22"/>
          <w:lang w:val="es-ES_tradnl"/>
        </w:rPr>
        <w:t>De conformidad con las IPSAS, los estados financieros incluyen los siguientes elementos:</w:t>
      </w:r>
    </w:p>
    <w:p w:rsidR="004E3DF9" w:rsidRPr="00497F19" w:rsidRDefault="004E3DF9" w:rsidP="004E3DF9">
      <w:pPr>
        <w:autoSpaceDE w:val="0"/>
        <w:autoSpaceDN w:val="0"/>
        <w:adjustRightInd w:val="0"/>
        <w:jc w:val="both"/>
        <w:rPr>
          <w:szCs w:val="22"/>
          <w:lang w:val="es-ES_tradnl"/>
        </w:rPr>
      </w:pPr>
    </w:p>
    <w:p w:rsidR="003A30A3" w:rsidRPr="00497F19" w:rsidRDefault="003A30A3" w:rsidP="00BC587C">
      <w:pPr>
        <w:numPr>
          <w:ilvl w:val="0"/>
          <w:numId w:val="10"/>
        </w:numPr>
        <w:tabs>
          <w:tab w:val="clear" w:pos="1080"/>
          <w:tab w:val="num" w:pos="1985"/>
        </w:tabs>
        <w:spacing w:after="200" w:line="276" w:lineRule="auto"/>
        <w:ind w:left="720"/>
        <w:rPr>
          <w:szCs w:val="22"/>
          <w:lang w:val="es-ES_tradnl"/>
        </w:rPr>
      </w:pPr>
      <w:r w:rsidRPr="00497F19">
        <w:rPr>
          <w:szCs w:val="22"/>
          <w:lang w:val="es-ES_tradnl"/>
        </w:rPr>
        <w:t xml:space="preserve">Estado I </w:t>
      </w:r>
      <w:r w:rsidR="00BC587C" w:rsidRPr="00497F19">
        <w:rPr>
          <w:szCs w:val="22"/>
          <w:lang w:val="es-ES_tradnl"/>
        </w:rPr>
        <w:tab/>
      </w:r>
      <w:r w:rsidRPr="00497F19">
        <w:rPr>
          <w:szCs w:val="22"/>
          <w:lang w:val="es-ES_tradnl"/>
        </w:rPr>
        <w:t>- Estado de la situación financiera</w:t>
      </w:r>
    </w:p>
    <w:p w:rsidR="003A30A3" w:rsidRPr="00497F19" w:rsidRDefault="003A30A3" w:rsidP="00BC587C">
      <w:pPr>
        <w:numPr>
          <w:ilvl w:val="0"/>
          <w:numId w:val="10"/>
        </w:numPr>
        <w:tabs>
          <w:tab w:val="num" w:pos="990"/>
          <w:tab w:val="num" w:pos="1985"/>
        </w:tabs>
        <w:spacing w:after="200" w:line="276" w:lineRule="auto"/>
        <w:ind w:left="720"/>
        <w:rPr>
          <w:szCs w:val="22"/>
          <w:lang w:val="es-ES_tradnl"/>
        </w:rPr>
      </w:pPr>
      <w:r w:rsidRPr="00497F19">
        <w:rPr>
          <w:szCs w:val="22"/>
          <w:lang w:val="es-ES_tradnl"/>
        </w:rPr>
        <w:t xml:space="preserve">Estado II </w:t>
      </w:r>
      <w:r w:rsidR="00BC587C" w:rsidRPr="00497F19">
        <w:rPr>
          <w:szCs w:val="22"/>
          <w:lang w:val="es-ES_tradnl"/>
        </w:rPr>
        <w:tab/>
      </w:r>
      <w:r w:rsidRPr="00497F19">
        <w:rPr>
          <w:szCs w:val="22"/>
          <w:lang w:val="es-ES_tradnl"/>
        </w:rPr>
        <w:t>- Estado de rendimiento financiero</w:t>
      </w:r>
    </w:p>
    <w:p w:rsidR="003A30A3" w:rsidRPr="00497F19" w:rsidRDefault="003A30A3" w:rsidP="00BC587C">
      <w:pPr>
        <w:numPr>
          <w:ilvl w:val="0"/>
          <w:numId w:val="10"/>
        </w:numPr>
        <w:tabs>
          <w:tab w:val="num" w:pos="990"/>
          <w:tab w:val="num" w:pos="1985"/>
        </w:tabs>
        <w:spacing w:after="200" w:line="276" w:lineRule="auto"/>
        <w:ind w:left="720"/>
        <w:rPr>
          <w:szCs w:val="22"/>
          <w:lang w:val="es-ES_tradnl"/>
        </w:rPr>
      </w:pPr>
      <w:r w:rsidRPr="00497F19">
        <w:rPr>
          <w:szCs w:val="22"/>
          <w:lang w:val="es-ES_tradnl"/>
        </w:rPr>
        <w:t xml:space="preserve">Estado III </w:t>
      </w:r>
      <w:r w:rsidR="00BC587C" w:rsidRPr="00497F19">
        <w:rPr>
          <w:szCs w:val="22"/>
          <w:lang w:val="es-ES_tradnl"/>
        </w:rPr>
        <w:tab/>
      </w:r>
      <w:r w:rsidRPr="00497F19">
        <w:rPr>
          <w:szCs w:val="22"/>
          <w:lang w:val="es-ES_tradnl"/>
        </w:rPr>
        <w:t>- Estado de cambios en los activos netos</w:t>
      </w:r>
    </w:p>
    <w:p w:rsidR="003A30A3" w:rsidRPr="00497F19" w:rsidRDefault="003A30A3" w:rsidP="00BC587C">
      <w:pPr>
        <w:numPr>
          <w:ilvl w:val="0"/>
          <w:numId w:val="10"/>
        </w:numPr>
        <w:tabs>
          <w:tab w:val="num" w:pos="990"/>
          <w:tab w:val="num" w:pos="1985"/>
        </w:tabs>
        <w:spacing w:after="200" w:line="276" w:lineRule="auto"/>
        <w:ind w:left="720"/>
        <w:rPr>
          <w:szCs w:val="22"/>
          <w:lang w:val="es-ES_tradnl"/>
        </w:rPr>
      </w:pPr>
      <w:r w:rsidRPr="00497F19">
        <w:rPr>
          <w:szCs w:val="22"/>
          <w:lang w:val="es-ES_tradnl"/>
        </w:rPr>
        <w:t xml:space="preserve">Estado IV </w:t>
      </w:r>
      <w:r w:rsidR="00BC587C" w:rsidRPr="00497F19">
        <w:rPr>
          <w:szCs w:val="22"/>
          <w:lang w:val="es-ES_tradnl"/>
        </w:rPr>
        <w:tab/>
      </w:r>
      <w:r w:rsidRPr="00497F19">
        <w:rPr>
          <w:szCs w:val="22"/>
          <w:lang w:val="es-ES_tradnl"/>
        </w:rPr>
        <w:t>- Estado de flujos de efectivo</w:t>
      </w:r>
    </w:p>
    <w:p w:rsidR="003A30A3" w:rsidRPr="00497F19" w:rsidRDefault="003A30A3" w:rsidP="00BC587C">
      <w:pPr>
        <w:numPr>
          <w:ilvl w:val="0"/>
          <w:numId w:val="10"/>
        </w:numPr>
        <w:tabs>
          <w:tab w:val="num" w:pos="990"/>
          <w:tab w:val="num" w:pos="1985"/>
        </w:tabs>
        <w:spacing w:after="200" w:line="276" w:lineRule="auto"/>
        <w:ind w:left="720"/>
        <w:rPr>
          <w:szCs w:val="22"/>
          <w:lang w:val="es-ES_tradnl"/>
        </w:rPr>
      </w:pPr>
      <w:r w:rsidRPr="00497F19">
        <w:rPr>
          <w:szCs w:val="22"/>
          <w:lang w:val="es-ES_tradnl"/>
        </w:rPr>
        <w:t xml:space="preserve">Estado V </w:t>
      </w:r>
      <w:r w:rsidR="00BC587C" w:rsidRPr="00497F19">
        <w:rPr>
          <w:szCs w:val="22"/>
          <w:lang w:val="es-ES_tradnl"/>
        </w:rPr>
        <w:tab/>
      </w:r>
      <w:r w:rsidRPr="00497F19">
        <w:rPr>
          <w:szCs w:val="22"/>
          <w:lang w:val="es-ES_tradnl"/>
        </w:rPr>
        <w:t>- Estado comparativo de importes presupuestados y reales</w:t>
      </w:r>
    </w:p>
    <w:p w:rsidR="004E3DF9" w:rsidRPr="00497F19" w:rsidRDefault="003A30A3" w:rsidP="003A30A3">
      <w:pPr>
        <w:numPr>
          <w:ilvl w:val="0"/>
          <w:numId w:val="10"/>
        </w:numPr>
        <w:tabs>
          <w:tab w:val="num" w:pos="990"/>
        </w:tabs>
        <w:spacing w:after="200" w:line="276" w:lineRule="auto"/>
        <w:ind w:left="720"/>
        <w:rPr>
          <w:szCs w:val="22"/>
          <w:lang w:val="es-ES_tradnl"/>
        </w:rPr>
      </w:pPr>
      <w:r w:rsidRPr="00497F19">
        <w:rPr>
          <w:szCs w:val="22"/>
          <w:lang w:val="es-ES_tradnl"/>
        </w:rPr>
        <w:t>Notas relativas a los estados financieros</w:t>
      </w:r>
    </w:p>
    <w:p w:rsidR="004E3DF9" w:rsidRPr="00497F19" w:rsidRDefault="004E3DF9" w:rsidP="004E3DF9">
      <w:pPr>
        <w:autoSpaceDE w:val="0"/>
        <w:autoSpaceDN w:val="0"/>
        <w:adjustRightInd w:val="0"/>
        <w:jc w:val="both"/>
        <w:rPr>
          <w:szCs w:val="22"/>
          <w:lang w:val="es-ES_tradnl"/>
        </w:rPr>
      </w:pPr>
    </w:p>
    <w:p w:rsidR="004E3DF9" w:rsidRPr="00497F19" w:rsidRDefault="00BC587C" w:rsidP="004E3DF9">
      <w:pPr>
        <w:autoSpaceDE w:val="0"/>
        <w:autoSpaceDN w:val="0"/>
        <w:adjustRightInd w:val="0"/>
        <w:jc w:val="both"/>
        <w:rPr>
          <w:szCs w:val="22"/>
          <w:lang w:val="es-ES_tradnl"/>
        </w:rPr>
      </w:pPr>
      <w:r w:rsidRPr="00497F19">
        <w:rPr>
          <w:szCs w:val="22"/>
          <w:lang w:val="es-ES_tradnl"/>
        </w:rPr>
        <w:t>En el Informe de gestión financiera se presentan los estad</w:t>
      </w:r>
      <w:r w:rsidR="00FE18BB">
        <w:rPr>
          <w:szCs w:val="22"/>
          <w:lang w:val="es-ES_tradnl"/>
        </w:rPr>
        <w:t>os I - V con respecto al bienio </w:t>
      </w:r>
      <w:r w:rsidR="004E3DF9" w:rsidRPr="00497F19">
        <w:rPr>
          <w:szCs w:val="22"/>
          <w:lang w:val="es-ES_tradnl"/>
        </w:rPr>
        <w:t xml:space="preserve">2012/13. </w:t>
      </w:r>
      <w:r w:rsidRPr="00497F19">
        <w:rPr>
          <w:szCs w:val="22"/>
          <w:lang w:val="es-ES_tradnl"/>
        </w:rPr>
        <w:t xml:space="preserve"> Se proporciona la información financiera necesaria para la correcta comprensión de las diferencias entre el resultado de la Organización desde el punto de vista presupuestario y el resultado de la Organización según los estados financieros elaborados con arreglo a las IPSAS</w:t>
      </w:r>
      <w:r w:rsidR="004E3DF9" w:rsidRPr="00497F19">
        <w:rPr>
          <w:szCs w:val="22"/>
          <w:lang w:val="es-ES_tradnl"/>
        </w:rPr>
        <w:t xml:space="preserve">. </w:t>
      </w:r>
      <w:r w:rsidR="003A30A3" w:rsidRPr="00497F19">
        <w:rPr>
          <w:szCs w:val="22"/>
          <w:lang w:val="es-ES_tradnl"/>
        </w:rPr>
        <w:t>Otros extractos de los estados financieros anuales facilitan asimismo ulteriores detalles en torno a los activos y pasivos de la Organización.</w:t>
      </w:r>
    </w:p>
    <w:p w:rsidR="004E3DF9" w:rsidRPr="00497F19" w:rsidRDefault="004E3DF9" w:rsidP="004E3DF9">
      <w:pPr>
        <w:rPr>
          <w:lang w:val="es-ES_tradnl"/>
        </w:rPr>
      </w:pPr>
    </w:p>
    <w:p w:rsidR="004E3DF9" w:rsidRPr="00497F19" w:rsidRDefault="00D02501" w:rsidP="004E3DF9">
      <w:pPr>
        <w:rPr>
          <w:b/>
          <w:lang w:val="es-ES_tradnl"/>
        </w:rPr>
      </w:pPr>
      <w:r w:rsidRPr="00497F19">
        <w:rPr>
          <w:b/>
          <w:lang w:val="es-ES_tradnl"/>
        </w:rPr>
        <w:t xml:space="preserve">Cambio en la política contable </w:t>
      </w:r>
    </w:p>
    <w:p w:rsidR="004E3DF9" w:rsidRPr="00497F19" w:rsidRDefault="004E3DF9" w:rsidP="004E3DF9">
      <w:pPr>
        <w:jc w:val="center"/>
        <w:rPr>
          <w:b/>
          <w:szCs w:val="22"/>
          <w:lang w:val="es-ES_tradnl"/>
        </w:rPr>
      </w:pPr>
    </w:p>
    <w:p w:rsidR="00D02501" w:rsidRPr="00497F19" w:rsidRDefault="00D02501" w:rsidP="004E3DF9">
      <w:pPr>
        <w:jc w:val="both"/>
        <w:rPr>
          <w:szCs w:val="22"/>
          <w:lang w:val="es-ES_tradnl"/>
        </w:rPr>
      </w:pPr>
      <w:r w:rsidRPr="00497F19">
        <w:rPr>
          <w:szCs w:val="22"/>
          <w:lang w:val="es-ES_tradnl"/>
        </w:rPr>
        <w:t>E</w:t>
      </w:r>
      <w:r w:rsidR="004E3DF9" w:rsidRPr="00497F19">
        <w:rPr>
          <w:szCs w:val="22"/>
          <w:lang w:val="es-ES_tradnl"/>
        </w:rPr>
        <w:t xml:space="preserve">n 2013, </w:t>
      </w:r>
      <w:r w:rsidRPr="00497F19">
        <w:rPr>
          <w:szCs w:val="22"/>
          <w:lang w:val="es-ES_tradnl"/>
        </w:rPr>
        <w:t>se modificó la política contable relativa al reconocimiento de ingresos procedentes de las solicitudes internacionales de patente. A raíz de los cambios señalados en las prácticas de pago, se desarrolló un nuevo modelo para calcular los saldos de deudores y los ingresos diferidos relativos a esa actividad.  El nuevo modelo incorpora los datos disponibles por cada solicitud y aplica los correspondientes tipos de cambio de divisas extranjeras.  Asimismo, difiere los ingresos procedentes de tasas por páginas adicionales hasta la publicación de todos los formatos de solicitud, e incorpora todas las reducciones de tasas, incluidas las reducciones aplicables a los países en desarrollo.  En consecuencia, e</w:t>
      </w:r>
      <w:r w:rsidR="009422CC" w:rsidRPr="00497F19">
        <w:rPr>
          <w:szCs w:val="22"/>
          <w:lang w:val="es-ES_tradnl"/>
        </w:rPr>
        <w:t>l nuevo modelo ofrece</w:t>
      </w:r>
      <w:r w:rsidRPr="00497F19">
        <w:rPr>
          <w:szCs w:val="22"/>
          <w:lang w:val="es-ES_tradnl"/>
        </w:rPr>
        <w:t xml:space="preserve"> cálculos más fiables de los saldos de deudores e ingresos diferidos.  El efecto de este cambio en la política contable se reconoció retrospectivamente, al ser necesario reexpresar las cifras comparativas de 2011 y 2012 que se presentan en los cuadros siguientes.</w:t>
      </w:r>
    </w:p>
    <w:p w:rsidR="00D02501" w:rsidRPr="00497F19" w:rsidRDefault="00D02501" w:rsidP="004E3DF9">
      <w:pPr>
        <w:jc w:val="both"/>
        <w:rPr>
          <w:szCs w:val="22"/>
          <w:lang w:val="es-ES_tradnl"/>
        </w:rPr>
      </w:pPr>
    </w:p>
    <w:p w:rsidR="004E3DF9" w:rsidRPr="00497F19" w:rsidRDefault="00D02501" w:rsidP="00E84CC9">
      <w:pPr>
        <w:jc w:val="both"/>
        <w:rPr>
          <w:szCs w:val="22"/>
          <w:lang w:val="es-ES_tradnl"/>
        </w:rPr>
      </w:pPr>
      <w:r w:rsidRPr="00497F19">
        <w:rPr>
          <w:szCs w:val="22"/>
          <w:lang w:val="es-ES_tradnl"/>
        </w:rPr>
        <w:t xml:space="preserve">Tras la reexpresión, </w:t>
      </w:r>
      <w:r w:rsidR="00E84CC9" w:rsidRPr="00497F19">
        <w:rPr>
          <w:szCs w:val="22"/>
          <w:lang w:val="es-ES_tradnl"/>
        </w:rPr>
        <w:t xml:space="preserve">aumentó </w:t>
      </w:r>
      <w:r w:rsidRPr="00497F19">
        <w:rPr>
          <w:szCs w:val="22"/>
          <w:lang w:val="es-ES_tradnl"/>
        </w:rPr>
        <w:t>el excedente de 2012</w:t>
      </w:r>
      <w:r w:rsidR="00E84CC9" w:rsidRPr="00497F19">
        <w:rPr>
          <w:szCs w:val="22"/>
          <w:lang w:val="es-ES_tradnl"/>
        </w:rPr>
        <w:t xml:space="preserve">, que pasó de 15,7 millones de francos suizos a </w:t>
      </w:r>
      <w:r w:rsidR="004E3DF9" w:rsidRPr="00497F19">
        <w:rPr>
          <w:szCs w:val="22"/>
          <w:lang w:val="es-ES_tradnl"/>
        </w:rPr>
        <w:t>19</w:t>
      </w:r>
      <w:r w:rsidR="00E84CC9" w:rsidRPr="00497F19">
        <w:rPr>
          <w:szCs w:val="22"/>
          <w:lang w:val="es-ES_tradnl"/>
        </w:rPr>
        <w:t>,</w:t>
      </w:r>
      <w:r w:rsidR="004E3DF9" w:rsidRPr="00497F19">
        <w:rPr>
          <w:szCs w:val="22"/>
          <w:lang w:val="es-ES_tradnl"/>
        </w:rPr>
        <w:t>5 </w:t>
      </w:r>
      <w:r w:rsidR="00951FB6" w:rsidRPr="00497F19">
        <w:rPr>
          <w:szCs w:val="22"/>
          <w:lang w:val="es-ES_tradnl"/>
        </w:rPr>
        <w:t>millones de francos suizos</w:t>
      </w:r>
      <w:r w:rsidR="004E3DF9" w:rsidRPr="00497F19">
        <w:rPr>
          <w:szCs w:val="22"/>
          <w:lang w:val="es-ES_tradnl"/>
        </w:rPr>
        <w:t xml:space="preserve">. </w:t>
      </w:r>
      <w:r w:rsidR="00E84CC9" w:rsidRPr="00497F19">
        <w:rPr>
          <w:szCs w:val="22"/>
          <w:lang w:val="es-ES_tradnl"/>
        </w:rPr>
        <w:t xml:space="preserve"> Los activos netos reexpresados al 31 de diciembre de 2011 ascendían a</w:t>
      </w:r>
      <w:r w:rsidR="004E3DF9" w:rsidRPr="00497F19">
        <w:rPr>
          <w:szCs w:val="22"/>
          <w:lang w:val="es-ES_tradnl"/>
        </w:rPr>
        <w:t xml:space="preserve"> 174</w:t>
      </w:r>
      <w:r w:rsidR="00E84CC9" w:rsidRPr="00497F19">
        <w:rPr>
          <w:szCs w:val="22"/>
          <w:lang w:val="es-ES_tradnl"/>
        </w:rPr>
        <w:t>,</w:t>
      </w:r>
      <w:r w:rsidR="004E3DF9" w:rsidRPr="00497F19">
        <w:rPr>
          <w:szCs w:val="22"/>
          <w:lang w:val="es-ES_tradnl"/>
        </w:rPr>
        <w:t xml:space="preserve">2 </w:t>
      </w:r>
      <w:r w:rsidR="00951FB6" w:rsidRPr="00497F19">
        <w:rPr>
          <w:szCs w:val="22"/>
          <w:lang w:val="es-ES_tradnl"/>
        </w:rPr>
        <w:t>millones de francos suizos</w:t>
      </w:r>
      <w:r w:rsidR="004E3DF9" w:rsidRPr="00497F19">
        <w:rPr>
          <w:szCs w:val="22"/>
          <w:lang w:val="es-ES_tradnl"/>
        </w:rPr>
        <w:t xml:space="preserve">, </w:t>
      </w:r>
      <w:r w:rsidR="00E84CC9" w:rsidRPr="00497F19">
        <w:rPr>
          <w:szCs w:val="22"/>
          <w:lang w:val="es-ES_tradnl"/>
        </w:rPr>
        <w:t xml:space="preserve">en comparación con la cifra presentada previamente de </w:t>
      </w:r>
      <w:r w:rsidR="004E3DF9" w:rsidRPr="00497F19">
        <w:rPr>
          <w:szCs w:val="22"/>
          <w:lang w:val="es-ES_tradnl"/>
        </w:rPr>
        <w:t>162</w:t>
      </w:r>
      <w:r w:rsidR="00E84CC9" w:rsidRPr="00497F19">
        <w:rPr>
          <w:szCs w:val="22"/>
          <w:lang w:val="es-ES_tradnl"/>
        </w:rPr>
        <w:t>,</w:t>
      </w:r>
      <w:r w:rsidR="004E3DF9" w:rsidRPr="00497F19">
        <w:rPr>
          <w:szCs w:val="22"/>
          <w:lang w:val="es-ES_tradnl"/>
        </w:rPr>
        <w:t xml:space="preserve">5 </w:t>
      </w:r>
      <w:r w:rsidR="00951FB6" w:rsidRPr="00497F19">
        <w:rPr>
          <w:szCs w:val="22"/>
          <w:lang w:val="es-ES_tradnl"/>
        </w:rPr>
        <w:t>millones de francos suizos</w:t>
      </w:r>
      <w:r w:rsidR="00E84CC9" w:rsidRPr="00497F19">
        <w:rPr>
          <w:szCs w:val="22"/>
          <w:lang w:val="es-ES_tradnl"/>
        </w:rPr>
        <w:t xml:space="preserve">.  Los activos netos </w:t>
      </w:r>
      <w:r w:rsidR="00E84CC9" w:rsidRPr="00497F19">
        <w:rPr>
          <w:szCs w:val="22"/>
          <w:lang w:val="es-ES_tradnl"/>
        </w:rPr>
        <w:lastRenderedPageBreak/>
        <w:t xml:space="preserve">reexpresados al 31 de diciembre de </w:t>
      </w:r>
      <w:r w:rsidR="004E3DF9" w:rsidRPr="00497F19">
        <w:rPr>
          <w:szCs w:val="22"/>
          <w:lang w:val="es-ES_tradnl"/>
        </w:rPr>
        <w:t xml:space="preserve">2012 </w:t>
      </w:r>
      <w:r w:rsidR="00E84CC9" w:rsidRPr="00497F19">
        <w:rPr>
          <w:szCs w:val="22"/>
          <w:lang w:val="es-ES_tradnl"/>
        </w:rPr>
        <w:t xml:space="preserve">ascendían a </w:t>
      </w:r>
      <w:r w:rsidR="004E3DF9" w:rsidRPr="00497F19">
        <w:rPr>
          <w:szCs w:val="22"/>
          <w:lang w:val="es-ES_tradnl"/>
        </w:rPr>
        <w:t>193</w:t>
      </w:r>
      <w:r w:rsidR="00E84CC9" w:rsidRPr="00497F19">
        <w:rPr>
          <w:szCs w:val="22"/>
          <w:lang w:val="es-ES_tradnl"/>
        </w:rPr>
        <w:t>,</w:t>
      </w:r>
      <w:r w:rsidR="004E3DF9" w:rsidRPr="00497F19">
        <w:rPr>
          <w:szCs w:val="22"/>
          <w:lang w:val="es-ES_tradnl"/>
        </w:rPr>
        <w:t xml:space="preserve">7 </w:t>
      </w:r>
      <w:r w:rsidR="00951FB6" w:rsidRPr="00497F19">
        <w:rPr>
          <w:szCs w:val="22"/>
          <w:lang w:val="es-ES_tradnl"/>
        </w:rPr>
        <w:t>millones de francos suizos</w:t>
      </w:r>
      <w:r w:rsidR="004E3DF9" w:rsidRPr="00497F19">
        <w:rPr>
          <w:szCs w:val="22"/>
          <w:lang w:val="es-ES_tradnl"/>
        </w:rPr>
        <w:t xml:space="preserve">, </w:t>
      </w:r>
      <w:r w:rsidR="00E84CC9" w:rsidRPr="00497F19">
        <w:rPr>
          <w:szCs w:val="22"/>
          <w:lang w:val="es-ES_tradnl"/>
        </w:rPr>
        <w:t xml:space="preserve">en comparación con la cifra presentada previamente de </w:t>
      </w:r>
      <w:r w:rsidR="004E3DF9" w:rsidRPr="00497F19">
        <w:rPr>
          <w:szCs w:val="22"/>
          <w:lang w:val="es-ES_tradnl"/>
        </w:rPr>
        <w:t>178</w:t>
      </w:r>
      <w:r w:rsidR="00E84CC9" w:rsidRPr="00497F19">
        <w:rPr>
          <w:szCs w:val="22"/>
          <w:lang w:val="es-ES_tradnl"/>
        </w:rPr>
        <w:t>,</w:t>
      </w:r>
      <w:r w:rsidR="004E3DF9" w:rsidRPr="00497F19">
        <w:rPr>
          <w:szCs w:val="22"/>
          <w:lang w:val="es-ES_tradnl"/>
        </w:rPr>
        <w:t xml:space="preserve">2 </w:t>
      </w:r>
      <w:r w:rsidR="00951FB6" w:rsidRPr="00497F19">
        <w:rPr>
          <w:szCs w:val="22"/>
          <w:lang w:val="es-ES_tradnl"/>
        </w:rPr>
        <w:t>millones de francos suizos</w:t>
      </w:r>
      <w:r w:rsidR="004E3DF9" w:rsidRPr="00497F19">
        <w:rPr>
          <w:szCs w:val="22"/>
          <w:lang w:val="es-ES_tradnl"/>
        </w:rPr>
        <w:t>:</w:t>
      </w:r>
    </w:p>
    <w:p w:rsidR="004E3DF9" w:rsidRPr="00497F19" w:rsidRDefault="004E3DF9" w:rsidP="004E3DF9">
      <w:pPr>
        <w:jc w:val="center"/>
        <w:rPr>
          <w:b/>
          <w:bCs/>
          <w:caps/>
          <w:lang w:val="es-ES_tradnl"/>
        </w:rPr>
      </w:pPr>
    </w:p>
    <w:p w:rsidR="004E3DF9" w:rsidRPr="00497F19" w:rsidRDefault="003F7BE3" w:rsidP="004E3DF9">
      <w:pPr>
        <w:jc w:val="center"/>
        <w:rPr>
          <w:b/>
          <w:bCs/>
          <w:caps/>
          <w:lang w:val="es-ES_tradnl"/>
        </w:rPr>
      </w:pPr>
      <w:r w:rsidRPr="00497F19">
        <w:rPr>
          <w:noProof/>
          <w:lang w:val="en-US" w:eastAsia="en-US"/>
        </w:rPr>
        <w:drawing>
          <wp:inline distT="0" distB="0" distL="0" distR="0" wp14:anchorId="35670CA7" wp14:editId="4D5D214F">
            <wp:extent cx="5092700" cy="1445895"/>
            <wp:effectExtent l="0" t="0" r="0" b="190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092700" cy="1445895"/>
                    </a:xfrm>
                    <a:prstGeom prst="rect">
                      <a:avLst/>
                    </a:prstGeom>
                    <a:noFill/>
                    <a:ln>
                      <a:noFill/>
                    </a:ln>
                  </pic:spPr>
                </pic:pic>
              </a:graphicData>
            </a:graphic>
          </wp:inline>
        </w:drawing>
      </w:r>
    </w:p>
    <w:p w:rsidR="00AE341B" w:rsidRDefault="00AE341B" w:rsidP="004E3DF9">
      <w:pPr>
        <w:spacing w:after="200" w:line="276" w:lineRule="auto"/>
        <w:rPr>
          <w:b/>
          <w:bCs/>
          <w:caps/>
          <w:lang w:val="es-ES_tradnl"/>
        </w:rPr>
      </w:pPr>
    </w:p>
    <w:p w:rsidR="00AE341B" w:rsidRDefault="00AE341B">
      <w:pPr>
        <w:rPr>
          <w:b/>
          <w:bCs/>
          <w:caps/>
          <w:lang w:val="es-ES_tradnl"/>
        </w:rPr>
      </w:pPr>
      <w:r>
        <w:rPr>
          <w:b/>
          <w:bCs/>
          <w:caps/>
          <w:lang w:val="es-ES_tradnl"/>
        </w:rPr>
        <w:br w:type="page"/>
      </w:r>
    </w:p>
    <w:p w:rsidR="004E3DF9" w:rsidRPr="00497F19" w:rsidRDefault="004E3DF9" w:rsidP="004E3DF9">
      <w:pPr>
        <w:spacing w:after="200" w:line="276" w:lineRule="auto"/>
        <w:rPr>
          <w:b/>
          <w:bCs/>
          <w:caps/>
          <w:lang w:val="es-ES_tradnl"/>
        </w:rPr>
      </w:pPr>
    </w:p>
    <w:p w:rsidR="004E3DF9" w:rsidRPr="00497F19" w:rsidRDefault="003A30A3" w:rsidP="004E3DF9">
      <w:pPr>
        <w:jc w:val="center"/>
        <w:rPr>
          <w:b/>
          <w:bCs/>
          <w:caps/>
          <w:lang w:val="es-ES_tradnl"/>
        </w:rPr>
      </w:pPr>
      <w:r w:rsidRPr="00497F19">
        <w:rPr>
          <w:b/>
          <w:bCs/>
          <w:caps/>
          <w:lang w:val="es-ES_tradnl"/>
        </w:rPr>
        <w:t xml:space="preserve">ESTADO </w:t>
      </w:r>
      <w:r w:rsidR="004E3DF9" w:rsidRPr="00497F19">
        <w:rPr>
          <w:b/>
          <w:bCs/>
          <w:caps/>
          <w:lang w:val="es-ES_tradnl"/>
        </w:rPr>
        <w:t>I</w:t>
      </w:r>
    </w:p>
    <w:p w:rsidR="004E3DF9" w:rsidRPr="00497F19" w:rsidRDefault="004E3DF9" w:rsidP="004E3DF9">
      <w:pPr>
        <w:jc w:val="center"/>
        <w:rPr>
          <w:b/>
          <w:bCs/>
          <w:caps/>
          <w:lang w:val="es-ES_tradnl"/>
        </w:rPr>
      </w:pPr>
    </w:p>
    <w:p w:rsidR="004E3DF9" w:rsidRPr="004B1149" w:rsidRDefault="004B1149" w:rsidP="004B1149">
      <w:pPr>
        <w:pStyle w:val="Heading2"/>
        <w:jc w:val="center"/>
        <w:rPr>
          <w:b/>
        </w:rPr>
      </w:pPr>
      <w:bookmarkStart w:id="31" w:name="_Toc395626684"/>
      <w:r w:rsidRPr="004B1149">
        <w:rPr>
          <w:b/>
        </w:rPr>
        <w:t>Estado de la situación financiera</w:t>
      </w:r>
      <w:bookmarkEnd w:id="31"/>
    </w:p>
    <w:p w:rsidR="004E3DF9" w:rsidRPr="00497F19" w:rsidRDefault="004E3DF9" w:rsidP="00BC587C">
      <w:pPr>
        <w:tabs>
          <w:tab w:val="left" w:pos="5449"/>
        </w:tabs>
        <w:rPr>
          <w:b/>
          <w:szCs w:val="22"/>
          <w:lang w:val="es-ES_tradnl"/>
        </w:rPr>
      </w:pPr>
    </w:p>
    <w:p w:rsidR="004E3DF9" w:rsidRPr="00497F19" w:rsidRDefault="003A30A3" w:rsidP="004E3DF9">
      <w:pPr>
        <w:jc w:val="center"/>
        <w:rPr>
          <w:b/>
          <w:szCs w:val="22"/>
          <w:lang w:val="es-ES_tradnl"/>
        </w:rPr>
      </w:pPr>
      <w:proofErr w:type="gramStart"/>
      <w:r w:rsidRPr="00497F19">
        <w:rPr>
          <w:b/>
          <w:szCs w:val="22"/>
          <w:lang w:val="es-ES_tradnl"/>
        </w:rPr>
        <w:t>a</w:t>
      </w:r>
      <w:r w:rsidR="0060237F" w:rsidRPr="00497F19">
        <w:rPr>
          <w:b/>
          <w:szCs w:val="22"/>
          <w:lang w:val="es-ES_tradnl"/>
        </w:rPr>
        <w:t>l</w:t>
      </w:r>
      <w:proofErr w:type="gramEnd"/>
      <w:r w:rsidRPr="00497F19">
        <w:rPr>
          <w:b/>
          <w:szCs w:val="22"/>
          <w:lang w:val="es-ES_tradnl"/>
        </w:rPr>
        <w:t xml:space="preserve"> 31 de diciembre de 2013</w:t>
      </w:r>
    </w:p>
    <w:p w:rsidR="004E3DF9" w:rsidRPr="00497F19" w:rsidRDefault="004E3DF9" w:rsidP="004E3DF9">
      <w:pPr>
        <w:jc w:val="center"/>
        <w:rPr>
          <w:b/>
          <w:szCs w:val="22"/>
          <w:lang w:val="es-ES_tradnl"/>
        </w:rPr>
      </w:pPr>
      <w:r w:rsidRPr="00497F19">
        <w:rPr>
          <w:b/>
          <w:szCs w:val="22"/>
          <w:lang w:val="es-ES_tradnl"/>
        </w:rPr>
        <w:t>(</w:t>
      </w:r>
      <w:proofErr w:type="gramStart"/>
      <w:r w:rsidR="003A30A3" w:rsidRPr="00497F19">
        <w:rPr>
          <w:b/>
          <w:szCs w:val="22"/>
          <w:lang w:val="es-ES_tradnl"/>
        </w:rPr>
        <w:t>en</w:t>
      </w:r>
      <w:proofErr w:type="gramEnd"/>
      <w:r w:rsidR="003A30A3" w:rsidRPr="00497F19">
        <w:rPr>
          <w:b/>
          <w:szCs w:val="22"/>
          <w:lang w:val="es-ES_tradnl"/>
        </w:rPr>
        <w:t xml:space="preserve"> miles de francos suizos</w:t>
      </w:r>
      <w:r w:rsidRPr="00497F19">
        <w:rPr>
          <w:b/>
          <w:szCs w:val="22"/>
          <w:lang w:val="es-ES_tradnl"/>
        </w:rPr>
        <w:t>)</w:t>
      </w:r>
    </w:p>
    <w:p w:rsidR="00B14159" w:rsidRPr="00497F19" w:rsidRDefault="00B14159" w:rsidP="004E3DF9">
      <w:pPr>
        <w:jc w:val="center"/>
        <w:rPr>
          <w:b/>
          <w:szCs w:val="22"/>
          <w:lang w:val="es-ES_tradnl"/>
        </w:rPr>
      </w:pPr>
    </w:p>
    <w:p w:rsidR="004E3DF9" w:rsidRPr="00497F19" w:rsidRDefault="00610EF5" w:rsidP="004E3DF9">
      <w:pPr>
        <w:jc w:val="center"/>
        <w:rPr>
          <w:lang w:val="es-ES_tradnl"/>
        </w:rPr>
      </w:pPr>
      <w:r w:rsidRPr="00497F19">
        <w:rPr>
          <w:noProof/>
          <w:lang w:val="en-US" w:eastAsia="en-US"/>
        </w:rPr>
        <w:drawing>
          <wp:inline distT="0" distB="0" distL="0" distR="0" wp14:anchorId="08D3A7D9" wp14:editId="3ADAE2A2">
            <wp:extent cx="5760085" cy="5090790"/>
            <wp:effectExtent l="0" t="0" r="0" b="0"/>
            <wp:docPr id="4032" name="Picture 4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60085" cy="5090790"/>
                    </a:xfrm>
                    <a:prstGeom prst="rect">
                      <a:avLst/>
                    </a:prstGeom>
                    <a:noFill/>
                    <a:ln>
                      <a:noFill/>
                    </a:ln>
                  </pic:spPr>
                </pic:pic>
              </a:graphicData>
            </a:graphic>
          </wp:inline>
        </w:drawing>
      </w:r>
    </w:p>
    <w:p w:rsidR="004E3DF9" w:rsidRPr="00497F19" w:rsidRDefault="004E3DF9" w:rsidP="004E3DF9">
      <w:pPr>
        <w:rPr>
          <w:lang w:val="es-ES_tradnl"/>
        </w:rPr>
      </w:pPr>
    </w:p>
    <w:p w:rsidR="004E3DF9" w:rsidRPr="00497F19" w:rsidRDefault="004E3DF9" w:rsidP="004E3DF9">
      <w:pPr>
        <w:rPr>
          <w:lang w:val="es-ES_tradnl"/>
        </w:rPr>
      </w:pPr>
    </w:p>
    <w:p w:rsidR="004E3DF9" w:rsidRPr="00497F19" w:rsidRDefault="004E3DF9" w:rsidP="004E3DF9">
      <w:pPr>
        <w:rPr>
          <w:lang w:val="es-ES_tradnl"/>
        </w:rPr>
      </w:pPr>
    </w:p>
    <w:p w:rsidR="004E3DF9" w:rsidRPr="00497F19" w:rsidRDefault="004E3DF9" w:rsidP="004E3DF9">
      <w:pPr>
        <w:rPr>
          <w:lang w:val="es-ES_tradnl"/>
        </w:rPr>
      </w:pPr>
    </w:p>
    <w:p w:rsidR="004E3DF9" w:rsidRPr="00497F19" w:rsidRDefault="004E3DF9" w:rsidP="004E3DF9">
      <w:pPr>
        <w:rPr>
          <w:lang w:val="es-ES_tradnl"/>
        </w:rPr>
      </w:pPr>
      <w:r w:rsidRPr="00497F19">
        <w:rPr>
          <w:lang w:val="es-ES_tradnl"/>
        </w:rPr>
        <w:br w:type="page"/>
      </w:r>
    </w:p>
    <w:p w:rsidR="004E3DF9" w:rsidRPr="00497F19" w:rsidRDefault="003A30A3" w:rsidP="004E3DF9">
      <w:pPr>
        <w:jc w:val="center"/>
        <w:rPr>
          <w:b/>
          <w:bCs/>
          <w:caps/>
          <w:lang w:val="es-ES_tradnl"/>
        </w:rPr>
      </w:pPr>
      <w:r w:rsidRPr="00497F19">
        <w:rPr>
          <w:b/>
          <w:bCs/>
          <w:caps/>
          <w:lang w:val="es-ES_tradnl"/>
        </w:rPr>
        <w:lastRenderedPageBreak/>
        <w:t>ESTADO II</w:t>
      </w:r>
    </w:p>
    <w:p w:rsidR="004E3DF9" w:rsidRPr="00497F19" w:rsidRDefault="004E3DF9" w:rsidP="004E3DF9">
      <w:pPr>
        <w:jc w:val="center"/>
        <w:rPr>
          <w:b/>
          <w:lang w:val="es-ES_tradnl"/>
        </w:rPr>
      </w:pPr>
    </w:p>
    <w:p w:rsidR="004E3DF9" w:rsidRPr="004B1149" w:rsidRDefault="004B1149" w:rsidP="004B1149">
      <w:pPr>
        <w:pStyle w:val="Heading2"/>
        <w:jc w:val="center"/>
        <w:rPr>
          <w:b/>
        </w:rPr>
      </w:pPr>
      <w:bookmarkStart w:id="32" w:name="_Toc395626685"/>
      <w:r w:rsidRPr="004B1149">
        <w:rPr>
          <w:b/>
        </w:rPr>
        <w:t>Estado de rendimiento financiero</w:t>
      </w:r>
      <w:bookmarkEnd w:id="32"/>
    </w:p>
    <w:p w:rsidR="004E3DF9" w:rsidRPr="00497F19" w:rsidRDefault="004E3DF9" w:rsidP="004E3DF9">
      <w:pPr>
        <w:jc w:val="center"/>
        <w:rPr>
          <w:b/>
          <w:lang w:val="es-ES_tradnl"/>
        </w:rPr>
      </w:pPr>
    </w:p>
    <w:p w:rsidR="004E3DF9" w:rsidRPr="00497F19" w:rsidRDefault="003A30A3" w:rsidP="004E3DF9">
      <w:pPr>
        <w:jc w:val="center"/>
        <w:rPr>
          <w:b/>
          <w:szCs w:val="22"/>
          <w:lang w:val="es-ES_tradnl"/>
        </w:rPr>
      </w:pPr>
      <w:proofErr w:type="gramStart"/>
      <w:r w:rsidRPr="00497F19">
        <w:rPr>
          <w:b/>
          <w:szCs w:val="22"/>
          <w:lang w:val="es-ES_tradnl"/>
        </w:rPr>
        <w:t>correspondiente</w:t>
      </w:r>
      <w:proofErr w:type="gramEnd"/>
      <w:r w:rsidRPr="00497F19">
        <w:rPr>
          <w:b/>
          <w:szCs w:val="22"/>
          <w:lang w:val="es-ES_tradnl"/>
        </w:rPr>
        <w:t xml:space="preserve"> al bienio terminado el 31 de diciembre de 2013</w:t>
      </w:r>
    </w:p>
    <w:p w:rsidR="004E3DF9" w:rsidRPr="00497F19" w:rsidRDefault="004E3DF9" w:rsidP="004E3DF9">
      <w:pPr>
        <w:jc w:val="center"/>
        <w:rPr>
          <w:sz w:val="20"/>
          <w:lang w:val="es-ES_tradnl"/>
        </w:rPr>
      </w:pPr>
      <w:r w:rsidRPr="00497F19">
        <w:rPr>
          <w:b/>
          <w:szCs w:val="22"/>
          <w:lang w:val="es-ES_tradnl"/>
        </w:rPr>
        <w:t>(</w:t>
      </w:r>
      <w:proofErr w:type="gramStart"/>
      <w:r w:rsidR="003A30A3" w:rsidRPr="00497F19">
        <w:rPr>
          <w:b/>
          <w:szCs w:val="22"/>
          <w:lang w:val="es-ES_tradnl"/>
        </w:rPr>
        <w:t>en</w:t>
      </w:r>
      <w:proofErr w:type="gramEnd"/>
      <w:r w:rsidR="003A30A3" w:rsidRPr="00497F19">
        <w:rPr>
          <w:b/>
          <w:szCs w:val="22"/>
          <w:lang w:val="es-ES_tradnl"/>
        </w:rPr>
        <w:t xml:space="preserve"> miles de francos suizos</w:t>
      </w:r>
      <w:r w:rsidRPr="00497F19">
        <w:rPr>
          <w:b/>
          <w:szCs w:val="22"/>
          <w:lang w:val="es-ES_tradnl"/>
        </w:rPr>
        <w:t>)</w:t>
      </w:r>
    </w:p>
    <w:p w:rsidR="00B14159" w:rsidRPr="00497F19" w:rsidRDefault="00B14159" w:rsidP="004E3DF9">
      <w:pPr>
        <w:jc w:val="center"/>
        <w:rPr>
          <w:lang w:val="es-ES_tradnl"/>
        </w:rPr>
      </w:pPr>
    </w:p>
    <w:p w:rsidR="004E3DF9" w:rsidRPr="00497F19" w:rsidRDefault="009B0422" w:rsidP="004E3DF9">
      <w:pPr>
        <w:jc w:val="center"/>
        <w:rPr>
          <w:lang w:val="es-ES_tradnl"/>
        </w:rPr>
      </w:pPr>
      <w:r w:rsidRPr="00497F19">
        <w:rPr>
          <w:noProof/>
          <w:lang w:val="en-US" w:eastAsia="en-US"/>
        </w:rPr>
        <w:drawing>
          <wp:inline distT="0" distB="0" distL="0" distR="0" wp14:anchorId="7A354088" wp14:editId="67F99FE2">
            <wp:extent cx="5760085" cy="4472006"/>
            <wp:effectExtent l="0" t="0" r="0" b="5080"/>
            <wp:docPr id="4033" name="Picture 4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60085" cy="4472006"/>
                    </a:xfrm>
                    <a:prstGeom prst="rect">
                      <a:avLst/>
                    </a:prstGeom>
                    <a:noFill/>
                    <a:ln>
                      <a:noFill/>
                    </a:ln>
                  </pic:spPr>
                </pic:pic>
              </a:graphicData>
            </a:graphic>
          </wp:inline>
        </w:drawing>
      </w:r>
    </w:p>
    <w:p w:rsidR="004E3DF9" w:rsidRPr="00497F19" w:rsidRDefault="004E3DF9" w:rsidP="004E3DF9">
      <w:pPr>
        <w:rPr>
          <w:lang w:val="es-ES_tradnl"/>
        </w:rPr>
      </w:pPr>
    </w:p>
    <w:p w:rsidR="004E3DF9" w:rsidRPr="00497F19" w:rsidRDefault="004E3DF9" w:rsidP="004E3DF9">
      <w:pPr>
        <w:rPr>
          <w:rFonts w:eastAsiaTheme="minorHAnsi"/>
          <w:sz w:val="16"/>
          <w:szCs w:val="16"/>
          <w:lang w:val="es-ES_tradnl"/>
        </w:rPr>
      </w:pPr>
    </w:p>
    <w:p w:rsidR="004E3DF9" w:rsidRPr="00497F19" w:rsidRDefault="004E3DF9" w:rsidP="004E3DF9">
      <w:pPr>
        <w:rPr>
          <w:b/>
          <w:caps/>
          <w:kern w:val="32"/>
          <w:szCs w:val="32"/>
          <w:lang w:val="es-ES_tradnl"/>
        </w:rPr>
      </w:pPr>
      <w:r w:rsidRPr="00497F19">
        <w:rPr>
          <w:lang w:val="es-ES_tradnl"/>
        </w:rPr>
        <w:br w:type="page"/>
      </w:r>
    </w:p>
    <w:p w:rsidR="004E3DF9" w:rsidRPr="00497F19" w:rsidRDefault="007D6C57" w:rsidP="004E3DF9">
      <w:pPr>
        <w:jc w:val="center"/>
        <w:rPr>
          <w:b/>
          <w:caps/>
          <w:kern w:val="32"/>
          <w:szCs w:val="32"/>
          <w:lang w:val="es-ES_tradnl"/>
        </w:rPr>
      </w:pPr>
      <w:r w:rsidRPr="00497F19">
        <w:rPr>
          <w:b/>
          <w:caps/>
          <w:kern w:val="32"/>
          <w:szCs w:val="32"/>
          <w:lang w:val="es-ES_tradnl"/>
        </w:rPr>
        <w:lastRenderedPageBreak/>
        <w:t>ESTADO</w:t>
      </w:r>
      <w:r w:rsidR="004E3DF9" w:rsidRPr="00497F19">
        <w:rPr>
          <w:b/>
          <w:caps/>
          <w:kern w:val="32"/>
          <w:szCs w:val="32"/>
          <w:lang w:val="es-ES_tradnl"/>
        </w:rPr>
        <w:t xml:space="preserve"> III</w:t>
      </w:r>
    </w:p>
    <w:p w:rsidR="004E3DF9" w:rsidRPr="00497F19" w:rsidRDefault="004E3DF9" w:rsidP="004E3DF9">
      <w:pPr>
        <w:jc w:val="center"/>
        <w:rPr>
          <w:b/>
          <w:lang w:val="es-ES_tradnl"/>
        </w:rPr>
      </w:pPr>
    </w:p>
    <w:p w:rsidR="004E3DF9" w:rsidRPr="004B1149" w:rsidRDefault="004B1149" w:rsidP="004B1149">
      <w:pPr>
        <w:pStyle w:val="Heading2"/>
        <w:jc w:val="center"/>
        <w:rPr>
          <w:b/>
        </w:rPr>
      </w:pPr>
      <w:bookmarkStart w:id="33" w:name="_Toc395626686"/>
      <w:r w:rsidRPr="004B1149">
        <w:rPr>
          <w:b/>
        </w:rPr>
        <w:t>Estado de cambios en los activos netos</w:t>
      </w:r>
      <w:bookmarkEnd w:id="33"/>
    </w:p>
    <w:p w:rsidR="004E3DF9" w:rsidRPr="00497F19" w:rsidRDefault="007D6C57" w:rsidP="004E3DF9">
      <w:pPr>
        <w:jc w:val="center"/>
        <w:rPr>
          <w:b/>
          <w:szCs w:val="22"/>
          <w:lang w:val="es-ES_tradnl"/>
        </w:rPr>
      </w:pPr>
      <w:proofErr w:type="gramStart"/>
      <w:r w:rsidRPr="00497F19">
        <w:rPr>
          <w:b/>
          <w:szCs w:val="22"/>
          <w:lang w:val="es-ES_tradnl"/>
        </w:rPr>
        <w:t>correspondiente</w:t>
      </w:r>
      <w:proofErr w:type="gramEnd"/>
      <w:r w:rsidRPr="00497F19">
        <w:rPr>
          <w:b/>
          <w:szCs w:val="22"/>
          <w:lang w:val="es-ES_tradnl"/>
        </w:rPr>
        <w:t xml:space="preserve"> al bienio terminado el 31 de diciembre de 2013</w:t>
      </w:r>
    </w:p>
    <w:p w:rsidR="004E3DF9" w:rsidRPr="00497F19" w:rsidRDefault="004E3DF9" w:rsidP="004E3DF9">
      <w:pPr>
        <w:jc w:val="center"/>
        <w:rPr>
          <w:b/>
          <w:szCs w:val="22"/>
          <w:lang w:val="es-ES_tradnl"/>
        </w:rPr>
      </w:pPr>
      <w:r w:rsidRPr="00497F19">
        <w:rPr>
          <w:b/>
          <w:szCs w:val="22"/>
          <w:lang w:val="es-ES_tradnl"/>
        </w:rPr>
        <w:t>(</w:t>
      </w:r>
      <w:proofErr w:type="gramStart"/>
      <w:r w:rsidR="003A30A3" w:rsidRPr="00497F19">
        <w:rPr>
          <w:b/>
          <w:szCs w:val="22"/>
          <w:lang w:val="es-ES_tradnl"/>
        </w:rPr>
        <w:t>en</w:t>
      </w:r>
      <w:proofErr w:type="gramEnd"/>
      <w:r w:rsidR="003A30A3" w:rsidRPr="00497F19">
        <w:rPr>
          <w:b/>
          <w:szCs w:val="22"/>
          <w:lang w:val="es-ES_tradnl"/>
        </w:rPr>
        <w:t xml:space="preserve"> miles de francos suizos</w:t>
      </w:r>
      <w:r w:rsidRPr="00497F19">
        <w:rPr>
          <w:b/>
          <w:szCs w:val="22"/>
          <w:lang w:val="es-ES_tradnl"/>
        </w:rPr>
        <w:t>)</w:t>
      </w:r>
    </w:p>
    <w:p w:rsidR="004E3DF9" w:rsidRPr="00A23604" w:rsidRDefault="004E3DF9" w:rsidP="004E3DF9">
      <w:pPr>
        <w:rPr>
          <w:lang w:val="fr-FR"/>
        </w:rPr>
      </w:pPr>
    </w:p>
    <w:p w:rsidR="004E3DF9" w:rsidRPr="00497F19" w:rsidRDefault="00C47D99" w:rsidP="004E3DF9">
      <w:pPr>
        <w:jc w:val="center"/>
        <w:rPr>
          <w:lang w:val="es-ES_tradnl"/>
        </w:rPr>
      </w:pPr>
      <w:r w:rsidRPr="00497F19">
        <w:rPr>
          <w:noProof/>
          <w:lang w:val="en-US" w:eastAsia="en-US"/>
        </w:rPr>
        <w:drawing>
          <wp:inline distT="0" distB="0" distL="0" distR="0" wp14:anchorId="6E779251" wp14:editId="7C3518DF">
            <wp:extent cx="5760085" cy="1998799"/>
            <wp:effectExtent l="0" t="0" r="0" b="1905"/>
            <wp:docPr id="4036" name="Picture 4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60085" cy="1998799"/>
                    </a:xfrm>
                    <a:prstGeom prst="rect">
                      <a:avLst/>
                    </a:prstGeom>
                    <a:noFill/>
                    <a:ln>
                      <a:noFill/>
                    </a:ln>
                  </pic:spPr>
                </pic:pic>
              </a:graphicData>
            </a:graphic>
          </wp:inline>
        </w:drawing>
      </w:r>
    </w:p>
    <w:p w:rsidR="004E3DF9" w:rsidRPr="00497F19" w:rsidRDefault="004E3DF9" w:rsidP="004E3DF9">
      <w:pPr>
        <w:rPr>
          <w:lang w:val="es-ES_tradnl"/>
        </w:rPr>
      </w:pPr>
    </w:p>
    <w:p w:rsidR="004E3DF9" w:rsidRPr="00497F19" w:rsidRDefault="004E3DF9" w:rsidP="004E3DF9">
      <w:pPr>
        <w:spacing w:after="200" w:line="276" w:lineRule="auto"/>
        <w:rPr>
          <w:lang w:val="es-ES_tradnl"/>
        </w:rPr>
      </w:pPr>
      <w:r w:rsidRPr="00497F19">
        <w:rPr>
          <w:lang w:val="es-ES_tradnl"/>
        </w:rPr>
        <w:br w:type="page"/>
      </w:r>
    </w:p>
    <w:p w:rsidR="004E3DF9" w:rsidRPr="00497F19" w:rsidRDefault="0005634A" w:rsidP="004E3DF9">
      <w:pPr>
        <w:jc w:val="center"/>
        <w:rPr>
          <w:b/>
          <w:bCs/>
          <w:caps/>
          <w:lang w:val="es-ES_tradnl"/>
        </w:rPr>
      </w:pPr>
      <w:r w:rsidRPr="00497F19">
        <w:rPr>
          <w:b/>
          <w:bCs/>
          <w:caps/>
          <w:lang w:val="es-ES_tradnl"/>
        </w:rPr>
        <w:lastRenderedPageBreak/>
        <w:t>ESTADO</w:t>
      </w:r>
      <w:r w:rsidR="004E3DF9" w:rsidRPr="00497F19">
        <w:rPr>
          <w:b/>
          <w:bCs/>
          <w:caps/>
          <w:lang w:val="es-ES_tradnl"/>
        </w:rPr>
        <w:t xml:space="preserve"> IV</w:t>
      </w:r>
    </w:p>
    <w:p w:rsidR="004E3DF9" w:rsidRPr="00497F19" w:rsidRDefault="004E3DF9" w:rsidP="004E3DF9">
      <w:pPr>
        <w:jc w:val="center"/>
        <w:rPr>
          <w:b/>
          <w:bCs/>
          <w:caps/>
          <w:lang w:val="es-ES_tradnl"/>
        </w:rPr>
      </w:pPr>
    </w:p>
    <w:p w:rsidR="004E3DF9" w:rsidRPr="004B1149" w:rsidRDefault="004B1149" w:rsidP="004B1149">
      <w:pPr>
        <w:pStyle w:val="Heading2"/>
        <w:jc w:val="center"/>
        <w:rPr>
          <w:b/>
        </w:rPr>
      </w:pPr>
      <w:bookmarkStart w:id="34" w:name="_Toc395626687"/>
      <w:r w:rsidRPr="004B1149">
        <w:rPr>
          <w:b/>
        </w:rPr>
        <w:t>Estado de flujos de efectivo</w:t>
      </w:r>
      <w:bookmarkEnd w:id="34"/>
    </w:p>
    <w:p w:rsidR="004E3DF9" w:rsidRPr="00497F19" w:rsidRDefault="004E3DF9" w:rsidP="004E3DF9">
      <w:pPr>
        <w:jc w:val="center"/>
        <w:rPr>
          <w:bCs/>
          <w:caps/>
          <w:lang w:val="es-ES_tradnl"/>
        </w:rPr>
      </w:pPr>
    </w:p>
    <w:p w:rsidR="004E3DF9" w:rsidRPr="00497F19" w:rsidRDefault="0005634A" w:rsidP="004E3DF9">
      <w:pPr>
        <w:jc w:val="center"/>
        <w:rPr>
          <w:b/>
          <w:szCs w:val="22"/>
          <w:lang w:val="es-ES_tradnl"/>
        </w:rPr>
      </w:pPr>
      <w:proofErr w:type="gramStart"/>
      <w:r w:rsidRPr="00497F19">
        <w:rPr>
          <w:b/>
          <w:szCs w:val="22"/>
          <w:lang w:val="es-ES_tradnl"/>
        </w:rPr>
        <w:t>correspondiente</w:t>
      </w:r>
      <w:proofErr w:type="gramEnd"/>
      <w:r w:rsidRPr="00497F19">
        <w:rPr>
          <w:b/>
          <w:szCs w:val="22"/>
          <w:lang w:val="es-ES_tradnl"/>
        </w:rPr>
        <w:t xml:space="preserve"> al bienio terminado el 31 de diciembre de 2013</w:t>
      </w:r>
    </w:p>
    <w:p w:rsidR="004E3DF9" w:rsidRPr="00497F19" w:rsidRDefault="004E3DF9" w:rsidP="004E3DF9">
      <w:pPr>
        <w:jc w:val="center"/>
        <w:rPr>
          <w:b/>
          <w:szCs w:val="22"/>
          <w:lang w:val="es-ES_tradnl"/>
        </w:rPr>
      </w:pPr>
      <w:r w:rsidRPr="00497F19">
        <w:rPr>
          <w:b/>
          <w:szCs w:val="22"/>
          <w:lang w:val="es-ES_tradnl"/>
        </w:rPr>
        <w:t>(</w:t>
      </w:r>
      <w:proofErr w:type="gramStart"/>
      <w:r w:rsidR="003A30A3" w:rsidRPr="00497F19">
        <w:rPr>
          <w:b/>
          <w:szCs w:val="22"/>
          <w:lang w:val="es-ES_tradnl"/>
        </w:rPr>
        <w:t>en</w:t>
      </w:r>
      <w:proofErr w:type="gramEnd"/>
      <w:r w:rsidR="003A30A3" w:rsidRPr="00497F19">
        <w:rPr>
          <w:b/>
          <w:szCs w:val="22"/>
          <w:lang w:val="es-ES_tradnl"/>
        </w:rPr>
        <w:t xml:space="preserve"> miles de francos suizos</w:t>
      </w:r>
      <w:r w:rsidRPr="00497F19">
        <w:rPr>
          <w:b/>
          <w:szCs w:val="22"/>
          <w:lang w:val="es-ES_tradnl"/>
        </w:rPr>
        <w:t>)</w:t>
      </w:r>
    </w:p>
    <w:p w:rsidR="004E3DF9" w:rsidRPr="00497F19" w:rsidRDefault="004E3DF9" w:rsidP="004E3DF9">
      <w:pPr>
        <w:rPr>
          <w:lang w:val="es-ES_tradnl"/>
        </w:rPr>
      </w:pPr>
    </w:p>
    <w:p w:rsidR="004E3DF9" w:rsidRPr="00497F19" w:rsidRDefault="00D467C0" w:rsidP="004E3DF9">
      <w:pPr>
        <w:jc w:val="center"/>
        <w:rPr>
          <w:lang w:val="es-ES_tradnl"/>
        </w:rPr>
      </w:pPr>
      <w:r w:rsidRPr="00497F19">
        <w:rPr>
          <w:noProof/>
          <w:lang w:val="en-US" w:eastAsia="en-US"/>
        </w:rPr>
        <w:drawing>
          <wp:inline distT="0" distB="0" distL="0" distR="0" wp14:anchorId="1C080EFC" wp14:editId="7C33A9A4">
            <wp:extent cx="5760085" cy="4743748"/>
            <wp:effectExtent l="0" t="0" r="0" b="0"/>
            <wp:docPr id="4038" name="Picture 4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60085" cy="4743748"/>
                    </a:xfrm>
                    <a:prstGeom prst="rect">
                      <a:avLst/>
                    </a:prstGeom>
                    <a:noFill/>
                    <a:ln>
                      <a:noFill/>
                    </a:ln>
                  </pic:spPr>
                </pic:pic>
              </a:graphicData>
            </a:graphic>
          </wp:inline>
        </w:drawing>
      </w:r>
    </w:p>
    <w:p w:rsidR="00D467C0" w:rsidRPr="00497F19" w:rsidRDefault="00D467C0" w:rsidP="004E3DF9">
      <w:pPr>
        <w:rPr>
          <w:rFonts w:eastAsiaTheme="minorHAnsi"/>
          <w:b/>
          <w:sz w:val="16"/>
          <w:szCs w:val="16"/>
          <w:lang w:val="es-ES_tradnl"/>
        </w:rPr>
      </w:pPr>
    </w:p>
    <w:p w:rsidR="004E3DF9" w:rsidRPr="00497F19" w:rsidRDefault="004E3DF9" w:rsidP="004E3DF9">
      <w:pPr>
        <w:rPr>
          <w:lang w:val="es-ES_tradnl"/>
        </w:rPr>
      </w:pPr>
      <w:r w:rsidRPr="00497F19">
        <w:rPr>
          <w:rFonts w:eastAsiaTheme="minorHAnsi"/>
          <w:b/>
          <w:sz w:val="16"/>
          <w:szCs w:val="16"/>
          <w:lang w:val="es-ES_tradnl"/>
        </w:rPr>
        <w:t>1)</w:t>
      </w:r>
      <w:r w:rsidRPr="00497F19">
        <w:rPr>
          <w:rFonts w:eastAsiaTheme="minorHAnsi"/>
          <w:sz w:val="16"/>
          <w:szCs w:val="16"/>
          <w:lang w:val="es-ES_tradnl"/>
        </w:rPr>
        <w:t xml:space="preserve"> – </w:t>
      </w:r>
      <w:r w:rsidR="0005634A" w:rsidRPr="00497F19">
        <w:rPr>
          <w:sz w:val="16"/>
          <w:szCs w:val="16"/>
          <w:lang w:val="es-ES_tradnl"/>
        </w:rPr>
        <w:t>Excluidos los intereses obtenidos y los intereses abonados por los préstamos.</w:t>
      </w:r>
    </w:p>
    <w:p w:rsidR="004E3DF9" w:rsidRPr="00497F19" w:rsidRDefault="004E3DF9" w:rsidP="004E3DF9">
      <w:pPr>
        <w:rPr>
          <w:lang w:val="es-ES_tradnl"/>
        </w:rPr>
      </w:pPr>
    </w:p>
    <w:p w:rsidR="004E3DF9" w:rsidRPr="00497F19" w:rsidRDefault="004E3DF9" w:rsidP="004E3DF9">
      <w:pPr>
        <w:spacing w:after="200" w:line="276" w:lineRule="auto"/>
        <w:rPr>
          <w:lang w:val="es-ES_tradnl"/>
        </w:rPr>
      </w:pPr>
      <w:r w:rsidRPr="00497F19">
        <w:rPr>
          <w:lang w:val="es-ES_tradnl"/>
        </w:rPr>
        <w:br w:type="page"/>
      </w:r>
    </w:p>
    <w:p w:rsidR="004E3DF9" w:rsidRPr="00497F19" w:rsidRDefault="0005634A" w:rsidP="004E3DF9">
      <w:pPr>
        <w:jc w:val="center"/>
        <w:rPr>
          <w:b/>
          <w:bCs/>
          <w:caps/>
          <w:lang w:val="es-ES_tradnl"/>
        </w:rPr>
      </w:pPr>
      <w:r w:rsidRPr="00497F19">
        <w:rPr>
          <w:b/>
          <w:bCs/>
          <w:caps/>
          <w:lang w:val="es-ES_tradnl"/>
        </w:rPr>
        <w:lastRenderedPageBreak/>
        <w:t xml:space="preserve">ESTADO </w:t>
      </w:r>
      <w:r w:rsidR="004E3DF9" w:rsidRPr="00497F19">
        <w:rPr>
          <w:b/>
          <w:bCs/>
          <w:caps/>
          <w:lang w:val="es-ES_tradnl"/>
        </w:rPr>
        <w:t>V</w:t>
      </w:r>
    </w:p>
    <w:p w:rsidR="004E3DF9" w:rsidRPr="00497F19" w:rsidRDefault="004E3DF9" w:rsidP="004E3DF9">
      <w:pPr>
        <w:jc w:val="center"/>
        <w:rPr>
          <w:b/>
          <w:lang w:val="es-ES_tradnl"/>
        </w:rPr>
      </w:pPr>
    </w:p>
    <w:p w:rsidR="004E3DF9" w:rsidRPr="004B1149" w:rsidRDefault="004B1149" w:rsidP="004B1149">
      <w:pPr>
        <w:pStyle w:val="Heading2"/>
        <w:jc w:val="center"/>
        <w:rPr>
          <w:b/>
        </w:rPr>
      </w:pPr>
      <w:bookmarkStart w:id="35" w:name="_Toc395626688"/>
      <w:r w:rsidRPr="004B1149">
        <w:rPr>
          <w:b/>
        </w:rPr>
        <w:t>Estado comparativo de importes presupuestados y reales – Ingresos</w:t>
      </w:r>
      <w:bookmarkEnd w:id="35"/>
    </w:p>
    <w:p w:rsidR="004E3DF9" w:rsidRPr="00497F19" w:rsidRDefault="004E3DF9" w:rsidP="004E3DF9">
      <w:pPr>
        <w:jc w:val="center"/>
        <w:rPr>
          <w:b/>
          <w:lang w:val="es-ES_tradnl"/>
        </w:rPr>
      </w:pPr>
    </w:p>
    <w:p w:rsidR="004E3DF9" w:rsidRPr="00497F19" w:rsidRDefault="0005634A" w:rsidP="004E3DF9">
      <w:pPr>
        <w:jc w:val="center"/>
        <w:rPr>
          <w:b/>
          <w:szCs w:val="22"/>
          <w:lang w:val="es-ES_tradnl"/>
        </w:rPr>
      </w:pPr>
      <w:proofErr w:type="gramStart"/>
      <w:r w:rsidRPr="00497F19">
        <w:rPr>
          <w:b/>
          <w:szCs w:val="22"/>
          <w:lang w:val="es-ES_tradnl"/>
        </w:rPr>
        <w:t>correspondiente</w:t>
      </w:r>
      <w:proofErr w:type="gramEnd"/>
      <w:r w:rsidRPr="00497F19">
        <w:rPr>
          <w:b/>
          <w:szCs w:val="22"/>
          <w:lang w:val="es-ES_tradnl"/>
        </w:rPr>
        <w:t xml:space="preserve"> al bienio terminado el 31 de diciembre de 2013</w:t>
      </w:r>
    </w:p>
    <w:p w:rsidR="004E3DF9" w:rsidRPr="00497F19" w:rsidRDefault="004E3DF9" w:rsidP="004E3DF9">
      <w:pPr>
        <w:tabs>
          <w:tab w:val="left" w:pos="8640"/>
        </w:tabs>
        <w:jc w:val="center"/>
        <w:rPr>
          <w:szCs w:val="22"/>
          <w:lang w:val="es-ES_tradnl"/>
        </w:rPr>
      </w:pPr>
      <w:r w:rsidRPr="00497F19">
        <w:rPr>
          <w:b/>
          <w:szCs w:val="22"/>
          <w:lang w:val="es-ES_tradnl"/>
        </w:rPr>
        <w:t>(</w:t>
      </w:r>
      <w:proofErr w:type="gramStart"/>
      <w:r w:rsidR="003A30A3" w:rsidRPr="00497F19">
        <w:rPr>
          <w:b/>
          <w:szCs w:val="22"/>
          <w:lang w:val="es-ES_tradnl"/>
        </w:rPr>
        <w:t>en</w:t>
      </w:r>
      <w:proofErr w:type="gramEnd"/>
      <w:r w:rsidR="003A30A3" w:rsidRPr="00497F19">
        <w:rPr>
          <w:b/>
          <w:szCs w:val="22"/>
          <w:lang w:val="es-ES_tradnl"/>
        </w:rPr>
        <w:t xml:space="preserve"> miles de francos suizos</w:t>
      </w:r>
      <w:r w:rsidRPr="00497F19">
        <w:rPr>
          <w:b/>
          <w:szCs w:val="22"/>
          <w:lang w:val="es-ES_tradnl"/>
        </w:rPr>
        <w:t>)</w:t>
      </w:r>
    </w:p>
    <w:p w:rsidR="004E3DF9" w:rsidRPr="00497F19" w:rsidRDefault="004E3DF9" w:rsidP="004E3DF9">
      <w:pPr>
        <w:jc w:val="center"/>
        <w:rPr>
          <w:b/>
          <w:lang w:val="es-ES_tradnl"/>
        </w:rPr>
      </w:pPr>
    </w:p>
    <w:p w:rsidR="004E3DF9" w:rsidRPr="00497F19" w:rsidRDefault="001675DD" w:rsidP="004E3DF9">
      <w:pPr>
        <w:rPr>
          <w:lang w:val="es-ES_tradnl"/>
        </w:rPr>
      </w:pPr>
      <w:r w:rsidRPr="00497F19">
        <w:rPr>
          <w:noProof/>
          <w:lang w:val="en-US" w:eastAsia="en-US"/>
        </w:rPr>
        <w:drawing>
          <wp:inline distT="0" distB="0" distL="0" distR="0" wp14:anchorId="64FFFF72" wp14:editId="4BF7B6D1">
            <wp:extent cx="5760085" cy="3158643"/>
            <wp:effectExtent l="0" t="0" r="0" b="3810"/>
            <wp:docPr id="4041" name="Picture 4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60085" cy="3158643"/>
                    </a:xfrm>
                    <a:prstGeom prst="rect">
                      <a:avLst/>
                    </a:prstGeom>
                    <a:noFill/>
                    <a:ln>
                      <a:noFill/>
                    </a:ln>
                  </pic:spPr>
                </pic:pic>
              </a:graphicData>
            </a:graphic>
          </wp:inline>
        </w:drawing>
      </w:r>
    </w:p>
    <w:p w:rsidR="004E3DF9" w:rsidRPr="00497F19" w:rsidRDefault="004E3DF9" w:rsidP="004E3DF9">
      <w:pPr>
        <w:rPr>
          <w:lang w:val="es-ES_tradnl"/>
        </w:rPr>
      </w:pPr>
    </w:p>
    <w:p w:rsidR="004E3DF9" w:rsidRPr="00497F19" w:rsidRDefault="004E3DF9" w:rsidP="004E3DF9">
      <w:pPr>
        <w:rPr>
          <w:lang w:val="es-ES_tradnl"/>
        </w:rPr>
      </w:pPr>
    </w:p>
    <w:p w:rsidR="004E3DF9" w:rsidRPr="00497F19" w:rsidRDefault="004E3DF9" w:rsidP="004E3DF9">
      <w:pPr>
        <w:tabs>
          <w:tab w:val="left" w:pos="644"/>
        </w:tabs>
        <w:jc w:val="both"/>
        <w:rPr>
          <w:sz w:val="18"/>
          <w:szCs w:val="18"/>
          <w:lang w:val="es-ES_tradnl"/>
        </w:rPr>
      </w:pPr>
      <w:r w:rsidRPr="00497F19">
        <w:rPr>
          <w:sz w:val="18"/>
          <w:szCs w:val="18"/>
          <w:lang w:val="es-ES_tradnl"/>
        </w:rPr>
        <w:t xml:space="preserve">(1) - </w:t>
      </w:r>
      <w:r w:rsidR="006570CE" w:rsidRPr="00497F19">
        <w:rPr>
          <w:sz w:val="16"/>
          <w:szCs w:val="16"/>
          <w:lang w:val="es-ES_tradnl"/>
        </w:rPr>
        <w:t xml:space="preserve">representa el presupuesto bienal aprobado </w:t>
      </w:r>
      <w:r w:rsidR="00127DFB" w:rsidRPr="00497F19">
        <w:rPr>
          <w:sz w:val="16"/>
          <w:szCs w:val="16"/>
          <w:lang w:val="es-ES_tradnl"/>
        </w:rPr>
        <w:t>de</w:t>
      </w:r>
      <w:r w:rsidR="006570CE" w:rsidRPr="00497F19">
        <w:rPr>
          <w:sz w:val="16"/>
          <w:szCs w:val="16"/>
          <w:lang w:val="es-ES_tradnl"/>
        </w:rPr>
        <w:t xml:space="preserve"> 2012/13</w:t>
      </w:r>
      <w:r w:rsidRPr="00497F19">
        <w:rPr>
          <w:sz w:val="18"/>
          <w:szCs w:val="18"/>
          <w:lang w:val="es-ES_tradnl"/>
        </w:rPr>
        <w:t>.</w:t>
      </w:r>
    </w:p>
    <w:p w:rsidR="004E3DF9" w:rsidRPr="00497F19" w:rsidRDefault="004E3DF9" w:rsidP="004E3DF9">
      <w:pPr>
        <w:tabs>
          <w:tab w:val="left" w:pos="0"/>
        </w:tabs>
        <w:jc w:val="both"/>
        <w:rPr>
          <w:sz w:val="18"/>
          <w:szCs w:val="18"/>
          <w:lang w:val="es-ES_tradnl"/>
        </w:rPr>
      </w:pPr>
      <w:r w:rsidRPr="00497F19">
        <w:rPr>
          <w:sz w:val="18"/>
          <w:szCs w:val="18"/>
          <w:lang w:val="es-ES_tradnl"/>
        </w:rPr>
        <w:t xml:space="preserve">(2) - </w:t>
      </w:r>
      <w:r w:rsidR="006570CE" w:rsidRPr="00497F19">
        <w:rPr>
          <w:sz w:val="16"/>
          <w:szCs w:val="16"/>
          <w:lang w:val="es-ES_tradnl"/>
        </w:rPr>
        <w:t xml:space="preserve">representa el presupuesto final </w:t>
      </w:r>
      <w:r w:rsidR="00127DFB" w:rsidRPr="00497F19">
        <w:rPr>
          <w:sz w:val="16"/>
          <w:szCs w:val="16"/>
          <w:lang w:val="es-ES_tradnl"/>
        </w:rPr>
        <w:t>de</w:t>
      </w:r>
      <w:r w:rsidR="006570CE" w:rsidRPr="00497F19">
        <w:rPr>
          <w:sz w:val="16"/>
          <w:szCs w:val="16"/>
          <w:lang w:val="es-ES_tradnl"/>
        </w:rPr>
        <w:t xml:space="preserve"> 2012/13 después de las transferencias</w:t>
      </w:r>
      <w:r w:rsidRPr="00497F19">
        <w:rPr>
          <w:sz w:val="18"/>
          <w:szCs w:val="18"/>
          <w:lang w:val="es-ES_tradnl"/>
        </w:rPr>
        <w:t>.</w:t>
      </w:r>
    </w:p>
    <w:p w:rsidR="004E3DF9" w:rsidRPr="00497F19" w:rsidRDefault="004E3DF9" w:rsidP="004E3DF9">
      <w:pPr>
        <w:tabs>
          <w:tab w:val="left" w:pos="0"/>
        </w:tabs>
        <w:jc w:val="both"/>
        <w:rPr>
          <w:sz w:val="18"/>
          <w:szCs w:val="18"/>
          <w:lang w:val="es-ES_tradnl"/>
        </w:rPr>
      </w:pPr>
      <w:r w:rsidRPr="00497F19">
        <w:rPr>
          <w:sz w:val="18"/>
          <w:szCs w:val="18"/>
          <w:lang w:val="es-ES_tradnl"/>
        </w:rPr>
        <w:t>(3) -</w:t>
      </w:r>
      <w:r w:rsidRPr="00497F19">
        <w:rPr>
          <w:sz w:val="16"/>
          <w:szCs w:val="16"/>
          <w:lang w:val="es-ES_tradnl"/>
        </w:rPr>
        <w:t xml:space="preserve"> </w:t>
      </w:r>
      <w:r w:rsidR="006570CE" w:rsidRPr="00497F19">
        <w:rPr>
          <w:sz w:val="16"/>
          <w:szCs w:val="16"/>
          <w:lang w:val="es-ES_tradnl"/>
        </w:rPr>
        <w:t xml:space="preserve">representa la diferencia entre el presupuesto final de 2012/13 después de las transferencias y los ingresos reales sobre una base comparable con respecto al bienio </w:t>
      </w:r>
      <w:r w:rsidRPr="00497F19">
        <w:rPr>
          <w:sz w:val="16"/>
          <w:szCs w:val="16"/>
          <w:lang w:val="es-ES_tradnl"/>
        </w:rPr>
        <w:t>2012/13</w:t>
      </w:r>
      <w:r w:rsidR="006570CE" w:rsidRPr="00497F19">
        <w:rPr>
          <w:sz w:val="16"/>
          <w:szCs w:val="16"/>
          <w:lang w:val="es-ES_tradnl"/>
        </w:rPr>
        <w:t>.</w:t>
      </w:r>
    </w:p>
    <w:p w:rsidR="004E3DF9" w:rsidRPr="00497F19" w:rsidRDefault="004E3DF9" w:rsidP="004E3DF9">
      <w:pPr>
        <w:rPr>
          <w:lang w:val="es-ES_tradnl"/>
        </w:rPr>
      </w:pPr>
    </w:p>
    <w:p w:rsidR="004E3DF9" w:rsidRPr="00497F19" w:rsidRDefault="004E3DF9" w:rsidP="004E3DF9">
      <w:pPr>
        <w:spacing w:after="200" w:line="276" w:lineRule="auto"/>
        <w:rPr>
          <w:lang w:val="es-ES_tradnl"/>
        </w:rPr>
      </w:pPr>
      <w:r w:rsidRPr="00497F19">
        <w:rPr>
          <w:lang w:val="es-ES_tradnl"/>
        </w:rPr>
        <w:br w:type="page"/>
      </w:r>
    </w:p>
    <w:p w:rsidR="004E3DF9" w:rsidRPr="00497F19" w:rsidRDefault="0005634A" w:rsidP="004E3DF9">
      <w:pPr>
        <w:jc w:val="center"/>
        <w:rPr>
          <w:b/>
          <w:bCs/>
          <w:caps/>
          <w:lang w:val="es-ES_tradnl"/>
        </w:rPr>
      </w:pPr>
      <w:r w:rsidRPr="00497F19">
        <w:rPr>
          <w:b/>
          <w:bCs/>
          <w:caps/>
          <w:lang w:val="es-ES_tradnl"/>
        </w:rPr>
        <w:lastRenderedPageBreak/>
        <w:t>ESTADO</w:t>
      </w:r>
      <w:r w:rsidR="004E3DF9" w:rsidRPr="00497F19">
        <w:rPr>
          <w:b/>
          <w:bCs/>
          <w:caps/>
          <w:lang w:val="es-ES_tradnl"/>
        </w:rPr>
        <w:t xml:space="preserve"> V</w:t>
      </w:r>
    </w:p>
    <w:p w:rsidR="004E3DF9" w:rsidRPr="00497F19" w:rsidRDefault="004E3DF9" w:rsidP="004E3DF9">
      <w:pPr>
        <w:jc w:val="center"/>
        <w:rPr>
          <w:b/>
          <w:lang w:val="es-ES_tradnl"/>
        </w:rPr>
      </w:pPr>
    </w:p>
    <w:p w:rsidR="004E3DF9" w:rsidRPr="00996A1D" w:rsidRDefault="00996A1D" w:rsidP="00996A1D">
      <w:pPr>
        <w:pStyle w:val="Heading2"/>
        <w:jc w:val="center"/>
        <w:rPr>
          <w:b/>
        </w:rPr>
      </w:pPr>
      <w:bookmarkStart w:id="36" w:name="_Toc395626689"/>
      <w:r w:rsidRPr="00996A1D">
        <w:rPr>
          <w:b/>
        </w:rPr>
        <w:t>Estado comparativo de importes presupuestados y reales – Gastos</w:t>
      </w:r>
      <w:bookmarkEnd w:id="36"/>
    </w:p>
    <w:p w:rsidR="004E3DF9" w:rsidRPr="00497F19" w:rsidRDefault="004E3DF9" w:rsidP="004E3DF9">
      <w:pPr>
        <w:jc w:val="center"/>
        <w:rPr>
          <w:b/>
          <w:lang w:val="es-ES_tradnl"/>
        </w:rPr>
      </w:pPr>
    </w:p>
    <w:p w:rsidR="004E3DF9" w:rsidRPr="00497F19" w:rsidRDefault="0005634A" w:rsidP="004E3DF9">
      <w:pPr>
        <w:jc w:val="center"/>
        <w:rPr>
          <w:b/>
          <w:szCs w:val="22"/>
          <w:lang w:val="es-ES_tradnl"/>
        </w:rPr>
      </w:pPr>
      <w:proofErr w:type="gramStart"/>
      <w:r w:rsidRPr="00497F19">
        <w:rPr>
          <w:b/>
          <w:szCs w:val="22"/>
          <w:lang w:val="es-ES_tradnl"/>
        </w:rPr>
        <w:t>correspondiente</w:t>
      </w:r>
      <w:proofErr w:type="gramEnd"/>
      <w:r w:rsidRPr="00497F19">
        <w:rPr>
          <w:b/>
          <w:szCs w:val="22"/>
          <w:lang w:val="es-ES_tradnl"/>
        </w:rPr>
        <w:t xml:space="preserve"> al bienio terminado el 31 de diciembre de 2013</w:t>
      </w:r>
    </w:p>
    <w:p w:rsidR="004E3DF9" w:rsidRDefault="004E3DF9" w:rsidP="004E3DF9">
      <w:pPr>
        <w:tabs>
          <w:tab w:val="left" w:pos="8640"/>
        </w:tabs>
        <w:jc w:val="center"/>
        <w:rPr>
          <w:b/>
          <w:szCs w:val="22"/>
          <w:lang w:val="es-ES_tradnl"/>
        </w:rPr>
      </w:pPr>
      <w:r w:rsidRPr="00497F19">
        <w:rPr>
          <w:b/>
          <w:szCs w:val="22"/>
          <w:lang w:val="es-ES_tradnl"/>
        </w:rPr>
        <w:t>(</w:t>
      </w:r>
      <w:proofErr w:type="gramStart"/>
      <w:r w:rsidR="003A30A3" w:rsidRPr="00497F19">
        <w:rPr>
          <w:b/>
          <w:szCs w:val="22"/>
          <w:lang w:val="es-ES_tradnl"/>
        </w:rPr>
        <w:t>en</w:t>
      </w:r>
      <w:proofErr w:type="gramEnd"/>
      <w:r w:rsidR="003A30A3" w:rsidRPr="00497F19">
        <w:rPr>
          <w:b/>
          <w:szCs w:val="22"/>
          <w:lang w:val="es-ES_tradnl"/>
        </w:rPr>
        <w:t xml:space="preserve"> miles de francos suizos</w:t>
      </w:r>
      <w:r w:rsidRPr="00497F19">
        <w:rPr>
          <w:b/>
          <w:szCs w:val="22"/>
          <w:lang w:val="es-ES_tradnl"/>
        </w:rPr>
        <w:t>)</w:t>
      </w:r>
    </w:p>
    <w:p w:rsidR="00A23604" w:rsidRPr="00497F19" w:rsidRDefault="00A23604" w:rsidP="004E3DF9">
      <w:pPr>
        <w:tabs>
          <w:tab w:val="left" w:pos="8640"/>
        </w:tabs>
        <w:jc w:val="center"/>
        <w:rPr>
          <w:b/>
          <w:lang w:val="es-ES_tradnl"/>
        </w:rPr>
      </w:pPr>
    </w:p>
    <w:p w:rsidR="004E3DF9" w:rsidRPr="00497F19" w:rsidRDefault="00D962A8" w:rsidP="004E3DF9">
      <w:pPr>
        <w:jc w:val="center"/>
        <w:rPr>
          <w:lang w:val="es-ES_tradnl"/>
        </w:rPr>
      </w:pPr>
      <w:r w:rsidRPr="00497F19">
        <w:rPr>
          <w:noProof/>
          <w:lang w:val="en-US" w:eastAsia="en-US"/>
        </w:rPr>
        <w:drawing>
          <wp:inline distT="0" distB="0" distL="0" distR="0" wp14:anchorId="792D5A2C" wp14:editId="5BE9398D">
            <wp:extent cx="5239783" cy="5810250"/>
            <wp:effectExtent l="0" t="0" r="0" b="0"/>
            <wp:docPr id="4043" name="Picture 4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239647" cy="5810099"/>
                    </a:xfrm>
                    <a:prstGeom prst="rect">
                      <a:avLst/>
                    </a:prstGeom>
                    <a:noFill/>
                    <a:ln>
                      <a:noFill/>
                    </a:ln>
                  </pic:spPr>
                </pic:pic>
              </a:graphicData>
            </a:graphic>
          </wp:inline>
        </w:drawing>
      </w:r>
    </w:p>
    <w:p w:rsidR="00D962A8" w:rsidRPr="00497F19" w:rsidRDefault="00D962A8" w:rsidP="004E3DF9">
      <w:pPr>
        <w:jc w:val="center"/>
        <w:rPr>
          <w:lang w:val="es-ES_tradnl"/>
        </w:rPr>
      </w:pPr>
    </w:p>
    <w:p w:rsidR="004E3DF9" w:rsidRPr="00497F19" w:rsidRDefault="00127DFB" w:rsidP="004E3DF9">
      <w:pPr>
        <w:tabs>
          <w:tab w:val="left" w:pos="644"/>
        </w:tabs>
        <w:spacing w:line="276" w:lineRule="auto"/>
        <w:jc w:val="both"/>
        <w:rPr>
          <w:rFonts w:eastAsiaTheme="minorHAnsi"/>
          <w:sz w:val="16"/>
          <w:szCs w:val="16"/>
          <w:lang w:val="es-ES_tradnl"/>
        </w:rPr>
      </w:pPr>
      <w:r w:rsidRPr="00497F19">
        <w:rPr>
          <w:rFonts w:eastAsiaTheme="minorHAnsi"/>
          <w:sz w:val="16"/>
          <w:szCs w:val="16"/>
          <w:lang w:val="es-ES_tradnl"/>
        </w:rPr>
        <w:t>(</w:t>
      </w:r>
      <w:r w:rsidR="004E3DF9" w:rsidRPr="00497F19">
        <w:rPr>
          <w:rFonts w:eastAsiaTheme="minorHAnsi"/>
          <w:sz w:val="16"/>
          <w:szCs w:val="16"/>
          <w:lang w:val="es-ES_tradnl"/>
        </w:rPr>
        <w:t xml:space="preserve">1) – </w:t>
      </w:r>
      <w:r w:rsidRPr="00497F19">
        <w:rPr>
          <w:sz w:val="16"/>
          <w:szCs w:val="16"/>
          <w:lang w:val="es-ES_tradnl"/>
        </w:rPr>
        <w:t>representa el presupuesto bienal aprobado de 2012/13</w:t>
      </w:r>
      <w:r w:rsidR="004E3DF9" w:rsidRPr="00497F19">
        <w:rPr>
          <w:rFonts w:eastAsiaTheme="minorHAnsi"/>
          <w:sz w:val="16"/>
          <w:szCs w:val="16"/>
          <w:lang w:val="es-ES_tradnl"/>
        </w:rPr>
        <w:t xml:space="preserve">. </w:t>
      </w:r>
      <w:r w:rsidRPr="00497F19">
        <w:rPr>
          <w:rFonts w:eastAsiaTheme="minorHAnsi"/>
          <w:sz w:val="16"/>
          <w:szCs w:val="16"/>
          <w:lang w:val="es-ES_tradnl"/>
        </w:rPr>
        <w:t xml:space="preserve"> El presupuesto </w:t>
      </w:r>
      <w:r w:rsidR="004E3DF9" w:rsidRPr="00497F19">
        <w:rPr>
          <w:rFonts w:eastAsiaTheme="minorHAnsi"/>
          <w:sz w:val="16"/>
          <w:szCs w:val="16"/>
          <w:lang w:val="es-ES_tradnl"/>
        </w:rPr>
        <w:t xml:space="preserve">bienal </w:t>
      </w:r>
      <w:r w:rsidRPr="00497F19">
        <w:rPr>
          <w:rFonts w:eastAsiaTheme="minorHAnsi"/>
          <w:sz w:val="16"/>
          <w:szCs w:val="16"/>
          <w:lang w:val="es-ES_tradnl"/>
        </w:rPr>
        <w:t>por un importe de</w:t>
      </w:r>
      <w:r w:rsidR="004E3DF9" w:rsidRPr="00497F19">
        <w:rPr>
          <w:rFonts w:eastAsiaTheme="minorHAnsi"/>
          <w:sz w:val="16"/>
          <w:szCs w:val="16"/>
          <w:lang w:val="es-ES_tradnl"/>
        </w:rPr>
        <w:t xml:space="preserve"> 647</w:t>
      </w:r>
      <w:r w:rsidRPr="00497F19">
        <w:rPr>
          <w:rFonts w:eastAsiaTheme="minorHAnsi"/>
          <w:sz w:val="16"/>
          <w:szCs w:val="16"/>
          <w:lang w:val="es-ES_tradnl"/>
        </w:rPr>
        <w:t>,</w:t>
      </w:r>
      <w:r w:rsidR="004E3DF9" w:rsidRPr="00497F19">
        <w:rPr>
          <w:rFonts w:eastAsiaTheme="minorHAnsi"/>
          <w:sz w:val="16"/>
          <w:szCs w:val="16"/>
          <w:lang w:val="es-ES_tradnl"/>
        </w:rPr>
        <w:t>4 millon</w:t>
      </w:r>
      <w:r w:rsidRPr="00497F19">
        <w:rPr>
          <w:rFonts w:eastAsiaTheme="minorHAnsi"/>
          <w:sz w:val="16"/>
          <w:szCs w:val="16"/>
          <w:lang w:val="es-ES_tradnl"/>
        </w:rPr>
        <w:t>es de francos suizos fue aprobado por las Asambleas de los Estados miembros de la OMPI el 29 de septiembre de</w:t>
      </w:r>
      <w:r w:rsidR="004E3DF9" w:rsidRPr="00497F19">
        <w:rPr>
          <w:rFonts w:eastAsiaTheme="minorHAnsi"/>
          <w:sz w:val="16"/>
          <w:szCs w:val="16"/>
          <w:lang w:val="es-ES_tradnl"/>
        </w:rPr>
        <w:t xml:space="preserve"> 2011, </w:t>
      </w:r>
      <w:r w:rsidRPr="00497F19">
        <w:rPr>
          <w:rFonts w:eastAsiaTheme="minorHAnsi"/>
          <w:sz w:val="16"/>
          <w:szCs w:val="16"/>
          <w:lang w:val="es-ES_tradnl"/>
        </w:rPr>
        <w:t>a reserva de</w:t>
      </w:r>
      <w:r w:rsidR="004E3DF9" w:rsidRPr="00497F19">
        <w:rPr>
          <w:rFonts w:eastAsiaTheme="minorHAnsi"/>
          <w:sz w:val="16"/>
          <w:szCs w:val="16"/>
          <w:lang w:val="es-ES_tradnl"/>
        </w:rPr>
        <w:t>:</w:t>
      </w:r>
    </w:p>
    <w:p w:rsidR="004E3DF9" w:rsidRPr="00497F19" w:rsidRDefault="0005634A" w:rsidP="004E3DF9">
      <w:pPr>
        <w:spacing w:line="276" w:lineRule="auto"/>
        <w:rPr>
          <w:rFonts w:eastAsiaTheme="minorHAnsi"/>
          <w:sz w:val="16"/>
          <w:szCs w:val="16"/>
          <w:lang w:val="es-ES_tradnl"/>
        </w:rPr>
      </w:pPr>
      <w:r w:rsidRPr="00497F19">
        <w:rPr>
          <w:rFonts w:eastAsiaTheme="minorHAnsi"/>
          <w:sz w:val="16"/>
          <w:szCs w:val="16"/>
          <w:lang w:val="es-ES_tradnl"/>
        </w:rPr>
        <w:t>“Que la Secretaría haga esfuerzos para reducir gastos, aplicando medidas destinadas a fomentar la eficacia en función de los costos, por un importe de 10,2 millones de francos suizos, de modo que el presupuesto pase de 647,4 millones de francos suizos a 637,2 millones de francos suizos, entre otras medidas, por medio de políticas de viajes del personal y de terceros, gestión de locales, políticas de pago de ASE y honorarios de expertos y conferenciantes, programas de pasantías, recepciones y alquiler de locales y equipo durante las conferencias y reducción de costos de personal gracias a la mejora del diseño orgánico.”</w:t>
      </w:r>
    </w:p>
    <w:p w:rsidR="004E3DF9" w:rsidRPr="00497F19" w:rsidRDefault="00127DFB" w:rsidP="004E3DF9">
      <w:pPr>
        <w:tabs>
          <w:tab w:val="left" w:pos="644"/>
        </w:tabs>
        <w:spacing w:line="276" w:lineRule="auto"/>
        <w:jc w:val="both"/>
        <w:rPr>
          <w:rFonts w:eastAsiaTheme="minorHAnsi"/>
          <w:sz w:val="16"/>
          <w:szCs w:val="16"/>
          <w:lang w:val="es-ES_tradnl"/>
        </w:rPr>
      </w:pPr>
      <w:r w:rsidRPr="00497F19">
        <w:rPr>
          <w:rFonts w:eastAsiaTheme="minorHAnsi"/>
          <w:sz w:val="16"/>
          <w:szCs w:val="16"/>
          <w:lang w:val="es-ES_tradnl"/>
        </w:rPr>
        <w:t>(</w:t>
      </w:r>
      <w:r w:rsidR="004E3DF9" w:rsidRPr="00497F19">
        <w:rPr>
          <w:rFonts w:eastAsiaTheme="minorHAnsi"/>
          <w:sz w:val="16"/>
          <w:szCs w:val="16"/>
          <w:lang w:val="es-ES_tradnl"/>
        </w:rPr>
        <w:t xml:space="preserve">2) – </w:t>
      </w:r>
      <w:r w:rsidRPr="00497F19">
        <w:rPr>
          <w:sz w:val="16"/>
          <w:szCs w:val="16"/>
          <w:lang w:val="es-ES_tradnl"/>
        </w:rPr>
        <w:t>representa el presupuesto final de 2012/13 después de las transferencias</w:t>
      </w:r>
      <w:r w:rsidR="004E3DF9" w:rsidRPr="00497F19">
        <w:rPr>
          <w:rFonts w:eastAsiaTheme="minorHAnsi"/>
          <w:sz w:val="16"/>
          <w:szCs w:val="16"/>
          <w:lang w:val="es-ES_tradnl"/>
        </w:rPr>
        <w:t xml:space="preserve">. </w:t>
      </w:r>
      <w:r w:rsidR="002D121C" w:rsidRPr="00497F19">
        <w:rPr>
          <w:rFonts w:eastAsiaTheme="minorHAnsi"/>
          <w:sz w:val="16"/>
          <w:szCs w:val="16"/>
          <w:lang w:val="es-ES_tradnl"/>
        </w:rPr>
        <w:t xml:space="preserve"> </w:t>
      </w:r>
      <w:r w:rsidR="00F4064E" w:rsidRPr="00497F19">
        <w:rPr>
          <w:rFonts w:eastAsiaTheme="minorHAnsi"/>
          <w:sz w:val="16"/>
          <w:szCs w:val="16"/>
          <w:lang w:val="es-ES_tradnl"/>
        </w:rPr>
        <w:t xml:space="preserve">El presupuesto final después de las transferencias refleja el aumento de 981.000 francos suizos para el </w:t>
      </w:r>
      <w:r w:rsidR="004E3DF9" w:rsidRPr="00497F19">
        <w:rPr>
          <w:rFonts w:eastAsiaTheme="minorHAnsi"/>
          <w:sz w:val="16"/>
          <w:szCs w:val="16"/>
          <w:lang w:val="es-ES_tradnl"/>
        </w:rPr>
        <w:t xml:space="preserve"> Program</w:t>
      </w:r>
      <w:r w:rsidR="00F4064E" w:rsidRPr="00497F19">
        <w:rPr>
          <w:rFonts w:eastAsiaTheme="minorHAnsi"/>
          <w:sz w:val="16"/>
          <w:szCs w:val="16"/>
          <w:lang w:val="es-ES_tradnl"/>
        </w:rPr>
        <w:t>a</w:t>
      </w:r>
      <w:r w:rsidR="004E3DF9" w:rsidRPr="00497F19">
        <w:rPr>
          <w:rFonts w:eastAsiaTheme="minorHAnsi"/>
          <w:sz w:val="16"/>
          <w:szCs w:val="16"/>
          <w:lang w:val="es-ES_tradnl"/>
        </w:rPr>
        <w:t xml:space="preserve"> 5 (</w:t>
      </w:r>
      <w:r w:rsidR="00F4064E" w:rsidRPr="00497F19">
        <w:rPr>
          <w:rFonts w:eastAsiaTheme="minorHAnsi"/>
          <w:sz w:val="16"/>
          <w:szCs w:val="16"/>
          <w:lang w:val="es-ES_tradnl"/>
        </w:rPr>
        <w:t xml:space="preserve">Sistema del </w:t>
      </w:r>
      <w:r w:rsidR="004E3DF9" w:rsidRPr="00497F19">
        <w:rPr>
          <w:rFonts w:eastAsiaTheme="minorHAnsi"/>
          <w:sz w:val="16"/>
          <w:szCs w:val="16"/>
          <w:lang w:val="es-ES_tradnl"/>
        </w:rPr>
        <w:t xml:space="preserve">PCT) </w:t>
      </w:r>
      <w:r w:rsidR="00F4064E" w:rsidRPr="00497F19">
        <w:rPr>
          <w:rFonts w:eastAsiaTheme="minorHAnsi"/>
          <w:sz w:val="16"/>
          <w:szCs w:val="16"/>
          <w:lang w:val="es-ES_tradnl"/>
        </w:rPr>
        <w:t xml:space="preserve">relacionado con la creación de </w:t>
      </w:r>
      <w:r w:rsidR="004E3DF9" w:rsidRPr="00497F19">
        <w:rPr>
          <w:rFonts w:eastAsiaTheme="minorHAnsi"/>
          <w:sz w:val="16"/>
          <w:szCs w:val="16"/>
          <w:lang w:val="es-ES_tradnl"/>
        </w:rPr>
        <w:t xml:space="preserve">5 </w:t>
      </w:r>
      <w:r w:rsidR="00F4064E" w:rsidRPr="00497F19">
        <w:rPr>
          <w:rFonts w:eastAsiaTheme="minorHAnsi"/>
          <w:sz w:val="16"/>
          <w:szCs w:val="16"/>
          <w:lang w:val="es-ES_tradnl"/>
        </w:rPr>
        <w:t>puestos, debido a que la cifra de solicitudes internacionales PCT en 2012 fue superior a lo presupuestado   (Artículo 5.6 del Reg</w:t>
      </w:r>
      <w:r w:rsidR="00B9540C" w:rsidRPr="00497F19">
        <w:rPr>
          <w:rFonts w:eastAsiaTheme="minorHAnsi"/>
          <w:sz w:val="16"/>
          <w:szCs w:val="16"/>
          <w:lang w:val="es-ES_tradnl"/>
        </w:rPr>
        <w:t>lamento Financiero sobre ajustes</w:t>
      </w:r>
      <w:r w:rsidR="00F4064E" w:rsidRPr="00497F19">
        <w:rPr>
          <w:rFonts w:eastAsiaTheme="minorHAnsi"/>
          <w:sz w:val="16"/>
          <w:szCs w:val="16"/>
          <w:lang w:val="es-ES_tradnl"/>
        </w:rPr>
        <w:t xml:space="preserve"> de flexibilidad</w:t>
      </w:r>
      <w:r w:rsidR="004E3DF9" w:rsidRPr="00497F19">
        <w:rPr>
          <w:rFonts w:eastAsiaTheme="minorHAnsi"/>
          <w:sz w:val="16"/>
          <w:szCs w:val="16"/>
          <w:lang w:val="es-ES_tradnl"/>
        </w:rPr>
        <w:t xml:space="preserve">).   </w:t>
      </w:r>
    </w:p>
    <w:p w:rsidR="004E3DF9" w:rsidRPr="00497F19" w:rsidRDefault="00127DFB" w:rsidP="004E3DF9">
      <w:pPr>
        <w:tabs>
          <w:tab w:val="left" w:pos="540"/>
        </w:tabs>
        <w:spacing w:line="276" w:lineRule="auto"/>
        <w:jc w:val="both"/>
        <w:rPr>
          <w:rFonts w:eastAsiaTheme="minorHAnsi"/>
          <w:sz w:val="16"/>
          <w:szCs w:val="16"/>
          <w:lang w:val="es-ES_tradnl"/>
        </w:rPr>
      </w:pPr>
      <w:r w:rsidRPr="00497F19">
        <w:rPr>
          <w:rFonts w:eastAsiaTheme="minorHAnsi"/>
          <w:sz w:val="16"/>
          <w:szCs w:val="16"/>
          <w:lang w:val="es-ES_tradnl"/>
        </w:rPr>
        <w:t>(</w:t>
      </w:r>
      <w:r w:rsidR="004E3DF9" w:rsidRPr="00497F19">
        <w:rPr>
          <w:rFonts w:eastAsiaTheme="minorHAnsi"/>
          <w:sz w:val="16"/>
          <w:szCs w:val="16"/>
          <w:lang w:val="es-ES_tradnl"/>
        </w:rPr>
        <w:t xml:space="preserve">3) - </w:t>
      </w:r>
      <w:r w:rsidRPr="00497F19">
        <w:rPr>
          <w:sz w:val="16"/>
          <w:szCs w:val="16"/>
          <w:lang w:val="es-ES_tradnl"/>
        </w:rPr>
        <w:t>representa la diferencia entre el presupuesto final de 2012/13 después de las transferencias y los gastos reales sobre una base comparable registrados al 31 de diciembre de</w:t>
      </w:r>
      <w:r w:rsidR="004E3DF9" w:rsidRPr="00497F19">
        <w:rPr>
          <w:rFonts w:eastAsiaTheme="minorHAnsi"/>
          <w:sz w:val="16"/>
          <w:szCs w:val="16"/>
          <w:lang w:val="es-ES_tradnl"/>
        </w:rPr>
        <w:t xml:space="preserve"> 2013.</w:t>
      </w:r>
    </w:p>
    <w:p w:rsidR="002406E3" w:rsidRPr="0088190F" w:rsidRDefault="004E3DF9" w:rsidP="0088190F">
      <w:pPr>
        <w:pStyle w:val="Heading2"/>
        <w:rPr>
          <w:b/>
        </w:rPr>
      </w:pPr>
      <w:r w:rsidRPr="00497F19">
        <w:rPr>
          <w:sz w:val="16"/>
          <w:szCs w:val="16"/>
          <w:lang w:val="es-ES_tradnl"/>
        </w:rPr>
        <w:br w:type="page"/>
      </w:r>
      <w:bookmarkStart w:id="37" w:name="_Toc395626690"/>
      <w:r w:rsidR="0088190F" w:rsidRPr="0088190F">
        <w:rPr>
          <w:b/>
        </w:rPr>
        <w:lastRenderedPageBreak/>
        <w:t>Análisis del estado de la situación financiera</w:t>
      </w:r>
      <w:bookmarkEnd w:id="37"/>
    </w:p>
    <w:p w:rsidR="002406E3" w:rsidRPr="00497F19" w:rsidRDefault="002406E3" w:rsidP="002406E3">
      <w:pPr>
        <w:rPr>
          <w:lang w:val="es-ES_tradnl"/>
        </w:rPr>
      </w:pPr>
    </w:p>
    <w:p w:rsidR="002406E3" w:rsidRPr="00497F19" w:rsidRDefault="002406E3" w:rsidP="002406E3">
      <w:pPr>
        <w:rPr>
          <w:b/>
          <w:lang w:val="es-ES_tradnl"/>
        </w:rPr>
      </w:pPr>
      <w:r w:rsidRPr="00497F19">
        <w:rPr>
          <w:b/>
          <w:lang w:val="es-ES_tradnl"/>
        </w:rPr>
        <w:t>Movimiento de activos netos (Fondos de reserva y de operaciones)</w:t>
      </w:r>
    </w:p>
    <w:p w:rsidR="002406E3" w:rsidRPr="00497F19" w:rsidRDefault="002406E3" w:rsidP="002406E3">
      <w:pPr>
        <w:rPr>
          <w:lang w:val="es-ES_tradnl"/>
        </w:rPr>
      </w:pPr>
    </w:p>
    <w:p w:rsidR="002406E3" w:rsidRPr="00497F19" w:rsidRDefault="002406E3" w:rsidP="002406E3">
      <w:pPr>
        <w:jc w:val="both"/>
        <w:rPr>
          <w:lang w:val="es-ES_tradnl"/>
        </w:rPr>
      </w:pPr>
      <w:r w:rsidRPr="00497F19">
        <w:rPr>
          <w:lang w:val="es-ES_tradnl"/>
        </w:rPr>
        <w:t>Al 31 de diciembre de 2013, la Organización posee unos activos netos (o fondos de reserva y de operaciones-FRO) con arreglo a las IPSAS de 208,8 millones de francos suizos.  Según la presentación hecha en el informe de gestión financiera correspondiente al bienio 2010/11, la Organización tenía unos activos netos de 162,4 millones de francos suizos al 31 de diciembre de 2011.  Habida cuenta del cambio en la política contable en lo que respecta al reconocimiento de los ingresos procedentes de las solicitudes internacionales de patente, hubo que proceder a la reexpresión de los saldos de 2011, y a raíz de ello, al 31 de diciembre de 2011, los activos netos reexpresados pasaron a ser de 174,2 millones de francos suizos.  En el cuadro que figura a continuación se resume el aumento de los activos netos durante el bienio 2012/13:</w:t>
      </w:r>
    </w:p>
    <w:p w:rsidR="002406E3" w:rsidRPr="00497F19" w:rsidRDefault="002406E3" w:rsidP="002406E3">
      <w:pPr>
        <w:rPr>
          <w:lang w:val="es-ES_tradnl"/>
        </w:rPr>
      </w:pPr>
    </w:p>
    <w:p w:rsidR="002406E3" w:rsidRPr="00497F19" w:rsidRDefault="002406E3" w:rsidP="002406E3">
      <w:pPr>
        <w:jc w:val="center"/>
        <w:rPr>
          <w:lang w:val="es-ES_tradnl"/>
        </w:rPr>
      </w:pPr>
      <w:r w:rsidRPr="00497F19">
        <w:rPr>
          <w:lang w:val="es-ES_tradnl"/>
        </w:rPr>
        <w:t xml:space="preserve">Movimiento de activos netos (Fondos de reserva y de operaciones) 2012/13 </w:t>
      </w:r>
    </w:p>
    <w:p w:rsidR="002406E3" w:rsidRPr="00497F19" w:rsidRDefault="002406E3" w:rsidP="002406E3">
      <w:pPr>
        <w:rPr>
          <w:lang w:val="es-ES_tradnl"/>
        </w:rPr>
      </w:pPr>
    </w:p>
    <w:p w:rsidR="002406E3" w:rsidRPr="00497F19" w:rsidRDefault="00B86DF2" w:rsidP="002406E3">
      <w:pPr>
        <w:jc w:val="center"/>
        <w:rPr>
          <w:lang w:val="es-ES_tradnl"/>
        </w:rPr>
      </w:pPr>
      <w:r w:rsidRPr="00497F19">
        <w:rPr>
          <w:noProof/>
          <w:lang w:val="en-US" w:eastAsia="en-US"/>
        </w:rPr>
        <w:drawing>
          <wp:inline distT="0" distB="0" distL="0" distR="0" wp14:anchorId="1D51C1E6" wp14:editId="648848B4">
            <wp:extent cx="5057775" cy="3355396"/>
            <wp:effectExtent l="0" t="0" r="0" b="0"/>
            <wp:docPr id="4047" name="Picture 4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059589" cy="3356599"/>
                    </a:xfrm>
                    <a:prstGeom prst="rect">
                      <a:avLst/>
                    </a:prstGeom>
                    <a:noFill/>
                    <a:ln>
                      <a:noFill/>
                    </a:ln>
                  </pic:spPr>
                </pic:pic>
              </a:graphicData>
            </a:graphic>
          </wp:inline>
        </w:drawing>
      </w:r>
    </w:p>
    <w:p w:rsidR="002406E3" w:rsidRPr="00497F19" w:rsidRDefault="002406E3" w:rsidP="002406E3">
      <w:pPr>
        <w:rPr>
          <w:lang w:val="es-ES_tradnl"/>
        </w:rPr>
      </w:pPr>
    </w:p>
    <w:p w:rsidR="002406E3" w:rsidRPr="00497F19" w:rsidRDefault="002406E3" w:rsidP="002406E3">
      <w:pPr>
        <w:jc w:val="both"/>
        <w:rPr>
          <w:lang w:val="es-ES_tradnl"/>
        </w:rPr>
      </w:pPr>
      <w:r w:rsidRPr="00497F19">
        <w:rPr>
          <w:lang w:val="es-ES_tradnl"/>
        </w:rPr>
        <w:t xml:space="preserve">El resultado correspondiente al bienio con arreglo a las IPSAS es un superávit de 34,6 millones de francos suizos.  En esa cifra está incluido un superávit reexpresado, de 19,5 millones de francos suizos para el año 2012.  Se procedió a una reexpresión del resultado y </w:t>
      </w:r>
      <w:proofErr w:type="gramStart"/>
      <w:r w:rsidRPr="00497F19">
        <w:rPr>
          <w:lang w:val="es-ES_tradnl"/>
        </w:rPr>
        <w:t>de los activos netos correspondientes a 2012 tras un cambio en la política contable relativo</w:t>
      </w:r>
      <w:proofErr w:type="gramEnd"/>
      <w:r w:rsidRPr="00497F19">
        <w:rPr>
          <w:lang w:val="es-ES_tradnl"/>
        </w:rPr>
        <w:t xml:space="preserve"> al reconocimiento de ingresos procedentes de las solicitudes internacionales de patente.</w:t>
      </w:r>
    </w:p>
    <w:p w:rsidR="002406E3" w:rsidRPr="00497F19" w:rsidRDefault="002406E3" w:rsidP="002406E3">
      <w:pPr>
        <w:jc w:val="both"/>
        <w:rPr>
          <w:lang w:val="es-ES_tradnl"/>
        </w:rPr>
      </w:pPr>
    </w:p>
    <w:p w:rsidR="002406E3" w:rsidRPr="00497F19" w:rsidRDefault="002406E3" w:rsidP="002406E3">
      <w:pPr>
        <w:jc w:val="both"/>
        <w:rPr>
          <w:lang w:val="es-ES_tradnl"/>
        </w:rPr>
      </w:pPr>
      <w:r w:rsidRPr="00497F19">
        <w:rPr>
          <w:lang w:val="es-ES_tradnl"/>
        </w:rPr>
        <w:t>El superávit registrado con arreglo a las IPSAS, de 34,6 millones de francos suizos, puede compararse con el resultado presupuestario del bienio, a saber, un superávit de 68,9 millones de francos suizos.  La diferencia de 34,3 millones de francos suizos entre el resultado presupuestario y los estados financieros con arreglo a las IPSAS se analiza en detalle en el gráfico “Movimiento desde el resultado obtenido sobre una base presupuestaria hasta el resultado obtenido conforme a las IPSAS (2012/13) (véase la sección “Análisis del Estado de rendimiento financiero).  Sin embargo, y para resumir, en</w:t>
      </w:r>
      <w:r w:rsidR="006C2F33" w:rsidRPr="00497F19">
        <w:rPr>
          <w:lang w:val="es-ES_tradnl"/>
        </w:rPr>
        <w:t xml:space="preserve"> el resultado con arreglo a las I</w:t>
      </w:r>
      <w:r w:rsidRPr="00497F19">
        <w:rPr>
          <w:lang w:val="es-ES_tradnl"/>
        </w:rPr>
        <w:t>PSAS se tienen en cuenta también proyectos financiados con cargo a las reservas (definido como “diferencias en la entidad” en las IPSAS), y efectos de los movimientos del activo y del pasivo que deben ser reconocidos con arreglo a las IPSAS (“diferencias en la base contable”).</w:t>
      </w:r>
    </w:p>
    <w:p w:rsidR="002406E3" w:rsidRPr="00497F19" w:rsidRDefault="002406E3" w:rsidP="002406E3">
      <w:pPr>
        <w:spacing w:after="200" w:line="276" w:lineRule="auto"/>
        <w:rPr>
          <w:b/>
          <w:lang w:val="es-ES_tradnl"/>
        </w:rPr>
      </w:pPr>
      <w:r w:rsidRPr="00497F19">
        <w:rPr>
          <w:b/>
          <w:lang w:val="es-ES_tradnl"/>
        </w:rPr>
        <w:br w:type="page"/>
      </w:r>
    </w:p>
    <w:p w:rsidR="002406E3" w:rsidRPr="00497F19" w:rsidRDefault="002406E3" w:rsidP="002406E3">
      <w:pPr>
        <w:rPr>
          <w:b/>
          <w:lang w:val="es-ES_tradnl"/>
        </w:rPr>
      </w:pPr>
      <w:r w:rsidRPr="00497F19">
        <w:rPr>
          <w:b/>
          <w:lang w:val="es-ES_tradnl"/>
        </w:rPr>
        <w:lastRenderedPageBreak/>
        <w:t>Resumen de</w:t>
      </w:r>
      <w:r w:rsidR="0056158C" w:rsidRPr="00497F19">
        <w:rPr>
          <w:b/>
          <w:lang w:val="es-ES_tradnl"/>
        </w:rPr>
        <w:t>l</w:t>
      </w:r>
      <w:r w:rsidRPr="00497F19">
        <w:rPr>
          <w:b/>
          <w:lang w:val="es-ES_tradnl"/>
        </w:rPr>
        <w:t xml:space="preserve"> activo y del pasivo</w:t>
      </w:r>
    </w:p>
    <w:p w:rsidR="002406E3" w:rsidRPr="00497F19" w:rsidRDefault="002406E3" w:rsidP="002406E3">
      <w:pPr>
        <w:rPr>
          <w:lang w:val="es-ES_tradnl"/>
        </w:rPr>
      </w:pPr>
    </w:p>
    <w:p w:rsidR="002406E3" w:rsidRPr="00497F19" w:rsidRDefault="002406E3" w:rsidP="002406E3">
      <w:pPr>
        <w:jc w:val="both"/>
        <w:rPr>
          <w:lang w:val="es-ES_tradnl"/>
        </w:rPr>
      </w:pPr>
      <w:r w:rsidRPr="00497F19">
        <w:rPr>
          <w:lang w:val="es-ES_tradnl"/>
        </w:rPr>
        <w:t>El diagrama que se reproduce bajo estas líneas presenta un resumen del Estado de la situación financiera de la OMPI a 31 de diciembre de 2013.</w:t>
      </w:r>
    </w:p>
    <w:p w:rsidR="002406E3" w:rsidRPr="00497F19" w:rsidRDefault="002406E3" w:rsidP="002406E3">
      <w:pPr>
        <w:rPr>
          <w:lang w:val="es-ES_tradnl"/>
        </w:rPr>
      </w:pPr>
    </w:p>
    <w:p w:rsidR="002406E3" w:rsidRPr="00497F19" w:rsidRDefault="002406E3" w:rsidP="002406E3">
      <w:pPr>
        <w:jc w:val="center"/>
        <w:rPr>
          <w:lang w:val="es-ES_tradnl"/>
        </w:rPr>
      </w:pPr>
      <w:r w:rsidRPr="00497F19">
        <w:rPr>
          <w:lang w:val="es-ES_tradnl"/>
        </w:rPr>
        <w:t>Resumen del activo y del pasivo al 31 de diciembre de 2013</w:t>
      </w:r>
    </w:p>
    <w:p w:rsidR="002406E3" w:rsidRPr="00497F19" w:rsidRDefault="008F311C" w:rsidP="002406E3">
      <w:pPr>
        <w:jc w:val="center"/>
        <w:rPr>
          <w:lang w:val="es-ES_tradnl"/>
        </w:rPr>
      </w:pPr>
      <w:r w:rsidRPr="00497F19">
        <w:rPr>
          <w:noProof/>
          <w:lang w:val="en-US" w:eastAsia="en-US"/>
        </w:rPr>
        <w:drawing>
          <wp:inline distT="0" distB="0" distL="0" distR="0" wp14:anchorId="5B5A0B6A" wp14:editId="2874BC2C">
            <wp:extent cx="5337865" cy="3112166"/>
            <wp:effectExtent l="0" t="0" r="0" b="0"/>
            <wp:docPr id="4048" name="Picture 4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335512" cy="3110794"/>
                    </a:xfrm>
                    <a:prstGeom prst="rect">
                      <a:avLst/>
                    </a:prstGeom>
                    <a:noFill/>
                    <a:ln>
                      <a:noFill/>
                    </a:ln>
                  </pic:spPr>
                </pic:pic>
              </a:graphicData>
            </a:graphic>
          </wp:inline>
        </w:drawing>
      </w:r>
    </w:p>
    <w:p w:rsidR="002406E3" w:rsidRPr="00497F19" w:rsidRDefault="002406E3" w:rsidP="002406E3">
      <w:pPr>
        <w:spacing w:after="220"/>
        <w:jc w:val="both"/>
        <w:rPr>
          <w:szCs w:val="22"/>
          <w:lang w:val="es-ES_tradnl"/>
        </w:rPr>
      </w:pPr>
      <w:r w:rsidRPr="00497F19">
        <w:rPr>
          <w:lang w:val="es-ES_tradnl"/>
        </w:rPr>
        <w:t xml:space="preserve">La Organización posee saldos de efectivo por valor de 409,9 millones de francos suizos que representan el 45,5% del </w:t>
      </w:r>
      <w:r w:rsidR="0056158C" w:rsidRPr="00497F19">
        <w:rPr>
          <w:lang w:val="es-ES_tradnl"/>
        </w:rPr>
        <w:t xml:space="preserve">total de </w:t>
      </w:r>
      <w:r w:rsidRPr="00497F19">
        <w:rPr>
          <w:lang w:val="es-ES_tradnl"/>
        </w:rPr>
        <w:t>activo</w:t>
      </w:r>
      <w:r w:rsidR="0056158C" w:rsidRPr="00497F19">
        <w:rPr>
          <w:lang w:val="es-ES_tradnl"/>
        </w:rPr>
        <w:t>s</w:t>
      </w:r>
      <w:r w:rsidRPr="00497F19">
        <w:rPr>
          <w:lang w:val="es-ES_tradnl"/>
        </w:rPr>
        <w:t xml:space="preserve">, si bien se incluyen en esta cifra diversos importes clasificados como sujetos a restricciones con arreglo a las IPSAS.  La Organización posee un importante activo fijo (terrenos, edificios, </w:t>
      </w:r>
      <w:r w:rsidR="009F6455" w:rsidRPr="00497F19">
        <w:rPr>
          <w:lang w:val="es-ES_tradnl"/>
        </w:rPr>
        <w:t>propiedades</w:t>
      </w:r>
      <w:r w:rsidRPr="00497F19">
        <w:rPr>
          <w:lang w:val="es-ES_tradnl"/>
        </w:rPr>
        <w:t xml:space="preserve"> de inversión, </w:t>
      </w:r>
      <w:r w:rsidR="00EE7401" w:rsidRPr="00497F19">
        <w:rPr>
          <w:lang w:val="es-ES_tradnl"/>
        </w:rPr>
        <w:t>activos intangibles</w:t>
      </w:r>
      <w:r w:rsidRPr="00497F19">
        <w:rPr>
          <w:lang w:val="es-ES_tradnl"/>
        </w:rPr>
        <w:t xml:space="preserve"> y equipo) por un valor contable total de 396,4 millones de francos suizos. </w:t>
      </w:r>
      <w:r w:rsidRPr="00497F19">
        <w:rPr>
          <w:szCs w:val="22"/>
          <w:lang w:val="es-ES_tradnl"/>
        </w:rPr>
        <w:t xml:space="preserve"> Otros activos de la Organización, cuyo valor asciende a 94,2 millones de francos suizos, incluyen las cuentas por cobrar, los inventarios y los pagos anticipados</w:t>
      </w:r>
      <w:r w:rsidRPr="00497F19">
        <w:rPr>
          <w:lang w:val="es-ES_tradnl"/>
        </w:rPr>
        <w:t xml:space="preserve">.  De ello, el saldo más importante es el relativo a los deudores del </w:t>
      </w:r>
      <w:r w:rsidR="00EE39A4" w:rsidRPr="00497F19">
        <w:rPr>
          <w:lang w:val="es-ES_tradnl"/>
        </w:rPr>
        <w:t xml:space="preserve">Sistema del </w:t>
      </w:r>
      <w:r w:rsidRPr="00497F19">
        <w:rPr>
          <w:lang w:val="es-ES_tradnl"/>
        </w:rPr>
        <w:t xml:space="preserve">PCT, que asciende a 62,4 millones de francos suizos. </w:t>
      </w:r>
    </w:p>
    <w:p w:rsidR="002406E3" w:rsidRPr="00497F19" w:rsidRDefault="002406E3" w:rsidP="002406E3">
      <w:pPr>
        <w:spacing w:after="220"/>
        <w:jc w:val="both"/>
        <w:rPr>
          <w:lang w:val="es-ES_tradnl"/>
        </w:rPr>
      </w:pPr>
      <w:r w:rsidRPr="00497F19">
        <w:rPr>
          <w:lang w:val="es-ES_tradnl"/>
        </w:rPr>
        <w:t xml:space="preserve">Las cuentas por pagar y las transferencias por pagar junto con los cobros anticipados ascienden a 340,8 millones de francos suizos e incluyen principalmente ingresos diferidos por valor de 215,8 millones de francos suizos.  El pasivo </w:t>
      </w:r>
      <w:r w:rsidR="006C69DE" w:rsidRPr="00497F19">
        <w:rPr>
          <w:lang w:val="es-ES_tradnl"/>
        </w:rPr>
        <w:t>en</w:t>
      </w:r>
      <w:r w:rsidRPr="00497F19">
        <w:rPr>
          <w:lang w:val="es-ES_tradnl"/>
        </w:rPr>
        <w:t xml:space="preserve"> concepto de </w:t>
      </w:r>
      <w:r w:rsidR="009649C6" w:rsidRPr="00497F19">
        <w:rPr>
          <w:lang w:val="es-ES_tradnl"/>
        </w:rPr>
        <w:t>beneficios</w:t>
      </w:r>
      <w:r w:rsidRPr="00497F19">
        <w:rPr>
          <w:lang w:val="es-ES_tradnl"/>
        </w:rPr>
        <w:t xml:space="preserve"> a los empleados asciende a 150,5 millones de francos suizos y está constituido en su mayor parte por la deuda relativa al seguro médico tras la separación del servicio que representa 119,6 millones de francos suizos, mientras que los préstamos hacen referencia al préstamo de la </w:t>
      </w:r>
      <w:r w:rsidRPr="00497F19">
        <w:rPr>
          <w:i/>
          <w:lang w:val="es-ES_tradnl"/>
        </w:rPr>
        <w:t>Fondation des Immeubles pour les Organisations Internationales</w:t>
      </w:r>
      <w:r w:rsidRPr="00497F19">
        <w:rPr>
          <w:lang w:val="es-ES_tradnl"/>
        </w:rPr>
        <w:t xml:space="preserve"> (FIPOI) (22,3 millones de francos suizos) y el préstamo de BCG/BCV (122,2 millones de francos suizos).  En la rúbrica Otros pasivos por un total de 55,9 millones de francos suizos se incluyen cuentas corrientes mantenidas por orden de solicitantes y partes contratantes por valor de 54,9 millones de francos suizos.</w:t>
      </w:r>
    </w:p>
    <w:p w:rsidR="002406E3" w:rsidRPr="00497F19" w:rsidRDefault="002406E3" w:rsidP="002406E3">
      <w:pPr>
        <w:jc w:val="both"/>
        <w:rPr>
          <w:lang w:val="es-ES_tradnl"/>
        </w:rPr>
      </w:pPr>
      <w:r w:rsidRPr="00497F19">
        <w:rPr>
          <w:lang w:val="es-ES_tradnl"/>
        </w:rPr>
        <w:t>El capital circulante neto (active corriente menos pasivo corriente) de la Organización, al 31 de diciembre de 2013, asciende a 76,8 millones de francos suizos lo que representa un incremento significativo de 17,9 millones de francos suizos respecto del saldo obtenido a fines del bienio anterior.</w:t>
      </w:r>
    </w:p>
    <w:p w:rsidR="002406E3" w:rsidRPr="00497F19" w:rsidRDefault="002406E3" w:rsidP="002406E3">
      <w:pPr>
        <w:rPr>
          <w:lang w:val="es-ES_tradnl"/>
        </w:rPr>
      </w:pPr>
    </w:p>
    <w:p w:rsidR="002406E3" w:rsidRPr="00497F19" w:rsidRDefault="0061273A" w:rsidP="002406E3">
      <w:pPr>
        <w:jc w:val="center"/>
        <w:rPr>
          <w:lang w:val="es-ES_tradnl"/>
        </w:rPr>
      </w:pPr>
      <w:r w:rsidRPr="00497F19">
        <w:rPr>
          <w:noProof/>
          <w:lang w:val="en-US" w:eastAsia="en-US"/>
        </w:rPr>
        <w:lastRenderedPageBreak/>
        <w:drawing>
          <wp:inline distT="0" distB="0" distL="0" distR="0" wp14:anchorId="2163B595" wp14:editId="0939E78E">
            <wp:extent cx="5760085" cy="1252927"/>
            <wp:effectExtent l="0" t="0" r="0" b="4445"/>
            <wp:docPr id="4053" name="Picture 4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60085" cy="1252927"/>
                    </a:xfrm>
                    <a:prstGeom prst="rect">
                      <a:avLst/>
                    </a:prstGeom>
                    <a:noFill/>
                    <a:ln>
                      <a:noFill/>
                    </a:ln>
                  </pic:spPr>
                </pic:pic>
              </a:graphicData>
            </a:graphic>
          </wp:inline>
        </w:drawing>
      </w:r>
    </w:p>
    <w:p w:rsidR="002406E3" w:rsidRPr="00497F19" w:rsidRDefault="002406E3" w:rsidP="002406E3">
      <w:pPr>
        <w:spacing w:after="200" w:line="276" w:lineRule="auto"/>
        <w:rPr>
          <w:lang w:val="es-ES_tradnl"/>
        </w:rPr>
      </w:pPr>
    </w:p>
    <w:p w:rsidR="002406E3" w:rsidRPr="00497F19" w:rsidRDefault="002406E3" w:rsidP="002406E3">
      <w:pPr>
        <w:rPr>
          <w:b/>
          <w:lang w:val="es-ES_tradnl"/>
        </w:rPr>
      </w:pPr>
      <w:r w:rsidRPr="00497F19">
        <w:rPr>
          <w:b/>
          <w:lang w:val="es-ES_tradnl"/>
        </w:rPr>
        <w:t>Efectivo y equivalentes de efectivo</w:t>
      </w:r>
    </w:p>
    <w:p w:rsidR="002406E3" w:rsidRPr="00497F19" w:rsidRDefault="002406E3" w:rsidP="002406E3">
      <w:pPr>
        <w:rPr>
          <w:lang w:val="es-ES_tradnl"/>
        </w:rPr>
      </w:pPr>
    </w:p>
    <w:p w:rsidR="002406E3" w:rsidRPr="00497F19" w:rsidRDefault="0061273A" w:rsidP="002406E3">
      <w:pPr>
        <w:jc w:val="center"/>
        <w:rPr>
          <w:rFonts w:asciiTheme="minorHAnsi" w:eastAsiaTheme="minorHAnsi" w:hAnsiTheme="minorHAnsi" w:cstheme="minorBidi"/>
          <w:noProof/>
          <w:szCs w:val="22"/>
          <w:lang w:val="en-US" w:eastAsia="en-US"/>
        </w:rPr>
      </w:pPr>
      <w:r w:rsidRPr="00497F19">
        <w:rPr>
          <w:noProof/>
          <w:lang w:val="en-US" w:eastAsia="en-US"/>
        </w:rPr>
        <w:drawing>
          <wp:inline distT="0" distB="0" distL="0" distR="0" wp14:anchorId="0D74DE92" wp14:editId="578B526A">
            <wp:extent cx="5760085" cy="1503704"/>
            <wp:effectExtent l="0" t="0" r="0" b="1270"/>
            <wp:docPr id="4054" name="Picture 4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60085" cy="1503704"/>
                    </a:xfrm>
                    <a:prstGeom prst="rect">
                      <a:avLst/>
                    </a:prstGeom>
                    <a:noFill/>
                    <a:ln>
                      <a:noFill/>
                    </a:ln>
                  </pic:spPr>
                </pic:pic>
              </a:graphicData>
            </a:graphic>
          </wp:inline>
        </w:drawing>
      </w:r>
    </w:p>
    <w:p w:rsidR="0061273A" w:rsidRPr="00497F19" w:rsidRDefault="0061273A" w:rsidP="002406E3">
      <w:pPr>
        <w:jc w:val="center"/>
        <w:rPr>
          <w:lang w:val="es-ES_tradnl"/>
        </w:rPr>
      </w:pPr>
    </w:p>
    <w:p w:rsidR="002406E3" w:rsidRPr="00497F19" w:rsidRDefault="002406E3" w:rsidP="002406E3">
      <w:pPr>
        <w:jc w:val="both"/>
        <w:rPr>
          <w:lang w:val="es-ES_tradnl"/>
        </w:rPr>
      </w:pPr>
      <w:r w:rsidRPr="00497F19">
        <w:rPr>
          <w:lang w:val="es-ES_tradnl"/>
        </w:rPr>
        <w:t xml:space="preserve">Los saldos totales de efectivo y equivalentes de efectivo han aumentado 30,2 millones de francos suizos entre el 31 de diciembre de 2011 y el 31 de diciembre de 2013.  A los efectos de la presentación con arreglo a las IPSAS, los saldos de efectivo se clasifican en dos categorías según que estén o no sujetos a restricciones.  Entre los fondos sujetos a restricciones figuran los mantenidos en nombre de terceros con respecto al registro de marcas y de dibujos y modelos industriales, y a suscripciones a publicaciones periódicas de la OMPI. </w:t>
      </w:r>
      <w:r w:rsidRPr="00497F19">
        <w:rPr>
          <w:szCs w:val="22"/>
          <w:lang w:val="es-ES_tradnl"/>
        </w:rPr>
        <w:t xml:space="preserve"> Asimismo, se incluyen las tasas recaudadas en nombre de las Partes Contratantes en el Arreglo y el Protocolo de Madrid y el Arreglo de La Haya, y en nombre de las Administraciones encargadas de la búsqueda internacional del PCT, por la Oficina Internacional de la OMPI en calidad de oficina receptora.  Además, los depósitos recibidos en relación con procedimientos pendientes relativos a las marcas, a excepción de la parte que se considera como </w:t>
      </w:r>
      <w:r w:rsidR="008E5D01" w:rsidRPr="00497F19">
        <w:rPr>
          <w:szCs w:val="22"/>
          <w:lang w:val="es-ES_tradnl"/>
        </w:rPr>
        <w:t>cobros anticipados</w:t>
      </w:r>
      <w:r w:rsidRPr="00497F19">
        <w:rPr>
          <w:szCs w:val="22"/>
          <w:lang w:val="es-ES_tradnl"/>
        </w:rPr>
        <w:t xml:space="preserve"> para la Organización, representan los fondos recaudados en nombre de terceros y se consideran fondos de uso restringido.</w:t>
      </w:r>
    </w:p>
    <w:p w:rsidR="002406E3" w:rsidRPr="00497F19" w:rsidRDefault="002406E3" w:rsidP="002406E3">
      <w:pPr>
        <w:rPr>
          <w:lang w:val="es-ES_tradnl"/>
        </w:rPr>
      </w:pPr>
    </w:p>
    <w:p w:rsidR="002406E3" w:rsidRPr="00497F19" w:rsidRDefault="002406E3" w:rsidP="002406E3">
      <w:pPr>
        <w:rPr>
          <w:b/>
          <w:lang w:val="es-ES_tradnl"/>
        </w:rPr>
      </w:pPr>
      <w:r w:rsidRPr="00497F19">
        <w:rPr>
          <w:b/>
          <w:lang w:val="es-ES_tradnl"/>
        </w:rPr>
        <w:t>Activo</w:t>
      </w:r>
      <w:r w:rsidR="0056158C" w:rsidRPr="00497F19">
        <w:rPr>
          <w:b/>
          <w:lang w:val="es-ES_tradnl"/>
        </w:rPr>
        <w:t>s</w:t>
      </w:r>
      <w:r w:rsidRPr="00497F19">
        <w:rPr>
          <w:b/>
          <w:lang w:val="es-ES_tradnl"/>
        </w:rPr>
        <w:t xml:space="preserve"> fijo</w:t>
      </w:r>
      <w:r w:rsidR="0056158C" w:rsidRPr="00497F19">
        <w:rPr>
          <w:b/>
          <w:lang w:val="es-ES_tradnl"/>
        </w:rPr>
        <w:t>s</w:t>
      </w:r>
    </w:p>
    <w:p w:rsidR="002406E3" w:rsidRPr="00497F19" w:rsidRDefault="002406E3" w:rsidP="002406E3">
      <w:pPr>
        <w:rPr>
          <w:lang w:val="es-ES_tradnl"/>
        </w:rPr>
      </w:pPr>
    </w:p>
    <w:p w:rsidR="002406E3" w:rsidRPr="00497F19" w:rsidRDefault="00126D2D" w:rsidP="002406E3">
      <w:pPr>
        <w:rPr>
          <w:lang w:val="es-ES_tradnl"/>
        </w:rPr>
      </w:pPr>
      <w:r w:rsidRPr="00497F19">
        <w:rPr>
          <w:noProof/>
          <w:lang w:val="en-US" w:eastAsia="en-US"/>
        </w:rPr>
        <w:drawing>
          <wp:inline distT="0" distB="0" distL="0" distR="0" wp14:anchorId="16E5A25F" wp14:editId="0292E5A4">
            <wp:extent cx="5760085" cy="2910473"/>
            <wp:effectExtent l="0" t="0" r="0" b="4445"/>
            <wp:docPr id="4055" name="Picture 4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60085" cy="2910473"/>
                    </a:xfrm>
                    <a:prstGeom prst="rect">
                      <a:avLst/>
                    </a:prstGeom>
                    <a:noFill/>
                    <a:ln>
                      <a:noFill/>
                    </a:ln>
                  </pic:spPr>
                </pic:pic>
              </a:graphicData>
            </a:graphic>
          </wp:inline>
        </w:drawing>
      </w:r>
    </w:p>
    <w:p w:rsidR="007E68C5" w:rsidRPr="00497F19" w:rsidRDefault="007E68C5" w:rsidP="002406E3">
      <w:pPr>
        <w:rPr>
          <w:lang w:val="es-ES_tradnl"/>
        </w:rPr>
      </w:pPr>
    </w:p>
    <w:p w:rsidR="002406E3" w:rsidRPr="00497F19" w:rsidRDefault="002406E3" w:rsidP="002406E3">
      <w:pPr>
        <w:jc w:val="both"/>
        <w:rPr>
          <w:lang w:val="es-ES_tradnl"/>
        </w:rPr>
      </w:pPr>
      <w:r w:rsidRPr="00497F19">
        <w:rPr>
          <w:lang w:val="es-ES_tradnl"/>
        </w:rPr>
        <w:lastRenderedPageBreak/>
        <w:t>La Organización reconoce las compras de equipo como elementos del activo siempre y cuando su costo total sobrepase un umbral fijado en 5.000 francos suizos.</w:t>
      </w:r>
    </w:p>
    <w:p w:rsidR="002406E3" w:rsidRPr="00497F19" w:rsidRDefault="002406E3" w:rsidP="002406E3">
      <w:pPr>
        <w:jc w:val="both"/>
        <w:rPr>
          <w:lang w:val="es-ES_tradnl"/>
        </w:rPr>
      </w:pPr>
    </w:p>
    <w:p w:rsidR="002406E3" w:rsidRPr="00497F19" w:rsidRDefault="002406E3" w:rsidP="002406E3">
      <w:pPr>
        <w:jc w:val="both"/>
        <w:rPr>
          <w:lang w:val="es-ES_tradnl"/>
        </w:rPr>
      </w:pPr>
      <w:r w:rsidRPr="00497F19">
        <w:rPr>
          <w:lang w:val="es-ES_tradnl"/>
        </w:rPr>
        <w:t>El edificio de la Unión de Madrid, clasificado como propiedad de inversión con arreglo a las IPSAS, fue revaluado durante 2012, lo que supuso un aumento de su valoración en 500.000 francos suizos.</w:t>
      </w:r>
    </w:p>
    <w:p w:rsidR="002406E3" w:rsidRPr="00497F19" w:rsidRDefault="002406E3" w:rsidP="002406E3">
      <w:pPr>
        <w:jc w:val="both"/>
        <w:rPr>
          <w:lang w:val="es-ES_tradnl"/>
        </w:rPr>
      </w:pPr>
    </w:p>
    <w:p w:rsidR="002406E3" w:rsidRPr="00497F19" w:rsidRDefault="002406E3" w:rsidP="002406E3">
      <w:pPr>
        <w:jc w:val="both"/>
        <w:rPr>
          <w:lang w:val="es-ES_tradnl"/>
        </w:rPr>
      </w:pPr>
      <w:r w:rsidRPr="00497F19">
        <w:rPr>
          <w:lang w:val="es-ES_tradnl"/>
        </w:rPr>
        <w:t xml:space="preserve">El valor de los derechos de superficie continúa disminuyendo a razón de 0,4 millones de francos suizos al año ya que se amortizan sobre un período de 78 años.  Desde el 1 de enero de 2012 la Organización aplica la norma IPSAS 31 </w:t>
      </w:r>
      <w:r w:rsidR="00EE7401" w:rsidRPr="00497F19">
        <w:rPr>
          <w:lang w:val="es-ES_tradnl"/>
        </w:rPr>
        <w:t>Activos intangibles</w:t>
      </w:r>
      <w:r w:rsidRPr="00497F19">
        <w:rPr>
          <w:lang w:val="es-ES_tradnl"/>
        </w:rPr>
        <w:t>.  En consecuencia, los programas informáticos externamente adquiridos e internamente desarrollados se han capitalizado en los estados financieros por un valor total de 2,7 millones de francos suizos al 31 de diciembre de 2013.</w:t>
      </w:r>
    </w:p>
    <w:p w:rsidR="002406E3" w:rsidRPr="00497F19" w:rsidRDefault="002406E3" w:rsidP="002406E3">
      <w:pPr>
        <w:jc w:val="both"/>
        <w:rPr>
          <w:lang w:val="es-ES_tradnl"/>
        </w:rPr>
      </w:pPr>
    </w:p>
    <w:p w:rsidR="002406E3" w:rsidRPr="00497F19" w:rsidRDefault="002406E3" w:rsidP="002406E3">
      <w:pPr>
        <w:jc w:val="both"/>
        <w:rPr>
          <w:lang w:val="es-ES_tradnl"/>
        </w:rPr>
      </w:pPr>
      <w:r w:rsidRPr="00497F19">
        <w:rPr>
          <w:lang w:val="es-ES_tradnl"/>
        </w:rPr>
        <w:t>El valor de los terrenos y edificios ha crecido durante el bienio hasta cifrarse en 360,1 millones de francos suizos al 31 de diciembre de 2013.  En 2012 y 2013, la Organización capitalizó costos considerables como obras en curso relativas a la nueva sala de conferencias y obras para fomentar la seguridad, y también costos correspondientes a mejoras en los edificios ocupados.  Esos aumentos del valor de los edificios se han visto contrarrestados en parte por una depreciación de 12,6 millones de francos suizos durante el bienio.</w:t>
      </w:r>
    </w:p>
    <w:p w:rsidR="002406E3" w:rsidRPr="00497F19" w:rsidRDefault="002406E3" w:rsidP="002406E3">
      <w:pPr>
        <w:jc w:val="both"/>
        <w:rPr>
          <w:lang w:val="es-ES_tradnl"/>
        </w:rPr>
      </w:pPr>
    </w:p>
    <w:p w:rsidR="002406E3" w:rsidRPr="00497F19" w:rsidRDefault="002406E3" w:rsidP="002406E3">
      <w:pPr>
        <w:jc w:val="both"/>
        <w:rPr>
          <w:b/>
          <w:lang w:val="es-ES_tradnl"/>
        </w:rPr>
      </w:pPr>
      <w:r w:rsidRPr="00497F19">
        <w:rPr>
          <w:b/>
          <w:lang w:val="es-ES_tradnl"/>
        </w:rPr>
        <w:t>Otros activos</w:t>
      </w:r>
    </w:p>
    <w:p w:rsidR="002406E3" w:rsidRPr="00497F19" w:rsidRDefault="002406E3" w:rsidP="002406E3">
      <w:pPr>
        <w:jc w:val="both"/>
        <w:rPr>
          <w:b/>
          <w:lang w:val="es-ES_tradnl"/>
        </w:rPr>
      </w:pPr>
    </w:p>
    <w:p w:rsidR="002406E3" w:rsidRPr="00497F19" w:rsidRDefault="007E68C5" w:rsidP="002406E3">
      <w:pPr>
        <w:rPr>
          <w:lang w:val="es-ES_tradnl"/>
        </w:rPr>
      </w:pPr>
      <w:r w:rsidRPr="00497F19">
        <w:rPr>
          <w:noProof/>
          <w:lang w:val="en-US" w:eastAsia="en-US"/>
        </w:rPr>
        <w:drawing>
          <wp:inline distT="0" distB="0" distL="0" distR="0" wp14:anchorId="588070DC" wp14:editId="52768F2D">
            <wp:extent cx="5760085" cy="1986218"/>
            <wp:effectExtent l="0" t="0" r="0" b="0"/>
            <wp:docPr id="4056" name="Picture 4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60085" cy="1986218"/>
                    </a:xfrm>
                    <a:prstGeom prst="rect">
                      <a:avLst/>
                    </a:prstGeom>
                    <a:noFill/>
                    <a:ln>
                      <a:noFill/>
                    </a:ln>
                  </pic:spPr>
                </pic:pic>
              </a:graphicData>
            </a:graphic>
          </wp:inline>
        </w:drawing>
      </w:r>
    </w:p>
    <w:p w:rsidR="007E68C5" w:rsidRPr="00497F19" w:rsidRDefault="007E68C5" w:rsidP="002406E3">
      <w:pPr>
        <w:rPr>
          <w:lang w:val="es-ES_tradnl"/>
        </w:rPr>
      </w:pPr>
    </w:p>
    <w:p w:rsidR="002406E3" w:rsidRPr="00497F19" w:rsidRDefault="002406E3" w:rsidP="002406E3">
      <w:pPr>
        <w:jc w:val="both"/>
        <w:rPr>
          <w:lang w:val="es-ES_tradnl"/>
        </w:rPr>
      </w:pPr>
      <w:r w:rsidRPr="00497F19">
        <w:rPr>
          <w:lang w:val="es-ES_tradnl"/>
        </w:rPr>
        <w:t>Entre los demás activos cabe destacar principalmente a los deudores del</w:t>
      </w:r>
      <w:r w:rsidR="00EE39A4" w:rsidRPr="00497F19">
        <w:rPr>
          <w:lang w:val="es-ES_tradnl"/>
        </w:rPr>
        <w:t xml:space="preserve"> Sistema del</w:t>
      </w:r>
      <w:r w:rsidRPr="00497F19">
        <w:rPr>
          <w:lang w:val="es-ES_tradnl"/>
        </w:rPr>
        <w:t xml:space="preserve"> PCT, que representan un saldo de 62,4 millones de francos suizos al 31 de diciembre de 2013.  Se trata de solicitudes PCT que han sido presentadas ante Oficinas receptoras y posiblemente recibidas por la OMPI pero la Organización no ha recibido el pago de la tasa correspondiente.  Entre los demás deudores y pagos por a</w:t>
      </w:r>
      <w:r w:rsidR="00F37320" w:rsidRPr="00497F19">
        <w:rPr>
          <w:lang w:val="es-ES_tradnl"/>
        </w:rPr>
        <w:t>delantado al 31 de diciembre de </w:t>
      </w:r>
      <w:r w:rsidRPr="00497F19">
        <w:rPr>
          <w:lang w:val="es-ES_tradnl"/>
        </w:rPr>
        <w:t>2013, cabe destacar principalmente gastos anticipados por un importe de 4,9 millones de francos suizos, e impuestos de los Estados Unidos de América reembolsables, por un importe de 3,7 millones de francos suizos.  En cuanto a los anticipos, se trata principalmente de anticipos al personal para subsidios de educación, por un importe de 4,5 millones de francos suizos.</w:t>
      </w:r>
    </w:p>
    <w:p w:rsidR="002406E3" w:rsidRPr="00497F19" w:rsidRDefault="002406E3" w:rsidP="002406E3">
      <w:pPr>
        <w:keepNext/>
        <w:keepLines/>
        <w:rPr>
          <w:lang w:val="es-ES_tradnl"/>
        </w:rPr>
      </w:pPr>
    </w:p>
    <w:p w:rsidR="002406E3" w:rsidRPr="00497F19" w:rsidRDefault="002406E3" w:rsidP="002406E3">
      <w:pPr>
        <w:keepNext/>
        <w:keepLines/>
        <w:rPr>
          <w:b/>
          <w:lang w:val="es-ES_tradnl"/>
        </w:rPr>
      </w:pPr>
      <w:r w:rsidRPr="00497F19">
        <w:rPr>
          <w:b/>
          <w:lang w:val="es-ES_tradnl"/>
        </w:rPr>
        <w:t>Cuentas por pagar y cobros anticipados</w:t>
      </w:r>
    </w:p>
    <w:p w:rsidR="002406E3" w:rsidRPr="00497F19" w:rsidRDefault="002406E3" w:rsidP="002406E3">
      <w:pPr>
        <w:keepNext/>
        <w:keepLines/>
        <w:rPr>
          <w:lang w:val="es-ES_tradnl"/>
        </w:rPr>
      </w:pPr>
    </w:p>
    <w:p w:rsidR="002406E3" w:rsidRPr="00497F19" w:rsidRDefault="001F461D" w:rsidP="002406E3">
      <w:pPr>
        <w:jc w:val="center"/>
        <w:rPr>
          <w:lang w:val="es-ES_tradnl"/>
        </w:rPr>
      </w:pPr>
      <w:r w:rsidRPr="00497F19">
        <w:rPr>
          <w:noProof/>
          <w:lang w:val="en-US" w:eastAsia="en-US"/>
        </w:rPr>
        <w:drawing>
          <wp:inline distT="0" distB="0" distL="0" distR="0" wp14:anchorId="295F875E" wp14:editId="50D8E8B4">
            <wp:extent cx="5760085" cy="2927493"/>
            <wp:effectExtent l="0" t="0" r="0" b="6350"/>
            <wp:docPr id="4058" name="Picture 4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60085" cy="2927493"/>
                    </a:xfrm>
                    <a:prstGeom prst="rect">
                      <a:avLst/>
                    </a:prstGeom>
                    <a:noFill/>
                    <a:ln>
                      <a:noFill/>
                    </a:ln>
                  </pic:spPr>
                </pic:pic>
              </a:graphicData>
            </a:graphic>
          </wp:inline>
        </w:drawing>
      </w:r>
    </w:p>
    <w:p w:rsidR="001F461D" w:rsidRPr="00497F19" w:rsidRDefault="001F461D" w:rsidP="002406E3">
      <w:pPr>
        <w:jc w:val="center"/>
        <w:rPr>
          <w:lang w:val="es-ES_tradnl"/>
        </w:rPr>
      </w:pPr>
    </w:p>
    <w:p w:rsidR="002406E3" w:rsidRPr="00497F19" w:rsidRDefault="002406E3" w:rsidP="002406E3">
      <w:pPr>
        <w:jc w:val="both"/>
        <w:rPr>
          <w:lang w:val="es-ES_tradnl"/>
        </w:rPr>
      </w:pPr>
      <w:r w:rsidRPr="00497F19">
        <w:rPr>
          <w:szCs w:val="22"/>
          <w:lang w:val="es-ES_tradnl"/>
        </w:rPr>
        <w:t>Las transferencias por pagar son las tasas recaudadas por la Organización en nombre de las Partes Contratantes del Arreglo y Protocolo de Madrid y del Reglamento Común del Arreglo de La Haya.  Además, la Oficina Internacional de la Organización recauda fondos de los solicitantes para cubrir el costo de los pagos a las Administraciones encargadas de la búsqueda internacional.  La Organización mantiene esos fondos de manera temporal hasta que se transfieren a los beneficiarios finales de conformidad con los distintos tratados y arreglos administrados por la Organización</w:t>
      </w:r>
      <w:r w:rsidRPr="00497F19">
        <w:rPr>
          <w:lang w:val="es-ES_tradnl"/>
        </w:rPr>
        <w:t>.  El saldo total ha aumentado durante el bienio, pasando de 64,2 millones de francos suizos a finales de 2011, a 78,6 millones de francos suizos a finales de 2013.  Ese movimiento se debe principalmente a la reclasificación de una parte de los depósitos de la Unión de Madrid para que dejen de considerarse cobros anticipados a partir de 2012.  Hasta 2011, los depósitos de la Unión de Madrid formaban todos parte de los cobros anticipados pero a partir de 2012 se procedió a estimar por separado el saldo que representan los fondos recaudados en nombre de terceros, que fue reclasificado como transferencias por pagar.</w:t>
      </w:r>
    </w:p>
    <w:p w:rsidR="002406E3" w:rsidRPr="00497F19" w:rsidRDefault="002406E3" w:rsidP="002406E3">
      <w:pPr>
        <w:jc w:val="both"/>
        <w:rPr>
          <w:lang w:val="es-ES_tradnl"/>
        </w:rPr>
      </w:pPr>
    </w:p>
    <w:p w:rsidR="002406E3" w:rsidRPr="00497F19" w:rsidRDefault="002406E3" w:rsidP="002406E3">
      <w:pPr>
        <w:jc w:val="both"/>
        <w:rPr>
          <w:lang w:val="es-ES_tradnl"/>
        </w:rPr>
      </w:pPr>
      <w:r w:rsidRPr="00497F19">
        <w:rPr>
          <w:lang w:val="es-ES_tradnl"/>
        </w:rPr>
        <w:t>Los ingresos procedentes de las tasas relativas a la tramitación de solicitudes internacionales (marcas, dibujos y modelos industriales, patentes) son reconocidos como tales cuando se publica la solicitud.  Las tasas e importes recaudados antes de la publicación son reconocidos como ingresos diferidos que forman parte de los cobros anticipados.  Dichos cobros anticipados guardan relación principalmente con los i</w:t>
      </w:r>
      <w:r w:rsidR="00B662A7" w:rsidRPr="00497F19">
        <w:rPr>
          <w:lang w:val="es-ES_tradnl"/>
        </w:rPr>
        <w:t>ngresos diferidos respecto del S</w:t>
      </w:r>
      <w:r w:rsidRPr="00497F19">
        <w:rPr>
          <w:lang w:val="es-ES_tradnl"/>
        </w:rPr>
        <w:t>istema del PCT, con un saldo de 194,9 millones de francos suizos al 31 de diciembre de 2013.  Se estima que a esa fecha había aproximadamente 145.700 solicitudes presentadas que todavía estaban sin publicar.</w:t>
      </w:r>
    </w:p>
    <w:p w:rsidR="002406E3" w:rsidRPr="00497F19" w:rsidRDefault="002406E3" w:rsidP="002406E3">
      <w:pPr>
        <w:keepNext/>
        <w:keepLines/>
        <w:rPr>
          <w:lang w:val="es-ES_tradnl"/>
        </w:rPr>
      </w:pPr>
    </w:p>
    <w:p w:rsidR="002406E3" w:rsidRPr="00497F19" w:rsidRDefault="0056158C" w:rsidP="002406E3">
      <w:pPr>
        <w:keepNext/>
        <w:keepLines/>
        <w:rPr>
          <w:b/>
          <w:lang w:val="es-ES_tradnl"/>
        </w:rPr>
      </w:pPr>
      <w:r w:rsidRPr="00497F19">
        <w:rPr>
          <w:b/>
          <w:lang w:val="es-ES_tradnl"/>
        </w:rPr>
        <w:t>Beneficios</w:t>
      </w:r>
      <w:r w:rsidR="002406E3" w:rsidRPr="00497F19">
        <w:rPr>
          <w:b/>
          <w:lang w:val="es-ES_tradnl"/>
        </w:rPr>
        <w:t xml:space="preserve"> a los empleados</w:t>
      </w:r>
    </w:p>
    <w:p w:rsidR="002406E3" w:rsidRPr="00497F19" w:rsidRDefault="002406E3" w:rsidP="002406E3">
      <w:pPr>
        <w:keepNext/>
        <w:keepLines/>
        <w:rPr>
          <w:lang w:val="es-ES_tradnl"/>
        </w:rPr>
      </w:pPr>
    </w:p>
    <w:p w:rsidR="002406E3" w:rsidRPr="00497F19" w:rsidRDefault="001E0FC6" w:rsidP="002406E3">
      <w:pPr>
        <w:rPr>
          <w:rFonts w:asciiTheme="minorHAnsi" w:eastAsiaTheme="minorHAnsi" w:hAnsiTheme="minorHAnsi" w:cstheme="minorBidi"/>
          <w:noProof/>
          <w:szCs w:val="22"/>
          <w:lang w:val="en-US" w:eastAsia="en-US"/>
        </w:rPr>
      </w:pPr>
      <w:r w:rsidRPr="00497F19">
        <w:rPr>
          <w:noProof/>
          <w:lang w:val="en-US" w:eastAsia="en-US"/>
        </w:rPr>
        <w:drawing>
          <wp:inline distT="0" distB="0" distL="0" distR="0" wp14:anchorId="2C642D24" wp14:editId="1A247933">
            <wp:extent cx="5760085" cy="1985658"/>
            <wp:effectExtent l="0" t="0" r="0" b="0"/>
            <wp:docPr id="4061" name="Picture 4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60085" cy="1985658"/>
                    </a:xfrm>
                    <a:prstGeom prst="rect">
                      <a:avLst/>
                    </a:prstGeom>
                    <a:noFill/>
                    <a:ln>
                      <a:noFill/>
                    </a:ln>
                  </pic:spPr>
                </pic:pic>
              </a:graphicData>
            </a:graphic>
          </wp:inline>
        </w:drawing>
      </w:r>
    </w:p>
    <w:p w:rsidR="001E0FC6" w:rsidRPr="00497F19" w:rsidRDefault="001E0FC6" w:rsidP="002406E3">
      <w:pPr>
        <w:rPr>
          <w:lang w:val="es-ES_tradnl"/>
        </w:rPr>
      </w:pPr>
    </w:p>
    <w:p w:rsidR="002406E3" w:rsidRPr="00497F19" w:rsidRDefault="002406E3" w:rsidP="002406E3">
      <w:pPr>
        <w:jc w:val="both"/>
        <w:rPr>
          <w:lang w:val="es-ES_tradnl"/>
        </w:rPr>
      </w:pPr>
      <w:r w:rsidRPr="00497F19">
        <w:rPr>
          <w:lang w:val="es-ES_tradnl"/>
        </w:rPr>
        <w:t xml:space="preserve">Tal como queda ilustrado en el cuadro anterior, la obligación más importante </w:t>
      </w:r>
      <w:r w:rsidR="006C69DE" w:rsidRPr="00497F19">
        <w:rPr>
          <w:lang w:val="es-ES_tradnl"/>
        </w:rPr>
        <w:t>en</w:t>
      </w:r>
      <w:r w:rsidRPr="00497F19">
        <w:rPr>
          <w:lang w:val="es-ES_tradnl"/>
        </w:rPr>
        <w:t xml:space="preserve"> concepto de </w:t>
      </w:r>
      <w:r w:rsidR="009649C6" w:rsidRPr="00497F19">
        <w:rPr>
          <w:lang w:val="es-ES_tradnl"/>
        </w:rPr>
        <w:t>beneficios</w:t>
      </w:r>
      <w:r w:rsidRPr="00497F19">
        <w:rPr>
          <w:lang w:val="es-ES_tradnl"/>
        </w:rPr>
        <w:t xml:space="preserve"> a los empleados es la relativa al seguro médico después de la separación del servicio, que representa el 79,4% del </w:t>
      </w:r>
      <w:r w:rsidR="0056158C" w:rsidRPr="00497F19">
        <w:rPr>
          <w:lang w:val="es-ES_tradnl"/>
        </w:rPr>
        <w:t xml:space="preserve">total de los </w:t>
      </w:r>
      <w:r w:rsidRPr="00497F19">
        <w:rPr>
          <w:lang w:val="es-ES_tradnl"/>
        </w:rPr>
        <w:t>pasivo</w:t>
      </w:r>
      <w:r w:rsidR="0056158C" w:rsidRPr="00497F19">
        <w:rPr>
          <w:lang w:val="es-ES_tradnl"/>
        </w:rPr>
        <w:t>s</w:t>
      </w:r>
      <w:r w:rsidRPr="00497F19">
        <w:rPr>
          <w:lang w:val="es-ES_tradnl"/>
        </w:rPr>
        <w:t xml:space="preserve"> en este apartado al 31 de diciembre de 2013.  </w:t>
      </w:r>
      <w:r w:rsidR="00B35286" w:rsidRPr="00497F19">
        <w:rPr>
          <w:lang w:val="es-ES_tradnl"/>
        </w:rPr>
        <w:t xml:space="preserve">El pasivo en concepto de </w:t>
      </w:r>
      <w:r w:rsidRPr="00497F19">
        <w:rPr>
          <w:lang w:val="es-ES_tradnl"/>
        </w:rPr>
        <w:t>seguro médico después de la separación del servicio se ha incrementado en 16,2 millones de francos sui</w:t>
      </w:r>
      <w:r w:rsidR="00497F19">
        <w:rPr>
          <w:lang w:val="es-ES_tradnl"/>
        </w:rPr>
        <w:t>zos en el transcurso del bienio </w:t>
      </w:r>
      <w:r w:rsidRPr="00497F19">
        <w:rPr>
          <w:lang w:val="es-ES_tradnl"/>
        </w:rPr>
        <w:t>2012/13;  en el cuadro siguiente se detalla este movimiento:</w:t>
      </w:r>
    </w:p>
    <w:p w:rsidR="002406E3" w:rsidRPr="00497F19" w:rsidRDefault="002406E3" w:rsidP="002406E3">
      <w:pPr>
        <w:jc w:val="center"/>
        <w:rPr>
          <w:lang w:val="es-ES_tradnl"/>
        </w:rPr>
      </w:pPr>
    </w:p>
    <w:p w:rsidR="002406E3" w:rsidRPr="00497F19" w:rsidRDefault="00B11311" w:rsidP="002406E3">
      <w:pPr>
        <w:jc w:val="center"/>
        <w:rPr>
          <w:lang w:val="es-ES_tradnl"/>
        </w:rPr>
      </w:pPr>
      <w:r w:rsidRPr="00497F19">
        <w:rPr>
          <w:noProof/>
          <w:lang w:val="en-US" w:eastAsia="en-US"/>
        </w:rPr>
        <w:drawing>
          <wp:inline distT="0" distB="0" distL="0" distR="0" wp14:anchorId="044A5912" wp14:editId="3347BC37">
            <wp:extent cx="4540250" cy="1616075"/>
            <wp:effectExtent l="0" t="0" r="0" b="3175"/>
            <wp:docPr id="4062" name="Picture 4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540250" cy="1616075"/>
                    </a:xfrm>
                    <a:prstGeom prst="rect">
                      <a:avLst/>
                    </a:prstGeom>
                    <a:noFill/>
                    <a:ln>
                      <a:noFill/>
                    </a:ln>
                  </pic:spPr>
                </pic:pic>
              </a:graphicData>
            </a:graphic>
          </wp:inline>
        </w:drawing>
      </w:r>
    </w:p>
    <w:p w:rsidR="002406E3" w:rsidRPr="00497F19" w:rsidRDefault="002406E3" w:rsidP="002406E3">
      <w:pPr>
        <w:rPr>
          <w:lang w:val="es-ES_tradnl"/>
        </w:rPr>
      </w:pPr>
    </w:p>
    <w:p w:rsidR="002406E3" w:rsidRPr="00497F19" w:rsidRDefault="002406E3" w:rsidP="002406E3">
      <w:pPr>
        <w:jc w:val="both"/>
        <w:rPr>
          <w:lang w:val="es-ES_tradnl"/>
        </w:rPr>
      </w:pPr>
      <w:r w:rsidRPr="00497F19">
        <w:rPr>
          <w:lang w:val="es-ES_tradnl"/>
        </w:rPr>
        <w:t xml:space="preserve">La obligación es calculada por un actuario independiente y </w:t>
      </w:r>
      <w:proofErr w:type="gramStart"/>
      <w:r w:rsidRPr="00497F19">
        <w:rPr>
          <w:lang w:val="es-ES_tradnl"/>
        </w:rPr>
        <w:t>refleja</w:t>
      </w:r>
      <w:proofErr w:type="gramEnd"/>
      <w:r w:rsidRPr="00497F19">
        <w:rPr>
          <w:lang w:val="es-ES_tradnl"/>
        </w:rPr>
        <w:t xml:space="preserve"> el costo total futuro de la parte correspondiente a la OMPI de las primas de seguro médico de los actuales jubilados de la OMPI y del número proyectado de funcionarios activos de la OMPI que se jubilarán en el futuro.  </w:t>
      </w:r>
      <w:r w:rsidR="001304D7" w:rsidRPr="00497F19">
        <w:rPr>
          <w:lang w:val="es-ES_tradnl"/>
        </w:rPr>
        <w:t>Los</w:t>
      </w:r>
      <w:r w:rsidRPr="00497F19">
        <w:rPr>
          <w:lang w:val="es-ES_tradnl"/>
        </w:rPr>
        <w:t xml:space="preserve"> costo</w:t>
      </w:r>
      <w:r w:rsidR="001304D7" w:rsidRPr="00497F19">
        <w:rPr>
          <w:lang w:val="es-ES_tradnl"/>
        </w:rPr>
        <w:t>s</w:t>
      </w:r>
      <w:r w:rsidRPr="00497F19">
        <w:rPr>
          <w:lang w:val="es-ES_tradnl"/>
        </w:rPr>
        <w:t xml:space="preserve"> </w:t>
      </w:r>
      <w:r w:rsidR="001304D7" w:rsidRPr="00497F19">
        <w:rPr>
          <w:lang w:val="es-ES_tradnl"/>
        </w:rPr>
        <w:t xml:space="preserve">corrientes </w:t>
      </w:r>
      <w:r w:rsidR="006E46E1" w:rsidRPr="00497F19">
        <w:rPr>
          <w:lang w:val="es-ES_tradnl"/>
        </w:rPr>
        <w:t xml:space="preserve">de servicio </w:t>
      </w:r>
      <w:r w:rsidRPr="00497F19">
        <w:rPr>
          <w:lang w:val="es-ES_tradnl"/>
        </w:rPr>
        <w:t>que aparece</w:t>
      </w:r>
      <w:r w:rsidR="001304D7" w:rsidRPr="00497F19">
        <w:rPr>
          <w:lang w:val="es-ES_tradnl"/>
        </w:rPr>
        <w:t>n</w:t>
      </w:r>
      <w:r w:rsidRPr="00497F19">
        <w:rPr>
          <w:lang w:val="es-ES_tradnl"/>
        </w:rPr>
        <w:t xml:space="preserve"> en el cuadro anterior es la incidencia neta durante el período que resulta del aumento de edad del personal actual y de sus familiares a cargo, del número de personas que se jubila y de las nuevas contrataciones y separaciones del servicio que no sean por vía de jubilación.  El costo de intereses es el efecto resultante del hecho de que cada miembro activo del personal se encuentra un año más cerca de alcanzar la edad en que podrá optar a la jubilación con seguro médico.</w:t>
      </w:r>
    </w:p>
    <w:p w:rsidR="002406E3" w:rsidRPr="00497F19" w:rsidRDefault="002406E3" w:rsidP="002406E3">
      <w:pPr>
        <w:jc w:val="both"/>
        <w:rPr>
          <w:lang w:val="es-ES_tradnl"/>
        </w:rPr>
      </w:pPr>
    </w:p>
    <w:p w:rsidR="002406E3" w:rsidRPr="00497F19" w:rsidRDefault="002406E3" w:rsidP="002406E3">
      <w:pPr>
        <w:rPr>
          <w:lang w:val="es-ES_tradnl"/>
        </w:rPr>
      </w:pPr>
    </w:p>
    <w:p w:rsidR="002406E3" w:rsidRPr="00497F19" w:rsidRDefault="002406E3" w:rsidP="002406E3">
      <w:pPr>
        <w:rPr>
          <w:b/>
          <w:lang w:val="es-ES_tradnl"/>
        </w:rPr>
      </w:pPr>
      <w:r w:rsidRPr="00497F19">
        <w:rPr>
          <w:b/>
          <w:lang w:val="es-ES_tradnl"/>
        </w:rPr>
        <w:t>Préstamos</w:t>
      </w:r>
    </w:p>
    <w:p w:rsidR="00401014" w:rsidRPr="00497F19" w:rsidRDefault="00401014" w:rsidP="002406E3">
      <w:pPr>
        <w:rPr>
          <w:b/>
          <w:lang w:val="es-ES_tradnl"/>
        </w:rPr>
      </w:pPr>
    </w:p>
    <w:p w:rsidR="002406E3" w:rsidRPr="00497F19" w:rsidRDefault="00401014" w:rsidP="002406E3">
      <w:pPr>
        <w:rPr>
          <w:lang w:val="es-ES_tradnl"/>
        </w:rPr>
      </w:pPr>
      <w:r w:rsidRPr="00497F19">
        <w:rPr>
          <w:noProof/>
          <w:lang w:val="en-US" w:eastAsia="en-US"/>
        </w:rPr>
        <w:drawing>
          <wp:inline distT="0" distB="0" distL="0" distR="0" wp14:anchorId="620C580E" wp14:editId="0E9AF545">
            <wp:extent cx="5760085" cy="1331775"/>
            <wp:effectExtent l="0" t="0" r="0" b="1905"/>
            <wp:docPr id="4063" name="Picture 4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60085" cy="1331775"/>
                    </a:xfrm>
                    <a:prstGeom prst="rect">
                      <a:avLst/>
                    </a:prstGeom>
                    <a:noFill/>
                    <a:ln>
                      <a:noFill/>
                    </a:ln>
                  </pic:spPr>
                </pic:pic>
              </a:graphicData>
            </a:graphic>
          </wp:inline>
        </w:drawing>
      </w:r>
    </w:p>
    <w:p w:rsidR="002406E3" w:rsidRPr="00497F19" w:rsidRDefault="002406E3" w:rsidP="002406E3">
      <w:pPr>
        <w:jc w:val="center"/>
        <w:rPr>
          <w:lang w:val="es-ES_tradnl"/>
        </w:rPr>
      </w:pPr>
    </w:p>
    <w:p w:rsidR="002406E3" w:rsidRPr="00497F19" w:rsidRDefault="002406E3" w:rsidP="002406E3">
      <w:pPr>
        <w:rPr>
          <w:lang w:val="es-ES_tradnl"/>
        </w:rPr>
      </w:pPr>
    </w:p>
    <w:p w:rsidR="002406E3" w:rsidRPr="00497F19" w:rsidRDefault="002406E3" w:rsidP="002406E3">
      <w:pPr>
        <w:jc w:val="both"/>
        <w:rPr>
          <w:lang w:val="es-ES_tradnl"/>
        </w:rPr>
      </w:pPr>
      <w:r w:rsidRPr="00497F19">
        <w:rPr>
          <w:lang w:val="es-ES_tradnl"/>
        </w:rPr>
        <w:lastRenderedPageBreak/>
        <w:t>La Organización ha contraído préstamos (50,8 millones de francos suizos y 8,41 millones de francos suizos aprobados en 1977 y 1987 respectivamente) con la FIPOI para construir sus edificios de la sede de Ginebra (Suiza).   Esos préstamos estaban sujetos originalmente al pago de intereses.  Sin embargo, en 1996 el Departamento Federal Suizo de Relaciones Exteriores acordó exonerar a la Organización del pago de intereses y actualmente sólo es necesario reembolsar el capital restante del préstamo.</w:t>
      </w:r>
    </w:p>
    <w:p w:rsidR="002406E3" w:rsidRPr="00497F19" w:rsidRDefault="002406E3" w:rsidP="002406E3">
      <w:pPr>
        <w:jc w:val="both"/>
        <w:rPr>
          <w:lang w:val="es-ES_tradnl"/>
        </w:rPr>
      </w:pPr>
    </w:p>
    <w:p w:rsidR="002406E3" w:rsidRPr="00497F19" w:rsidRDefault="002406E3" w:rsidP="002406E3">
      <w:pPr>
        <w:jc w:val="both"/>
        <w:rPr>
          <w:lang w:val="es-ES_tradnl"/>
        </w:rPr>
      </w:pPr>
      <w:r w:rsidRPr="00497F19">
        <w:rPr>
          <w:lang w:val="es-ES_tradnl"/>
        </w:rPr>
        <w:t xml:space="preserve">En febrero de 2008, la Organización suscribió un contrato con los bancos suizos </w:t>
      </w:r>
      <w:r w:rsidRPr="00497F19">
        <w:rPr>
          <w:i/>
          <w:lang w:val="es-ES_tradnl"/>
        </w:rPr>
        <w:t>Banque Cantonale de Genève</w:t>
      </w:r>
      <w:r w:rsidRPr="00497F19">
        <w:rPr>
          <w:lang w:val="es-ES_tradnl"/>
        </w:rPr>
        <w:t xml:space="preserve"> y </w:t>
      </w:r>
      <w:r w:rsidRPr="00497F19">
        <w:rPr>
          <w:i/>
          <w:lang w:val="es-ES_tradnl"/>
        </w:rPr>
        <w:t>Banque Cantonale Vaudoise</w:t>
      </w:r>
      <w:r w:rsidRPr="00497F19">
        <w:rPr>
          <w:lang w:val="es-ES_tradnl"/>
        </w:rPr>
        <w:t xml:space="preserve"> para obtener un préstamo de 114 millones de francos suizos, además de un posible importe suplementario de 16 millones de francos suizos, con el fin de financiar parte de los costos de construcción del nuevo edificio, cantidad disponible para su utilización hasta el 28 de febrero de 2011.  El 27 de enero de 2011 se hizo uso de ese importe suplementario de 16 millones de francos suizos.  El tipo de interés se fijó con arreglo al tipo de interés LIBOR en francos suizos por un período de hasta 15 años además de un margen del 0,30% al 0,70% en función de la duración del contrato determinada por la Organización.  En 2013 el pago de intereses ascendió a 3,2 millones de francos suizos.  Además del pago de intereses, en el contrato se estipula el reembolso anual del capital por un importe equivalente al 3,0% del total del préstamo a partir del 28 de febrero de 2012 en lo que se refiere al préstamo original de 114 millones de francos suizos, así como al préstamo suplementario de 16 millones de francos suizos.  </w:t>
      </w:r>
    </w:p>
    <w:p w:rsidR="002406E3" w:rsidRPr="00497F19" w:rsidRDefault="002406E3" w:rsidP="002406E3">
      <w:pPr>
        <w:jc w:val="both"/>
        <w:rPr>
          <w:lang w:val="es-ES_tradnl"/>
        </w:rPr>
      </w:pPr>
    </w:p>
    <w:p w:rsidR="002406E3" w:rsidRPr="00497F19" w:rsidRDefault="002406E3" w:rsidP="002406E3">
      <w:pPr>
        <w:jc w:val="both"/>
        <w:rPr>
          <w:lang w:val="es-ES_tradnl"/>
        </w:rPr>
      </w:pPr>
      <w:r w:rsidRPr="00497F19">
        <w:rPr>
          <w:lang w:val="es-ES_tradnl"/>
        </w:rPr>
        <w:t xml:space="preserve">En octubre de 2010, la </w:t>
      </w:r>
      <w:r w:rsidRPr="00497F19">
        <w:rPr>
          <w:i/>
          <w:lang w:val="es-ES_tradnl"/>
        </w:rPr>
        <w:t xml:space="preserve">Banque Cantonale de Genève, </w:t>
      </w:r>
      <w:r w:rsidRPr="00497F19">
        <w:rPr>
          <w:lang w:val="es-ES_tradnl"/>
        </w:rPr>
        <w:t xml:space="preserve">la </w:t>
      </w:r>
      <w:r w:rsidRPr="00497F19">
        <w:rPr>
          <w:i/>
          <w:lang w:val="es-ES_tradnl"/>
        </w:rPr>
        <w:t xml:space="preserve">Banque Cantonale Vaudoise </w:t>
      </w:r>
      <w:r w:rsidRPr="00497F19">
        <w:rPr>
          <w:lang w:val="es-ES_tradnl"/>
        </w:rPr>
        <w:t>y la OMPI aprobaron una modificación del contrato de préstamo por la cual se aportaba un importe adicional de 40 millones de francos suizos, destinado a financiar parte de los costos de construcción de la nueva sala de conferencias, que estaría disponible para su utilización durante el período comprendido entre el 31 de marzo de 2011 y el 31 de marzo de 2014.  A comienzos de 2014 ese período fue ampliado hasta el 31 de marzo de 2015.  El tipo de interés también se fijó con arreglo al tipo de interés del LIBOR en francos suizos por un período de 15 años, además de un margen del 0,30% al 0,70% en función de la duración del contrato determinada por la Organización.   Asimismo, el contrato prevé el reembolso anual del capital por un importe equivalente al 3% del total del préstamo, a partir del 31 de marzo de 2015, en lo que respecta al préstamo de 40 millones de francos suizos.  Al 31 de diciembre de 2013 la Organización no había hecho uso del importe adicional de 40 millones de francos suizos.  Cabe observar que la Organización paga una comisión anual del 0,15% por el importe no utilizado de un préstamo durante el período de disponibilidad.</w:t>
      </w:r>
    </w:p>
    <w:p w:rsidR="00A304F6" w:rsidRDefault="00A304F6" w:rsidP="002406E3">
      <w:pPr>
        <w:rPr>
          <w:b/>
          <w:lang w:val="es-ES_tradnl"/>
        </w:rPr>
      </w:pPr>
    </w:p>
    <w:p w:rsidR="00A304F6" w:rsidRDefault="00A304F6" w:rsidP="002406E3">
      <w:pPr>
        <w:rPr>
          <w:b/>
          <w:lang w:val="es-ES_tradnl"/>
        </w:rPr>
      </w:pPr>
    </w:p>
    <w:p w:rsidR="002406E3" w:rsidRPr="00497F19" w:rsidRDefault="002406E3" w:rsidP="002406E3">
      <w:pPr>
        <w:rPr>
          <w:b/>
          <w:lang w:val="es-ES_tradnl"/>
        </w:rPr>
      </w:pPr>
      <w:r w:rsidRPr="00497F19">
        <w:rPr>
          <w:b/>
          <w:lang w:val="es-ES_tradnl"/>
        </w:rPr>
        <w:t>Situación financiera por segmentos</w:t>
      </w:r>
    </w:p>
    <w:p w:rsidR="002406E3" w:rsidRPr="00497F19" w:rsidRDefault="002406E3" w:rsidP="002406E3">
      <w:pPr>
        <w:rPr>
          <w:lang w:val="es-ES_tradnl"/>
        </w:rPr>
      </w:pPr>
    </w:p>
    <w:p w:rsidR="002406E3" w:rsidRPr="00497F19" w:rsidRDefault="002406E3" w:rsidP="002406E3">
      <w:pPr>
        <w:jc w:val="both"/>
        <w:rPr>
          <w:lang w:val="es-ES_tradnl"/>
        </w:rPr>
      </w:pPr>
      <w:r w:rsidRPr="00497F19">
        <w:rPr>
          <w:lang w:val="es-ES_tradnl"/>
        </w:rPr>
        <w:t>Las IPSAS exigen que la OMPI divulgue los elementos de su activo y de su pasivo para cada uno de los segmentos que constituyen la Organización.  La información financiera por segmentos de la OMPI se presenta en un formato que representa a las distintas Uniones como los segmentos que componen la Organización.  Se ha establecido un segmento aparte para las contribuciones voluntarias que representan importes administrados por la OMPI en nombre de donantes individuales para llevar a cabo programas relacionados con el mandato de la OMPI.  Los activos y pasivos de la OMPI, salvedad hecha de las reservas que representan los activos netos, son propiedad o responsabilidad de toda la Organización y no activos o pasivos de cada una de las Uniones o segmentos.  Los activos y pasivos en general respaldan una amplia gama de actividades de prestación de servicios de las diversas Uniones.  La única excepción es el inmueble de inversión sito en Meyrin que es propiedad de la Unión de Madrid.  Por consiguiente, los activos y pasivos de cada una de las Uniones no se verán reflejados en la información que se presenta respecto de cada uno de los segmentos o Uniones, sino que se indican por separado como activos y pasivos sin consignar.  Sólo los activos netos/patrimonio neto, incluidos los fondos de operaciones y reservas, se desglosan por cada segmento, como lo ilustra el cuadro que se reproduce bajo estas líneas:</w:t>
      </w:r>
    </w:p>
    <w:p w:rsidR="002406E3" w:rsidRPr="00497F19" w:rsidRDefault="002406E3" w:rsidP="002406E3">
      <w:pPr>
        <w:rPr>
          <w:lang w:val="es-ES_tradnl"/>
        </w:rPr>
      </w:pPr>
    </w:p>
    <w:p w:rsidR="002406E3" w:rsidRPr="00497F19" w:rsidRDefault="00143FD2" w:rsidP="002406E3">
      <w:pPr>
        <w:jc w:val="center"/>
        <w:rPr>
          <w:lang w:val="es-ES_tradnl"/>
        </w:rPr>
      </w:pPr>
      <w:r w:rsidRPr="00497F19">
        <w:rPr>
          <w:noProof/>
          <w:lang w:val="en-US" w:eastAsia="en-US"/>
        </w:rPr>
        <w:lastRenderedPageBreak/>
        <w:drawing>
          <wp:inline distT="0" distB="0" distL="0" distR="0" wp14:anchorId="69C005EC" wp14:editId="06B00EDF">
            <wp:extent cx="5760085" cy="1573555"/>
            <wp:effectExtent l="0" t="0" r="0" b="7620"/>
            <wp:docPr id="4069" name="Picture 4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60085" cy="1573555"/>
                    </a:xfrm>
                    <a:prstGeom prst="rect">
                      <a:avLst/>
                    </a:prstGeom>
                    <a:noFill/>
                    <a:ln>
                      <a:noFill/>
                    </a:ln>
                  </pic:spPr>
                </pic:pic>
              </a:graphicData>
            </a:graphic>
          </wp:inline>
        </w:drawing>
      </w:r>
    </w:p>
    <w:p w:rsidR="002406E3" w:rsidRPr="00497F19" w:rsidRDefault="002406E3" w:rsidP="002406E3">
      <w:pPr>
        <w:spacing w:after="200" w:line="276" w:lineRule="auto"/>
        <w:rPr>
          <w:b/>
          <w:lang w:val="es-ES_tradnl"/>
        </w:rPr>
      </w:pPr>
      <w:r w:rsidRPr="00497F19">
        <w:rPr>
          <w:b/>
          <w:lang w:val="es-ES_tradnl"/>
        </w:rPr>
        <w:br w:type="page"/>
      </w:r>
    </w:p>
    <w:p w:rsidR="002406E3" w:rsidRPr="0088190F" w:rsidRDefault="0088190F" w:rsidP="0088190F">
      <w:pPr>
        <w:pStyle w:val="Heading2"/>
        <w:rPr>
          <w:b/>
        </w:rPr>
      </w:pPr>
      <w:bookmarkStart w:id="38" w:name="_Toc395626691"/>
      <w:r w:rsidRPr="0088190F">
        <w:rPr>
          <w:b/>
        </w:rPr>
        <w:lastRenderedPageBreak/>
        <w:t>Análisis del estado de rendimiento financiero</w:t>
      </w:r>
      <w:bookmarkEnd w:id="38"/>
    </w:p>
    <w:p w:rsidR="002406E3" w:rsidRPr="00497F19" w:rsidRDefault="002406E3" w:rsidP="002406E3">
      <w:pPr>
        <w:pStyle w:val="HEADING220"/>
        <w:rPr>
          <w:rFonts w:eastAsia="SimSun"/>
          <w:color w:val="auto"/>
          <w:lang w:val="es-ES" w:eastAsia="zh-CN"/>
        </w:rPr>
      </w:pPr>
    </w:p>
    <w:p w:rsidR="00B1600C" w:rsidRPr="00497F19" w:rsidRDefault="00B1600C" w:rsidP="002406E3">
      <w:pPr>
        <w:pStyle w:val="HEADING220"/>
        <w:rPr>
          <w:rFonts w:eastAsia="SimSun"/>
          <w:color w:val="auto"/>
          <w:lang w:val="es-ES" w:eastAsia="zh-CN"/>
        </w:rPr>
      </w:pPr>
    </w:p>
    <w:p w:rsidR="002406E3" w:rsidRPr="00497F19" w:rsidRDefault="002406E3" w:rsidP="002406E3">
      <w:pPr>
        <w:rPr>
          <w:b/>
          <w:lang w:val="es-ES_tradnl"/>
        </w:rPr>
      </w:pPr>
      <w:r w:rsidRPr="00497F19">
        <w:rPr>
          <w:b/>
          <w:lang w:val="es-ES_tradnl"/>
        </w:rPr>
        <w:t>Conciliación del resultado presupuestario con el resultado según las IPSAS 2012/13</w:t>
      </w:r>
    </w:p>
    <w:p w:rsidR="002406E3" w:rsidRPr="00497F19" w:rsidRDefault="002406E3" w:rsidP="002406E3">
      <w:pPr>
        <w:rPr>
          <w:lang w:val="es-ES_tradnl"/>
        </w:rPr>
      </w:pPr>
    </w:p>
    <w:p w:rsidR="002406E3" w:rsidRPr="00497F19" w:rsidRDefault="002406E3" w:rsidP="002406E3">
      <w:pPr>
        <w:jc w:val="both"/>
        <w:rPr>
          <w:lang w:val="es-ES_tradnl"/>
        </w:rPr>
      </w:pPr>
      <w:r w:rsidRPr="00497F19">
        <w:rPr>
          <w:lang w:val="es-ES_tradnl"/>
        </w:rPr>
        <w:t>El resultado presupuestario correspondiente al bienio 2012/13 fue un superávit de 68,9 millones de francos suizos, en comparación con un superávit de 34,6 millones de francos suizos conforme al resultado arrojado por los estados financieros según las IPSAS.  El diagrama que se reproduce bajo estas líneas expone de manera resumida las principales diferencias entre ambos resultados:</w:t>
      </w:r>
    </w:p>
    <w:p w:rsidR="002406E3" w:rsidRPr="00497F19" w:rsidRDefault="002406E3" w:rsidP="002406E3">
      <w:pPr>
        <w:rPr>
          <w:lang w:val="es-ES_tradnl"/>
        </w:rPr>
      </w:pPr>
    </w:p>
    <w:p w:rsidR="002406E3" w:rsidRPr="00497F19" w:rsidRDefault="002406E3" w:rsidP="002406E3">
      <w:pPr>
        <w:jc w:val="center"/>
        <w:rPr>
          <w:lang w:val="es-ES_tradnl"/>
        </w:rPr>
      </w:pPr>
      <w:r w:rsidRPr="00497F19">
        <w:rPr>
          <w:lang w:val="es-ES_tradnl"/>
        </w:rPr>
        <w:t>Movimiento desde el resultado obtenido sobre una base presupuestaria hasta el resultado obtenido conforme a las IPSAS (2012/13)</w:t>
      </w:r>
    </w:p>
    <w:p w:rsidR="002406E3" w:rsidRPr="00497F19" w:rsidRDefault="002406E3" w:rsidP="002406E3">
      <w:pPr>
        <w:jc w:val="center"/>
        <w:rPr>
          <w:lang w:val="es-ES_tradnl"/>
        </w:rPr>
      </w:pPr>
    </w:p>
    <w:p w:rsidR="002406E3" w:rsidRPr="00497F19" w:rsidRDefault="008B3645" w:rsidP="002406E3">
      <w:pPr>
        <w:jc w:val="center"/>
        <w:rPr>
          <w:lang w:val="es-ES_tradnl"/>
        </w:rPr>
      </w:pPr>
      <w:r w:rsidRPr="00497F19">
        <w:rPr>
          <w:noProof/>
          <w:lang w:val="en-US" w:eastAsia="en-US"/>
        </w:rPr>
        <w:drawing>
          <wp:inline distT="0" distB="0" distL="0" distR="0" wp14:anchorId="2B373636" wp14:editId="00278E1D">
            <wp:extent cx="5760085" cy="3581867"/>
            <wp:effectExtent l="0" t="0" r="0" b="0"/>
            <wp:docPr id="4071" name="Picture 4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60085" cy="3581867"/>
                    </a:xfrm>
                    <a:prstGeom prst="rect">
                      <a:avLst/>
                    </a:prstGeom>
                    <a:noFill/>
                    <a:ln>
                      <a:noFill/>
                    </a:ln>
                  </pic:spPr>
                </pic:pic>
              </a:graphicData>
            </a:graphic>
          </wp:inline>
        </w:drawing>
      </w:r>
    </w:p>
    <w:p w:rsidR="002406E3" w:rsidRPr="00497F19" w:rsidRDefault="002406E3" w:rsidP="002406E3">
      <w:pPr>
        <w:rPr>
          <w:lang w:val="es-ES_tradnl"/>
        </w:rPr>
      </w:pPr>
    </w:p>
    <w:p w:rsidR="002406E3" w:rsidRPr="00497F19" w:rsidRDefault="002406E3" w:rsidP="002406E3">
      <w:pPr>
        <w:rPr>
          <w:i/>
          <w:lang w:val="es-ES_tradnl"/>
        </w:rPr>
      </w:pPr>
      <w:r w:rsidRPr="00497F19">
        <w:rPr>
          <w:i/>
          <w:lang w:val="es-ES_tradnl"/>
        </w:rPr>
        <w:t>Diferencias en la entidad</w:t>
      </w:r>
    </w:p>
    <w:p w:rsidR="002406E3" w:rsidRPr="00497F19" w:rsidRDefault="002406E3" w:rsidP="002406E3">
      <w:pPr>
        <w:rPr>
          <w:lang w:val="es-ES_tradnl"/>
        </w:rPr>
      </w:pPr>
    </w:p>
    <w:p w:rsidR="002406E3" w:rsidRPr="00497F19" w:rsidRDefault="002406E3" w:rsidP="002406E3">
      <w:pPr>
        <w:jc w:val="both"/>
        <w:rPr>
          <w:lang w:val="es-ES_tradnl"/>
        </w:rPr>
      </w:pPr>
      <w:r w:rsidRPr="00497F19">
        <w:rPr>
          <w:lang w:val="es-ES_tradnl"/>
        </w:rPr>
        <w:t>Los estados financieros de la OMPI elaborados de conformidad con las IPSAS abarcan todos los sectores y actividades de la Organización.  La inclusión de los resultados obtenidos antes de los ajustes efectuados con arreglo a las IPSAS respecto de las cuentas especiales (superávit de 3,7 millones de francos suizos) y los proyectos financiados con cargo a las reservas (déficit de 45,3 millones de francos suizos) representan “diferencias en la entidad” entre el resultado del presupuesto y el superávit reflejado en los estados financieros.</w:t>
      </w:r>
    </w:p>
    <w:p w:rsidR="002406E3" w:rsidRPr="00497F19" w:rsidRDefault="002406E3" w:rsidP="002406E3">
      <w:pPr>
        <w:jc w:val="both"/>
        <w:rPr>
          <w:lang w:val="es-ES_tradnl"/>
        </w:rPr>
      </w:pPr>
    </w:p>
    <w:p w:rsidR="002406E3" w:rsidRPr="00497F19" w:rsidRDefault="002406E3" w:rsidP="002406E3">
      <w:pPr>
        <w:jc w:val="both"/>
        <w:rPr>
          <w:i/>
          <w:lang w:val="es-ES_tradnl"/>
        </w:rPr>
      </w:pPr>
      <w:r w:rsidRPr="00497F19">
        <w:rPr>
          <w:i/>
          <w:lang w:val="es-ES_tradnl"/>
        </w:rPr>
        <w:t>Diferencias en la base contable</w:t>
      </w:r>
    </w:p>
    <w:p w:rsidR="002406E3" w:rsidRPr="00497F19" w:rsidRDefault="002406E3" w:rsidP="002406E3">
      <w:pPr>
        <w:rPr>
          <w:lang w:val="es-ES_tradnl"/>
        </w:rPr>
      </w:pPr>
    </w:p>
    <w:p w:rsidR="002406E3" w:rsidRPr="00497F19" w:rsidRDefault="002406E3" w:rsidP="002406E3">
      <w:pPr>
        <w:spacing w:after="220"/>
        <w:jc w:val="both"/>
        <w:rPr>
          <w:szCs w:val="22"/>
          <w:lang w:val="es-ES_tradnl"/>
        </w:rPr>
      </w:pPr>
      <w:r w:rsidRPr="00497F19">
        <w:rPr>
          <w:lang w:val="es-ES_tradnl"/>
        </w:rPr>
        <w:t xml:space="preserve">La aplicación de la base contable integral de devengo según lo exigido por las IPSAS da lugar a una serie de diferencias en la base contable que inciden en el resultado del </w:t>
      </w:r>
      <w:r w:rsidR="007D6D90" w:rsidRPr="00497F19">
        <w:rPr>
          <w:lang w:val="es-ES_tradnl"/>
        </w:rPr>
        <w:t>año</w:t>
      </w:r>
      <w:r w:rsidRPr="00497F19">
        <w:rPr>
          <w:lang w:val="es-ES_tradnl"/>
        </w:rPr>
        <w:t>.  El efecto neto de dichos ajustes con respecto al bienio se muestra en el cuadro que antecede y representa un superávit de 7,3 millones de francos suizos:</w:t>
      </w:r>
    </w:p>
    <w:p w:rsidR="002406E3" w:rsidRPr="00497F19" w:rsidRDefault="002406E3" w:rsidP="002406E3">
      <w:pPr>
        <w:numPr>
          <w:ilvl w:val="0"/>
          <w:numId w:val="27"/>
        </w:numPr>
        <w:tabs>
          <w:tab w:val="num" w:pos="720"/>
        </w:tabs>
        <w:ind w:left="720"/>
        <w:jc w:val="both"/>
        <w:rPr>
          <w:szCs w:val="22"/>
          <w:lang w:val="es-ES_tradnl"/>
        </w:rPr>
      </w:pPr>
      <w:r w:rsidRPr="00497F19">
        <w:rPr>
          <w:lang w:val="es-ES_tradnl"/>
        </w:rPr>
        <w:t xml:space="preserve">Con arreglo a las IPSAS, los ingresos procedentes de contribuciones voluntarias contabilizadas en la partida de cuentas especiales son reconocidos como tales cuando se satisfacen las condiciones estipuladas en los acuerdos con los donantes y se incurre en los gastos en concordancia con el programa de trabajo.  Cuando las </w:t>
      </w:r>
      <w:r w:rsidRPr="00497F19">
        <w:rPr>
          <w:lang w:val="es-ES_tradnl"/>
        </w:rPr>
        <w:lastRenderedPageBreak/>
        <w:t>contribuciones recibidas superan el costo de la labor ejecutada, se tratan como pasivos correspondientes a ingresos diferidos, lo que da lugar a una disminución de 3,7 millones de francos suizos en el resultado del ejercicio.</w:t>
      </w:r>
    </w:p>
    <w:p w:rsidR="002406E3" w:rsidRPr="00497F19" w:rsidRDefault="002406E3" w:rsidP="002406E3">
      <w:pPr>
        <w:ind w:left="720"/>
        <w:jc w:val="both"/>
        <w:rPr>
          <w:szCs w:val="22"/>
          <w:lang w:val="es-ES_tradnl"/>
        </w:rPr>
      </w:pPr>
    </w:p>
    <w:p w:rsidR="002406E3" w:rsidRPr="00497F19" w:rsidRDefault="002406E3" w:rsidP="002406E3">
      <w:pPr>
        <w:numPr>
          <w:ilvl w:val="0"/>
          <w:numId w:val="28"/>
        </w:numPr>
        <w:tabs>
          <w:tab w:val="num" w:pos="720"/>
        </w:tabs>
        <w:ind w:left="720"/>
        <w:jc w:val="both"/>
        <w:rPr>
          <w:szCs w:val="22"/>
          <w:lang w:val="es-ES_tradnl"/>
        </w:rPr>
      </w:pPr>
      <w:r w:rsidRPr="00497F19">
        <w:rPr>
          <w:lang w:val="es-ES_tradnl"/>
        </w:rPr>
        <w:t xml:space="preserve">Las IPSAS exigen que los ingresos procedentes de tasas sean diferidos hasta el momento en que se consideren devengados, lo que tratándose de solicitudes internacionales se produce cuando tiene lugar la publicación final.  En lo que respecta a las solicitudes PCT, se reconoce también como cuenta por cobrar toda solicitud presentada respecto de la cual, la Organización no haya recibido el pago de las tasas correspondientes.  El saldo de los ingresos diferidos procedentes de tasas (PCT, marcas, dibujos y modelos industriales) aumentó de 185,8 millones de francos suizos al 31 de diciembre de 2011 a 198,5 millones de francos suizos al 31 de diciembre de 2013.  Durante el mismo período, las cuentas a cobrar procedentes de tasas del PCT han aumentado de 56,3 millones de francos suizos a 62,4 millones de francos suizos.  La consecuencia concreta es una disminución de los ingresos de 6,6 millones de francos suizos.  En el bienio 2012/13 se han reconocido asimismo ingresos diferidos de 1.800.000 francos suizos en relación con la financiación de obras de construcción para fomentar la seguridad a cargo de la Fundación de Inmuebles para las Organizaciones (FIPOI).  En resumen, el ajuste de 8,4 millones de francos suizos correspondiente a los ingresos diferidos se desglosa de la forma siguiente: </w:t>
      </w:r>
    </w:p>
    <w:p w:rsidR="002406E3" w:rsidRPr="00497F19" w:rsidRDefault="002406E3" w:rsidP="002406E3">
      <w:pPr>
        <w:ind w:left="720"/>
        <w:jc w:val="both"/>
        <w:rPr>
          <w:szCs w:val="22"/>
          <w:lang w:val="es-ES_tradnl"/>
        </w:rPr>
      </w:pPr>
    </w:p>
    <w:p w:rsidR="002406E3" w:rsidRPr="00497F19" w:rsidRDefault="008B3645" w:rsidP="002406E3">
      <w:pPr>
        <w:spacing w:after="220"/>
        <w:ind w:left="720"/>
        <w:jc w:val="center"/>
        <w:rPr>
          <w:szCs w:val="22"/>
          <w:lang w:val="es-ES_tradnl"/>
        </w:rPr>
      </w:pPr>
      <w:r w:rsidRPr="00497F19">
        <w:rPr>
          <w:noProof/>
          <w:lang w:val="en-US" w:eastAsia="en-US"/>
        </w:rPr>
        <w:drawing>
          <wp:inline distT="0" distB="0" distL="0" distR="0" wp14:anchorId="08838F82" wp14:editId="3A251EB5">
            <wp:extent cx="3912870" cy="977900"/>
            <wp:effectExtent l="0" t="0" r="0" b="0"/>
            <wp:docPr id="4072" name="Picture 4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912870" cy="977900"/>
                    </a:xfrm>
                    <a:prstGeom prst="rect">
                      <a:avLst/>
                    </a:prstGeom>
                    <a:noFill/>
                    <a:ln>
                      <a:noFill/>
                    </a:ln>
                  </pic:spPr>
                </pic:pic>
              </a:graphicData>
            </a:graphic>
          </wp:inline>
        </w:drawing>
      </w:r>
    </w:p>
    <w:p w:rsidR="002406E3" w:rsidRPr="00497F19" w:rsidRDefault="002406E3" w:rsidP="002406E3">
      <w:pPr>
        <w:numPr>
          <w:ilvl w:val="0"/>
          <w:numId w:val="29"/>
        </w:numPr>
        <w:tabs>
          <w:tab w:val="num" w:pos="720"/>
        </w:tabs>
        <w:ind w:left="720"/>
        <w:jc w:val="both"/>
        <w:rPr>
          <w:szCs w:val="22"/>
          <w:lang w:val="es-ES_tradnl"/>
        </w:rPr>
      </w:pPr>
      <w:r w:rsidRPr="00497F19">
        <w:rPr>
          <w:lang w:val="es-ES_tradnl"/>
        </w:rPr>
        <w:t xml:space="preserve">El resultado del ejercicio con arreglo a las IPSAS incluye el gasto dimanado de la depreciación de los edificios y el equipo y también el gasto resultante de la amortización de los </w:t>
      </w:r>
      <w:r w:rsidR="00EE7401" w:rsidRPr="00497F19">
        <w:rPr>
          <w:lang w:val="es-ES_tradnl"/>
        </w:rPr>
        <w:t>activos intangibles</w:t>
      </w:r>
      <w:r w:rsidRPr="00497F19">
        <w:rPr>
          <w:lang w:val="es-ES_tradnl"/>
        </w:rPr>
        <w:t xml:space="preserve"> puesto que el costo de dichos activos se reparte a lo largo de sus vidas útiles.  El costo total de la depreciación y amortización con respecto al ejercicio ha ascendido a 16,0 millones de francos suizos.</w:t>
      </w:r>
    </w:p>
    <w:p w:rsidR="002406E3" w:rsidRPr="00497F19" w:rsidRDefault="002406E3" w:rsidP="002406E3">
      <w:pPr>
        <w:ind w:left="720"/>
        <w:jc w:val="both"/>
        <w:rPr>
          <w:szCs w:val="22"/>
          <w:lang w:val="es-ES_tradnl"/>
        </w:rPr>
      </w:pPr>
    </w:p>
    <w:p w:rsidR="002406E3" w:rsidRPr="00497F19" w:rsidRDefault="002406E3" w:rsidP="002406E3">
      <w:pPr>
        <w:numPr>
          <w:ilvl w:val="0"/>
          <w:numId w:val="29"/>
        </w:numPr>
        <w:tabs>
          <w:tab w:val="num" w:pos="720"/>
        </w:tabs>
        <w:ind w:left="720"/>
        <w:jc w:val="both"/>
        <w:rPr>
          <w:lang w:val="es-ES_tradnl"/>
        </w:rPr>
      </w:pPr>
      <w:r w:rsidRPr="00497F19">
        <w:rPr>
          <w:lang w:val="es-ES_tradnl"/>
        </w:rPr>
        <w:t>Las IPSAS exigen que los beneficios a los empleados devengados en favor del personal pero no pagados aún sean reconocidos como obligaciones de la Organización.  Con los ajustes realizados conforme a las IPSAS, el total de pasivos reconocidos en los estados financieros está en sintonía con el cálculo conforme a las IPSAS de dichos pasivos, incluidos los cálculos realizados por actuarios externos.  En el bienio 2012/13, los ajustes realizados conforme a las IPSAS se traducen en un aumento de 2,7 millones de francos suizos de los gastos de personal.  En los ajustes  conforme a las IPSAS que se han tenido que introducir en el ejercicio se ha tenido que tener en cuenta un importe adicional en relación con los costos de puestos conforme a lo dispuesto en el párrafo 26 del presupuesto por programas de la OMPI para el bienio 2012/13.  Esa carga presupuestaria ha supuesto la creación de una reserva que reduce el ajuste IPSAS necesario para reconocer los beneficios pagaderos a los empleados después del servicio en los estados financieros de la OMPI.</w:t>
      </w:r>
    </w:p>
    <w:p w:rsidR="002406E3" w:rsidRPr="00497F19" w:rsidRDefault="002406E3" w:rsidP="002406E3">
      <w:pPr>
        <w:jc w:val="both"/>
        <w:rPr>
          <w:lang w:val="es-ES_tradnl"/>
        </w:rPr>
      </w:pPr>
    </w:p>
    <w:p w:rsidR="002406E3" w:rsidRPr="00497F19" w:rsidRDefault="002406E3" w:rsidP="002406E3">
      <w:pPr>
        <w:numPr>
          <w:ilvl w:val="0"/>
          <w:numId w:val="30"/>
        </w:numPr>
        <w:tabs>
          <w:tab w:val="num" w:pos="720"/>
        </w:tabs>
        <w:ind w:left="720" w:hanging="360"/>
        <w:jc w:val="both"/>
        <w:rPr>
          <w:szCs w:val="22"/>
          <w:lang w:val="es-ES_tradnl"/>
        </w:rPr>
      </w:pPr>
      <w:r w:rsidRPr="00497F19">
        <w:rPr>
          <w:lang w:val="es-ES_tradnl"/>
        </w:rPr>
        <w:t>Las IPSAS imponen la capitalización de los costos relativos a la construcción y mejora de los edificios.  Ello disminuye el gasto del bienio 2012/13 en 34,0 millones de francos suizos.  Del mismo modo, las IPSAS exigen la capitalización de las compras de equipo, con lo que el gasto del bienio disminuye 3,7 millones de francos suizos</w:t>
      </w:r>
      <w:r w:rsidRPr="00497F19">
        <w:rPr>
          <w:szCs w:val="22"/>
          <w:lang w:val="es-ES_tradnl"/>
        </w:rPr>
        <w:t>.</w:t>
      </w:r>
    </w:p>
    <w:p w:rsidR="002406E3" w:rsidRPr="00497F19" w:rsidRDefault="002406E3" w:rsidP="002406E3">
      <w:pPr>
        <w:ind w:left="720"/>
        <w:jc w:val="both"/>
        <w:rPr>
          <w:szCs w:val="22"/>
          <w:lang w:val="es-ES_tradnl"/>
        </w:rPr>
      </w:pPr>
    </w:p>
    <w:p w:rsidR="002406E3" w:rsidRPr="00497F19" w:rsidRDefault="002406E3" w:rsidP="002406E3">
      <w:pPr>
        <w:numPr>
          <w:ilvl w:val="0"/>
          <w:numId w:val="30"/>
        </w:numPr>
        <w:tabs>
          <w:tab w:val="num" w:pos="720"/>
        </w:tabs>
        <w:ind w:left="714" w:hanging="357"/>
        <w:jc w:val="both"/>
        <w:rPr>
          <w:szCs w:val="22"/>
          <w:lang w:val="es-ES_tradnl"/>
        </w:rPr>
      </w:pPr>
      <w:r w:rsidRPr="00497F19">
        <w:rPr>
          <w:lang w:val="es-ES_tradnl"/>
        </w:rPr>
        <w:t xml:space="preserve">Otras diferencias en la base contable tienen que ver principalmente con el edificio de la Unión de Madrid que constituye una propiedad de inversión de la Organización, </w:t>
      </w:r>
      <w:r w:rsidRPr="00497F19">
        <w:rPr>
          <w:lang w:val="es-ES_tradnl"/>
        </w:rPr>
        <w:lastRenderedPageBreak/>
        <w:t>que se reconoce en los estados financieros con arreglo a las IPSAS reflejando su valor razonable.  El resultado de la revaluación de esta propiedad al 31 de diciembre de 2012 es un aumento en el valor razonable de 500.000 francos suizos, con la incidencia correspondiente en el superávit del ejercicio</w:t>
      </w:r>
      <w:r w:rsidRPr="00497F19">
        <w:rPr>
          <w:szCs w:val="22"/>
          <w:lang w:val="es-ES_tradnl"/>
        </w:rPr>
        <w:t>.</w:t>
      </w:r>
    </w:p>
    <w:p w:rsidR="002406E3" w:rsidRPr="00497F19" w:rsidRDefault="002406E3" w:rsidP="002406E3">
      <w:pPr>
        <w:rPr>
          <w:szCs w:val="22"/>
          <w:lang w:val="es-ES_tradnl"/>
        </w:rPr>
      </w:pPr>
    </w:p>
    <w:p w:rsidR="002406E3" w:rsidRPr="00497F19" w:rsidRDefault="002406E3" w:rsidP="002406E3">
      <w:pPr>
        <w:ind w:left="720"/>
        <w:jc w:val="both"/>
        <w:rPr>
          <w:szCs w:val="22"/>
          <w:lang w:val="es-ES_tradnl"/>
        </w:rPr>
      </w:pPr>
    </w:p>
    <w:p w:rsidR="002406E3" w:rsidRPr="00497F19" w:rsidRDefault="002406E3" w:rsidP="002406E3">
      <w:pPr>
        <w:rPr>
          <w:b/>
          <w:lang w:val="es-ES_tradnl"/>
        </w:rPr>
      </w:pPr>
      <w:r w:rsidRPr="00497F19">
        <w:rPr>
          <w:b/>
          <w:lang w:val="es-ES_tradnl"/>
        </w:rPr>
        <w:t>Ingresos</w:t>
      </w:r>
    </w:p>
    <w:p w:rsidR="002406E3" w:rsidRPr="00497F19" w:rsidRDefault="002406E3" w:rsidP="002406E3">
      <w:pPr>
        <w:rPr>
          <w:lang w:val="es-ES_tradnl"/>
        </w:rPr>
      </w:pPr>
    </w:p>
    <w:p w:rsidR="002406E3" w:rsidRPr="00497F19" w:rsidRDefault="002406E3" w:rsidP="002406E3">
      <w:pPr>
        <w:jc w:val="both"/>
        <w:rPr>
          <w:lang w:val="es-ES_tradnl"/>
        </w:rPr>
      </w:pPr>
      <w:r w:rsidRPr="00497F19">
        <w:rPr>
          <w:lang w:val="es-ES_tradnl"/>
        </w:rPr>
        <w:t>En el diagrama siguiente se ofrece un análisis de los ingresos c</w:t>
      </w:r>
      <w:r w:rsidR="005C5645">
        <w:rPr>
          <w:lang w:val="es-ES_tradnl"/>
        </w:rPr>
        <w:t>orrespondientes al bienio </w:t>
      </w:r>
      <w:r w:rsidRPr="00497F19">
        <w:rPr>
          <w:lang w:val="es-ES_tradnl"/>
        </w:rPr>
        <w:t>2012/13 sobre la base de las IPSAS:</w:t>
      </w:r>
    </w:p>
    <w:p w:rsidR="002406E3" w:rsidRPr="00497F19" w:rsidRDefault="002406E3" w:rsidP="002406E3">
      <w:pPr>
        <w:jc w:val="both"/>
        <w:rPr>
          <w:lang w:val="es-ES_tradnl"/>
        </w:rPr>
      </w:pPr>
    </w:p>
    <w:p w:rsidR="002406E3" w:rsidRPr="00497F19" w:rsidRDefault="002406E3" w:rsidP="002406E3">
      <w:pPr>
        <w:jc w:val="center"/>
        <w:rPr>
          <w:lang w:val="es-ES_tradnl"/>
        </w:rPr>
      </w:pPr>
      <w:r w:rsidRPr="00497F19">
        <w:rPr>
          <w:lang w:val="es-ES_tradnl"/>
        </w:rPr>
        <w:t>Composición de los ingresos 2012/13 sobre la base de las IPSAS</w:t>
      </w:r>
    </w:p>
    <w:p w:rsidR="002406E3" w:rsidRPr="00497F19" w:rsidRDefault="002406E3" w:rsidP="002406E3">
      <w:pPr>
        <w:jc w:val="center"/>
        <w:rPr>
          <w:lang w:val="es-ES_tradnl"/>
        </w:rPr>
      </w:pPr>
      <w:r w:rsidRPr="00497F19">
        <w:rPr>
          <w:lang w:val="es-ES_tradnl"/>
        </w:rPr>
        <w:t xml:space="preserve"> </w:t>
      </w:r>
      <w:r w:rsidR="008B3645" w:rsidRPr="00497F19">
        <w:rPr>
          <w:noProof/>
          <w:lang w:val="en-US" w:eastAsia="en-US"/>
        </w:rPr>
        <w:drawing>
          <wp:inline distT="0" distB="0" distL="0" distR="0" wp14:anchorId="3D17DB9D" wp14:editId="5750E6BB">
            <wp:extent cx="4976968" cy="2911843"/>
            <wp:effectExtent l="0" t="0" r="0" b="3175"/>
            <wp:docPr id="4073" name="Picture 4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982672" cy="2915180"/>
                    </a:xfrm>
                    <a:prstGeom prst="rect">
                      <a:avLst/>
                    </a:prstGeom>
                    <a:noFill/>
                    <a:ln>
                      <a:noFill/>
                    </a:ln>
                  </pic:spPr>
                </pic:pic>
              </a:graphicData>
            </a:graphic>
          </wp:inline>
        </w:drawing>
      </w:r>
    </w:p>
    <w:p w:rsidR="00CF6E5D" w:rsidRDefault="00CF6E5D" w:rsidP="002406E3">
      <w:pPr>
        <w:jc w:val="both"/>
        <w:rPr>
          <w:lang w:val="es-ES_tradnl"/>
        </w:rPr>
      </w:pPr>
    </w:p>
    <w:p w:rsidR="002406E3" w:rsidRPr="00497F19" w:rsidRDefault="002406E3" w:rsidP="002406E3">
      <w:pPr>
        <w:jc w:val="both"/>
        <w:rPr>
          <w:lang w:val="es-ES_tradnl"/>
        </w:rPr>
      </w:pPr>
      <w:r w:rsidRPr="00497F19">
        <w:rPr>
          <w:lang w:val="es-ES_tradnl"/>
        </w:rPr>
        <w:t xml:space="preserve">Los ajustes introducidos en los ingresos por las IPSAS afectan </w:t>
      </w:r>
      <w:r w:rsidR="00B662A7" w:rsidRPr="00497F19">
        <w:rPr>
          <w:lang w:val="es-ES_tradnl"/>
        </w:rPr>
        <w:t>principalmente a las tasas del S</w:t>
      </w:r>
      <w:r w:rsidRPr="00497F19">
        <w:rPr>
          <w:lang w:val="es-ES_tradnl"/>
        </w:rPr>
        <w:t>istema PCT a causa del incremento de los ingresos diferidos, y los ingresos diferidos procedentes de contribuciones voluntarias.</w:t>
      </w:r>
    </w:p>
    <w:p w:rsidR="002406E3" w:rsidRPr="00497F19" w:rsidRDefault="002406E3" w:rsidP="002406E3">
      <w:pPr>
        <w:jc w:val="both"/>
        <w:rPr>
          <w:lang w:val="es-ES_tradnl"/>
        </w:rPr>
      </w:pPr>
    </w:p>
    <w:p w:rsidR="002406E3" w:rsidRPr="00497F19" w:rsidRDefault="002406E3" w:rsidP="002406E3">
      <w:pPr>
        <w:keepNext/>
        <w:jc w:val="center"/>
        <w:rPr>
          <w:lang w:val="es-ES_tradnl"/>
        </w:rPr>
      </w:pPr>
      <w:r w:rsidRPr="00497F19">
        <w:rPr>
          <w:lang w:val="es-ES_tradnl"/>
        </w:rPr>
        <w:lastRenderedPageBreak/>
        <w:t>Detalle de los ingresos 2012/13 sobre la base de las IPSAS</w:t>
      </w:r>
    </w:p>
    <w:p w:rsidR="002406E3" w:rsidRPr="00497F19" w:rsidRDefault="002406E3" w:rsidP="002406E3">
      <w:pPr>
        <w:keepNext/>
        <w:jc w:val="both"/>
        <w:rPr>
          <w:lang w:val="es-ES_tradnl"/>
        </w:rPr>
      </w:pPr>
    </w:p>
    <w:p w:rsidR="002406E3" w:rsidRPr="00497F19" w:rsidRDefault="00FB3B8B" w:rsidP="002406E3">
      <w:pPr>
        <w:jc w:val="center"/>
        <w:rPr>
          <w:b/>
          <w:lang w:val="es-ES_tradnl"/>
        </w:rPr>
      </w:pPr>
      <w:r w:rsidRPr="00497F19">
        <w:rPr>
          <w:noProof/>
          <w:lang w:val="en-US" w:eastAsia="en-US"/>
        </w:rPr>
        <w:drawing>
          <wp:inline distT="0" distB="0" distL="0" distR="0" wp14:anchorId="55B085D3" wp14:editId="700ACD16">
            <wp:extent cx="5760085" cy="4037539"/>
            <wp:effectExtent l="0" t="0" r="0" b="1270"/>
            <wp:docPr id="4074" name="Picture 4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760085" cy="4037539"/>
                    </a:xfrm>
                    <a:prstGeom prst="rect">
                      <a:avLst/>
                    </a:prstGeom>
                    <a:noFill/>
                    <a:ln>
                      <a:noFill/>
                    </a:ln>
                  </pic:spPr>
                </pic:pic>
              </a:graphicData>
            </a:graphic>
          </wp:inline>
        </w:drawing>
      </w:r>
    </w:p>
    <w:p w:rsidR="002406E3" w:rsidRPr="00497F19" w:rsidRDefault="002406E3" w:rsidP="002406E3">
      <w:pPr>
        <w:jc w:val="center"/>
        <w:rPr>
          <w:lang w:val="es-ES_tradnl"/>
        </w:rPr>
      </w:pPr>
    </w:p>
    <w:p w:rsidR="00FB3B8B" w:rsidRPr="00497F19" w:rsidRDefault="00FB3B8B" w:rsidP="002406E3">
      <w:pPr>
        <w:jc w:val="center"/>
        <w:rPr>
          <w:lang w:val="es-ES_tradnl"/>
        </w:rPr>
      </w:pPr>
    </w:p>
    <w:p w:rsidR="002406E3" w:rsidRPr="00497F19" w:rsidRDefault="002406E3" w:rsidP="002406E3">
      <w:pPr>
        <w:rPr>
          <w:b/>
          <w:lang w:val="es-ES_tradnl"/>
        </w:rPr>
      </w:pPr>
      <w:r w:rsidRPr="00497F19">
        <w:rPr>
          <w:b/>
          <w:lang w:val="es-ES_tradnl"/>
        </w:rPr>
        <w:t>Gastos</w:t>
      </w:r>
    </w:p>
    <w:p w:rsidR="002406E3" w:rsidRPr="00497F19" w:rsidRDefault="002406E3" w:rsidP="002406E3">
      <w:pPr>
        <w:rPr>
          <w:lang w:val="es-ES_tradnl"/>
        </w:rPr>
      </w:pPr>
    </w:p>
    <w:p w:rsidR="002406E3" w:rsidRPr="00497F19" w:rsidRDefault="002406E3" w:rsidP="002406E3">
      <w:pPr>
        <w:jc w:val="both"/>
        <w:rPr>
          <w:lang w:val="es-ES_tradnl"/>
        </w:rPr>
      </w:pPr>
      <w:r w:rsidRPr="00497F19">
        <w:rPr>
          <w:lang w:val="es-ES_tradnl"/>
        </w:rPr>
        <w:t>En el diagrama siguiente se ofrece un análisis del gasto del bienio 2012/13 sobre la base de las IPSAS:</w:t>
      </w:r>
    </w:p>
    <w:p w:rsidR="002406E3" w:rsidRPr="00497F19" w:rsidRDefault="002406E3" w:rsidP="002406E3">
      <w:pPr>
        <w:jc w:val="center"/>
        <w:rPr>
          <w:lang w:val="es-ES_tradnl"/>
        </w:rPr>
      </w:pPr>
      <w:r w:rsidRPr="00497F19">
        <w:rPr>
          <w:lang w:val="es-ES_tradnl"/>
        </w:rPr>
        <w:t>Composición del gasto en 2012/13 sobre la base de las IPSAS</w:t>
      </w:r>
    </w:p>
    <w:p w:rsidR="002406E3" w:rsidRPr="00497F19" w:rsidRDefault="002406E3" w:rsidP="002406E3">
      <w:pPr>
        <w:jc w:val="center"/>
        <w:rPr>
          <w:lang w:val="es-ES_tradnl"/>
        </w:rPr>
      </w:pPr>
      <w:r w:rsidRPr="00497F19">
        <w:rPr>
          <w:lang w:val="es-ES_tradnl"/>
        </w:rPr>
        <w:t xml:space="preserve"> </w:t>
      </w:r>
      <w:r w:rsidR="0035139D" w:rsidRPr="00497F19">
        <w:rPr>
          <w:noProof/>
          <w:lang w:val="en-US" w:eastAsia="en-US"/>
        </w:rPr>
        <w:drawing>
          <wp:inline distT="0" distB="0" distL="0" distR="0" wp14:anchorId="696AB23C" wp14:editId="3D44A18E">
            <wp:extent cx="5035646" cy="2908189"/>
            <wp:effectExtent l="0" t="0" r="0" b="6985"/>
            <wp:docPr id="4075" name="Picture 4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039771" cy="2910571"/>
                    </a:xfrm>
                    <a:prstGeom prst="rect">
                      <a:avLst/>
                    </a:prstGeom>
                    <a:noFill/>
                    <a:ln>
                      <a:noFill/>
                    </a:ln>
                  </pic:spPr>
                </pic:pic>
              </a:graphicData>
            </a:graphic>
          </wp:inline>
        </w:drawing>
      </w:r>
    </w:p>
    <w:p w:rsidR="002406E3" w:rsidRPr="00497F19" w:rsidRDefault="002406E3" w:rsidP="002406E3">
      <w:pPr>
        <w:jc w:val="both"/>
        <w:rPr>
          <w:lang w:val="es-ES_tradnl"/>
        </w:rPr>
      </w:pPr>
      <w:r w:rsidRPr="00497F19">
        <w:rPr>
          <w:lang w:val="es-ES_tradnl"/>
        </w:rPr>
        <w:t>Los ajustes introducidos en los gastos por las IPSAS son principalmente la capitalización de los gastos de construcción (nótese que esto incide sobre varias categorías de gastos incluyendo la construcción, los gastos de operación, los gastos de personal y los servicios contractuales) y el cargo por depreciación, amortización y deterioro IPSAS.</w:t>
      </w:r>
    </w:p>
    <w:p w:rsidR="002406E3" w:rsidRPr="00497F19" w:rsidRDefault="002406E3" w:rsidP="002406E3">
      <w:pPr>
        <w:rPr>
          <w:lang w:val="es-ES_tradnl"/>
        </w:rPr>
      </w:pPr>
    </w:p>
    <w:p w:rsidR="002406E3" w:rsidRPr="00497F19" w:rsidRDefault="002406E3" w:rsidP="00FB3B8B">
      <w:pPr>
        <w:keepNext/>
        <w:jc w:val="center"/>
        <w:rPr>
          <w:lang w:val="es-ES_tradnl"/>
        </w:rPr>
      </w:pPr>
      <w:r w:rsidRPr="00497F19">
        <w:rPr>
          <w:lang w:val="es-ES_tradnl"/>
        </w:rPr>
        <w:lastRenderedPageBreak/>
        <w:t>Detalle del gasto en 2012/13 sobre la base de las IPSAS</w:t>
      </w:r>
    </w:p>
    <w:p w:rsidR="002406E3" w:rsidRPr="00497F19" w:rsidRDefault="002406E3" w:rsidP="00FB3B8B">
      <w:pPr>
        <w:keepNext/>
        <w:rPr>
          <w:lang w:val="es-ES_tradnl"/>
        </w:rPr>
      </w:pPr>
    </w:p>
    <w:p w:rsidR="002406E3" w:rsidRPr="00497F19" w:rsidRDefault="00D212AA" w:rsidP="00FB3B8B">
      <w:pPr>
        <w:keepNext/>
        <w:jc w:val="center"/>
        <w:rPr>
          <w:lang w:val="es-ES_tradnl"/>
        </w:rPr>
      </w:pPr>
      <w:r w:rsidRPr="00497F19">
        <w:rPr>
          <w:noProof/>
          <w:lang w:val="en-US" w:eastAsia="en-US"/>
        </w:rPr>
        <w:drawing>
          <wp:inline distT="0" distB="0" distL="0" distR="0" wp14:anchorId="0CF6A4CC" wp14:editId="6D1CE246">
            <wp:extent cx="5236184" cy="2990850"/>
            <wp:effectExtent l="0" t="0" r="3175" b="0"/>
            <wp:docPr id="4076" name="Picture 4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243371" cy="2994955"/>
                    </a:xfrm>
                    <a:prstGeom prst="rect">
                      <a:avLst/>
                    </a:prstGeom>
                    <a:noFill/>
                    <a:ln>
                      <a:noFill/>
                    </a:ln>
                  </pic:spPr>
                </pic:pic>
              </a:graphicData>
            </a:graphic>
          </wp:inline>
        </w:drawing>
      </w:r>
    </w:p>
    <w:p w:rsidR="002406E3" w:rsidRPr="00497F19" w:rsidRDefault="002406E3" w:rsidP="002406E3">
      <w:pPr>
        <w:jc w:val="center"/>
        <w:rPr>
          <w:lang w:val="es-ES_tradnl"/>
        </w:rPr>
      </w:pPr>
    </w:p>
    <w:p w:rsidR="002406E3" w:rsidRPr="00497F19" w:rsidRDefault="002406E3" w:rsidP="002406E3">
      <w:pPr>
        <w:rPr>
          <w:b/>
          <w:lang w:val="es-ES_tradnl"/>
        </w:rPr>
      </w:pPr>
      <w:r w:rsidRPr="00497F19">
        <w:rPr>
          <w:b/>
          <w:lang w:val="es-ES_tradnl"/>
        </w:rPr>
        <w:t>Rendimiento financiero por segmentos</w:t>
      </w:r>
    </w:p>
    <w:p w:rsidR="002406E3" w:rsidRPr="00497F19" w:rsidRDefault="002406E3" w:rsidP="002406E3">
      <w:pPr>
        <w:rPr>
          <w:b/>
          <w:lang w:val="es-ES_tradnl"/>
        </w:rPr>
      </w:pPr>
    </w:p>
    <w:p w:rsidR="002406E3" w:rsidRPr="00497F19" w:rsidRDefault="002406E3" w:rsidP="002406E3">
      <w:pPr>
        <w:jc w:val="both"/>
        <w:rPr>
          <w:lang w:val="es-ES_tradnl"/>
        </w:rPr>
      </w:pPr>
      <w:r w:rsidRPr="00497F19">
        <w:rPr>
          <w:lang w:val="es-ES_tradnl"/>
        </w:rPr>
        <w:t xml:space="preserve">La mayoría de ingresos son contabilizados por Uniones en las cuentas de la OMPI. Los ingresos derivados de ganancias de intereses se han asignado entre las distintas Uniones sobre la base de las reservas de efectivo y los ingresos corrientes.  Los gastos son contabilizados por programa y luego reasignados a las distintas Uniones sobre la base de un método aceptado por la Asamblea General de la OMPI como parte de la aprobación del presupuesto por programas de la OMPI del bienio 2012/13. </w:t>
      </w:r>
    </w:p>
    <w:p w:rsidR="002406E3" w:rsidRPr="00497F19" w:rsidRDefault="002406E3" w:rsidP="002406E3">
      <w:pPr>
        <w:jc w:val="both"/>
        <w:rPr>
          <w:lang w:val="es-ES_tradnl"/>
        </w:rPr>
      </w:pPr>
    </w:p>
    <w:p w:rsidR="002406E3" w:rsidRPr="00497F19" w:rsidRDefault="002406E3" w:rsidP="002406E3">
      <w:pPr>
        <w:jc w:val="both"/>
        <w:rPr>
          <w:lang w:val="es-ES_tradnl"/>
        </w:rPr>
      </w:pPr>
      <w:r w:rsidRPr="00497F19">
        <w:rPr>
          <w:lang w:val="es-ES_tradnl"/>
        </w:rPr>
        <w:t>Todos los gastos son asignados entre las Uniones que conforman los segmentos sobre la base de la metodología de asignación aprobada.   Los gastos referentes al segmento de cuentas especiales relacionado con las contribuciones voluntarias a la Organización se contabilizan como costos reales.   El único cargo aplicable a todos los segmentos corresponde a los costos de apoyo a programas incurridos por las Uniones en relación con las cuentas especiales.  Los costos de apoyo a programas se cargan en las cuentas especiales sobre la base de un porcentaje del gasto directo total especificado en el acuerdo con el donante que realiza la contribución voluntaria.</w:t>
      </w:r>
    </w:p>
    <w:p w:rsidR="002406E3" w:rsidRPr="00497F19" w:rsidRDefault="002406E3" w:rsidP="002406E3">
      <w:pPr>
        <w:jc w:val="both"/>
        <w:rPr>
          <w:lang w:val="es-ES_tradnl"/>
        </w:rPr>
      </w:pPr>
    </w:p>
    <w:p w:rsidR="002406E3" w:rsidRPr="00497F19" w:rsidRDefault="00B03995" w:rsidP="002406E3">
      <w:pPr>
        <w:rPr>
          <w:lang w:val="es-ES_tradnl"/>
        </w:rPr>
      </w:pPr>
      <w:r w:rsidRPr="00497F19">
        <w:rPr>
          <w:noProof/>
          <w:lang w:val="en-US" w:eastAsia="en-US"/>
        </w:rPr>
        <w:lastRenderedPageBreak/>
        <w:drawing>
          <wp:inline distT="0" distB="0" distL="0" distR="0" wp14:anchorId="0821922A" wp14:editId="0AF11CF8">
            <wp:extent cx="5760085" cy="5858974"/>
            <wp:effectExtent l="0" t="0" r="0" b="8890"/>
            <wp:docPr id="4077" name="Picture 4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60085" cy="5858974"/>
                    </a:xfrm>
                    <a:prstGeom prst="rect">
                      <a:avLst/>
                    </a:prstGeom>
                    <a:noFill/>
                    <a:ln>
                      <a:noFill/>
                    </a:ln>
                  </pic:spPr>
                </pic:pic>
              </a:graphicData>
            </a:graphic>
          </wp:inline>
        </w:drawing>
      </w:r>
    </w:p>
    <w:p w:rsidR="002406E3" w:rsidRPr="00497F19" w:rsidRDefault="002406E3" w:rsidP="002406E3">
      <w:pPr>
        <w:rPr>
          <w:lang w:val="es-ES_tradnl"/>
        </w:rPr>
      </w:pPr>
    </w:p>
    <w:p w:rsidR="002406E3" w:rsidRPr="00497F19" w:rsidRDefault="002406E3" w:rsidP="002406E3">
      <w:pPr>
        <w:rPr>
          <w:lang w:val="es-ES_tradnl"/>
        </w:rPr>
        <w:sectPr w:rsidR="002406E3" w:rsidRPr="00497F19" w:rsidSect="002406E3">
          <w:pgSz w:w="11907" w:h="16840" w:code="9"/>
          <w:pgMar w:top="851" w:right="1418" w:bottom="851" w:left="1418" w:header="510" w:footer="510" w:gutter="0"/>
          <w:cols w:space="720"/>
        </w:sectPr>
      </w:pPr>
    </w:p>
    <w:p w:rsidR="002406E3" w:rsidRPr="00917518" w:rsidRDefault="00917518" w:rsidP="00917518">
      <w:pPr>
        <w:pStyle w:val="Heading2"/>
        <w:spacing w:before="0"/>
        <w:jc w:val="center"/>
        <w:rPr>
          <w:b/>
        </w:rPr>
      </w:pPr>
      <w:bookmarkStart w:id="39" w:name="_Toc395626692"/>
      <w:r w:rsidRPr="00917518">
        <w:rPr>
          <w:b/>
        </w:rPr>
        <w:lastRenderedPageBreak/>
        <w:t>Estado de la situación financiera por fuente de financiación</w:t>
      </w:r>
      <w:bookmarkEnd w:id="39"/>
    </w:p>
    <w:p w:rsidR="005814BF" w:rsidRPr="00497F19" w:rsidRDefault="002406E3" w:rsidP="002406E3">
      <w:pPr>
        <w:jc w:val="center"/>
        <w:rPr>
          <w:sz w:val="18"/>
          <w:szCs w:val="18"/>
          <w:lang w:val="es-ES_tradnl"/>
        </w:rPr>
      </w:pPr>
      <w:r w:rsidRPr="00497F19">
        <w:rPr>
          <w:sz w:val="18"/>
          <w:szCs w:val="18"/>
          <w:lang w:val="es-ES_tradnl"/>
        </w:rPr>
        <w:t>(</w:t>
      </w:r>
      <w:proofErr w:type="gramStart"/>
      <w:r w:rsidRPr="00497F19">
        <w:rPr>
          <w:sz w:val="18"/>
          <w:szCs w:val="18"/>
          <w:lang w:val="es-ES_tradnl"/>
        </w:rPr>
        <w:t>en</w:t>
      </w:r>
      <w:proofErr w:type="gramEnd"/>
      <w:r w:rsidRPr="00497F19">
        <w:rPr>
          <w:sz w:val="18"/>
          <w:szCs w:val="18"/>
          <w:lang w:val="es-ES_tradnl"/>
        </w:rPr>
        <w:t xml:space="preserve"> miles de francos suizos)</w:t>
      </w:r>
    </w:p>
    <w:p w:rsidR="005814BF" w:rsidRPr="00497F19" w:rsidRDefault="005814BF" w:rsidP="002406E3">
      <w:pPr>
        <w:jc w:val="center"/>
        <w:rPr>
          <w:sz w:val="18"/>
          <w:szCs w:val="18"/>
          <w:lang w:val="es-ES_tradnl"/>
        </w:rPr>
      </w:pPr>
    </w:p>
    <w:p w:rsidR="002406E3" w:rsidRPr="00497F19" w:rsidRDefault="00B03995" w:rsidP="002406E3">
      <w:pPr>
        <w:jc w:val="center"/>
        <w:rPr>
          <w:b/>
          <w:lang w:val="es-ES_tradnl"/>
        </w:rPr>
      </w:pPr>
      <w:r w:rsidRPr="00497F19">
        <w:rPr>
          <w:noProof/>
          <w:lang w:val="en-US" w:eastAsia="en-US"/>
        </w:rPr>
        <w:drawing>
          <wp:inline distT="0" distB="0" distL="0" distR="0" wp14:anchorId="5EF1030D" wp14:editId="5F0EE2F6">
            <wp:extent cx="7747151" cy="5143500"/>
            <wp:effectExtent l="0" t="0" r="6350" b="0"/>
            <wp:docPr id="4078" name="Picture 4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7749639" cy="5145152"/>
                    </a:xfrm>
                    <a:prstGeom prst="rect">
                      <a:avLst/>
                    </a:prstGeom>
                    <a:noFill/>
                    <a:ln>
                      <a:noFill/>
                    </a:ln>
                  </pic:spPr>
                </pic:pic>
              </a:graphicData>
            </a:graphic>
          </wp:inline>
        </w:drawing>
      </w:r>
    </w:p>
    <w:p w:rsidR="00703E90" w:rsidRPr="00B63F80" w:rsidRDefault="00B63F80" w:rsidP="00B63F80">
      <w:pPr>
        <w:pStyle w:val="Heading2"/>
        <w:jc w:val="center"/>
        <w:rPr>
          <w:b/>
        </w:rPr>
      </w:pPr>
      <w:bookmarkStart w:id="40" w:name="_Toc395626693"/>
      <w:r w:rsidRPr="00B63F80">
        <w:rPr>
          <w:b/>
        </w:rPr>
        <w:lastRenderedPageBreak/>
        <w:t>Estado de rendimiento financiero por fuente de financiación</w:t>
      </w:r>
      <w:bookmarkEnd w:id="40"/>
    </w:p>
    <w:p w:rsidR="00703E90" w:rsidRPr="0088190F" w:rsidRDefault="002406E3" w:rsidP="0088190F">
      <w:pPr>
        <w:jc w:val="center"/>
        <w:rPr>
          <w:sz w:val="18"/>
          <w:szCs w:val="18"/>
          <w:lang w:val="es-ES_tradnl"/>
        </w:rPr>
      </w:pPr>
      <w:r w:rsidRPr="0088190F">
        <w:rPr>
          <w:sz w:val="18"/>
          <w:szCs w:val="18"/>
          <w:lang w:val="es-ES_tradnl"/>
        </w:rPr>
        <w:t>(</w:t>
      </w:r>
      <w:proofErr w:type="gramStart"/>
      <w:r w:rsidRPr="0088190F">
        <w:rPr>
          <w:sz w:val="18"/>
          <w:szCs w:val="18"/>
          <w:lang w:val="es-ES_tradnl"/>
        </w:rPr>
        <w:t>en</w:t>
      </w:r>
      <w:proofErr w:type="gramEnd"/>
      <w:r w:rsidRPr="0088190F">
        <w:rPr>
          <w:sz w:val="18"/>
          <w:szCs w:val="18"/>
          <w:lang w:val="es-ES_tradnl"/>
        </w:rPr>
        <w:t xml:space="preserve"> miles de francos suizos)</w:t>
      </w:r>
    </w:p>
    <w:p w:rsidR="00703E90" w:rsidRPr="0088190F" w:rsidRDefault="00703E90" w:rsidP="0088190F">
      <w:pPr>
        <w:jc w:val="center"/>
        <w:rPr>
          <w:sz w:val="18"/>
          <w:szCs w:val="18"/>
          <w:lang w:val="es-ES_tradnl"/>
        </w:rPr>
      </w:pPr>
    </w:p>
    <w:p w:rsidR="002406E3" w:rsidRPr="00497F19" w:rsidRDefault="002406E3" w:rsidP="0088190F">
      <w:pPr>
        <w:jc w:val="center"/>
        <w:rPr>
          <w:lang w:val="es-ES_tradnl" w:eastAsia="da-DK"/>
        </w:rPr>
      </w:pPr>
      <w:r w:rsidRPr="00497F19">
        <w:rPr>
          <w:rFonts w:eastAsiaTheme="minorHAnsi"/>
          <w:noProof/>
          <w:lang w:val="en-US" w:eastAsia="en-US"/>
        </w:rPr>
        <w:drawing>
          <wp:inline distT="0" distB="0" distL="0" distR="0" wp14:anchorId="5925DE05" wp14:editId="1CC339D0">
            <wp:extent cx="8941981" cy="5148122"/>
            <wp:effectExtent l="0" t="0" r="0" b="0"/>
            <wp:docPr id="4155" name="Picture 4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8945086" cy="5149909"/>
                    </a:xfrm>
                    <a:prstGeom prst="rect">
                      <a:avLst/>
                    </a:prstGeom>
                    <a:noFill/>
                    <a:ln>
                      <a:noFill/>
                    </a:ln>
                  </pic:spPr>
                </pic:pic>
              </a:graphicData>
            </a:graphic>
          </wp:inline>
        </w:drawing>
      </w:r>
    </w:p>
    <w:p w:rsidR="002406E3" w:rsidRPr="00497F19" w:rsidRDefault="002406E3" w:rsidP="0088190F">
      <w:pPr>
        <w:rPr>
          <w:lang w:val="es-ES_tradnl" w:eastAsia="da-DK"/>
        </w:rPr>
        <w:sectPr w:rsidR="002406E3" w:rsidRPr="00497F19">
          <w:pgSz w:w="16840" w:h="11907" w:orient="landscape"/>
          <w:pgMar w:top="1418" w:right="1361" w:bottom="1418" w:left="567" w:header="510" w:footer="510" w:gutter="0"/>
          <w:cols w:space="720"/>
        </w:sectPr>
      </w:pPr>
    </w:p>
    <w:p w:rsidR="002406E3" w:rsidRPr="00497F19" w:rsidRDefault="002406E3" w:rsidP="002406E3">
      <w:pPr>
        <w:pStyle w:val="Heading1"/>
        <w:pageBreakBefore/>
        <w:tabs>
          <w:tab w:val="num" w:pos="567"/>
        </w:tabs>
        <w:spacing w:before="0" w:after="0" w:line="300" w:lineRule="atLeast"/>
        <w:ind w:left="567" w:hanging="567"/>
        <w:rPr>
          <w:rFonts w:eastAsia="Times New Roman"/>
          <w:caps w:val="0"/>
          <w:lang w:val="es-ES_tradnl" w:eastAsia="da-DK"/>
        </w:rPr>
      </w:pPr>
      <w:bookmarkStart w:id="41" w:name="_Toc395626694"/>
      <w:r w:rsidRPr="00497F19">
        <w:rPr>
          <w:rFonts w:eastAsia="Times New Roman"/>
          <w:caps w:val="0"/>
          <w:lang w:val="es-ES_tradnl" w:eastAsia="da-DK"/>
        </w:rPr>
        <w:lastRenderedPageBreak/>
        <w:t>CONTRIBUCIONES Y FONDOS DE OPERACIONES</w:t>
      </w:r>
      <w:bookmarkEnd w:id="41"/>
    </w:p>
    <w:p w:rsidR="002406E3" w:rsidRPr="00497F19" w:rsidRDefault="002406E3" w:rsidP="002406E3">
      <w:pPr>
        <w:rPr>
          <w:lang w:val="es-ES_tradnl" w:eastAsia="da-DK"/>
        </w:rPr>
      </w:pPr>
    </w:p>
    <w:p w:rsidR="002406E3" w:rsidRPr="00497F19" w:rsidRDefault="002406E3" w:rsidP="002406E3">
      <w:pPr>
        <w:pStyle w:val="Heading2"/>
        <w:keepNext w:val="0"/>
        <w:widowControl w:val="0"/>
        <w:tabs>
          <w:tab w:val="left" w:pos="567"/>
        </w:tabs>
        <w:spacing w:before="0" w:after="0" w:line="300" w:lineRule="atLeast"/>
        <w:rPr>
          <w:rFonts w:ascii="Arial Bold" w:hAnsi="Arial Bold"/>
          <w:b/>
          <w:caps w:val="0"/>
          <w:lang w:val="es-ES_tradnl" w:eastAsia="da-DK"/>
        </w:rPr>
      </w:pPr>
      <w:bookmarkStart w:id="42" w:name="_Toc395626695"/>
      <w:r w:rsidRPr="00497F19">
        <w:rPr>
          <w:rFonts w:ascii="Arial Bold" w:hAnsi="Arial Bold"/>
          <w:b/>
          <w:caps w:val="0"/>
          <w:lang w:val="es-ES_tradnl" w:eastAsia="da-DK"/>
        </w:rPr>
        <w:t>Cuadros 8 y 8</w:t>
      </w:r>
      <w:r w:rsidRPr="00497F19">
        <w:rPr>
          <w:rFonts w:ascii="Arial Bold" w:hAnsi="Arial Bold"/>
          <w:b/>
          <w:i/>
          <w:caps w:val="0"/>
          <w:lang w:val="es-ES_tradnl" w:eastAsia="da-DK"/>
        </w:rPr>
        <w:t>bis</w:t>
      </w:r>
      <w:r w:rsidRPr="00497F19">
        <w:rPr>
          <w:rFonts w:ascii="Arial Bold" w:hAnsi="Arial Bold"/>
          <w:b/>
          <w:caps w:val="0"/>
          <w:lang w:val="es-ES_tradnl" w:eastAsia="da-DK"/>
        </w:rPr>
        <w:tab/>
        <w:t>Contribuciones con arreglo al sistema de contribución única</w:t>
      </w:r>
      <w:bookmarkEnd w:id="42"/>
    </w:p>
    <w:p w:rsidR="002406E3" w:rsidRPr="00497F19" w:rsidRDefault="002406E3" w:rsidP="002406E3">
      <w:pPr>
        <w:rPr>
          <w:i/>
          <w:lang w:val="es-ES_tradnl"/>
        </w:rPr>
      </w:pPr>
    </w:p>
    <w:p w:rsidR="002406E3" w:rsidRPr="00497F19" w:rsidRDefault="002406E3" w:rsidP="002406E3">
      <w:pPr>
        <w:rPr>
          <w:i/>
          <w:lang w:val="es-ES_tradnl"/>
        </w:rPr>
      </w:pPr>
      <w:r w:rsidRPr="00497F19">
        <w:rPr>
          <w:i/>
          <w:lang w:val="es-ES_tradnl"/>
        </w:rPr>
        <w:t>Base para la determinación de las contribuciones</w:t>
      </w:r>
    </w:p>
    <w:p w:rsidR="002406E3" w:rsidRPr="00497F19" w:rsidRDefault="002406E3" w:rsidP="002406E3">
      <w:pPr>
        <w:rPr>
          <w:lang w:val="es-ES_tradnl"/>
        </w:rPr>
      </w:pPr>
    </w:p>
    <w:p w:rsidR="002406E3" w:rsidRPr="00497F19" w:rsidRDefault="002406E3" w:rsidP="002406E3">
      <w:pPr>
        <w:rPr>
          <w:lang w:val="es-ES_tradnl"/>
        </w:rPr>
      </w:pPr>
      <w:r w:rsidRPr="00497F19">
        <w:rPr>
          <w:lang w:val="es-ES_tradnl"/>
        </w:rPr>
        <w:t>La contribución de cada Estado miembro se determina sobre la base de las decisiones adoptadas en 2003 por la Conferencia de la OMPI y las Asambleas competentes de ciertas Uniones administradas por la OMPI en relación con el sistema de contribución única (documento A/39/15, párrafos 166 y 167).</w:t>
      </w:r>
    </w:p>
    <w:p w:rsidR="002406E3" w:rsidRPr="00497F19" w:rsidRDefault="002406E3" w:rsidP="002406E3">
      <w:pPr>
        <w:rPr>
          <w:lang w:val="es-ES_tradnl"/>
        </w:rPr>
      </w:pPr>
    </w:p>
    <w:p w:rsidR="002406E3" w:rsidRPr="00497F19" w:rsidRDefault="002406E3" w:rsidP="002406E3">
      <w:pPr>
        <w:rPr>
          <w:i/>
          <w:lang w:val="es-ES_tradnl"/>
        </w:rPr>
      </w:pPr>
      <w:r w:rsidRPr="00497F19">
        <w:rPr>
          <w:i/>
          <w:lang w:val="es-ES_tradnl"/>
        </w:rPr>
        <w:t>Determinación de las contribuciones</w:t>
      </w:r>
    </w:p>
    <w:p w:rsidR="002406E3" w:rsidRPr="00497F19" w:rsidRDefault="002406E3" w:rsidP="002406E3">
      <w:pPr>
        <w:rPr>
          <w:lang w:val="es-ES_tradnl"/>
        </w:rPr>
      </w:pPr>
    </w:p>
    <w:p w:rsidR="002406E3" w:rsidRPr="00497F19" w:rsidRDefault="002406E3" w:rsidP="002406E3">
      <w:pPr>
        <w:rPr>
          <w:lang w:val="es-ES_tradnl"/>
        </w:rPr>
      </w:pPr>
      <w:r w:rsidRPr="00497F19">
        <w:rPr>
          <w:lang w:val="es-ES_tradnl"/>
        </w:rPr>
        <w:t>Los importes de las contribuciones correspondientes al bie</w:t>
      </w:r>
      <w:r w:rsidR="000B56B8" w:rsidRPr="00497F19">
        <w:rPr>
          <w:lang w:val="es-ES_tradnl"/>
        </w:rPr>
        <w:t>nio 2012/13 fueron aprobados el </w:t>
      </w:r>
      <w:r w:rsidRPr="00497F19">
        <w:rPr>
          <w:lang w:val="es-ES_tradnl"/>
        </w:rPr>
        <w:t>5 de octubre de 2011 por las Asambleas de los Estados miembros de la OMPI y las Uniones administradas por la OMPI (documento A/49/18, párrafo 207).</w:t>
      </w:r>
    </w:p>
    <w:p w:rsidR="002406E3" w:rsidRPr="00497F19" w:rsidRDefault="002406E3" w:rsidP="002406E3">
      <w:pPr>
        <w:rPr>
          <w:lang w:val="es-ES_tradnl"/>
        </w:rPr>
      </w:pPr>
    </w:p>
    <w:p w:rsidR="002406E3" w:rsidRDefault="000B56B8" w:rsidP="002406E3">
      <w:pPr>
        <w:jc w:val="center"/>
        <w:rPr>
          <w:lang w:val="es-ES_tradnl"/>
        </w:rPr>
      </w:pPr>
      <w:r w:rsidRPr="00497F19">
        <w:rPr>
          <w:noProof/>
          <w:lang w:val="en-US" w:eastAsia="en-US"/>
        </w:rPr>
        <w:drawing>
          <wp:inline distT="0" distB="0" distL="0" distR="0" wp14:anchorId="088DABCB" wp14:editId="3E044C4F">
            <wp:extent cx="4733925" cy="3177686"/>
            <wp:effectExtent l="0" t="0" r="0" b="3810"/>
            <wp:docPr id="4080" name="Picture 4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736236" cy="3179237"/>
                    </a:xfrm>
                    <a:prstGeom prst="rect">
                      <a:avLst/>
                    </a:prstGeom>
                    <a:noFill/>
                    <a:ln>
                      <a:noFill/>
                    </a:ln>
                  </pic:spPr>
                </pic:pic>
              </a:graphicData>
            </a:graphic>
          </wp:inline>
        </w:drawing>
      </w:r>
    </w:p>
    <w:p w:rsidR="00B80EB6" w:rsidRPr="00497F19" w:rsidRDefault="00B80EB6" w:rsidP="002406E3">
      <w:pPr>
        <w:jc w:val="center"/>
        <w:rPr>
          <w:lang w:val="es-ES_tradnl"/>
        </w:rPr>
      </w:pPr>
    </w:p>
    <w:p w:rsidR="002406E3" w:rsidRPr="00497F19" w:rsidRDefault="000B56B8" w:rsidP="00B80EB6">
      <w:pPr>
        <w:jc w:val="center"/>
        <w:rPr>
          <w:rStyle w:val="NORMALTEXT"/>
          <w:lang w:val="es-ES_tradnl"/>
        </w:rPr>
      </w:pPr>
      <w:r w:rsidRPr="00497F19">
        <w:rPr>
          <w:noProof/>
          <w:lang w:val="en-US" w:eastAsia="en-US"/>
        </w:rPr>
        <w:drawing>
          <wp:inline distT="0" distB="0" distL="0" distR="0" wp14:anchorId="45F04A11" wp14:editId="2E564013">
            <wp:extent cx="4591050" cy="2833071"/>
            <wp:effectExtent l="0" t="0" r="0" b="0"/>
            <wp:docPr id="4081" name="Picture 4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594148" cy="2834983"/>
                    </a:xfrm>
                    <a:prstGeom prst="rect">
                      <a:avLst/>
                    </a:prstGeom>
                    <a:noFill/>
                    <a:ln>
                      <a:noFill/>
                    </a:ln>
                  </pic:spPr>
                </pic:pic>
              </a:graphicData>
            </a:graphic>
          </wp:inline>
        </w:drawing>
      </w:r>
    </w:p>
    <w:p w:rsidR="002406E3" w:rsidRPr="00497F19" w:rsidRDefault="002406E3" w:rsidP="002406E3">
      <w:pPr>
        <w:rPr>
          <w:rStyle w:val="NORMALTEXT"/>
          <w:lang w:val="es-ES_tradnl"/>
        </w:rPr>
      </w:pPr>
    </w:p>
    <w:p w:rsidR="002406E3" w:rsidRPr="00497F19" w:rsidRDefault="002406E3" w:rsidP="002406E3">
      <w:pPr>
        <w:rPr>
          <w:rStyle w:val="NORMALTEXT"/>
          <w:lang w:val="es-ES_tradnl"/>
        </w:rPr>
      </w:pPr>
    </w:p>
    <w:p w:rsidR="002406E3" w:rsidRPr="00497F19" w:rsidRDefault="002406E3" w:rsidP="002406E3">
      <w:pPr>
        <w:rPr>
          <w:rStyle w:val="NORMALTEXT"/>
          <w:lang w:val="es-ES_tradnl"/>
        </w:rPr>
      </w:pPr>
    </w:p>
    <w:p w:rsidR="002406E3" w:rsidRPr="00497F19" w:rsidRDefault="00856A21" w:rsidP="00B80EB6">
      <w:pPr>
        <w:jc w:val="center"/>
        <w:rPr>
          <w:rStyle w:val="NORMALTEXT"/>
          <w:lang w:val="es-ES_tradnl"/>
        </w:rPr>
      </w:pPr>
      <w:r w:rsidRPr="00497F19">
        <w:rPr>
          <w:noProof/>
          <w:lang w:val="en-US" w:eastAsia="en-US"/>
        </w:rPr>
        <w:drawing>
          <wp:inline distT="0" distB="0" distL="0" distR="0" wp14:anchorId="3DE4E0D5" wp14:editId="1092339B">
            <wp:extent cx="5753100" cy="2567203"/>
            <wp:effectExtent l="0" t="0" r="0" b="0"/>
            <wp:docPr id="4082" name="Picture 4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753979" cy="2567595"/>
                    </a:xfrm>
                    <a:prstGeom prst="rect">
                      <a:avLst/>
                    </a:prstGeom>
                    <a:noFill/>
                    <a:ln>
                      <a:noFill/>
                    </a:ln>
                  </pic:spPr>
                </pic:pic>
              </a:graphicData>
            </a:graphic>
          </wp:inline>
        </w:drawing>
      </w:r>
    </w:p>
    <w:p w:rsidR="002406E3" w:rsidRPr="00497F19" w:rsidRDefault="002406E3" w:rsidP="002406E3">
      <w:pPr>
        <w:rPr>
          <w:rStyle w:val="NORMALTEXT"/>
          <w:lang w:val="es-ES_tradnl"/>
        </w:rPr>
      </w:pPr>
    </w:p>
    <w:p w:rsidR="002406E3" w:rsidRPr="00497F19" w:rsidRDefault="00F02C72" w:rsidP="00B80EB6">
      <w:pPr>
        <w:jc w:val="center"/>
        <w:rPr>
          <w:rStyle w:val="NORMALTEXT"/>
          <w:lang w:val="es-ES_tradnl"/>
        </w:rPr>
      </w:pPr>
      <w:r w:rsidRPr="00497F19">
        <w:rPr>
          <w:noProof/>
          <w:lang w:val="en-US" w:eastAsia="en-US"/>
        </w:rPr>
        <w:drawing>
          <wp:inline distT="0" distB="0" distL="0" distR="0" wp14:anchorId="53D28E2F" wp14:editId="4FA588D9">
            <wp:extent cx="5380955" cy="3113311"/>
            <wp:effectExtent l="0" t="0" r="0" b="0"/>
            <wp:docPr id="4083" name="Picture 4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379209" cy="3112301"/>
                    </a:xfrm>
                    <a:prstGeom prst="rect">
                      <a:avLst/>
                    </a:prstGeom>
                    <a:noFill/>
                    <a:ln>
                      <a:noFill/>
                    </a:ln>
                  </pic:spPr>
                </pic:pic>
              </a:graphicData>
            </a:graphic>
          </wp:inline>
        </w:drawing>
      </w:r>
    </w:p>
    <w:p w:rsidR="002406E3" w:rsidRPr="00497F19" w:rsidRDefault="002406E3" w:rsidP="002406E3">
      <w:pPr>
        <w:rPr>
          <w:rStyle w:val="NORMALTEXT"/>
          <w:lang w:val="es-ES_tradnl"/>
        </w:rPr>
      </w:pPr>
    </w:p>
    <w:p w:rsidR="002406E3" w:rsidRPr="00497F19" w:rsidRDefault="00F02C72" w:rsidP="00B80EB6">
      <w:pPr>
        <w:jc w:val="center"/>
        <w:rPr>
          <w:rStyle w:val="NORMALTEXT"/>
          <w:lang w:val="es-ES_tradnl"/>
        </w:rPr>
      </w:pPr>
      <w:r w:rsidRPr="00497F19">
        <w:rPr>
          <w:noProof/>
          <w:lang w:val="en-US" w:eastAsia="en-US"/>
        </w:rPr>
        <w:drawing>
          <wp:inline distT="0" distB="0" distL="0" distR="0" wp14:anchorId="1C7FDCA1" wp14:editId="703FC043">
            <wp:extent cx="5312079" cy="2201474"/>
            <wp:effectExtent l="0" t="0" r="0" b="0"/>
            <wp:docPr id="4084" name="Picture 4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312513" cy="2201654"/>
                    </a:xfrm>
                    <a:prstGeom prst="rect">
                      <a:avLst/>
                    </a:prstGeom>
                    <a:noFill/>
                    <a:ln>
                      <a:noFill/>
                    </a:ln>
                  </pic:spPr>
                </pic:pic>
              </a:graphicData>
            </a:graphic>
          </wp:inline>
        </w:drawing>
      </w:r>
    </w:p>
    <w:p w:rsidR="002406E3" w:rsidRPr="00497F19" w:rsidRDefault="002406E3" w:rsidP="002406E3">
      <w:pPr>
        <w:rPr>
          <w:rStyle w:val="NORMALTEXT"/>
          <w:lang w:val="es-ES_tradnl"/>
        </w:rPr>
      </w:pPr>
    </w:p>
    <w:p w:rsidR="002406E3" w:rsidRPr="00497F19" w:rsidRDefault="00AA08F5" w:rsidP="00B80EB6">
      <w:pPr>
        <w:jc w:val="center"/>
        <w:rPr>
          <w:rStyle w:val="NORMALTEXT"/>
          <w:lang w:val="es-ES_tradnl"/>
        </w:rPr>
      </w:pPr>
      <w:r w:rsidRPr="00497F19">
        <w:rPr>
          <w:noProof/>
          <w:lang w:val="en-US" w:eastAsia="en-US"/>
        </w:rPr>
        <w:lastRenderedPageBreak/>
        <w:drawing>
          <wp:inline distT="0" distB="0" distL="0" distR="0" wp14:anchorId="58BFB7E2" wp14:editId="4DFE485F">
            <wp:extent cx="5367459" cy="2992218"/>
            <wp:effectExtent l="0" t="0" r="0" b="0"/>
            <wp:docPr id="4085" name="Picture 4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369417" cy="2993310"/>
                    </a:xfrm>
                    <a:prstGeom prst="rect">
                      <a:avLst/>
                    </a:prstGeom>
                    <a:noFill/>
                    <a:ln>
                      <a:noFill/>
                    </a:ln>
                  </pic:spPr>
                </pic:pic>
              </a:graphicData>
            </a:graphic>
          </wp:inline>
        </w:drawing>
      </w:r>
    </w:p>
    <w:p w:rsidR="002406E3" w:rsidRPr="00497F19" w:rsidRDefault="002406E3" w:rsidP="002406E3">
      <w:pPr>
        <w:rPr>
          <w:rStyle w:val="NORMALTEXT"/>
          <w:lang w:val="es-ES_tradnl"/>
        </w:rPr>
      </w:pPr>
    </w:p>
    <w:p w:rsidR="002406E3" w:rsidRPr="00497F19" w:rsidRDefault="002406E3" w:rsidP="002406E3">
      <w:pPr>
        <w:rPr>
          <w:rStyle w:val="NORMALTEXT"/>
          <w:lang w:val="es-ES_tradnl"/>
        </w:rPr>
      </w:pPr>
    </w:p>
    <w:p w:rsidR="002406E3" w:rsidRPr="00497F19" w:rsidRDefault="002406E3" w:rsidP="002406E3">
      <w:pPr>
        <w:rPr>
          <w:rStyle w:val="NORMALTEXT"/>
          <w:lang w:val="es-ES_tradnl"/>
        </w:rPr>
      </w:pPr>
    </w:p>
    <w:p w:rsidR="002406E3" w:rsidRPr="00497F19" w:rsidRDefault="002406E3" w:rsidP="002406E3">
      <w:pPr>
        <w:rPr>
          <w:rStyle w:val="NORMALTEXT"/>
          <w:lang w:val="es-ES_tradnl"/>
        </w:rPr>
      </w:pPr>
      <w:r w:rsidRPr="00497F19">
        <w:rPr>
          <w:rStyle w:val="NORMALTEXT"/>
          <w:lang w:val="es-ES_tradnl"/>
        </w:rPr>
        <w:br w:type="page"/>
      </w:r>
    </w:p>
    <w:p w:rsidR="002406E3" w:rsidRPr="00497F19" w:rsidRDefault="002406E3" w:rsidP="002406E3">
      <w:pPr>
        <w:pStyle w:val="Heading2"/>
        <w:keepNext w:val="0"/>
        <w:widowControl w:val="0"/>
        <w:tabs>
          <w:tab w:val="left" w:pos="567"/>
        </w:tabs>
        <w:spacing w:before="0" w:after="0" w:line="300" w:lineRule="atLeast"/>
        <w:rPr>
          <w:rFonts w:ascii="Arial Bold" w:eastAsia="Times New Roman" w:hAnsi="Arial Bold"/>
          <w:b/>
          <w:caps w:val="0"/>
          <w:lang w:eastAsia="da-DK"/>
        </w:rPr>
      </w:pPr>
      <w:bookmarkStart w:id="43" w:name="_Toc395626696"/>
      <w:r w:rsidRPr="00497F19">
        <w:rPr>
          <w:rFonts w:ascii="Arial Bold" w:eastAsia="Times New Roman" w:hAnsi="Arial Bold"/>
          <w:b/>
          <w:caps w:val="0"/>
          <w:lang w:val="es-ES_tradnl" w:eastAsia="da-DK"/>
        </w:rPr>
        <w:lastRenderedPageBreak/>
        <w:t>Cuadro 9</w:t>
      </w:r>
      <w:r w:rsidRPr="00497F19">
        <w:rPr>
          <w:rFonts w:ascii="Arial Bold" w:eastAsia="Times New Roman" w:hAnsi="Arial Bold"/>
          <w:b/>
          <w:caps w:val="0"/>
          <w:lang w:val="es-ES_tradnl" w:eastAsia="da-DK"/>
        </w:rPr>
        <w:tab/>
        <w:t>Contribuciones pendientes de pago al 31 de diciembre de 2013 y atrasos de contribuciones de países menos adelantados (PMA) poseedores de una cuenta especial (bloqueada)</w:t>
      </w:r>
      <w:bookmarkEnd w:id="43"/>
    </w:p>
    <w:p w:rsidR="002406E3" w:rsidRPr="00497F19" w:rsidRDefault="002406E3" w:rsidP="002406E3">
      <w:pPr>
        <w:rPr>
          <w:lang w:val="es-ES_tradnl"/>
        </w:rPr>
      </w:pPr>
    </w:p>
    <w:p w:rsidR="002406E3" w:rsidRPr="00497F19" w:rsidRDefault="00AD6454" w:rsidP="002406E3">
      <w:pPr>
        <w:rPr>
          <w:rStyle w:val="NORMALTEXT"/>
        </w:rPr>
      </w:pPr>
      <w:r w:rsidRPr="00497F19">
        <w:rPr>
          <w:noProof/>
          <w:lang w:val="en-US" w:eastAsia="en-US"/>
        </w:rPr>
        <w:drawing>
          <wp:inline distT="0" distB="0" distL="0" distR="0" wp14:anchorId="2F2B343D" wp14:editId="277FC5D4">
            <wp:extent cx="5760085" cy="8132176"/>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760085" cy="8132176"/>
                    </a:xfrm>
                    <a:prstGeom prst="rect">
                      <a:avLst/>
                    </a:prstGeom>
                    <a:noFill/>
                    <a:ln>
                      <a:noFill/>
                    </a:ln>
                  </pic:spPr>
                </pic:pic>
              </a:graphicData>
            </a:graphic>
          </wp:inline>
        </w:drawing>
      </w:r>
    </w:p>
    <w:p w:rsidR="002406E3" w:rsidRPr="00497F19" w:rsidRDefault="002406E3" w:rsidP="002406E3">
      <w:pPr>
        <w:rPr>
          <w:rStyle w:val="NORMALTEXT"/>
          <w:lang w:val="es-ES_tradnl"/>
        </w:rPr>
      </w:pPr>
    </w:p>
    <w:p w:rsidR="002406E3" w:rsidRPr="00497F19" w:rsidRDefault="00AB22BB" w:rsidP="002406E3">
      <w:pPr>
        <w:rPr>
          <w:rStyle w:val="NORMALTEXT"/>
          <w:lang w:val="es-ES_tradnl"/>
        </w:rPr>
      </w:pPr>
      <w:r w:rsidRPr="00497F19">
        <w:rPr>
          <w:noProof/>
          <w:lang w:val="en-US" w:eastAsia="en-US"/>
        </w:rPr>
        <w:lastRenderedPageBreak/>
        <w:drawing>
          <wp:inline distT="0" distB="0" distL="0" distR="0" wp14:anchorId="6BD51C4C" wp14:editId="69AB77FB">
            <wp:extent cx="5760085" cy="894019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760085" cy="8940196"/>
                    </a:xfrm>
                    <a:prstGeom prst="rect">
                      <a:avLst/>
                    </a:prstGeom>
                    <a:noFill/>
                    <a:ln>
                      <a:noFill/>
                    </a:ln>
                  </pic:spPr>
                </pic:pic>
              </a:graphicData>
            </a:graphic>
          </wp:inline>
        </w:drawing>
      </w:r>
    </w:p>
    <w:p w:rsidR="002406E3" w:rsidRPr="00497F19" w:rsidRDefault="002406E3" w:rsidP="002406E3">
      <w:pPr>
        <w:rPr>
          <w:rStyle w:val="NORMALTEXT"/>
          <w:lang w:val="es-ES_tradnl"/>
        </w:rPr>
      </w:pPr>
    </w:p>
    <w:p w:rsidR="002406E3" w:rsidRPr="00497F19" w:rsidRDefault="005768EC" w:rsidP="002406E3">
      <w:pPr>
        <w:rPr>
          <w:rStyle w:val="NORMALTEXT"/>
          <w:lang w:val="es-ES_tradnl"/>
        </w:rPr>
      </w:pPr>
      <w:r w:rsidRPr="005768EC">
        <w:rPr>
          <w:noProof/>
          <w:lang w:val="en-US" w:eastAsia="en-US"/>
        </w:rPr>
        <w:lastRenderedPageBreak/>
        <w:drawing>
          <wp:inline distT="0" distB="0" distL="0" distR="0" wp14:anchorId="7226D96F" wp14:editId="57705DD3">
            <wp:extent cx="5760085" cy="8802449"/>
            <wp:effectExtent l="0" t="0" r="0" b="0"/>
            <wp:docPr id="4170" name="Picture 4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760085" cy="8802449"/>
                    </a:xfrm>
                    <a:prstGeom prst="rect">
                      <a:avLst/>
                    </a:prstGeom>
                    <a:noFill/>
                    <a:ln>
                      <a:noFill/>
                    </a:ln>
                  </pic:spPr>
                </pic:pic>
              </a:graphicData>
            </a:graphic>
          </wp:inline>
        </w:drawing>
      </w:r>
    </w:p>
    <w:p w:rsidR="004A40C7" w:rsidRPr="00497F19" w:rsidRDefault="004A40C7">
      <w:pPr>
        <w:rPr>
          <w:noProof/>
          <w:lang w:val="en-US" w:eastAsia="en-US"/>
        </w:rPr>
      </w:pPr>
      <w:r w:rsidRPr="00497F19">
        <w:rPr>
          <w:noProof/>
          <w:lang w:val="en-US" w:eastAsia="en-US"/>
        </w:rPr>
        <w:br w:type="page"/>
      </w:r>
    </w:p>
    <w:p w:rsidR="002406E3" w:rsidRPr="00497F19" w:rsidRDefault="004A40C7" w:rsidP="002406E3">
      <w:pPr>
        <w:rPr>
          <w:rStyle w:val="NORMALTEXT"/>
          <w:lang w:val="es-ES_tradnl"/>
        </w:rPr>
      </w:pPr>
      <w:r w:rsidRPr="00497F19">
        <w:rPr>
          <w:noProof/>
          <w:lang w:val="en-US" w:eastAsia="en-US"/>
        </w:rPr>
        <w:lastRenderedPageBreak/>
        <w:drawing>
          <wp:inline distT="0" distB="0" distL="0" distR="0" wp14:anchorId="0CCC5414" wp14:editId="15C23060">
            <wp:extent cx="5760085" cy="9012584"/>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760085" cy="9012584"/>
                    </a:xfrm>
                    <a:prstGeom prst="rect">
                      <a:avLst/>
                    </a:prstGeom>
                    <a:noFill/>
                    <a:ln>
                      <a:noFill/>
                    </a:ln>
                  </pic:spPr>
                </pic:pic>
              </a:graphicData>
            </a:graphic>
          </wp:inline>
        </w:drawing>
      </w:r>
    </w:p>
    <w:p w:rsidR="002406E3" w:rsidRPr="00497F19" w:rsidRDefault="004A40C7" w:rsidP="002406E3">
      <w:pPr>
        <w:rPr>
          <w:rStyle w:val="NORMALTEXT"/>
          <w:lang w:val="es-ES_tradnl"/>
        </w:rPr>
      </w:pPr>
      <w:r w:rsidRPr="00497F19">
        <w:rPr>
          <w:noProof/>
          <w:lang w:val="en-US" w:eastAsia="en-US"/>
        </w:rPr>
        <w:lastRenderedPageBreak/>
        <w:drawing>
          <wp:inline distT="0" distB="0" distL="0" distR="0" wp14:anchorId="55C693B0" wp14:editId="3E1CA559">
            <wp:extent cx="5760085" cy="9054037"/>
            <wp:effectExtent l="0" t="0" r="0" b="0"/>
            <wp:docPr id="4034" name="Picture 4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760085" cy="9054037"/>
                    </a:xfrm>
                    <a:prstGeom prst="rect">
                      <a:avLst/>
                    </a:prstGeom>
                    <a:noFill/>
                    <a:ln>
                      <a:noFill/>
                    </a:ln>
                  </pic:spPr>
                </pic:pic>
              </a:graphicData>
            </a:graphic>
          </wp:inline>
        </w:drawing>
      </w:r>
    </w:p>
    <w:p w:rsidR="002406E3" w:rsidRPr="00497F19" w:rsidRDefault="004A40C7" w:rsidP="002406E3">
      <w:pPr>
        <w:rPr>
          <w:rStyle w:val="NORMALTEXT"/>
          <w:lang w:val="es-ES_tradnl"/>
        </w:rPr>
      </w:pPr>
      <w:r w:rsidRPr="00497F19">
        <w:rPr>
          <w:noProof/>
          <w:lang w:val="en-US" w:eastAsia="en-US"/>
        </w:rPr>
        <w:lastRenderedPageBreak/>
        <w:drawing>
          <wp:inline distT="0" distB="0" distL="0" distR="0" wp14:anchorId="6C001C13" wp14:editId="5B41EF73">
            <wp:extent cx="5760085" cy="1356806"/>
            <wp:effectExtent l="0" t="0" r="0" b="0"/>
            <wp:docPr id="4035" name="Picture 4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760085" cy="1356806"/>
                    </a:xfrm>
                    <a:prstGeom prst="rect">
                      <a:avLst/>
                    </a:prstGeom>
                    <a:noFill/>
                    <a:ln>
                      <a:noFill/>
                    </a:ln>
                  </pic:spPr>
                </pic:pic>
              </a:graphicData>
            </a:graphic>
          </wp:inline>
        </w:drawing>
      </w:r>
    </w:p>
    <w:p w:rsidR="002406E3" w:rsidRPr="00497F19" w:rsidRDefault="002406E3" w:rsidP="002406E3">
      <w:pPr>
        <w:rPr>
          <w:rStyle w:val="NORMALTEXT"/>
          <w:lang w:val="es-ES_tradnl"/>
        </w:rPr>
      </w:pPr>
    </w:p>
    <w:p w:rsidR="002406E3" w:rsidRPr="00497F19" w:rsidRDefault="004A40C7" w:rsidP="002406E3">
      <w:pPr>
        <w:rPr>
          <w:rStyle w:val="NORMALTEXT"/>
          <w:lang w:val="es-ES_tradnl"/>
        </w:rPr>
      </w:pPr>
      <w:r w:rsidRPr="00497F19">
        <w:rPr>
          <w:noProof/>
          <w:lang w:val="en-US" w:eastAsia="en-US"/>
        </w:rPr>
        <w:drawing>
          <wp:inline distT="0" distB="0" distL="0" distR="0" wp14:anchorId="0B8BF3DC" wp14:editId="1316F3AD">
            <wp:extent cx="5760085" cy="1999634"/>
            <wp:effectExtent l="0" t="0" r="0" b="635"/>
            <wp:docPr id="4037" name="Picture 4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760085" cy="1999634"/>
                    </a:xfrm>
                    <a:prstGeom prst="rect">
                      <a:avLst/>
                    </a:prstGeom>
                    <a:noFill/>
                    <a:ln>
                      <a:noFill/>
                    </a:ln>
                  </pic:spPr>
                </pic:pic>
              </a:graphicData>
            </a:graphic>
          </wp:inline>
        </w:drawing>
      </w:r>
    </w:p>
    <w:p w:rsidR="002406E3" w:rsidRPr="00497F19" w:rsidRDefault="002406E3" w:rsidP="002406E3">
      <w:pPr>
        <w:rPr>
          <w:rStyle w:val="NORMALTEXT"/>
          <w:lang w:val="es-ES_tradnl"/>
        </w:rPr>
      </w:pPr>
    </w:p>
    <w:p w:rsidR="002406E3" w:rsidRPr="00497F19" w:rsidRDefault="002406E3" w:rsidP="002406E3">
      <w:pPr>
        <w:rPr>
          <w:rStyle w:val="NORMALTEXT"/>
          <w:lang w:val="es-ES_tradnl"/>
        </w:rPr>
      </w:pPr>
    </w:p>
    <w:p w:rsidR="002406E3" w:rsidRPr="00497F19" w:rsidRDefault="002406E3" w:rsidP="002406E3">
      <w:pPr>
        <w:rPr>
          <w:rStyle w:val="NORMALTEXT"/>
          <w:lang w:val="es-ES_tradnl"/>
        </w:rPr>
      </w:pPr>
    </w:p>
    <w:p w:rsidR="002406E3" w:rsidRPr="00497F19" w:rsidRDefault="004A40C7" w:rsidP="002406E3">
      <w:pPr>
        <w:rPr>
          <w:rStyle w:val="NORMALTEXT"/>
          <w:lang w:val="es-ES_tradnl"/>
        </w:rPr>
      </w:pPr>
      <w:r w:rsidRPr="00497F19">
        <w:rPr>
          <w:noProof/>
          <w:lang w:val="en-US" w:eastAsia="en-US"/>
        </w:rPr>
        <w:drawing>
          <wp:inline distT="0" distB="0" distL="0" distR="0" wp14:anchorId="728EE286" wp14:editId="6E953519">
            <wp:extent cx="5760085" cy="1377842"/>
            <wp:effectExtent l="0" t="0" r="0" b="0"/>
            <wp:docPr id="4040" name="Picture 4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60085" cy="1377842"/>
                    </a:xfrm>
                    <a:prstGeom prst="rect">
                      <a:avLst/>
                    </a:prstGeom>
                    <a:noFill/>
                    <a:ln>
                      <a:noFill/>
                    </a:ln>
                  </pic:spPr>
                </pic:pic>
              </a:graphicData>
            </a:graphic>
          </wp:inline>
        </w:drawing>
      </w:r>
    </w:p>
    <w:p w:rsidR="002406E3" w:rsidRPr="00497F19" w:rsidRDefault="002406E3" w:rsidP="002406E3">
      <w:pPr>
        <w:rPr>
          <w:rStyle w:val="NORMALTEXT"/>
          <w:lang w:val="es-ES_tradnl"/>
        </w:rPr>
      </w:pPr>
    </w:p>
    <w:p w:rsidR="002406E3" w:rsidRPr="00497F19" w:rsidRDefault="002406E3" w:rsidP="002406E3">
      <w:pPr>
        <w:rPr>
          <w:rStyle w:val="NORMALTEXT"/>
          <w:lang w:val="es-ES_tradnl"/>
        </w:rPr>
      </w:pPr>
    </w:p>
    <w:p w:rsidR="002406E3" w:rsidRPr="00497F19" w:rsidRDefault="002406E3" w:rsidP="002406E3">
      <w:pPr>
        <w:rPr>
          <w:rStyle w:val="NORMALTEXT"/>
          <w:lang w:val="es-ES_tradnl"/>
        </w:rPr>
      </w:pPr>
      <w:r w:rsidRPr="00497F19">
        <w:rPr>
          <w:rStyle w:val="NORMALTEXT"/>
          <w:lang w:val="es-ES_tradnl"/>
        </w:rPr>
        <w:br w:type="page"/>
      </w:r>
    </w:p>
    <w:p w:rsidR="002406E3" w:rsidRPr="00497F19" w:rsidRDefault="002406E3" w:rsidP="002406E3">
      <w:pPr>
        <w:rPr>
          <w:rStyle w:val="NORMALTEXT"/>
          <w:lang w:val="es-ES_tradnl"/>
        </w:rPr>
      </w:pPr>
    </w:p>
    <w:p w:rsidR="002406E3" w:rsidRPr="00497F19" w:rsidRDefault="002406E3" w:rsidP="002406E3">
      <w:pPr>
        <w:pStyle w:val="Heading2"/>
        <w:keepNext w:val="0"/>
        <w:widowControl w:val="0"/>
        <w:tabs>
          <w:tab w:val="left" w:pos="1418"/>
        </w:tabs>
        <w:spacing w:before="0" w:after="0" w:line="300" w:lineRule="atLeast"/>
        <w:rPr>
          <w:rStyle w:val="NORMALTEXT"/>
          <w:rFonts w:eastAsia="Times New Roman"/>
          <w:b/>
          <w:caps w:val="0"/>
          <w:lang w:val="es-ES_tradnl" w:eastAsia="da-DK"/>
        </w:rPr>
      </w:pPr>
      <w:bookmarkStart w:id="44" w:name="_Toc395626697"/>
      <w:r w:rsidRPr="00497F19">
        <w:rPr>
          <w:rStyle w:val="NORMALTEXT"/>
          <w:rFonts w:eastAsia="Times New Roman"/>
          <w:b/>
          <w:caps w:val="0"/>
          <w:lang w:val="es-ES_tradnl" w:eastAsia="da-DK"/>
        </w:rPr>
        <w:t>Cuadro 10</w:t>
      </w:r>
      <w:r w:rsidRPr="00497F19">
        <w:rPr>
          <w:rStyle w:val="NORMALTEXT"/>
          <w:rFonts w:eastAsia="Times New Roman"/>
          <w:b/>
          <w:caps w:val="0"/>
          <w:lang w:val="es-ES_tradnl" w:eastAsia="da-DK"/>
        </w:rPr>
        <w:tab/>
        <w:t>Contribuciones percibidas por anticipado</w:t>
      </w:r>
      <w:bookmarkEnd w:id="44"/>
    </w:p>
    <w:p w:rsidR="002406E3" w:rsidRPr="00497F19" w:rsidRDefault="002406E3" w:rsidP="002406E3"/>
    <w:p w:rsidR="002406E3" w:rsidRPr="00497F19" w:rsidRDefault="00B73EB2" w:rsidP="002406E3">
      <w:pPr>
        <w:rPr>
          <w:lang w:val="es-ES_tradnl" w:eastAsia="da-DK"/>
        </w:rPr>
      </w:pPr>
      <w:r w:rsidRPr="00497F19">
        <w:rPr>
          <w:noProof/>
          <w:lang w:val="en-US" w:eastAsia="en-US"/>
        </w:rPr>
        <w:drawing>
          <wp:inline distT="0" distB="0" distL="0" distR="0" wp14:anchorId="6D22FB09" wp14:editId="72058B51">
            <wp:extent cx="5760085" cy="5148289"/>
            <wp:effectExtent l="0" t="0" r="0" b="0"/>
            <wp:docPr id="4042" name="Picture 4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760085" cy="5148289"/>
                    </a:xfrm>
                    <a:prstGeom prst="rect">
                      <a:avLst/>
                    </a:prstGeom>
                    <a:noFill/>
                    <a:ln>
                      <a:noFill/>
                    </a:ln>
                  </pic:spPr>
                </pic:pic>
              </a:graphicData>
            </a:graphic>
          </wp:inline>
        </w:drawing>
      </w:r>
    </w:p>
    <w:p w:rsidR="002406E3" w:rsidRPr="00497F19" w:rsidRDefault="002406E3" w:rsidP="002406E3">
      <w:pPr>
        <w:rPr>
          <w:lang w:val="es-ES_tradnl" w:eastAsia="da-DK"/>
        </w:rPr>
      </w:pPr>
    </w:p>
    <w:p w:rsidR="002406E3" w:rsidRPr="00497F19" w:rsidRDefault="002406E3" w:rsidP="002406E3">
      <w:pPr>
        <w:rPr>
          <w:rStyle w:val="NORMALTEXT"/>
        </w:rPr>
      </w:pPr>
    </w:p>
    <w:p w:rsidR="002406E3" w:rsidRPr="00497F19" w:rsidRDefault="002406E3">
      <w:pPr>
        <w:rPr>
          <w:rStyle w:val="NORMALTEXT"/>
          <w:lang w:val="es-ES_tradnl"/>
        </w:rPr>
      </w:pPr>
      <w:r w:rsidRPr="00497F19">
        <w:rPr>
          <w:rStyle w:val="NORMALTEXT"/>
          <w:bCs/>
          <w:iCs w:val="0"/>
          <w:caps/>
          <w:lang w:val="es-ES_tradnl"/>
        </w:rPr>
        <w:br w:type="page"/>
      </w:r>
    </w:p>
    <w:p w:rsidR="002406E3" w:rsidRPr="00497F19" w:rsidRDefault="002406E3" w:rsidP="002406E3">
      <w:pPr>
        <w:pStyle w:val="Heading2"/>
        <w:keepNext w:val="0"/>
        <w:widowControl w:val="0"/>
        <w:tabs>
          <w:tab w:val="left" w:pos="1418"/>
        </w:tabs>
        <w:spacing w:before="0" w:after="0" w:line="300" w:lineRule="atLeast"/>
        <w:rPr>
          <w:rStyle w:val="NORMALTEXT"/>
          <w:rFonts w:eastAsia="Times New Roman"/>
          <w:b/>
          <w:iCs/>
          <w:caps w:val="0"/>
          <w:lang w:val="es-ES_tradnl" w:eastAsia="da-DK"/>
        </w:rPr>
      </w:pPr>
      <w:bookmarkStart w:id="45" w:name="_Toc395626698"/>
      <w:r w:rsidRPr="00497F19">
        <w:rPr>
          <w:rStyle w:val="NORMALTEXT"/>
          <w:rFonts w:eastAsia="Times New Roman"/>
          <w:b/>
          <w:caps w:val="0"/>
          <w:lang w:val="es-ES_tradnl" w:eastAsia="da-DK"/>
        </w:rPr>
        <w:lastRenderedPageBreak/>
        <w:t>Cuadro 11</w:t>
      </w:r>
      <w:r w:rsidRPr="00497F19">
        <w:rPr>
          <w:rStyle w:val="NORMALTEXT"/>
          <w:rFonts w:eastAsia="Times New Roman"/>
          <w:b/>
          <w:caps w:val="0"/>
          <w:lang w:val="es-ES_tradnl" w:eastAsia="da-DK"/>
        </w:rPr>
        <w:tab/>
        <w:t>Fondos de operaciones al 31 de diciembre de 2013</w:t>
      </w:r>
      <w:bookmarkEnd w:id="45"/>
    </w:p>
    <w:p w:rsidR="002406E3" w:rsidRPr="00497F19" w:rsidRDefault="002406E3" w:rsidP="002406E3"/>
    <w:p w:rsidR="002406E3" w:rsidRPr="00497F19" w:rsidRDefault="00C03584" w:rsidP="002406E3">
      <w:pPr>
        <w:rPr>
          <w:lang w:val="es-ES_tradnl" w:eastAsia="da-DK"/>
        </w:rPr>
      </w:pPr>
      <w:r w:rsidRPr="00497F19">
        <w:rPr>
          <w:noProof/>
          <w:lang w:val="en-US" w:eastAsia="en-US"/>
        </w:rPr>
        <w:drawing>
          <wp:inline distT="0" distB="0" distL="0" distR="0" wp14:anchorId="59BE96CA" wp14:editId="7FABA0AA">
            <wp:extent cx="5760085" cy="8630046"/>
            <wp:effectExtent l="0" t="0" r="0" b="0"/>
            <wp:docPr id="4049" name="Picture 4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760085" cy="8630046"/>
                    </a:xfrm>
                    <a:prstGeom prst="rect">
                      <a:avLst/>
                    </a:prstGeom>
                    <a:noFill/>
                    <a:ln>
                      <a:noFill/>
                    </a:ln>
                  </pic:spPr>
                </pic:pic>
              </a:graphicData>
            </a:graphic>
          </wp:inline>
        </w:drawing>
      </w:r>
    </w:p>
    <w:p w:rsidR="002406E3" w:rsidRPr="00497F19" w:rsidRDefault="00C03584" w:rsidP="002406E3">
      <w:pPr>
        <w:rPr>
          <w:lang w:val="es-ES_tradnl" w:eastAsia="da-DK"/>
        </w:rPr>
      </w:pPr>
      <w:r w:rsidRPr="00497F19">
        <w:rPr>
          <w:noProof/>
          <w:lang w:val="en-US" w:eastAsia="en-US"/>
        </w:rPr>
        <w:lastRenderedPageBreak/>
        <w:drawing>
          <wp:inline distT="0" distB="0" distL="0" distR="0" wp14:anchorId="763F9F6D" wp14:editId="01D41A9A">
            <wp:extent cx="5677786" cy="9140851"/>
            <wp:effectExtent l="0" t="0" r="0" b="3175"/>
            <wp:docPr id="4052" name="Picture 4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675065" cy="9136470"/>
                    </a:xfrm>
                    <a:prstGeom prst="rect">
                      <a:avLst/>
                    </a:prstGeom>
                    <a:noFill/>
                    <a:ln>
                      <a:noFill/>
                    </a:ln>
                  </pic:spPr>
                </pic:pic>
              </a:graphicData>
            </a:graphic>
          </wp:inline>
        </w:drawing>
      </w:r>
    </w:p>
    <w:p w:rsidR="002406E3" w:rsidRPr="00497F19" w:rsidRDefault="00C03584" w:rsidP="002406E3">
      <w:pPr>
        <w:rPr>
          <w:lang w:val="es-ES_tradnl" w:eastAsia="da-DK"/>
        </w:rPr>
      </w:pPr>
      <w:r w:rsidRPr="00497F19">
        <w:rPr>
          <w:noProof/>
          <w:lang w:val="en-US" w:eastAsia="en-US"/>
        </w:rPr>
        <w:lastRenderedPageBreak/>
        <w:drawing>
          <wp:inline distT="0" distB="0" distL="0" distR="0" wp14:anchorId="410D3F1E" wp14:editId="343B2C15">
            <wp:extent cx="5760085" cy="8630046"/>
            <wp:effectExtent l="0" t="0" r="0" b="0"/>
            <wp:docPr id="4059" name="Picture 4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760085" cy="8630046"/>
                    </a:xfrm>
                    <a:prstGeom prst="rect">
                      <a:avLst/>
                    </a:prstGeom>
                    <a:noFill/>
                    <a:ln>
                      <a:noFill/>
                    </a:ln>
                  </pic:spPr>
                </pic:pic>
              </a:graphicData>
            </a:graphic>
          </wp:inline>
        </w:drawing>
      </w:r>
    </w:p>
    <w:p w:rsidR="00C03584" w:rsidRPr="00497F19" w:rsidRDefault="00C03584">
      <w:pPr>
        <w:rPr>
          <w:noProof/>
          <w:lang w:val="es-ES_tradnl"/>
        </w:rPr>
      </w:pPr>
      <w:r w:rsidRPr="00497F19">
        <w:rPr>
          <w:noProof/>
          <w:lang w:val="es-ES_tradnl"/>
        </w:rPr>
        <w:br w:type="page"/>
      </w:r>
    </w:p>
    <w:p w:rsidR="00C03584" w:rsidRPr="00497F19" w:rsidRDefault="00C03584" w:rsidP="002406E3">
      <w:pPr>
        <w:rPr>
          <w:lang w:val="es-ES_tradnl" w:eastAsia="da-DK"/>
        </w:rPr>
      </w:pPr>
      <w:r w:rsidRPr="00497F19">
        <w:rPr>
          <w:noProof/>
          <w:lang w:val="en-US" w:eastAsia="en-US"/>
        </w:rPr>
        <w:lastRenderedPageBreak/>
        <w:drawing>
          <wp:inline distT="0" distB="0" distL="0" distR="0" wp14:anchorId="5D16E55D" wp14:editId="526A026A">
            <wp:extent cx="5730949" cy="9106614"/>
            <wp:effectExtent l="0" t="0" r="3175" b="0"/>
            <wp:docPr id="4060" name="Picture 4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731654" cy="9107735"/>
                    </a:xfrm>
                    <a:prstGeom prst="rect">
                      <a:avLst/>
                    </a:prstGeom>
                    <a:noFill/>
                    <a:ln>
                      <a:noFill/>
                    </a:ln>
                  </pic:spPr>
                </pic:pic>
              </a:graphicData>
            </a:graphic>
          </wp:inline>
        </w:drawing>
      </w:r>
    </w:p>
    <w:p w:rsidR="00C03584" w:rsidRPr="00497F19" w:rsidRDefault="00C03584">
      <w:pPr>
        <w:rPr>
          <w:lang w:val="es-ES_tradnl" w:eastAsia="da-DK"/>
        </w:rPr>
      </w:pPr>
      <w:r w:rsidRPr="00497F19">
        <w:rPr>
          <w:noProof/>
          <w:lang w:val="en-US" w:eastAsia="en-US"/>
        </w:rPr>
        <w:lastRenderedPageBreak/>
        <w:drawing>
          <wp:inline distT="0" distB="0" distL="0" distR="0" wp14:anchorId="47EB9059" wp14:editId="330D7921">
            <wp:extent cx="5760085" cy="9115199"/>
            <wp:effectExtent l="0" t="0" r="0" b="0"/>
            <wp:docPr id="4065" name="Picture 4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760085" cy="9115199"/>
                    </a:xfrm>
                    <a:prstGeom prst="rect">
                      <a:avLst/>
                    </a:prstGeom>
                    <a:noFill/>
                    <a:ln>
                      <a:noFill/>
                    </a:ln>
                  </pic:spPr>
                </pic:pic>
              </a:graphicData>
            </a:graphic>
          </wp:inline>
        </w:drawing>
      </w:r>
    </w:p>
    <w:p w:rsidR="00C03584" w:rsidRPr="00497F19" w:rsidRDefault="00C03584">
      <w:pPr>
        <w:rPr>
          <w:lang w:val="es-ES_tradnl" w:eastAsia="da-DK"/>
        </w:rPr>
      </w:pPr>
      <w:r w:rsidRPr="00497F19">
        <w:rPr>
          <w:noProof/>
          <w:lang w:val="en-US" w:eastAsia="en-US"/>
        </w:rPr>
        <w:lastRenderedPageBreak/>
        <w:drawing>
          <wp:inline distT="0" distB="0" distL="0" distR="0" wp14:anchorId="26ECB5D1" wp14:editId="6207C9B2">
            <wp:extent cx="5760085" cy="7986117"/>
            <wp:effectExtent l="0" t="0" r="0" b="0"/>
            <wp:docPr id="4067" name="Picture 4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760085" cy="7986117"/>
                    </a:xfrm>
                    <a:prstGeom prst="rect">
                      <a:avLst/>
                    </a:prstGeom>
                    <a:noFill/>
                    <a:ln>
                      <a:noFill/>
                    </a:ln>
                  </pic:spPr>
                </pic:pic>
              </a:graphicData>
            </a:graphic>
          </wp:inline>
        </w:drawing>
      </w:r>
    </w:p>
    <w:p w:rsidR="002406E3" w:rsidRPr="00497F19" w:rsidRDefault="00C03584" w:rsidP="002406E3">
      <w:pPr>
        <w:rPr>
          <w:lang w:val="es-ES_tradnl" w:eastAsia="da-DK"/>
        </w:rPr>
      </w:pPr>
      <w:r w:rsidRPr="00497F19">
        <w:rPr>
          <w:lang w:val="es-ES_tradnl" w:eastAsia="da-DK"/>
        </w:rPr>
        <w:br w:type="page"/>
      </w:r>
      <w:bookmarkStart w:id="46" w:name="_MON_1467558852"/>
      <w:bookmarkEnd w:id="46"/>
    </w:p>
    <w:p w:rsidR="002406E3" w:rsidRPr="00497F19" w:rsidRDefault="002406E3" w:rsidP="002406E3">
      <w:pPr>
        <w:rPr>
          <w:i/>
          <w:lang w:val="es-ES_tradnl" w:eastAsia="da-DK"/>
        </w:rPr>
      </w:pPr>
      <w:r w:rsidRPr="00497F19">
        <w:rPr>
          <w:i/>
          <w:lang w:val="es-ES_tradnl" w:eastAsia="da-DK"/>
        </w:rPr>
        <w:lastRenderedPageBreak/>
        <w:t>Total de los fondos de operaciones</w:t>
      </w:r>
    </w:p>
    <w:p w:rsidR="002406E3" w:rsidRPr="00497F19" w:rsidRDefault="002406E3" w:rsidP="002406E3">
      <w:pPr>
        <w:rPr>
          <w:lang w:val="es-ES_tradnl" w:eastAsia="da-DK"/>
        </w:rPr>
      </w:pPr>
    </w:p>
    <w:p w:rsidR="002406E3" w:rsidRPr="00497F19" w:rsidRDefault="000D69D8" w:rsidP="002406E3">
      <w:pPr>
        <w:rPr>
          <w:lang w:val="es-ES_tradnl" w:eastAsia="da-DK"/>
        </w:rPr>
      </w:pPr>
      <w:r w:rsidRPr="00497F19">
        <w:rPr>
          <w:noProof/>
          <w:lang w:val="en-US" w:eastAsia="en-US"/>
        </w:rPr>
        <w:drawing>
          <wp:inline distT="0" distB="0" distL="0" distR="0" wp14:anchorId="5FD1A966" wp14:editId="095C91F0">
            <wp:extent cx="5760085" cy="2226032"/>
            <wp:effectExtent l="0" t="0" r="0" b="3175"/>
            <wp:docPr id="4068" name="Picture 4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760085" cy="2226032"/>
                    </a:xfrm>
                    <a:prstGeom prst="rect">
                      <a:avLst/>
                    </a:prstGeom>
                    <a:noFill/>
                    <a:ln>
                      <a:noFill/>
                    </a:ln>
                  </pic:spPr>
                </pic:pic>
              </a:graphicData>
            </a:graphic>
          </wp:inline>
        </w:drawing>
      </w:r>
    </w:p>
    <w:p w:rsidR="002406E3" w:rsidRPr="00497F19" w:rsidRDefault="002406E3" w:rsidP="002406E3">
      <w:pPr>
        <w:rPr>
          <w:lang w:val="es-ES_tradnl" w:eastAsia="da-DK"/>
        </w:rPr>
      </w:pPr>
    </w:p>
    <w:p w:rsidR="002406E3" w:rsidRPr="00497F19" w:rsidRDefault="002406E3" w:rsidP="002406E3">
      <w:pPr>
        <w:rPr>
          <w:i/>
          <w:lang w:val="es-ES_tradnl" w:eastAsia="da-DK"/>
        </w:rPr>
      </w:pPr>
      <w:r w:rsidRPr="00497F19">
        <w:rPr>
          <w:i/>
          <w:lang w:val="es-ES_tradnl" w:eastAsia="da-DK"/>
        </w:rPr>
        <w:t>Total de los fondos de operaciones pendientes</w:t>
      </w:r>
    </w:p>
    <w:p w:rsidR="002406E3" w:rsidRPr="00497F19" w:rsidRDefault="002406E3" w:rsidP="002406E3">
      <w:pPr>
        <w:rPr>
          <w:lang w:val="es-ES_tradnl" w:eastAsia="da-DK"/>
        </w:rPr>
      </w:pPr>
    </w:p>
    <w:p w:rsidR="002406E3" w:rsidRPr="00497F19" w:rsidRDefault="003C3BA4" w:rsidP="002406E3">
      <w:pPr>
        <w:rPr>
          <w:lang w:val="es-ES_tradnl" w:eastAsia="da-DK"/>
        </w:rPr>
      </w:pPr>
      <w:r w:rsidRPr="003C3BA4">
        <w:rPr>
          <w:noProof/>
          <w:lang w:val="en-US" w:eastAsia="en-US"/>
        </w:rPr>
        <w:drawing>
          <wp:inline distT="0" distB="0" distL="0" distR="0" wp14:anchorId="3F575C89" wp14:editId="1585BE07">
            <wp:extent cx="5760085" cy="254954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760085" cy="2549546"/>
                    </a:xfrm>
                    <a:prstGeom prst="rect">
                      <a:avLst/>
                    </a:prstGeom>
                    <a:noFill/>
                    <a:ln>
                      <a:noFill/>
                    </a:ln>
                  </pic:spPr>
                </pic:pic>
              </a:graphicData>
            </a:graphic>
          </wp:inline>
        </w:drawing>
      </w:r>
    </w:p>
    <w:p w:rsidR="002406E3" w:rsidRPr="00497F19" w:rsidRDefault="002406E3" w:rsidP="002406E3">
      <w:pPr>
        <w:rPr>
          <w:lang w:val="es-ES_tradnl" w:eastAsia="da-DK"/>
        </w:rPr>
      </w:pPr>
    </w:p>
    <w:p w:rsidR="002406E3" w:rsidRPr="00497F19" w:rsidRDefault="002406E3" w:rsidP="002406E3">
      <w:pPr>
        <w:rPr>
          <w:lang w:val="es-ES_tradnl" w:eastAsia="da-DK"/>
        </w:rPr>
      </w:pPr>
    </w:p>
    <w:p w:rsidR="002406E3" w:rsidRPr="00497F19" w:rsidRDefault="002406E3" w:rsidP="002406E3">
      <w:pPr>
        <w:rPr>
          <w:lang w:val="es-ES_tradnl" w:eastAsia="da-DK"/>
        </w:rPr>
      </w:pPr>
    </w:p>
    <w:p w:rsidR="002406E3" w:rsidRPr="00497F19" w:rsidRDefault="002406E3" w:rsidP="002406E3">
      <w:pPr>
        <w:rPr>
          <w:lang w:val="es-ES_tradnl" w:eastAsia="da-DK"/>
        </w:rPr>
        <w:sectPr w:rsidR="002406E3" w:rsidRPr="00497F19">
          <w:pgSz w:w="11907" w:h="16840"/>
          <w:pgMar w:top="567" w:right="1418" w:bottom="1361" w:left="1418" w:header="510" w:footer="510" w:gutter="0"/>
          <w:cols w:space="720"/>
        </w:sectPr>
      </w:pPr>
    </w:p>
    <w:p w:rsidR="002406E3" w:rsidRPr="00497F19" w:rsidRDefault="002406E3" w:rsidP="002406E3">
      <w:pPr>
        <w:pStyle w:val="Heading1"/>
        <w:pageBreakBefore/>
        <w:tabs>
          <w:tab w:val="num" w:pos="567"/>
        </w:tabs>
        <w:spacing w:before="0" w:after="0" w:line="300" w:lineRule="atLeast"/>
        <w:ind w:left="567" w:hanging="567"/>
        <w:rPr>
          <w:rFonts w:eastAsia="Times New Roman"/>
          <w:caps w:val="0"/>
          <w:lang w:val="es-ES_tradnl" w:eastAsia="da-DK"/>
        </w:rPr>
      </w:pPr>
      <w:bookmarkStart w:id="47" w:name="_Toc395626699"/>
      <w:r w:rsidRPr="00497F19">
        <w:rPr>
          <w:rFonts w:eastAsia="Times New Roman"/>
          <w:caps w:val="0"/>
          <w:lang w:val="es-ES_tradnl" w:eastAsia="da-DK"/>
        </w:rPr>
        <w:lastRenderedPageBreak/>
        <w:t>DISTRIBUCIÓN A LAS UNIONES DE MADRID Y LA HAYA</w:t>
      </w:r>
      <w:bookmarkEnd w:id="47"/>
    </w:p>
    <w:p w:rsidR="002406E3" w:rsidRPr="00497F19" w:rsidRDefault="002406E3" w:rsidP="002406E3">
      <w:pPr>
        <w:rPr>
          <w:sz w:val="16"/>
          <w:szCs w:val="16"/>
          <w:lang w:val="es-ES_tradnl" w:eastAsia="da-DK"/>
        </w:rPr>
      </w:pPr>
    </w:p>
    <w:p w:rsidR="002406E3" w:rsidRPr="00497F19" w:rsidRDefault="002406E3" w:rsidP="002406E3">
      <w:pPr>
        <w:pStyle w:val="Heading2"/>
        <w:rPr>
          <w:rFonts w:ascii="Arial Bold" w:eastAsia="Times New Roman" w:hAnsi="Arial Bold"/>
          <w:b/>
          <w:caps w:val="0"/>
          <w:lang w:val="es-ES_tradnl" w:eastAsia="da-DK"/>
        </w:rPr>
      </w:pPr>
      <w:bookmarkStart w:id="48" w:name="_Toc395626700"/>
      <w:r w:rsidRPr="00497F19">
        <w:rPr>
          <w:rFonts w:ascii="Arial Bold" w:eastAsia="Times New Roman" w:hAnsi="Arial Bold"/>
          <w:b/>
          <w:caps w:val="0"/>
          <w:lang w:val="es-ES_tradnl" w:eastAsia="da-DK"/>
        </w:rPr>
        <w:t>Unión de Madrid – Tasas suplementarias – 2012</w:t>
      </w:r>
      <w:bookmarkEnd w:id="48"/>
    </w:p>
    <w:p w:rsidR="002406E3" w:rsidRPr="00497F19" w:rsidRDefault="002406E3" w:rsidP="002406E3">
      <w:pPr>
        <w:rPr>
          <w:sz w:val="20"/>
          <w:lang w:val="es-ES_tradnl"/>
        </w:rPr>
      </w:pPr>
    </w:p>
    <w:p w:rsidR="002406E3" w:rsidRPr="00497F19" w:rsidRDefault="002406E3" w:rsidP="002406E3">
      <w:pPr>
        <w:rPr>
          <w:b/>
          <w:sz w:val="20"/>
          <w:lang w:val="es-ES_tradnl"/>
        </w:rPr>
      </w:pPr>
      <w:r w:rsidRPr="00497F19">
        <w:rPr>
          <w:b/>
          <w:sz w:val="20"/>
          <w:lang w:val="es-ES_tradnl"/>
        </w:rPr>
        <w:t>Tasas recaudadas</w:t>
      </w:r>
    </w:p>
    <w:p w:rsidR="002406E3" w:rsidRPr="00497F19" w:rsidRDefault="002406E3" w:rsidP="002406E3">
      <w:pPr>
        <w:rPr>
          <w:sz w:val="16"/>
          <w:szCs w:val="16"/>
          <w:lang w:val="es-ES_tradnl"/>
        </w:rPr>
      </w:pPr>
    </w:p>
    <w:p w:rsidR="002406E3" w:rsidRPr="00497F19" w:rsidRDefault="002406E3" w:rsidP="002406E3">
      <w:pPr>
        <w:widowControl w:val="0"/>
        <w:tabs>
          <w:tab w:val="num" w:pos="567"/>
          <w:tab w:val="num" w:pos="690"/>
        </w:tabs>
        <w:rPr>
          <w:sz w:val="20"/>
          <w:lang w:val="es-ES_tradnl"/>
        </w:rPr>
      </w:pPr>
      <w:r w:rsidRPr="00497F19">
        <w:rPr>
          <w:sz w:val="20"/>
          <w:lang w:val="es-ES_tradnl"/>
        </w:rPr>
        <w:t>En 2012, la OMPI recaudó 3.240.900 francos suizos en concepto de tasas suplementarias por registros y renovaciones, con arreglo al baremo vigente desde el 1 de septiembre de 2008 [Artículo 8.2.b) del Arreglo de Madrid y artículo 8.2.ii) del Protocolo concerniente a ese Arreglo].</w:t>
      </w:r>
    </w:p>
    <w:p w:rsidR="002406E3" w:rsidRPr="00497F19" w:rsidRDefault="002406E3" w:rsidP="002406E3">
      <w:pPr>
        <w:rPr>
          <w:sz w:val="20"/>
          <w:lang w:val="es-ES_tradnl"/>
        </w:rPr>
      </w:pPr>
    </w:p>
    <w:p w:rsidR="002406E3" w:rsidRPr="00497F19" w:rsidRDefault="002406E3" w:rsidP="002406E3">
      <w:pPr>
        <w:rPr>
          <w:b/>
          <w:sz w:val="20"/>
          <w:lang w:val="es-ES_tradnl"/>
        </w:rPr>
      </w:pPr>
      <w:r w:rsidRPr="00497F19">
        <w:rPr>
          <w:b/>
          <w:sz w:val="20"/>
          <w:lang w:val="es-ES_tradnl"/>
        </w:rPr>
        <w:t>Distribución</w:t>
      </w:r>
    </w:p>
    <w:p w:rsidR="002406E3" w:rsidRPr="00497F19" w:rsidRDefault="002406E3" w:rsidP="002406E3">
      <w:pPr>
        <w:rPr>
          <w:sz w:val="20"/>
          <w:lang w:val="es-ES_tradnl"/>
        </w:rPr>
      </w:pPr>
    </w:p>
    <w:p w:rsidR="002406E3" w:rsidRPr="00497F19" w:rsidRDefault="002406E3" w:rsidP="002406E3">
      <w:pPr>
        <w:widowControl w:val="0"/>
        <w:tabs>
          <w:tab w:val="num" w:pos="567"/>
          <w:tab w:val="num" w:pos="690"/>
        </w:tabs>
        <w:rPr>
          <w:sz w:val="20"/>
          <w:lang w:val="es-ES_tradnl"/>
        </w:rPr>
      </w:pPr>
      <w:r w:rsidRPr="00497F19">
        <w:rPr>
          <w:sz w:val="20"/>
          <w:lang w:val="es-ES_tradnl"/>
        </w:rPr>
        <w:t>Con arreglo a la Regla 37 del Reglamento Común del Arreglo de Madrid relativo al Registro Internacional de Marcas y del Protocolo concerniente a ese Arreglo, el coeficiente mencionado en el Artículo 8.5) y 6) del Arreglo y en el Artículo 8.5) y 6) del Protocolo, que los países parte en el Arreglo y, si procede, en el Protocolo, aplican para la distribución de las tasas suplementarias y de los complementos de tasa, es el siguiente:</w:t>
      </w:r>
    </w:p>
    <w:p w:rsidR="002406E3" w:rsidRPr="00497F19" w:rsidRDefault="002406E3" w:rsidP="002406E3">
      <w:pPr>
        <w:widowControl w:val="0"/>
        <w:tabs>
          <w:tab w:val="num" w:pos="567"/>
          <w:tab w:val="num" w:pos="690"/>
        </w:tabs>
        <w:rPr>
          <w:sz w:val="18"/>
          <w:szCs w:val="18"/>
          <w:lang w:val="es-ES_tradnl"/>
        </w:rPr>
      </w:pP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94"/>
      </w:tblGrid>
      <w:tr w:rsidR="002406E3" w:rsidRPr="00497F19" w:rsidTr="002406E3">
        <w:tc>
          <w:tcPr>
            <w:tcW w:w="817" w:type="dxa"/>
          </w:tcPr>
          <w:p w:rsidR="002406E3" w:rsidRPr="00497F19" w:rsidRDefault="002406E3">
            <w:pPr>
              <w:rPr>
                <w:sz w:val="20"/>
                <w:lang w:val="es-ES_tradnl"/>
              </w:rPr>
            </w:pPr>
            <w:r w:rsidRPr="00497F19">
              <w:rPr>
                <w:sz w:val="20"/>
                <w:lang w:val="es-ES_tradnl"/>
              </w:rPr>
              <w:t>uno,</w:t>
            </w:r>
          </w:p>
          <w:p w:rsidR="002406E3" w:rsidRPr="00497F19" w:rsidRDefault="002406E3">
            <w:pPr>
              <w:rPr>
                <w:sz w:val="20"/>
                <w:lang w:val="es-ES_tradnl"/>
              </w:rPr>
            </w:pPr>
          </w:p>
        </w:tc>
        <w:tc>
          <w:tcPr>
            <w:tcW w:w="8505" w:type="dxa"/>
            <w:hideMark/>
          </w:tcPr>
          <w:p w:rsidR="002406E3" w:rsidRPr="00497F19" w:rsidRDefault="002406E3">
            <w:pPr>
              <w:rPr>
                <w:sz w:val="20"/>
                <w:lang w:val="es-ES_tradnl"/>
              </w:rPr>
            </w:pPr>
            <w:r w:rsidRPr="00497F19">
              <w:rPr>
                <w:sz w:val="20"/>
                <w:lang w:val="es-ES_tradnl"/>
              </w:rPr>
              <w:t>para las Partes Contratantes que no efectúan ninguno de los exámenes que se enumeran a continuación;</w:t>
            </w:r>
          </w:p>
        </w:tc>
      </w:tr>
      <w:tr w:rsidR="002406E3" w:rsidRPr="00497F19" w:rsidTr="002406E3">
        <w:tc>
          <w:tcPr>
            <w:tcW w:w="817" w:type="dxa"/>
          </w:tcPr>
          <w:p w:rsidR="002406E3" w:rsidRPr="00497F19" w:rsidRDefault="002406E3">
            <w:pPr>
              <w:rPr>
                <w:sz w:val="20"/>
                <w:lang w:val="es-ES_tradnl"/>
              </w:rPr>
            </w:pPr>
            <w:r w:rsidRPr="00497F19">
              <w:rPr>
                <w:sz w:val="20"/>
                <w:lang w:val="es-ES_tradnl"/>
              </w:rPr>
              <w:t>dos,</w:t>
            </w:r>
          </w:p>
          <w:p w:rsidR="002406E3" w:rsidRPr="00497F19" w:rsidRDefault="002406E3">
            <w:pPr>
              <w:rPr>
                <w:sz w:val="20"/>
                <w:lang w:val="es-ES_tradnl"/>
              </w:rPr>
            </w:pPr>
          </w:p>
        </w:tc>
        <w:tc>
          <w:tcPr>
            <w:tcW w:w="8505" w:type="dxa"/>
            <w:hideMark/>
          </w:tcPr>
          <w:p w:rsidR="002406E3" w:rsidRPr="00497F19" w:rsidRDefault="002406E3">
            <w:pPr>
              <w:rPr>
                <w:sz w:val="20"/>
                <w:lang w:val="es-ES_tradnl"/>
              </w:rPr>
            </w:pPr>
            <w:r w:rsidRPr="00497F19">
              <w:rPr>
                <w:sz w:val="20"/>
                <w:lang w:val="es-ES_tradnl"/>
              </w:rPr>
              <w:t>para las Partes Contratantes que efectúen un examen limitado a los motivos absolutos de denegación;</w:t>
            </w:r>
          </w:p>
        </w:tc>
      </w:tr>
      <w:tr w:rsidR="002406E3" w:rsidRPr="00497F19" w:rsidTr="002406E3">
        <w:tc>
          <w:tcPr>
            <w:tcW w:w="817" w:type="dxa"/>
          </w:tcPr>
          <w:p w:rsidR="002406E3" w:rsidRPr="00497F19" w:rsidRDefault="002406E3">
            <w:pPr>
              <w:rPr>
                <w:sz w:val="20"/>
                <w:lang w:val="es-ES_tradnl"/>
              </w:rPr>
            </w:pPr>
            <w:r w:rsidRPr="00497F19">
              <w:rPr>
                <w:sz w:val="20"/>
                <w:lang w:val="es-ES_tradnl"/>
              </w:rPr>
              <w:t>tres,</w:t>
            </w:r>
          </w:p>
          <w:p w:rsidR="002406E3" w:rsidRPr="00497F19" w:rsidRDefault="002406E3">
            <w:pPr>
              <w:rPr>
                <w:sz w:val="20"/>
                <w:lang w:val="es-ES_tradnl"/>
              </w:rPr>
            </w:pPr>
          </w:p>
        </w:tc>
        <w:tc>
          <w:tcPr>
            <w:tcW w:w="8505" w:type="dxa"/>
            <w:hideMark/>
          </w:tcPr>
          <w:p w:rsidR="002406E3" w:rsidRPr="00497F19" w:rsidRDefault="002406E3">
            <w:pPr>
              <w:rPr>
                <w:sz w:val="20"/>
                <w:lang w:val="es-ES_tradnl"/>
              </w:rPr>
            </w:pPr>
            <w:r w:rsidRPr="00497F19">
              <w:rPr>
                <w:sz w:val="20"/>
                <w:lang w:val="es-ES_tradnl"/>
              </w:rPr>
              <w:t>para las Partes Contratantes que, además, efectúen un examen de anterioridad por oposición de terceros;</w:t>
            </w:r>
          </w:p>
        </w:tc>
      </w:tr>
      <w:tr w:rsidR="002406E3" w:rsidRPr="00497F19" w:rsidTr="002406E3">
        <w:tc>
          <w:tcPr>
            <w:tcW w:w="817" w:type="dxa"/>
            <w:hideMark/>
          </w:tcPr>
          <w:p w:rsidR="002406E3" w:rsidRPr="00497F19" w:rsidRDefault="002406E3">
            <w:pPr>
              <w:rPr>
                <w:sz w:val="20"/>
                <w:lang w:val="es-ES_tradnl"/>
              </w:rPr>
            </w:pPr>
            <w:r w:rsidRPr="00497F19">
              <w:rPr>
                <w:sz w:val="20"/>
                <w:lang w:val="es-ES_tradnl"/>
              </w:rPr>
              <w:t>cuatro,</w:t>
            </w:r>
          </w:p>
        </w:tc>
        <w:tc>
          <w:tcPr>
            <w:tcW w:w="8505" w:type="dxa"/>
            <w:hideMark/>
          </w:tcPr>
          <w:p w:rsidR="002406E3" w:rsidRPr="00497F19" w:rsidRDefault="002406E3">
            <w:pPr>
              <w:rPr>
                <w:sz w:val="20"/>
                <w:lang w:val="es-ES_tradnl"/>
              </w:rPr>
            </w:pPr>
            <w:r w:rsidRPr="00497F19">
              <w:rPr>
                <w:sz w:val="20"/>
                <w:lang w:val="es-ES_tradnl"/>
              </w:rPr>
              <w:t>para las Partes Contratantes que, además, efectúen un examen de anterioridad de oficio;</w:t>
            </w:r>
          </w:p>
        </w:tc>
      </w:tr>
      <w:tr w:rsidR="002406E3" w:rsidRPr="00497F19" w:rsidTr="002406E3">
        <w:tc>
          <w:tcPr>
            <w:tcW w:w="817" w:type="dxa"/>
          </w:tcPr>
          <w:p w:rsidR="002406E3" w:rsidRPr="00497F19" w:rsidRDefault="002406E3">
            <w:pPr>
              <w:rPr>
                <w:sz w:val="20"/>
                <w:lang w:val="es-ES_tradnl"/>
              </w:rPr>
            </w:pPr>
          </w:p>
        </w:tc>
        <w:tc>
          <w:tcPr>
            <w:tcW w:w="8505" w:type="dxa"/>
            <w:hideMark/>
          </w:tcPr>
          <w:p w:rsidR="002406E3" w:rsidRPr="00497F19" w:rsidRDefault="002406E3">
            <w:pPr>
              <w:rPr>
                <w:sz w:val="20"/>
                <w:lang w:val="es-ES_tradnl"/>
              </w:rPr>
            </w:pPr>
            <w:r w:rsidRPr="00497F19">
              <w:rPr>
                <w:sz w:val="20"/>
                <w:lang w:val="es-ES_tradnl"/>
              </w:rPr>
              <w:t>también para las Partes Contratantes que proceden de oficio a búsquedas de anterioridad con indicación de las anterioridades pertinentes.</w:t>
            </w:r>
          </w:p>
        </w:tc>
      </w:tr>
    </w:tbl>
    <w:p w:rsidR="002406E3" w:rsidRPr="00497F19" w:rsidRDefault="002406E3" w:rsidP="002406E3">
      <w:pPr>
        <w:rPr>
          <w:sz w:val="16"/>
          <w:szCs w:val="16"/>
          <w:lang w:val="es-ES_tradnl"/>
        </w:rPr>
      </w:pPr>
    </w:p>
    <w:p w:rsidR="002406E3" w:rsidRPr="00497F19" w:rsidRDefault="002406E3" w:rsidP="002406E3">
      <w:pPr>
        <w:rPr>
          <w:sz w:val="20"/>
          <w:lang w:val="es-ES_tradnl"/>
        </w:rPr>
      </w:pPr>
      <w:r w:rsidRPr="00497F19">
        <w:rPr>
          <w:sz w:val="20"/>
          <w:lang w:val="es-ES_tradnl"/>
        </w:rPr>
        <w:t>El número de designaciones incluidas en los registros o las renovaciones respecto de las cuales la OMPI recaudó una tasa suplementaria de 100 francos por cada clase de productos y servicios a partir de la tercera es el siguiente, de acuerdo con el coeficiente que se indica a continuación:</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1134"/>
        <w:gridCol w:w="7360"/>
      </w:tblGrid>
      <w:tr w:rsidR="002406E3" w:rsidRPr="00497F19" w:rsidTr="002406E3">
        <w:trPr>
          <w:trHeight w:val="321"/>
        </w:trPr>
        <w:tc>
          <w:tcPr>
            <w:tcW w:w="817" w:type="dxa"/>
          </w:tcPr>
          <w:p w:rsidR="002406E3" w:rsidRPr="00497F19" w:rsidRDefault="002406E3">
            <w:pPr>
              <w:rPr>
                <w:sz w:val="20"/>
                <w:lang w:val="es-ES_tradnl"/>
              </w:rPr>
            </w:pPr>
          </w:p>
          <w:p w:rsidR="002406E3" w:rsidRPr="00497F19" w:rsidRDefault="002406E3">
            <w:pPr>
              <w:rPr>
                <w:sz w:val="20"/>
                <w:lang w:val="es-ES_tradnl"/>
              </w:rPr>
            </w:pPr>
            <w:r w:rsidRPr="00497F19">
              <w:rPr>
                <w:sz w:val="20"/>
                <w:lang w:val="es-ES_tradnl"/>
              </w:rPr>
              <w:t>uno,</w:t>
            </w:r>
          </w:p>
        </w:tc>
        <w:tc>
          <w:tcPr>
            <w:tcW w:w="1134" w:type="dxa"/>
          </w:tcPr>
          <w:p w:rsidR="002406E3" w:rsidRPr="00497F19" w:rsidRDefault="002406E3">
            <w:pPr>
              <w:jc w:val="right"/>
              <w:rPr>
                <w:sz w:val="20"/>
                <w:lang w:val="es-ES_tradnl"/>
              </w:rPr>
            </w:pPr>
          </w:p>
          <w:p w:rsidR="002406E3" w:rsidRPr="00497F19" w:rsidRDefault="002406E3">
            <w:pPr>
              <w:jc w:val="right"/>
              <w:rPr>
                <w:sz w:val="20"/>
                <w:lang w:val="es-ES_tradnl"/>
              </w:rPr>
            </w:pPr>
            <w:r w:rsidRPr="00497F19">
              <w:rPr>
                <w:sz w:val="20"/>
                <w:lang w:val="es-ES_tradnl"/>
              </w:rPr>
              <w:t xml:space="preserve">934 </w:t>
            </w:r>
          </w:p>
        </w:tc>
        <w:tc>
          <w:tcPr>
            <w:tcW w:w="7371" w:type="dxa"/>
          </w:tcPr>
          <w:p w:rsidR="002406E3" w:rsidRPr="00497F19" w:rsidRDefault="002406E3">
            <w:pPr>
              <w:rPr>
                <w:sz w:val="18"/>
                <w:szCs w:val="18"/>
                <w:lang w:val="es-ES_tradnl"/>
              </w:rPr>
            </w:pPr>
          </w:p>
          <w:p w:rsidR="002406E3" w:rsidRPr="00497F19" w:rsidRDefault="002406E3">
            <w:pPr>
              <w:rPr>
                <w:sz w:val="20"/>
                <w:lang w:val="es-ES_tradnl"/>
              </w:rPr>
            </w:pPr>
            <w:r w:rsidRPr="00497F19">
              <w:rPr>
                <w:sz w:val="20"/>
                <w:lang w:val="es-ES_tradnl"/>
              </w:rPr>
              <w:t>Antigua y Barbuda, Bonaire, Liechtenstein</w:t>
            </w:r>
            <w:r w:rsidRPr="00497F19">
              <w:rPr>
                <w:sz w:val="20"/>
                <w:vertAlign w:val="superscript"/>
                <w:lang w:val="es-ES_tradnl"/>
              </w:rPr>
              <w:footnoteReference w:id="3"/>
            </w:r>
            <w:r w:rsidRPr="00497F19">
              <w:rPr>
                <w:sz w:val="20"/>
                <w:lang w:val="es-ES_tradnl"/>
              </w:rPr>
              <w:t>, San Eustaquio y Saba</w:t>
            </w:r>
            <w:r w:rsidRPr="00497F19">
              <w:rPr>
                <w:sz w:val="20"/>
                <w:vertAlign w:val="superscript"/>
                <w:lang w:val="es-ES_tradnl"/>
              </w:rPr>
              <w:footnoteReference w:id="4"/>
            </w:r>
          </w:p>
        </w:tc>
      </w:tr>
      <w:tr w:rsidR="002406E3" w:rsidRPr="00497F19" w:rsidTr="002406E3">
        <w:tc>
          <w:tcPr>
            <w:tcW w:w="817" w:type="dxa"/>
          </w:tcPr>
          <w:p w:rsidR="002406E3" w:rsidRPr="00497F19" w:rsidRDefault="002406E3">
            <w:pPr>
              <w:rPr>
                <w:sz w:val="20"/>
                <w:lang w:val="es-ES_tradnl"/>
              </w:rPr>
            </w:pPr>
          </w:p>
          <w:p w:rsidR="002406E3" w:rsidRPr="00497F19" w:rsidRDefault="002406E3">
            <w:pPr>
              <w:rPr>
                <w:sz w:val="20"/>
                <w:lang w:val="es-ES_tradnl"/>
              </w:rPr>
            </w:pPr>
            <w:r w:rsidRPr="00497F19">
              <w:rPr>
                <w:sz w:val="20"/>
                <w:lang w:val="es-ES_tradnl"/>
              </w:rPr>
              <w:t>dos,</w:t>
            </w:r>
          </w:p>
        </w:tc>
        <w:tc>
          <w:tcPr>
            <w:tcW w:w="1134" w:type="dxa"/>
          </w:tcPr>
          <w:p w:rsidR="002406E3" w:rsidRPr="00497F19" w:rsidRDefault="002406E3">
            <w:pPr>
              <w:jc w:val="right"/>
              <w:rPr>
                <w:sz w:val="20"/>
                <w:lang w:val="es-ES_tradnl"/>
              </w:rPr>
            </w:pPr>
          </w:p>
          <w:p w:rsidR="002406E3" w:rsidRPr="00497F19" w:rsidRDefault="002406E3">
            <w:pPr>
              <w:jc w:val="right"/>
              <w:rPr>
                <w:sz w:val="20"/>
                <w:lang w:val="es-ES_tradnl"/>
              </w:rPr>
            </w:pPr>
            <w:r w:rsidRPr="00497F19">
              <w:rPr>
                <w:sz w:val="20"/>
                <w:lang w:val="es-ES_tradnl"/>
              </w:rPr>
              <w:t>28.319</w:t>
            </w:r>
          </w:p>
        </w:tc>
        <w:tc>
          <w:tcPr>
            <w:tcW w:w="7371" w:type="dxa"/>
          </w:tcPr>
          <w:p w:rsidR="002406E3" w:rsidRPr="00497F19" w:rsidRDefault="002406E3">
            <w:pPr>
              <w:rPr>
                <w:sz w:val="18"/>
                <w:szCs w:val="18"/>
                <w:lang w:val="es-ES_tradnl"/>
              </w:rPr>
            </w:pPr>
          </w:p>
          <w:p w:rsidR="002406E3" w:rsidRPr="00497F19" w:rsidRDefault="002406E3">
            <w:pPr>
              <w:rPr>
                <w:sz w:val="20"/>
                <w:lang w:val="es-ES_tradnl"/>
              </w:rPr>
            </w:pPr>
            <w:r w:rsidRPr="00497F19">
              <w:rPr>
                <w:sz w:val="20"/>
                <w:lang w:val="es-ES_tradnl"/>
              </w:rPr>
              <w:t>Austria</w:t>
            </w:r>
            <w:r w:rsidRPr="00497F19">
              <w:rPr>
                <w:sz w:val="20"/>
                <w:vertAlign w:val="superscript"/>
                <w:lang w:val="es-ES_tradnl"/>
              </w:rPr>
              <w:footnoteReference w:id="5"/>
            </w:r>
            <w:r w:rsidRPr="00497F19">
              <w:rPr>
                <w:sz w:val="20"/>
                <w:lang w:val="es-ES_tradnl"/>
              </w:rPr>
              <w:t>, Italia, Liechtenstein</w:t>
            </w:r>
            <w:r w:rsidRPr="00497F19">
              <w:rPr>
                <w:sz w:val="20"/>
                <w:vertAlign w:val="superscript"/>
                <w:lang w:val="es-ES_tradnl"/>
              </w:rPr>
              <w:footnoteReference w:id="6"/>
            </w:r>
            <w:r w:rsidRPr="00497F19">
              <w:rPr>
                <w:sz w:val="20"/>
                <w:lang w:val="es-ES_tradnl"/>
              </w:rPr>
              <w:t>, Mónaco, San Martín (Reino de los Países Bajos)</w:t>
            </w:r>
          </w:p>
        </w:tc>
      </w:tr>
      <w:tr w:rsidR="002406E3" w:rsidRPr="00497F19" w:rsidTr="002406E3">
        <w:tc>
          <w:tcPr>
            <w:tcW w:w="817" w:type="dxa"/>
          </w:tcPr>
          <w:p w:rsidR="002406E3" w:rsidRPr="00497F19" w:rsidRDefault="002406E3">
            <w:pPr>
              <w:rPr>
                <w:sz w:val="20"/>
                <w:lang w:val="es-ES_tradnl"/>
              </w:rPr>
            </w:pPr>
          </w:p>
          <w:p w:rsidR="002406E3" w:rsidRPr="00497F19" w:rsidRDefault="002406E3">
            <w:pPr>
              <w:rPr>
                <w:sz w:val="20"/>
                <w:lang w:val="es-ES_tradnl"/>
              </w:rPr>
            </w:pPr>
            <w:r w:rsidRPr="00497F19">
              <w:rPr>
                <w:sz w:val="20"/>
                <w:lang w:val="es-ES_tradnl"/>
              </w:rPr>
              <w:t>tres,</w:t>
            </w:r>
          </w:p>
        </w:tc>
        <w:tc>
          <w:tcPr>
            <w:tcW w:w="1134" w:type="dxa"/>
          </w:tcPr>
          <w:p w:rsidR="002406E3" w:rsidRPr="00497F19" w:rsidRDefault="002406E3">
            <w:pPr>
              <w:jc w:val="right"/>
              <w:rPr>
                <w:sz w:val="20"/>
                <w:lang w:val="es-ES_tradnl"/>
              </w:rPr>
            </w:pPr>
          </w:p>
          <w:p w:rsidR="002406E3" w:rsidRPr="00497F19" w:rsidRDefault="002406E3">
            <w:pPr>
              <w:jc w:val="right"/>
              <w:rPr>
                <w:sz w:val="20"/>
                <w:lang w:val="es-ES_tradnl"/>
              </w:rPr>
            </w:pPr>
            <w:r w:rsidRPr="00497F19">
              <w:rPr>
                <w:sz w:val="20"/>
                <w:lang w:val="es-ES_tradnl"/>
              </w:rPr>
              <w:t>105.058</w:t>
            </w:r>
          </w:p>
        </w:tc>
        <w:tc>
          <w:tcPr>
            <w:tcW w:w="7371" w:type="dxa"/>
          </w:tcPr>
          <w:p w:rsidR="002406E3" w:rsidRPr="00497F19" w:rsidRDefault="002406E3">
            <w:pPr>
              <w:rPr>
                <w:sz w:val="18"/>
                <w:szCs w:val="18"/>
                <w:lang w:val="es-ES_tradnl"/>
              </w:rPr>
            </w:pPr>
          </w:p>
          <w:p w:rsidR="002406E3" w:rsidRPr="00497F19" w:rsidRDefault="002406E3">
            <w:pPr>
              <w:rPr>
                <w:sz w:val="20"/>
                <w:lang w:val="es-ES_tradnl"/>
              </w:rPr>
            </w:pPr>
            <w:r w:rsidRPr="00497F19">
              <w:rPr>
                <w:sz w:val="20"/>
                <w:lang w:val="es-ES_tradnl"/>
              </w:rPr>
              <w:t>Alemania, Austria</w:t>
            </w:r>
            <w:r w:rsidRPr="00497F19">
              <w:rPr>
                <w:sz w:val="20"/>
                <w:vertAlign w:val="superscript"/>
                <w:lang w:val="es-ES_tradnl"/>
              </w:rPr>
              <w:footnoteReference w:id="7"/>
            </w:r>
            <w:r w:rsidRPr="00497F19">
              <w:rPr>
                <w:sz w:val="20"/>
                <w:lang w:val="es-ES_tradnl"/>
              </w:rPr>
              <w:t>, Benelux, Croacia, Eslovenia, ex República Yugoslava de Macedonia</w:t>
            </w:r>
            <w:r w:rsidRPr="00497F19">
              <w:rPr>
                <w:lang w:val="es-ES_tradnl"/>
              </w:rPr>
              <w:t xml:space="preserve">, </w:t>
            </w:r>
            <w:r w:rsidRPr="00497F19">
              <w:rPr>
                <w:sz w:val="20"/>
                <w:lang w:val="es-ES_tradnl"/>
              </w:rPr>
              <w:t>Francia, Lesotho, Letonia, Lituania, San Marino, Suiza</w:t>
            </w:r>
          </w:p>
          <w:p w:rsidR="002406E3" w:rsidRPr="00497F19" w:rsidRDefault="002406E3">
            <w:pPr>
              <w:rPr>
                <w:sz w:val="18"/>
                <w:szCs w:val="18"/>
                <w:lang w:val="es-ES_tradnl"/>
              </w:rPr>
            </w:pPr>
          </w:p>
        </w:tc>
      </w:tr>
      <w:tr w:rsidR="002406E3" w:rsidRPr="00497F19" w:rsidTr="002406E3">
        <w:tc>
          <w:tcPr>
            <w:tcW w:w="817" w:type="dxa"/>
            <w:hideMark/>
          </w:tcPr>
          <w:p w:rsidR="002406E3" w:rsidRPr="00497F19" w:rsidRDefault="002406E3">
            <w:pPr>
              <w:rPr>
                <w:sz w:val="20"/>
                <w:lang w:val="es-ES_tradnl"/>
              </w:rPr>
            </w:pPr>
            <w:r w:rsidRPr="00497F19">
              <w:rPr>
                <w:sz w:val="20"/>
                <w:lang w:val="es-ES_tradnl"/>
              </w:rPr>
              <w:t>cuatro,</w:t>
            </w:r>
          </w:p>
        </w:tc>
        <w:tc>
          <w:tcPr>
            <w:tcW w:w="1134" w:type="dxa"/>
            <w:hideMark/>
          </w:tcPr>
          <w:p w:rsidR="002406E3" w:rsidRPr="00497F19" w:rsidRDefault="002406E3">
            <w:pPr>
              <w:jc w:val="right"/>
              <w:rPr>
                <w:sz w:val="20"/>
                <w:lang w:val="es-ES_tradnl"/>
              </w:rPr>
            </w:pPr>
            <w:r w:rsidRPr="00497F19">
              <w:rPr>
                <w:sz w:val="20"/>
                <w:lang w:val="es-ES_tradnl"/>
              </w:rPr>
              <w:t>221.402</w:t>
            </w:r>
          </w:p>
        </w:tc>
        <w:tc>
          <w:tcPr>
            <w:tcW w:w="7371" w:type="dxa"/>
            <w:hideMark/>
          </w:tcPr>
          <w:p w:rsidR="002406E3" w:rsidRPr="00497F19" w:rsidRDefault="002406E3">
            <w:pPr>
              <w:rPr>
                <w:sz w:val="20"/>
                <w:lang w:val="es-ES_tradnl"/>
              </w:rPr>
            </w:pPr>
            <w:r w:rsidRPr="00497F19">
              <w:rPr>
                <w:sz w:val="20"/>
                <w:lang w:val="es-ES_tradnl"/>
              </w:rPr>
              <w:t>Albania, Argelia, Armenia, Azerbaiyán, Belarús, Bhután, Bosnia y Herzegovina, Botswana, Bulgaria, China, Chipre, Cuba, Curaçao</w:t>
            </w:r>
            <w:r w:rsidRPr="00497F19">
              <w:rPr>
                <w:sz w:val="20"/>
                <w:vertAlign w:val="superscript"/>
                <w:lang w:val="es-ES_tradnl"/>
              </w:rPr>
              <w:t>1</w:t>
            </w:r>
            <w:r w:rsidRPr="00497F19">
              <w:rPr>
                <w:sz w:val="20"/>
                <w:lang w:val="es-ES_tradnl"/>
              </w:rPr>
              <w:t>, Egipto, Eslovaquia, España, Federación de Rusia, Hungría, Irán (República Islámica del), Kazajstán, Kenya, Kirguistán, Liberia, Madagascar, Marruecos, Mongolia, Montenegro, Mozambique, Namibia, Polonia, Portugal, República Árabe Siria, República Checa, República de Moldova, República Popular Democrática de Corea, Rumania, Santo Tomé y Príncipe, Serbia, Sierra Leona, Sudán, Swazilandia, Tayikistán, Ucrania, Viet Nam, Zambia</w:t>
            </w:r>
          </w:p>
        </w:tc>
      </w:tr>
    </w:tbl>
    <w:p w:rsidR="002406E3" w:rsidRPr="00497F19" w:rsidRDefault="002406E3" w:rsidP="002406E3">
      <w:pPr>
        <w:rPr>
          <w:sz w:val="20"/>
          <w:lang w:val="es-ES_tradnl"/>
        </w:rPr>
      </w:pPr>
    </w:p>
    <w:p w:rsidR="002406E3" w:rsidRPr="00497F19" w:rsidRDefault="002406E3" w:rsidP="002406E3">
      <w:pPr>
        <w:widowControl w:val="0"/>
        <w:tabs>
          <w:tab w:val="num" w:pos="567"/>
          <w:tab w:val="num" w:pos="690"/>
        </w:tabs>
        <w:rPr>
          <w:sz w:val="20"/>
          <w:lang w:val="es-ES_tradnl"/>
        </w:rPr>
      </w:pPr>
      <w:r w:rsidRPr="00497F19">
        <w:rPr>
          <w:sz w:val="20"/>
          <w:lang w:val="es-ES_tradnl"/>
        </w:rPr>
        <w:t>El importe recaudado, 3.240.900 francos suizos, debe dividirse por 1.258.354 [934 + (28.319 x 2) 56.638 + (105.058 x 3) 315.174 + (221.402 x 4) 885.608].  Por lo tanto, el importe adeudado por cada marca para la cual se ha solicitado protección asciende a 2,57550737 francos suizos por unidad de coeficiente [3.240.900 : 1.258.354], y a cada coeficiente le corresponden:</w:t>
      </w:r>
    </w:p>
    <w:p w:rsidR="002406E3" w:rsidRPr="00497F19" w:rsidRDefault="002406E3" w:rsidP="002406E3">
      <w:pPr>
        <w:widowControl w:val="0"/>
        <w:tabs>
          <w:tab w:val="num" w:pos="567"/>
          <w:tab w:val="num" w:pos="690"/>
        </w:tabs>
        <w:rPr>
          <w:sz w:val="20"/>
          <w:lang w:val="es-ES_trad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4644"/>
      </w:tblGrid>
      <w:tr w:rsidR="00497F19" w:rsidRPr="00497F19" w:rsidTr="002406E3">
        <w:tc>
          <w:tcPr>
            <w:tcW w:w="959" w:type="dxa"/>
            <w:hideMark/>
          </w:tcPr>
          <w:p w:rsidR="002406E3" w:rsidRPr="00497F19" w:rsidRDefault="002406E3">
            <w:pPr>
              <w:widowControl w:val="0"/>
              <w:tabs>
                <w:tab w:val="num" w:pos="567"/>
                <w:tab w:val="num" w:pos="690"/>
              </w:tabs>
              <w:rPr>
                <w:sz w:val="20"/>
                <w:lang w:val="es-ES_tradnl"/>
              </w:rPr>
            </w:pPr>
            <w:r w:rsidRPr="00497F19">
              <w:rPr>
                <w:sz w:val="20"/>
                <w:lang w:val="es-ES_tradnl"/>
              </w:rPr>
              <w:t>uno,</w:t>
            </w:r>
          </w:p>
        </w:tc>
        <w:tc>
          <w:tcPr>
            <w:tcW w:w="4644" w:type="dxa"/>
            <w:hideMark/>
          </w:tcPr>
          <w:p w:rsidR="002406E3" w:rsidRPr="00497F19" w:rsidRDefault="002406E3">
            <w:pPr>
              <w:widowControl w:val="0"/>
              <w:tabs>
                <w:tab w:val="num" w:pos="567"/>
                <w:tab w:val="num" w:pos="690"/>
              </w:tabs>
              <w:rPr>
                <w:sz w:val="20"/>
                <w:lang w:val="es-ES_tradnl"/>
              </w:rPr>
            </w:pPr>
            <w:r w:rsidRPr="00497F19">
              <w:rPr>
                <w:sz w:val="20"/>
                <w:lang w:val="es-ES_tradnl"/>
              </w:rPr>
              <w:t>2,57550737 francos suizos</w:t>
            </w:r>
          </w:p>
        </w:tc>
      </w:tr>
      <w:tr w:rsidR="00497F19" w:rsidRPr="00497F19" w:rsidTr="002406E3">
        <w:tc>
          <w:tcPr>
            <w:tcW w:w="959" w:type="dxa"/>
            <w:hideMark/>
          </w:tcPr>
          <w:p w:rsidR="002406E3" w:rsidRPr="00497F19" w:rsidRDefault="002406E3">
            <w:pPr>
              <w:widowControl w:val="0"/>
              <w:tabs>
                <w:tab w:val="num" w:pos="567"/>
                <w:tab w:val="num" w:pos="690"/>
              </w:tabs>
              <w:rPr>
                <w:sz w:val="20"/>
                <w:lang w:val="es-ES_tradnl"/>
              </w:rPr>
            </w:pPr>
            <w:r w:rsidRPr="00497F19">
              <w:rPr>
                <w:sz w:val="20"/>
                <w:lang w:val="es-ES_tradnl"/>
              </w:rPr>
              <w:t>dos,</w:t>
            </w:r>
          </w:p>
        </w:tc>
        <w:tc>
          <w:tcPr>
            <w:tcW w:w="4644" w:type="dxa"/>
            <w:hideMark/>
          </w:tcPr>
          <w:p w:rsidR="002406E3" w:rsidRPr="00497F19" w:rsidRDefault="002406E3">
            <w:pPr>
              <w:widowControl w:val="0"/>
              <w:tabs>
                <w:tab w:val="num" w:pos="567"/>
                <w:tab w:val="num" w:pos="690"/>
              </w:tabs>
              <w:rPr>
                <w:sz w:val="20"/>
                <w:lang w:val="es-ES_tradnl"/>
              </w:rPr>
            </w:pPr>
            <w:r w:rsidRPr="00497F19">
              <w:rPr>
                <w:sz w:val="20"/>
                <w:lang w:val="es-ES_tradnl"/>
              </w:rPr>
              <w:t>5,15101474 francos suizos</w:t>
            </w:r>
          </w:p>
        </w:tc>
      </w:tr>
      <w:tr w:rsidR="00497F19" w:rsidRPr="00497F19" w:rsidTr="002406E3">
        <w:tc>
          <w:tcPr>
            <w:tcW w:w="959" w:type="dxa"/>
            <w:hideMark/>
          </w:tcPr>
          <w:p w:rsidR="002406E3" w:rsidRPr="00497F19" w:rsidRDefault="002406E3">
            <w:pPr>
              <w:widowControl w:val="0"/>
              <w:tabs>
                <w:tab w:val="num" w:pos="567"/>
                <w:tab w:val="num" w:pos="690"/>
              </w:tabs>
              <w:rPr>
                <w:sz w:val="20"/>
                <w:lang w:val="es-ES_tradnl"/>
              </w:rPr>
            </w:pPr>
            <w:r w:rsidRPr="00497F19">
              <w:rPr>
                <w:sz w:val="20"/>
                <w:lang w:val="es-ES_tradnl"/>
              </w:rPr>
              <w:t>tres,</w:t>
            </w:r>
          </w:p>
        </w:tc>
        <w:tc>
          <w:tcPr>
            <w:tcW w:w="4644" w:type="dxa"/>
            <w:hideMark/>
          </w:tcPr>
          <w:p w:rsidR="002406E3" w:rsidRPr="00497F19" w:rsidRDefault="002406E3">
            <w:pPr>
              <w:widowControl w:val="0"/>
              <w:tabs>
                <w:tab w:val="num" w:pos="567"/>
                <w:tab w:val="num" w:pos="690"/>
              </w:tabs>
              <w:rPr>
                <w:sz w:val="20"/>
                <w:lang w:val="es-ES_tradnl"/>
              </w:rPr>
            </w:pPr>
            <w:r w:rsidRPr="00497F19">
              <w:rPr>
                <w:sz w:val="20"/>
                <w:lang w:val="es-ES_tradnl"/>
              </w:rPr>
              <w:t>7,72652211 francos suizos</w:t>
            </w:r>
          </w:p>
        </w:tc>
      </w:tr>
      <w:tr w:rsidR="00497F19" w:rsidRPr="00497F19" w:rsidTr="002406E3">
        <w:tc>
          <w:tcPr>
            <w:tcW w:w="959" w:type="dxa"/>
            <w:hideMark/>
          </w:tcPr>
          <w:p w:rsidR="002406E3" w:rsidRPr="00497F19" w:rsidRDefault="002406E3">
            <w:pPr>
              <w:widowControl w:val="0"/>
              <w:tabs>
                <w:tab w:val="num" w:pos="567"/>
                <w:tab w:val="num" w:pos="690"/>
              </w:tabs>
              <w:rPr>
                <w:sz w:val="20"/>
                <w:lang w:val="es-ES_tradnl"/>
              </w:rPr>
            </w:pPr>
            <w:r w:rsidRPr="00497F19">
              <w:rPr>
                <w:sz w:val="20"/>
                <w:lang w:val="es-ES_tradnl"/>
              </w:rPr>
              <w:t>cuatro,</w:t>
            </w:r>
          </w:p>
        </w:tc>
        <w:tc>
          <w:tcPr>
            <w:tcW w:w="4644" w:type="dxa"/>
            <w:hideMark/>
          </w:tcPr>
          <w:p w:rsidR="002406E3" w:rsidRPr="00497F19" w:rsidRDefault="002406E3">
            <w:pPr>
              <w:widowControl w:val="0"/>
              <w:tabs>
                <w:tab w:val="num" w:pos="567"/>
                <w:tab w:val="num" w:pos="690"/>
              </w:tabs>
              <w:rPr>
                <w:sz w:val="20"/>
                <w:lang w:val="es-ES_tradnl"/>
              </w:rPr>
            </w:pPr>
            <w:r w:rsidRPr="00497F19">
              <w:rPr>
                <w:sz w:val="20"/>
                <w:lang w:val="es-ES_tradnl"/>
              </w:rPr>
              <w:t>10,30202948 francos suizos</w:t>
            </w:r>
          </w:p>
        </w:tc>
      </w:tr>
    </w:tbl>
    <w:p w:rsidR="002406E3" w:rsidRPr="00497F19" w:rsidRDefault="004E2664" w:rsidP="002406E3">
      <w:pPr>
        <w:jc w:val="both"/>
        <w:rPr>
          <w:rStyle w:val="NORMALTEXT"/>
          <w:lang w:val="es-ES_tradnl"/>
        </w:rPr>
      </w:pPr>
      <w:r w:rsidRPr="00497F19">
        <w:rPr>
          <w:noProof/>
          <w:lang w:val="en-US" w:eastAsia="en-US"/>
        </w:rPr>
        <w:lastRenderedPageBreak/>
        <w:drawing>
          <wp:inline distT="0" distB="0" distL="0" distR="0" wp14:anchorId="46D7C63E" wp14:editId="5EDD1F19">
            <wp:extent cx="5613769" cy="9500596"/>
            <wp:effectExtent l="0" t="0" r="6350" b="5715"/>
            <wp:docPr id="4088" name="Picture 4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621709" cy="9514033"/>
                    </a:xfrm>
                    <a:prstGeom prst="rect">
                      <a:avLst/>
                    </a:prstGeom>
                    <a:noFill/>
                    <a:ln>
                      <a:noFill/>
                    </a:ln>
                  </pic:spPr>
                </pic:pic>
              </a:graphicData>
            </a:graphic>
          </wp:inline>
        </w:drawing>
      </w:r>
    </w:p>
    <w:p w:rsidR="002406E3" w:rsidRPr="00497F19" w:rsidRDefault="002406E3" w:rsidP="002406E3">
      <w:pPr>
        <w:pStyle w:val="Heading2"/>
        <w:keepNext w:val="0"/>
        <w:widowControl w:val="0"/>
        <w:tabs>
          <w:tab w:val="left" w:pos="567"/>
        </w:tabs>
        <w:spacing w:before="0" w:after="0" w:line="300" w:lineRule="atLeast"/>
        <w:rPr>
          <w:rFonts w:ascii="Arial Bold" w:eastAsia="Times New Roman" w:hAnsi="Arial Bold"/>
          <w:b/>
          <w:caps w:val="0"/>
          <w:lang w:eastAsia="da-DK"/>
        </w:rPr>
      </w:pPr>
      <w:bookmarkStart w:id="49" w:name="_Toc395626701"/>
      <w:r w:rsidRPr="00497F19">
        <w:rPr>
          <w:rFonts w:ascii="Arial Bold" w:eastAsia="Times New Roman" w:hAnsi="Arial Bold"/>
          <w:b/>
          <w:caps w:val="0"/>
          <w:lang w:val="es-ES_tradnl" w:eastAsia="da-DK"/>
        </w:rPr>
        <w:lastRenderedPageBreak/>
        <w:t>Unión de Madrid – Complementos de tasa - 2012</w:t>
      </w:r>
      <w:bookmarkEnd w:id="49"/>
    </w:p>
    <w:p w:rsidR="002406E3" w:rsidRPr="00497F19" w:rsidRDefault="002406E3" w:rsidP="002406E3">
      <w:pPr>
        <w:rPr>
          <w:sz w:val="20"/>
          <w:lang w:val="es-ES_tradnl"/>
        </w:rPr>
      </w:pPr>
    </w:p>
    <w:p w:rsidR="002406E3" w:rsidRPr="00497F19" w:rsidRDefault="002406E3" w:rsidP="002406E3">
      <w:pPr>
        <w:rPr>
          <w:b/>
          <w:sz w:val="20"/>
          <w:lang w:val="es-ES_tradnl"/>
        </w:rPr>
      </w:pPr>
      <w:r w:rsidRPr="00497F19">
        <w:rPr>
          <w:b/>
          <w:sz w:val="20"/>
          <w:lang w:val="es-ES_tradnl"/>
        </w:rPr>
        <w:t>Tasas recaudadas</w:t>
      </w:r>
    </w:p>
    <w:p w:rsidR="002406E3" w:rsidRPr="00497F19" w:rsidRDefault="002406E3" w:rsidP="002406E3">
      <w:pPr>
        <w:rPr>
          <w:sz w:val="20"/>
          <w:lang w:val="es-ES_tradnl"/>
        </w:rPr>
      </w:pPr>
    </w:p>
    <w:p w:rsidR="002406E3" w:rsidRPr="00497F19" w:rsidRDefault="002406E3" w:rsidP="002406E3">
      <w:pPr>
        <w:rPr>
          <w:sz w:val="20"/>
          <w:lang w:val="es-ES_tradnl"/>
        </w:rPr>
      </w:pPr>
      <w:r w:rsidRPr="00497F19">
        <w:rPr>
          <w:sz w:val="20"/>
          <w:lang w:val="es-ES_tradnl"/>
        </w:rPr>
        <w:t>En 2012, la OMPI percibió 38.083.700 francos suizos en concepto de complementos de tasa, correspondientes a 380.837 designaciones (hechas en el momento del registro, con posterioridad al registro o en el momento de la renovación), según el baremo vigente a partir del 1 de septiembre de 2008 [Artículo 8.2)c) del Arreglo de Madrid y Artículo 8.2)iii) del Protocolo concerniente a ese Arreglo].</w:t>
      </w:r>
    </w:p>
    <w:p w:rsidR="002406E3" w:rsidRPr="00497F19" w:rsidRDefault="002406E3" w:rsidP="002406E3">
      <w:pPr>
        <w:rPr>
          <w:sz w:val="20"/>
          <w:lang w:val="es-ES_tradnl"/>
        </w:rPr>
      </w:pPr>
    </w:p>
    <w:p w:rsidR="002406E3" w:rsidRPr="00497F19" w:rsidRDefault="002406E3" w:rsidP="002406E3">
      <w:pPr>
        <w:rPr>
          <w:b/>
          <w:sz w:val="20"/>
          <w:lang w:val="es-ES_tradnl"/>
        </w:rPr>
      </w:pPr>
      <w:r w:rsidRPr="00497F19">
        <w:rPr>
          <w:b/>
          <w:sz w:val="20"/>
          <w:lang w:val="es-ES_tradnl"/>
        </w:rPr>
        <w:t>Distribución</w:t>
      </w:r>
    </w:p>
    <w:p w:rsidR="002406E3" w:rsidRPr="00497F19" w:rsidRDefault="002406E3" w:rsidP="002406E3">
      <w:pPr>
        <w:rPr>
          <w:sz w:val="20"/>
          <w:lang w:val="es-ES_tradnl"/>
        </w:rPr>
      </w:pPr>
    </w:p>
    <w:p w:rsidR="002406E3" w:rsidRPr="00497F19" w:rsidRDefault="002406E3" w:rsidP="002406E3">
      <w:pPr>
        <w:rPr>
          <w:sz w:val="20"/>
          <w:lang w:val="es-ES_tradnl"/>
        </w:rPr>
      </w:pPr>
      <w:r w:rsidRPr="00497F19">
        <w:rPr>
          <w:sz w:val="20"/>
          <w:lang w:val="es-ES_tradnl"/>
        </w:rPr>
        <w:t xml:space="preserve">Los importes se distribuyen proporcionalmente al número de designaciones [Artículo 8.6) del Arreglo de Madrid y del Protocolo concerniente a ese Arreglo] y según un coeficiente [Regla 37 del Reglamento Común del Arreglo de Madrid relativo al Registro Internacional de Marcas y del Protocolo concerniente a ese Arreglo]. </w:t>
      </w:r>
    </w:p>
    <w:p w:rsidR="002406E3" w:rsidRPr="00497F19" w:rsidRDefault="002406E3" w:rsidP="002406E3">
      <w:pPr>
        <w:rPr>
          <w:sz w:val="20"/>
          <w:lang w:val="es-ES_tradnl"/>
        </w:rPr>
      </w:pPr>
    </w:p>
    <w:p w:rsidR="002406E3" w:rsidRPr="00497F19" w:rsidRDefault="002406E3" w:rsidP="002406E3">
      <w:pPr>
        <w:rPr>
          <w:sz w:val="20"/>
          <w:lang w:val="es-ES_tradnl"/>
        </w:rPr>
      </w:pPr>
      <w:r w:rsidRPr="00497F19">
        <w:rPr>
          <w:sz w:val="20"/>
          <w:lang w:val="es-ES_tradnl"/>
        </w:rPr>
        <w:t>El número de designaciones respecto de las cuales la OMPI ha recaudado un complemento de tasa de 100 francos suizos es el siguiente, según el coeficiente que se indica a continuación:</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1022"/>
        <w:gridCol w:w="6916"/>
      </w:tblGrid>
      <w:tr w:rsidR="002406E3" w:rsidRPr="00497F19" w:rsidTr="002406E3">
        <w:tc>
          <w:tcPr>
            <w:tcW w:w="1384" w:type="dxa"/>
          </w:tcPr>
          <w:p w:rsidR="002406E3" w:rsidRPr="00497F19" w:rsidRDefault="002406E3">
            <w:pPr>
              <w:rPr>
                <w:sz w:val="20"/>
                <w:lang w:val="es-ES_tradnl"/>
              </w:rPr>
            </w:pPr>
          </w:p>
          <w:p w:rsidR="002406E3" w:rsidRPr="00497F19" w:rsidRDefault="002406E3">
            <w:pPr>
              <w:rPr>
                <w:sz w:val="20"/>
                <w:lang w:val="es-ES_tradnl"/>
              </w:rPr>
            </w:pPr>
            <w:r w:rsidRPr="00497F19">
              <w:rPr>
                <w:sz w:val="20"/>
                <w:lang w:val="es-ES_tradnl"/>
              </w:rPr>
              <w:t>uno,</w:t>
            </w:r>
          </w:p>
        </w:tc>
        <w:tc>
          <w:tcPr>
            <w:tcW w:w="1022" w:type="dxa"/>
          </w:tcPr>
          <w:p w:rsidR="002406E3" w:rsidRPr="00497F19" w:rsidRDefault="002406E3">
            <w:pPr>
              <w:jc w:val="right"/>
              <w:rPr>
                <w:sz w:val="20"/>
                <w:lang w:val="es-ES_tradnl"/>
              </w:rPr>
            </w:pPr>
          </w:p>
          <w:p w:rsidR="002406E3" w:rsidRPr="00497F19" w:rsidRDefault="002406E3">
            <w:pPr>
              <w:jc w:val="right"/>
              <w:rPr>
                <w:sz w:val="20"/>
                <w:lang w:val="es-ES_tradnl"/>
              </w:rPr>
            </w:pPr>
            <w:r w:rsidRPr="00497F19">
              <w:rPr>
                <w:sz w:val="20"/>
                <w:lang w:val="es-ES_tradnl"/>
              </w:rPr>
              <w:t>1 060</w:t>
            </w:r>
          </w:p>
        </w:tc>
        <w:tc>
          <w:tcPr>
            <w:tcW w:w="6916" w:type="dxa"/>
          </w:tcPr>
          <w:p w:rsidR="002406E3" w:rsidRPr="00497F19" w:rsidRDefault="002406E3">
            <w:pPr>
              <w:rPr>
                <w:sz w:val="20"/>
                <w:lang w:val="es-ES_tradnl"/>
              </w:rPr>
            </w:pPr>
          </w:p>
          <w:p w:rsidR="002406E3" w:rsidRPr="00497F19" w:rsidRDefault="002406E3">
            <w:pPr>
              <w:rPr>
                <w:sz w:val="20"/>
                <w:vertAlign w:val="superscript"/>
                <w:lang w:val="es-ES_tradnl"/>
              </w:rPr>
            </w:pPr>
            <w:r w:rsidRPr="00497F19">
              <w:rPr>
                <w:sz w:val="20"/>
                <w:lang w:val="es-ES_tradnl"/>
              </w:rPr>
              <w:t>Antigua y Barbuda, Bonaire, Liechtenstein</w:t>
            </w:r>
            <w:r w:rsidRPr="00497F19">
              <w:rPr>
                <w:sz w:val="20"/>
                <w:vertAlign w:val="superscript"/>
                <w:lang w:val="es-ES_tradnl"/>
              </w:rPr>
              <w:t xml:space="preserve">2, </w:t>
            </w:r>
            <w:r w:rsidRPr="00497F19">
              <w:rPr>
                <w:sz w:val="20"/>
                <w:lang w:val="es-ES_tradnl"/>
              </w:rPr>
              <w:t>San Eustaquio y Saba</w:t>
            </w:r>
            <w:r w:rsidRPr="00497F19">
              <w:rPr>
                <w:sz w:val="20"/>
                <w:vertAlign w:val="superscript"/>
                <w:lang w:val="es-ES_tradnl"/>
              </w:rPr>
              <w:t>1</w:t>
            </w:r>
          </w:p>
        </w:tc>
      </w:tr>
      <w:tr w:rsidR="002406E3" w:rsidRPr="00497F19" w:rsidTr="002406E3">
        <w:tc>
          <w:tcPr>
            <w:tcW w:w="1384" w:type="dxa"/>
          </w:tcPr>
          <w:p w:rsidR="002406E3" w:rsidRPr="00497F19" w:rsidRDefault="002406E3">
            <w:pPr>
              <w:rPr>
                <w:sz w:val="20"/>
                <w:lang w:val="es-ES_tradnl"/>
              </w:rPr>
            </w:pPr>
          </w:p>
          <w:p w:rsidR="002406E3" w:rsidRPr="00497F19" w:rsidRDefault="002406E3">
            <w:pPr>
              <w:rPr>
                <w:sz w:val="20"/>
                <w:lang w:val="es-ES_tradnl"/>
              </w:rPr>
            </w:pPr>
            <w:r w:rsidRPr="00497F19">
              <w:rPr>
                <w:sz w:val="20"/>
                <w:lang w:val="es-ES_tradnl"/>
              </w:rPr>
              <w:t>dos,</w:t>
            </w:r>
          </w:p>
        </w:tc>
        <w:tc>
          <w:tcPr>
            <w:tcW w:w="1022" w:type="dxa"/>
          </w:tcPr>
          <w:p w:rsidR="002406E3" w:rsidRPr="00497F19" w:rsidRDefault="002406E3">
            <w:pPr>
              <w:jc w:val="right"/>
              <w:rPr>
                <w:sz w:val="20"/>
                <w:lang w:val="es-ES_tradnl"/>
              </w:rPr>
            </w:pPr>
          </w:p>
          <w:p w:rsidR="002406E3" w:rsidRPr="00497F19" w:rsidRDefault="002406E3">
            <w:pPr>
              <w:jc w:val="right"/>
              <w:rPr>
                <w:sz w:val="20"/>
                <w:lang w:val="es-ES_tradnl"/>
              </w:rPr>
            </w:pPr>
            <w:r w:rsidRPr="00497F19">
              <w:rPr>
                <w:sz w:val="20"/>
                <w:lang w:val="es-ES_tradnl"/>
              </w:rPr>
              <w:t>29 266</w:t>
            </w:r>
          </w:p>
          <w:p w:rsidR="002406E3" w:rsidRPr="00497F19" w:rsidRDefault="002406E3">
            <w:pPr>
              <w:jc w:val="right"/>
              <w:rPr>
                <w:sz w:val="20"/>
                <w:lang w:val="es-ES_tradnl"/>
              </w:rPr>
            </w:pPr>
          </w:p>
        </w:tc>
        <w:tc>
          <w:tcPr>
            <w:tcW w:w="6916" w:type="dxa"/>
          </w:tcPr>
          <w:p w:rsidR="002406E3" w:rsidRPr="00497F19" w:rsidRDefault="002406E3">
            <w:pPr>
              <w:rPr>
                <w:sz w:val="20"/>
                <w:lang w:val="es-ES_tradnl"/>
              </w:rPr>
            </w:pPr>
          </w:p>
          <w:p w:rsidR="002406E3" w:rsidRPr="00497F19" w:rsidRDefault="002406E3">
            <w:pPr>
              <w:rPr>
                <w:sz w:val="20"/>
                <w:lang w:val="es-ES_tradnl"/>
              </w:rPr>
            </w:pPr>
            <w:r w:rsidRPr="00497F19">
              <w:rPr>
                <w:sz w:val="20"/>
                <w:lang w:val="es-ES_tradnl"/>
              </w:rPr>
              <w:t>Austria</w:t>
            </w:r>
            <w:r w:rsidRPr="00497F19">
              <w:rPr>
                <w:sz w:val="20"/>
                <w:vertAlign w:val="superscript"/>
                <w:lang w:val="es-ES_tradnl"/>
              </w:rPr>
              <w:t>3</w:t>
            </w:r>
            <w:r w:rsidRPr="00497F19">
              <w:rPr>
                <w:sz w:val="20"/>
                <w:lang w:val="es-ES_tradnl"/>
              </w:rPr>
              <w:t>, Italia, Liechtenstein</w:t>
            </w:r>
            <w:r w:rsidRPr="00497F19">
              <w:rPr>
                <w:sz w:val="20"/>
                <w:vertAlign w:val="superscript"/>
                <w:lang w:val="es-ES_tradnl"/>
              </w:rPr>
              <w:t>4</w:t>
            </w:r>
            <w:r w:rsidRPr="00497F19">
              <w:rPr>
                <w:sz w:val="20"/>
                <w:lang w:val="es-ES_tradnl"/>
              </w:rPr>
              <w:t xml:space="preserve">, </w:t>
            </w:r>
            <w:r w:rsidR="00B14159" w:rsidRPr="00497F19">
              <w:rPr>
                <w:sz w:val="20"/>
                <w:lang w:val="es-ES_tradnl"/>
              </w:rPr>
              <w:t>Mónaco</w:t>
            </w:r>
            <w:r w:rsidRPr="00497F19">
              <w:rPr>
                <w:sz w:val="20"/>
                <w:lang w:val="es-ES_tradnl"/>
              </w:rPr>
              <w:t>, San Martín (Reino de los Países Bajos)</w:t>
            </w:r>
          </w:p>
        </w:tc>
      </w:tr>
      <w:tr w:rsidR="002406E3" w:rsidRPr="00497F19" w:rsidTr="002406E3">
        <w:tc>
          <w:tcPr>
            <w:tcW w:w="1384" w:type="dxa"/>
          </w:tcPr>
          <w:p w:rsidR="002406E3" w:rsidRPr="00497F19" w:rsidRDefault="002406E3">
            <w:pPr>
              <w:rPr>
                <w:sz w:val="20"/>
                <w:lang w:val="es-ES_tradnl"/>
              </w:rPr>
            </w:pPr>
          </w:p>
          <w:p w:rsidR="002406E3" w:rsidRPr="00497F19" w:rsidRDefault="002406E3">
            <w:pPr>
              <w:rPr>
                <w:sz w:val="20"/>
                <w:lang w:val="es-ES_tradnl"/>
              </w:rPr>
            </w:pPr>
            <w:r w:rsidRPr="00497F19">
              <w:rPr>
                <w:sz w:val="20"/>
                <w:lang w:val="es-ES_tradnl"/>
              </w:rPr>
              <w:t>tres,</w:t>
            </w:r>
          </w:p>
        </w:tc>
        <w:tc>
          <w:tcPr>
            <w:tcW w:w="1022" w:type="dxa"/>
          </w:tcPr>
          <w:p w:rsidR="002406E3" w:rsidRPr="00497F19" w:rsidRDefault="002406E3">
            <w:pPr>
              <w:jc w:val="right"/>
              <w:rPr>
                <w:sz w:val="20"/>
                <w:lang w:val="es-ES_tradnl"/>
              </w:rPr>
            </w:pPr>
          </w:p>
          <w:p w:rsidR="002406E3" w:rsidRPr="00497F19" w:rsidRDefault="002406E3">
            <w:pPr>
              <w:jc w:val="right"/>
              <w:rPr>
                <w:sz w:val="20"/>
                <w:lang w:val="es-ES_tradnl"/>
              </w:rPr>
            </w:pPr>
            <w:r w:rsidRPr="00497F19">
              <w:rPr>
                <w:sz w:val="20"/>
                <w:lang w:val="es-ES_tradnl"/>
              </w:rPr>
              <w:t>109 080</w:t>
            </w:r>
          </w:p>
        </w:tc>
        <w:tc>
          <w:tcPr>
            <w:tcW w:w="6916" w:type="dxa"/>
          </w:tcPr>
          <w:p w:rsidR="002406E3" w:rsidRPr="00497F19" w:rsidRDefault="002406E3">
            <w:pPr>
              <w:rPr>
                <w:sz w:val="20"/>
                <w:lang w:val="es-ES_tradnl"/>
              </w:rPr>
            </w:pPr>
          </w:p>
          <w:p w:rsidR="002406E3" w:rsidRPr="00497F19" w:rsidRDefault="002406E3">
            <w:pPr>
              <w:rPr>
                <w:sz w:val="20"/>
                <w:lang w:val="es-ES_tradnl"/>
              </w:rPr>
            </w:pPr>
            <w:r w:rsidRPr="00497F19">
              <w:rPr>
                <w:sz w:val="20"/>
                <w:lang w:val="es-ES_tradnl"/>
              </w:rPr>
              <w:t>Alemania, Austria</w:t>
            </w:r>
            <w:r w:rsidRPr="00497F19">
              <w:rPr>
                <w:sz w:val="20"/>
                <w:vertAlign w:val="superscript"/>
                <w:lang w:val="es-ES_tradnl"/>
              </w:rPr>
              <w:t>5</w:t>
            </w:r>
            <w:r w:rsidRPr="00497F19">
              <w:rPr>
                <w:sz w:val="20"/>
                <w:lang w:val="es-ES_tradnl"/>
              </w:rPr>
              <w:t>, Benelux, Croacia, Eslovenia, ex República Yugoslava de Macedonia</w:t>
            </w:r>
            <w:r w:rsidRPr="00497F19">
              <w:rPr>
                <w:lang w:val="es-ES_tradnl"/>
              </w:rPr>
              <w:t>,</w:t>
            </w:r>
            <w:r w:rsidRPr="00497F19">
              <w:rPr>
                <w:sz w:val="20"/>
                <w:lang w:val="es-ES_tradnl"/>
              </w:rPr>
              <w:t xml:space="preserve"> Francia, Lesotho, Letonia, Lituania, San Marino, Suiza</w:t>
            </w:r>
          </w:p>
          <w:p w:rsidR="002406E3" w:rsidRPr="00497F19" w:rsidRDefault="002406E3">
            <w:pPr>
              <w:rPr>
                <w:sz w:val="20"/>
                <w:lang w:val="es-ES_tradnl"/>
              </w:rPr>
            </w:pPr>
          </w:p>
        </w:tc>
      </w:tr>
      <w:tr w:rsidR="002406E3" w:rsidRPr="00497F19" w:rsidTr="002406E3">
        <w:tc>
          <w:tcPr>
            <w:tcW w:w="1384" w:type="dxa"/>
            <w:hideMark/>
          </w:tcPr>
          <w:p w:rsidR="002406E3" w:rsidRPr="00497F19" w:rsidRDefault="002406E3">
            <w:pPr>
              <w:rPr>
                <w:sz w:val="20"/>
                <w:lang w:val="es-ES_tradnl"/>
              </w:rPr>
            </w:pPr>
            <w:r w:rsidRPr="00497F19">
              <w:rPr>
                <w:sz w:val="20"/>
                <w:lang w:val="es-ES_tradnl"/>
              </w:rPr>
              <w:t>cuatro,</w:t>
            </w:r>
          </w:p>
        </w:tc>
        <w:tc>
          <w:tcPr>
            <w:tcW w:w="1022" w:type="dxa"/>
            <w:hideMark/>
          </w:tcPr>
          <w:p w:rsidR="002406E3" w:rsidRPr="00497F19" w:rsidRDefault="002406E3">
            <w:pPr>
              <w:jc w:val="right"/>
              <w:rPr>
                <w:sz w:val="20"/>
                <w:lang w:val="es-ES_tradnl"/>
              </w:rPr>
            </w:pPr>
            <w:r w:rsidRPr="00497F19">
              <w:rPr>
                <w:sz w:val="20"/>
                <w:lang w:val="es-ES_tradnl"/>
              </w:rPr>
              <w:t>241 431</w:t>
            </w:r>
          </w:p>
        </w:tc>
        <w:tc>
          <w:tcPr>
            <w:tcW w:w="6916" w:type="dxa"/>
            <w:hideMark/>
          </w:tcPr>
          <w:p w:rsidR="002406E3" w:rsidRPr="00497F19" w:rsidRDefault="002406E3">
            <w:pPr>
              <w:rPr>
                <w:sz w:val="20"/>
                <w:lang w:val="es-ES_tradnl"/>
              </w:rPr>
            </w:pPr>
            <w:r w:rsidRPr="00497F19">
              <w:rPr>
                <w:sz w:val="20"/>
                <w:lang w:val="es-ES_tradnl"/>
              </w:rPr>
              <w:t>Albania, Argelia, Armenia, Azerbaiyán, Belarús, Bhután, Bosnia y Herzegovina, Botswana, Bulgaria, Cuba, Curaçao</w:t>
            </w:r>
            <w:r w:rsidRPr="00497F19">
              <w:rPr>
                <w:sz w:val="20"/>
                <w:vertAlign w:val="superscript"/>
                <w:lang w:val="es-ES_tradnl"/>
              </w:rPr>
              <w:t>1</w:t>
            </w:r>
            <w:r w:rsidRPr="00497F19">
              <w:rPr>
                <w:sz w:val="20"/>
                <w:lang w:val="es-ES_tradnl"/>
              </w:rPr>
              <w:t>, China, Chipre, Egipto, Eslovaquia, España, Federación de Rusia, Hungría, Irán (República Islámica del), Kazajstán, Kenya, Kirguistán, Liberia, Madagascar, Marruecos, Mongolia, Montenegro, Mozambique, Namibia, Polonia, Portugal, República Árabe Siria, República Checa, República de Moldova, República Popular Democrática de Corea, Rumania, Santo Tomé y Príncipe, Serbia, Sierra Leona, Sudán, Swazilandia, Tayikistán, Ucrania, Viet Nam, Zambia</w:t>
            </w:r>
          </w:p>
        </w:tc>
      </w:tr>
    </w:tbl>
    <w:p w:rsidR="002406E3" w:rsidRPr="00497F19" w:rsidRDefault="002406E3" w:rsidP="002406E3">
      <w:pPr>
        <w:rPr>
          <w:sz w:val="20"/>
          <w:lang w:val="es-ES_tradnl"/>
        </w:rPr>
      </w:pPr>
    </w:p>
    <w:p w:rsidR="002406E3" w:rsidRPr="00497F19" w:rsidRDefault="002406E3" w:rsidP="002406E3">
      <w:pPr>
        <w:rPr>
          <w:sz w:val="20"/>
          <w:lang w:val="es-ES_tradnl"/>
        </w:rPr>
      </w:pPr>
      <w:r w:rsidRPr="00497F19">
        <w:rPr>
          <w:sz w:val="20"/>
          <w:lang w:val="es-ES_tradnl"/>
        </w:rPr>
        <w:t>El importe recaudado, 38.083.700 francos suizos, debe dividirse por 1.352.556 [1.060 + (29.266 x 2) 58.532 + (109.080 x 3) 327.240 + (241.431 x 4) 965.724].  Por lo tanto, el importe adeudado por cada designación para la que se ha solicitado protección asciende a 28,15683787 francos suizos por unidad de coeficiente [38.083.700 :1.352.556], es decir que a cada coeficiente le corresponden:</w:t>
      </w:r>
    </w:p>
    <w:p w:rsidR="002406E3" w:rsidRPr="00497F19" w:rsidRDefault="002406E3" w:rsidP="002406E3">
      <w:pPr>
        <w:rPr>
          <w:sz w:val="20"/>
          <w:lang w:val="es-ES_trad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4644"/>
      </w:tblGrid>
      <w:tr w:rsidR="002406E3" w:rsidRPr="00497F19" w:rsidTr="002406E3">
        <w:tc>
          <w:tcPr>
            <w:tcW w:w="1242" w:type="dxa"/>
            <w:hideMark/>
          </w:tcPr>
          <w:p w:rsidR="002406E3" w:rsidRPr="00497F19" w:rsidRDefault="002406E3">
            <w:pPr>
              <w:rPr>
                <w:sz w:val="20"/>
                <w:lang w:val="es-ES_tradnl"/>
              </w:rPr>
            </w:pPr>
            <w:r w:rsidRPr="00497F19">
              <w:rPr>
                <w:sz w:val="20"/>
                <w:lang w:val="es-ES_tradnl"/>
              </w:rPr>
              <w:t>uno,</w:t>
            </w:r>
          </w:p>
        </w:tc>
        <w:tc>
          <w:tcPr>
            <w:tcW w:w="4644" w:type="dxa"/>
            <w:hideMark/>
          </w:tcPr>
          <w:p w:rsidR="002406E3" w:rsidRPr="00497F19" w:rsidRDefault="002406E3">
            <w:pPr>
              <w:rPr>
                <w:sz w:val="20"/>
                <w:lang w:val="es-ES_tradnl"/>
              </w:rPr>
            </w:pPr>
            <w:r w:rsidRPr="00497F19">
              <w:rPr>
                <w:sz w:val="20"/>
                <w:lang w:val="es-ES_tradnl"/>
              </w:rPr>
              <w:t>28,15683787 francos suizos</w:t>
            </w:r>
          </w:p>
        </w:tc>
      </w:tr>
      <w:tr w:rsidR="002406E3" w:rsidRPr="00497F19" w:rsidTr="002406E3">
        <w:tc>
          <w:tcPr>
            <w:tcW w:w="1242" w:type="dxa"/>
            <w:hideMark/>
          </w:tcPr>
          <w:p w:rsidR="002406E3" w:rsidRPr="00497F19" w:rsidRDefault="002406E3">
            <w:pPr>
              <w:rPr>
                <w:sz w:val="20"/>
                <w:lang w:val="es-ES_tradnl"/>
              </w:rPr>
            </w:pPr>
            <w:r w:rsidRPr="00497F19">
              <w:rPr>
                <w:sz w:val="20"/>
                <w:lang w:val="es-ES_tradnl"/>
              </w:rPr>
              <w:t>dos,</w:t>
            </w:r>
          </w:p>
        </w:tc>
        <w:tc>
          <w:tcPr>
            <w:tcW w:w="4644" w:type="dxa"/>
            <w:hideMark/>
          </w:tcPr>
          <w:p w:rsidR="002406E3" w:rsidRPr="00497F19" w:rsidRDefault="002406E3">
            <w:pPr>
              <w:rPr>
                <w:sz w:val="20"/>
                <w:lang w:val="es-ES_tradnl"/>
              </w:rPr>
            </w:pPr>
            <w:r w:rsidRPr="00497F19">
              <w:rPr>
                <w:sz w:val="20"/>
                <w:lang w:val="es-ES_tradnl"/>
              </w:rPr>
              <w:t>56,31367574 francos suizos</w:t>
            </w:r>
          </w:p>
        </w:tc>
      </w:tr>
      <w:tr w:rsidR="002406E3" w:rsidRPr="00497F19" w:rsidTr="002406E3">
        <w:tc>
          <w:tcPr>
            <w:tcW w:w="1242" w:type="dxa"/>
            <w:hideMark/>
          </w:tcPr>
          <w:p w:rsidR="002406E3" w:rsidRPr="00497F19" w:rsidRDefault="002406E3">
            <w:pPr>
              <w:rPr>
                <w:sz w:val="20"/>
                <w:lang w:val="es-ES_tradnl"/>
              </w:rPr>
            </w:pPr>
            <w:r w:rsidRPr="00497F19">
              <w:rPr>
                <w:sz w:val="20"/>
                <w:lang w:val="es-ES_tradnl"/>
              </w:rPr>
              <w:t>tres,</w:t>
            </w:r>
          </w:p>
        </w:tc>
        <w:tc>
          <w:tcPr>
            <w:tcW w:w="4644" w:type="dxa"/>
            <w:hideMark/>
          </w:tcPr>
          <w:p w:rsidR="002406E3" w:rsidRPr="00497F19" w:rsidRDefault="002406E3">
            <w:pPr>
              <w:rPr>
                <w:sz w:val="20"/>
                <w:lang w:val="es-ES_tradnl"/>
              </w:rPr>
            </w:pPr>
            <w:r w:rsidRPr="00497F19">
              <w:rPr>
                <w:sz w:val="20"/>
                <w:lang w:val="es-ES_tradnl"/>
              </w:rPr>
              <w:t>84,47051361 francos suizos</w:t>
            </w:r>
          </w:p>
        </w:tc>
      </w:tr>
      <w:tr w:rsidR="002406E3" w:rsidRPr="00497F19" w:rsidTr="002406E3">
        <w:tc>
          <w:tcPr>
            <w:tcW w:w="1242" w:type="dxa"/>
            <w:hideMark/>
          </w:tcPr>
          <w:p w:rsidR="002406E3" w:rsidRPr="00497F19" w:rsidRDefault="002406E3">
            <w:pPr>
              <w:rPr>
                <w:sz w:val="20"/>
                <w:lang w:val="es-ES_tradnl"/>
              </w:rPr>
            </w:pPr>
            <w:r w:rsidRPr="00497F19">
              <w:rPr>
                <w:sz w:val="20"/>
                <w:lang w:val="es-ES_tradnl"/>
              </w:rPr>
              <w:t>cuatro,</w:t>
            </w:r>
          </w:p>
        </w:tc>
        <w:tc>
          <w:tcPr>
            <w:tcW w:w="4644" w:type="dxa"/>
            <w:hideMark/>
          </w:tcPr>
          <w:p w:rsidR="002406E3" w:rsidRPr="00497F19" w:rsidRDefault="002406E3">
            <w:pPr>
              <w:rPr>
                <w:sz w:val="20"/>
                <w:lang w:val="es-ES_tradnl"/>
              </w:rPr>
            </w:pPr>
            <w:r w:rsidRPr="00497F19">
              <w:rPr>
                <w:sz w:val="20"/>
                <w:lang w:val="es-ES_tradnl"/>
              </w:rPr>
              <w:t>112,62735148 francos suizos</w:t>
            </w:r>
          </w:p>
        </w:tc>
      </w:tr>
    </w:tbl>
    <w:p w:rsidR="002406E3" w:rsidRPr="00497F19" w:rsidRDefault="002406E3" w:rsidP="002406E3">
      <w:pPr>
        <w:jc w:val="both"/>
        <w:rPr>
          <w:rStyle w:val="NORMALTEXT"/>
          <w:lang w:val="es-ES_tradnl"/>
        </w:rPr>
      </w:pPr>
    </w:p>
    <w:p w:rsidR="002406E3" w:rsidRPr="00497F19" w:rsidRDefault="002406E3" w:rsidP="002406E3">
      <w:pPr>
        <w:jc w:val="both"/>
        <w:rPr>
          <w:rStyle w:val="NORMALTEXT"/>
          <w:sz w:val="18"/>
          <w:szCs w:val="18"/>
          <w:lang w:val="es-ES_tradnl"/>
        </w:rPr>
      </w:pPr>
    </w:p>
    <w:p w:rsidR="002406E3" w:rsidRPr="00497F19" w:rsidRDefault="002406E3" w:rsidP="002406E3">
      <w:pPr>
        <w:jc w:val="both"/>
        <w:rPr>
          <w:rStyle w:val="NORMALTEXT"/>
          <w:sz w:val="18"/>
          <w:szCs w:val="18"/>
          <w:lang w:val="es-ES_tradnl"/>
        </w:rPr>
      </w:pPr>
    </w:p>
    <w:p w:rsidR="002406E3" w:rsidRPr="00497F19" w:rsidRDefault="002406E3" w:rsidP="002406E3">
      <w:pPr>
        <w:jc w:val="both"/>
        <w:rPr>
          <w:rStyle w:val="NORMALTEXT"/>
          <w:sz w:val="18"/>
          <w:szCs w:val="18"/>
          <w:lang w:val="es-ES_tradnl"/>
        </w:rPr>
      </w:pPr>
    </w:p>
    <w:p w:rsidR="002406E3" w:rsidRPr="00497F19" w:rsidRDefault="002406E3" w:rsidP="002406E3">
      <w:pPr>
        <w:jc w:val="both"/>
        <w:rPr>
          <w:rStyle w:val="NORMALTEXT"/>
          <w:sz w:val="18"/>
          <w:szCs w:val="18"/>
          <w:lang w:val="es-ES_tradnl"/>
        </w:rPr>
      </w:pPr>
    </w:p>
    <w:p w:rsidR="002406E3" w:rsidRPr="00497F19" w:rsidRDefault="002406E3" w:rsidP="002406E3">
      <w:pPr>
        <w:jc w:val="both"/>
        <w:rPr>
          <w:rStyle w:val="NORMALTEXT"/>
          <w:sz w:val="18"/>
          <w:szCs w:val="18"/>
          <w:lang w:val="es-ES_tradnl"/>
        </w:rPr>
      </w:pPr>
    </w:p>
    <w:p w:rsidR="002406E3" w:rsidRPr="00497F19" w:rsidRDefault="002406E3" w:rsidP="002406E3">
      <w:pPr>
        <w:jc w:val="both"/>
        <w:rPr>
          <w:rStyle w:val="NORMALTEXT"/>
          <w:sz w:val="18"/>
          <w:szCs w:val="18"/>
          <w:lang w:val="es-ES_tradnl"/>
        </w:rPr>
      </w:pPr>
    </w:p>
    <w:p w:rsidR="002406E3" w:rsidRPr="00497F19" w:rsidRDefault="002406E3" w:rsidP="002406E3">
      <w:pPr>
        <w:jc w:val="both"/>
        <w:rPr>
          <w:rStyle w:val="NORMALTEXT"/>
          <w:sz w:val="18"/>
          <w:szCs w:val="18"/>
          <w:lang w:val="es-ES_tradnl"/>
        </w:rPr>
      </w:pPr>
    </w:p>
    <w:p w:rsidR="002406E3" w:rsidRPr="00497F19" w:rsidRDefault="002406E3" w:rsidP="002406E3">
      <w:pPr>
        <w:jc w:val="both"/>
        <w:rPr>
          <w:rStyle w:val="NORMALTEXT"/>
          <w:sz w:val="18"/>
          <w:szCs w:val="18"/>
          <w:lang w:val="es-ES_tradnl"/>
        </w:rPr>
      </w:pPr>
    </w:p>
    <w:p w:rsidR="002406E3" w:rsidRPr="00497F19" w:rsidRDefault="002406E3" w:rsidP="002406E3">
      <w:pPr>
        <w:jc w:val="both"/>
        <w:rPr>
          <w:rStyle w:val="NORMALTEXT"/>
          <w:sz w:val="18"/>
          <w:szCs w:val="18"/>
          <w:lang w:val="es-ES_tradnl"/>
        </w:rPr>
      </w:pPr>
    </w:p>
    <w:p w:rsidR="002406E3" w:rsidRPr="00497F19" w:rsidRDefault="002406E3" w:rsidP="002406E3">
      <w:pPr>
        <w:jc w:val="both"/>
        <w:rPr>
          <w:rStyle w:val="NORMALTEXT"/>
          <w:sz w:val="18"/>
          <w:szCs w:val="18"/>
          <w:lang w:val="es-ES_tradnl"/>
        </w:rPr>
      </w:pPr>
    </w:p>
    <w:p w:rsidR="002406E3" w:rsidRPr="00497F19" w:rsidRDefault="002406E3" w:rsidP="002406E3">
      <w:pPr>
        <w:jc w:val="both"/>
        <w:rPr>
          <w:rStyle w:val="NORMALTEXT"/>
          <w:sz w:val="18"/>
          <w:szCs w:val="18"/>
          <w:lang w:val="es-ES_tradnl"/>
        </w:rPr>
      </w:pPr>
    </w:p>
    <w:p w:rsidR="002406E3" w:rsidRPr="00497F19" w:rsidRDefault="002406E3" w:rsidP="002406E3">
      <w:pPr>
        <w:jc w:val="both"/>
        <w:rPr>
          <w:rStyle w:val="NORMALTEXT"/>
          <w:sz w:val="18"/>
          <w:szCs w:val="18"/>
          <w:lang w:val="es-ES_tradnl"/>
        </w:rPr>
      </w:pPr>
    </w:p>
    <w:p w:rsidR="002406E3" w:rsidRPr="00497F19" w:rsidRDefault="002406E3" w:rsidP="002406E3">
      <w:pPr>
        <w:jc w:val="both"/>
        <w:rPr>
          <w:rStyle w:val="NORMALTEXT"/>
          <w:sz w:val="14"/>
          <w:szCs w:val="14"/>
          <w:lang w:val="es-ES_tradnl"/>
        </w:rPr>
      </w:pPr>
      <w:r w:rsidRPr="00497F19">
        <w:rPr>
          <w:rStyle w:val="NORMALTEXT"/>
          <w:sz w:val="14"/>
          <w:szCs w:val="14"/>
          <w:vertAlign w:val="superscript"/>
          <w:lang w:val="es-ES_tradnl"/>
        </w:rPr>
        <w:t>1</w:t>
      </w:r>
      <w:r w:rsidRPr="00497F19">
        <w:rPr>
          <w:rStyle w:val="NORMALTEXT"/>
          <w:vertAlign w:val="superscript"/>
          <w:lang w:val="es-ES_tradnl"/>
        </w:rPr>
        <w:t xml:space="preserve"> </w:t>
      </w:r>
      <w:r w:rsidRPr="00497F19">
        <w:rPr>
          <w:rStyle w:val="NORMALTEXT"/>
          <w:sz w:val="14"/>
          <w:szCs w:val="14"/>
          <w:lang w:val="es-ES_tradnl"/>
        </w:rPr>
        <w:t>Hasta el 29 de diciembre de 2010</w:t>
      </w:r>
    </w:p>
    <w:p w:rsidR="002406E3" w:rsidRPr="00497F19" w:rsidRDefault="002406E3" w:rsidP="002406E3">
      <w:pPr>
        <w:jc w:val="both"/>
        <w:rPr>
          <w:rStyle w:val="NORMALTEXT"/>
          <w:sz w:val="14"/>
          <w:szCs w:val="14"/>
          <w:lang w:val="es-ES_tradnl"/>
        </w:rPr>
      </w:pPr>
      <w:r w:rsidRPr="00497F19">
        <w:rPr>
          <w:rStyle w:val="NORMALTEXT"/>
          <w:sz w:val="14"/>
          <w:szCs w:val="14"/>
          <w:vertAlign w:val="superscript"/>
          <w:lang w:val="es-ES_tradnl"/>
        </w:rPr>
        <w:t>2</w:t>
      </w:r>
      <w:r w:rsidRPr="00497F19">
        <w:rPr>
          <w:rStyle w:val="NORMALTEXT"/>
          <w:sz w:val="14"/>
          <w:szCs w:val="14"/>
          <w:lang w:val="es-ES_tradnl"/>
        </w:rPr>
        <w:t xml:space="preserve"> Hasta el 31 de diciembre de 2009</w:t>
      </w:r>
    </w:p>
    <w:p w:rsidR="002406E3" w:rsidRPr="00497F19" w:rsidRDefault="002406E3" w:rsidP="002406E3">
      <w:pPr>
        <w:jc w:val="both"/>
        <w:rPr>
          <w:rStyle w:val="NORMALTEXT"/>
          <w:sz w:val="14"/>
          <w:szCs w:val="14"/>
          <w:lang w:val="es-ES_tradnl"/>
        </w:rPr>
      </w:pPr>
      <w:r w:rsidRPr="00497F19">
        <w:rPr>
          <w:rStyle w:val="NORMALTEXT"/>
          <w:sz w:val="14"/>
          <w:szCs w:val="14"/>
          <w:vertAlign w:val="superscript"/>
          <w:lang w:val="es-ES_tradnl"/>
        </w:rPr>
        <w:t>3</w:t>
      </w:r>
      <w:r w:rsidRPr="00497F19">
        <w:rPr>
          <w:rStyle w:val="NORMALTEXT"/>
          <w:sz w:val="14"/>
          <w:szCs w:val="14"/>
          <w:lang w:val="es-ES_tradnl"/>
        </w:rPr>
        <w:t xml:space="preserve"> Hasta el 30 de junio de 2010</w:t>
      </w:r>
    </w:p>
    <w:p w:rsidR="002406E3" w:rsidRPr="00497F19" w:rsidRDefault="002406E3" w:rsidP="002406E3">
      <w:pPr>
        <w:jc w:val="both"/>
        <w:rPr>
          <w:rStyle w:val="NORMALTEXT"/>
          <w:sz w:val="14"/>
          <w:szCs w:val="14"/>
          <w:lang w:val="es-ES_tradnl"/>
        </w:rPr>
      </w:pPr>
      <w:r w:rsidRPr="00497F19">
        <w:rPr>
          <w:rStyle w:val="NORMALTEXT"/>
          <w:sz w:val="14"/>
          <w:szCs w:val="14"/>
          <w:vertAlign w:val="superscript"/>
          <w:lang w:val="es-ES_tradnl"/>
        </w:rPr>
        <w:t>4</w:t>
      </w:r>
      <w:r w:rsidRPr="00497F19">
        <w:rPr>
          <w:rStyle w:val="NORMALTEXT"/>
          <w:sz w:val="14"/>
          <w:szCs w:val="14"/>
          <w:lang w:val="es-ES_tradnl"/>
        </w:rPr>
        <w:t xml:space="preserve"> Desde el 1 de enero de 2010</w:t>
      </w:r>
    </w:p>
    <w:p w:rsidR="002406E3" w:rsidRPr="00497F19" w:rsidRDefault="002406E3" w:rsidP="002406E3">
      <w:pPr>
        <w:jc w:val="both"/>
        <w:rPr>
          <w:rStyle w:val="NORMALTEXT"/>
          <w:sz w:val="14"/>
          <w:szCs w:val="14"/>
          <w:lang w:val="es-ES_tradnl"/>
        </w:rPr>
      </w:pPr>
      <w:r w:rsidRPr="00497F19">
        <w:rPr>
          <w:rStyle w:val="NORMALTEXT"/>
          <w:sz w:val="14"/>
          <w:szCs w:val="14"/>
          <w:vertAlign w:val="superscript"/>
          <w:lang w:val="es-ES_tradnl"/>
        </w:rPr>
        <w:t>5</w:t>
      </w:r>
      <w:r w:rsidRPr="00497F19">
        <w:rPr>
          <w:rStyle w:val="NORMALTEXT"/>
          <w:sz w:val="14"/>
          <w:szCs w:val="14"/>
          <w:lang w:val="es-ES_tradnl"/>
        </w:rPr>
        <w:t xml:space="preserve"> Desde el 1 de julio de 2010</w:t>
      </w:r>
    </w:p>
    <w:p w:rsidR="002406E3" w:rsidRPr="00497F19" w:rsidRDefault="002406E3" w:rsidP="002406E3">
      <w:pPr>
        <w:jc w:val="both"/>
        <w:rPr>
          <w:rStyle w:val="NORMALTEXT"/>
          <w:sz w:val="16"/>
          <w:szCs w:val="16"/>
          <w:lang w:val="es-ES_tradnl"/>
        </w:rPr>
      </w:pPr>
    </w:p>
    <w:p w:rsidR="002406E3" w:rsidRPr="00497F19" w:rsidRDefault="002406E3" w:rsidP="002406E3">
      <w:pPr>
        <w:rPr>
          <w:rStyle w:val="NORMALTEXT"/>
          <w:sz w:val="16"/>
          <w:szCs w:val="16"/>
          <w:lang w:val="es-ES_tradnl"/>
        </w:rPr>
      </w:pPr>
      <w:r w:rsidRPr="00497F19">
        <w:rPr>
          <w:rStyle w:val="NORMALTEXT"/>
          <w:sz w:val="16"/>
          <w:szCs w:val="16"/>
          <w:lang w:val="es-ES_tradnl"/>
        </w:rPr>
        <w:br w:type="page"/>
      </w:r>
    </w:p>
    <w:p w:rsidR="002406E3" w:rsidRDefault="004E2664" w:rsidP="002406E3">
      <w:pPr>
        <w:jc w:val="both"/>
        <w:rPr>
          <w:rStyle w:val="NORMALTEXT"/>
          <w:lang w:val="es-ES_tradnl"/>
        </w:rPr>
      </w:pPr>
      <w:r w:rsidRPr="00497F19">
        <w:rPr>
          <w:noProof/>
          <w:lang w:val="en-US" w:eastAsia="en-US"/>
        </w:rPr>
        <w:lastRenderedPageBreak/>
        <w:drawing>
          <wp:inline distT="0" distB="0" distL="0" distR="0" wp14:anchorId="63FEF578" wp14:editId="471BF24E">
            <wp:extent cx="5420836" cy="9516140"/>
            <wp:effectExtent l="0" t="0" r="8890" b="0"/>
            <wp:docPr id="4089" name="Picture 4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424782" cy="9523067"/>
                    </a:xfrm>
                    <a:prstGeom prst="rect">
                      <a:avLst/>
                    </a:prstGeom>
                    <a:noFill/>
                    <a:ln>
                      <a:noFill/>
                    </a:ln>
                  </pic:spPr>
                </pic:pic>
              </a:graphicData>
            </a:graphic>
          </wp:inline>
        </w:drawing>
      </w:r>
    </w:p>
    <w:p w:rsidR="00A503B6" w:rsidRDefault="00A503B6" w:rsidP="00A503B6">
      <w:pPr>
        <w:pStyle w:val="Heading2"/>
        <w:keepNext w:val="0"/>
        <w:widowControl w:val="0"/>
        <w:tabs>
          <w:tab w:val="left" w:pos="567"/>
        </w:tabs>
        <w:spacing w:before="0" w:after="0" w:line="300" w:lineRule="atLeast"/>
        <w:rPr>
          <w:rFonts w:ascii="Arial Bold" w:eastAsia="Times New Roman" w:hAnsi="Arial Bold"/>
          <w:b/>
          <w:iCs w:val="0"/>
          <w:caps w:val="0"/>
          <w:lang w:eastAsia="da-DK"/>
        </w:rPr>
      </w:pPr>
      <w:bookmarkStart w:id="50" w:name="_Toc395626702"/>
      <w:r w:rsidRPr="00A503B6">
        <w:rPr>
          <w:rFonts w:ascii="Arial Bold" w:eastAsia="Times New Roman" w:hAnsi="Arial Bold"/>
          <w:b/>
          <w:iCs w:val="0"/>
          <w:caps w:val="0"/>
          <w:lang w:eastAsia="da-DK"/>
        </w:rPr>
        <w:lastRenderedPageBreak/>
        <w:t>Unión de Madrid – Total de tasas – 2012</w:t>
      </w:r>
      <w:bookmarkEnd w:id="50"/>
    </w:p>
    <w:p w:rsidR="00A503B6" w:rsidRPr="00A503B6" w:rsidRDefault="00A503B6" w:rsidP="00A503B6">
      <w:pPr>
        <w:rPr>
          <w:lang w:eastAsia="da-DK"/>
        </w:rPr>
      </w:pPr>
    </w:p>
    <w:p w:rsidR="00A503B6" w:rsidRDefault="00A503B6" w:rsidP="00A503B6">
      <w:pPr>
        <w:jc w:val="center"/>
        <w:rPr>
          <w:rFonts w:ascii="Arial Bold" w:eastAsia="Times New Roman" w:hAnsi="Arial Bold"/>
          <w:b/>
          <w:bCs/>
          <w:iCs/>
          <w:szCs w:val="28"/>
          <w:lang w:val="es-ES_tradnl" w:eastAsia="da-DK"/>
        </w:rPr>
      </w:pPr>
      <w:r w:rsidRPr="00A503B6">
        <w:rPr>
          <w:noProof/>
          <w:lang w:val="en-US" w:eastAsia="en-US"/>
        </w:rPr>
        <w:drawing>
          <wp:inline distT="0" distB="0" distL="0" distR="0" wp14:anchorId="162B81E4" wp14:editId="1E22BC5B">
            <wp:extent cx="4908697" cy="9172575"/>
            <wp:effectExtent l="0" t="0" r="6350" b="0"/>
            <wp:docPr id="4172" name="Picture 4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913466" cy="9181487"/>
                    </a:xfrm>
                    <a:prstGeom prst="rect">
                      <a:avLst/>
                    </a:prstGeom>
                    <a:noFill/>
                    <a:ln>
                      <a:noFill/>
                    </a:ln>
                  </pic:spPr>
                </pic:pic>
              </a:graphicData>
            </a:graphic>
          </wp:inline>
        </w:drawing>
      </w:r>
      <w:r>
        <w:rPr>
          <w:rFonts w:ascii="Arial Bold" w:eastAsia="Times New Roman" w:hAnsi="Arial Bold"/>
          <w:b/>
          <w:caps/>
          <w:lang w:val="es-ES_tradnl" w:eastAsia="da-DK"/>
        </w:rPr>
        <w:br w:type="page"/>
      </w:r>
    </w:p>
    <w:p w:rsidR="002406E3" w:rsidRPr="00497F19" w:rsidRDefault="002406E3" w:rsidP="002406E3">
      <w:pPr>
        <w:pStyle w:val="Heading2"/>
        <w:keepNext w:val="0"/>
        <w:widowControl w:val="0"/>
        <w:tabs>
          <w:tab w:val="left" w:pos="567"/>
        </w:tabs>
        <w:spacing w:before="0" w:after="0" w:line="300" w:lineRule="atLeast"/>
        <w:rPr>
          <w:rFonts w:ascii="Arial Bold" w:eastAsia="Times New Roman" w:hAnsi="Arial Bold"/>
          <w:b/>
          <w:caps w:val="0"/>
          <w:lang w:eastAsia="da-DK"/>
        </w:rPr>
      </w:pPr>
      <w:bookmarkStart w:id="51" w:name="_Toc395626703"/>
      <w:r w:rsidRPr="00497F19">
        <w:rPr>
          <w:rFonts w:ascii="Arial Bold" w:eastAsia="Times New Roman" w:hAnsi="Arial Bold"/>
          <w:b/>
          <w:caps w:val="0"/>
          <w:lang w:val="es-ES_tradnl" w:eastAsia="da-DK"/>
        </w:rPr>
        <w:lastRenderedPageBreak/>
        <w:t>Unión de Madrid – Tasas suplementarias – 2013</w:t>
      </w:r>
      <w:bookmarkEnd w:id="51"/>
    </w:p>
    <w:p w:rsidR="002406E3" w:rsidRPr="00497F19" w:rsidRDefault="002406E3" w:rsidP="002406E3">
      <w:pPr>
        <w:jc w:val="both"/>
        <w:rPr>
          <w:rStyle w:val="NORMALTEXT"/>
        </w:rPr>
      </w:pPr>
    </w:p>
    <w:p w:rsidR="002406E3" w:rsidRPr="00497F19" w:rsidRDefault="002406E3" w:rsidP="002406E3">
      <w:pPr>
        <w:rPr>
          <w:b/>
          <w:bCs/>
          <w:sz w:val="20"/>
        </w:rPr>
      </w:pPr>
      <w:r w:rsidRPr="00497F19">
        <w:rPr>
          <w:b/>
          <w:bCs/>
          <w:sz w:val="20"/>
          <w:lang w:val="es-ES_tradnl"/>
        </w:rPr>
        <w:t>Tasas recaudadas</w:t>
      </w:r>
    </w:p>
    <w:p w:rsidR="002406E3" w:rsidRPr="00497F19" w:rsidRDefault="002406E3" w:rsidP="002406E3">
      <w:pPr>
        <w:rPr>
          <w:sz w:val="20"/>
          <w:lang w:val="es-ES_tradnl"/>
        </w:rPr>
      </w:pPr>
    </w:p>
    <w:p w:rsidR="002406E3" w:rsidRPr="00497F19" w:rsidRDefault="002406E3" w:rsidP="002406E3">
      <w:pPr>
        <w:widowControl w:val="0"/>
        <w:tabs>
          <w:tab w:val="num" w:pos="567"/>
          <w:tab w:val="num" w:pos="690"/>
        </w:tabs>
        <w:rPr>
          <w:sz w:val="20"/>
          <w:lang w:val="es-ES_tradnl"/>
        </w:rPr>
      </w:pPr>
      <w:r w:rsidRPr="00497F19">
        <w:rPr>
          <w:sz w:val="20"/>
          <w:lang w:val="es-ES_tradnl"/>
        </w:rPr>
        <w:t>En 2013, la OMPI recaudó 2.997.200 francos suizos en concepto de tasas suplementarias por registros y renovaciones, con arreglo al baremo vigente desde el 1 de septiembre de 2008 [Artículo 8.2.b) del Arreglo de Madrid y artículo 8.2.ii) del Protocolo concerniente a ese Arreglo].</w:t>
      </w:r>
    </w:p>
    <w:p w:rsidR="002406E3" w:rsidRPr="00497F19" w:rsidRDefault="002406E3" w:rsidP="002406E3">
      <w:pPr>
        <w:rPr>
          <w:sz w:val="20"/>
          <w:lang w:val="es-ES_tradnl"/>
        </w:rPr>
      </w:pPr>
    </w:p>
    <w:p w:rsidR="002406E3" w:rsidRPr="00497F19" w:rsidRDefault="002406E3" w:rsidP="002406E3">
      <w:pPr>
        <w:rPr>
          <w:b/>
          <w:bCs/>
          <w:sz w:val="20"/>
          <w:lang w:val="es-ES_tradnl"/>
        </w:rPr>
      </w:pPr>
      <w:r w:rsidRPr="00497F19">
        <w:rPr>
          <w:b/>
          <w:bCs/>
          <w:sz w:val="20"/>
          <w:lang w:val="es-ES_tradnl"/>
        </w:rPr>
        <w:t>Distribución</w:t>
      </w:r>
    </w:p>
    <w:p w:rsidR="002406E3" w:rsidRPr="00497F19" w:rsidRDefault="002406E3" w:rsidP="002406E3">
      <w:pPr>
        <w:rPr>
          <w:b/>
          <w:bCs/>
          <w:sz w:val="20"/>
          <w:lang w:val="es-ES_tradnl"/>
        </w:rPr>
      </w:pPr>
    </w:p>
    <w:p w:rsidR="002406E3" w:rsidRPr="00497F19" w:rsidRDefault="002406E3" w:rsidP="002406E3">
      <w:pPr>
        <w:widowControl w:val="0"/>
        <w:tabs>
          <w:tab w:val="num" w:pos="567"/>
          <w:tab w:val="num" w:pos="690"/>
        </w:tabs>
        <w:rPr>
          <w:sz w:val="20"/>
          <w:lang w:val="es-ES_tradnl"/>
        </w:rPr>
      </w:pPr>
      <w:r w:rsidRPr="00497F19">
        <w:rPr>
          <w:sz w:val="20"/>
          <w:lang w:val="es-ES_tradnl"/>
        </w:rPr>
        <w:t>Con arreglo a la Regla 37 del Reglamento Común del Arreglo de Madrid relativo al Registro Internacional de Marcas y del Protocolo concerniente a ese Arreglo, el coeficiente mencionado en el Artículo 8.5) y 6) del Arreglo y en el Artículo 8.5) y 6) del Protocolo, que los países parte en el Arreglo y, si procede, en el Protocolo, aplican para la distribución de las tasas suplementarias y de los complementos de tasa, es el siguiente:</w:t>
      </w:r>
    </w:p>
    <w:p w:rsidR="002406E3" w:rsidRPr="00497F19" w:rsidRDefault="002406E3" w:rsidP="002406E3">
      <w:pPr>
        <w:rPr>
          <w:sz w:val="20"/>
          <w:lang w:val="es-ES_tradnl"/>
        </w:rPr>
      </w:pPr>
    </w:p>
    <w:tbl>
      <w:tblPr>
        <w:tblStyle w:val="TableGrid"/>
        <w:tblW w:w="9322" w:type="dxa"/>
        <w:tblLook w:val="04A0" w:firstRow="1" w:lastRow="0" w:firstColumn="1" w:lastColumn="0" w:noHBand="0" w:noVBand="1"/>
      </w:tblPr>
      <w:tblGrid>
        <w:gridCol w:w="828"/>
        <w:gridCol w:w="8494"/>
      </w:tblGrid>
      <w:tr w:rsidR="002406E3" w:rsidRPr="00497F19" w:rsidTr="002406E3">
        <w:tc>
          <w:tcPr>
            <w:tcW w:w="828" w:type="dxa"/>
            <w:tcBorders>
              <w:top w:val="nil"/>
              <w:left w:val="nil"/>
              <w:bottom w:val="nil"/>
              <w:right w:val="nil"/>
            </w:tcBorders>
          </w:tcPr>
          <w:p w:rsidR="002406E3" w:rsidRPr="00497F19" w:rsidRDefault="002406E3">
            <w:pPr>
              <w:rPr>
                <w:sz w:val="20"/>
                <w:lang w:val="es-ES_tradnl"/>
              </w:rPr>
            </w:pPr>
            <w:r w:rsidRPr="00497F19">
              <w:rPr>
                <w:sz w:val="20"/>
                <w:lang w:val="es-ES_tradnl"/>
              </w:rPr>
              <w:t>uno,</w:t>
            </w:r>
          </w:p>
          <w:p w:rsidR="002406E3" w:rsidRPr="00497F19" w:rsidRDefault="002406E3">
            <w:pPr>
              <w:rPr>
                <w:sz w:val="20"/>
                <w:lang w:val="es-ES_tradnl"/>
              </w:rPr>
            </w:pPr>
          </w:p>
        </w:tc>
        <w:tc>
          <w:tcPr>
            <w:tcW w:w="8494" w:type="dxa"/>
            <w:tcBorders>
              <w:top w:val="nil"/>
              <w:left w:val="nil"/>
              <w:bottom w:val="nil"/>
              <w:right w:val="nil"/>
            </w:tcBorders>
            <w:hideMark/>
          </w:tcPr>
          <w:p w:rsidR="002406E3" w:rsidRPr="00497F19" w:rsidRDefault="002406E3">
            <w:pPr>
              <w:rPr>
                <w:sz w:val="20"/>
                <w:lang w:val="es-ES_tradnl"/>
              </w:rPr>
            </w:pPr>
            <w:r w:rsidRPr="00497F19">
              <w:rPr>
                <w:sz w:val="20"/>
                <w:lang w:val="es-ES_tradnl"/>
              </w:rPr>
              <w:t>para las Partes Contratantes que no efectúan ninguno de los exámenes que se enumeran a continuación;</w:t>
            </w:r>
          </w:p>
        </w:tc>
      </w:tr>
      <w:tr w:rsidR="002406E3" w:rsidRPr="00497F19" w:rsidTr="002406E3">
        <w:tc>
          <w:tcPr>
            <w:tcW w:w="828" w:type="dxa"/>
            <w:tcBorders>
              <w:top w:val="nil"/>
              <w:left w:val="nil"/>
              <w:bottom w:val="nil"/>
              <w:right w:val="nil"/>
            </w:tcBorders>
          </w:tcPr>
          <w:p w:rsidR="002406E3" w:rsidRPr="00497F19" w:rsidRDefault="002406E3">
            <w:pPr>
              <w:rPr>
                <w:sz w:val="20"/>
                <w:lang w:val="es-ES_tradnl"/>
              </w:rPr>
            </w:pPr>
            <w:r w:rsidRPr="00497F19">
              <w:rPr>
                <w:sz w:val="20"/>
                <w:lang w:val="es-ES_tradnl"/>
              </w:rPr>
              <w:t>dos,</w:t>
            </w:r>
          </w:p>
          <w:p w:rsidR="002406E3" w:rsidRPr="00497F19" w:rsidRDefault="002406E3">
            <w:pPr>
              <w:rPr>
                <w:sz w:val="20"/>
                <w:lang w:val="es-ES_tradnl"/>
              </w:rPr>
            </w:pPr>
          </w:p>
        </w:tc>
        <w:tc>
          <w:tcPr>
            <w:tcW w:w="8494" w:type="dxa"/>
            <w:tcBorders>
              <w:top w:val="nil"/>
              <w:left w:val="nil"/>
              <w:bottom w:val="nil"/>
              <w:right w:val="nil"/>
            </w:tcBorders>
            <w:hideMark/>
          </w:tcPr>
          <w:p w:rsidR="002406E3" w:rsidRPr="00497F19" w:rsidRDefault="002406E3">
            <w:pPr>
              <w:rPr>
                <w:sz w:val="20"/>
                <w:lang w:val="es-ES_tradnl"/>
              </w:rPr>
            </w:pPr>
            <w:r w:rsidRPr="00497F19">
              <w:rPr>
                <w:sz w:val="20"/>
                <w:lang w:val="es-ES_tradnl"/>
              </w:rPr>
              <w:t>para las Partes Contratantes que efectúen un examen limitado a los motivos absolutos de denegación;</w:t>
            </w:r>
          </w:p>
        </w:tc>
      </w:tr>
      <w:tr w:rsidR="002406E3" w:rsidRPr="00497F19" w:rsidTr="002406E3">
        <w:tc>
          <w:tcPr>
            <w:tcW w:w="828" w:type="dxa"/>
            <w:tcBorders>
              <w:top w:val="nil"/>
              <w:left w:val="nil"/>
              <w:bottom w:val="nil"/>
              <w:right w:val="nil"/>
            </w:tcBorders>
          </w:tcPr>
          <w:p w:rsidR="002406E3" w:rsidRPr="00497F19" w:rsidRDefault="002406E3">
            <w:pPr>
              <w:rPr>
                <w:sz w:val="20"/>
                <w:lang w:val="es-ES_tradnl"/>
              </w:rPr>
            </w:pPr>
            <w:r w:rsidRPr="00497F19">
              <w:rPr>
                <w:sz w:val="20"/>
                <w:lang w:val="es-ES_tradnl"/>
              </w:rPr>
              <w:t>tres,</w:t>
            </w:r>
          </w:p>
          <w:p w:rsidR="002406E3" w:rsidRPr="00497F19" w:rsidRDefault="002406E3">
            <w:pPr>
              <w:rPr>
                <w:sz w:val="20"/>
                <w:lang w:val="es-ES_tradnl"/>
              </w:rPr>
            </w:pPr>
          </w:p>
        </w:tc>
        <w:tc>
          <w:tcPr>
            <w:tcW w:w="8494" w:type="dxa"/>
            <w:tcBorders>
              <w:top w:val="nil"/>
              <w:left w:val="nil"/>
              <w:bottom w:val="nil"/>
              <w:right w:val="nil"/>
            </w:tcBorders>
            <w:hideMark/>
          </w:tcPr>
          <w:p w:rsidR="002406E3" w:rsidRPr="00497F19" w:rsidRDefault="002406E3">
            <w:pPr>
              <w:rPr>
                <w:sz w:val="20"/>
                <w:lang w:val="es-ES_tradnl"/>
              </w:rPr>
            </w:pPr>
            <w:r w:rsidRPr="00497F19">
              <w:rPr>
                <w:sz w:val="20"/>
                <w:lang w:val="es-ES_tradnl"/>
              </w:rPr>
              <w:t>para las Partes Contratantes que, además, efectúen un examen de anterioridad por oposición de terceros;</w:t>
            </w:r>
          </w:p>
        </w:tc>
      </w:tr>
      <w:tr w:rsidR="002406E3" w:rsidRPr="00497F19" w:rsidTr="002406E3">
        <w:tc>
          <w:tcPr>
            <w:tcW w:w="828" w:type="dxa"/>
            <w:tcBorders>
              <w:top w:val="nil"/>
              <w:left w:val="nil"/>
              <w:bottom w:val="nil"/>
              <w:right w:val="nil"/>
            </w:tcBorders>
            <w:hideMark/>
          </w:tcPr>
          <w:p w:rsidR="002406E3" w:rsidRPr="00497F19" w:rsidRDefault="002406E3">
            <w:pPr>
              <w:rPr>
                <w:sz w:val="20"/>
                <w:lang w:val="es-ES_tradnl"/>
              </w:rPr>
            </w:pPr>
            <w:r w:rsidRPr="00497F19">
              <w:rPr>
                <w:sz w:val="20"/>
                <w:lang w:val="es-ES_tradnl"/>
              </w:rPr>
              <w:t>cuatro,</w:t>
            </w:r>
          </w:p>
        </w:tc>
        <w:tc>
          <w:tcPr>
            <w:tcW w:w="8494" w:type="dxa"/>
            <w:tcBorders>
              <w:top w:val="nil"/>
              <w:left w:val="nil"/>
              <w:bottom w:val="nil"/>
              <w:right w:val="nil"/>
            </w:tcBorders>
            <w:hideMark/>
          </w:tcPr>
          <w:p w:rsidR="002406E3" w:rsidRPr="00497F19" w:rsidRDefault="002406E3">
            <w:pPr>
              <w:rPr>
                <w:sz w:val="20"/>
                <w:lang w:val="es-ES_tradnl"/>
              </w:rPr>
            </w:pPr>
            <w:r w:rsidRPr="00497F19">
              <w:rPr>
                <w:sz w:val="20"/>
                <w:lang w:val="es-ES_tradnl"/>
              </w:rPr>
              <w:t>para las Partes Contratantes que, además, efectúen un examen de anterioridad de oficio;</w:t>
            </w:r>
          </w:p>
        </w:tc>
      </w:tr>
      <w:tr w:rsidR="002406E3" w:rsidRPr="00497F19" w:rsidTr="002406E3">
        <w:tc>
          <w:tcPr>
            <w:tcW w:w="828" w:type="dxa"/>
            <w:tcBorders>
              <w:top w:val="nil"/>
              <w:left w:val="nil"/>
              <w:bottom w:val="nil"/>
              <w:right w:val="nil"/>
            </w:tcBorders>
          </w:tcPr>
          <w:p w:rsidR="002406E3" w:rsidRPr="00497F19" w:rsidRDefault="002406E3">
            <w:pPr>
              <w:rPr>
                <w:sz w:val="20"/>
                <w:lang w:val="es-ES_tradnl"/>
              </w:rPr>
            </w:pPr>
          </w:p>
        </w:tc>
        <w:tc>
          <w:tcPr>
            <w:tcW w:w="8494" w:type="dxa"/>
            <w:tcBorders>
              <w:top w:val="nil"/>
              <w:left w:val="nil"/>
              <w:bottom w:val="nil"/>
              <w:right w:val="nil"/>
            </w:tcBorders>
            <w:hideMark/>
          </w:tcPr>
          <w:p w:rsidR="002406E3" w:rsidRPr="00497F19" w:rsidRDefault="002406E3">
            <w:pPr>
              <w:rPr>
                <w:sz w:val="20"/>
                <w:lang w:val="es-ES_tradnl"/>
              </w:rPr>
            </w:pPr>
            <w:r w:rsidRPr="00497F19">
              <w:rPr>
                <w:sz w:val="20"/>
                <w:lang w:val="es-ES_tradnl"/>
              </w:rPr>
              <w:t>también para las Partes Contratantes que proceden de oficio a búsquedas de anterioridad con indicación de las anterioridades pertinentes.</w:t>
            </w:r>
          </w:p>
        </w:tc>
      </w:tr>
    </w:tbl>
    <w:p w:rsidR="002406E3" w:rsidRPr="00497F19" w:rsidRDefault="002406E3" w:rsidP="002406E3">
      <w:pPr>
        <w:rPr>
          <w:sz w:val="20"/>
          <w:lang w:val="es-ES_tradnl"/>
        </w:rPr>
      </w:pPr>
    </w:p>
    <w:p w:rsidR="002406E3" w:rsidRPr="00497F19" w:rsidRDefault="002406E3" w:rsidP="002406E3">
      <w:pPr>
        <w:rPr>
          <w:sz w:val="20"/>
          <w:lang w:val="es-ES_tradnl"/>
        </w:rPr>
      </w:pPr>
      <w:r w:rsidRPr="00497F19">
        <w:rPr>
          <w:sz w:val="20"/>
          <w:lang w:val="es-ES_tradnl"/>
        </w:rPr>
        <w:t>El número de designaciones incluidas en los registros o las renovaciones respecto de las cuales la OMPI recaudó una tasa suplementaria de 100 francos por cada clase de productos y servicios a partir de la tercera es el siguiente, de acuerdo con el coeficiente que se indica a continuación:</w:t>
      </w:r>
    </w:p>
    <w:p w:rsidR="002406E3" w:rsidRPr="00497F19" w:rsidRDefault="002406E3" w:rsidP="002406E3">
      <w:pPr>
        <w:rPr>
          <w:sz w:val="20"/>
          <w:lang w:val="es-ES_tradnl"/>
        </w:rPr>
      </w:pP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1133"/>
        <w:gridCol w:w="7361"/>
      </w:tblGrid>
      <w:tr w:rsidR="002406E3" w:rsidRPr="00497F19" w:rsidTr="002406E3">
        <w:tc>
          <w:tcPr>
            <w:tcW w:w="817" w:type="dxa"/>
          </w:tcPr>
          <w:p w:rsidR="002406E3" w:rsidRPr="00497F19" w:rsidRDefault="002406E3">
            <w:pPr>
              <w:rPr>
                <w:sz w:val="20"/>
                <w:lang w:val="es-ES_tradnl"/>
              </w:rPr>
            </w:pPr>
            <w:r w:rsidRPr="00497F19">
              <w:rPr>
                <w:sz w:val="20"/>
                <w:lang w:val="es-ES_tradnl"/>
              </w:rPr>
              <w:t>uno,</w:t>
            </w:r>
          </w:p>
          <w:p w:rsidR="002406E3" w:rsidRPr="00497F19" w:rsidRDefault="002406E3">
            <w:pPr>
              <w:rPr>
                <w:sz w:val="20"/>
                <w:lang w:val="es-ES_tradnl"/>
              </w:rPr>
            </w:pPr>
          </w:p>
        </w:tc>
        <w:tc>
          <w:tcPr>
            <w:tcW w:w="1134" w:type="dxa"/>
          </w:tcPr>
          <w:p w:rsidR="002406E3" w:rsidRPr="00497F19" w:rsidRDefault="002406E3">
            <w:pPr>
              <w:jc w:val="right"/>
              <w:rPr>
                <w:sz w:val="20"/>
                <w:lang w:val="es-ES_tradnl"/>
              </w:rPr>
            </w:pPr>
            <w:r w:rsidRPr="00497F19">
              <w:rPr>
                <w:sz w:val="20"/>
                <w:lang w:val="es-ES_tradnl"/>
              </w:rPr>
              <w:t xml:space="preserve">1 013 </w:t>
            </w:r>
          </w:p>
          <w:p w:rsidR="002406E3" w:rsidRPr="00497F19" w:rsidRDefault="002406E3">
            <w:pPr>
              <w:jc w:val="right"/>
              <w:rPr>
                <w:sz w:val="20"/>
                <w:lang w:val="es-ES_tradnl"/>
              </w:rPr>
            </w:pPr>
          </w:p>
        </w:tc>
        <w:tc>
          <w:tcPr>
            <w:tcW w:w="7371" w:type="dxa"/>
            <w:hideMark/>
          </w:tcPr>
          <w:p w:rsidR="002406E3" w:rsidRPr="00497F19" w:rsidRDefault="002406E3">
            <w:pPr>
              <w:rPr>
                <w:sz w:val="20"/>
                <w:lang w:val="es-ES_tradnl"/>
              </w:rPr>
            </w:pPr>
            <w:r w:rsidRPr="00497F19">
              <w:rPr>
                <w:sz w:val="20"/>
                <w:lang w:val="es-ES_tradnl"/>
              </w:rPr>
              <w:t>Antigua y Barbuda</w:t>
            </w:r>
          </w:p>
        </w:tc>
      </w:tr>
      <w:tr w:rsidR="002406E3" w:rsidRPr="00497F19" w:rsidTr="002406E3">
        <w:tc>
          <w:tcPr>
            <w:tcW w:w="817" w:type="dxa"/>
            <w:hideMark/>
          </w:tcPr>
          <w:p w:rsidR="002406E3" w:rsidRPr="00497F19" w:rsidRDefault="002406E3">
            <w:pPr>
              <w:rPr>
                <w:sz w:val="20"/>
                <w:lang w:val="es-ES_tradnl"/>
              </w:rPr>
            </w:pPr>
            <w:r w:rsidRPr="00497F19">
              <w:rPr>
                <w:sz w:val="20"/>
                <w:lang w:val="es-ES_tradnl"/>
              </w:rPr>
              <w:t>dos,</w:t>
            </w:r>
          </w:p>
        </w:tc>
        <w:tc>
          <w:tcPr>
            <w:tcW w:w="1134" w:type="dxa"/>
            <w:hideMark/>
          </w:tcPr>
          <w:p w:rsidR="002406E3" w:rsidRPr="00497F19" w:rsidRDefault="002406E3">
            <w:pPr>
              <w:jc w:val="right"/>
              <w:rPr>
                <w:sz w:val="20"/>
                <w:lang w:val="es-ES_tradnl"/>
              </w:rPr>
            </w:pPr>
            <w:r w:rsidRPr="00497F19">
              <w:rPr>
                <w:sz w:val="20"/>
                <w:lang w:val="es-ES_tradnl"/>
              </w:rPr>
              <w:t>27 849</w:t>
            </w:r>
          </w:p>
        </w:tc>
        <w:tc>
          <w:tcPr>
            <w:tcW w:w="7371" w:type="dxa"/>
          </w:tcPr>
          <w:p w:rsidR="002406E3" w:rsidRPr="00497F19" w:rsidRDefault="002406E3">
            <w:pPr>
              <w:rPr>
                <w:sz w:val="20"/>
                <w:lang w:val="es-ES_tradnl"/>
              </w:rPr>
            </w:pPr>
            <w:r w:rsidRPr="00497F19">
              <w:rPr>
                <w:sz w:val="20"/>
                <w:lang w:val="es-ES_tradnl"/>
              </w:rPr>
              <w:t>Italia, Liechtenstein, Mónaco, San Martín (Reino de los Países Bajos)</w:t>
            </w:r>
          </w:p>
          <w:p w:rsidR="002406E3" w:rsidRPr="00497F19" w:rsidRDefault="002406E3">
            <w:pPr>
              <w:rPr>
                <w:sz w:val="20"/>
                <w:lang w:val="es-ES_tradnl"/>
              </w:rPr>
            </w:pPr>
          </w:p>
        </w:tc>
      </w:tr>
      <w:tr w:rsidR="002406E3" w:rsidRPr="00497F19" w:rsidTr="002406E3">
        <w:tc>
          <w:tcPr>
            <w:tcW w:w="817" w:type="dxa"/>
            <w:hideMark/>
          </w:tcPr>
          <w:p w:rsidR="002406E3" w:rsidRPr="00497F19" w:rsidRDefault="002406E3">
            <w:pPr>
              <w:rPr>
                <w:sz w:val="20"/>
                <w:lang w:val="es-ES_tradnl"/>
              </w:rPr>
            </w:pPr>
            <w:r w:rsidRPr="00497F19">
              <w:rPr>
                <w:sz w:val="20"/>
                <w:lang w:val="es-ES_tradnl"/>
              </w:rPr>
              <w:t>tres,</w:t>
            </w:r>
          </w:p>
        </w:tc>
        <w:tc>
          <w:tcPr>
            <w:tcW w:w="1134" w:type="dxa"/>
            <w:hideMark/>
          </w:tcPr>
          <w:p w:rsidR="002406E3" w:rsidRPr="00497F19" w:rsidRDefault="002406E3">
            <w:pPr>
              <w:jc w:val="right"/>
              <w:rPr>
                <w:sz w:val="20"/>
                <w:lang w:val="es-ES_tradnl"/>
              </w:rPr>
            </w:pPr>
            <w:r w:rsidRPr="00497F19">
              <w:rPr>
                <w:sz w:val="20"/>
                <w:lang w:val="es-ES_tradnl"/>
              </w:rPr>
              <w:t>105 208</w:t>
            </w:r>
          </w:p>
        </w:tc>
        <w:tc>
          <w:tcPr>
            <w:tcW w:w="7371" w:type="dxa"/>
          </w:tcPr>
          <w:p w:rsidR="002406E3" w:rsidRPr="00497F19" w:rsidRDefault="002406E3">
            <w:pPr>
              <w:rPr>
                <w:sz w:val="20"/>
                <w:lang w:val="es-ES_tradnl"/>
              </w:rPr>
            </w:pPr>
            <w:r w:rsidRPr="00497F19">
              <w:rPr>
                <w:sz w:val="20"/>
                <w:lang w:val="es-ES_tradnl"/>
              </w:rPr>
              <w:t>Alemania, Austria, Benelux, Croacia, Eslovenia, ex República Yugoslava de Macedonia, Francia, Lesotho, Letonia, Lituania, San Marino, Suiza</w:t>
            </w:r>
          </w:p>
          <w:p w:rsidR="002406E3" w:rsidRPr="00497F19" w:rsidRDefault="002406E3">
            <w:pPr>
              <w:rPr>
                <w:sz w:val="20"/>
                <w:lang w:val="es-ES_tradnl"/>
              </w:rPr>
            </w:pPr>
          </w:p>
        </w:tc>
      </w:tr>
      <w:tr w:rsidR="002406E3" w:rsidRPr="00497F19" w:rsidTr="002406E3">
        <w:tc>
          <w:tcPr>
            <w:tcW w:w="817" w:type="dxa"/>
            <w:hideMark/>
          </w:tcPr>
          <w:p w:rsidR="002406E3" w:rsidRPr="00497F19" w:rsidRDefault="002406E3">
            <w:pPr>
              <w:rPr>
                <w:sz w:val="20"/>
                <w:lang w:val="es-ES_tradnl"/>
              </w:rPr>
            </w:pPr>
            <w:r w:rsidRPr="00497F19">
              <w:rPr>
                <w:sz w:val="20"/>
                <w:lang w:val="es-ES_tradnl"/>
              </w:rPr>
              <w:t>cuatro,</w:t>
            </w:r>
          </w:p>
        </w:tc>
        <w:tc>
          <w:tcPr>
            <w:tcW w:w="1134" w:type="dxa"/>
            <w:hideMark/>
          </w:tcPr>
          <w:p w:rsidR="002406E3" w:rsidRPr="00497F19" w:rsidRDefault="002406E3">
            <w:pPr>
              <w:jc w:val="right"/>
              <w:rPr>
                <w:sz w:val="20"/>
                <w:lang w:val="es-ES_tradnl"/>
              </w:rPr>
            </w:pPr>
            <w:r w:rsidRPr="00497F19">
              <w:rPr>
                <w:sz w:val="20"/>
                <w:lang w:val="es-ES_tradnl"/>
              </w:rPr>
              <w:t>231 717</w:t>
            </w:r>
          </w:p>
        </w:tc>
        <w:tc>
          <w:tcPr>
            <w:tcW w:w="7371" w:type="dxa"/>
            <w:hideMark/>
          </w:tcPr>
          <w:p w:rsidR="002406E3" w:rsidRPr="00497F19" w:rsidRDefault="002406E3">
            <w:pPr>
              <w:rPr>
                <w:sz w:val="20"/>
                <w:lang w:val="es-ES_tradnl"/>
              </w:rPr>
            </w:pPr>
            <w:r w:rsidRPr="00497F19">
              <w:rPr>
                <w:sz w:val="20"/>
                <w:lang w:val="es-ES_tradnl"/>
              </w:rPr>
              <w:t>Albania, Argelia, Armenia, Azerbaiyán, Belarús, Bhután, Bosnia y Herzegovina, Botswana, Bulgaria, China, Chipre, Cuba, Egipto, Eslovaquia, España, Federación de Rusia, Hungría, Irán (República Islámica del), Kazajstán, Kenya, Kirguistán, Liberia, Madagascar, Marruecos, Mongolia, Montenegro, Mozambique, Namibia, Polonia, Portugal, República Árabe Siria, República Checa, República de Moldova, República Popular Democrática de Corea, Rumania, Rwanda</w:t>
            </w:r>
            <w:r w:rsidRPr="00497F19">
              <w:rPr>
                <w:sz w:val="20"/>
                <w:vertAlign w:val="superscript"/>
                <w:lang w:val="es-ES_tradnl"/>
              </w:rPr>
              <w:t>6</w:t>
            </w:r>
            <w:r w:rsidRPr="00497F19">
              <w:rPr>
                <w:sz w:val="20"/>
                <w:lang w:val="es-ES_tradnl"/>
              </w:rPr>
              <w:t>, Santo Tomé y Príncipe, Serbia, Sierra Leona, Sudán, Swazilandia, Tayikistán, Ucrania, Viet Nam, Zambia</w:t>
            </w:r>
          </w:p>
        </w:tc>
      </w:tr>
    </w:tbl>
    <w:p w:rsidR="002406E3" w:rsidRPr="00497F19" w:rsidRDefault="002406E3" w:rsidP="002406E3">
      <w:pPr>
        <w:rPr>
          <w:sz w:val="20"/>
          <w:lang w:val="es-ES_tradnl"/>
        </w:rPr>
      </w:pPr>
    </w:p>
    <w:p w:rsidR="002406E3" w:rsidRPr="00497F19" w:rsidRDefault="002406E3" w:rsidP="002406E3">
      <w:pPr>
        <w:rPr>
          <w:sz w:val="20"/>
          <w:lang w:val="es-ES_tradnl"/>
        </w:rPr>
      </w:pPr>
      <w:r w:rsidRPr="00497F19">
        <w:rPr>
          <w:sz w:val="20"/>
          <w:lang w:val="es-ES_tradnl"/>
        </w:rPr>
        <w:t>El importe recaudado, 2.997.200 francos suizos, debe dividirse por 1.299.203 [1.013 + (27.849 x 2) 55.698 + (105.208 x 3) 315.624 + (231.717 x 4) 926.868].  Por lo tanto, el importe adeudado por cada marca para la cual se ha solicitado protección asciende a 2,30695280 francos suizos por unidad de coeficiente [2.997.200 : 1.299.203], y a cada coeficiente le corresponden:</w:t>
      </w:r>
    </w:p>
    <w:p w:rsidR="002406E3" w:rsidRPr="00497F19" w:rsidRDefault="002406E3" w:rsidP="002406E3">
      <w:pPr>
        <w:rPr>
          <w:sz w:val="20"/>
          <w:lang w:val="es-ES_trad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4644"/>
      </w:tblGrid>
      <w:tr w:rsidR="002406E3" w:rsidRPr="00497F19" w:rsidTr="002406E3">
        <w:tc>
          <w:tcPr>
            <w:tcW w:w="817" w:type="dxa"/>
            <w:hideMark/>
          </w:tcPr>
          <w:p w:rsidR="002406E3" w:rsidRPr="00497F19" w:rsidRDefault="002406E3">
            <w:pPr>
              <w:rPr>
                <w:sz w:val="20"/>
                <w:lang w:val="es-ES_tradnl"/>
              </w:rPr>
            </w:pPr>
            <w:r w:rsidRPr="00497F19">
              <w:rPr>
                <w:sz w:val="20"/>
                <w:lang w:val="es-ES_tradnl"/>
              </w:rPr>
              <w:t>uno,</w:t>
            </w:r>
          </w:p>
        </w:tc>
        <w:tc>
          <w:tcPr>
            <w:tcW w:w="4644" w:type="dxa"/>
            <w:hideMark/>
          </w:tcPr>
          <w:p w:rsidR="002406E3" w:rsidRPr="00497F19" w:rsidRDefault="002406E3">
            <w:pPr>
              <w:rPr>
                <w:sz w:val="20"/>
                <w:lang w:val="es-ES_tradnl"/>
              </w:rPr>
            </w:pPr>
            <w:r w:rsidRPr="00497F19">
              <w:rPr>
                <w:sz w:val="20"/>
                <w:lang w:val="es-ES_tradnl"/>
              </w:rPr>
              <w:t>2,30695280 francos suizos</w:t>
            </w:r>
          </w:p>
        </w:tc>
      </w:tr>
      <w:tr w:rsidR="002406E3" w:rsidRPr="00497F19" w:rsidTr="002406E3">
        <w:tc>
          <w:tcPr>
            <w:tcW w:w="817" w:type="dxa"/>
            <w:hideMark/>
          </w:tcPr>
          <w:p w:rsidR="002406E3" w:rsidRPr="00497F19" w:rsidRDefault="002406E3">
            <w:pPr>
              <w:rPr>
                <w:sz w:val="20"/>
                <w:lang w:val="es-ES_tradnl"/>
              </w:rPr>
            </w:pPr>
            <w:r w:rsidRPr="00497F19">
              <w:rPr>
                <w:sz w:val="20"/>
                <w:lang w:val="es-ES_tradnl"/>
              </w:rPr>
              <w:t>dos,</w:t>
            </w:r>
          </w:p>
        </w:tc>
        <w:tc>
          <w:tcPr>
            <w:tcW w:w="4644" w:type="dxa"/>
            <w:hideMark/>
          </w:tcPr>
          <w:p w:rsidR="002406E3" w:rsidRPr="00497F19" w:rsidRDefault="002406E3">
            <w:pPr>
              <w:rPr>
                <w:sz w:val="20"/>
                <w:lang w:val="es-ES_tradnl"/>
              </w:rPr>
            </w:pPr>
            <w:r w:rsidRPr="00497F19">
              <w:rPr>
                <w:sz w:val="20"/>
                <w:lang w:val="es-ES_tradnl"/>
              </w:rPr>
              <w:t>4,61390560 francos suizos</w:t>
            </w:r>
          </w:p>
        </w:tc>
      </w:tr>
      <w:tr w:rsidR="002406E3" w:rsidRPr="00497F19" w:rsidTr="002406E3">
        <w:tc>
          <w:tcPr>
            <w:tcW w:w="817" w:type="dxa"/>
            <w:hideMark/>
          </w:tcPr>
          <w:p w:rsidR="002406E3" w:rsidRPr="00497F19" w:rsidRDefault="002406E3">
            <w:pPr>
              <w:rPr>
                <w:sz w:val="20"/>
                <w:lang w:val="es-ES_tradnl"/>
              </w:rPr>
            </w:pPr>
            <w:r w:rsidRPr="00497F19">
              <w:rPr>
                <w:sz w:val="20"/>
                <w:lang w:val="es-ES_tradnl"/>
              </w:rPr>
              <w:t>tres,</w:t>
            </w:r>
          </w:p>
        </w:tc>
        <w:tc>
          <w:tcPr>
            <w:tcW w:w="4644" w:type="dxa"/>
            <w:hideMark/>
          </w:tcPr>
          <w:p w:rsidR="002406E3" w:rsidRPr="00497F19" w:rsidRDefault="002406E3">
            <w:pPr>
              <w:rPr>
                <w:sz w:val="20"/>
                <w:lang w:val="es-ES_tradnl"/>
              </w:rPr>
            </w:pPr>
            <w:r w:rsidRPr="00497F19">
              <w:rPr>
                <w:sz w:val="20"/>
                <w:lang w:val="es-ES_tradnl"/>
              </w:rPr>
              <w:t>6,92085840 francos suizos</w:t>
            </w:r>
          </w:p>
        </w:tc>
      </w:tr>
      <w:tr w:rsidR="002406E3" w:rsidRPr="00497F19" w:rsidTr="002406E3">
        <w:tc>
          <w:tcPr>
            <w:tcW w:w="817" w:type="dxa"/>
            <w:hideMark/>
          </w:tcPr>
          <w:p w:rsidR="002406E3" w:rsidRPr="00497F19" w:rsidRDefault="002406E3">
            <w:pPr>
              <w:rPr>
                <w:sz w:val="20"/>
                <w:lang w:val="es-ES_tradnl"/>
              </w:rPr>
            </w:pPr>
            <w:r w:rsidRPr="00497F19">
              <w:rPr>
                <w:sz w:val="20"/>
                <w:lang w:val="es-ES_tradnl"/>
              </w:rPr>
              <w:t>cuatro,</w:t>
            </w:r>
          </w:p>
        </w:tc>
        <w:tc>
          <w:tcPr>
            <w:tcW w:w="4644" w:type="dxa"/>
            <w:hideMark/>
          </w:tcPr>
          <w:p w:rsidR="002406E3" w:rsidRPr="00497F19" w:rsidRDefault="002406E3">
            <w:pPr>
              <w:rPr>
                <w:sz w:val="20"/>
                <w:lang w:val="es-ES_tradnl"/>
              </w:rPr>
            </w:pPr>
            <w:r w:rsidRPr="00497F19">
              <w:rPr>
                <w:sz w:val="20"/>
                <w:lang w:val="es-ES_tradnl"/>
              </w:rPr>
              <w:t>9,22781120 francos suizos</w:t>
            </w:r>
          </w:p>
        </w:tc>
      </w:tr>
    </w:tbl>
    <w:p w:rsidR="002406E3" w:rsidRPr="00497F19" w:rsidRDefault="002406E3" w:rsidP="002406E3">
      <w:pPr>
        <w:rPr>
          <w:sz w:val="20"/>
          <w:lang w:val="es-ES_tradnl"/>
        </w:rPr>
      </w:pPr>
    </w:p>
    <w:p w:rsidR="002406E3" w:rsidRPr="00497F19" w:rsidRDefault="002406E3" w:rsidP="002406E3">
      <w:pPr>
        <w:rPr>
          <w:sz w:val="20"/>
          <w:lang w:val="es-ES_tradnl"/>
        </w:rPr>
      </w:pPr>
    </w:p>
    <w:p w:rsidR="002406E3" w:rsidRPr="00497F19" w:rsidRDefault="002406E3" w:rsidP="002406E3">
      <w:pPr>
        <w:rPr>
          <w:sz w:val="20"/>
          <w:lang w:val="es-ES_tradnl"/>
        </w:rPr>
      </w:pPr>
    </w:p>
    <w:p w:rsidR="002406E3" w:rsidRPr="00497F19" w:rsidRDefault="002406E3" w:rsidP="002406E3">
      <w:pPr>
        <w:rPr>
          <w:sz w:val="20"/>
          <w:lang w:val="es-ES_tradnl"/>
        </w:rPr>
      </w:pPr>
    </w:p>
    <w:p w:rsidR="002406E3" w:rsidRPr="00497F19" w:rsidRDefault="002406E3" w:rsidP="002406E3">
      <w:pPr>
        <w:rPr>
          <w:sz w:val="20"/>
          <w:lang w:val="es-ES_tradnl"/>
        </w:rPr>
      </w:pPr>
    </w:p>
    <w:p w:rsidR="002406E3" w:rsidRPr="00497F19" w:rsidRDefault="002406E3" w:rsidP="002406E3">
      <w:pPr>
        <w:rPr>
          <w:sz w:val="14"/>
          <w:szCs w:val="14"/>
          <w:lang w:val="es-ES_tradnl"/>
        </w:rPr>
      </w:pPr>
      <w:r w:rsidRPr="00497F19">
        <w:rPr>
          <w:sz w:val="14"/>
          <w:szCs w:val="14"/>
          <w:vertAlign w:val="superscript"/>
          <w:lang w:val="es-ES_tradnl"/>
        </w:rPr>
        <w:t xml:space="preserve">6  </w:t>
      </w:r>
      <w:r w:rsidRPr="00497F19">
        <w:rPr>
          <w:sz w:val="14"/>
          <w:szCs w:val="14"/>
          <w:lang w:val="es-ES_tradnl"/>
        </w:rPr>
        <w:t xml:space="preserve"> Desde el 17 de agosto de 2013.</w:t>
      </w:r>
    </w:p>
    <w:p w:rsidR="002406E3" w:rsidRPr="00497F19" w:rsidRDefault="002406E3" w:rsidP="002406E3">
      <w:pPr>
        <w:rPr>
          <w:rStyle w:val="NORMALTEXT"/>
        </w:rPr>
      </w:pPr>
      <w:r w:rsidRPr="00497F19">
        <w:rPr>
          <w:rStyle w:val="NORMALTEXT"/>
          <w:lang w:val="es-ES_tradnl"/>
        </w:rPr>
        <w:br w:type="page"/>
      </w:r>
    </w:p>
    <w:p w:rsidR="002406E3" w:rsidRPr="00497F19" w:rsidRDefault="001D0E35" w:rsidP="002406E3">
      <w:pPr>
        <w:jc w:val="both"/>
        <w:rPr>
          <w:rStyle w:val="NORMALTEXT"/>
          <w:lang w:val="es-ES_tradnl"/>
        </w:rPr>
      </w:pPr>
      <w:r w:rsidRPr="00497F19">
        <w:rPr>
          <w:noProof/>
          <w:lang w:val="en-US" w:eastAsia="en-US"/>
        </w:rPr>
        <w:lastRenderedPageBreak/>
        <w:drawing>
          <wp:inline distT="0" distB="0" distL="0" distR="0" wp14:anchorId="35A0AF33" wp14:editId="706DFD95">
            <wp:extent cx="5760085" cy="9292855"/>
            <wp:effectExtent l="0" t="0" r="0" b="3810"/>
            <wp:docPr id="4091" name="Picture 4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760085" cy="9292855"/>
                    </a:xfrm>
                    <a:prstGeom prst="rect">
                      <a:avLst/>
                    </a:prstGeom>
                    <a:noFill/>
                    <a:ln>
                      <a:noFill/>
                    </a:ln>
                  </pic:spPr>
                </pic:pic>
              </a:graphicData>
            </a:graphic>
          </wp:inline>
        </w:drawing>
      </w:r>
    </w:p>
    <w:p w:rsidR="002406E3" w:rsidRPr="00497F19" w:rsidRDefault="002406E3" w:rsidP="002406E3">
      <w:pPr>
        <w:rPr>
          <w:rFonts w:ascii="Arial Bold" w:hAnsi="Arial Bold"/>
          <w:b/>
          <w:bCs/>
          <w:szCs w:val="28"/>
          <w:lang w:eastAsia="da-DK"/>
        </w:rPr>
      </w:pPr>
      <w:r w:rsidRPr="00497F19">
        <w:rPr>
          <w:lang w:val="es-ES_tradnl"/>
        </w:rPr>
        <w:br w:type="page"/>
      </w:r>
    </w:p>
    <w:p w:rsidR="002406E3" w:rsidRPr="00497F19" w:rsidRDefault="002406E3" w:rsidP="002406E3">
      <w:pPr>
        <w:pStyle w:val="Heading2"/>
        <w:keepNext w:val="0"/>
        <w:widowControl w:val="0"/>
        <w:tabs>
          <w:tab w:val="left" w:pos="567"/>
        </w:tabs>
        <w:spacing w:before="0" w:after="0" w:line="300" w:lineRule="atLeast"/>
        <w:rPr>
          <w:rFonts w:ascii="Arial Bold" w:eastAsia="Times New Roman" w:hAnsi="Arial Bold"/>
          <w:b/>
          <w:caps w:val="0"/>
          <w:lang w:val="es-ES_tradnl" w:eastAsia="da-DK"/>
        </w:rPr>
      </w:pPr>
      <w:bookmarkStart w:id="52" w:name="_Toc395626704"/>
      <w:r w:rsidRPr="00497F19">
        <w:rPr>
          <w:rFonts w:ascii="Arial Bold" w:eastAsia="Times New Roman" w:hAnsi="Arial Bold"/>
          <w:b/>
          <w:caps w:val="0"/>
          <w:lang w:val="es-ES_tradnl" w:eastAsia="da-DK"/>
        </w:rPr>
        <w:lastRenderedPageBreak/>
        <w:t>Unión de Madrid – Complementos de tasa – 2013</w:t>
      </w:r>
      <w:bookmarkEnd w:id="52"/>
    </w:p>
    <w:p w:rsidR="002406E3" w:rsidRPr="00497F19" w:rsidRDefault="002406E3" w:rsidP="002406E3">
      <w:pPr>
        <w:rPr>
          <w:b/>
          <w:bCs/>
          <w:sz w:val="20"/>
          <w:lang w:val="es-ES_tradnl"/>
        </w:rPr>
      </w:pPr>
    </w:p>
    <w:p w:rsidR="002406E3" w:rsidRPr="00497F19" w:rsidRDefault="002406E3" w:rsidP="002406E3">
      <w:pPr>
        <w:rPr>
          <w:b/>
          <w:bCs/>
          <w:sz w:val="20"/>
          <w:lang w:val="es-ES_tradnl"/>
        </w:rPr>
      </w:pPr>
      <w:r w:rsidRPr="00497F19">
        <w:rPr>
          <w:b/>
          <w:bCs/>
          <w:sz w:val="20"/>
          <w:lang w:val="es-ES_tradnl"/>
        </w:rPr>
        <w:t>Tasas recaudadas</w:t>
      </w:r>
    </w:p>
    <w:p w:rsidR="002406E3" w:rsidRPr="00497F19" w:rsidRDefault="002406E3" w:rsidP="002406E3">
      <w:pPr>
        <w:rPr>
          <w:sz w:val="20"/>
          <w:lang w:val="es-ES_tradnl"/>
        </w:rPr>
      </w:pPr>
    </w:p>
    <w:p w:rsidR="002406E3" w:rsidRPr="00497F19" w:rsidRDefault="002406E3" w:rsidP="002406E3">
      <w:pPr>
        <w:rPr>
          <w:sz w:val="20"/>
          <w:lang w:val="es-ES_tradnl"/>
        </w:rPr>
      </w:pPr>
      <w:r w:rsidRPr="00497F19">
        <w:rPr>
          <w:sz w:val="20"/>
          <w:lang w:val="es-ES_tradnl"/>
        </w:rPr>
        <w:t>En 2013, la OMPI percibió 38.841.700 francos suizos en concepto de complementos de tasa, correspondientes a 388.417 designaciones (hechas en el momento del registro, con posterioridad al registro o en el momento de la renovación), según el baremo vigente a partir del 1 de septiembre de 2008 [Artículo 8.2)c) del Arreglo de Madrid y Artículo 8.2)iii) del Protocolo concerniente a ese Arreglo].</w:t>
      </w:r>
    </w:p>
    <w:p w:rsidR="002406E3" w:rsidRPr="00497F19" w:rsidRDefault="002406E3" w:rsidP="002406E3">
      <w:pPr>
        <w:rPr>
          <w:sz w:val="20"/>
          <w:lang w:val="es-ES_tradnl"/>
        </w:rPr>
      </w:pPr>
    </w:p>
    <w:p w:rsidR="002406E3" w:rsidRPr="00497F19" w:rsidRDefault="002406E3" w:rsidP="002406E3">
      <w:pPr>
        <w:rPr>
          <w:b/>
          <w:bCs/>
          <w:sz w:val="20"/>
          <w:lang w:val="es-ES_tradnl"/>
        </w:rPr>
      </w:pPr>
      <w:r w:rsidRPr="00497F19">
        <w:rPr>
          <w:b/>
          <w:bCs/>
          <w:sz w:val="20"/>
          <w:lang w:val="es-ES_tradnl"/>
        </w:rPr>
        <w:t>Distribución</w:t>
      </w:r>
    </w:p>
    <w:p w:rsidR="002406E3" w:rsidRPr="00497F19" w:rsidRDefault="002406E3" w:rsidP="002406E3">
      <w:pPr>
        <w:rPr>
          <w:sz w:val="20"/>
          <w:lang w:val="es-ES_tradnl"/>
        </w:rPr>
      </w:pPr>
    </w:p>
    <w:p w:rsidR="002406E3" w:rsidRPr="00497F19" w:rsidRDefault="002406E3" w:rsidP="002406E3">
      <w:pPr>
        <w:rPr>
          <w:sz w:val="20"/>
          <w:lang w:val="es-ES_tradnl"/>
        </w:rPr>
      </w:pPr>
      <w:r w:rsidRPr="00497F19">
        <w:rPr>
          <w:sz w:val="20"/>
          <w:lang w:val="es-ES_tradnl"/>
        </w:rPr>
        <w:t xml:space="preserve">Los importes se distribuyen proporcionalmente al número de designaciones [Artículo 8.6) del Arreglo de Madrid y del Protocolo concerniente a ese Arreglo] y según un coeficiente [Regla 37 del Reglamento Común del Arreglo de Madrid relativo al Registro Internacional de Marcas y del Protocolo concerniente a ese Arreglo]. </w:t>
      </w:r>
    </w:p>
    <w:p w:rsidR="002406E3" w:rsidRPr="00497F19" w:rsidRDefault="002406E3" w:rsidP="002406E3">
      <w:pPr>
        <w:rPr>
          <w:sz w:val="20"/>
          <w:lang w:val="es-ES_tradnl"/>
        </w:rPr>
      </w:pPr>
    </w:p>
    <w:p w:rsidR="002406E3" w:rsidRPr="00497F19" w:rsidRDefault="002406E3" w:rsidP="002406E3">
      <w:pPr>
        <w:rPr>
          <w:sz w:val="20"/>
          <w:lang w:val="es-ES_tradnl"/>
        </w:rPr>
      </w:pPr>
      <w:r w:rsidRPr="00497F19">
        <w:rPr>
          <w:sz w:val="20"/>
          <w:lang w:val="es-ES_tradnl"/>
        </w:rPr>
        <w:t>El número de designaciones respecto de las cuales la OMPI ha recaudado un complemento de tasa de 100 francos suizos es el siguiente, según el coeficiente que se indica a continuación:</w:t>
      </w:r>
    </w:p>
    <w:p w:rsidR="002406E3" w:rsidRPr="00497F19" w:rsidRDefault="002406E3" w:rsidP="002406E3">
      <w:pPr>
        <w:rPr>
          <w:sz w:val="20"/>
          <w:lang w:val="es-ES_trad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1124"/>
        <w:gridCol w:w="6814"/>
      </w:tblGrid>
      <w:tr w:rsidR="002406E3" w:rsidRPr="00497F19" w:rsidTr="002406E3">
        <w:tc>
          <w:tcPr>
            <w:tcW w:w="817" w:type="dxa"/>
            <w:hideMark/>
          </w:tcPr>
          <w:p w:rsidR="002406E3" w:rsidRPr="00497F19" w:rsidRDefault="002406E3">
            <w:pPr>
              <w:rPr>
                <w:lang w:val="es-ES_tradnl"/>
              </w:rPr>
            </w:pPr>
            <w:r w:rsidRPr="00497F19">
              <w:rPr>
                <w:sz w:val="20"/>
                <w:lang w:val="es-ES_tradnl"/>
              </w:rPr>
              <w:t>uno,</w:t>
            </w:r>
          </w:p>
        </w:tc>
        <w:tc>
          <w:tcPr>
            <w:tcW w:w="1124" w:type="dxa"/>
            <w:hideMark/>
          </w:tcPr>
          <w:p w:rsidR="002406E3" w:rsidRPr="00497F19" w:rsidRDefault="002406E3">
            <w:pPr>
              <w:jc w:val="right"/>
              <w:rPr>
                <w:sz w:val="20"/>
                <w:lang w:val="es-ES_tradnl"/>
              </w:rPr>
            </w:pPr>
            <w:r w:rsidRPr="00497F19">
              <w:rPr>
                <w:sz w:val="20"/>
                <w:lang w:val="es-ES_tradnl"/>
              </w:rPr>
              <w:t>1 140</w:t>
            </w:r>
          </w:p>
        </w:tc>
        <w:tc>
          <w:tcPr>
            <w:tcW w:w="6814" w:type="dxa"/>
          </w:tcPr>
          <w:p w:rsidR="002406E3" w:rsidRPr="00497F19" w:rsidRDefault="002406E3">
            <w:pPr>
              <w:rPr>
                <w:sz w:val="20"/>
                <w:lang w:val="es-ES_tradnl"/>
              </w:rPr>
            </w:pPr>
            <w:r w:rsidRPr="00497F19">
              <w:rPr>
                <w:sz w:val="20"/>
                <w:lang w:val="es-ES_tradnl"/>
              </w:rPr>
              <w:t>Antigua y Barbuda</w:t>
            </w:r>
          </w:p>
          <w:p w:rsidR="002406E3" w:rsidRPr="00497F19" w:rsidRDefault="002406E3">
            <w:pPr>
              <w:rPr>
                <w:lang w:val="es-ES_tradnl"/>
              </w:rPr>
            </w:pPr>
          </w:p>
        </w:tc>
      </w:tr>
      <w:tr w:rsidR="002406E3" w:rsidRPr="00497F19" w:rsidTr="002406E3">
        <w:tc>
          <w:tcPr>
            <w:tcW w:w="817" w:type="dxa"/>
            <w:hideMark/>
          </w:tcPr>
          <w:p w:rsidR="002406E3" w:rsidRPr="00497F19" w:rsidRDefault="002406E3">
            <w:pPr>
              <w:rPr>
                <w:sz w:val="20"/>
                <w:lang w:val="es-ES_tradnl"/>
              </w:rPr>
            </w:pPr>
            <w:r w:rsidRPr="00497F19">
              <w:rPr>
                <w:sz w:val="20"/>
                <w:lang w:val="es-ES_tradnl"/>
              </w:rPr>
              <w:t>dos,</w:t>
            </w:r>
          </w:p>
        </w:tc>
        <w:tc>
          <w:tcPr>
            <w:tcW w:w="1124" w:type="dxa"/>
            <w:hideMark/>
          </w:tcPr>
          <w:p w:rsidR="002406E3" w:rsidRPr="00497F19" w:rsidRDefault="002406E3">
            <w:pPr>
              <w:jc w:val="right"/>
              <w:rPr>
                <w:lang w:val="es-ES_tradnl"/>
              </w:rPr>
            </w:pPr>
            <w:r w:rsidRPr="00497F19">
              <w:rPr>
                <w:sz w:val="20"/>
                <w:lang w:val="es-ES_tradnl"/>
              </w:rPr>
              <w:t>28 727</w:t>
            </w:r>
          </w:p>
        </w:tc>
        <w:tc>
          <w:tcPr>
            <w:tcW w:w="6814" w:type="dxa"/>
          </w:tcPr>
          <w:p w:rsidR="002406E3" w:rsidRPr="00497F19" w:rsidRDefault="002406E3">
            <w:pPr>
              <w:rPr>
                <w:sz w:val="20"/>
                <w:lang w:val="es-ES_tradnl"/>
              </w:rPr>
            </w:pPr>
            <w:r w:rsidRPr="00497F19">
              <w:rPr>
                <w:sz w:val="20"/>
                <w:lang w:val="es-ES_tradnl"/>
              </w:rPr>
              <w:t>Italia, Liechtenstein, Mónaco, San Martín (Reino de los Países Bajos)</w:t>
            </w:r>
          </w:p>
          <w:p w:rsidR="002406E3" w:rsidRPr="00497F19" w:rsidRDefault="002406E3">
            <w:pPr>
              <w:rPr>
                <w:lang w:val="es-ES_tradnl"/>
              </w:rPr>
            </w:pPr>
          </w:p>
        </w:tc>
      </w:tr>
      <w:tr w:rsidR="002406E3" w:rsidRPr="00497F19" w:rsidTr="002406E3">
        <w:tc>
          <w:tcPr>
            <w:tcW w:w="817" w:type="dxa"/>
            <w:hideMark/>
          </w:tcPr>
          <w:p w:rsidR="002406E3" w:rsidRPr="00497F19" w:rsidRDefault="002406E3">
            <w:pPr>
              <w:rPr>
                <w:lang w:val="es-ES_tradnl"/>
              </w:rPr>
            </w:pPr>
            <w:r w:rsidRPr="00497F19">
              <w:rPr>
                <w:sz w:val="20"/>
                <w:lang w:val="es-ES_tradnl"/>
              </w:rPr>
              <w:t>tres,</w:t>
            </w:r>
          </w:p>
        </w:tc>
        <w:tc>
          <w:tcPr>
            <w:tcW w:w="1124" w:type="dxa"/>
            <w:hideMark/>
          </w:tcPr>
          <w:p w:rsidR="002406E3" w:rsidRPr="00497F19" w:rsidRDefault="002406E3">
            <w:pPr>
              <w:jc w:val="right"/>
              <w:rPr>
                <w:lang w:val="es-ES_tradnl"/>
              </w:rPr>
            </w:pPr>
            <w:r w:rsidRPr="00497F19">
              <w:rPr>
                <w:sz w:val="20"/>
                <w:lang w:val="es-ES_tradnl"/>
              </w:rPr>
              <w:t>108 708</w:t>
            </w:r>
          </w:p>
        </w:tc>
        <w:tc>
          <w:tcPr>
            <w:tcW w:w="6814" w:type="dxa"/>
          </w:tcPr>
          <w:p w:rsidR="002406E3" w:rsidRPr="00497F19" w:rsidRDefault="002406E3">
            <w:pPr>
              <w:rPr>
                <w:sz w:val="20"/>
                <w:lang w:val="es-ES_tradnl"/>
              </w:rPr>
            </w:pPr>
            <w:r w:rsidRPr="00497F19">
              <w:rPr>
                <w:sz w:val="20"/>
                <w:lang w:val="es-ES_tradnl"/>
              </w:rPr>
              <w:t>Alemania, Austria, Benelux, Croacia, Eslovenia, ex República Yugoslava de Macedonia, Francia, Lesotho, Letonia, Lituania, San Marino, Suiza</w:t>
            </w:r>
          </w:p>
          <w:p w:rsidR="002406E3" w:rsidRPr="00497F19" w:rsidRDefault="002406E3">
            <w:pPr>
              <w:rPr>
                <w:lang w:val="es-ES_tradnl"/>
              </w:rPr>
            </w:pPr>
          </w:p>
        </w:tc>
      </w:tr>
      <w:tr w:rsidR="002406E3" w:rsidRPr="00497F19" w:rsidTr="002406E3">
        <w:tc>
          <w:tcPr>
            <w:tcW w:w="817" w:type="dxa"/>
          </w:tcPr>
          <w:p w:rsidR="002406E3" w:rsidRPr="00497F19" w:rsidRDefault="002406E3">
            <w:pPr>
              <w:rPr>
                <w:sz w:val="20"/>
                <w:lang w:val="es-ES_tradnl"/>
              </w:rPr>
            </w:pPr>
            <w:r w:rsidRPr="00497F19">
              <w:rPr>
                <w:sz w:val="20"/>
                <w:lang w:val="es-ES_tradnl"/>
              </w:rPr>
              <w:t>cuatro,</w:t>
            </w:r>
          </w:p>
          <w:p w:rsidR="002406E3" w:rsidRPr="00497F19" w:rsidRDefault="002406E3">
            <w:pPr>
              <w:rPr>
                <w:sz w:val="20"/>
                <w:lang w:val="es-ES_tradnl"/>
              </w:rPr>
            </w:pPr>
          </w:p>
        </w:tc>
        <w:tc>
          <w:tcPr>
            <w:tcW w:w="1124" w:type="dxa"/>
            <w:hideMark/>
          </w:tcPr>
          <w:p w:rsidR="002406E3" w:rsidRPr="00497F19" w:rsidRDefault="002406E3">
            <w:pPr>
              <w:jc w:val="right"/>
              <w:rPr>
                <w:lang w:val="es-ES_tradnl"/>
              </w:rPr>
            </w:pPr>
            <w:r w:rsidRPr="00497F19">
              <w:rPr>
                <w:sz w:val="20"/>
                <w:lang w:val="es-ES_tradnl"/>
              </w:rPr>
              <w:t>249 842</w:t>
            </w:r>
          </w:p>
        </w:tc>
        <w:tc>
          <w:tcPr>
            <w:tcW w:w="6814" w:type="dxa"/>
            <w:hideMark/>
          </w:tcPr>
          <w:p w:rsidR="002406E3" w:rsidRPr="00497F19" w:rsidRDefault="002406E3">
            <w:pPr>
              <w:rPr>
                <w:sz w:val="20"/>
                <w:lang w:val="es-ES_tradnl"/>
              </w:rPr>
            </w:pPr>
            <w:r w:rsidRPr="00497F19">
              <w:rPr>
                <w:sz w:val="20"/>
                <w:lang w:val="es-ES_tradnl"/>
              </w:rPr>
              <w:t>Albania, Argelia, Armenia, Azerbaiyán, Belarús, Bhután, Bosnia y Herzegovina, Botswana, Bulgaria, China, Chipre, Cuba, República Popular Democrática de Corea, Egipto, Eslovaquia, España, Federación de Rusia, Hungría, Irán (República Islámica del), Kazajstán, Kenya, Kirguistán, Liberia, Madagascar, Marruecos, Mongolia, Montenegro, Mozambique, Namibia, Polonia, Portugal, República Árabe Siria, República Checa, República de Moldova, Rumania, Rwanda</w:t>
            </w:r>
            <w:r w:rsidRPr="00497F19">
              <w:rPr>
                <w:sz w:val="20"/>
                <w:vertAlign w:val="superscript"/>
                <w:lang w:val="es-ES_tradnl"/>
              </w:rPr>
              <w:t>6</w:t>
            </w:r>
            <w:r w:rsidRPr="00497F19">
              <w:rPr>
                <w:sz w:val="20"/>
                <w:lang w:val="es-ES_tradnl"/>
              </w:rPr>
              <w:t>, Santo Tomé y Príncipe, Serbia, Sierra Leona, Sudán, Swazilandia, Tayikistán, Ucrania, Viet Nam, Zambia</w:t>
            </w:r>
          </w:p>
        </w:tc>
      </w:tr>
    </w:tbl>
    <w:p w:rsidR="002406E3" w:rsidRPr="00497F19" w:rsidRDefault="002406E3" w:rsidP="002406E3">
      <w:pPr>
        <w:rPr>
          <w:lang w:val="es-ES_tradnl"/>
        </w:rPr>
      </w:pPr>
    </w:p>
    <w:p w:rsidR="002406E3" w:rsidRPr="00497F19" w:rsidRDefault="002406E3" w:rsidP="002406E3">
      <w:pPr>
        <w:rPr>
          <w:sz w:val="20"/>
          <w:lang w:val="es-ES_tradnl"/>
        </w:rPr>
      </w:pPr>
      <w:r w:rsidRPr="00497F19">
        <w:rPr>
          <w:sz w:val="20"/>
          <w:lang w:val="es-ES_tradnl"/>
        </w:rPr>
        <w:t>El importe recaudado, 38.841.700 francos suizos, debe dividirse por 1.384.086 [1.140 + (28.727 x 2) 57.454 + (108.708 x 3) 326.124 + (249.842 x 4) 999.368].  Por lo tanto, el importe adeudado por cada designación para la que se ha solicitado protección asciende a 28,06306834 francos suizos por unidad de coeficiente [38.841.700 : 1.384.086], es decir que a cada coeficiente le corresponden:</w:t>
      </w:r>
    </w:p>
    <w:p w:rsidR="002406E3" w:rsidRPr="00497F19" w:rsidRDefault="002406E3" w:rsidP="002406E3">
      <w:pPr>
        <w:rPr>
          <w:lang w:val="es-ES_trad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4644"/>
      </w:tblGrid>
      <w:tr w:rsidR="002406E3" w:rsidRPr="00497F19" w:rsidTr="002406E3">
        <w:tc>
          <w:tcPr>
            <w:tcW w:w="959" w:type="dxa"/>
            <w:hideMark/>
          </w:tcPr>
          <w:p w:rsidR="002406E3" w:rsidRPr="00497F19" w:rsidRDefault="002406E3">
            <w:pPr>
              <w:rPr>
                <w:sz w:val="20"/>
                <w:lang w:val="es-ES_tradnl"/>
              </w:rPr>
            </w:pPr>
            <w:r w:rsidRPr="00497F19">
              <w:rPr>
                <w:sz w:val="20"/>
                <w:lang w:val="es-ES_tradnl"/>
              </w:rPr>
              <w:t>uno,</w:t>
            </w:r>
          </w:p>
        </w:tc>
        <w:tc>
          <w:tcPr>
            <w:tcW w:w="4644" w:type="dxa"/>
            <w:hideMark/>
          </w:tcPr>
          <w:p w:rsidR="002406E3" w:rsidRPr="00497F19" w:rsidRDefault="002406E3">
            <w:pPr>
              <w:rPr>
                <w:sz w:val="20"/>
                <w:lang w:val="es-ES_tradnl"/>
              </w:rPr>
            </w:pPr>
            <w:r w:rsidRPr="00497F19">
              <w:rPr>
                <w:sz w:val="20"/>
                <w:lang w:val="es-ES_tradnl"/>
              </w:rPr>
              <w:t>28,06306834 francos suizos</w:t>
            </w:r>
          </w:p>
        </w:tc>
      </w:tr>
      <w:tr w:rsidR="002406E3" w:rsidRPr="00497F19" w:rsidTr="002406E3">
        <w:tc>
          <w:tcPr>
            <w:tcW w:w="959" w:type="dxa"/>
            <w:hideMark/>
          </w:tcPr>
          <w:p w:rsidR="002406E3" w:rsidRPr="00497F19" w:rsidRDefault="002406E3">
            <w:pPr>
              <w:rPr>
                <w:sz w:val="20"/>
                <w:lang w:val="es-ES_tradnl"/>
              </w:rPr>
            </w:pPr>
            <w:r w:rsidRPr="00497F19">
              <w:rPr>
                <w:sz w:val="20"/>
                <w:lang w:val="es-ES_tradnl"/>
              </w:rPr>
              <w:t>dos,</w:t>
            </w:r>
          </w:p>
        </w:tc>
        <w:tc>
          <w:tcPr>
            <w:tcW w:w="4644" w:type="dxa"/>
            <w:hideMark/>
          </w:tcPr>
          <w:p w:rsidR="002406E3" w:rsidRPr="00497F19" w:rsidRDefault="002406E3">
            <w:pPr>
              <w:rPr>
                <w:sz w:val="20"/>
                <w:lang w:val="es-ES_tradnl"/>
              </w:rPr>
            </w:pPr>
            <w:r w:rsidRPr="00497F19">
              <w:rPr>
                <w:sz w:val="20"/>
                <w:lang w:val="es-ES_tradnl"/>
              </w:rPr>
              <w:t>56,12613668 francos suizos</w:t>
            </w:r>
          </w:p>
        </w:tc>
      </w:tr>
      <w:tr w:rsidR="002406E3" w:rsidRPr="00497F19" w:rsidTr="002406E3">
        <w:tc>
          <w:tcPr>
            <w:tcW w:w="959" w:type="dxa"/>
            <w:hideMark/>
          </w:tcPr>
          <w:p w:rsidR="002406E3" w:rsidRPr="00497F19" w:rsidRDefault="002406E3">
            <w:pPr>
              <w:rPr>
                <w:sz w:val="20"/>
                <w:lang w:val="es-ES_tradnl"/>
              </w:rPr>
            </w:pPr>
            <w:r w:rsidRPr="00497F19">
              <w:rPr>
                <w:sz w:val="20"/>
                <w:lang w:val="es-ES_tradnl"/>
              </w:rPr>
              <w:t>tres,</w:t>
            </w:r>
          </w:p>
        </w:tc>
        <w:tc>
          <w:tcPr>
            <w:tcW w:w="4644" w:type="dxa"/>
            <w:hideMark/>
          </w:tcPr>
          <w:p w:rsidR="002406E3" w:rsidRPr="00497F19" w:rsidRDefault="002406E3">
            <w:pPr>
              <w:rPr>
                <w:sz w:val="20"/>
                <w:lang w:val="es-ES_tradnl"/>
              </w:rPr>
            </w:pPr>
            <w:r w:rsidRPr="00497F19">
              <w:rPr>
                <w:sz w:val="20"/>
                <w:lang w:val="es-ES_tradnl"/>
              </w:rPr>
              <w:t>84,18920502 francos suizos</w:t>
            </w:r>
          </w:p>
        </w:tc>
      </w:tr>
      <w:tr w:rsidR="002406E3" w:rsidRPr="00497F19" w:rsidTr="002406E3">
        <w:tc>
          <w:tcPr>
            <w:tcW w:w="959" w:type="dxa"/>
            <w:hideMark/>
          </w:tcPr>
          <w:p w:rsidR="002406E3" w:rsidRPr="00497F19" w:rsidRDefault="002406E3">
            <w:pPr>
              <w:rPr>
                <w:sz w:val="20"/>
                <w:lang w:val="es-ES_tradnl"/>
              </w:rPr>
            </w:pPr>
            <w:r w:rsidRPr="00497F19">
              <w:rPr>
                <w:sz w:val="20"/>
                <w:lang w:val="es-ES_tradnl"/>
              </w:rPr>
              <w:t>cuatro,</w:t>
            </w:r>
          </w:p>
        </w:tc>
        <w:tc>
          <w:tcPr>
            <w:tcW w:w="4644" w:type="dxa"/>
            <w:hideMark/>
          </w:tcPr>
          <w:p w:rsidR="002406E3" w:rsidRPr="00497F19" w:rsidRDefault="002406E3">
            <w:pPr>
              <w:rPr>
                <w:sz w:val="20"/>
                <w:lang w:val="es-ES_tradnl"/>
              </w:rPr>
            </w:pPr>
            <w:r w:rsidRPr="00497F19">
              <w:rPr>
                <w:sz w:val="20"/>
                <w:lang w:val="es-ES_tradnl"/>
              </w:rPr>
              <w:t>112,25227336 francos suizos</w:t>
            </w:r>
          </w:p>
        </w:tc>
      </w:tr>
    </w:tbl>
    <w:p w:rsidR="002406E3" w:rsidRPr="00497F19" w:rsidRDefault="002406E3" w:rsidP="002406E3">
      <w:pPr>
        <w:rPr>
          <w:sz w:val="20"/>
          <w:lang w:val="es-ES_tradnl"/>
        </w:rPr>
      </w:pPr>
    </w:p>
    <w:p w:rsidR="002406E3" w:rsidRPr="00497F19" w:rsidRDefault="002406E3" w:rsidP="002406E3">
      <w:pPr>
        <w:rPr>
          <w:sz w:val="20"/>
          <w:lang w:val="es-ES_tradnl"/>
        </w:rPr>
      </w:pPr>
    </w:p>
    <w:p w:rsidR="002406E3" w:rsidRPr="00497F19" w:rsidRDefault="002406E3" w:rsidP="002406E3">
      <w:pPr>
        <w:rPr>
          <w:sz w:val="20"/>
          <w:lang w:val="es-ES_tradnl"/>
        </w:rPr>
      </w:pPr>
    </w:p>
    <w:p w:rsidR="002406E3" w:rsidRPr="00497F19" w:rsidRDefault="002406E3" w:rsidP="002406E3">
      <w:pPr>
        <w:rPr>
          <w:sz w:val="20"/>
          <w:lang w:val="es-ES_tradnl"/>
        </w:rPr>
      </w:pPr>
    </w:p>
    <w:p w:rsidR="002406E3" w:rsidRPr="00497F19" w:rsidRDefault="002406E3" w:rsidP="002406E3">
      <w:pPr>
        <w:rPr>
          <w:sz w:val="20"/>
          <w:lang w:val="es-ES_tradnl"/>
        </w:rPr>
      </w:pPr>
    </w:p>
    <w:p w:rsidR="002406E3" w:rsidRPr="00497F19" w:rsidRDefault="002406E3" w:rsidP="002406E3">
      <w:pPr>
        <w:rPr>
          <w:sz w:val="20"/>
          <w:lang w:val="es-ES_tradnl"/>
        </w:rPr>
      </w:pPr>
    </w:p>
    <w:p w:rsidR="002406E3" w:rsidRPr="00497F19" w:rsidRDefault="002406E3" w:rsidP="002406E3">
      <w:pPr>
        <w:rPr>
          <w:sz w:val="20"/>
          <w:lang w:val="es-ES_tradnl"/>
        </w:rPr>
      </w:pPr>
    </w:p>
    <w:p w:rsidR="002406E3" w:rsidRPr="00497F19" w:rsidRDefault="002406E3" w:rsidP="002406E3">
      <w:pPr>
        <w:rPr>
          <w:sz w:val="20"/>
          <w:lang w:val="es-ES_tradnl"/>
        </w:rPr>
      </w:pPr>
    </w:p>
    <w:p w:rsidR="002406E3" w:rsidRPr="00497F19" w:rsidRDefault="002406E3" w:rsidP="002406E3">
      <w:pPr>
        <w:rPr>
          <w:sz w:val="20"/>
          <w:lang w:val="es-ES_tradnl"/>
        </w:rPr>
      </w:pPr>
    </w:p>
    <w:p w:rsidR="002406E3" w:rsidRPr="00497F19" w:rsidRDefault="002406E3" w:rsidP="002406E3">
      <w:pPr>
        <w:rPr>
          <w:sz w:val="20"/>
          <w:lang w:val="es-ES_tradnl"/>
        </w:rPr>
      </w:pPr>
    </w:p>
    <w:p w:rsidR="002406E3" w:rsidRPr="00497F19" w:rsidRDefault="002406E3" w:rsidP="002406E3">
      <w:pPr>
        <w:rPr>
          <w:sz w:val="20"/>
          <w:lang w:val="es-ES_tradnl"/>
        </w:rPr>
      </w:pPr>
    </w:p>
    <w:p w:rsidR="002406E3" w:rsidRPr="00497F19" w:rsidRDefault="002406E3" w:rsidP="002406E3">
      <w:pPr>
        <w:rPr>
          <w:sz w:val="20"/>
          <w:lang w:val="es-ES_tradnl"/>
        </w:rPr>
      </w:pPr>
    </w:p>
    <w:p w:rsidR="002406E3" w:rsidRPr="00497F19" w:rsidRDefault="002406E3" w:rsidP="002406E3">
      <w:pPr>
        <w:rPr>
          <w:sz w:val="20"/>
          <w:lang w:val="es-ES_tradnl"/>
        </w:rPr>
      </w:pPr>
    </w:p>
    <w:p w:rsidR="002406E3" w:rsidRPr="00497F19" w:rsidRDefault="002406E3" w:rsidP="002406E3">
      <w:pPr>
        <w:rPr>
          <w:sz w:val="14"/>
          <w:szCs w:val="14"/>
          <w:vertAlign w:val="superscript"/>
          <w:lang w:val="es-ES_tradnl"/>
        </w:rPr>
      </w:pPr>
    </w:p>
    <w:p w:rsidR="002406E3" w:rsidRPr="00497F19" w:rsidRDefault="002406E3" w:rsidP="002406E3">
      <w:pPr>
        <w:rPr>
          <w:sz w:val="14"/>
          <w:szCs w:val="14"/>
          <w:vertAlign w:val="superscript"/>
          <w:lang w:val="es-ES_tradnl"/>
        </w:rPr>
      </w:pPr>
    </w:p>
    <w:p w:rsidR="002406E3" w:rsidRPr="00497F19" w:rsidRDefault="002406E3" w:rsidP="002406E3">
      <w:pPr>
        <w:rPr>
          <w:sz w:val="14"/>
          <w:szCs w:val="14"/>
          <w:lang w:val="es-ES_tradnl"/>
        </w:rPr>
      </w:pPr>
      <w:r w:rsidRPr="00497F19">
        <w:rPr>
          <w:sz w:val="14"/>
          <w:szCs w:val="14"/>
          <w:vertAlign w:val="superscript"/>
          <w:lang w:val="es-ES_tradnl"/>
        </w:rPr>
        <w:t xml:space="preserve">6 </w:t>
      </w:r>
      <w:r w:rsidRPr="00497F19">
        <w:rPr>
          <w:sz w:val="14"/>
          <w:szCs w:val="14"/>
          <w:lang w:val="es-ES_tradnl"/>
        </w:rPr>
        <w:t xml:space="preserve">  Desde el 17 de agosto de 2013.</w:t>
      </w:r>
    </w:p>
    <w:p w:rsidR="002406E3" w:rsidRPr="00497F19" w:rsidRDefault="002406E3" w:rsidP="002406E3">
      <w:pPr>
        <w:jc w:val="both"/>
        <w:rPr>
          <w:rStyle w:val="NORMALTEXT"/>
        </w:rPr>
      </w:pPr>
    </w:p>
    <w:p w:rsidR="002406E3" w:rsidRPr="00497F19" w:rsidRDefault="002406E3" w:rsidP="002406E3">
      <w:pPr>
        <w:rPr>
          <w:rStyle w:val="NORMALTEXT"/>
          <w:lang w:val="es-ES_tradnl"/>
        </w:rPr>
      </w:pPr>
      <w:r w:rsidRPr="00497F19">
        <w:rPr>
          <w:rStyle w:val="NORMALTEXT"/>
          <w:lang w:val="es-ES_tradnl"/>
        </w:rPr>
        <w:br w:type="page"/>
      </w:r>
    </w:p>
    <w:p w:rsidR="00A503B6" w:rsidRDefault="001D0E35" w:rsidP="00C24CF9">
      <w:pPr>
        <w:jc w:val="both"/>
        <w:rPr>
          <w:rStyle w:val="NORMALTEXT"/>
          <w:lang w:val="es-ES_tradnl"/>
        </w:rPr>
      </w:pPr>
      <w:r w:rsidRPr="00497F19">
        <w:rPr>
          <w:noProof/>
          <w:lang w:val="en-US" w:eastAsia="en-US"/>
        </w:rPr>
        <w:lastRenderedPageBreak/>
        <w:drawing>
          <wp:inline distT="0" distB="0" distL="0" distR="0" wp14:anchorId="46A636F6" wp14:editId="7197628A">
            <wp:extent cx="5646686" cy="9462977"/>
            <wp:effectExtent l="0" t="0" r="0" b="5080"/>
            <wp:docPr id="4092" name="Picture 4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646773" cy="9463122"/>
                    </a:xfrm>
                    <a:prstGeom prst="rect">
                      <a:avLst/>
                    </a:prstGeom>
                    <a:noFill/>
                    <a:ln>
                      <a:noFill/>
                    </a:ln>
                  </pic:spPr>
                </pic:pic>
              </a:graphicData>
            </a:graphic>
          </wp:inline>
        </w:drawing>
      </w:r>
    </w:p>
    <w:p w:rsidR="00A503B6" w:rsidRDefault="00A503B6" w:rsidP="00AC5948">
      <w:pPr>
        <w:pStyle w:val="Heading2"/>
        <w:keepNext w:val="0"/>
        <w:widowControl w:val="0"/>
        <w:tabs>
          <w:tab w:val="left" w:pos="567"/>
        </w:tabs>
        <w:spacing w:before="0" w:after="0" w:line="300" w:lineRule="atLeast"/>
        <w:rPr>
          <w:rFonts w:ascii="Arial Bold" w:eastAsia="Times New Roman" w:hAnsi="Arial Bold"/>
          <w:b/>
          <w:iCs w:val="0"/>
          <w:caps w:val="0"/>
          <w:lang w:eastAsia="da-DK"/>
        </w:rPr>
      </w:pPr>
      <w:bookmarkStart w:id="53" w:name="_Toc395626705"/>
      <w:r w:rsidRPr="00AC5948">
        <w:rPr>
          <w:rFonts w:ascii="Arial Bold" w:eastAsia="Times New Roman" w:hAnsi="Arial Bold"/>
          <w:b/>
          <w:iCs w:val="0"/>
          <w:caps w:val="0"/>
          <w:lang w:eastAsia="da-DK"/>
        </w:rPr>
        <w:lastRenderedPageBreak/>
        <w:t>Unión de Madrid – Total de tasas en 2013</w:t>
      </w:r>
      <w:bookmarkEnd w:id="53"/>
    </w:p>
    <w:p w:rsidR="00AC5948" w:rsidRPr="00AC5948" w:rsidRDefault="00AC5948" w:rsidP="00AC5948">
      <w:pPr>
        <w:rPr>
          <w:lang w:eastAsia="da-DK"/>
        </w:rPr>
      </w:pPr>
    </w:p>
    <w:p w:rsidR="002406E3" w:rsidRPr="00497F19" w:rsidRDefault="00AC5948" w:rsidP="00C24CF9">
      <w:pPr>
        <w:jc w:val="both"/>
        <w:rPr>
          <w:rStyle w:val="NORMALTEXT"/>
          <w:b/>
          <w:bCs/>
          <w:iCs w:val="0"/>
          <w:szCs w:val="28"/>
          <w:lang w:val="es-ES_tradnl" w:eastAsia="da-DK"/>
        </w:rPr>
      </w:pPr>
      <w:r w:rsidRPr="00AC5948">
        <w:rPr>
          <w:noProof/>
          <w:lang w:val="en-US" w:eastAsia="en-US"/>
        </w:rPr>
        <w:drawing>
          <wp:inline distT="0" distB="0" distL="0" distR="0" wp14:anchorId="57AC4CE8" wp14:editId="080F3507">
            <wp:extent cx="5760085" cy="8739439"/>
            <wp:effectExtent l="0" t="0" r="0" b="5080"/>
            <wp:docPr id="4173" name="Picture 4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760085" cy="8739439"/>
                    </a:xfrm>
                    <a:prstGeom prst="rect">
                      <a:avLst/>
                    </a:prstGeom>
                    <a:noFill/>
                    <a:ln>
                      <a:noFill/>
                    </a:ln>
                  </pic:spPr>
                </pic:pic>
              </a:graphicData>
            </a:graphic>
          </wp:inline>
        </w:drawing>
      </w:r>
    </w:p>
    <w:p w:rsidR="002406E3" w:rsidRPr="00497F19" w:rsidRDefault="002406E3" w:rsidP="002406E3">
      <w:pPr>
        <w:jc w:val="both"/>
        <w:rPr>
          <w:rStyle w:val="NORMALTEXT"/>
          <w:lang w:val="es-ES_tradnl"/>
        </w:rPr>
      </w:pPr>
    </w:p>
    <w:p w:rsidR="002406E3" w:rsidRPr="00497F19" w:rsidRDefault="002406E3" w:rsidP="002406E3">
      <w:pPr>
        <w:rPr>
          <w:rStyle w:val="NORMALTEXT"/>
          <w:lang w:val="es-ES_tradnl"/>
        </w:rPr>
        <w:sectPr w:rsidR="002406E3" w:rsidRPr="00497F19">
          <w:pgSz w:w="11907" w:h="16840"/>
          <w:pgMar w:top="510" w:right="1418" w:bottom="454" w:left="1418" w:header="510" w:footer="510" w:gutter="0"/>
          <w:cols w:space="720"/>
        </w:sectPr>
      </w:pPr>
    </w:p>
    <w:p w:rsidR="002406E3" w:rsidRPr="00497F19" w:rsidRDefault="002406E3" w:rsidP="002406E3">
      <w:pPr>
        <w:pStyle w:val="Heading2"/>
        <w:keepNext w:val="0"/>
        <w:widowControl w:val="0"/>
        <w:tabs>
          <w:tab w:val="left" w:pos="567"/>
        </w:tabs>
        <w:spacing w:before="0" w:after="0" w:line="300" w:lineRule="atLeast"/>
        <w:rPr>
          <w:rStyle w:val="NORMALTEXT"/>
          <w:rFonts w:ascii="Arial Bold" w:eastAsia="Times New Roman" w:hAnsi="Arial Bold"/>
          <w:b/>
          <w:iCs/>
          <w:caps w:val="0"/>
          <w:sz w:val="18"/>
          <w:szCs w:val="18"/>
          <w:lang w:val="es-ES_tradnl" w:eastAsia="da-DK"/>
        </w:rPr>
      </w:pPr>
      <w:bookmarkStart w:id="54" w:name="_Toc395626706"/>
      <w:r w:rsidRPr="00497F19">
        <w:rPr>
          <w:rStyle w:val="NORMALTEXT"/>
          <w:rFonts w:ascii="Arial Bold" w:eastAsia="Times New Roman" w:hAnsi="Arial Bold"/>
          <w:b/>
          <w:caps w:val="0"/>
          <w:sz w:val="18"/>
          <w:szCs w:val="18"/>
          <w:lang w:val="es-ES_tradnl" w:eastAsia="da-DK"/>
        </w:rPr>
        <w:lastRenderedPageBreak/>
        <w:t>Protocolo concerniente al Arreglo de Madrid - Tasas individuales – 2012</w:t>
      </w:r>
      <w:bookmarkEnd w:id="54"/>
    </w:p>
    <w:p w:rsidR="002406E3" w:rsidRPr="00497F19" w:rsidRDefault="002406E3" w:rsidP="002406E3">
      <w:pPr>
        <w:jc w:val="both"/>
        <w:rPr>
          <w:rStyle w:val="NORMALTEXT"/>
          <w:b/>
          <w:sz w:val="16"/>
          <w:szCs w:val="16"/>
          <w:lang w:val="es-ES_tradnl"/>
        </w:rPr>
      </w:pPr>
    </w:p>
    <w:p w:rsidR="002406E3" w:rsidRPr="00497F19" w:rsidRDefault="002406E3" w:rsidP="002406E3">
      <w:pPr>
        <w:jc w:val="both"/>
      </w:pPr>
      <w:r w:rsidRPr="00497F19">
        <w:rPr>
          <w:b/>
          <w:sz w:val="16"/>
          <w:szCs w:val="16"/>
          <w:lang w:val="es-ES_tradnl"/>
        </w:rPr>
        <w:t>Tasas recaudadas</w:t>
      </w:r>
    </w:p>
    <w:p w:rsidR="002406E3" w:rsidRPr="00497F19" w:rsidRDefault="002406E3" w:rsidP="002406E3">
      <w:pPr>
        <w:jc w:val="both"/>
        <w:rPr>
          <w:sz w:val="16"/>
          <w:szCs w:val="16"/>
          <w:lang w:val="es-ES_tradnl"/>
        </w:rPr>
      </w:pPr>
    </w:p>
    <w:p w:rsidR="002406E3" w:rsidRPr="00497F19" w:rsidRDefault="002406E3" w:rsidP="002406E3">
      <w:pPr>
        <w:pStyle w:val="ListParagraph"/>
        <w:spacing w:after="0" w:line="240" w:lineRule="auto"/>
        <w:ind w:left="0"/>
        <w:jc w:val="both"/>
        <w:rPr>
          <w:rFonts w:ascii="Arial" w:hAnsi="Arial" w:cs="Arial"/>
          <w:sz w:val="16"/>
          <w:szCs w:val="16"/>
          <w:lang w:val="es-ES_tradnl"/>
        </w:rPr>
      </w:pPr>
      <w:r w:rsidRPr="00497F19">
        <w:rPr>
          <w:rFonts w:ascii="Arial" w:hAnsi="Arial" w:cs="Arial"/>
          <w:sz w:val="16"/>
          <w:szCs w:val="16"/>
          <w:lang w:val="es-ES_tradnl"/>
        </w:rPr>
        <w:t xml:space="preserve">En 2012, la OMPI recaudó 114.655.623 francos suizos en concepto de tasas individuales en virtud del Artículo 8.7) del Protocolo concerniente al Arreglo de Madrid, de los cuales 106.916.028 son pagos completos de la primera </w:t>
      </w:r>
      <w:r w:rsidR="00296CB6" w:rsidRPr="00497F19">
        <w:rPr>
          <w:rFonts w:ascii="Arial" w:hAnsi="Arial" w:cs="Arial"/>
          <w:sz w:val="16"/>
          <w:szCs w:val="16"/>
          <w:lang w:val="es-ES_tradnl"/>
        </w:rPr>
        <w:t>parte de la tasa individual, y </w:t>
      </w:r>
      <w:r w:rsidRPr="00497F19">
        <w:rPr>
          <w:rFonts w:ascii="Arial" w:hAnsi="Arial" w:cs="Arial"/>
          <w:sz w:val="16"/>
          <w:szCs w:val="16"/>
          <w:lang w:val="es-ES_tradnl"/>
        </w:rPr>
        <w:t xml:space="preserve">7.739.595 son segundos pagos en concepto de designaciones, según lo estipulado en la Regla 34.3)a). </w:t>
      </w:r>
    </w:p>
    <w:p w:rsidR="002406E3" w:rsidRPr="00497F19" w:rsidRDefault="002406E3" w:rsidP="002406E3">
      <w:pPr>
        <w:pStyle w:val="ListParagraph"/>
        <w:spacing w:after="0" w:line="240" w:lineRule="auto"/>
        <w:ind w:left="0"/>
        <w:jc w:val="both"/>
        <w:rPr>
          <w:rFonts w:ascii="Arial" w:hAnsi="Arial" w:cs="Arial"/>
          <w:sz w:val="16"/>
          <w:szCs w:val="16"/>
          <w:lang w:val="es-ES_tradnl"/>
        </w:rPr>
      </w:pPr>
    </w:p>
    <w:p w:rsidR="002406E3" w:rsidRPr="00497F19" w:rsidRDefault="00A17F15" w:rsidP="00A17F15">
      <w:pPr>
        <w:pStyle w:val="ListParagraph"/>
        <w:ind w:left="0"/>
        <w:jc w:val="both"/>
        <w:rPr>
          <w:sz w:val="16"/>
          <w:szCs w:val="16"/>
          <w:lang w:val="es-ES_tradnl"/>
        </w:rPr>
      </w:pPr>
      <w:r w:rsidRPr="00497F19">
        <w:rPr>
          <w:sz w:val="16"/>
          <w:szCs w:val="16"/>
          <w:lang w:val="es-ES_tradnl"/>
        </w:rPr>
        <w:t xml:space="preserve">A) </w:t>
      </w:r>
      <w:r w:rsidR="002406E3" w:rsidRPr="00497F19">
        <w:rPr>
          <w:sz w:val="16"/>
          <w:szCs w:val="16"/>
          <w:lang w:val="es-ES_tradnl"/>
        </w:rPr>
        <w:t>Número de designaciones por las que la OMPI percibió tasas individuales, sea como pagos completos o pagos de la 1ª parte:</w:t>
      </w:r>
    </w:p>
    <w:p w:rsidR="00A17F15" w:rsidRPr="00497F19" w:rsidRDefault="00A17F15" w:rsidP="00A17F15">
      <w:pPr>
        <w:pStyle w:val="ListParagraph"/>
        <w:spacing w:after="0" w:line="240" w:lineRule="auto"/>
        <w:jc w:val="both"/>
        <w:rPr>
          <w:sz w:val="16"/>
          <w:szCs w:val="16"/>
          <w:lang w:val="es-ES_tradnl"/>
        </w:rPr>
      </w:pPr>
    </w:p>
    <w:p w:rsidR="002406E3" w:rsidRPr="00497F19" w:rsidRDefault="00A17F15" w:rsidP="00A17F15">
      <w:pPr>
        <w:jc w:val="center"/>
        <w:rPr>
          <w:lang w:val="es-ES_tradnl"/>
        </w:rPr>
      </w:pPr>
      <w:r w:rsidRPr="00497F19">
        <w:rPr>
          <w:noProof/>
          <w:lang w:val="en-US" w:eastAsia="en-US"/>
        </w:rPr>
        <w:drawing>
          <wp:inline distT="0" distB="0" distL="0" distR="0" wp14:anchorId="4A7211BA" wp14:editId="151EF1A7">
            <wp:extent cx="4145319" cy="5741582"/>
            <wp:effectExtent l="0" t="0" r="7620" b="0"/>
            <wp:docPr id="4095" name="Picture 4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152907" cy="5752092"/>
                    </a:xfrm>
                    <a:prstGeom prst="rect">
                      <a:avLst/>
                    </a:prstGeom>
                    <a:noFill/>
                    <a:ln>
                      <a:noFill/>
                    </a:ln>
                  </pic:spPr>
                </pic:pic>
              </a:graphicData>
            </a:graphic>
          </wp:inline>
        </w:drawing>
      </w:r>
    </w:p>
    <w:p w:rsidR="002406E3" w:rsidRPr="00497F19" w:rsidRDefault="002406E3" w:rsidP="002406E3">
      <w:pPr>
        <w:jc w:val="both"/>
        <w:rPr>
          <w:rStyle w:val="NORMALTEXT"/>
          <w:lang w:val="es-ES_tradnl"/>
        </w:rPr>
      </w:pPr>
    </w:p>
    <w:p w:rsidR="002406E3" w:rsidRPr="00497F19" w:rsidRDefault="002406E3" w:rsidP="002406E3">
      <w:pPr>
        <w:jc w:val="both"/>
      </w:pPr>
      <w:r w:rsidRPr="00497F19">
        <w:rPr>
          <w:sz w:val="16"/>
          <w:szCs w:val="16"/>
          <w:lang w:val="es-ES_tradnl"/>
        </w:rPr>
        <w:t>B) Número de designaciones por las cuales la OMPI percibió segundos pagos:</w:t>
      </w:r>
    </w:p>
    <w:p w:rsidR="002406E3" w:rsidRPr="00497F19" w:rsidRDefault="002406E3" w:rsidP="002406E3">
      <w:pPr>
        <w:jc w:val="both"/>
        <w:rPr>
          <w:sz w:val="16"/>
          <w:szCs w:val="16"/>
          <w:lang w:val="es-ES_tradnl"/>
        </w:rPr>
      </w:pPr>
    </w:p>
    <w:p w:rsidR="002406E3" w:rsidRPr="00497F19" w:rsidRDefault="00A17F15" w:rsidP="00A17F15">
      <w:pPr>
        <w:jc w:val="center"/>
        <w:rPr>
          <w:rStyle w:val="NORMALTEXT"/>
        </w:rPr>
      </w:pPr>
      <w:r w:rsidRPr="00497F19">
        <w:rPr>
          <w:noProof/>
          <w:lang w:val="en-US" w:eastAsia="en-US"/>
        </w:rPr>
        <w:drawing>
          <wp:inline distT="0" distB="0" distL="0" distR="0" wp14:anchorId="5F29486A" wp14:editId="4DCC05EA">
            <wp:extent cx="4188996" cy="888620"/>
            <wp:effectExtent l="0" t="0" r="2540" b="6985"/>
            <wp:docPr id="4096" name="Picture 4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189312" cy="888687"/>
                    </a:xfrm>
                    <a:prstGeom prst="rect">
                      <a:avLst/>
                    </a:prstGeom>
                    <a:noFill/>
                    <a:ln>
                      <a:noFill/>
                    </a:ln>
                  </pic:spPr>
                </pic:pic>
              </a:graphicData>
            </a:graphic>
          </wp:inline>
        </w:drawing>
      </w:r>
    </w:p>
    <w:p w:rsidR="002406E3" w:rsidRPr="00497F19" w:rsidRDefault="002406E3" w:rsidP="002406E3">
      <w:pPr>
        <w:jc w:val="both"/>
        <w:rPr>
          <w:rStyle w:val="NORMALTEXT"/>
          <w:b/>
          <w:sz w:val="18"/>
          <w:szCs w:val="18"/>
          <w:lang w:val="es-ES_tradnl"/>
        </w:rPr>
      </w:pPr>
    </w:p>
    <w:p w:rsidR="002406E3" w:rsidRPr="00497F19" w:rsidRDefault="002406E3" w:rsidP="002406E3">
      <w:pPr>
        <w:jc w:val="both"/>
        <w:rPr>
          <w:rStyle w:val="NORMALTEXT"/>
          <w:b/>
          <w:sz w:val="16"/>
          <w:szCs w:val="16"/>
          <w:lang w:val="es-ES_tradnl"/>
        </w:rPr>
      </w:pPr>
      <w:r w:rsidRPr="00497F19">
        <w:rPr>
          <w:rStyle w:val="NORMALTEXT"/>
          <w:b/>
          <w:sz w:val="16"/>
          <w:szCs w:val="16"/>
          <w:lang w:val="es-ES_tradnl"/>
        </w:rPr>
        <w:t>Distribución</w:t>
      </w:r>
    </w:p>
    <w:p w:rsidR="002406E3" w:rsidRPr="00497F19" w:rsidRDefault="002406E3" w:rsidP="002406E3">
      <w:pPr>
        <w:jc w:val="both"/>
        <w:rPr>
          <w:rStyle w:val="NORMALTEXT"/>
          <w:sz w:val="16"/>
          <w:szCs w:val="16"/>
          <w:lang w:val="es-ES_tradnl"/>
        </w:rPr>
      </w:pPr>
    </w:p>
    <w:p w:rsidR="002406E3" w:rsidRPr="00497F19" w:rsidRDefault="002406E3" w:rsidP="002406E3">
      <w:pPr>
        <w:pStyle w:val="ListParagraph"/>
        <w:spacing w:after="0" w:line="240" w:lineRule="auto"/>
        <w:ind w:left="0"/>
        <w:jc w:val="both"/>
        <w:rPr>
          <w:rFonts w:eastAsia="SimSun"/>
          <w:lang w:val="es-ES_tradnl"/>
        </w:rPr>
      </w:pPr>
      <w:r w:rsidRPr="00497F19">
        <w:rPr>
          <w:rFonts w:ascii="Arial" w:hAnsi="Arial" w:cs="Arial"/>
          <w:sz w:val="16"/>
          <w:szCs w:val="16"/>
          <w:lang w:val="es-ES_tradnl"/>
        </w:rPr>
        <w:t>Las tasas individuales fueron ingresadas en las cuentas que las Partes Contratantes tienen en la Oficina Internacional durante el mes siguiente al de la inscripción del registro internacional, la designación posterior o la renovación, y respecto de las cuales se hubieran abonado las tasas correspondientes [Regla 38 del Reglamento Común].</w:t>
      </w:r>
    </w:p>
    <w:p w:rsidR="002406E3" w:rsidRPr="00497F19" w:rsidRDefault="002406E3" w:rsidP="002406E3">
      <w:pPr>
        <w:pStyle w:val="ListParagraph"/>
        <w:spacing w:after="120" w:line="240" w:lineRule="auto"/>
        <w:ind w:left="0"/>
        <w:jc w:val="both"/>
        <w:rPr>
          <w:rFonts w:ascii="Arial" w:hAnsi="Arial" w:cs="Arial"/>
          <w:sz w:val="16"/>
          <w:szCs w:val="16"/>
          <w:lang w:val="es-ES_tradnl"/>
        </w:rPr>
      </w:pPr>
    </w:p>
    <w:p w:rsidR="002406E3" w:rsidRPr="00497F19" w:rsidRDefault="002406E3" w:rsidP="002406E3">
      <w:pPr>
        <w:pStyle w:val="ListParagraph"/>
        <w:spacing w:before="120" w:after="0" w:line="240" w:lineRule="auto"/>
        <w:ind w:left="0"/>
        <w:jc w:val="both"/>
        <w:rPr>
          <w:rFonts w:ascii="Arial" w:hAnsi="Arial" w:cs="Arial"/>
          <w:sz w:val="14"/>
          <w:szCs w:val="14"/>
          <w:vertAlign w:val="superscript"/>
          <w:lang w:val="es-ES_tradnl"/>
        </w:rPr>
      </w:pPr>
      <w:r w:rsidRPr="00497F19">
        <w:rPr>
          <w:rFonts w:ascii="Arial" w:hAnsi="Arial" w:cs="Arial"/>
          <w:sz w:val="16"/>
          <w:szCs w:val="16"/>
          <w:vertAlign w:val="superscript"/>
          <w:lang w:val="es-ES_tradnl"/>
        </w:rPr>
        <w:t>7</w:t>
      </w:r>
      <w:r w:rsidRPr="00497F19">
        <w:rPr>
          <w:rFonts w:ascii="Arial" w:hAnsi="Arial" w:cs="Arial"/>
          <w:sz w:val="16"/>
          <w:szCs w:val="16"/>
          <w:lang w:val="es-ES_tradnl"/>
        </w:rPr>
        <w:t xml:space="preserve"> </w:t>
      </w:r>
      <w:r w:rsidRPr="00497F19">
        <w:rPr>
          <w:rFonts w:ascii="Arial" w:hAnsi="Arial" w:cs="Arial"/>
          <w:sz w:val="14"/>
          <w:szCs w:val="14"/>
          <w:lang w:val="es-ES_tradnl"/>
        </w:rPr>
        <w:t xml:space="preserve"> Desde el 29 de agosto de 2012.</w:t>
      </w:r>
    </w:p>
    <w:p w:rsidR="002406E3" w:rsidRPr="00497F19" w:rsidRDefault="002406E3" w:rsidP="002406E3">
      <w:pPr>
        <w:pStyle w:val="ListParagraph"/>
        <w:spacing w:before="120" w:after="0" w:line="240" w:lineRule="auto"/>
        <w:ind w:left="0"/>
        <w:jc w:val="both"/>
        <w:rPr>
          <w:rFonts w:ascii="Arial" w:hAnsi="Arial" w:cs="Arial"/>
          <w:sz w:val="14"/>
          <w:szCs w:val="14"/>
          <w:vertAlign w:val="superscript"/>
          <w:lang w:val="es-ES_tradnl"/>
        </w:rPr>
      </w:pPr>
      <w:r w:rsidRPr="00497F19">
        <w:rPr>
          <w:rFonts w:ascii="Arial" w:hAnsi="Arial" w:cs="Arial"/>
          <w:sz w:val="14"/>
          <w:szCs w:val="14"/>
          <w:vertAlign w:val="superscript"/>
          <w:lang w:val="es-ES_tradnl"/>
        </w:rPr>
        <w:t>8</w:t>
      </w:r>
      <w:r w:rsidRPr="00497F19">
        <w:rPr>
          <w:rFonts w:ascii="Arial" w:hAnsi="Arial" w:cs="Arial"/>
          <w:sz w:val="14"/>
          <w:szCs w:val="14"/>
          <w:lang w:val="es-ES_tradnl"/>
        </w:rPr>
        <w:t xml:space="preserve">  Desde el 10 de diciembre de 2012.</w:t>
      </w:r>
    </w:p>
    <w:p w:rsidR="002406E3" w:rsidRPr="00497F19" w:rsidRDefault="002406E3" w:rsidP="002406E3">
      <w:pPr>
        <w:pStyle w:val="ListParagraph"/>
        <w:spacing w:after="0" w:line="240" w:lineRule="auto"/>
        <w:ind w:left="0"/>
        <w:jc w:val="both"/>
        <w:rPr>
          <w:rStyle w:val="NORMALTEXT"/>
          <w:rFonts w:eastAsia="SimSun"/>
          <w:iCs w:val="0"/>
          <w:sz w:val="18"/>
          <w:szCs w:val="18"/>
          <w:lang w:val="es-ES_tradnl"/>
        </w:rPr>
      </w:pPr>
      <w:r w:rsidRPr="00497F19">
        <w:rPr>
          <w:rFonts w:ascii="Arial" w:hAnsi="Arial" w:cs="Arial"/>
          <w:sz w:val="14"/>
          <w:szCs w:val="14"/>
          <w:vertAlign w:val="superscript"/>
          <w:lang w:val="es-ES_tradnl"/>
        </w:rPr>
        <w:t xml:space="preserve">9 </w:t>
      </w:r>
      <w:r w:rsidRPr="00497F19">
        <w:rPr>
          <w:rFonts w:ascii="Arial" w:hAnsi="Arial" w:cs="Arial"/>
          <w:sz w:val="14"/>
          <w:szCs w:val="14"/>
          <w:lang w:val="es-ES_tradnl"/>
        </w:rPr>
        <w:t xml:space="preserve">  Desde el 25 de julio de 2012.</w:t>
      </w:r>
      <w:r w:rsidRPr="00497F19">
        <w:rPr>
          <w:rStyle w:val="NORMALTEXT"/>
          <w:rFonts w:eastAsia="SimSun"/>
          <w:lang w:val="es-ES_tradnl"/>
        </w:rPr>
        <w:br w:type="page"/>
      </w:r>
    </w:p>
    <w:p w:rsidR="002406E3" w:rsidRPr="00497F19" w:rsidRDefault="002406E3" w:rsidP="002406E3">
      <w:pPr>
        <w:pStyle w:val="Heading2"/>
        <w:keepNext w:val="0"/>
        <w:widowControl w:val="0"/>
        <w:tabs>
          <w:tab w:val="left" w:pos="567"/>
        </w:tabs>
        <w:spacing w:before="0" w:after="0" w:line="300" w:lineRule="atLeast"/>
        <w:rPr>
          <w:rStyle w:val="NORMALTEXT"/>
          <w:rFonts w:ascii="Arial Bold" w:eastAsia="Times New Roman" w:hAnsi="Arial Bold"/>
          <w:b/>
          <w:iCs/>
          <w:caps w:val="0"/>
          <w:sz w:val="18"/>
          <w:szCs w:val="18"/>
          <w:lang w:val="es-ES_tradnl" w:eastAsia="da-DK"/>
        </w:rPr>
      </w:pPr>
      <w:bookmarkStart w:id="55" w:name="_Toc395626707"/>
      <w:r w:rsidRPr="00497F19">
        <w:rPr>
          <w:rStyle w:val="NORMALTEXT"/>
          <w:rFonts w:ascii="Arial Bold" w:eastAsia="Times New Roman" w:hAnsi="Arial Bold"/>
          <w:b/>
          <w:caps w:val="0"/>
          <w:sz w:val="18"/>
          <w:szCs w:val="18"/>
          <w:lang w:val="es-ES_tradnl" w:eastAsia="da-DK"/>
        </w:rPr>
        <w:lastRenderedPageBreak/>
        <w:t>Protocolo concerniente al Arreglo de Madrid - Tasas individuales – 2013</w:t>
      </w:r>
      <w:bookmarkEnd w:id="55"/>
    </w:p>
    <w:p w:rsidR="002406E3" w:rsidRPr="00497F19" w:rsidRDefault="002406E3" w:rsidP="002406E3">
      <w:pPr>
        <w:jc w:val="both"/>
        <w:rPr>
          <w:rStyle w:val="NORMALTEXT"/>
          <w:sz w:val="14"/>
          <w:szCs w:val="14"/>
          <w:lang w:val="es-ES_tradnl"/>
        </w:rPr>
      </w:pPr>
    </w:p>
    <w:p w:rsidR="002406E3" w:rsidRPr="00497F19" w:rsidRDefault="002406E3" w:rsidP="002406E3">
      <w:pPr>
        <w:jc w:val="both"/>
        <w:rPr>
          <w:b/>
          <w:sz w:val="16"/>
          <w:szCs w:val="16"/>
        </w:rPr>
      </w:pPr>
      <w:r w:rsidRPr="00497F19">
        <w:rPr>
          <w:b/>
          <w:sz w:val="16"/>
          <w:szCs w:val="16"/>
          <w:lang w:val="es-ES_tradnl"/>
        </w:rPr>
        <w:t>Tasas recaudadas</w:t>
      </w:r>
    </w:p>
    <w:p w:rsidR="002406E3" w:rsidRPr="00497F19" w:rsidRDefault="002406E3" w:rsidP="002406E3">
      <w:pPr>
        <w:jc w:val="both"/>
        <w:rPr>
          <w:b/>
          <w:sz w:val="16"/>
          <w:szCs w:val="16"/>
          <w:lang w:val="es-ES_tradnl"/>
        </w:rPr>
      </w:pPr>
    </w:p>
    <w:p w:rsidR="002406E3" w:rsidRPr="00497F19" w:rsidRDefault="002406E3" w:rsidP="002406E3">
      <w:pPr>
        <w:pStyle w:val="ListParagraph"/>
        <w:spacing w:after="0" w:line="240" w:lineRule="auto"/>
        <w:ind w:left="0"/>
        <w:jc w:val="both"/>
        <w:rPr>
          <w:rFonts w:ascii="Arial" w:hAnsi="Arial" w:cs="Arial"/>
          <w:sz w:val="16"/>
          <w:szCs w:val="16"/>
          <w:lang w:val="es-ES_tradnl"/>
        </w:rPr>
      </w:pPr>
      <w:r w:rsidRPr="00497F19">
        <w:rPr>
          <w:rFonts w:ascii="Arial" w:hAnsi="Arial" w:cs="Arial"/>
          <w:sz w:val="16"/>
          <w:szCs w:val="16"/>
          <w:lang w:val="es-ES_tradnl"/>
        </w:rPr>
        <w:t xml:space="preserve">En 2013, la OMPI recaudó 130.543.348 francos suizos en concepto de tasas individuales en virtud del Artículo 8.7) del Protocolo concerniente al Arreglo de Madrid, de los cuales 122.012.496 son pagos completos de la primera </w:t>
      </w:r>
      <w:r w:rsidR="00D74697" w:rsidRPr="00497F19">
        <w:rPr>
          <w:rFonts w:ascii="Arial" w:hAnsi="Arial" w:cs="Arial"/>
          <w:sz w:val="16"/>
          <w:szCs w:val="16"/>
          <w:lang w:val="es-ES_tradnl"/>
        </w:rPr>
        <w:t>parte de la tasa individual, y </w:t>
      </w:r>
      <w:r w:rsidRPr="00497F19">
        <w:rPr>
          <w:rFonts w:ascii="Arial" w:hAnsi="Arial" w:cs="Arial"/>
          <w:sz w:val="16"/>
          <w:szCs w:val="16"/>
          <w:lang w:val="es-ES_tradnl"/>
        </w:rPr>
        <w:t xml:space="preserve">8.530.852 son segundos pagos en concepto de designaciones, según lo estipulado en la Regla 34.3)a). </w:t>
      </w:r>
    </w:p>
    <w:p w:rsidR="002406E3" w:rsidRPr="00497F19" w:rsidRDefault="002406E3" w:rsidP="002406E3">
      <w:pPr>
        <w:pStyle w:val="ListParagraph"/>
        <w:spacing w:after="0" w:line="240" w:lineRule="auto"/>
        <w:ind w:left="0"/>
        <w:jc w:val="both"/>
        <w:rPr>
          <w:rFonts w:ascii="Arial" w:hAnsi="Arial" w:cs="Arial"/>
          <w:sz w:val="16"/>
          <w:szCs w:val="16"/>
          <w:lang w:val="es-ES_tradnl"/>
        </w:rPr>
      </w:pPr>
    </w:p>
    <w:p w:rsidR="002406E3" w:rsidRPr="00497F19" w:rsidRDefault="002406E3" w:rsidP="002406E3">
      <w:pPr>
        <w:jc w:val="both"/>
        <w:rPr>
          <w:sz w:val="16"/>
          <w:szCs w:val="16"/>
          <w:lang w:val="es-ES_tradnl"/>
        </w:rPr>
      </w:pPr>
      <w:r w:rsidRPr="00497F19">
        <w:rPr>
          <w:sz w:val="16"/>
          <w:szCs w:val="16"/>
          <w:lang w:val="es-ES_tradnl"/>
        </w:rPr>
        <w:t>A) Número de designaciones por las que la OMPI percibió tasas individuales, sea como pagos completos o pagos de la 1ª parte:</w:t>
      </w:r>
    </w:p>
    <w:p w:rsidR="00D74697" w:rsidRPr="00497F19" w:rsidRDefault="00D74697" w:rsidP="002406E3">
      <w:pPr>
        <w:jc w:val="both"/>
        <w:rPr>
          <w:sz w:val="16"/>
          <w:szCs w:val="16"/>
          <w:lang w:val="es-ES_tradnl"/>
        </w:rPr>
      </w:pPr>
    </w:p>
    <w:p w:rsidR="002406E3" w:rsidRPr="00497F19" w:rsidRDefault="00D74697" w:rsidP="00D74697">
      <w:pPr>
        <w:jc w:val="center"/>
        <w:rPr>
          <w:sz w:val="14"/>
          <w:szCs w:val="14"/>
          <w:lang w:val="es-ES_tradnl"/>
        </w:rPr>
      </w:pPr>
      <w:r w:rsidRPr="00497F19">
        <w:rPr>
          <w:noProof/>
          <w:lang w:val="en-US" w:eastAsia="en-US"/>
        </w:rPr>
        <w:drawing>
          <wp:inline distT="0" distB="0" distL="0" distR="0" wp14:anchorId="270BC211" wp14:editId="0920DAC6">
            <wp:extent cx="4177160" cy="6016267"/>
            <wp:effectExtent l="0" t="0" r="0" b="3810"/>
            <wp:docPr id="4097" name="Picture 4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178377" cy="6018019"/>
                    </a:xfrm>
                    <a:prstGeom prst="rect">
                      <a:avLst/>
                    </a:prstGeom>
                    <a:noFill/>
                    <a:ln>
                      <a:noFill/>
                    </a:ln>
                  </pic:spPr>
                </pic:pic>
              </a:graphicData>
            </a:graphic>
          </wp:inline>
        </w:drawing>
      </w:r>
    </w:p>
    <w:p w:rsidR="002406E3" w:rsidRPr="00497F19" w:rsidRDefault="002406E3" w:rsidP="002406E3">
      <w:pPr>
        <w:jc w:val="both"/>
        <w:rPr>
          <w:sz w:val="14"/>
          <w:szCs w:val="14"/>
          <w:lang w:val="es-ES_tradnl"/>
        </w:rPr>
      </w:pPr>
    </w:p>
    <w:p w:rsidR="002406E3" w:rsidRPr="00497F19" w:rsidRDefault="002406E3" w:rsidP="002406E3">
      <w:pPr>
        <w:jc w:val="both"/>
        <w:rPr>
          <w:sz w:val="16"/>
          <w:szCs w:val="16"/>
          <w:lang w:val="es-ES_tradnl"/>
        </w:rPr>
      </w:pPr>
      <w:r w:rsidRPr="00497F19">
        <w:rPr>
          <w:sz w:val="16"/>
          <w:szCs w:val="16"/>
          <w:lang w:val="es-ES_tradnl"/>
        </w:rPr>
        <w:t>B) Número de designaciones por las cuales la OMPI percibió segundos pagos:</w:t>
      </w:r>
    </w:p>
    <w:p w:rsidR="002406E3" w:rsidRPr="00497F19" w:rsidRDefault="002406E3" w:rsidP="002406E3">
      <w:pPr>
        <w:jc w:val="both"/>
        <w:rPr>
          <w:sz w:val="14"/>
          <w:szCs w:val="14"/>
          <w:lang w:val="es-ES_tradnl"/>
        </w:rPr>
      </w:pPr>
    </w:p>
    <w:p w:rsidR="002406E3" w:rsidRPr="00497F19" w:rsidRDefault="00E2048D" w:rsidP="00E2048D">
      <w:pPr>
        <w:jc w:val="center"/>
        <w:rPr>
          <w:rStyle w:val="NORMALTEXT"/>
          <w:b/>
          <w:sz w:val="12"/>
          <w:szCs w:val="12"/>
        </w:rPr>
      </w:pPr>
      <w:r w:rsidRPr="00497F19">
        <w:rPr>
          <w:noProof/>
          <w:lang w:val="en-US" w:eastAsia="en-US"/>
        </w:rPr>
        <w:drawing>
          <wp:inline distT="0" distB="0" distL="0" distR="0" wp14:anchorId="4C75942D" wp14:editId="55C26FAB">
            <wp:extent cx="4267318" cy="834216"/>
            <wp:effectExtent l="0" t="0" r="0" b="4445"/>
            <wp:docPr id="4100" name="Picture 4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314994" cy="843536"/>
                    </a:xfrm>
                    <a:prstGeom prst="rect">
                      <a:avLst/>
                    </a:prstGeom>
                    <a:noFill/>
                    <a:ln>
                      <a:noFill/>
                    </a:ln>
                  </pic:spPr>
                </pic:pic>
              </a:graphicData>
            </a:graphic>
          </wp:inline>
        </w:drawing>
      </w:r>
    </w:p>
    <w:p w:rsidR="002406E3" w:rsidRPr="00497F19" w:rsidRDefault="002406E3" w:rsidP="002406E3">
      <w:pPr>
        <w:jc w:val="both"/>
        <w:rPr>
          <w:rStyle w:val="NORMALTEXT"/>
          <w:b/>
          <w:sz w:val="16"/>
          <w:szCs w:val="16"/>
          <w:lang w:val="es-ES_tradnl"/>
        </w:rPr>
      </w:pPr>
      <w:r w:rsidRPr="00497F19">
        <w:rPr>
          <w:rStyle w:val="NORMALTEXT"/>
          <w:b/>
          <w:sz w:val="16"/>
          <w:szCs w:val="16"/>
          <w:lang w:val="es-ES_tradnl"/>
        </w:rPr>
        <w:t>Distribución</w:t>
      </w:r>
    </w:p>
    <w:p w:rsidR="002406E3" w:rsidRPr="00497F19" w:rsidRDefault="002406E3" w:rsidP="002406E3">
      <w:pPr>
        <w:jc w:val="both"/>
        <w:rPr>
          <w:rStyle w:val="NORMALTEXT"/>
          <w:sz w:val="12"/>
          <w:szCs w:val="12"/>
          <w:lang w:val="es-ES_tradnl"/>
        </w:rPr>
      </w:pPr>
    </w:p>
    <w:p w:rsidR="002406E3" w:rsidRPr="00497F19" w:rsidRDefault="002406E3" w:rsidP="002406E3">
      <w:pPr>
        <w:pStyle w:val="ListParagraph"/>
        <w:spacing w:after="0" w:line="240" w:lineRule="auto"/>
        <w:ind w:left="0"/>
        <w:jc w:val="both"/>
        <w:rPr>
          <w:rFonts w:eastAsia="SimSun"/>
          <w:sz w:val="16"/>
          <w:szCs w:val="16"/>
          <w:lang w:val="es-ES_tradnl"/>
        </w:rPr>
      </w:pPr>
      <w:r w:rsidRPr="00497F19">
        <w:rPr>
          <w:rFonts w:ascii="Arial" w:hAnsi="Arial" w:cs="Arial"/>
          <w:sz w:val="16"/>
          <w:szCs w:val="16"/>
          <w:lang w:val="es-ES_tradnl"/>
        </w:rPr>
        <w:t>Las tasas individuales fueron ingresadas en las cuentas que las Partes Contratantes tienen en la Oficina Internacional durante el mes siguiente al de la inscripción del registro internacional, la designación posterior o la renovación, y respecto de las cuales se hubieran abonado las tasas correspondientes [Regla 38 del Reglamento Común].</w:t>
      </w:r>
    </w:p>
    <w:p w:rsidR="002406E3" w:rsidRPr="00497F19" w:rsidRDefault="002406E3" w:rsidP="002406E3">
      <w:pPr>
        <w:pStyle w:val="ListParagraph"/>
        <w:spacing w:after="120" w:line="240" w:lineRule="auto"/>
        <w:ind w:left="0"/>
        <w:jc w:val="both"/>
        <w:rPr>
          <w:rFonts w:ascii="Arial" w:hAnsi="Arial" w:cs="Arial"/>
          <w:sz w:val="14"/>
          <w:szCs w:val="14"/>
          <w:lang w:val="es-ES_tradnl"/>
        </w:rPr>
      </w:pPr>
    </w:p>
    <w:p w:rsidR="002406E3" w:rsidRPr="00497F19" w:rsidRDefault="002406E3" w:rsidP="002406E3">
      <w:pPr>
        <w:pStyle w:val="ListParagraph"/>
        <w:spacing w:before="120" w:after="0" w:line="240" w:lineRule="auto"/>
        <w:ind w:left="0"/>
        <w:jc w:val="both"/>
        <w:rPr>
          <w:rFonts w:ascii="Arial" w:hAnsi="Arial" w:cs="Arial"/>
          <w:sz w:val="14"/>
          <w:szCs w:val="14"/>
          <w:vertAlign w:val="superscript"/>
          <w:lang w:val="es-ES_tradnl"/>
        </w:rPr>
      </w:pPr>
      <w:r w:rsidRPr="00497F19">
        <w:rPr>
          <w:rFonts w:ascii="Arial" w:hAnsi="Arial" w:cs="Arial"/>
          <w:sz w:val="14"/>
          <w:szCs w:val="14"/>
          <w:vertAlign w:val="superscript"/>
          <w:lang w:val="es-ES_tradnl"/>
        </w:rPr>
        <w:t>10</w:t>
      </w:r>
      <w:r w:rsidRPr="00497F19">
        <w:rPr>
          <w:rFonts w:ascii="Arial" w:hAnsi="Arial" w:cs="Arial"/>
          <w:sz w:val="14"/>
          <w:szCs w:val="14"/>
          <w:lang w:val="es-ES_tradnl"/>
        </w:rPr>
        <w:t xml:space="preserve">  Desde el 8 de julio de 2013.</w:t>
      </w:r>
    </w:p>
    <w:p w:rsidR="002406E3" w:rsidRPr="00497F19" w:rsidRDefault="002406E3" w:rsidP="002406E3">
      <w:pPr>
        <w:pStyle w:val="ListParagraph"/>
        <w:spacing w:before="120" w:after="0" w:line="240" w:lineRule="auto"/>
        <w:ind w:left="0"/>
        <w:rPr>
          <w:rFonts w:ascii="Arial" w:hAnsi="Arial" w:cs="Arial"/>
          <w:sz w:val="14"/>
          <w:szCs w:val="14"/>
          <w:vertAlign w:val="superscript"/>
          <w:lang w:val="es-ES_tradnl"/>
        </w:rPr>
      </w:pPr>
      <w:r w:rsidRPr="00497F19">
        <w:rPr>
          <w:rFonts w:ascii="Arial" w:hAnsi="Arial" w:cs="Arial"/>
          <w:sz w:val="14"/>
          <w:szCs w:val="14"/>
          <w:vertAlign w:val="superscript"/>
          <w:lang w:val="es-ES_tradnl"/>
        </w:rPr>
        <w:t>11</w:t>
      </w:r>
      <w:r w:rsidRPr="00497F19">
        <w:rPr>
          <w:rFonts w:ascii="Arial" w:hAnsi="Arial" w:cs="Arial"/>
          <w:sz w:val="14"/>
          <w:szCs w:val="14"/>
          <w:lang w:val="es-ES_tradnl"/>
        </w:rPr>
        <w:t xml:space="preserve">  Desde el 19 de febrero de 2013.</w:t>
      </w:r>
    </w:p>
    <w:p w:rsidR="002406E3" w:rsidRPr="00497F19" w:rsidRDefault="002406E3" w:rsidP="002406E3">
      <w:pPr>
        <w:pStyle w:val="ListParagraph"/>
        <w:spacing w:before="120" w:after="0" w:line="240" w:lineRule="auto"/>
        <w:ind w:left="0"/>
        <w:rPr>
          <w:rFonts w:ascii="Arial" w:hAnsi="Arial" w:cs="Arial"/>
          <w:sz w:val="14"/>
          <w:szCs w:val="14"/>
          <w:lang w:val="es-ES_tradnl"/>
        </w:rPr>
      </w:pPr>
      <w:r w:rsidRPr="00497F19">
        <w:rPr>
          <w:rFonts w:ascii="Arial" w:hAnsi="Arial" w:cs="Arial"/>
          <w:sz w:val="14"/>
          <w:szCs w:val="14"/>
          <w:vertAlign w:val="superscript"/>
          <w:lang w:val="es-ES_tradnl"/>
        </w:rPr>
        <w:t xml:space="preserve">12 </w:t>
      </w:r>
      <w:r w:rsidRPr="00497F19">
        <w:rPr>
          <w:rFonts w:ascii="Arial" w:hAnsi="Arial" w:cs="Arial"/>
          <w:sz w:val="14"/>
          <w:szCs w:val="14"/>
          <w:lang w:val="es-ES_tradnl"/>
        </w:rPr>
        <w:t xml:space="preserve"> Desde el 16 de octubre de 2013.</w:t>
      </w:r>
    </w:p>
    <w:p w:rsidR="002406E3" w:rsidRPr="00497F19" w:rsidRDefault="002406E3" w:rsidP="002406E3">
      <w:pPr>
        <w:rPr>
          <w:rFonts w:eastAsia="Times New Roman"/>
          <w:sz w:val="14"/>
          <w:szCs w:val="14"/>
          <w:lang w:val="es-ES_tradnl" w:eastAsia="en-US"/>
        </w:rPr>
        <w:sectPr w:rsidR="002406E3" w:rsidRPr="00497F19">
          <w:pgSz w:w="11907" w:h="16840"/>
          <w:pgMar w:top="454" w:right="1276" w:bottom="454" w:left="1418" w:header="510" w:footer="510" w:gutter="0"/>
          <w:cols w:space="720"/>
        </w:sectPr>
      </w:pPr>
    </w:p>
    <w:p w:rsidR="002406E3" w:rsidRPr="00497F19" w:rsidRDefault="002406E3" w:rsidP="002406E3">
      <w:pPr>
        <w:pStyle w:val="Heading2"/>
        <w:keepNext w:val="0"/>
        <w:widowControl w:val="0"/>
        <w:tabs>
          <w:tab w:val="left" w:pos="567"/>
        </w:tabs>
        <w:spacing w:before="0" w:after="0" w:line="300" w:lineRule="atLeast"/>
        <w:rPr>
          <w:rFonts w:ascii="Arial Bold" w:eastAsia="Times New Roman" w:hAnsi="Arial Bold"/>
          <w:b/>
          <w:iCs w:val="0"/>
          <w:caps w:val="0"/>
          <w:lang w:val="es-ES_tradnl" w:eastAsia="da-DK"/>
        </w:rPr>
      </w:pPr>
      <w:bookmarkStart w:id="56" w:name="_Toc395626708"/>
      <w:bookmarkStart w:id="57" w:name="OLE_LINK1"/>
      <w:r w:rsidRPr="00497F19">
        <w:rPr>
          <w:rFonts w:ascii="Arial Bold" w:eastAsia="Times New Roman" w:hAnsi="Arial Bold"/>
          <w:b/>
          <w:caps w:val="0"/>
          <w:sz w:val="20"/>
          <w:szCs w:val="20"/>
          <w:lang w:val="es-ES_tradnl" w:eastAsia="da-DK"/>
        </w:rPr>
        <w:lastRenderedPageBreak/>
        <w:t>Unión de Madrid – Tasas de tramitación- 2013</w:t>
      </w:r>
      <w:bookmarkEnd w:id="56"/>
    </w:p>
    <w:p w:rsidR="002406E3" w:rsidRPr="00497F19" w:rsidRDefault="002406E3" w:rsidP="002406E3">
      <w:pPr>
        <w:jc w:val="both"/>
        <w:rPr>
          <w:rFonts w:eastAsia="Times New Roman"/>
          <w:b/>
          <w:iCs/>
          <w:sz w:val="18"/>
          <w:szCs w:val="18"/>
          <w:lang w:val="es-ES_tradnl" w:eastAsia="en-US"/>
        </w:rPr>
      </w:pPr>
    </w:p>
    <w:p w:rsidR="002406E3" w:rsidRPr="00497F19" w:rsidRDefault="002406E3" w:rsidP="002406E3">
      <w:pPr>
        <w:jc w:val="both"/>
        <w:rPr>
          <w:rFonts w:eastAsia="Times New Roman"/>
          <w:b/>
          <w:sz w:val="18"/>
          <w:szCs w:val="18"/>
          <w:lang w:val="es-ES_tradnl" w:eastAsia="en-US"/>
        </w:rPr>
      </w:pPr>
      <w:r w:rsidRPr="00497F19">
        <w:rPr>
          <w:rFonts w:eastAsia="Times New Roman"/>
          <w:b/>
          <w:sz w:val="18"/>
          <w:szCs w:val="18"/>
          <w:lang w:val="es-ES_tradnl" w:eastAsia="en-US"/>
        </w:rPr>
        <w:t>Tasas recaudadas</w:t>
      </w:r>
    </w:p>
    <w:p w:rsidR="002406E3" w:rsidRPr="00497F19" w:rsidRDefault="002406E3" w:rsidP="002406E3">
      <w:pPr>
        <w:jc w:val="both"/>
        <w:rPr>
          <w:rFonts w:eastAsia="Times New Roman"/>
          <w:b/>
          <w:sz w:val="18"/>
          <w:szCs w:val="18"/>
          <w:lang w:val="es-ES_tradnl" w:eastAsia="en-US"/>
        </w:rPr>
      </w:pPr>
    </w:p>
    <w:p w:rsidR="002406E3" w:rsidRPr="00497F19" w:rsidRDefault="002406E3" w:rsidP="002406E3">
      <w:pPr>
        <w:rPr>
          <w:rStyle w:val="NORMALTEXT"/>
        </w:rPr>
      </w:pPr>
      <w:r w:rsidRPr="00497F19">
        <w:rPr>
          <w:rStyle w:val="NORMALTEXT"/>
          <w:lang w:val="es-ES_tradnl"/>
        </w:rPr>
        <w:t>En 2013, la OMPI recaudó 4.700 francos suizos en concepto de tasas de tramitación fijadas por las oficinas nacionales interesadas en relación con solicitudes de registro internacional presentadas por conducto del proyecto de integración del proceso de registro internacional (por sus siglas en inglés “IRPI”), nuevo medio de comunicación electrónica entre las Partes Contratantes del Arreglo de Madrid y/o del Protocolo concerniente a dicho Arreglo y la Oficina Internacional, que empezó a funcionar en diciembre de 2013.</w:t>
      </w:r>
    </w:p>
    <w:p w:rsidR="002406E3" w:rsidRPr="00497F19" w:rsidRDefault="002406E3" w:rsidP="002406E3">
      <w:pPr>
        <w:rPr>
          <w:rStyle w:val="NORMALTEXT"/>
          <w:lang w:val="es-ES_tradnl"/>
        </w:rPr>
      </w:pPr>
    </w:p>
    <w:p w:rsidR="002406E3" w:rsidRPr="00497F19" w:rsidRDefault="002406E3" w:rsidP="002406E3">
      <w:pPr>
        <w:rPr>
          <w:rStyle w:val="NORMALTEXT"/>
          <w:lang w:val="es-ES_tradnl"/>
        </w:rPr>
      </w:pPr>
      <w:r w:rsidRPr="00497F19">
        <w:rPr>
          <w:rStyle w:val="NORMALTEXT"/>
          <w:lang w:val="es-ES_tradnl"/>
        </w:rPr>
        <w:t>A continuación figura el número de solicitudes de registro internacional acerca de las cuales la OMPI recaudó tasas de tramitación:</w:t>
      </w:r>
    </w:p>
    <w:p w:rsidR="002406E3" w:rsidRPr="00497F19" w:rsidRDefault="002406E3" w:rsidP="002406E3">
      <w:pPr>
        <w:rPr>
          <w:rStyle w:val="NORMALTEXT"/>
          <w:lang w:val="es-ES_tradnl"/>
        </w:rPr>
      </w:pPr>
    </w:p>
    <w:tbl>
      <w:tblPr>
        <w:tblW w:w="8520" w:type="dxa"/>
        <w:tblInd w:w="93" w:type="dxa"/>
        <w:tblLook w:val="04A0" w:firstRow="1" w:lastRow="0" w:firstColumn="1" w:lastColumn="0" w:noHBand="0" w:noVBand="1"/>
      </w:tblPr>
      <w:tblGrid>
        <w:gridCol w:w="2840"/>
        <w:gridCol w:w="2940"/>
        <w:gridCol w:w="2740"/>
      </w:tblGrid>
      <w:tr w:rsidR="002406E3" w:rsidRPr="00497F19" w:rsidTr="002406E3">
        <w:trPr>
          <w:trHeight w:val="450"/>
        </w:trPr>
        <w:tc>
          <w:tcPr>
            <w:tcW w:w="2840" w:type="dxa"/>
            <w:tcBorders>
              <w:top w:val="single" w:sz="4" w:space="0" w:color="595959"/>
              <w:left w:val="single" w:sz="4" w:space="0" w:color="595959"/>
              <w:bottom w:val="single" w:sz="4" w:space="0" w:color="595959"/>
              <w:right w:val="single" w:sz="4" w:space="0" w:color="595959"/>
            </w:tcBorders>
            <w:shd w:val="clear" w:color="auto" w:fill="CCFFFF"/>
            <w:noWrap/>
            <w:vAlign w:val="center"/>
            <w:hideMark/>
          </w:tcPr>
          <w:p w:rsidR="002406E3" w:rsidRPr="00497F19" w:rsidRDefault="002406E3">
            <w:pPr>
              <w:rPr>
                <w:sz w:val="17"/>
                <w:szCs w:val="17"/>
                <w:lang w:val="es-ES_tradnl"/>
              </w:rPr>
            </w:pPr>
            <w:r w:rsidRPr="00497F19">
              <w:rPr>
                <w:sz w:val="17"/>
                <w:szCs w:val="17"/>
                <w:lang w:val="es-ES_tradnl"/>
              </w:rPr>
              <w:t> </w:t>
            </w:r>
          </w:p>
        </w:tc>
        <w:tc>
          <w:tcPr>
            <w:tcW w:w="2940" w:type="dxa"/>
            <w:tcBorders>
              <w:top w:val="single" w:sz="4" w:space="0" w:color="595959"/>
              <w:left w:val="nil"/>
              <w:bottom w:val="single" w:sz="4" w:space="0" w:color="595959"/>
              <w:right w:val="single" w:sz="4" w:space="0" w:color="595959"/>
            </w:tcBorders>
            <w:shd w:val="clear" w:color="auto" w:fill="CCFFFF"/>
            <w:vAlign w:val="center"/>
            <w:hideMark/>
          </w:tcPr>
          <w:p w:rsidR="002406E3" w:rsidRPr="00497F19" w:rsidRDefault="002406E3">
            <w:pPr>
              <w:jc w:val="center"/>
              <w:rPr>
                <w:sz w:val="17"/>
                <w:szCs w:val="17"/>
                <w:lang w:val="es-ES_tradnl"/>
              </w:rPr>
            </w:pPr>
            <w:r w:rsidRPr="00497F19">
              <w:rPr>
                <w:sz w:val="17"/>
                <w:szCs w:val="17"/>
                <w:lang w:val="es-ES_tradnl"/>
              </w:rPr>
              <w:t>Número de peticiones de registro internacional</w:t>
            </w:r>
          </w:p>
        </w:tc>
        <w:tc>
          <w:tcPr>
            <w:tcW w:w="2740" w:type="dxa"/>
            <w:tcBorders>
              <w:top w:val="single" w:sz="4" w:space="0" w:color="595959"/>
              <w:left w:val="nil"/>
              <w:bottom w:val="single" w:sz="4" w:space="0" w:color="595959"/>
              <w:right w:val="single" w:sz="4" w:space="0" w:color="595959"/>
            </w:tcBorders>
            <w:shd w:val="clear" w:color="auto" w:fill="CCFFFF"/>
            <w:vAlign w:val="center"/>
            <w:hideMark/>
          </w:tcPr>
          <w:p w:rsidR="002406E3" w:rsidRPr="00497F19" w:rsidRDefault="002406E3">
            <w:pPr>
              <w:jc w:val="center"/>
              <w:rPr>
                <w:sz w:val="17"/>
                <w:szCs w:val="17"/>
                <w:lang w:val="es-ES_tradnl"/>
              </w:rPr>
            </w:pPr>
            <w:r w:rsidRPr="00497F19">
              <w:rPr>
                <w:sz w:val="17"/>
                <w:szCs w:val="17"/>
                <w:lang w:val="es-ES_tradnl"/>
              </w:rPr>
              <w:t>Tasas nacionales recaudadas; en francos suizos</w:t>
            </w:r>
          </w:p>
        </w:tc>
      </w:tr>
      <w:tr w:rsidR="002406E3" w:rsidRPr="00497F19" w:rsidTr="002406E3">
        <w:trPr>
          <w:trHeight w:val="525"/>
        </w:trPr>
        <w:tc>
          <w:tcPr>
            <w:tcW w:w="2840" w:type="dxa"/>
            <w:tcBorders>
              <w:top w:val="nil"/>
              <w:left w:val="single" w:sz="4" w:space="0" w:color="595959"/>
              <w:bottom w:val="single" w:sz="4" w:space="0" w:color="595959"/>
              <w:right w:val="single" w:sz="4" w:space="0" w:color="595959"/>
            </w:tcBorders>
            <w:noWrap/>
            <w:vAlign w:val="center"/>
            <w:hideMark/>
          </w:tcPr>
          <w:p w:rsidR="002406E3" w:rsidRPr="00497F19" w:rsidRDefault="002406E3">
            <w:pPr>
              <w:rPr>
                <w:sz w:val="17"/>
                <w:szCs w:val="17"/>
                <w:lang w:val="es-ES_tradnl"/>
              </w:rPr>
            </w:pPr>
            <w:r w:rsidRPr="00497F19">
              <w:rPr>
                <w:sz w:val="17"/>
                <w:szCs w:val="17"/>
                <w:lang w:val="es-ES_tradnl"/>
              </w:rPr>
              <w:t>Benelux *</w:t>
            </w:r>
          </w:p>
        </w:tc>
        <w:tc>
          <w:tcPr>
            <w:tcW w:w="2940" w:type="dxa"/>
            <w:tcBorders>
              <w:top w:val="single" w:sz="4" w:space="0" w:color="595959"/>
              <w:left w:val="nil"/>
              <w:bottom w:val="single" w:sz="4" w:space="0" w:color="595959"/>
              <w:right w:val="single" w:sz="4" w:space="0" w:color="595959"/>
            </w:tcBorders>
            <w:vAlign w:val="center"/>
            <w:hideMark/>
          </w:tcPr>
          <w:p w:rsidR="002406E3" w:rsidRPr="00497F19" w:rsidRDefault="002406E3">
            <w:pPr>
              <w:jc w:val="center"/>
              <w:rPr>
                <w:sz w:val="17"/>
                <w:szCs w:val="17"/>
                <w:lang w:val="es-ES_tradnl"/>
              </w:rPr>
            </w:pPr>
            <w:r w:rsidRPr="00497F19">
              <w:rPr>
                <w:sz w:val="17"/>
                <w:szCs w:val="17"/>
                <w:lang w:val="es-ES_tradnl"/>
              </w:rPr>
              <w:t>47</w:t>
            </w:r>
          </w:p>
        </w:tc>
        <w:tc>
          <w:tcPr>
            <w:tcW w:w="2740" w:type="dxa"/>
            <w:tcBorders>
              <w:top w:val="single" w:sz="4" w:space="0" w:color="595959"/>
              <w:left w:val="nil"/>
              <w:bottom w:val="single" w:sz="4" w:space="0" w:color="595959"/>
              <w:right w:val="single" w:sz="4" w:space="0" w:color="595959"/>
            </w:tcBorders>
            <w:vAlign w:val="center"/>
            <w:hideMark/>
          </w:tcPr>
          <w:p w:rsidR="002406E3" w:rsidRPr="00497F19" w:rsidRDefault="002406E3">
            <w:pPr>
              <w:jc w:val="center"/>
              <w:rPr>
                <w:sz w:val="17"/>
                <w:szCs w:val="17"/>
                <w:lang w:val="es-ES_tradnl"/>
              </w:rPr>
            </w:pPr>
            <w:r w:rsidRPr="00497F19">
              <w:rPr>
                <w:sz w:val="17"/>
                <w:szCs w:val="17"/>
                <w:lang w:val="es-ES_tradnl"/>
              </w:rPr>
              <w:t xml:space="preserve"> 4 700</w:t>
            </w:r>
          </w:p>
        </w:tc>
      </w:tr>
    </w:tbl>
    <w:p w:rsidR="002406E3" w:rsidRPr="00497F19" w:rsidRDefault="002406E3" w:rsidP="002406E3">
      <w:pPr>
        <w:rPr>
          <w:rStyle w:val="NORMALTEXT"/>
          <w:lang w:val="es-ES_tradnl"/>
        </w:rPr>
      </w:pPr>
    </w:p>
    <w:p w:rsidR="002406E3" w:rsidRPr="00497F19" w:rsidRDefault="002406E3" w:rsidP="002406E3">
      <w:pPr>
        <w:spacing w:after="200" w:line="276" w:lineRule="auto"/>
        <w:rPr>
          <w:rStyle w:val="NORMALTEXT"/>
          <w:lang w:val="es-ES_tradnl"/>
        </w:rPr>
      </w:pPr>
      <w:r w:rsidRPr="00497F19">
        <w:rPr>
          <w:rStyle w:val="NORMALTEXT"/>
          <w:lang w:val="es-ES_tradnl"/>
        </w:rPr>
        <w:t>Las tasas de tramitación fueron abonadas en la cuenta que tiene la Parte Contratante interesada con la Oficina Internacional durante el mes que siguió a la recepción de la solicitud de registro internacional.</w:t>
      </w:r>
    </w:p>
    <w:p w:rsidR="002406E3" w:rsidRPr="00497F19" w:rsidRDefault="002406E3" w:rsidP="002406E3">
      <w:pPr>
        <w:spacing w:after="200" w:line="276" w:lineRule="auto"/>
        <w:rPr>
          <w:rFonts w:eastAsiaTheme="minorHAnsi"/>
          <w:sz w:val="16"/>
          <w:szCs w:val="16"/>
        </w:rPr>
      </w:pPr>
      <w:r w:rsidRPr="00497F19">
        <w:rPr>
          <w:rFonts w:eastAsiaTheme="minorHAnsi"/>
          <w:sz w:val="16"/>
          <w:szCs w:val="16"/>
          <w:lang w:val="es-ES_tradnl"/>
        </w:rPr>
        <w:t>*  Desde el 4 de diciembre de 2013.</w:t>
      </w:r>
    </w:p>
    <w:p w:rsidR="002406E3" w:rsidRPr="00497F19" w:rsidRDefault="002406E3" w:rsidP="0088190F">
      <w:pPr>
        <w:rPr>
          <w:rStyle w:val="NORMALTEXT"/>
        </w:rPr>
      </w:pPr>
    </w:p>
    <w:p w:rsidR="002406E3" w:rsidRPr="00497F19" w:rsidRDefault="002406E3" w:rsidP="0088190F">
      <w:pPr>
        <w:rPr>
          <w:rStyle w:val="NORMALTEXT"/>
          <w:lang w:val="es-ES_tradnl"/>
        </w:rPr>
      </w:pPr>
    </w:p>
    <w:p w:rsidR="002406E3" w:rsidRPr="00497F19" w:rsidRDefault="002406E3" w:rsidP="002406E3">
      <w:pPr>
        <w:rPr>
          <w:rStyle w:val="NORMALTEXT"/>
          <w:b/>
          <w:bCs/>
          <w:iCs w:val="0"/>
          <w:szCs w:val="28"/>
          <w:lang w:val="es-ES_tradnl" w:eastAsia="da-DK"/>
        </w:rPr>
      </w:pPr>
      <w:r w:rsidRPr="00497F19">
        <w:rPr>
          <w:rStyle w:val="NORMALTEXT"/>
          <w:lang w:val="es-ES_tradnl"/>
        </w:rPr>
        <w:br w:type="page"/>
      </w:r>
    </w:p>
    <w:p w:rsidR="002406E3" w:rsidRPr="00497F19" w:rsidRDefault="002406E3" w:rsidP="002406E3">
      <w:pPr>
        <w:pStyle w:val="Heading2"/>
        <w:keepNext w:val="0"/>
        <w:widowControl w:val="0"/>
        <w:tabs>
          <w:tab w:val="left" w:pos="567"/>
        </w:tabs>
        <w:spacing w:before="0" w:after="0" w:line="300" w:lineRule="atLeast"/>
        <w:rPr>
          <w:rFonts w:ascii="Arial Bold" w:eastAsia="Times New Roman" w:hAnsi="Arial Bold"/>
          <w:caps w:val="0"/>
          <w:sz w:val="20"/>
          <w:szCs w:val="20"/>
        </w:rPr>
      </w:pPr>
      <w:bookmarkStart w:id="58" w:name="_Toc395626709"/>
      <w:r w:rsidRPr="00497F19">
        <w:rPr>
          <w:rFonts w:ascii="Arial Bold" w:eastAsia="Times New Roman" w:hAnsi="Arial Bold"/>
          <w:b/>
          <w:caps w:val="0"/>
          <w:sz w:val="20"/>
          <w:szCs w:val="20"/>
          <w:lang w:val="es-ES_tradnl" w:eastAsia="da-DK"/>
        </w:rPr>
        <w:lastRenderedPageBreak/>
        <w:t>Unión de Madrid – Pago efectuado conforme a la Regla 39 del Reglamento Común del Arreglo y el Protocolo de Madrid</w:t>
      </w:r>
      <w:bookmarkEnd w:id="58"/>
    </w:p>
    <w:bookmarkEnd w:id="57"/>
    <w:p w:rsidR="002406E3" w:rsidRPr="00497F19" w:rsidRDefault="002406E3" w:rsidP="002406E3">
      <w:pPr>
        <w:rPr>
          <w:rStyle w:val="NORMALTEXT"/>
        </w:rPr>
      </w:pPr>
    </w:p>
    <w:p w:rsidR="002406E3" w:rsidRPr="00497F19" w:rsidRDefault="002406E3" w:rsidP="002406E3">
      <w:pPr>
        <w:rPr>
          <w:rStyle w:val="NORMALTEXT"/>
          <w:lang w:val="es-ES_tradnl"/>
        </w:rPr>
      </w:pPr>
      <w:r w:rsidRPr="00497F19">
        <w:rPr>
          <w:rStyle w:val="NORMALTEXT"/>
          <w:lang w:val="es-ES_tradnl"/>
        </w:rPr>
        <w:t>En la regla 39 del Reglamento Común del Arreglo de Madrid relativo al Registro Internacional de Marcas y el Protocolo concerniente a dicho Arreglo (aprobado por la Asamblea de la Unión de Madrid con entrada en vigor el 1 de abril de 1996) se contempla la continuación de los efectos de los registros internacionales en determinados Estados (en adelante denominados “Estados sucesores”) que hayan pasado a ser independientes y cuyo territorio formara parte, antes de su independencia, del territorio de una Parte Contratante del Arreglo de Madrid.  El pago que ha de efectuarse a la Oficina Internacional con respecto a cada continuación de los efectos consiste en una tasa de 41 francos, transferida por la Oficina Internacional a la Oficina del Estado sucesor, y de una tasa de 23 francos a favor de la Oficina Internacional.</w:t>
      </w:r>
    </w:p>
    <w:p w:rsidR="002406E3" w:rsidRPr="00497F19" w:rsidRDefault="002406E3" w:rsidP="002406E3">
      <w:pPr>
        <w:rPr>
          <w:rStyle w:val="NORMALTEXT"/>
          <w:lang w:val="es-ES_tradnl"/>
        </w:rPr>
      </w:pPr>
    </w:p>
    <w:p w:rsidR="002406E3" w:rsidRPr="00497F19" w:rsidRDefault="002406E3" w:rsidP="002406E3">
      <w:pPr>
        <w:rPr>
          <w:rStyle w:val="NORMALTEXT"/>
          <w:lang w:val="es-ES_tradnl"/>
        </w:rPr>
      </w:pPr>
      <w:r w:rsidRPr="00497F19">
        <w:rPr>
          <w:rStyle w:val="NORMALTEXT"/>
          <w:lang w:val="es-ES_tradnl"/>
        </w:rPr>
        <w:t>A)  En 2012, el número total de continuaciones de efectos registradas fue de 22, respecto de las cuales la Oficina Internacional recibió la suma de (22 x 23 =) 506 francos y la Oficina nacional del Estado sucesor la suma de (22 x 41 =) 902 francos, importe que fue transferido a la Oficina de la forma siguiente:</w:t>
      </w:r>
    </w:p>
    <w:p w:rsidR="002406E3" w:rsidRPr="00497F19" w:rsidRDefault="002406E3" w:rsidP="002406E3">
      <w:pPr>
        <w:rPr>
          <w:rStyle w:val="NORMALTEXT"/>
          <w:lang w:val="es-ES_tradnl"/>
        </w:rPr>
      </w:pPr>
    </w:p>
    <w:p w:rsidR="002406E3" w:rsidRPr="00497F19" w:rsidRDefault="003A1FA7" w:rsidP="002406E3">
      <w:pPr>
        <w:rPr>
          <w:rStyle w:val="NORMALTEXT"/>
          <w:lang w:val="es-ES_tradnl"/>
        </w:rPr>
      </w:pPr>
      <w:r w:rsidRPr="00497F19">
        <w:rPr>
          <w:noProof/>
          <w:lang w:val="en-US" w:eastAsia="en-US"/>
        </w:rPr>
        <w:drawing>
          <wp:inline distT="0" distB="0" distL="0" distR="0" wp14:anchorId="1F42CD7D" wp14:editId="60D1EA22">
            <wp:extent cx="5667375" cy="797560"/>
            <wp:effectExtent l="0" t="0" r="9525" b="2540"/>
            <wp:docPr id="4114" name="Picture 4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667375" cy="797560"/>
                    </a:xfrm>
                    <a:prstGeom prst="rect">
                      <a:avLst/>
                    </a:prstGeom>
                    <a:noFill/>
                    <a:ln>
                      <a:noFill/>
                    </a:ln>
                  </pic:spPr>
                </pic:pic>
              </a:graphicData>
            </a:graphic>
          </wp:inline>
        </w:drawing>
      </w:r>
    </w:p>
    <w:p w:rsidR="002406E3" w:rsidRPr="00497F19" w:rsidRDefault="002406E3" w:rsidP="002406E3">
      <w:pPr>
        <w:rPr>
          <w:rStyle w:val="NORMALTEXT"/>
          <w:lang w:val="es-ES_tradnl"/>
        </w:rPr>
      </w:pPr>
    </w:p>
    <w:p w:rsidR="002406E3" w:rsidRPr="00497F19" w:rsidRDefault="002406E3" w:rsidP="002406E3">
      <w:pPr>
        <w:spacing w:line="360" w:lineRule="auto"/>
        <w:rPr>
          <w:rStyle w:val="NORMALTEXT"/>
          <w:lang w:val="es-ES_tradnl"/>
        </w:rPr>
      </w:pPr>
      <w:r w:rsidRPr="00497F19">
        <w:rPr>
          <w:rStyle w:val="NORMALTEXT"/>
          <w:lang w:val="es-ES_tradnl"/>
        </w:rPr>
        <w:t>B)  En 2013, la Oficina Internacional no recibió ninguna continuación de efectos.</w:t>
      </w:r>
    </w:p>
    <w:p w:rsidR="002406E3" w:rsidRPr="00497F19" w:rsidRDefault="002406E3" w:rsidP="002406E3">
      <w:pPr>
        <w:rPr>
          <w:rStyle w:val="NORMALTEXT"/>
          <w:lang w:val="es-ES_tradnl"/>
        </w:rPr>
      </w:pPr>
      <w:r w:rsidRPr="00497F19">
        <w:rPr>
          <w:rStyle w:val="NORMALTEXT"/>
          <w:lang w:val="es-ES_tradnl"/>
        </w:rPr>
        <w:br w:type="page"/>
      </w:r>
    </w:p>
    <w:p w:rsidR="002406E3" w:rsidRPr="00497F19" w:rsidRDefault="002406E3" w:rsidP="002406E3">
      <w:pPr>
        <w:pStyle w:val="Heading2"/>
        <w:keepNext w:val="0"/>
        <w:widowControl w:val="0"/>
        <w:tabs>
          <w:tab w:val="left" w:pos="567"/>
        </w:tabs>
        <w:spacing w:before="0" w:after="0" w:line="300" w:lineRule="atLeast"/>
        <w:rPr>
          <w:rStyle w:val="NORMALTEXT"/>
          <w:rFonts w:eastAsia="Times New Roman"/>
          <w:b/>
          <w:caps w:val="0"/>
          <w:lang w:val="es-ES_tradnl" w:eastAsia="da-DK"/>
        </w:rPr>
      </w:pPr>
      <w:bookmarkStart w:id="59" w:name="_Toc395626710"/>
      <w:r w:rsidRPr="00497F19">
        <w:rPr>
          <w:rStyle w:val="NORMALTEXT"/>
          <w:rFonts w:eastAsia="Times New Roman"/>
          <w:b/>
          <w:caps w:val="0"/>
          <w:lang w:val="es-ES_tradnl" w:eastAsia="da-DK"/>
        </w:rPr>
        <w:lastRenderedPageBreak/>
        <w:t>Unión de La Haya – Tasas estatales y tasas de designación – 2012</w:t>
      </w:r>
      <w:bookmarkEnd w:id="59"/>
    </w:p>
    <w:p w:rsidR="002406E3" w:rsidRPr="00497F19" w:rsidRDefault="002406E3" w:rsidP="002406E3">
      <w:pPr>
        <w:rPr>
          <w:sz w:val="16"/>
          <w:szCs w:val="16"/>
        </w:rPr>
      </w:pPr>
    </w:p>
    <w:p w:rsidR="002406E3" w:rsidRPr="00497F19" w:rsidRDefault="002406E3" w:rsidP="002406E3">
      <w:pPr>
        <w:rPr>
          <w:rStyle w:val="NORMALTEXT"/>
          <w:b/>
        </w:rPr>
      </w:pPr>
      <w:r w:rsidRPr="00497F19">
        <w:rPr>
          <w:rStyle w:val="NORMALTEXT"/>
          <w:b/>
          <w:lang w:val="es-ES_tradnl"/>
        </w:rPr>
        <w:t>Tasas recaudadas</w:t>
      </w:r>
    </w:p>
    <w:p w:rsidR="002406E3" w:rsidRPr="00497F19" w:rsidRDefault="002406E3" w:rsidP="002406E3">
      <w:pPr>
        <w:rPr>
          <w:sz w:val="16"/>
          <w:szCs w:val="16"/>
          <w:lang w:eastAsia="da-DK"/>
        </w:rPr>
      </w:pPr>
    </w:p>
    <w:p w:rsidR="002406E3" w:rsidRPr="00497F19" w:rsidRDefault="002406E3" w:rsidP="002406E3">
      <w:pPr>
        <w:rPr>
          <w:rStyle w:val="NORMALTEXT"/>
          <w:sz w:val="18"/>
          <w:szCs w:val="18"/>
          <w:lang w:val="es-ES_tradnl" w:eastAsia="da-DK"/>
        </w:rPr>
      </w:pPr>
      <w:r w:rsidRPr="00497F19">
        <w:rPr>
          <w:rStyle w:val="NORMALTEXT"/>
          <w:sz w:val="18"/>
          <w:szCs w:val="18"/>
          <w:lang w:val="es-ES_tradnl" w:eastAsia="da-DK"/>
        </w:rPr>
        <w:t>En 2012, la OMPI recaudó 2.394.931 francos suizos en concepto de tasas de designación estándar en virtud de los párrafos 1.a)ii) y 1.b) de la regla 12 o de tasas de designación individual, respecto de registros internacionales regidos exclusiva o parcialmente por el Acta de 1960 o el Acta de 1999, conforme a la regla 12.1.a)iii) o, respecto de su renovación, en concepto de tasas de designación estándar, conforme a la regla 24.1.a)ii) o de tasas de designación individual en virtud de la regla 24.1.a)iii) del Reglamento Común relati</w:t>
      </w:r>
      <w:r w:rsidR="003A1FA7" w:rsidRPr="00497F19">
        <w:rPr>
          <w:rStyle w:val="NORMALTEXT"/>
          <w:sz w:val="18"/>
          <w:szCs w:val="18"/>
          <w:lang w:val="es-ES_tradnl" w:eastAsia="da-DK"/>
        </w:rPr>
        <w:t>vo al Acta de 1999 y el Acta de </w:t>
      </w:r>
      <w:r w:rsidRPr="00497F19">
        <w:rPr>
          <w:rStyle w:val="NORMALTEXT"/>
          <w:sz w:val="18"/>
          <w:szCs w:val="18"/>
          <w:lang w:val="es-ES_tradnl" w:eastAsia="da-DK"/>
        </w:rPr>
        <w:t>1960 del Arreglo de La Haya, y conforme al baremo vigente desde el 1 de enero de 2010.</w:t>
      </w:r>
    </w:p>
    <w:p w:rsidR="00E37C75" w:rsidRPr="00497F19" w:rsidRDefault="00E37C75" w:rsidP="002406E3">
      <w:pPr>
        <w:rPr>
          <w:rStyle w:val="NORMALTEXT"/>
          <w:sz w:val="18"/>
          <w:szCs w:val="18"/>
        </w:rPr>
      </w:pPr>
    </w:p>
    <w:p w:rsidR="002406E3" w:rsidRPr="00497F19" w:rsidRDefault="00E37C75" w:rsidP="00E37C75">
      <w:pPr>
        <w:jc w:val="center"/>
      </w:pPr>
      <w:r w:rsidRPr="00497F19">
        <w:rPr>
          <w:noProof/>
          <w:lang w:val="en-US" w:eastAsia="en-US"/>
        </w:rPr>
        <w:drawing>
          <wp:inline distT="0" distB="0" distL="0" distR="0" wp14:anchorId="700FFD41" wp14:editId="30739DD3">
            <wp:extent cx="4263656" cy="7557926"/>
            <wp:effectExtent l="0" t="0" r="3810" b="5080"/>
            <wp:docPr id="4122" name="Picture 4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274381" cy="7576938"/>
                    </a:xfrm>
                    <a:prstGeom prst="rect">
                      <a:avLst/>
                    </a:prstGeom>
                    <a:noFill/>
                    <a:ln>
                      <a:noFill/>
                    </a:ln>
                  </pic:spPr>
                </pic:pic>
              </a:graphicData>
            </a:graphic>
          </wp:inline>
        </w:drawing>
      </w:r>
    </w:p>
    <w:p w:rsidR="002406E3" w:rsidRPr="00497F19" w:rsidRDefault="002406E3" w:rsidP="002406E3">
      <w:pPr>
        <w:rPr>
          <w:sz w:val="14"/>
          <w:szCs w:val="14"/>
          <w:lang w:val="es-ES_tradnl" w:eastAsia="da-DK"/>
        </w:rPr>
      </w:pPr>
    </w:p>
    <w:p w:rsidR="002406E3" w:rsidRPr="00497F19" w:rsidRDefault="002406E3" w:rsidP="002406E3">
      <w:pPr>
        <w:rPr>
          <w:sz w:val="14"/>
          <w:szCs w:val="14"/>
          <w:lang w:val="es-ES_tradnl"/>
        </w:rPr>
      </w:pPr>
      <w:r w:rsidRPr="00497F19">
        <w:rPr>
          <w:sz w:val="16"/>
          <w:szCs w:val="16"/>
          <w:vertAlign w:val="superscript"/>
          <w:lang w:val="es-ES_tradnl"/>
        </w:rPr>
        <w:t xml:space="preserve">13 </w:t>
      </w:r>
      <w:r w:rsidRPr="00497F19">
        <w:rPr>
          <w:sz w:val="14"/>
          <w:szCs w:val="14"/>
          <w:lang w:val="es-ES_tradnl"/>
        </w:rPr>
        <w:t xml:space="preserve"> Desde el 21 de marzo de 2012.</w:t>
      </w:r>
    </w:p>
    <w:p w:rsidR="002406E3" w:rsidRPr="00497F19" w:rsidRDefault="002406E3" w:rsidP="002406E3">
      <w:pPr>
        <w:rPr>
          <w:sz w:val="14"/>
          <w:szCs w:val="14"/>
          <w:lang w:val="es-ES_tradnl"/>
        </w:rPr>
      </w:pPr>
      <w:r w:rsidRPr="00497F19">
        <w:rPr>
          <w:sz w:val="16"/>
          <w:szCs w:val="16"/>
          <w:vertAlign w:val="superscript"/>
          <w:lang w:val="es-ES_tradnl"/>
        </w:rPr>
        <w:t xml:space="preserve">14 </w:t>
      </w:r>
      <w:r w:rsidRPr="00497F19">
        <w:rPr>
          <w:sz w:val="14"/>
          <w:szCs w:val="14"/>
          <w:lang w:val="es-ES_tradnl"/>
        </w:rPr>
        <w:t xml:space="preserve"> Desde el 13 de junio de 2012.</w:t>
      </w:r>
      <w:r w:rsidRPr="00497F19">
        <w:rPr>
          <w:sz w:val="14"/>
          <w:szCs w:val="14"/>
          <w:lang w:val="es-ES_tradnl"/>
        </w:rPr>
        <w:br w:type="page"/>
      </w:r>
    </w:p>
    <w:p w:rsidR="002406E3" w:rsidRPr="00497F19" w:rsidRDefault="002406E3" w:rsidP="002406E3">
      <w:pPr>
        <w:pStyle w:val="Heading2"/>
        <w:keepNext w:val="0"/>
        <w:widowControl w:val="0"/>
        <w:tabs>
          <w:tab w:val="left" w:pos="567"/>
        </w:tabs>
        <w:spacing w:before="0" w:after="0" w:line="300" w:lineRule="atLeast"/>
        <w:rPr>
          <w:rStyle w:val="NORMALTEXT"/>
          <w:rFonts w:eastAsia="Times New Roman"/>
          <w:b/>
          <w:caps w:val="0"/>
          <w:lang w:eastAsia="da-DK"/>
        </w:rPr>
      </w:pPr>
      <w:bookmarkStart w:id="60" w:name="_Toc395626711"/>
      <w:r w:rsidRPr="00497F19">
        <w:rPr>
          <w:rStyle w:val="NORMALTEXT"/>
          <w:rFonts w:eastAsia="Times New Roman"/>
          <w:b/>
          <w:caps w:val="0"/>
          <w:lang w:val="es-ES_tradnl" w:eastAsia="da-DK"/>
        </w:rPr>
        <w:lastRenderedPageBreak/>
        <w:t>Unión de La Haya – Tasas estatales y tasas de designación – 2013</w:t>
      </w:r>
      <w:bookmarkEnd w:id="60"/>
    </w:p>
    <w:p w:rsidR="002406E3" w:rsidRPr="00497F19" w:rsidRDefault="002406E3" w:rsidP="002406E3">
      <w:pPr>
        <w:rPr>
          <w:rStyle w:val="NORMALTEXT"/>
          <w:sz w:val="18"/>
          <w:szCs w:val="18"/>
          <w:lang w:val="es-ES_tradnl"/>
        </w:rPr>
      </w:pPr>
    </w:p>
    <w:p w:rsidR="002406E3" w:rsidRPr="00497F19" w:rsidRDefault="002406E3" w:rsidP="002406E3">
      <w:pPr>
        <w:rPr>
          <w:rStyle w:val="NORMALTEXT"/>
          <w:b/>
          <w:lang w:val="es-ES_tradnl"/>
        </w:rPr>
      </w:pPr>
      <w:r w:rsidRPr="00497F19">
        <w:rPr>
          <w:rStyle w:val="NORMALTEXT"/>
          <w:b/>
          <w:lang w:val="es-ES_tradnl"/>
        </w:rPr>
        <w:t>Tasas recaudadas</w:t>
      </w:r>
    </w:p>
    <w:p w:rsidR="002406E3" w:rsidRPr="00497F19" w:rsidRDefault="002406E3" w:rsidP="002406E3">
      <w:pPr>
        <w:rPr>
          <w:rStyle w:val="NORMALTEXT"/>
          <w:sz w:val="18"/>
          <w:szCs w:val="18"/>
          <w:lang w:val="es-ES_tradnl"/>
        </w:rPr>
      </w:pPr>
    </w:p>
    <w:p w:rsidR="002406E3" w:rsidRPr="00497F19" w:rsidRDefault="002406E3" w:rsidP="002406E3">
      <w:pPr>
        <w:rPr>
          <w:rStyle w:val="NORMALTEXT"/>
          <w:sz w:val="18"/>
          <w:szCs w:val="18"/>
          <w:lang w:val="es-ES_tradnl" w:eastAsia="da-DK"/>
        </w:rPr>
      </w:pPr>
      <w:r w:rsidRPr="00497F19">
        <w:rPr>
          <w:rStyle w:val="NORMALTEXT"/>
          <w:sz w:val="18"/>
          <w:szCs w:val="18"/>
          <w:lang w:val="es-ES_tradnl" w:eastAsia="da-DK"/>
        </w:rPr>
        <w:t>En 2013, la OMPI recaudó 2.569.667 francos suizos en concepto de tasas de designación estándar en virtud de los párrafos 1.a)ii) y 1.b) de la regla 12 o de tasas de designación individual, respecto de registros internacionales regidos exclusiva o parcialmente por el Acta de 1960 o el Acta de 1999, conforme a la regla 12.1.a)iii) o, respecto de su renovación, en concepto de tasas de designación estándar, conforme a la regla 24.1.a)ii) o de tasas de designación individual en virtud de la regla 24.1.a)iii) del Reglamento Común relati</w:t>
      </w:r>
      <w:r w:rsidR="004824B4" w:rsidRPr="00497F19">
        <w:rPr>
          <w:rStyle w:val="NORMALTEXT"/>
          <w:sz w:val="18"/>
          <w:szCs w:val="18"/>
          <w:lang w:val="es-ES_tradnl" w:eastAsia="da-DK"/>
        </w:rPr>
        <w:t>vo al Acta de 1999 y el Acta de </w:t>
      </w:r>
      <w:r w:rsidRPr="00497F19">
        <w:rPr>
          <w:rStyle w:val="NORMALTEXT"/>
          <w:sz w:val="18"/>
          <w:szCs w:val="18"/>
          <w:lang w:val="es-ES_tradnl" w:eastAsia="da-DK"/>
        </w:rPr>
        <w:t>1960 del Arreglo de La Haya, y conforme al baremo vigente desde el 1 de enero de 2010.</w:t>
      </w:r>
    </w:p>
    <w:p w:rsidR="001F2A61" w:rsidRPr="00497F19" w:rsidRDefault="001F2A61" w:rsidP="002406E3">
      <w:pPr>
        <w:rPr>
          <w:rStyle w:val="NORMALTEXT"/>
          <w:sz w:val="18"/>
          <w:szCs w:val="18"/>
          <w:lang w:val="es-ES_tradnl" w:eastAsia="da-DK"/>
        </w:rPr>
      </w:pPr>
    </w:p>
    <w:p w:rsidR="002406E3" w:rsidRPr="00497F19" w:rsidRDefault="001F2A61" w:rsidP="001F2A61">
      <w:pPr>
        <w:jc w:val="center"/>
        <w:rPr>
          <w:rStyle w:val="NORMALTEXT"/>
          <w:sz w:val="18"/>
          <w:szCs w:val="18"/>
          <w:lang w:val="es-ES_tradnl"/>
        </w:rPr>
      </w:pPr>
      <w:r w:rsidRPr="00497F19">
        <w:rPr>
          <w:noProof/>
          <w:lang w:val="en-US" w:eastAsia="en-US"/>
        </w:rPr>
        <w:drawing>
          <wp:inline distT="0" distB="0" distL="0" distR="0" wp14:anchorId="5E7A8131" wp14:editId="1CBB10F7">
            <wp:extent cx="4462730" cy="7696990"/>
            <wp:effectExtent l="0" t="0" r="0" b="0"/>
            <wp:docPr id="4123" name="Picture 4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474144" cy="7716676"/>
                    </a:xfrm>
                    <a:prstGeom prst="rect">
                      <a:avLst/>
                    </a:prstGeom>
                    <a:noFill/>
                    <a:ln>
                      <a:noFill/>
                    </a:ln>
                  </pic:spPr>
                </pic:pic>
              </a:graphicData>
            </a:graphic>
          </wp:inline>
        </w:drawing>
      </w:r>
    </w:p>
    <w:p w:rsidR="002406E3" w:rsidRPr="00497F19" w:rsidRDefault="002406E3" w:rsidP="002406E3">
      <w:pPr>
        <w:rPr>
          <w:sz w:val="14"/>
          <w:szCs w:val="14"/>
          <w:vertAlign w:val="superscript"/>
          <w:lang w:val="es-ES_tradnl" w:eastAsia="da-DK"/>
        </w:rPr>
      </w:pPr>
    </w:p>
    <w:p w:rsidR="002406E3" w:rsidRPr="00497F19" w:rsidRDefault="002406E3" w:rsidP="002406E3">
      <w:pPr>
        <w:rPr>
          <w:rStyle w:val="NORMALTEXT"/>
          <w:iCs w:val="0"/>
          <w:sz w:val="14"/>
        </w:rPr>
      </w:pPr>
      <w:r w:rsidRPr="00497F19">
        <w:rPr>
          <w:sz w:val="14"/>
          <w:szCs w:val="14"/>
          <w:vertAlign w:val="superscript"/>
          <w:lang w:val="es-ES_tradnl" w:eastAsia="da-DK"/>
        </w:rPr>
        <w:t>15</w:t>
      </w:r>
      <w:r w:rsidRPr="00497F19">
        <w:rPr>
          <w:sz w:val="14"/>
          <w:szCs w:val="14"/>
          <w:lang w:val="es-ES_tradnl" w:eastAsia="da-DK"/>
        </w:rPr>
        <w:t xml:space="preserve"> </w:t>
      </w:r>
      <w:r w:rsidRPr="00497F19">
        <w:rPr>
          <w:sz w:val="14"/>
          <w:szCs w:val="14"/>
          <w:lang w:val="es-ES_tradnl"/>
        </w:rPr>
        <w:t>Desde el 24 de diciembre de 2013.</w:t>
      </w:r>
      <w:r w:rsidRPr="00497F19">
        <w:rPr>
          <w:rStyle w:val="NORMALTEXT"/>
          <w:sz w:val="18"/>
          <w:szCs w:val="18"/>
          <w:lang w:val="es-ES_tradnl"/>
        </w:rPr>
        <w:br w:type="page"/>
      </w:r>
    </w:p>
    <w:p w:rsidR="002406E3" w:rsidRPr="00497F19" w:rsidRDefault="002406E3" w:rsidP="002406E3">
      <w:pPr>
        <w:pStyle w:val="Heading2"/>
        <w:keepNext w:val="0"/>
        <w:widowControl w:val="0"/>
        <w:tabs>
          <w:tab w:val="left" w:pos="567"/>
        </w:tabs>
        <w:spacing w:before="0" w:after="0" w:line="300" w:lineRule="atLeast"/>
        <w:rPr>
          <w:rStyle w:val="NORMALTEXT"/>
          <w:rFonts w:eastAsia="Times New Roman"/>
          <w:b/>
          <w:caps w:val="0"/>
          <w:lang w:val="es-ES_tradnl" w:eastAsia="da-DK"/>
        </w:rPr>
      </w:pPr>
      <w:bookmarkStart w:id="61" w:name="_Toc395626712"/>
      <w:r w:rsidRPr="00497F19">
        <w:rPr>
          <w:rStyle w:val="NORMALTEXT"/>
          <w:rFonts w:eastAsia="Times New Roman"/>
          <w:b/>
          <w:caps w:val="0"/>
          <w:lang w:val="es-ES_tradnl" w:eastAsia="da-DK"/>
        </w:rPr>
        <w:lastRenderedPageBreak/>
        <w:t>Uniones de Madrid y de La Haya – Distribución en 2012</w:t>
      </w:r>
      <w:bookmarkEnd w:id="61"/>
    </w:p>
    <w:p w:rsidR="002406E3" w:rsidRPr="00497F19" w:rsidRDefault="002406E3" w:rsidP="002406E3">
      <w:pPr>
        <w:rPr>
          <w:sz w:val="14"/>
          <w:szCs w:val="14"/>
        </w:rPr>
      </w:pPr>
      <w:r w:rsidRPr="00497F19">
        <w:rPr>
          <w:sz w:val="14"/>
          <w:szCs w:val="14"/>
          <w:lang w:val="es-ES_tradnl" w:eastAsia="da-DK"/>
        </w:rPr>
        <w:t>(importes expresados en francos suizos)</w:t>
      </w:r>
    </w:p>
    <w:p w:rsidR="002406E3" w:rsidRPr="00497F19" w:rsidRDefault="002406E3" w:rsidP="002406E3">
      <w:pPr>
        <w:rPr>
          <w:sz w:val="14"/>
          <w:szCs w:val="14"/>
          <w:lang w:val="es-ES_tradnl" w:eastAsia="da-DK"/>
        </w:rPr>
      </w:pPr>
    </w:p>
    <w:p w:rsidR="002406E3" w:rsidRPr="00497F19" w:rsidRDefault="002406E3" w:rsidP="002406E3">
      <w:pPr>
        <w:rPr>
          <w:sz w:val="14"/>
          <w:szCs w:val="14"/>
          <w:lang w:val="es-ES_tradnl" w:eastAsia="da-DK"/>
        </w:rPr>
      </w:pPr>
      <w:r w:rsidRPr="00497F19">
        <w:rPr>
          <w:sz w:val="14"/>
          <w:szCs w:val="14"/>
          <w:lang w:val="es-ES_tradnl" w:eastAsia="da-DK"/>
        </w:rPr>
        <w:t>- Servicio de registro internacional de marcas (Madrid):  tasas suplementarias y complementos de tasa, continuación de efectos</w:t>
      </w:r>
    </w:p>
    <w:p w:rsidR="002406E3" w:rsidRPr="00497F19" w:rsidRDefault="002406E3" w:rsidP="002406E3">
      <w:pPr>
        <w:rPr>
          <w:sz w:val="14"/>
          <w:szCs w:val="14"/>
          <w:lang w:val="es-ES_tradnl" w:eastAsia="da-DK"/>
        </w:rPr>
      </w:pPr>
      <w:r w:rsidRPr="00497F19">
        <w:rPr>
          <w:sz w:val="14"/>
          <w:szCs w:val="14"/>
          <w:lang w:val="es-ES_tradnl" w:eastAsia="da-DK"/>
        </w:rPr>
        <w:t>- Servicio de registro internacional de dibujos y modelos industriales (La Haya):  tasas estatales y de designación</w:t>
      </w:r>
    </w:p>
    <w:p w:rsidR="002406E3" w:rsidRPr="00497F19" w:rsidRDefault="002406E3" w:rsidP="002406E3">
      <w:pPr>
        <w:rPr>
          <w:sz w:val="14"/>
          <w:szCs w:val="14"/>
          <w:lang w:val="es-ES_tradnl" w:eastAsia="da-DK"/>
        </w:rPr>
      </w:pPr>
    </w:p>
    <w:p w:rsidR="0077311B" w:rsidRPr="00497F19" w:rsidRDefault="0077311B" w:rsidP="00012857">
      <w:pPr>
        <w:jc w:val="center"/>
        <w:rPr>
          <w:sz w:val="14"/>
          <w:szCs w:val="14"/>
          <w:lang w:val="es-ES_tradnl" w:eastAsia="da-DK"/>
        </w:rPr>
      </w:pPr>
      <w:r w:rsidRPr="00497F19">
        <w:rPr>
          <w:noProof/>
          <w:lang w:val="en-US" w:eastAsia="en-US"/>
        </w:rPr>
        <w:drawing>
          <wp:inline distT="0" distB="0" distL="0" distR="0" wp14:anchorId="4F86973E" wp14:editId="7964F23F">
            <wp:extent cx="4869712" cy="8840044"/>
            <wp:effectExtent l="0" t="0" r="7620" b="0"/>
            <wp:docPr id="4124" name="Picture 4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879770" cy="8858302"/>
                    </a:xfrm>
                    <a:prstGeom prst="rect">
                      <a:avLst/>
                    </a:prstGeom>
                    <a:noFill/>
                    <a:ln>
                      <a:noFill/>
                    </a:ln>
                  </pic:spPr>
                </pic:pic>
              </a:graphicData>
            </a:graphic>
          </wp:inline>
        </w:drawing>
      </w:r>
      <w:r w:rsidRPr="00497F19">
        <w:rPr>
          <w:sz w:val="14"/>
          <w:szCs w:val="14"/>
          <w:lang w:val="es-ES_tradnl" w:eastAsia="da-DK"/>
        </w:rPr>
        <w:br w:type="page"/>
      </w:r>
    </w:p>
    <w:p w:rsidR="002406E3" w:rsidRPr="00497F19" w:rsidRDefault="002406E3" w:rsidP="002406E3">
      <w:pPr>
        <w:pStyle w:val="Heading2"/>
        <w:keepNext w:val="0"/>
        <w:widowControl w:val="0"/>
        <w:tabs>
          <w:tab w:val="left" w:pos="567"/>
        </w:tabs>
        <w:spacing w:before="0" w:after="0" w:line="300" w:lineRule="atLeast"/>
        <w:rPr>
          <w:rStyle w:val="NORMALTEXT"/>
          <w:rFonts w:eastAsia="Times New Roman"/>
          <w:b/>
          <w:caps w:val="0"/>
        </w:rPr>
      </w:pPr>
      <w:bookmarkStart w:id="62" w:name="_Toc395626713"/>
      <w:r w:rsidRPr="00497F19">
        <w:rPr>
          <w:rStyle w:val="NORMALTEXT"/>
          <w:rFonts w:eastAsia="Times New Roman"/>
          <w:b/>
          <w:caps w:val="0"/>
          <w:lang w:val="es-ES_tradnl" w:eastAsia="da-DK"/>
        </w:rPr>
        <w:lastRenderedPageBreak/>
        <w:t>Uniones de Madrid y de La Haya – Distribución en 2013</w:t>
      </w:r>
      <w:bookmarkEnd w:id="62"/>
    </w:p>
    <w:p w:rsidR="002406E3" w:rsidRPr="00497F19" w:rsidRDefault="002406E3" w:rsidP="002406E3">
      <w:pPr>
        <w:rPr>
          <w:sz w:val="14"/>
          <w:szCs w:val="14"/>
        </w:rPr>
      </w:pPr>
      <w:r w:rsidRPr="00497F19">
        <w:rPr>
          <w:sz w:val="14"/>
          <w:szCs w:val="14"/>
          <w:lang w:val="es-ES_tradnl" w:eastAsia="da-DK"/>
        </w:rPr>
        <w:t>(importes expresados en francos suizos)</w:t>
      </w:r>
    </w:p>
    <w:p w:rsidR="002406E3" w:rsidRPr="00497F19" w:rsidRDefault="002406E3" w:rsidP="002406E3">
      <w:pPr>
        <w:rPr>
          <w:sz w:val="14"/>
          <w:szCs w:val="14"/>
          <w:lang w:val="es-ES_tradnl" w:eastAsia="da-DK"/>
        </w:rPr>
      </w:pPr>
    </w:p>
    <w:p w:rsidR="002406E3" w:rsidRPr="00497F19" w:rsidRDefault="002406E3" w:rsidP="002406E3">
      <w:pPr>
        <w:rPr>
          <w:sz w:val="14"/>
          <w:szCs w:val="14"/>
          <w:lang w:val="es-ES_tradnl" w:eastAsia="da-DK"/>
        </w:rPr>
      </w:pPr>
      <w:r w:rsidRPr="00497F19">
        <w:rPr>
          <w:sz w:val="14"/>
          <w:szCs w:val="14"/>
          <w:lang w:val="es-ES_tradnl" w:eastAsia="da-DK"/>
        </w:rPr>
        <w:t>- Servicio de registro internacional de marcas (Madrid):  tasas suplementarias y complementos de tasa, tasas de tramitación</w:t>
      </w:r>
    </w:p>
    <w:p w:rsidR="002406E3" w:rsidRPr="00497F19" w:rsidRDefault="002406E3" w:rsidP="002406E3">
      <w:pPr>
        <w:rPr>
          <w:sz w:val="14"/>
          <w:szCs w:val="14"/>
          <w:lang w:val="es-ES_tradnl" w:eastAsia="da-DK"/>
        </w:rPr>
      </w:pPr>
      <w:r w:rsidRPr="00497F19">
        <w:rPr>
          <w:sz w:val="14"/>
          <w:szCs w:val="14"/>
          <w:lang w:val="es-ES_tradnl" w:eastAsia="da-DK"/>
        </w:rPr>
        <w:t>- Servicio de registro internacional de dibujos y modelos industriales (La Haya):  tasas estatales y de designación</w:t>
      </w:r>
    </w:p>
    <w:p w:rsidR="00D91337" w:rsidRPr="00497F19" w:rsidRDefault="00D91337" w:rsidP="002406E3">
      <w:pPr>
        <w:rPr>
          <w:sz w:val="14"/>
          <w:szCs w:val="14"/>
          <w:lang w:val="es-ES_tradnl" w:eastAsia="da-DK"/>
        </w:rPr>
      </w:pPr>
    </w:p>
    <w:p w:rsidR="002406E3" w:rsidRPr="00497F19" w:rsidRDefault="00D91337" w:rsidP="00D91337">
      <w:pPr>
        <w:jc w:val="center"/>
        <w:rPr>
          <w:sz w:val="16"/>
          <w:szCs w:val="16"/>
          <w:lang w:val="es-ES_tradnl" w:eastAsia="da-DK"/>
        </w:rPr>
      </w:pPr>
      <w:r w:rsidRPr="00497F19">
        <w:rPr>
          <w:noProof/>
          <w:lang w:val="en-US" w:eastAsia="en-US"/>
        </w:rPr>
        <w:drawing>
          <wp:inline distT="0" distB="0" distL="0" distR="0" wp14:anchorId="30AE5B17" wp14:editId="2BE9531B">
            <wp:extent cx="4688958" cy="8798672"/>
            <wp:effectExtent l="0" t="0" r="0" b="2540"/>
            <wp:docPr id="4126" name="Picture 4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697931" cy="8815509"/>
                    </a:xfrm>
                    <a:prstGeom prst="rect">
                      <a:avLst/>
                    </a:prstGeom>
                    <a:noFill/>
                    <a:ln>
                      <a:noFill/>
                    </a:ln>
                  </pic:spPr>
                </pic:pic>
              </a:graphicData>
            </a:graphic>
          </wp:inline>
        </w:drawing>
      </w:r>
      <w:r w:rsidR="002406E3" w:rsidRPr="00497F19">
        <w:rPr>
          <w:sz w:val="16"/>
          <w:szCs w:val="16"/>
          <w:lang w:val="es-ES_tradnl" w:eastAsia="da-DK"/>
        </w:rPr>
        <w:br w:type="page"/>
      </w:r>
    </w:p>
    <w:p w:rsidR="002406E3" w:rsidRPr="00497F19" w:rsidRDefault="002406E3" w:rsidP="002406E3">
      <w:pPr>
        <w:pStyle w:val="Heading2"/>
        <w:keepNext w:val="0"/>
        <w:widowControl w:val="0"/>
        <w:tabs>
          <w:tab w:val="left" w:pos="567"/>
        </w:tabs>
        <w:spacing w:before="0" w:after="0" w:line="300" w:lineRule="atLeast"/>
        <w:rPr>
          <w:rStyle w:val="NORMALTEXT"/>
          <w:rFonts w:eastAsia="Times New Roman"/>
          <w:b/>
          <w:caps w:val="0"/>
        </w:rPr>
      </w:pPr>
      <w:bookmarkStart w:id="63" w:name="_Toc395626714"/>
      <w:r w:rsidRPr="00497F19">
        <w:rPr>
          <w:rStyle w:val="NORMALTEXT"/>
          <w:rFonts w:eastAsia="Times New Roman"/>
          <w:b/>
          <w:caps w:val="0"/>
          <w:lang w:val="es-ES_tradnl" w:eastAsia="da-DK"/>
        </w:rPr>
        <w:lastRenderedPageBreak/>
        <w:t>Uniones de Madrid y de La Haya - Recapitulativo 2012-2013</w:t>
      </w:r>
      <w:bookmarkEnd w:id="63"/>
    </w:p>
    <w:p w:rsidR="002406E3" w:rsidRPr="00497F19" w:rsidRDefault="002406E3" w:rsidP="002406E3">
      <w:pPr>
        <w:rPr>
          <w:sz w:val="14"/>
          <w:szCs w:val="14"/>
          <w:lang w:val="es-ES_tradnl" w:eastAsia="da-DK"/>
        </w:rPr>
      </w:pPr>
      <w:r w:rsidRPr="00497F19">
        <w:rPr>
          <w:sz w:val="14"/>
          <w:szCs w:val="14"/>
          <w:lang w:val="es-ES_tradnl" w:eastAsia="da-DK"/>
        </w:rPr>
        <w:t>(importes expresados en francos suizos)</w:t>
      </w:r>
    </w:p>
    <w:p w:rsidR="00793C3D" w:rsidRPr="00497F19" w:rsidRDefault="00793C3D" w:rsidP="002406E3">
      <w:pPr>
        <w:rPr>
          <w:sz w:val="14"/>
          <w:szCs w:val="14"/>
        </w:rPr>
      </w:pPr>
    </w:p>
    <w:p w:rsidR="002406E3" w:rsidRPr="00497F19" w:rsidRDefault="00793C3D" w:rsidP="002406E3">
      <w:pPr>
        <w:jc w:val="center"/>
        <w:rPr>
          <w:noProof/>
          <w:lang w:val="es-ES_tradnl"/>
        </w:rPr>
      </w:pPr>
      <w:r w:rsidRPr="00497F19">
        <w:rPr>
          <w:noProof/>
          <w:lang w:val="en-US" w:eastAsia="en-US"/>
        </w:rPr>
        <w:drawing>
          <wp:inline distT="0" distB="0" distL="0" distR="0" wp14:anchorId="3125ECCE" wp14:editId="16FA64F1">
            <wp:extent cx="4131233" cy="9016410"/>
            <wp:effectExtent l="0" t="0" r="3175" b="0"/>
            <wp:docPr id="4127" name="Picture 4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138487" cy="9032242"/>
                    </a:xfrm>
                    <a:prstGeom prst="rect">
                      <a:avLst/>
                    </a:prstGeom>
                    <a:noFill/>
                    <a:ln>
                      <a:noFill/>
                    </a:ln>
                  </pic:spPr>
                </pic:pic>
              </a:graphicData>
            </a:graphic>
          </wp:inline>
        </w:drawing>
      </w:r>
    </w:p>
    <w:p w:rsidR="002406E3" w:rsidRPr="00497F19" w:rsidRDefault="002406E3" w:rsidP="002406E3">
      <w:pPr>
        <w:rPr>
          <w:sz w:val="16"/>
          <w:szCs w:val="16"/>
          <w:lang w:val="es-ES_tradnl" w:eastAsia="da-DK"/>
        </w:rPr>
        <w:sectPr w:rsidR="002406E3" w:rsidRPr="00497F19">
          <w:pgSz w:w="11907" w:h="16840"/>
          <w:pgMar w:top="510" w:right="1275" w:bottom="454" w:left="1418" w:header="510" w:footer="454" w:gutter="0"/>
          <w:cols w:space="720"/>
        </w:sectPr>
      </w:pPr>
    </w:p>
    <w:p w:rsidR="002406E3" w:rsidRPr="00497F19" w:rsidRDefault="002406E3" w:rsidP="002406E3">
      <w:pPr>
        <w:pStyle w:val="Heading1"/>
        <w:jc w:val="center"/>
        <w:rPr>
          <w:lang w:val="es-ES_tradnl"/>
        </w:rPr>
      </w:pPr>
      <w:bookmarkStart w:id="64" w:name="_Toc395626715"/>
      <w:r w:rsidRPr="00497F19">
        <w:rPr>
          <w:lang w:val="es-ES_tradnl"/>
        </w:rPr>
        <w:lastRenderedPageBreak/>
        <w:t>FONDOS FIDUCIARIOS</w:t>
      </w:r>
      <w:bookmarkEnd w:id="64"/>
    </w:p>
    <w:p w:rsidR="002406E3" w:rsidRPr="00497F19" w:rsidRDefault="002406E3" w:rsidP="002406E3">
      <w:pPr>
        <w:jc w:val="center"/>
        <w:rPr>
          <w:rStyle w:val="NORMALTEXT"/>
          <w:b/>
          <w:bCs/>
          <w:szCs w:val="22"/>
        </w:rPr>
      </w:pPr>
      <w:r w:rsidRPr="00497F19">
        <w:rPr>
          <w:rStyle w:val="NORMALTEXT"/>
          <w:b/>
          <w:bCs/>
          <w:szCs w:val="22"/>
          <w:lang w:val="es-ES_tradnl"/>
        </w:rPr>
        <w:t>Fondos fiduciarios al 31 de diciembre de 2013</w:t>
      </w:r>
    </w:p>
    <w:p w:rsidR="002406E3" w:rsidRPr="00497F19" w:rsidRDefault="002406E3" w:rsidP="002406E3"/>
    <w:p w:rsidR="002406E3" w:rsidRPr="00497F19" w:rsidRDefault="00CC5FC5" w:rsidP="00CC5FC5">
      <w:pPr>
        <w:jc w:val="center"/>
        <w:rPr>
          <w:lang w:val="es-ES_tradnl"/>
        </w:rPr>
      </w:pPr>
      <w:r w:rsidRPr="00497F19">
        <w:rPr>
          <w:noProof/>
          <w:lang w:val="en-US" w:eastAsia="en-US"/>
        </w:rPr>
        <w:drawing>
          <wp:inline distT="0" distB="0" distL="0" distR="0" wp14:anchorId="749EC5A4" wp14:editId="0A1117E5">
            <wp:extent cx="7368363" cy="5253881"/>
            <wp:effectExtent l="0" t="0" r="4445" b="4445"/>
            <wp:docPr id="1217" name="Picture 1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7374016" cy="5257912"/>
                    </a:xfrm>
                    <a:prstGeom prst="rect">
                      <a:avLst/>
                    </a:prstGeom>
                    <a:noFill/>
                    <a:ln>
                      <a:noFill/>
                    </a:ln>
                  </pic:spPr>
                </pic:pic>
              </a:graphicData>
            </a:graphic>
          </wp:inline>
        </w:drawing>
      </w:r>
    </w:p>
    <w:p w:rsidR="002406E3" w:rsidRPr="00497F19" w:rsidRDefault="002406E3" w:rsidP="002406E3">
      <w:pPr>
        <w:rPr>
          <w:lang w:val="es-ES_tradnl"/>
        </w:rPr>
        <w:sectPr w:rsidR="002406E3" w:rsidRPr="00497F19">
          <w:pgSz w:w="16840" w:h="11907" w:orient="landscape"/>
          <w:pgMar w:top="1276" w:right="454" w:bottom="1134" w:left="510" w:header="510" w:footer="510" w:gutter="0"/>
          <w:cols w:space="720"/>
        </w:sectPr>
      </w:pPr>
    </w:p>
    <w:p w:rsidR="002406E3" w:rsidRPr="00497F19" w:rsidRDefault="002406E3" w:rsidP="002406E3">
      <w:pPr>
        <w:rPr>
          <w:rFonts w:eastAsia="Times New Roman" w:cs="Times New Roman"/>
          <w:b/>
          <w:lang w:val="es-ES_tradnl" w:eastAsia="en-US"/>
        </w:rPr>
      </w:pPr>
      <w:r w:rsidRPr="00497F19">
        <w:rPr>
          <w:rFonts w:eastAsia="Times New Roman" w:cs="Times New Roman"/>
          <w:b/>
          <w:lang w:val="es-ES_tradnl" w:eastAsia="en-US"/>
        </w:rPr>
        <w:lastRenderedPageBreak/>
        <w:t>Fondos fiduciarios al 31 de diciembre de 2013</w:t>
      </w:r>
    </w:p>
    <w:p w:rsidR="002406E3" w:rsidRPr="00497F19" w:rsidRDefault="002406E3" w:rsidP="002406E3">
      <w:pPr>
        <w:rPr>
          <w:sz w:val="18"/>
          <w:szCs w:val="18"/>
          <w:lang w:val="es-ES_tradnl"/>
        </w:rPr>
      </w:pPr>
      <w:r w:rsidRPr="00497F19">
        <w:rPr>
          <w:sz w:val="18"/>
          <w:szCs w:val="18"/>
          <w:lang w:val="es-ES_tradnl"/>
        </w:rPr>
        <w:t>(importes expresados en francos suizos)</w:t>
      </w:r>
    </w:p>
    <w:p w:rsidR="002406E3" w:rsidRPr="00497F19" w:rsidRDefault="002406E3" w:rsidP="002406E3">
      <w:pPr>
        <w:rPr>
          <w:sz w:val="16"/>
          <w:szCs w:val="16"/>
          <w:lang w:val="es-ES_tradnl" w:eastAsia="da-DK"/>
        </w:rPr>
      </w:pPr>
    </w:p>
    <w:p w:rsidR="002406E3" w:rsidRPr="00497F19" w:rsidRDefault="00AD281A" w:rsidP="002406E3">
      <w:pPr>
        <w:rPr>
          <w:sz w:val="16"/>
          <w:szCs w:val="16"/>
          <w:lang w:val="es-ES_tradnl" w:eastAsia="da-DK"/>
        </w:rPr>
      </w:pPr>
      <w:r w:rsidRPr="00497F19">
        <w:rPr>
          <w:noProof/>
          <w:lang w:val="en-US" w:eastAsia="en-US"/>
        </w:rPr>
        <w:drawing>
          <wp:inline distT="0" distB="0" distL="0" distR="0" wp14:anchorId="703E7B57" wp14:editId="280EADA5">
            <wp:extent cx="5760085" cy="1778729"/>
            <wp:effectExtent l="0" t="0" r="0" b="0"/>
            <wp:docPr id="1219" name="Picture 1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760085" cy="1778729"/>
                    </a:xfrm>
                    <a:prstGeom prst="rect">
                      <a:avLst/>
                    </a:prstGeom>
                    <a:noFill/>
                    <a:ln>
                      <a:noFill/>
                    </a:ln>
                  </pic:spPr>
                </pic:pic>
              </a:graphicData>
            </a:graphic>
          </wp:inline>
        </w:drawing>
      </w:r>
    </w:p>
    <w:p w:rsidR="002406E3" w:rsidRPr="00497F19" w:rsidRDefault="002406E3" w:rsidP="002406E3">
      <w:pPr>
        <w:rPr>
          <w:sz w:val="16"/>
          <w:szCs w:val="16"/>
          <w:lang w:val="es-ES_tradnl" w:eastAsia="da-DK"/>
        </w:rPr>
      </w:pPr>
    </w:p>
    <w:p w:rsidR="002406E3" w:rsidRPr="00497F19" w:rsidRDefault="002406E3" w:rsidP="002406E3">
      <w:pPr>
        <w:rPr>
          <w:sz w:val="20"/>
          <w:lang w:val="es-ES_tradnl"/>
        </w:rPr>
      </w:pPr>
      <w:r w:rsidRPr="00497F19">
        <w:rPr>
          <w:sz w:val="20"/>
          <w:lang w:val="es-ES_tradnl"/>
        </w:rPr>
        <w:t xml:space="preserve">Nota: </w:t>
      </w:r>
      <w:r w:rsidR="00AA6DD9" w:rsidRPr="00497F19">
        <w:rPr>
          <w:sz w:val="20"/>
          <w:lang w:val="es-ES_tradnl"/>
        </w:rPr>
        <w:t xml:space="preserve"> </w:t>
      </w:r>
      <w:r w:rsidRPr="00497F19">
        <w:rPr>
          <w:sz w:val="20"/>
          <w:lang w:val="es-ES_tradnl"/>
        </w:rPr>
        <w:t>Fondo fiduciario que reviste la forma de contribuciones voluntarias (de los Gobiernos de Australia, Francia, Noruega, Nueva Zelandia, Sudáfrica, Suecia y Suiza, así como del Fondo Christensen) destinadas a facilitar la participación de los representantes de las comunidades autóctonas y locales acreditadas en la labor del Comité Intergubernamental sobre Propiedad Intelectual y Recursos Genéticos, Conocimientos Tradicionales y Folclore.</w:t>
      </w:r>
    </w:p>
    <w:p w:rsidR="002406E3" w:rsidRPr="00497F19" w:rsidRDefault="002406E3" w:rsidP="002406E3">
      <w:pPr>
        <w:rPr>
          <w:sz w:val="16"/>
          <w:szCs w:val="16"/>
          <w:lang w:val="es-ES_tradnl" w:eastAsia="da-DK"/>
        </w:rPr>
      </w:pPr>
    </w:p>
    <w:p w:rsidR="002406E3" w:rsidRPr="00497F19" w:rsidRDefault="00AD281A" w:rsidP="002406E3">
      <w:pPr>
        <w:rPr>
          <w:sz w:val="16"/>
          <w:szCs w:val="16"/>
          <w:lang w:val="es-ES_tradnl" w:eastAsia="da-DK"/>
        </w:rPr>
      </w:pPr>
      <w:r w:rsidRPr="00497F19">
        <w:rPr>
          <w:noProof/>
          <w:lang w:val="en-US" w:eastAsia="en-US"/>
        </w:rPr>
        <w:drawing>
          <wp:inline distT="0" distB="0" distL="0" distR="0" wp14:anchorId="5D1CE0AB" wp14:editId="37E3DCA9">
            <wp:extent cx="5760085" cy="2897994"/>
            <wp:effectExtent l="0" t="0" r="0" b="0"/>
            <wp:docPr id="1220" name="Picture 1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760085" cy="2897994"/>
                    </a:xfrm>
                    <a:prstGeom prst="rect">
                      <a:avLst/>
                    </a:prstGeom>
                    <a:noFill/>
                    <a:ln>
                      <a:noFill/>
                    </a:ln>
                  </pic:spPr>
                </pic:pic>
              </a:graphicData>
            </a:graphic>
          </wp:inline>
        </w:drawing>
      </w:r>
    </w:p>
    <w:p w:rsidR="002406E3" w:rsidRPr="00497F19" w:rsidRDefault="002406E3" w:rsidP="002406E3">
      <w:pPr>
        <w:rPr>
          <w:sz w:val="16"/>
          <w:szCs w:val="16"/>
          <w:lang w:val="es-ES_tradnl" w:eastAsia="da-DK"/>
        </w:rPr>
      </w:pPr>
    </w:p>
    <w:p w:rsidR="002406E3" w:rsidRPr="00497F19" w:rsidRDefault="002406E3" w:rsidP="002406E3">
      <w:pPr>
        <w:rPr>
          <w:sz w:val="20"/>
          <w:lang w:val="es-ES_tradnl"/>
        </w:rPr>
      </w:pPr>
      <w:r w:rsidRPr="00497F19">
        <w:rPr>
          <w:sz w:val="20"/>
          <w:lang w:val="es-ES_tradnl"/>
        </w:rPr>
        <w:t xml:space="preserve">Nota:  Fondo fiduciario que reviste la forma de un acuerdo de cooperación entre el Gobierno de Australia y la OMPI para promover un mayor desarrollo de los sistemas de propiedad intelectual en los países menos adelantados (PMA) y en los países en desarrollo. </w:t>
      </w:r>
    </w:p>
    <w:p w:rsidR="002406E3" w:rsidRPr="00497F19" w:rsidRDefault="002406E3" w:rsidP="002406E3">
      <w:pPr>
        <w:rPr>
          <w:sz w:val="20"/>
          <w:lang w:val="es-ES_tradnl" w:eastAsia="da-DK"/>
        </w:rPr>
      </w:pPr>
    </w:p>
    <w:p w:rsidR="002406E3" w:rsidRPr="00497F19" w:rsidRDefault="00AD281A" w:rsidP="002406E3">
      <w:pPr>
        <w:rPr>
          <w:sz w:val="16"/>
          <w:szCs w:val="16"/>
          <w:lang w:val="es-ES_tradnl" w:eastAsia="da-DK"/>
        </w:rPr>
      </w:pPr>
      <w:r w:rsidRPr="00497F19">
        <w:rPr>
          <w:noProof/>
          <w:lang w:val="en-US" w:eastAsia="en-US"/>
        </w:rPr>
        <w:drawing>
          <wp:inline distT="0" distB="0" distL="0" distR="0" wp14:anchorId="2F1849D2" wp14:editId="51D4B8DB">
            <wp:extent cx="5760085" cy="1295625"/>
            <wp:effectExtent l="0" t="0" r="0" b="0"/>
            <wp:docPr id="1221" name="Picture 1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760085" cy="1295625"/>
                    </a:xfrm>
                    <a:prstGeom prst="rect">
                      <a:avLst/>
                    </a:prstGeom>
                    <a:noFill/>
                    <a:ln>
                      <a:noFill/>
                    </a:ln>
                  </pic:spPr>
                </pic:pic>
              </a:graphicData>
            </a:graphic>
          </wp:inline>
        </w:drawing>
      </w:r>
    </w:p>
    <w:p w:rsidR="002406E3" w:rsidRPr="00497F19" w:rsidRDefault="002406E3" w:rsidP="002406E3">
      <w:pPr>
        <w:rPr>
          <w:sz w:val="16"/>
          <w:szCs w:val="16"/>
          <w:lang w:val="es-ES_tradnl" w:eastAsia="da-DK"/>
        </w:rPr>
      </w:pPr>
    </w:p>
    <w:p w:rsidR="002406E3" w:rsidRPr="00497F19" w:rsidRDefault="002406E3" w:rsidP="002406E3">
      <w:pPr>
        <w:jc w:val="both"/>
        <w:rPr>
          <w:sz w:val="20"/>
          <w:lang w:val="es-ES_tradnl"/>
        </w:rPr>
      </w:pPr>
      <w:r w:rsidRPr="00497F19">
        <w:rPr>
          <w:sz w:val="20"/>
          <w:lang w:val="es-ES_tradnl"/>
        </w:rPr>
        <w:t>Nota:  Fondo fiduciario que reviste la forma de un acuerdo de cooperación técnica entre el Gobierno del Brasil y la OMPI para la puesta en práctica de un programa de formación y fortalecimiento de capacidad del personal técnico del Instituto Nacional de la Propiedad Intelectual (INPI) y la difusión de la cultura de la propiedad intelectual en el Brasil.</w:t>
      </w:r>
    </w:p>
    <w:p w:rsidR="002406E3" w:rsidRPr="00497F19" w:rsidRDefault="002406E3" w:rsidP="002406E3">
      <w:pPr>
        <w:jc w:val="both"/>
        <w:rPr>
          <w:sz w:val="20"/>
          <w:lang w:val="es-ES_tradnl"/>
        </w:rPr>
      </w:pPr>
    </w:p>
    <w:p w:rsidR="002406E3" w:rsidRPr="00497F19" w:rsidRDefault="002406E3" w:rsidP="002406E3">
      <w:pPr>
        <w:jc w:val="both"/>
        <w:rPr>
          <w:szCs w:val="22"/>
          <w:lang w:val="es-ES_tradnl"/>
        </w:rPr>
      </w:pPr>
      <w:r w:rsidRPr="00497F19">
        <w:rPr>
          <w:sz w:val="20"/>
          <w:lang w:val="es-ES_tradnl"/>
        </w:rPr>
        <w:t xml:space="preserve">Las cuentas e informes financieros relativos a este fondo fiduciario </w:t>
      </w:r>
      <w:r w:rsidR="009723B2" w:rsidRPr="00497F19">
        <w:rPr>
          <w:sz w:val="20"/>
          <w:lang w:val="es-ES_tradnl"/>
        </w:rPr>
        <w:t xml:space="preserve">son mantenidos </w:t>
      </w:r>
      <w:r w:rsidRPr="00497F19">
        <w:rPr>
          <w:sz w:val="20"/>
          <w:lang w:val="es-ES_tradnl"/>
        </w:rPr>
        <w:t>en dólares de los EE.UU.  Por consiguiente, las diferencias cambiarias en que se haya incurrido han sido absorbidas por la OMPI.</w:t>
      </w:r>
      <w:r w:rsidRPr="00497F19">
        <w:rPr>
          <w:szCs w:val="22"/>
          <w:lang w:val="es-ES_tradnl"/>
        </w:rPr>
        <w:br w:type="page"/>
      </w:r>
    </w:p>
    <w:p w:rsidR="002406E3" w:rsidRPr="00497F19" w:rsidRDefault="002406E3" w:rsidP="002406E3">
      <w:pPr>
        <w:jc w:val="both"/>
        <w:rPr>
          <w:szCs w:val="22"/>
          <w:lang w:val="es-ES_tradnl"/>
        </w:rPr>
      </w:pPr>
    </w:p>
    <w:p w:rsidR="002406E3" w:rsidRPr="00497F19" w:rsidRDefault="00BD6E28" w:rsidP="002406E3">
      <w:pPr>
        <w:jc w:val="both"/>
        <w:rPr>
          <w:szCs w:val="22"/>
          <w:lang w:val="es-ES_tradnl"/>
        </w:rPr>
      </w:pPr>
      <w:r w:rsidRPr="00497F19">
        <w:rPr>
          <w:noProof/>
          <w:lang w:val="en-US" w:eastAsia="en-US"/>
        </w:rPr>
        <w:drawing>
          <wp:inline distT="0" distB="0" distL="0" distR="0" wp14:anchorId="224BE1BA" wp14:editId="541F6925">
            <wp:extent cx="5760085" cy="2414890"/>
            <wp:effectExtent l="0" t="0" r="0" b="5080"/>
            <wp:docPr id="1222" name="Picture 1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760085" cy="2414890"/>
                    </a:xfrm>
                    <a:prstGeom prst="rect">
                      <a:avLst/>
                    </a:prstGeom>
                    <a:noFill/>
                    <a:ln>
                      <a:noFill/>
                    </a:ln>
                  </pic:spPr>
                </pic:pic>
              </a:graphicData>
            </a:graphic>
          </wp:inline>
        </w:drawing>
      </w:r>
    </w:p>
    <w:p w:rsidR="002406E3" w:rsidRPr="00497F19" w:rsidRDefault="002406E3" w:rsidP="002406E3">
      <w:pPr>
        <w:jc w:val="both"/>
        <w:rPr>
          <w:iCs/>
          <w:szCs w:val="22"/>
          <w:lang w:val="es-ES_tradnl"/>
        </w:rPr>
      </w:pPr>
    </w:p>
    <w:p w:rsidR="002406E3" w:rsidRPr="00497F19" w:rsidRDefault="002406E3" w:rsidP="002406E3">
      <w:pPr>
        <w:jc w:val="both"/>
        <w:rPr>
          <w:sz w:val="20"/>
          <w:lang w:val="es-ES_tradnl"/>
        </w:rPr>
      </w:pPr>
      <w:r w:rsidRPr="00497F19">
        <w:rPr>
          <w:sz w:val="20"/>
          <w:lang w:val="es-ES_tradnl"/>
        </w:rPr>
        <w:t xml:space="preserve">Nota:  Fondo fiduciario que reviste la forma de un acuerdo de cooperación técnica entre el Gobierno del Brasil y la OMPI para la difusión de la cultura de la propiedad intelectual y la introducción de </w:t>
      </w:r>
      <w:r w:rsidR="00B1600C" w:rsidRPr="00497F19">
        <w:rPr>
          <w:sz w:val="20"/>
          <w:lang w:val="es-ES_tradnl"/>
        </w:rPr>
        <w:t xml:space="preserve">mejores </w:t>
      </w:r>
      <w:r w:rsidRPr="00497F19">
        <w:rPr>
          <w:sz w:val="20"/>
          <w:lang w:val="es-ES_tradnl"/>
        </w:rPr>
        <w:t>prácticas.</w:t>
      </w:r>
    </w:p>
    <w:p w:rsidR="002406E3" w:rsidRPr="00497F19" w:rsidRDefault="002406E3" w:rsidP="002406E3">
      <w:pPr>
        <w:rPr>
          <w:sz w:val="16"/>
          <w:szCs w:val="16"/>
          <w:lang w:val="es-ES_tradnl" w:eastAsia="da-DK"/>
        </w:rPr>
      </w:pPr>
    </w:p>
    <w:p w:rsidR="002406E3" w:rsidRPr="00497F19" w:rsidRDefault="00BD6E28" w:rsidP="002406E3">
      <w:pPr>
        <w:rPr>
          <w:sz w:val="16"/>
          <w:szCs w:val="16"/>
          <w:lang w:val="es-ES_tradnl" w:eastAsia="da-DK"/>
        </w:rPr>
      </w:pPr>
      <w:r w:rsidRPr="00497F19">
        <w:rPr>
          <w:noProof/>
          <w:lang w:val="en-US" w:eastAsia="en-US"/>
        </w:rPr>
        <w:drawing>
          <wp:inline distT="0" distB="0" distL="0" distR="0" wp14:anchorId="6B141DCC" wp14:editId="7DC7FCE3">
            <wp:extent cx="5760085" cy="2261833"/>
            <wp:effectExtent l="0" t="0" r="0" b="5715"/>
            <wp:docPr id="1223" name="Picture 1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760085" cy="2261833"/>
                    </a:xfrm>
                    <a:prstGeom prst="rect">
                      <a:avLst/>
                    </a:prstGeom>
                    <a:noFill/>
                    <a:ln>
                      <a:noFill/>
                    </a:ln>
                  </pic:spPr>
                </pic:pic>
              </a:graphicData>
            </a:graphic>
          </wp:inline>
        </w:drawing>
      </w:r>
    </w:p>
    <w:p w:rsidR="002406E3" w:rsidRPr="00497F19" w:rsidRDefault="002406E3" w:rsidP="002406E3">
      <w:pPr>
        <w:jc w:val="both"/>
        <w:rPr>
          <w:szCs w:val="22"/>
          <w:lang w:val="es-ES_tradnl" w:eastAsia="da-DK"/>
        </w:rPr>
      </w:pPr>
    </w:p>
    <w:p w:rsidR="002406E3" w:rsidRPr="00497F19" w:rsidRDefault="002406E3" w:rsidP="002406E3">
      <w:pPr>
        <w:jc w:val="both"/>
        <w:rPr>
          <w:sz w:val="20"/>
          <w:lang w:val="es-ES_tradnl"/>
        </w:rPr>
      </w:pPr>
      <w:r w:rsidRPr="00497F19">
        <w:rPr>
          <w:sz w:val="20"/>
          <w:lang w:val="es-ES_tradnl"/>
        </w:rPr>
        <w:t xml:space="preserve">Nota:  Fondo fiduciario que reviste la forma de un acuerdo de cooperación técnica entre el Gobierno del Brasil y la OMPI para la ejecución de iniciativas en el ámbito de la cooperación Sur-Sur, con el fin de potenciar la capacidad de los países en desarrollo de utilizar las herramientas de propiedad intelectual. </w:t>
      </w:r>
    </w:p>
    <w:p w:rsidR="002406E3" w:rsidRPr="00497F19" w:rsidRDefault="002406E3" w:rsidP="002406E3">
      <w:pPr>
        <w:rPr>
          <w:sz w:val="16"/>
          <w:szCs w:val="16"/>
          <w:lang w:val="es-ES_tradnl" w:eastAsia="da-DK"/>
        </w:rPr>
      </w:pPr>
    </w:p>
    <w:p w:rsidR="002406E3" w:rsidRPr="00497F19" w:rsidRDefault="00BD6E28" w:rsidP="002406E3">
      <w:pPr>
        <w:rPr>
          <w:sz w:val="16"/>
          <w:szCs w:val="16"/>
          <w:lang w:val="es-ES_tradnl" w:eastAsia="da-DK"/>
        </w:rPr>
      </w:pPr>
      <w:r w:rsidRPr="00497F19">
        <w:rPr>
          <w:noProof/>
          <w:lang w:val="en-US" w:eastAsia="en-US"/>
        </w:rPr>
        <w:drawing>
          <wp:inline distT="0" distB="0" distL="0" distR="0" wp14:anchorId="2307B69F" wp14:editId="79F5AFCD">
            <wp:extent cx="5760085" cy="1778729"/>
            <wp:effectExtent l="0" t="0" r="0" b="0"/>
            <wp:docPr id="1224" name="Picture 1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760085" cy="1778729"/>
                    </a:xfrm>
                    <a:prstGeom prst="rect">
                      <a:avLst/>
                    </a:prstGeom>
                    <a:noFill/>
                    <a:ln>
                      <a:noFill/>
                    </a:ln>
                  </pic:spPr>
                </pic:pic>
              </a:graphicData>
            </a:graphic>
          </wp:inline>
        </w:drawing>
      </w:r>
    </w:p>
    <w:p w:rsidR="002406E3" w:rsidRPr="00497F19" w:rsidRDefault="002406E3" w:rsidP="002406E3">
      <w:pPr>
        <w:rPr>
          <w:sz w:val="16"/>
          <w:szCs w:val="16"/>
          <w:lang w:val="es-ES_tradnl" w:eastAsia="da-DK"/>
        </w:rPr>
      </w:pPr>
    </w:p>
    <w:p w:rsidR="002406E3" w:rsidRPr="00497F19" w:rsidRDefault="002406E3" w:rsidP="002406E3">
      <w:pPr>
        <w:jc w:val="both"/>
        <w:rPr>
          <w:sz w:val="20"/>
          <w:lang w:val="es-ES_tradnl"/>
        </w:rPr>
      </w:pPr>
      <w:r w:rsidRPr="00497F19">
        <w:rPr>
          <w:sz w:val="20"/>
          <w:lang w:val="es-ES_tradnl"/>
        </w:rPr>
        <w:t>Nota:  Fondo fiduciario que reviste la forma de un acuerdo de cooperación técnica entre el Gobierno de Costa Rica y la OMPI para la modernización de los sistemas de patentes y marcas de la Oficina Nacional de la Propiedad Intelectual.  Las cuentas e informes financieros relativos a este fondo fiduciario son mantenidos en dólares de los EE.UU.</w:t>
      </w:r>
    </w:p>
    <w:p w:rsidR="002406E3" w:rsidRPr="00497F19" w:rsidRDefault="002406E3" w:rsidP="002406E3">
      <w:pPr>
        <w:jc w:val="both"/>
        <w:rPr>
          <w:szCs w:val="22"/>
          <w:lang w:val="es-ES_tradnl"/>
        </w:rPr>
      </w:pPr>
    </w:p>
    <w:p w:rsidR="002406E3" w:rsidRPr="00497F19" w:rsidRDefault="002406E3" w:rsidP="002406E3">
      <w:pPr>
        <w:jc w:val="both"/>
        <w:rPr>
          <w:szCs w:val="22"/>
          <w:lang w:val="es-ES_tradnl"/>
        </w:rPr>
      </w:pPr>
    </w:p>
    <w:p w:rsidR="002406E3" w:rsidRPr="00497F19" w:rsidRDefault="00C47846" w:rsidP="002406E3">
      <w:pPr>
        <w:jc w:val="both"/>
        <w:rPr>
          <w:szCs w:val="22"/>
          <w:lang w:val="es-ES_tradnl"/>
        </w:rPr>
      </w:pPr>
      <w:r w:rsidRPr="00497F19">
        <w:rPr>
          <w:noProof/>
          <w:lang w:val="en-US" w:eastAsia="en-US"/>
        </w:rPr>
        <w:lastRenderedPageBreak/>
        <w:drawing>
          <wp:inline distT="0" distB="0" distL="0" distR="0" wp14:anchorId="434E3EA8" wp14:editId="2BC69052">
            <wp:extent cx="5760085" cy="1778729"/>
            <wp:effectExtent l="0" t="0" r="0" b="0"/>
            <wp:docPr id="1225" name="Picture 1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760085" cy="1778729"/>
                    </a:xfrm>
                    <a:prstGeom prst="rect">
                      <a:avLst/>
                    </a:prstGeom>
                    <a:noFill/>
                    <a:ln>
                      <a:noFill/>
                    </a:ln>
                  </pic:spPr>
                </pic:pic>
              </a:graphicData>
            </a:graphic>
          </wp:inline>
        </w:drawing>
      </w:r>
    </w:p>
    <w:p w:rsidR="002406E3" w:rsidRPr="00497F19" w:rsidRDefault="002406E3" w:rsidP="002406E3">
      <w:pPr>
        <w:jc w:val="both"/>
        <w:rPr>
          <w:iCs/>
          <w:szCs w:val="22"/>
          <w:lang w:val="es-ES_tradnl"/>
        </w:rPr>
      </w:pPr>
    </w:p>
    <w:p w:rsidR="002406E3" w:rsidRPr="00497F19" w:rsidRDefault="002406E3" w:rsidP="002406E3">
      <w:pPr>
        <w:jc w:val="both"/>
        <w:rPr>
          <w:sz w:val="20"/>
          <w:lang w:val="es-ES_tradnl"/>
        </w:rPr>
      </w:pPr>
      <w:r w:rsidRPr="00497F19">
        <w:rPr>
          <w:sz w:val="20"/>
          <w:lang w:val="es-ES_tradnl"/>
        </w:rPr>
        <w:t xml:space="preserve">Nota:  Fondo fiduciario que reviste la forma de un acuerdo de cooperación entre el Gobierno de El Salvador y la OMPI para la modernización y fortalecimiento del sistema nacional de propiedad industrial. </w:t>
      </w:r>
      <w:r w:rsidR="00477A23">
        <w:rPr>
          <w:sz w:val="20"/>
          <w:lang w:val="es-ES_tradnl"/>
        </w:rPr>
        <w:t xml:space="preserve"> </w:t>
      </w:r>
      <w:r w:rsidRPr="00497F19">
        <w:rPr>
          <w:sz w:val="20"/>
          <w:lang w:val="es-ES_tradnl"/>
        </w:rPr>
        <w:t>Las cuentas e informes financieros relativos a este fondo fiduciario son mantenidos en dólares de los EE.UU.</w:t>
      </w:r>
    </w:p>
    <w:p w:rsidR="002406E3" w:rsidRPr="00497F19" w:rsidRDefault="002406E3" w:rsidP="002406E3">
      <w:pPr>
        <w:jc w:val="both"/>
        <w:rPr>
          <w:szCs w:val="22"/>
          <w:lang w:val="es-ES_tradnl"/>
        </w:rPr>
      </w:pPr>
    </w:p>
    <w:p w:rsidR="002406E3" w:rsidRPr="00497F19" w:rsidRDefault="00C47846" w:rsidP="002406E3">
      <w:pPr>
        <w:rPr>
          <w:sz w:val="16"/>
          <w:szCs w:val="16"/>
          <w:lang w:val="es-ES_tradnl" w:eastAsia="da-DK"/>
        </w:rPr>
      </w:pPr>
      <w:r w:rsidRPr="00497F19">
        <w:rPr>
          <w:noProof/>
          <w:lang w:val="en-US" w:eastAsia="en-US"/>
        </w:rPr>
        <w:drawing>
          <wp:inline distT="0" distB="0" distL="0" distR="0" wp14:anchorId="3D314A51" wp14:editId="26FCC9B0">
            <wp:extent cx="5760085" cy="1460649"/>
            <wp:effectExtent l="0" t="0" r="0" b="6350"/>
            <wp:docPr id="1226" name="Picture 1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760085" cy="1460649"/>
                    </a:xfrm>
                    <a:prstGeom prst="rect">
                      <a:avLst/>
                    </a:prstGeom>
                    <a:noFill/>
                    <a:ln>
                      <a:noFill/>
                    </a:ln>
                  </pic:spPr>
                </pic:pic>
              </a:graphicData>
            </a:graphic>
          </wp:inline>
        </w:drawing>
      </w:r>
    </w:p>
    <w:p w:rsidR="002406E3" w:rsidRPr="00497F19" w:rsidRDefault="002406E3" w:rsidP="002406E3">
      <w:pPr>
        <w:rPr>
          <w:sz w:val="20"/>
          <w:lang w:val="es-ES_tradnl" w:eastAsia="da-DK"/>
        </w:rPr>
      </w:pPr>
    </w:p>
    <w:p w:rsidR="002406E3" w:rsidRPr="00497F19" w:rsidRDefault="002406E3" w:rsidP="002406E3">
      <w:pPr>
        <w:jc w:val="both"/>
        <w:rPr>
          <w:sz w:val="20"/>
          <w:lang w:val="es-ES_tradnl"/>
        </w:rPr>
      </w:pPr>
      <w:r w:rsidRPr="00497F19">
        <w:rPr>
          <w:sz w:val="20"/>
          <w:lang w:val="es-ES_tradnl"/>
        </w:rPr>
        <w:t>Nota:  Fondo fiduciario que reviste la forma de un acuerdo entre la Comunidad Europea (CE) y la OMPI para la modernización del sistema de propiedad intelectual de Bangladesh.  Las cuentas e informes financieros relativos a este fondo fiduciario son mantenidos en euros. Por consiguiente, las diferencias cambiarias en que se haya incurrido han sido absorbidas por la OMPI.</w:t>
      </w:r>
    </w:p>
    <w:p w:rsidR="002406E3" w:rsidRPr="00497F19" w:rsidRDefault="002406E3" w:rsidP="002406E3">
      <w:pPr>
        <w:rPr>
          <w:sz w:val="16"/>
          <w:szCs w:val="16"/>
          <w:lang w:val="es-ES_tradnl" w:eastAsia="da-DK"/>
        </w:rPr>
      </w:pPr>
    </w:p>
    <w:p w:rsidR="002406E3" w:rsidRPr="00497F19" w:rsidRDefault="00C47846" w:rsidP="002406E3">
      <w:pPr>
        <w:rPr>
          <w:sz w:val="16"/>
          <w:szCs w:val="16"/>
          <w:lang w:val="es-ES_tradnl" w:eastAsia="da-DK"/>
        </w:rPr>
      </w:pPr>
      <w:r w:rsidRPr="00497F19">
        <w:rPr>
          <w:noProof/>
          <w:lang w:val="en-US" w:eastAsia="en-US"/>
        </w:rPr>
        <w:drawing>
          <wp:inline distT="0" distB="0" distL="0" distR="0" wp14:anchorId="4196086A" wp14:editId="33CDAFF6">
            <wp:extent cx="5760085" cy="3380468"/>
            <wp:effectExtent l="0" t="0" r="0" b="0"/>
            <wp:docPr id="1227" name="Picture 1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760085" cy="3380468"/>
                    </a:xfrm>
                    <a:prstGeom prst="rect">
                      <a:avLst/>
                    </a:prstGeom>
                    <a:noFill/>
                    <a:ln>
                      <a:noFill/>
                    </a:ln>
                  </pic:spPr>
                </pic:pic>
              </a:graphicData>
            </a:graphic>
          </wp:inline>
        </w:drawing>
      </w:r>
    </w:p>
    <w:p w:rsidR="002406E3" w:rsidRPr="00497F19" w:rsidRDefault="002406E3" w:rsidP="002406E3">
      <w:pPr>
        <w:rPr>
          <w:szCs w:val="22"/>
          <w:lang w:val="es-ES_tradnl" w:eastAsia="da-DK"/>
        </w:rPr>
      </w:pPr>
    </w:p>
    <w:p w:rsidR="002406E3" w:rsidRPr="00497F19" w:rsidRDefault="002406E3" w:rsidP="002406E3">
      <w:pPr>
        <w:jc w:val="both"/>
        <w:rPr>
          <w:sz w:val="20"/>
          <w:lang w:val="es-ES_tradnl"/>
        </w:rPr>
      </w:pPr>
      <w:r w:rsidRPr="00497F19">
        <w:rPr>
          <w:sz w:val="20"/>
          <w:lang w:val="es-ES_tradnl"/>
        </w:rPr>
        <w:t>Nota:  Fondo fiduciario que reviste la forma de un acuerdo entre la Comunidad Europea (CE) y la OMPI para la modernización del sistema de la propiedad intelectual del Pakistán.</w:t>
      </w:r>
    </w:p>
    <w:p w:rsidR="002406E3" w:rsidRPr="00497F19" w:rsidRDefault="002406E3" w:rsidP="002406E3">
      <w:pPr>
        <w:jc w:val="both"/>
        <w:rPr>
          <w:sz w:val="20"/>
          <w:lang w:val="es-ES_tradnl"/>
        </w:rPr>
      </w:pPr>
      <w:r w:rsidRPr="00497F19">
        <w:rPr>
          <w:sz w:val="20"/>
          <w:lang w:val="es-ES_tradnl"/>
        </w:rPr>
        <w:t>Las cuentas e informes financieros relativos a este fondo fiduciario son mantenidos en euros.</w:t>
      </w:r>
    </w:p>
    <w:p w:rsidR="002406E3" w:rsidRPr="00497F19" w:rsidRDefault="002406E3" w:rsidP="002406E3">
      <w:pPr>
        <w:jc w:val="both"/>
        <w:rPr>
          <w:szCs w:val="22"/>
          <w:lang w:val="es-ES_tradnl"/>
        </w:rPr>
      </w:pPr>
    </w:p>
    <w:p w:rsidR="002406E3" w:rsidRPr="00497F19" w:rsidRDefault="002406E3" w:rsidP="002406E3">
      <w:pPr>
        <w:jc w:val="both"/>
        <w:rPr>
          <w:szCs w:val="22"/>
          <w:lang w:val="es-ES_tradnl"/>
        </w:rPr>
      </w:pPr>
    </w:p>
    <w:p w:rsidR="002406E3" w:rsidRPr="00497F19" w:rsidRDefault="002406E3" w:rsidP="002406E3">
      <w:pPr>
        <w:jc w:val="both"/>
        <w:rPr>
          <w:szCs w:val="22"/>
          <w:lang w:val="es-ES_tradnl"/>
        </w:rPr>
      </w:pPr>
    </w:p>
    <w:p w:rsidR="002406E3" w:rsidRPr="00497F19" w:rsidRDefault="002406E3" w:rsidP="002406E3">
      <w:pPr>
        <w:jc w:val="both"/>
        <w:rPr>
          <w:szCs w:val="22"/>
          <w:lang w:val="es-ES_tradnl"/>
        </w:rPr>
      </w:pPr>
    </w:p>
    <w:p w:rsidR="002406E3" w:rsidRPr="00497F19" w:rsidRDefault="003C600C" w:rsidP="002406E3">
      <w:pPr>
        <w:jc w:val="both"/>
        <w:rPr>
          <w:szCs w:val="22"/>
          <w:lang w:val="es-ES_tradnl"/>
        </w:rPr>
      </w:pPr>
      <w:r w:rsidRPr="00497F19">
        <w:rPr>
          <w:noProof/>
          <w:lang w:val="en-US" w:eastAsia="en-US"/>
        </w:rPr>
        <w:drawing>
          <wp:inline distT="0" distB="0" distL="0" distR="0" wp14:anchorId="2CDA1FAF" wp14:editId="46FE4D32">
            <wp:extent cx="5760085" cy="1778729"/>
            <wp:effectExtent l="0" t="0" r="0" b="0"/>
            <wp:docPr id="1229" name="Picture 1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760085" cy="1778729"/>
                    </a:xfrm>
                    <a:prstGeom prst="rect">
                      <a:avLst/>
                    </a:prstGeom>
                    <a:noFill/>
                    <a:ln>
                      <a:noFill/>
                    </a:ln>
                  </pic:spPr>
                </pic:pic>
              </a:graphicData>
            </a:graphic>
          </wp:inline>
        </w:drawing>
      </w:r>
    </w:p>
    <w:p w:rsidR="002406E3" w:rsidRPr="00497F19" w:rsidRDefault="002406E3" w:rsidP="002406E3">
      <w:pPr>
        <w:rPr>
          <w:sz w:val="16"/>
          <w:szCs w:val="16"/>
          <w:lang w:val="es-ES_tradnl" w:eastAsia="da-DK"/>
        </w:rPr>
      </w:pPr>
    </w:p>
    <w:p w:rsidR="002406E3" w:rsidRPr="00497F19" w:rsidRDefault="002406E3" w:rsidP="002406E3">
      <w:pPr>
        <w:jc w:val="both"/>
        <w:rPr>
          <w:sz w:val="20"/>
          <w:lang w:val="es-ES_tradnl"/>
        </w:rPr>
      </w:pPr>
      <w:r w:rsidRPr="00497F19">
        <w:rPr>
          <w:sz w:val="20"/>
          <w:lang w:val="es-ES_tradnl"/>
        </w:rPr>
        <w:t xml:space="preserve">Nota:  Fondo fiduciario que reviste la forma de un acuerdo de cooperación entre la </w:t>
      </w:r>
      <w:r w:rsidRPr="00497F19">
        <w:rPr>
          <w:i/>
          <w:sz w:val="20"/>
          <w:lang w:val="es-ES_tradnl"/>
        </w:rPr>
        <w:t>Finnish Copyright Society</w:t>
      </w:r>
      <w:r w:rsidRPr="00497F19">
        <w:rPr>
          <w:sz w:val="20"/>
          <w:lang w:val="es-ES_tradnl"/>
        </w:rPr>
        <w:t xml:space="preserve"> y la OMPI en el ámbito de las actividades de su sector de cultura e industrias creativas.</w:t>
      </w:r>
      <w:r w:rsidR="003C600C" w:rsidRPr="00497F19">
        <w:rPr>
          <w:sz w:val="20"/>
          <w:lang w:val="es-ES_tradnl"/>
        </w:rPr>
        <w:t xml:space="preserve">  </w:t>
      </w:r>
    </w:p>
    <w:p w:rsidR="002406E3" w:rsidRPr="00497F19" w:rsidRDefault="002406E3" w:rsidP="002406E3">
      <w:pPr>
        <w:jc w:val="both"/>
        <w:rPr>
          <w:sz w:val="20"/>
          <w:lang w:val="es-ES_tradnl"/>
        </w:rPr>
      </w:pPr>
      <w:r w:rsidRPr="00497F19">
        <w:rPr>
          <w:sz w:val="20"/>
          <w:lang w:val="es-ES_tradnl"/>
        </w:rPr>
        <w:t>Las cuentas e informes financieros relativos a este fondo fiduciario son mantenidos en euros.</w:t>
      </w:r>
    </w:p>
    <w:p w:rsidR="002406E3" w:rsidRPr="00497F19" w:rsidRDefault="002406E3" w:rsidP="002406E3">
      <w:pPr>
        <w:rPr>
          <w:sz w:val="20"/>
          <w:lang w:val="es-ES_tradnl" w:eastAsia="da-DK"/>
        </w:rPr>
      </w:pPr>
    </w:p>
    <w:p w:rsidR="002406E3" w:rsidRPr="00497F19" w:rsidRDefault="003C600C" w:rsidP="002406E3">
      <w:pPr>
        <w:rPr>
          <w:sz w:val="16"/>
          <w:szCs w:val="16"/>
          <w:lang w:val="es-ES_tradnl" w:eastAsia="da-DK"/>
        </w:rPr>
      </w:pPr>
      <w:r w:rsidRPr="00497F19">
        <w:rPr>
          <w:noProof/>
          <w:lang w:val="en-US" w:eastAsia="en-US"/>
        </w:rPr>
        <w:drawing>
          <wp:inline distT="0" distB="0" distL="0" distR="0" wp14:anchorId="3DBAC6CC" wp14:editId="41694FE9">
            <wp:extent cx="5760085" cy="1931786"/>
            <wp:effectExtent l="0" t="0" r="0" b="0"/>
            <wp:docPr id="1230" name="Picture 1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760085" cy="1931786"/>
                    </a:xfrm>
                    <a:prstGeom prst="rect">
                      <a:avLst/>
                    </a:prstGeom>
                    <a:noFill/>
                    <a:ln>
                      <a:noFill/>
                    </a:ln>
                  </pic:spPr>
                </pic:pic>
              </a:graphicData>
            </a:graphic>
          </wp:inline>
        </w:drawing>
      </w:r>
    </w:p>
    <w:p w:rsidR="002406E3" w:rsidRPr="00497F19" w:rsidRDefault="002406E3" w:rsidP="002406E3">
      <w:pPr>
        <w:rPr>
          <w:sz w:val="16"/>
          <w:szCs w:val="16"/>
          <w:lang w:val="es-ES_tradnl" w:eastAsia="da-DK"/>
        </w:rPr>
      </w:pPr>
    </w:p>
    <w:p w:rsidR="002406E3" w:rsidRPr="00497F19" w:rsidRDefault="002406E3" w:rsidP="002406E3">
      <w:pPr>
        <w:jc w:val="both"/>
        <w:rPr>
          <w:sz w:val="20"/>
          <w:lang w:val="es-ES_tradnl"/>
        </w:rPr>
      </w:pPr>
      <w:r w:rsidRPr="00497F19">
        <w:rPr>
          <w:sz w:val="20"/>
          <w:lang w:val="es-ES_tradnl"/>
        </w:rPr>
        <w:t xml:space="preserve">Nota:  Fondo fiduciario que reviste la forma de un acuerdo de cooperación entre el Ministerio de Educación y Cultura de Finlandia y la OMPI en el ámbito de las actividades de su sector de cultura e industrias creativas. </w:t>
      </w:r>
      <w:r w:rsidR="003C600C" w:rsidRPr="00497F19">
        <w:rPr>
          <w:sz w:val="20"/>
          <w:lang w:val="es-ES_tradnl"/>
        </w:rPr>
        <w:t xml:space="preserve"> </w:t>
      </w:r>
      <w:r w:rsidRPr="00497F19">
        <w:rPr>
          <w:sz w:val="20"/>
          <w:lang w:val="es-ES_tradnl"/>
        </w:rPr>
        <w:t>Las cuentas e informes financieros relativos a este fondo fiduciario son mantenidos en euros.</w:t>
      </w:r>
    </w:p>
    <w:p w:rsidR="002406E3" w:rsidRPr="00497F19" w:rsidRDefault="002406E3" w:rsidP="002406E3">
      <w:pPr>
        <w:jc w:val="both"/>
        <w:rPr>
          <w:sz w:val="20"/>
          <w:lang w:val="es-ES_tradnl"/>
        </w:rPr>
      </w:pPr>
    </w:p>
    <w:p w:rsidR="002406E3" w:rsidRPr="00497F19" w:rsidRDefault="002D474A" w:rsidP="002406E3">
      <w:pPr>
        <w:jc w:val="both"/>
        <w:rPr>
          <w:szCs w:val="22"/>
          <w:lang w:val="es-ES_tradnl"/>
        </w:rPr>
      </w:pPr>
      <w:r w:rsidRPr="00497F19">
        <w:rPr>
          <w:noProof/>
          <w:lang w:val="en-US" w:eastAsia="en-US"/>
        </w:rPr>
        <w:drawing>
          <wp:inline distT="0" distB="0" distL="0" distR="0" wp14:anchorId="19325F57" wp14:editId="3C804D32">
            <wp:extent cx="5760085" cy="2096810"/>
            <wp:effectExtent l="0" t="0" r="0" b="0"/>
            <wp:docPr id="1231" name="Picture 1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760085" cy="2096810"/>
                    </a:xfrm>
                    <a:prstGeom prst="rect">
                      <a:avLst/>
                    </a:prstGeom>
                    <a:noFill/>
                    <a:ln>
                      <a:noFill/>
                    </a:ln>
                  </pic:spPr>
                </pic:pic>
              </a:graphicData>
            </a:graphic>
          </wp:inline>
        </w:drawing>
      </w:r>
    </w:p>
    <w:p w:rsidR="002406E3" w:rsidRPr="00497F19" w:rsidRDefault="002406E3" w:rsidP="002406E3">
      <w:pPr>
        <w:jc w:val="both"/>
        <w:rPr>
          <w:szCs w:val="22"/>
          <w:lang w:val="es-ES_tradnl"/>
        </w:rPr>
      </w:pPr>
    </w:p>
    <w:p w:rsidR="002406E3" w:rsidRPr="00497F19" w:rsidRDefault="002406E3" w:rsidP="002406E3">
      <w:pPr>
        <w:jc w:val="both"/>
        <w:rPr>
          <w:sz w:val="20"/>
          <w:lang w:val="es-ES_tradnl"/>
        </w:rPr>
      </w:pPr>
      <w:r w:rsidRPr="00497F19">
        <w:rPr>
          <w:sz w:val="20"/>
          <w:lang w:val="es-ES_tradnl"/>
        </w:rPr>
        <w:t>Nota:  Fondo fiduciario que reviste la forma de un acuerdo de cooperación entre el Ministerio de Educación y Cultura de Finlandia y la OMPI en el ámbito de las actividades de su sector de derecho de autor y derechos conexos.</w:t>
      </w:r>
      <w:r w:rsidR="00AA3649">
        <w:rPr>
          <w:sz w:val="20"/>
          <w:lang w:val="es-ES_tradnl"/>
        </w:rPr>
        <w:t xml:space="preserve"> </w:t>
      </w:r>
      <w:r w:rsidRPr="00497F19">
        <w:rPr>
          <w:sz w:val="20"/>
          <w:lang w:val="es-ES_tradnl"/>
        </w:rPr>
        <w:t xml:space="preserve"> Las cuentas e informes financieros relativos a este fondo fiduciario son mantenidos en euros.</w:t>
      </w:r>
    </w:p>
    <w:p w:rsidR="002406E3" w:rsidRPr="00497F19" w:rsidRDefault="002406E3" w:rsidP="002406E3">
      <w:pPr>
        <w:rPr>
          <w:sz w:val="20"/>
          <w:lang w:val="es-ES_tradnl"/>
        </w:rPr>
      </w:pPr>
      <w:r w:rsidRPr="00497F19">
        <w:rPr>
          <w:sz w:val="20"/>
          <w:lang w:val="es-ES_tradnl"/>
        </w:rPr>
        <w:br w:type="page"/>
      </w:r>
    </w:p>
    <w:p w:rsidR="002406E3" w:rsidRPr="00497F19" w:rsidRDefault="002406E3" w:rsidP="002406E3">
      <w:pPr>
        <w:jc w:val="both"/>
        <w:rPr>
          <w:iCs/>
          <w:szCs w:val="22"/>
          <w:lang w:val="es-ES_tradnl"/>
        </w:rPr>
      </w:pPr>
    </w:p>
    <w:p w:rsidR="002406E3" w:rsidRPr="00497F19" w:rsidRDefault="002D474A" w:rsidP="002406E3">
      <w:pPr>
        <w:jc w:val="both"/>
        <w:rPr>
          <w:iCs/>
          <w:szCs w:val="22"/>
          <w:lang w:val="es-ES_tradnl"/>
        </w:rPr>
      </w:pPr>
      <w:r w:rsidRPr="00497F19">
        <w:rPr>
          <w:noProof/>
          <w:lang w:val="en-US" w:eastAsia="en-US"/>
        </w:rPr>
        <w:drawing>
          <wp:inline distT="0" distB="0" distL="0" distR="0" wp14:anchorId="2A92E054" wp14:editId="5FB4BDFF">
            <wp:extent cx="5760085" cy="1778729"/>
            <wp:effectExtent l="0" t="0" r="0" b="0"/>
            <wp:docPr id="1232" name="Picture 1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760085" cy="1778729"/>
                    </a:xfrm>
                    <a:prstGeom prst="rect">
                      <a:avLst/>
                    </a:prstGeom>
                    <a:noFill/>
                    <a:ln>
                      <a:noFill/>
                    </a:ln>
                  </pic:spPr>
                </pic:pic>
              </a:graphicData>
            </a:graphic>
          </wp:inline>
        </w:drawing>
      </w:r>
    </w:p>
    <w:p w:rsidR="002406E3" w:rsidRPr="00497F19" w:rsidRDefault="002406E3" w:rsidP="002406E3">
      <w:pPr>
        <w:jc w:val="both"/>
        <w:rPr>
          <w:iCs/>
          <w:szCs w:val="22"/>
          <w:lang w:val="es-ES_tradnl"/>
        </w:rPr>
      </w:pPr>
    </w:p>
    <w:p w:rsidR="002406E3" w:rsidRPr="00497F19" w:rsidRDefault="002406E3" w:rsidP="002406E3">
      <w:pPr>
        <w:jc w:val="both"/>
        <w:rPr>
          <w:iCs/>
          <w:sz w:val="20"/>
          <w:lang w:val="es-ES_tradnl"/>
        </w:rPr>
      </w:pPr>
      <w:r w:rsidRPr="00497F19">
        <w:rPr>
          <w:iCs/>
          <w:sz w:val="20"/>
          <w:lang w:val="es-ES_tradnl"/>
        </w:rPr>
        <w:t>Nota:  Fondo fiduciario que reviste la forma de una contribución voluntaria del Gobierno de Francia en favor del programa de la OMPI de cooperación para el desarrollo en el ámbito de la formación en derecho de autor.</w:t>
      </w:r>
    </w:p>
    <w:p w:rsidR="002406E3" w:rsidRPr="00497F19" w:rsidRDefault="002406E3" w:rsidP="002406E3">
      <w:pPr>
        <w:jc w:val="both"/>
        <w:rPr>
          <w:szCs w:val="22"/>
          <w:lang w:val="es-ES_tradnl"/>
        </w:rPr>
      </w:pPr>
    </w:p>
    <w:p w:rsidR="002406E3" w:rsidRPr="00497F19" w:rsidRDefault="002D474A" w:rsidP="002406E3">
      <w:pPr>
        <w:jc w:val="both"/>
        <w:rPr>
          <w:szCs w:val="22"/>
          <w:lang w:val="es-ES_tradnl"/>
        </w:rPr>
      </w:pPr>
      <w:r w:rsidRPr="00497F19">
        <w:rPr>
          <w:noProof/>
          <w:lang w:val="en-US" w:eastAsia="en-US"/>
        </w:rPr>
        <w:drawing>
          <wp:inline distT="0" distB="0" distL="0" distR="0" wp14:anchorId="6A93BB94" wp14:editId="40901314">
            <wp:extent cx="5760085" cy="2414890"/>
            <wp:effectExtent l="0" t="0" r="0" b="5080"/>
            <wp:docPr id="1233" name="Picture 1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760085" cy="2414890"/>
                    </a:xfrm>
                    <a:prstGeom prst="rect">
                      <a:avLst/>
                    </a:prstGeom>
                    <a:noFill/>
                    <a:ln>
                      <a:noFill/>
                    </a:ln>
                  </pic:spPr>
                </pic:pic>
              </a:graphicData>
            </a:graphic>
          </wp:inline>
        </w:drawing>
      </w:r>
    </w:p>
    <w:p w:rsidR="002406E3" w:rsidRPr="00497F19" w:rsidRDefault="002406E3" w:rsidP="002406E3">
      <w:pPr>
        <w:jc w:val="both"/>
        <w:rPr>
          <w:szCs w:val="22"/>
          <w:lang w:val="es-ES_tradnl"/>
        </w:rPr>
      </w:pPr>
    </w:p>
    <w:p w:rsidR="002406E3" w:rsidRPr="00497F19" w:rsidRDefault="002406E3" w:rsidP="002406E3">
      <w:pPr>
        <w:jc w:val="both"/>
        <w:rPr>
          <w:sz w:val="20"/>
          <w:lang w:val="es-ES_tradnl"/>
        </w:rPr>
      </w:pPr>
      <w:r w:rsidRPr="00497F19">
        <w:rPr>
          <w:sz w:val="20"/>
          <w:lang w:val="es-ES_tradnl"/>
        </w:rPr>
        <w:t>Nota:  Fondo fiduciario que reviste la forma de una contribución voluntaria del Gobierno de Francia en favor del programa de la OMPI de cooperación para el desarrollo en el ámbito de la propiedad industrial (Unión de París).</w:t>
      </w:r>
    </w:p>
    <w:p w:rsidR="002406E3" w:rsidRPr="00497F19" w:rsidRDefault="002406E3" w:rsidP="002406E3">
      <w:pPr>
        <w:jc w:val="both"/>
        <w:rPr>
          <w:sz w:val="20"/>
          <w:lang w:val="es-ES_tradnl"/>
        </w:rPr>
      </w:pPr>
    </w:p>
    <w:p w:rsidR="002406E3" w:rsidRPr="00497F19" w:rsidRDefault="002D474A" w:rsidP="002406E3">
      <w:pPr>
        <w:jc w:val="both"/>
        <w:rPr>
          <w:szCs w:val="22"/>
          <w:lang w:val="es-ES_tradnl"/>
        </w:rPr>
      </w:pPr>
      <w:r w:rsidRPr="00497F19">
        <w:rPr>
          <w:noProof/>
          <w:lang w:val="en-US" w:eastAsia="en-US"/>
        </w:rPr>
        <w:drawing>
          <wp:inline distT="0" distB="0" distL="0" distR="0" wp14:anchorId="253EC345" wp14:editId="73D601FC">
            <wp:extent cx="5760085" cy="2096810"/>
            <wp:effectExtent l="0" t="0" r="0" b="0"/>
            <wp:docPr id="1234" name="Picture 1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760085" cy="2096810"/>
                    </a:xfrm>
                    <a:prstGeom prst="rect">
                      <a:avLst/>
                    </a:prstGeom>
                    <a:noFill/>
                    <a:ln>
                      <a:noFill/>
                    </a:ln>
                  </pic:spPr>
                </pic:pic>
              </a:graphicData>
            </a:graphic>
          </wp:inline>
        </w:drawing>
      </w:r>
    </w:p>
    <w:p w:rsidR="002406E3" w:rsidRPr="00497F19" w:rsidRDefault="002406E3" w:rsidP="002406E3">
      <w:pPr>
        <w:jc w:val="both"/>
        <w:rPr>
          <w:sz w:val="20"/>
          <w:lang w:val="es-ES_tradnl"/>
        </w:rPr>
      </w:pPr>
    </w:p>
    <w:p w:rsidR="002406E3" w:rsidRPr="00497F19" w:rsidRDefault="002406E3" w:rsidP="002406E3">
      <w:pPr>
        <w:jc w:val="both"/>
        <w:rPr>
          <w:sz w:val="20"/>
          <w:lang w:val="es-ES_tradnl"/>
        </w:rPr>
      </w:pPr>
      <w:r w:rsidRPr="00497F19">
        <w:rPr>
          <w:sz w:val="20"/>
          <w:lang w:val="es-ES_tradnl"/>
        </w:rPr>
        <w:t xml:space="preserve">Nota:  Fondo fiduciario que reviste la forma de una contribución voluntaria del Gobierno de Alemania destinada a proporcionar a la OMPI </w:t>
      </w:r>
      <w:r w:rsidR="00701AA9" w:rsidRPr="00497F19">
        <w:rPr>
          <w:sz w:val="20"/>
          <w:lang w:val="es-ES_tradnl"/>
        </w:rPr>
        <w:t>funcionarios</w:t>
      </w:r>
      <w:r w:rsidRPr="00497F19">
        <w:rPr>
          <w:sz w:val="20"/>
          <w:lang w:val="es-ES_tradnl"/>
        </w:rPr>
        <w:t xml:space="preserve"> subalternos</w:t>
      </w:r>
      <w:r w:rsidR="00D6034F" w:rsidRPr="00497F19">
        <w:rPr>
          <w:sz w:val="20"/>
          <w:lang w:val="es-ES_tradnl"/>
        </w:rPr>
        <w:t xml:space="preserve"> del cuadro orgánico</w:t>
      </w:r>
      <w:r w:rsidRPr="00497F19">
        <w:rPr>
          <w:sz w:val="20"/>
          <w:lang w:val="es-ES_tradnl"/>
        </w:rPr>
        <w:t>.</w:t>
      </w:r>
    </w:p>
    <w:p w:rsidR="002406E3" w:rsidRPr="00497F19" w:rsidRDefault="002406E3" w:rsidP="002406E3">
      <w:pPr>
        <w:jc w:val="both"/>
        <w:rPr>
          <w:szCs w:val="22"/>
          <w:lang w:val="es-ES_tradnl"/>
        </w:rPr>
      </w:pPr>
    </w:p>
    <w:p w:rsidR="002D474A" w:rsidRPr="00497F19" w:rsidRDefault="002D474A">
      <w:pPr>
        <w:rPr>
          <w:szCs w:val="22"/>
          <w:lang w:val="es-ES_tradnl"/>
        </w:rPr>
      </w:pPr>
      <w:r w:rsidRPr="00497F19">
        <w:rPr>
          <w:szCs w:val="22"/>
          <w:lang w:val="es-ES_tradnl"/>
        </w:rPr>
        <w:br w:type="page"/>
      </w:r>
    </w:p>
    <w:p w:rsidR="002406E3" w:rsidRPr="00497F19" w:rsidRDefault="002406E3" w:rsidP="002406E3">
      <w:pPr>
        <w:jc w:val="both"/>
        <w:rPr>
          <w:iCs/>
          <w:szCs w:val="22"/>
          <w:lang w:val="es-ES_tradnl"/>
        </w:rPr>
      </w:pPr>
    </w:p>
    <w:p w:rsidR="002406E3" w:rsidRPr="00497F19" w:rsidRDefault="002D474A" w:rsidP="002406E3">
      <w:pPr>
        <w:jc w:val="both"/>
        <w:rPr>
          <w:iCs/>
          <w:szCs w:val="22"/>
          <w:lang w:val="es-ES_tradnl"/>
        </w:rPr>
      </w:pPr>
      <w:r w:rsidRPr="00497F19">
        <w:rPr>
          <w:noProof/>
          <w:lang w:val="en-US" w:eastAsia="en-US"/>
        </w:rPr>
        <w:drawing>
          <wp:inline distT="0" distB="0" distL="0" distR="0" wp14:anchorId="4FFC2007" wp14:editId="16658928">
            <wp:extent cx="5760085" cy="1613706"/>
            <wp:effectExtent l="0" t="0" r="0" b="5715"/>
            <wp:docPr id="1235" name="Picture 1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760085" cy="1613706"/>
                    </a:xfrm>
                    <a:prstGeom prst="rect">
                      <a:avLst/>
                    </a:prstGeom>
                    <a:noFill/>
                    <a:ln>
                      <a:noFill/>
                    </a:ln>
                  </pic:spPr>
                </pic:pic>
              </a:graphicData>
            </a:graphic>
          </wp:inline>
        </w:drawing>
      </w:r>
    </w:p>
    <w:p w:rsidR="002406E3" w:rsidRPr="00497F19" w:rsidRDefault="002406E3" w:rsidP="002406E3">
      <w:pPr>
        <w:jc w:val="both"/>
        <w:rPr>
          <w:iCs/>
          <w:szCs w:val="22"/>
          <w:lang w:val="es-ES_tradnl"/>
        </w:rPr>
      </w:pPr>
    </w:p>
    <w:p w:rsidR="002406E3" w:rsidRPr="00497F19" w:rsidRDefault="002406E3" w:rsidP="002406E3">
      <w:pPr>
        <w:jc w:val="both"/>
        <w:rPr>
          <w:sz w:val="20"/>
          <w:lang w:val="es-ES_tradnl"/>
        </w:rPr>
      </w:pPr>
      <w:r w:rsidRPr="00497F19">
        <w:rPr>
          <w:sz w:val="20"/>
          <w:lang w:val="es-ES_tradnl"/>
        </w:rPr>
        <w:t>Nota:  Fondo fiduciario que reviste la forma de un acuerdo de cooperación técnica entre la Secretaría Técnica del Programa Iberoamericano sobre Propiedad Industrial y Promoción del Desarrollo y la OMPI para la modernización y el fortalecimiento de los sistemas nacionales de propiedad industrial de varios países iberoamericanos.</w:t>
      </w:r>
    </w:p>
    <w:p w:rsidR="002406E3" w:rsidRPr="00497F19" w:rsidRDefault="002406E3" w:rsidP="002406E3">
      <w:pPr>
        <w:jc w:val="both"/>
        <w:rPr>
          <w:szCs w:val="22"/>
          <w:lang w:val="es-ES_tradnl"/>
        </w:rPr>
      </w:pPr>
    </w:p>
    <w:p w:rsidR="002406E3" w:rsidRPr="00497F19" w:rsidRDefault="002D474A" w:rsidP="002406E3">
      <w:pPr>
        <w:rPr>
          <w:sz w:val="16"/>
          <w:szCs w:val="16"/>
          <w:lang w:val="es-ES_tradnl" w:eastAsia="da-DK"/>
        </w:rPr>
      </w:pPr>
      <w:r w:rsidRPr="00497F19">
        <w:rPr>
          <w:noProof/>
          <w:lang w:val="en-US" w:eastAsia="en-US"/>
        </w:rPr>
        <w:drawing>
          <wp:inline distT="0" distB="0" distL="0" distR="0" wp14:anchorId="329329B2" wp14:editId="52B35639">
            <wp:extent cx="5760085" cy="2261833"/>
            <wp:effectExtent l="0" t="0" r="0" b="5715"/>
            <wp:docPr id="1236" name="Picture 1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760085" cy="2261833"/>
                    </a:xfrm>
                    <a:prstGeom prst="rect">
                      <a:avLst/>
                    </a:prstGeom>
                    <a:noFill/>
                    <a:ln>
                      <a:noFill/>
                    </a:ln>
                  </pic:spPr>
                </pic:pic>
              </a:graphicData>
            </a:graphic>
          </wp:inline>
        </w:drawing>
      </w:r>
    </w:p>
    <w:p w:rsidR="002406E3" w:rsidRPr="00497F19" w:rsidRDefault="002406E3" w:rsidP="002406E3">
      <w:pPr>
        <w:rPr>
          <w:sz w:val="16"/>
          <w:szCs w:val="16"/>
          <w:lang w:val="es-ES_tradnl" w:eastAsia="da-DK"/>
        </w:rPr>
      </w:pPr>
    </w:p>
    <w:p w:rsidR="002406E3" w:rsidRPr="00497F19" w:rsidRDefault="002406E3" w:rsidP="002406E3">
      <w:pPr>
        <w:rPr>
          <w:sz w:val="20"/>
          <w:lang w:val="es-ES_tradnl"/>
        </w:rPr>
      </w:pPr>
      <w:r w:rsidRPr="00497F19">
        <w:rPr>
          <w:sz w:val="20"/>
          <w:lang w:val="es-ES_tradnl"/>
        </w:rPr>
        <w:t>Nota:  Fondo fiduciario que reviste la forma de un acuerdo de cooperación entre el Gobierno de Italia y la OMPI en el ámbito de la promoción de la propiedad intelectual y de la lucha contra la falsificación y la piratería multimedios.</w:t>
      </w:r>
    </w:p>
    <w:p w:rsidR="002406E3" w:rsidRPr="00497F19" w:rsidRDefault="002406E3" w:rsidP="002406E3">
      <w:pPr>
        <w:rPr>
          <w:sz w:val="16"/>
          <w:szCs w:val="16"/>
          <w:lang w:val="es-ES_tradnl" w:eastAsia="da-DK"/>
        </w:rPr>
      </w:pPr>
    </w:p>
    <w:p w:rsidR="002406E3" w:rsidRPr="00497F19" w:rsidRDefault="00E75CD7" w:rsidP="002406E3">
      <w:pPr>
        <w:rPr>
          <w:sz w:val="16"/>
          <w:szCs w:val="16"/>
          <w:lang w:val="es-ES_tradnl" w:eastAsia="da-DK"/>
        </w:rPr>
      </w:pPr>
      <w:r w:rsidRPr="00497F19">
        <w:rPr>
          <w:noProof/>
          <w:lang w:val="en-US" w:eastAsia="en-US"/>
        </w:rPr>
        <w:drawing>
          <wp:inline distT="0" distB="0" distL="0" distR="0" wp14:anchorId="24F0F7D4" wp14:editId="4B6049F8">
            <wp:extent cx="5760085" cy="1778729"/>
            <wp:effectExtent l="0" t="0" r="0" b="0"/>
            <wp:docPr id="1237" name="Picture 1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760085" cy="1778729"/>
                    </a:xfrm>
                    <a:prstGeom prst="rect">
                      <a:avLst/>
                    </a:prstGeom>
                    <a:noFill/>
                    <a:ln>
                      <a:noFill/>
                    </a:ln>
                  </pic:spPr>
                </pic:pic>
              </a:graphicData>
            </a:graphic>
          </wp:inline>
        </w:drawing>
      </w:r>
    </w:p>
    <w:p w:rsidR="002406E3" w:rsidRPr="00497F19" w:rsidRDefault="002406E3" w:rsidP="002406E3">
      <w:pPr>
        <w:jc w:val="both"/>
        <w:rPr>
          <w:iCs/>
          <w:szCs w:val="22"/>
          <w:lang w:val="es-ES_tradnl"/>
        </w:rPr>
      </w:pPr>
    </w:p>
    <w:p w:rsidR="002406E3" w:rsidRPr="00497F19" w:rsidRDefault="002406E3" w:rsidP="002406E3">
      <w:pPr>
        <w:jc w:val="both"/>
        <w:rPr>
          <w:sz w:val="20"/>
          <w:lang w:val="es-ES_tradnl"/>
        </w:rPr>
      </w:pPr>
      <w:r w:rsidRPr="00497F19">
        <w:rPr>
          <w:sz w:val="20"/>
          <w:lang w:val="es-ES_tradnl"/>
        </w:rPr>
        <w:t xml:space="preserve">Nota:  Fondo fiduciario que reviste la forma de una contribución voluntaria del Gobierno de Italia </w:t>
      </w:r>
      <w:r w:rsidR="00D6034F" w:rsidRPr="00497F19">
        <w:rPr>
          <w:sz w:val="20"/>
          <w:lang w:val="es-ES_tradnl"/>
        </w:rPr>
        <w:t>destinada a</w:t>
      </w:r>
      <w:r w:rsidRPr="00497F19">
        <w:rPr>
          <w:sz w:val="20"/>
          <w:lang w:val="es-ES_tradnl"/>
        </w:rPr>
        <w:t xml:space="preserve"> proporcionar a la OMPI un </w:t>
      </w:r>
      <w:r w:rsidR="00D6034F" w:rsidRPr="00497F19">
        <w:rPr>
          <w:sz w:val="20"/>
          <w:lang w:val="es-ES_tradnl"/>
        </w:rPr>
        <w:t xml:space="preserve">funcionario </w:t>
      </w:r>
      <w:r w:rsidRPr="00497F19">
        <w:rPr>
          <w:sz w:val="20"/>
          <w:lang w:val="es-ES_tradnl"/>
        </w:rPr>
        <w:t>subalterno</w:t>
      </w:r>
      <w:r w:rsidR="00D6034F" w:rsidRPr="00497F19">
        <w:rPr>
          <w:sz w:val="20"/>
          <w:lang w:val="es-ES_tradnl"/>
        </w:rPr>
        <w:t xml:space="preserve"> </w:t>
      </w:r>
      <w:r w:rsidR="00D6034F" w:rsidRPr="00497F19">
        <w:rPr>
          <w:iCs/>
          <w:sz w:val="20"/>
          <w:lang w:val="es-ES_tradnl"/>
        </w:rPr>
        <w:t>del cuadro orgánico</w:t>
      </w:r>
      <w:r w:rsidRPr="00497F19">
        <w:rPr>
          <w:sz w:val="20"/>
          <w:lang w:val="es-ES_tradnl"/>
        </w:rPr>
        <w:t>.</w:t>
      </w:r>
    </w:p>
    <w:p w:rsidR="002406E3" w:rsidRPr="00497F19" w:rsidRDefault="002406E3" w:rsidP="002406E3">
      <w:pPr>
        <w:rPr>
          <w:sz w:val="16"/>
          <w:szCs w:val="16"/>
          <w:lang w:val="es-ES_tradnl" w:eastAsia="da-DK"/>
        </w:rPr>
      </w:pPr>
    </w:p>
    <w:p w:rsidR="002406E3" w:rsidRPr="00497F19" w:rsidRDefault="002406E3" w:rsidP="002406E3">
      <w:pPr>
        <w:rPr>
          <w:sz w:val="16"/>
          <w:szCs w:val="16"/>
          <w:lang w:val="es-ES_tradnl" w:eastAsia="da-DK"/>
        </w:rPr>
      </w:pPr>
    </w:p>
    <w:p w:rsidR="002406E3" w:rsidRPr="00497F19" w:rsidRDefault="00974EE7" w:rsidP="002406E3">
      <w:pPr>
        <w:rPr>
          <w:sz w:val="16"/>
          <w:szCs w:val="16"/>
          <w:lang w:val="es-ES_tradnl" w:eastAsia="da-DK"/>
        </w:rPr>
      </w:pPr>
      <w:r w:rsidRPr="00497F19">
        <w:rPr>
          <w:noProof/>
          <w:lang w:val="en-US" w:eastAsia="en-US"/>
        </w:rPr>
        <w:lastRenderedPageBreak/>
        <w:drawing>
          <wp:inline distT="0" distB="0" distL="0" distR="0" wp14:anchorId="5316878B" wp14:editId="225AC075">
            <wp:extent cx="5760085" cy="3380468"/>
            <wp:effectExtent l="0" t="0" r="0" b="0"/>
            <wp:docPr id="1238" name="Picture 1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760085" cy="3380468"/>
                    </a:xfrm>
                    <a:prstGeom prst="rect">
                      <a:avLst/>
                    </a:prstGeom>
                    <a:noFill/>
                    <a:ln>
                      <a:noFill/>
                    </a:ln>
                  </pic:spPr>
                </pic:pic>
              </a:graphicData>
            </a:graphic>
          </wp:inline>
        </w:drawing>
      </w:r>
    </w:p>
    <w:p w:rsidR="002406E3" w:rsidRPr="00497F19" w:rsidRDefault="002406E3" w:rsidP="002406E3">
      <w:pPr>
        <w:rPr>
          <w:sz w:val="16"/>
          <w:szCs w:val="16"/>
          <w:lang w:val="es-ES_tradnl" w:eastAsia="da-DK"/>
        </w:rPr>
      </w:pPr>
    </w:p>
    <w:p w:rsidR="002406E3" w:rsidRPr="00497F19" w:rsidRDefault="002406E3" w:rsidP="002406E3">
      <w:pPr>
        <w:jc w:val="both"/>
        <w:rPr>
          <w:sz w:val="20"/>
          <w:lang w:val="es-ES_tradnl"/>
        </w:rPr>
      </w:pPr>
      <w:r w:rsidRPr="00497F19">
        <w:rPr>
          <w:sz w:val="20"/>
          <w:lang w:val="es-ES_tradnl"/>
        </w:rPr>
        <w:t>Nota:  Fondo fiduciario que reviste la forma de una contribución voluntaria del Gobierno del Japón en favor del programa de la OMPI de cooperación para el desarrollo en el ámbito de la propiedad intelectual para África y los países menos adelantados (PMA).</w:t>
      </w:r>
    </w:p>
    <w:p w:rsidR="002406E3" w:rsidRPr="00497F19" w:rsidRDefault="002406E3" w:rsidP="002406E3">
      <w:pPr>
        <w:rPr>
          <w:sz w:val="16"/>
          <w:szCs w:val="16"/>
          <w:lang w:val="es-ES_tradnl" w:eastAsia="da-DK"/>
        </w:rPr>
      </w:pPr>
    </w:p>
    <w:p w:rsidR="002406E3" w:rsidRPr="00497F19" w:rsidRDefault="00974EE7" w:rsidP="002406E3">
      <w:pPr>
        <w:rPr>
          <w:sz w:val="16"/>
          <w:szCs w:val="16"/>
          <w:lang w:val="es-ES_tradnl" w:eastAsia="da-DK"/>
        </w:rPr>
      </w:pPr>
      <w:r w:rsidRPr="00497F19">
        <w:rPr>
          <w:noProof/>
          <w:lang w:val="en-US" w:eastAsia="en-US"/>
        </w:rPr>
        <w:drawing>
          <wp:inline distT="0" distB="0" distL="0" distR="0" wp14:anchorId="76641727" wp14:editId="78D92A4D">
            <wp:extent cx="5760085" cy="2968538"/>
            <wp:effectExtent l="0" t="0" r="0" b="3810"/>
            <wp:docPr id="1239" name="Picture 1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760085" cy="2968538"/>
                    </a:xfrm>
                    <a:prstGeom prst="rect">
                      <a:avLst/>
                    </a:prstGeom>
                    <a:noFill/>
                    <a:ln>
                      <a:noFill/>
                    </a:ln>
                  </pic:spPr>
                </pic:pic>
              </a:graphicData>
            </a:graphic>
          </wp:inline>
        </w:drawing>
      </w:r>
    </w:p>
    <w:p w:rsidR="002406E3" w:rsidRPr="00497F19" w:rsidRDefault="002406E3" w:rsidP="002406E3">
      <w:pPr>
        <w:rPr>
          <w:sz w:val="16"/>
          <w:szCs w:val="16"/>
          <w:lang w:val="es-ES_tradnl" w:eastAsia="da-DK"/>
        </w:rPr>
      </w:pPr>
    </w:p>
    <w:p w:rsidR="002406E3" w:rsidRPr="00497F19" w:rsidRDefault="002406E3" w:rsidP="002406E3">
      <w:pPr>
        <w:jc w:val="both"/>
        <w:rPr>
          <w:sz w:val="20"/>
          <w:lang w:val="es-ES_tradnl"/>
        </w:rPr>
      </w:pPr>
      <w:r w:rsidRPr="00497F19">
        <w:rPr>
          <w:sz w:val="20"/>
          <w:lang w:val="es-ES_tradnl"/>
        </w:rPr>
        <w:t>Nota:  Fondo fiduciario que reviste la forma de una contribución voluntaria del Gobierno del Japón en favor del programa de la OMPI de cooperación para el desarrollo en el ámbito del derecho de autor y los derechos conexos.</w:t>
      </w:r>
    </w:p>
    <w:p w:rsidR="002406E3" w:rsidRPr="00497F19" w:rsidRDefault="002406E3" w:rsidP="002406E3">
      <w:pPr>
        <w:rPr>
          <w:sz w:val="20"/>
          <w:lang w:val="es-ES_tradnl"/>
        </w:rPr>
      </w:pPr>
      <w:r w:rsidRPr="00497F19">
        <w:rPr>
          <w:sz w:val="20"/>
          <w:lang w:val="es-ES_tradnl"/>
        </w:rPr>
        <w:br w:type="page"/>
      </w:r>
    </w:p>
    <w:p w:rsidR="002406E3" w:rsidRPr="00497F19" w:rsidRDefault="002406E3" w:rsidP="002406E3">
      <w:pPr>
        <w:rPr>
          <w:sz w:val="20"/>
          <w:lang w:val="es-ES_tradnl" w:eastAsia="da-DK"/>
        </w:rPr>
      </w:pPr>
    </w:p>
    <w:p w:rsidR="002406E3" w:rsidRPr="00497F19" w:rsidRDefault="004E2841" w:rsidP="002406E3">
      <w:pPr>
        <w:rPr>
          <w:sz w:val="16"/>
          <w:szCs w:val="16"/>
          <w:lang w:val="es-ES_tradnl" w:eastAsia="da-DK"/>
        </w:rPr>
      </w:pPr>
      <w:r w:rsidRPr="00497F19">
        <w:rPr>
          <w:noProof/>
          <w:lang w:val="en-US" w:eastAsia="en-US"/>
        </w:rPr>
        <w:drawing>
          <wp:inline distT="0" distB="0" distL="0" distR="0" wp14:anchorId="1F9B07D7" wp14:editId="19887C6E">
            <wp:extent cx="5760085" cy="3863572"/>
            <wp:effectExtent l="0" t="0" r="0" b="3810"/>
            <wp:docPr id="4150" name="Picture 4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760085" cy="3863572"/>
                    </a:xfrm>
                    <a:prstGeom prst="rect">
                      <a:avLst/>
                    </a:prstGeom>
                    <a:noFill/>
                    <a:ln>
                      <a:noFill/>
                    </a:ln>
                  </pic:spPr>
                </pic:pic>
              </a:graphicData>
            </a:graphic>
          </wp:inline>
        </w:drawing>
      </w:r>
    </w:p>
    <w:p w:rsidR="002406E3" w:rsidRPr="00497F19" w:rsidRDefault="002406E3" w:rsidP="002406E3">
      <w:pPr>
        <w:rPr>
          <w:sz w:val="16"/>
          <w:szCs w:val="16"/>
          <w:lang w:val="es-ES_tradnl" w:eastAsia="da-DK"/>
        </w:rPr>
      </w:pPr>
    </w:p>
    <w:p w:rsidR="002406E3" w:rsidRPr="00497F19" w:rsidRDefault="002406E3" w:rsidP="002406E3">
      <w:pPr>
        <w:jc w:val="both"/>
        <w:rPr>
          <w:sz w:val="20"/>
          <w:lang w:val="es-ES_tradnl"/>
        </w:rPr>
      </w:pPr>
      <w:r w:rsidRPr="00497F19">
        <w:rPr>
          <w:sz w:val="20"/>
          <w:lang w:val="es-ES_tradnl"/>
        </w:rPr>
        <w:t>Nota</w:t>
      </w:r>
      <w:r w:rsidRPr="00497F19">
        <w:rPr>
          <w:i/>
          <w:sz w:val="20"/>
          <w:lang w:val="es-ES_tradnl"/>
        </w:rPr>
        <w:t xml:space="preserve">:  </w:t>
      </w:r>
      <w:r w:rsidRPr="00497F19">
        <w:rPr>
          <w:sz w:val="20"/>
          <w:lang w:val="es-ES_tradnl"/>
        </w:rPr>
        <w:t>Fondo fiduciario que reviste la forma de una contribución voluntaria del Gobierno del Japón en favor del programa de la OMPI de cooperación para el desarrollo en el ámbito de la propiedad industrial.</w:t>
      </w:r>
    </w:p>
    <w:p w:rsidR="002406E3" w:rsidRPr="00497F19" w:rsidRDefault="002406E3" w:rsidP="002406E3">
      <w:pPr>
        <w:rPr>
          <w:sz w:val="16"/>
          <w:szCs w:val="16"/>
          <w:lang w:val="es-ES_tradnl" w:eastAsia="da-DK"/>
        </w:rPr>
      </w:pPr>
    </w:p>
    <w:p w:rsidR="002406E3" w:rsidRPr="00497F19" w:rsidRDefault="005D3EBF" w:rsidP="002406E3">
      <w:pPr>
        <w:rPr>
          <w:sz w:val="16"/>
          <w:szCs w:val="16"/>
          <w:lang w:val="es-ES_tradnl" w:eastAsia="da-DK"/>
        </w:rPr>
      </w:pPr>
      <w:r w:rsidRPr="00497F19">
        <w:rPr>
          <w:noProof/>
          <w:lang w:val="en-US" w:eastAsia="en-US"/>
        </w:rPr>
        <w:drawing>
          <wp:inline distT="0" distB="0" distL="0" distR="0" wp14:anchorId="5206145C" wp14:editId="4E480083">
            <wp:extent cx="5760085" cy="2155387"/>
            <wp:effectExtent l="0" t="0" r="0" b="0"/>
            <wp:docPr id="4151" name="Picture 4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760085" cy="2155387"/>
                    </a:xfrm>
                    <a:prstGeom prst="rect">
                      <a:avLst/>
                    </a:prstGeom>
                    <a:noFill/>
                    <a:ln>
                      <a:noFill/>
                    </a:ln>
                  </pic:spPr>
                </pic:pic>
              </a:graphicData>
            </a:graphic>
          </wp:inline>
        </w:drawing>
      </w:r>
    </w:p>
    <w:p w:rsidR="002406E3" w:rsidRPr="00497F19" w:rsidRDefault="002406E3" w:rsidP="002406E3">
      <w:pPr>
        <w:rPr>
          <w:sz w:val="16"/>
          <w:szCs w:val="16"/>
          <w:lang w:val="es-ES_tradnl" w:eastAsia="da-DK"/>
        </w:rPr>
      </w:pPr>
    </w:p>
    <w:p w:rsidR="002406E3" w:rsidRPr="00497F19" w:rsidRDefault="002406E3" w:rsidP="002406E3">
      <w:pPr>
        <w:rPr>
          <w:sz w:val="20"/>
          <w:lang w:val="es-ES_tradnl"/>
        </w:rPr>
      </w:pPr>
      <w:r w:rsidRPr="00497F19">
        <w:rPr>
          <w:sz w:val="20"/>
          <w:lang w:val="es-ES_tradnl"/>
        </w:rPr>
        <w:t>Nota</w:t>
      </w:r>
      <w:r w:rsidRPr="00497F19">
        <w:rPr>
          <w:i/>
          <w:sz w:val="20"/>
          <w:lang w:val="es-ES_tradnl"/>
        </w:rPr>
        <w:t xml:space="preserve">:  </w:t>
      </w:r>
      <w:r w:rsidRPr="00497F19">
        <w:rPr>
          <w:sz w:val="20"/>
          <w:lang w:val="es-ES_tradnl"/>
        </w:rPr>
        <w:t xml:space="preserve">Fondo fiduciario que reviste la forma de una contribución voluntaria del Gobierno del Japón para proporcionar a la OMPI un </w:t>
      </w:r>
      <w:r w:rsidR="00D6034F" w:rsidRPr="00497F19">
        <w:rPr>
          <w:sz w:val="20"/>
          <w:lang w:val="es-ES_tradnl"/>
        </w:rPr>
        <w:t xml:space="preserve">funcionario subalterno </w:t>
      </w:r>
      <w:r w:rsidR="00D6034F" w:rsidRPr="00497F19">
        <w:rPr>
          <w:iCs/>
          <w:sz w:val="20"/>
          <w:lang w:val="es-ES_tradnl"/>
        </w:rPr>
        <w:t>del cuadro orgánico</w:t>
      </w:r>
      <w:r w:rsidRPr="00497F19">
        <w:rPr>
          <w:sz w:val="20"/>
          <w:lang w:val="es-ES_tradnl"/>
        </w:rPr>
        <w:t>.</w:t>
      </w:r>
    </w:p>
    <w:p w:rsidR="002406E3" w:rsidRPr="00497F19" w:rsidRDefault="002406E3" w:rsidP="002406E3">
      <w:pPr>
        <w:rPr>
          <w:sz w:val="16"/>
          <w:szCs w:val="16"/>
          <w:lang w:val="es-ES_tradnl" w:eastAsia="da-DK"/>
        </w:rPr>
      </w:pPr>
    </w:p>
    <w:p w:rsidR="002406E3" w:rsidRPr="00497F19" w:rsidRDefault="005D3EBF" w:rsidP="002406E3">
      <w:pPr>
        <w:rPr>
          <w:sz w:val="16"/>
          <w:szCs w:val="16"/>
          <w:lang w:val="es-ES_tradnl" w:eastAsia="da-DK"/>
        </w:rPr>
      </w:pPr>
      <w:r w:rsidRPr="00497F19">
        <w:rPr>
          <w:noProof/>
          <w:lang w:val="en-US" w:eastAsia="en-US"/>
        </w:rPr>
        <w:drawing>
          <wp:inline distT="0" distB="0" distL="0" distR="0" wp14:anchorId="40120475" wp14:editId="0E41DBF7">
            <wp:extent cx="5760085" cy="1354832"/>
            <wp:effectExtent l="0" t="0" r="0" b="0"/>
            <wp:docPr id="4152" name="Picture 4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760085" cy="1354832"/>
                    </a:xfrm>
                    <a:prstGeom prst="rect">
                      <a:avLst/>
                    </a:prstGeom>
                    <a:noFill/>
                    <a:ln>
                      <a:noFill/>
                    </a:ln>
                  </pic:spPr>
                </pic:pic>
              </a:graphicData>
            </a:graphic>
          </wp:inline>
        </w:drawing>
      </w:r>
    </w:p>
    <w:p w:rsidR="002406E3" w:rsidRPr="00497F19" w:rsidRDefault="002406E3" w:rsidP="002406E3">
      <w:pPr>
        <w:jc w:val="both"/>
        <w:rPr>
          <w:iCs/>
          <w:szCs w:val="22"/>
          <w:lang w:val="es-ES_tradnl"/>
        </w:rPr>
      </w:pPr>
    </w:p>
    <w:p w:rsidR="002406E3" w:rsidRPr="00497F19" w:rsidRDefault="002406E3" w:rsidP="002406E3">
      <w:pPr>
        <w:jc w:val="both"/>
        <w:rPr>
          <w:sz w:val="20"/>
          <w:lang w:val="es-ES_tradnl"/>
        </w:rPr>
      </w:pPr>
      <w:r w:rsidRPr="00497F19">
        <w:rPr>
          <w:sz w:val="20"/>
          <w:lang w:val="es-ES_tradnl"/>
        </w:rPr>
        <w:t>Nota:  Fondo fiduciario que reviste la forma de un acuerdo de cooperación entre el Gobierno de Libia  y la OMPI para la modernización y el fortalecimiento del sistema nacional de propiedad industrial.</w:t>
      </w:r>
    </w:p>
    <w:p w:rsidR="002406E3" w:rsidRPr="00497F19" w:rsidRDefault="002406E3" w:rsidP="002406E3">
      <w:pPr>
        <w:rPr>
          <w:sz w:val="20"/>
          <w:lang w:val="es-ES_tradnl"/>
        </w:rPr>
      </w:pPr>
      <w:r w:rsidRPr="00497F19">
        <w:rPr>
          <w:sz w:val="20"/>
          <w:lang w:val="es-ES_tradnl"/>
        </w:rPr>
        <w:br w:type="page"/>
      </w:r>
    </w:p>
    <w:p w:rsidR="002406E3" w:rsidRPr="00497F19" w:rsidRDefault="002406E3" w:rsidP="002406E3">
      <w:pPr>
        <w:rPr>
          <w:sz w:val="20"/>
          <w:lang w:val="es-ES_tradnl"/>
        </w:rPr>
      </w:pPr>
    </w:p>
    <w:p w:rsidR="002406E3" w:rsidRPr="00497F19" w:rsidRDefault="002406E3" w:rsidP="002406E3">
      <w:pPr>
        <w:rPr>
          <w:sz w:val="20"/>
          <w:lang w:val="es-ES_tradnl"/>
        </w:rPr>
      </w:pPr>
    </w:p>
    <w:p w:rsidR="002406E3" w:rsidRPr="00497F19" w:rsidRDefault="002406E3" w:rsidP="002406E3">
      <w:pPr>
        <w:rPr>
          <w:sz w:val="20"/>
          <w:lang w:val="es-ES_tradnl"/>
        </w:rPr>
      </w:pPr>
    </w:p>
    <w:p w:rsidR="002406E3" w:rsidRPr="00497F19" w:rsidRDefault="0091167B" w:rsidP="002406E3">
      <w:pPr>
        <w:rPr>
          <w:sz w:val="16"/>
          <w:szCs w:val="16"/>
          <w:lang w:val="es-ES_tradnl" w:eastAsia="da-DK"/>
        </w:rPr>
      </w:pPr>
      <w:r w:rsidRPr="00497F19">
        <w:rPr>
          <w:noProof/>
          <w:lang w:val="en-US" w:eastAsia="en-US"/>
        </w:rPr>
        <w:drawing>
          <wp:inline distT="0" distB="0" distL="0" distR="0" wp14:anchorId="5C64D064" wp14:editId="229B68DE">
            <wp:extent cx="5760085" cy="2096810"/>
            <wp:effectExtent l="0" t="0" r="0" b="0"/>
            <wp:docPr id="4153" name="Picture 4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760085" cy="2096810"/>
                    </a:xfrm>
                    <a:prstGeom prst="rect">
                      <a:avLst/>
                    </a:prstGeom>
                    <a:noFill/>
                    <a:ln>
                      <a:noFill/>
                    </a:ln>
                  </pic:spPr>
                </pic:pic>
              </a:graphicData>
            </a:graphic>
          </wp:inline>
        </w:drawing>
      </w:r>
    </w:p>
    <w:p w:rsidR="002406E3" w:rsidRPr="00497F19" w:rsidRDefault="002406E3" w:rsidP="002406E3">
      <w:pPr>
        <w:rPr>
          <w:sz w:val="16"/>
          <w:szCs w:val="16"/>
          <w:lang w:val="es-ES_tradnl" w:eastAsia="da-DK"/>
        </w:rPr>
      </w:pPr>
    </w:p>
    <w:p w:rsidR="002406E3" w:rsidRPr="00497F19" w:rsidRDefault="002406E3" w:rsidP="002406E3">
      <w:pPr>
        <w:jc w:val="both"/>
        <w:rPr>
          <w:sz w:val="20"/>
          <w:lang w:val="es-ES_tradnl"/>
        </w:rPr>
      </w:pPr>
      <w:r w:rsidRPr="00497F19">
        <w:rPr>
          <w:sz w:val="20"/>
          <w:lang w:val="es-ES_tradnl"/>
        </w:rPr>
        <w:t>Nota:  Fondo fiduciario que reviste la forma de un acuerdo de cooperación entre el Gobierno de México y la OMPI para el desarrollo y fortalecimiento del sistema nacional de propiedad industrial.</w:t>
      </w:r>
    </w:p>
    <w:p w:rsidR="002406E3" w:rsidRPr="00497F19" w:rsidRDefault="002406E3" w:rsidP="002406E3">
      <w:pPr>
        <w:rPr>
          <w:sz w:val="20"/>
          <w:lang w:val="es-ES_tradnl" w:eastAsia="da-DK"/>
        </w:rPr>
      </w:pPr>
    </w:p>
    <w:p w:rsidR="002406E3" w:rsidRPr="00497F19" w:rsidRDefault="0091167B" w:rsidP="002406E3">
      <w:pPr>
        <w:rPr>
          <w:sz w:val="16"/>
          <w:szCs w:val="16"/>
          <w:lang w:val="es-ES_tradnl" w:eastAsia="da-DK"/>
        </w:rPr>
      </w:pPr>
      <w:r w:rsidRPr="00497F19">
        <w:rPr>
          <w:noProof/>
          <w:lang w:val="en-US" w:eastAsia="en-US"/>
        </w:rPr>
        <w:drawing>
          <wp:inline distT="0" distB="0" distL="0" distR="0" wp14:anchorId="76FD9E30" wp14:editId="7AAA80C9">
            <wp:extent cx="5760085" cy="2744307"/>
            <wp:effectExtent l="0" t="0" r="0" b="0"/>
            <wp:docPr id="4154" name="Picture 4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760085" cy="2744307"/>
                    </a:xfrm>
                    <a:prstGeom prst="rect">
                      <a:avLst/>
                    </a:prstGeom>
                    <a:noFill/>
                    <a:ln>
                      <a:noFill/>
                    </a:ln>
                  </pic:spPr>
                </pic:pic>
              </a:graphicData>
            </a:graphic>
          </wp:inline>
        </w:drawing>
      </w:r>
    </w:p>
    <w:p w:rsidR="002406E3" w:rsidRPr="00497F19" w:rsidRDefault="002406E3" w:rsidP="002406E3">
      <w:pPr>
        <w:rPr>
          <w:sz w:val="16"/>
          <w:szCs w:val="16"/>
          <w:lang w:val="es-ES_tradnl" w:eastAsia="da-DK"/>
        </w:rPr>
      </w:pPr>
    </w:p>
    <w:p w:rsidR="002406E3" w:rsidRPr="00497F19" w:rsidRDefault="002406E3" w:rsidP="002406E3">
      <w:pPr>
        <w:rPr>
          <w:sz w:val="20"/>
          <w:lang w:val="es-ES_tradnl"/>
        </w:rPr>
      </w:pPr>
      <w:r w:rsidRPr="00497F19">
        <w:rPr>
          <w:sz w:val="20"/>
          <w:lang w:val="es-ES_tradnl"/>
        </w:rPr>
        <w:t xml:space="preserve">Nota:  Fondo fiduciario que reviste la forma de un acuerdo entre el Instituto Nacional de la Propiedad Industrial de Portugal y la OMPI para la realización de actividades conjuntas de cooperación en beneficio de los países de habla portuguesa. </w:t>
      </w:r>
      <w:r w:rsidR="0091167B" w:rsidRPr="00497F19">
        <w:rPr>
          <w:sz w:val="20"/>
          <w:lang w:val="es-ES_tradnl"/>
        </w:rPr>
        <w:t xml:space="preserve"> </w:t>
      </w:r>
      <w:r w:rsidRPr="00497F19">
        <w:rPr>
          <w:sz w:val="20"/>
          <w:lang w:val="es-ES_tradnl"/>
        </w:rPr>
        <w:t>Las cuentas e informes financieros relativos a este fondo fiduciario son mantenidos en euros.</w:t>
      </w:r>
    </w:p>
    <w:p w:rsidR="002406E3" w:rsidRPr="00497F19" w:rsidRDefault="002406E3" w:rsidP="002406E3">
      <w:pPr>
        <w:rPr>
          <w:sz w:val="16"/>
          <w:szCs w:val="16"/>
          <w:lang w:val="es-ES_tradnl" w:eastAsia="da-DK"/>
        </w:rPr>
      </w:pPr>
      <w:r w:rsidRPr="00497F19">
        <w:rPr>
          <w:sz w:val="16"/>
          <w:szCs w:val="16"/>
          <w:lang w:val="es-ES_tradnl" w:eastAsia="da-DK"/>
        </w:rPr>
        <w:br w:type="page"/>
      </w:r>
    </w:p>
    <w:p w:rsidR="002406E3" w:rsidRPr="00497F19" w:rsidRDefault="002406E3" w:rsidP="002406E3">
      <w:pPr>
        <w:rPr>
          <w:sz w:val="16"/>
          <w:szCs w:val="16"/>
          <w:lang w:val="es-ES_tradnl" w:eastAsia="da-DK"/>
        </w:rPr>
      </w:pPr>
    </w:p>
    <w:p w:rsidR="002406E3" w:rsidRPr="00497F19" w:rsidRDefault="002406E3" w:rsidP="002406E3">
      <w:pPr>
        <w:rPr>
          <w:sz w:val="16"/>
          <w:szCs w:val="16"/>
          <w:lang w:val="es-ES_tradnl" w:eastAsia="da-DK"/>
        </w:rPr>
      </w:pPr>
    </w:p>
    <w:p w:rsidR="002406E3" w:rsidRPr="00497F19" w:rsidRDefault="001A2DC3" w:rsidP="002406E3">
      <w:pPr>
        <w:rPr>
          <w:sz w:val="16"/>
          <w:szCs w:val="16"/>
          <w:lang w:val="es-ES_tradnl" w:eastAsia="da-DK"/>
        </w:rPr>
      </w:pPr>
      <w:r w:rsidRPr="00497F19">
        <w:rPr>
          <w:noProof/>
          <w:lang w:val="en-US" w:eastAsia="en-US"/>
        </w:rPr>
        <w:drawing>
          <wp:inline distT="0" distB="0" distL="0" distR="0" wp14:anchorId="4523C05B" wp14:editId="07972C7E">
            <wp:extent cx="5760085" cy="3062387"/>
            <wp:effectExtent l="0" t="0" r="0" b="5080"/>
            <wp:docPr id="4156" name="Picture 4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760085" cy="3062387"/>
                    </a:xfrm>
                    <a:prstGeom prst="rect">
                      <a:avLst/>
                    </a:prstGeom>
                    <a:noFill/>
                    <a:ln>
                      <a:noFill/>
                    </a:ln>
                  </pic:spPr>
                </pic:pic>
              </a:graphicData>
            </a:graphic>
          </wp:inline>
        </w:drawing>
      </w:r>
    </w:p>
    <w:p w:rsidR="002406E3" w:rsidRPr="00497F19" w:rsidRDefault="002406E3" w:rsidP="002406E3">
      <w:pPr>
        <w:jc w:val="both"/>
        <w:rPr>
          <w:iCs/>
          <w:sz w:val="20"/>
          <w:lang w:val="es-ES_tradnl"/>
        </w:rPr>
      </w:pPr>
    </w:p>
    <w:p w:rsidR="002406E3" w:rsidRPr="00497F19" w:rsidRDefault="002406E3" w:rsidP="002406E3">
      <w:pPr>
        <w:jc w:val="both"/>
        <w:rPr>
          <w:iCs/>
          <w:sz w:val="20"/>
          <w:lang w:val="es-ES_tradnl"/>
        </w:rPr>
      </w:pPr>
      <w:r w:rsidRPr="00497F19">
        <w:rPr>
          <w:iCs/>
          <w:sz w:val="20"/>
          <w:lang w:val="es-ES_tradnl"/>
        </w:rPr>
        <w:t>Nota</w:t>
      </w:r>
      <w:r w:rsidRPr="00497F19">
        <w:rPr>
          <w:i/>
          <w:iCs/>
          <w:sz w:val="20"/>
          <w:lang w:val="es-ES_tradnl"/>
        </w:rPr>
        <w:t xml:space="preserve">:  </w:t>
      </w:r>
      <w:r w:rsidRPr="00497F19">
        <w:rPr>
          <w:iCs/>
          <w:sz w:val="20"/>
          <w:lang w:val="es-ES_tradnl"/>
        </w:rPr>
        <w:t>Fondo fiduciario que reviste la forma de una contribución voluntaria del Gobierno de la República de Corea en favor del programa de la OMPI de cooperación para el desarrollo en el ámbito del derecho de autor y los derechos conexos.</w:t>
      </w:r>
    </w:p>
    <w:p w:rsidR="002406E3" w:rsidRPr="00497F19" w:rsidRDefault="002406E3" w:rsidP="002406E3">
      <w:pPr>
        <w:rPr>
          <w:sz w:val="20"/>
          <w:lang w:val="es-ES_tradnl" w:eastAsia="da-DK"/>
        </w:rPr>
      </w:pPr>
    </w:p>
    <w:p w:rsidR="002406E3" w:rsidRPr="00497F19" w:rsidRDefault="001A2DC3" w:rsidP="002406E3">
      <w:pPr>
        <w:rPr>
          <w:sz w:val="16"/>
          <w:szCs w:val="16"/>
          <w:lang w:val="es-ES_tradnl" w:eastAsia="da-DK"/>
        </w:rPr>
      </w:pPr>
      <w:r w:rsidRPr="00497F19">
        <w:rPr>
          <w:noProof/>
          <w:lang w:val="en-US" w:eastAsia="en-US"/>
        </w:rPr>
        <w:drawing>
          <wp:inline distT="0" distB="0" distL="0" distR="0" wp14:anchorId="027C94BE" wp14:editId="0062DCB9">
            <wp:extent cx="5760085" cy="1778729"/>
            <wp:effectExtent l="0" t="0" r="0" b="0"/>
            <wp:docPr id="4157" name="Picture 4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760085" cy="1778729"/>
                    </a:xfrm>
                    <a:prstGeom prst="rect">
                      <a:avLst/>
                    </a:prstGeom>
                    <a:noFill/>
                    <a:ln>
                      <a:noFill/>
                    </a:ln>
                  </pic:spPr>
                </pic:pic>
              </a:graphicData>
            </a:graphic>
          </wp:inline>
        </w:drawing>
      </w:r>
    </w:p>
    <w:p w:rsidR="002406E3" w:rsidRPr="00497F19" w:rsidRDefault="002406E3" w:rsidP="002406E3">
      <w:pPr>
        <w:jc w:val="both"/>
        <w:rPr>
          <w:szCs w:val="22"/>
          <w:lang w:val="es-ES_tradnl"/>
        </w:rPr>
      </w:pPr>
    </w:p>
    <w:p w:rsidR="002406E3" w:rsidRPr="00497F19" w:rsidRDefault="002406E3" w:rsidP="002406E3">
      <w:pPr>
        <w:jc w:val="both"/>
        <w:rPr>
          <w:sz w:val="20"/>
          <w:lang w:val="es-ES_tradnl"/>
        </w:rPr>
      </w:pPr>
      <w:r w:rsidRPr="00497F19">
        <w:rPr>
          <w:sz w:val="20"/>
          <w:lang w:val="es-ES_tradnl"/>
        </w:rPr>
        <w:t>Nota</w:t>
      </w:r>
      <w:r w:rsidRPr="00497F19">
        <w:rPr>
          <w:i/>
          <w:sz w:val="20"/>
          <w:lang w:val="es-ES_tradnl"/>
        </w:rPr>
        <w:t xml:space="preserve">: </w:t>
      </w:r>
      <w:r w:rsidRPr="00497F19">
        <w:rPr>
          <w:sz w:val="20"/>
          <w:lang w:val="es-ES_tradnl"/>
        </w:rPr>
        <w:t xml:space="preserve"> Fondo fiduciario que reviste la forma de una contribución voluntaria del Gobierno de la República de Corea destinada a proporcionar a la OMPI un </w:t>
      </w:r>
      <w:r w:rsidR="00D6034F" w:rsidRPr="00497F19">
        <w:rPr>
          <w:sz w:val="20"/>
          <w:lang w:val="es-ES_tradnl"/>
        </w:rPr>
        <w:t>funcionario del cuadro org</w:t>
      </w:r>
      <w:r w:rsidRPr="00497F19">
        <w:rPr>
          <w:sz w:val="20"/>
          <w:lang w:val="es-ES_tradnl"/>
        </w:rPr>
        <w:t>que gestione el Fondo Fiduciario/República de Corea/Derecho de autor.</w:t>
      </w:r>
    </w:p>
    <w:p w:rsidR="002406E3" w:rsidRPr="00497F19" w:rsidRDefault="002406E3" w:rsidP="002406E3">
      <w:pPr>
        <w:rPr>
          <w:sz w:val="20"/>
          <w:lang w:val="es-ES_tradnl" w:eastAsia="da-DK"/>
        </w:rPr>
      </w:pPr>
      <w:r w:rsidRPr="00497F19">
        <w:rPr>
          <w:sz w:val="20"/>
          <w:lang w:val="es-ES_tradnl" w:eastAsia="da-DK"/>
        </w:rPr>
        <w:br w:type="page"/>
      </w:r>
    </w:p>
    <w:p w:rsidR="002406E3" w:rsidRPr="00497F19" w:rsidRDefault="002406E3" w:rsidP="002406E3">
      <w:pPr>
        <w:rPr>
          <w:sz w:val="20"/>
          <w:lang w:val="es-ES_tradnl" w:eastAsia="da-DK"/>
        </w:rPr>
      </w:pPr>
    </w:p>
    <w:p w:rsidR="002406E3" w:rsidRPr="00497F19" w:rsidRDefault="002406E3" w:rsidP="002406E3">
      <w:pPr>
        <w:rPr>
          <w:sz w:val="16"/>
          <w:szCs w:val="16"/>
          <w:lang w:val="es-ES_tradnl" w:eastAsia="da-DK"/>
        </w:rPr>
      </w:pPr>
    </w:p>
    <w:p w:rsidR="002406E3" w:rsidRPr="00497F19" w:rsidRDefault="001A2DC3" w:rsidP="002406E3">
      <w:pPr>
        <w:rPr>
          <w:sz w:val="16"/>
          <w:szCs w:val="16"/>
          <w:lang w:val="es-ES_tradnl" w:eastAsia="da-DK"/>
        </w:rPr>
      </w:pPr>
      <w:r w:rsidRPr="00497F19">
        <w:rPr>
          <w:noProof/>
          <w:lang w:val="en-US" w:eastAsia="en-US"/>
        </w:rPr>
        <w:drawing>
          <wp:inline distT="0" distB="0" distL="0" distR="0" wp14:anchorId="75DF74A8" wp14:editId="188B5189">
            <wp:extent cx="5760085" cy="3121594"/>
            <wp:effectExtent l="0" t="0" r="0" b="3175"/>
            <wp:docPr id="4158" name="Picture 4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760085" cy="3121594"/>
                    </a:xfrm>
                    <a:prstGeom prst="rect">
                      <a:avLst/>
                    </a:prstGeom>
                    <a:noFill/>
                    <a:ln>
                      <a:noFill/>
                    </a:ln>
                  </pic:spPr>
                </pic:pic>
              </a:graphicData>
            </a:graphic>
          </wp:inline>
        </w:drawing>
      </w:r>
    </w:p>
    <w:p w:rsidR="002406E3" w:rsidRPr="00497F19" w:rsidRDefault="002406E3" w:rsidP="002406E3">
      <w:pPr>
        <w:rPr>
          <w:szCs w:val="22"/>
          <w:lang w:val="es-ES_tradnl" w:eastAsia="da-DK"/>
        </w:rPr>
      </w:pPr>
    </w:p>
    <w:p w:rsidR="002406E3" w:rsidRPr="00497F19" w:rsidRDefault="002406E3" w:rsidP="002406E3">
      <w:pPr>
        <w:jc w:val="both"/>
        <w:rPr>
          <w:iCs/>
          <w:sz w:val="20"/>
          <w:lang w:val="es-ES_tradnl"/>
        </w:rPr>
      </w:pPr>
      <w:r w:rsidRPr="00497F19">
        <w:rPr>
          <w:iCs/>
          <w:sz w:val="20"/>
          <w:lang w:val="es-ES_tradnl"/>
        </w:rPr>
        <w:t>Nota:  Fondo fiduciario que reviste la forma de un acuerdo entre la Oficina Surcoreana de Propiedad Intelectual (KIPO) y la OMPI, en la esfera del programa de la OMPI de cooperación para el desarrollo en materia de propiedad industrial, destinado a los países en desarrollo y los países menos adelantados.</w:t>
      </w:r>
    </w:p>
    <w:p w:rsidR="002406E3" w:rsidRPr="00497F19" w:rsidRDefault="002406E3" w:rsidP="002406E3">
      <w:pPr>
        <w:rPr>
          <w:szCs w:val="22"/>
          <w:lang w:val="es-ES_tradnl" w:eastAsia="da-DK"/>
        </w:rPr>
      </w:pPr>
    </w:p>
    <w:p w:rsidR="001A2DC3" w:rsidRPr="00497F19" w:rsidRDefault="001A2DC3" w:rsidP="002406E3">
      <w:pPr>
        <w:rPr>
          <w:szCs w:val="22"/>
          <w:lang w:val="es-ES_tradnl" w:eastAsia="da-DK"/>
        </w:rPr>
      </w:pPr>
    </w:p>
    <w:p w:rsidR="002406E3" w:rsidRPr="00497F19" w:rsidRDefault="009243A3" w:rsidP="002406E3">
      <w:pPr>
        <w:rPr>
          <w:szCs w:val="22"/>
          <w:lang w:val="es-ES_tradnl" w:eastAsia="da-DK"/>
        </w:rPr>
      </w:pPr>
      <w:r w:rsidRPr="00497F19">
        <w:rPr>
          <w:noProof/>
          <w:lang w:val="en-US" w:eastAsia="en-US"/>
        </w:rPr>
        <w:drawing>
          <wp:inline distT="0" distB="0" distL="0" distR="0" wp14:anchorId="1F33A21C" wp14:editId="1ADEC5CB">
            <wp:extent cx="5760085" cy="1778729"/>
            <wp:effectExtent l="0" t="0" r="0" b="0"/>
            <wp:docPr id="4159" name="Picture 4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760085" cy="1778729"/>
                    </a:xfrm>
                    <a:prstGeom prst="rect">
                      <a:avLst/>
                    </a:prstGeom>
                    <a:noFill/>
                    <a:ln>
                      <a:noFill/>
                    </a:ln>
                  </pic:spPr>
                </pic:pic>
              </a:graphicData>
            </a:graphic>
          </wp:inline>
        </w:drawing>
      </w:r>
    </w:p>
    <w:p w:rsidR="002406E3" w:rsidRPr="00497F19" w:rsidRDefault="002406E3" w:rsidP="002406E3">
      <w:pPr>
        <w:rPr>
          <w:sz w:val="16"/>
          <w:szCs w:val="16"/>
          <w:lang w:val="es-ES_tradnl" w:eastAsia="da-DK"/>
        </w:rPr>
      </w:pPr>
    </w:p>
    <w:p w:rsidR="002406E3" w:rsidRPr="00497F19" w:rsidRDefault="002406E3" w:rsidP="002406E3">
      <w:pPr>
        <w:jc w:val="both"/>
        <w:rPr>
          <w:iCs/>
          <w:sz w:val="20"/>
          <w:lang w:val="es-ES_tradnl"/>
        </w:rPr>
      </w:pPr>
      <w:r w:rsidRPr="00497F19">
        <w:rPr>
          <w:iCs/>
          <w:sz w:val="20"/>
          <w:lang w:val="es-ES_tradnl"/>
        </w:rPr>
        <w:t>Nota</w:t>
      </w:r>
      <w:r w:rsidRPr="00497F19">
        <w:rPr>
          <w:i/>
          <w:iCs/>
          <w:sz w:val="20"/>
          <w:lang w:val="es-ES_tradnl"/>
        </w:rPr>
        <w:t xml:space="preserve">:  </w:t>
      </w:r>
      <w:r w:rsidRPr="00497F19">
        <w:rPr>
          <w:iCs/>
          <w:sz w:val="20"/>
          <w:lang w:val="es-ES_tradnl"/>
        </w:rPr>
        <w:t xml:space="preserve">Fondo fiduciario que reviste la forma de una contribución voluntaria del Gobierno de la República de Corea </w:t>
      </w:r>
      <w:r w:rsidR="00D6034F" w:rsidRPr="00497F19">
        <w:rPr>
          <w:iCs/>
          <w:sz w:val="20"/>
          <w:lang w:val="es-ES_tradnl"/>
        </w:rPr>
        <w:t>destinada a</w:t>
      </w:r>
      <w:r w:rsidRPr="00497F19">
        <w:rPr>
          <w:iCs/>
          <w:sz w:val="20"/>
          <w:lang w:val="es-ES_tradnl"/>
        </w:rPr>
        <w:t xml:space="preserve"> proporcionar a la OMPI </w:t>
      </w:r>
      <w:r w:rsidR="00D6034F" w:rsidRPr="00497F19">
        <w:rPr>
          <w:iCs/>
          <w:sz w:val="20"/>
          <w:lang w:val="es-ES_tradnl"/>
        </w:rPr>
        <w:t>funcionarios del cuadro orgánico</w:t>
      </w:r>
      <w:r w:rsidRPr="00497F19">
        <w:rPr>
          <w:iCs/>
          <w:sz w:val="20"/>
          <w:lang w:val="es-ES_tradnl"/>
        </w:rPr>
        <w:t>.</w:t>
      </w:r>
    </w:p>
    <w:p w:rsidR="002406E3" w:rsidRPr="00497F19" w:rsidRDefault="002406E3" w:rsidP="002406E3">
      <w:pPr>
        <w:rPr>
          <w:sz w:val="16"/>
          <w:szCs w:val="16"/>
          <w:lang w:val="es-ES_tradnl" w:eastAsia="da-DK"/>
        </w:rPr>
      </w:pPr>
    </w:p>
    <w:p w:rsidR="002406E3" w:rsidRPr="00497F19" w:rsidRDefault="009243A3" w:rsidP="002406E3">
      <w:pPr>
        <w:rPr>
          <w:sz w:val="16"/>
          <w:szCs w:val="16"/>
          <w:lang w:val="es-ES_tradnl" w:eastAsia="da-DK"/>
        </w:rPr>
      </w:pPr>
      <w:r w:rsidRPr="00497F19">
        <w:rPr>
          <w:noProof/>
          <w:lang w:val="en-US" w:eastAsia="en-US"/>
        </w:rPr>
        <w:drawing>
          <wp:inline distT="0" distB="0" distL="0" distR="0" wp14:anchorId="320EA508" wp14:editId="76DDE504">
            <wp:extent cx="5760085" cy="1931786"/>
            <wp:effectExtent l="0" t="0" r="0" b="0"/>
            <wp:docPr id="4160" name="Picture 4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760085" cy="1931786"/>
                    </a:xfrm>
                    <a:prstGeom prst="rect">
                      <a:avLst/>
                    </a:prstGeom>
                    <a:noFill/>
                    <a:ln>
                      <a:noFill/>
                    </a:ln>
                  </pic:spPr>
                </pic:pic>
              </a:graphicData>
            </a:graphic>
          </wp:inline>
        </w:drawing>
      </w:r>
    </w:p>
    <w:p w:rsidR="002406E3" w:rsidRPr="00497F19" w:rsidRDefault="002406E3" w:rsidP="002406E3">
      <w:pPr>
        <w:rPr>
          <w:sz w:val="16"/>
          <w:szCs w:val="16"/>
          <w:lang w:val="es-ES_tradnl" w:eastAsia="da-DK"/>
        </w:rPr>
      </w:pPr>
    </w:p>
    <w:p w:rsidR="002406E3" w:rsidRPr="00497F19" w:rsidRDefault="002406E3" w:rsidP="002406E3">
      <w:pPr>
        <w:rPr>
          <w:iCs/>
          <w:sz w:val="20"/>
          <w:lang w:val="es-ES_tradnl"/>
        </w:rPr>
      </w:pPr>
      <w:r w:rsidRPr="00497F19">
        <w:rPr>
          <w:iCs/>
          <w:sz w:val="20"/>
          <w:lang w:val="es-ES_tradnl"/>
        </w:rPr>
        <w:t>Nota:  Fondo fiduciario que reviste la forma de un acuerdo entre la Oficina Surcoreana de Propiedad Intelectual (KIPO) y la OMPI destinado a promover la educación en materia de propiedad intelectual.</w:t>
      </w:r>
    </w:p>
    <w:p w:rsidR="002406E3" w:rsidRPr="00497F19" w:rsidRDefault="002406E3" w:rsidP="002406E3">
      <w:pPr>
        <w:rPr>
          <w:sz w:val="16"/>
          <w:szCs w:val="16"/>
          <w:lang w:val="es-ES_tradnl" w:eastAsia="da-DK"/>
        </w:rPr>
      </w:pPr>
    </w:p>
    <w:p w:rsidR="002406E3" w:rsidRPr="00497F19" w:rsidRDefault="009243A3" w:rsidP="002406E3">
      <w:pPr>
        <w:rPr>
          <w:sz w:val="16"/>
          <w:szCs w:val="16"/>
          <w:lang w:val="es-ES_tradnl" w:eastAsia="da-DK"/>
        </w:rPr>
      </w:pPr>
      <w:r w:rsidRPr="00497F19">
        <w:rPr>
          <w:noProof/>
          <w:lang w:val="en-US" w:eastAsia="en-US"/>
        </w:rPr>
        <w:lastRenderedPageBreak/>
        <w:drawing>
          <wp:inline distT="0" distB="0" distL="0" distR="0" wp14:anchorId="44A0F09E" wp14:editId="6D3BB117">
            <wp:extent cx="5760085" cy="2120114"/>
            <wp:effectExtent l="0" t="0" r="0" b="0"/>
            <wp:docPr id="4161" name="Picture 4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760085" cy="2120114"/>
                    </a:xfrm>
                    <a:prstGeom prst="rect">
                      <a:avLst/>
                    </a:prstGeom>
                    <a:noFill/>
                    <a:ln>
                      <a:noFill/>
                    </a:ln>
                  </pic:spPr>
                </pic:pic>
              </a:graphicData>
            </a:graphic>
          </wp:inline>
        </w:drawing>
      </w:r>
    </w:p>
    <w:p w:rsidR="002406E3" w:rsidRPr="00497F19" w:rsidRDefault="002406E3" w:rsidP="002406E3">
      <w:pPr>
        <w:rPr>
          <w:sz w:val="16"/>
          <w:szCs w:val="16"/>
          <w:lang w:val="es-ES_tradnl" w:eastAsia="da-DK"/>
        </w:rPr>
      </w:pPr>
    </w:p>
    <w:p w:rsidR="002406E3" w:rsidRPr="00497F19" w:rsidRDefault="002406E3" w:rsidP="002406E3">
      <w:pPr>
        <w:rPr>
          <w:sz w:val="20"/>
          <w:lang w:val="es-ES_tradnl"/>
        </w:rPr>
      </w:pPr>
      <w:r w:rsidRPr="00497F19">
        <w:rPr>
          <w:iCs/>
          <w:sz w:val="20"/>
          <w:lang w:val="es-ES_tradnl"/>
        </w:rPr>
        <w:t>Nota:  Fondo fiduciario que reviste la forma de una contribución voluntaria del Gobierno de España destinada al programa de la OMPI de cooperación para el desarrollo en el ámbito de la propiedad industrial en los países latinoamericanos</w:t>
      </w:r>
      <w:r w:rsidRPr="00497F19">
        <w:rPr>
          <w:sz w:val="20"/>
          <w:lang w:val="es-ES_tradnl"/>
        </w:rPr>
        <w:t xml:space="preserve">. </w:t>
      </w:r>
      <w:r w:rsidR="009243A3" w:rsidRPr="00497F19">
        <w:rPr>
          <w:sz w:val="20"/>
          <w:lang w:val="es-ES_tradnl"/>
        </w:rPr>
        <w:t xml:space="preserve"> </w:t>
      </w:r>
      <w:r w:rsidRPr="00497F19">
        <w:rPr>
          <w:sz w:val="20"/>
          <w:lang w:val="es-ES_tradnl"/>
        </w:rPr>
        <w:t xml:space="preserve">Las cuentas e informes financieros relativos a este fondo fiduciario son mantenidos en euros. </w:t>
      </w:r>
      <w:r w:rsidR="009243A3" w:rsidRPr="00497F19">
        <w:rPr>
          <w:sz w:val="20"/>
          <w:lang w:val="es-ES_tradnl"/>
        </w:rPr>
        <w:t xml:space="preserve"> </w:t>
      </w:r>
      <w:r w:rsidRPr="00497F19">
        <w:rPr>
          <w:sz w:val="20"/>
          <w:lang w:val="es-ES_tradnl"/>
        </w:rPr>
        <w:t>Por consiguiente, las diferencias cambiarias en que se haya incurrido han sido absorbidas por la OMPI.</w:t>
      </w:r>
    </w:p>
    <w:p w:rsidR="002406E3" w:rsidRPr="00497F19" w:rsidRDefault="002406E3" w:rsidP="002406E3">
      <w:pPr>
        <w:rPr>
          <w:sz w:val="16"/>
          <w:szCs w:val="16"/>
          <w:lang w:val="es-ES_tradnl" w:eastAsia="da-DK"/>
        </w:rPr>
      </w:pPr>
    </w:p>
    <w:p w:rsidR="002406E3" w:rsidRPr="00497F19" w:rsidRDefault="002406E3" w:rsidP="002406E3">
      <w:pPr>
        <w:rPr>
          <w:sz w:val="16"/>
          <w:szCs w:val="16"/>
          <w:lang w:val="es-ES_tradnl" w:eastAsia="da-DK"/>
        </w:rPr>
      </w:pPr>
    </w:p>
    <w:p w:rsidR="002406E3" w:rsidRPr="00497F19" w:rsidRDefault="009243A3" w:rsidP="002406E3">
      <w:pPr>
        <w:rPr>
          <w:sz w:val="16"/>
          <w:szCs w:val="16"/>
          <w:lang w:val="es-ES_tradnl" w:eastAsia="da-DK"/>
        </w:rPr>
      </w:pPr>
      <w:r w:rsidRPr="00497F19">
        <w:rPr>
          <w:noProof/>
          <w:lang w:val="en-US" w:eastAsia="en-US"/>
        </w:rPr>
        <w:drawing>
          <wp:inline distT="0" distB="0" distL="0" distR="0" wp14:anchorId="43874CE2" wp14:editId="389D542B">
            <wp:extent cx="5760085" cy="2756275"/>
            <wp:effectExtent l="0" t="0" r="0" b="6350"/>
            <wp:docPr id="4162" name="Picture 4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760085" cy="2756275"/>
                    </a:xfrm>
                    <a:prstGeom prst="rect">
                      <a:avLst/>
                    </a:prstGeom>
                    <a:noFill/>
                    <a:ln>
                      <a:noFill/>
                    </a:ln>
                  </pic:spPr>
                </pic:pic>
              </a:graphicData>
            </a:graphic>
          </wp:inline>
        </w:drawing>
      </w:r>
    </w:p>
    <w:p w:rsidR="002406E3" w:rsidRPr="00497F19" w:rsidRDefault="002406E3" w:rsidP="002406E3">
      <w:pPr>
        <w:rPr>
          <w:szCs w:val="22"/>
          <w:lang w:val="es-ES_tradnl"/>
        </w:rPr>
      </w:pPr>
    </w:p>
    <w:p w:rsidR="002406E3" w:rsidRPr="00497F19" w:rsidRDefault="002406E3" w:rsidP="002406E3">
      <w:pPr>
        <w:rPr>
          <w:sz w:val="20"/>
          <w:lang w:val="es-ES_tradnl"/>
        </w:rPr>
      </w:pPr>
      <w:r w:rsidRPr="00497F19">
        <w:rPr>
          <w:iCs/>
          <w:sz w:val="20"/>
          <w:lang w:val="es-ES_tradnl"/>
        </w:rPr>
        <w:t>Nota:  Fondo fiduciario que reviste la forma de una contribución voluntaria del Gobierno de España destinada al programa de la OMPI de cooperación para el desarrollo en el ámbito de la propiedad industrial en los países</w:t>
      </w:r>
      <w:r w:rsidR="00906CF2" w:rsidRPr="00497F19">
        <w:rPr>
          <w:iCs/>
          <w:sz w:val="20"/>
          <w:lang w:val="es-ES_tradnl"/>
        </w:rPr>
        <w:t xml:space="preserve"> latinoamericanos</w:t>
      </w:r>
      <w:r w:rsidRPr="00497F19">
        <w:rPr>
          <w:sz w:val="20"/>
          <w:lang w:val="es-ES_tradnl"/>
        </w:rPr>
        <w:t xml:space="preserve">.  </w:t>
      </w:r>
    </w:p>
    <w:p w:rsidR="002406E3" w:rsidRPr="00497F19" w:rsidRDefault="002406E3" w:rsidP="002406E3">
      <w:pPr>
        <w:rPr>
          <w:sz w:val="16"/>
          <w:szCs w:val="16"/>
          <w:lang w:val="es-ES_tradnl" w:eastAsia="da-DK"/>
        </w:rPr>
      </w:pPr>
    </w:p>
    <w:p w:rsidR="002406E3" w:rsidRPr="00497F19" w:rsidRDefault="009243A3" w:rsidP="002406E3">
      <w:pPr>
        <w:rPr>
          <w:sz w:val="16"/>
          <w:szCs w:val="16"/>
          <w:lang w:val="es-ES_tradnl" w:eastAsia="da-DK"/>
        </w:rPr>
      </w:pPr>
      <w:r w:rsidRPr="00497F19">
        <w:rPr>
          <w:noProof/>
          <w:lang w:val="en-US" w:eastAsia="en-US"/>
        </w:rPr>
        <w:drawing>
          <wp:inline distT="0" distB="0" distL="0" distR="0" wp14:anchorId="18E32275" wp14:editId="5CAD9095">
            <wp:extent cx="5760085" cy="1613706"/>
            <wp:effectExtent l="0" t="0" r="0" b="5715"/>
            <wp:docPr id="4163" name="Picture 4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760085" cy="1613706"/>
                    </a:xfrm>
                    <a:prstGeom prst="rect">
                      <a:avLst/>
                    </a:prstGeom>
                    <a:noFill/>
                    <a:ln>
                      <a:noFill/>
                    </a:ln>
                  </pic:spPr>
                </pic:pic>
              </a:graphicData>
            </a:graphic>
          </wp:inline>
        </w:drawing>
      </w:r>
    </w:p>
    <w:p w:rsidR="002406E3" w:rsidRPr="00497F19" w:rsidRDefault="002406E3" w:rsidP="002406E3">
      <w:pPr>
        <w:jc w:val="both"/>
        <w:rPr>
          <w:szCs w:val="22"/>
          <w:lang w:val="es-ES_tradnl"/>
        </w:rPr>
      </w:pPr>
    </w:p>
    <w:p w:rsidR="002406E3" w:rsidRPr="00497F19" w:rsidRDefault="002406E3" w:rsidP="002406E3">
      <w:pPr>
        <w:jc w:val="both"/>
        <w:rPr>
          <w:sz w:val="20"/>
          <w:lang w:val="es-ES_tradnl"/>
        </w:rPr>
      </w:pPr>
      <w:r w:rsidRPr="00497F19">
        <w:rPr>
          <w:sz w:val="20"/>
          <w:lang w:val="es-ES_tradnl"/>
        </w:rPr>
        <w:t>Nota:  Fondo fiduciario que reviste la forma de contribuciones voluntarias del sector privado y de organizaciones de interés público destinadas a facilitar el acceso a las obras protegidas por derechos de autor por parte de las personas con discapacidad visual y las personas con dificultad de acceso al texto impreso.</w:t>
      </w:r>
    </w:p>
    <w:p w:rsidR="002406E3" w:rsidRPr="00497F19" w:rsidRDefault="002406E3" w:rsidP="002406E3">
      <w:pPr>
        <w:rPr>
          <w:sz w:val="16"/>
          <w:szCs w:val="16"/>
          <w:lang w:val="es-ES_tradnl" w:eastAsia="da-DK"/>
        </w:rPr>
      </w:pPr>
    </w:p>
    <w:p w:rsidR="002406E3" w:rsidRPr="00497F19" w:rsidRDefault="009243A3" w:rsidP="002406E3">
      <w:pPr>
        <w:rPr>
          <w:sz w:val="16"/>
          <w:szCs w:val="16"/>
          <w:lang w:val="es-ES_tradnl" w:eastAsia="da-DK"/>
        </w:rPr>
      </w:pPr>
      <w:r w:rsidRPr="00497F19">
        <w:rPr>
          <w:noProof/>
          <w:lang w:val="en-US" w:eastAsia="en-US"/>
        </w:rPr>
        <w:lastRenderedPageBreak/>
        <w:drawing>
          <wp:inline distT="0" distB="0" distL="0" distR="0" wp14:anchorId="5CE71DB5" wp14:editId="296B7FE6">
            <wp:extent cx="5405729" cy="2586711"/>
            <wp:effectExtent l="0" t="0" r="5080" b="4445"/>
            <wp:docPr id="4164" name="Picture 4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415313" cy="2591297"/>
                    </a:xfrm>
                    <a:prstGeom prst="rect">
                      <a:avLst/>
                    </a:prstGeom>
                    <a:noFill/>
                    <a:ln>
                      <a:noFill/>
                    </a:ln>
                  </pic:spPr>
                </pic:pic>
              </a:graphicData>
            </a:graphic>
          </wp:inline>
        </w:drawing>
      </w:r>
    </w:p>
    <w:p w:rsidR="002406E3" w:rsidRPr="00497F19" w:rsidRDefault="002406E3" w:rsidP="002406E3">
      <w:pPr>
        <w:jc w:val="both"/>
        <w:rPr>
          <w:iCs/>
          <w:szCs w:val="22"/>
          <w:lang w:val="es-ES_tradnl"/>
        </w:rPr>
      </w:pPr>
    </w:p>
    <w:p w:rsidR="002406E3" w:rsidRPr="00497F19" w:rsidRDefault="002406E3" w:rsidP="002406E3">
      <w:pPr>
        <w:jc w:val="both"/>
        <w:rPr>
          <w:sz w:val="20"/>
          <w:lang w:val="es-ES_tradnl"/>
        </w:rPr>
      </w:pPr>
      <w:r w:rsidRPr="00497F19">
        <w:rPr>
          <w:sz w:val="20"/>
          <w:lang w:val="es-ES_tradnl"/>
        </w:rPr>
        <w:t>Nota:  Fondo fiduciario que reviste la forma de un acuerdo de cooperación entre la Oficina de Patentes y Marcas de los Estados Unidos de América (USPTO) y la OMPI en el ámbito del derecho de autor en los países en desarrollo.  Las cuentas e informes financieros relativos a este fondo fiduciario son mantenidos en dólares de los EE.UU.</w:t>
      </w:r>
    </w:p>
    <w:p w:rsidR="002406E3" w:rsidRPr="00497F19" w:rsidRDefault="002406E3" w:rsidP="002406E3">
      <w:pPr>
        <w:rPr>
          <w:sz w:val="16"/>
          <w:szCs w:val="16"/>
          <w:lang w:val="es-ES_tradnl" w:eastAsia="da-DK"/>
        </w:rPr>
      </w:pPr>
    </w:p>
    <w:p w:rsidR="002406E3" w:rsidRPr="00497F19" w:rsidRDefault="009243A3" w:rsidP="002406E3">
      <w:pPr>
        <w:rPr>
          <w:sz w:val="16"/>
          <w:szCs w:val="16"/>
          <w:lang w:val="es-ES_tradnl" w:eastAsia="da-DK"/>
        </w:rPr>
      </w:pPr>
      <w:r w:rsidRPr="00497F19">
        <w:rPr>
          <w:noProof/>
          <w:lang w:val="en-US" w:eastAsia="en-US"/>
        </w:rPr>
        <w:drawing>
          <wp:inline distT="0" distB="0" distL="0" distR="0" wp14:anchorId="7120E488" wp14:editId="15EC2580">
            <wp:extent cx="5401458" cy="2131642"/>
            <wp:effectExtent l="0" t="0" r="0" b="2540"/>
            <wp:docPr id="4165" name="Picture 4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414880" cy="2136939"/>
                    </a:xfrm>
                    <a:prstGeom prst="rect">
                      <a:avLst/>
                    </a:prstGeom>
                    <a:noFill/>
                    <a:ln>
                      <a:noFill/>
                    </a:ln>
                  </pic:spPr>
                </pic:pic>
              </a:graphicData>
            </a:graphic>
          </wp:inline>
        </w:drawing>
      </w:r>
    </w:p>
    <w:p w:rsidR="002406E3" w:rsidRPr="00497F19" w:rsidRDefault="002406E3" w:rsidP="002406E3">
      <w:pPr>
        <w:jc w:val="both"/>
        <w:rPr>
          <w:szCs w:val="22"/>
          <w:lang w:val="es-ES_tradnl"/>
        </w:rPr>
      </w:pPr>
    </w:p>
    <w:p w:rsidR="002406E3" w:rsidRPr="00497F19" w:rsidRDefault="002406E3" w:rsidP="002406E3">
      <w:pPr>
        <w:jc w:val="both"/>
        <w:rPr>
          <w:sz w:val="20"/>
          <w:lang w:val="es-ES_tradnl"/>
        </w:rPr>
      </w:pPr>
      <w:r w:rsidRPr="00497F19">
        <w:rPr>
          <w:sz w:val="20"/>
          <w:lang w:val="es-ES_tradnl"/>
        </w:rPr>
        <w:t>Nota:  Fondo fiduciario que reviste la forma de un acuerdo de cooperación entre la Oficina de Patentes y Marcas de los Estados Unidos de América (USPTO) y la OMPI en el ámbito de la observancia de los derechos de P.I.  Las cuentas e informes financieros relativos a este fondo fiduciario son mantenidos en dólares de los EE.UU.</w:t>
      </w:r>
    </w:p>
    <w:p w:rsidR="002406E3" w:rsidRPr="00497F19" w:rsidRDefault="002406E3" w:rsidP="002406E3">
      <w:pPr>
        <w:rPr>
          <w:sz w:val="20"/>
          <w:lang w:val="es-ES_tradnl" w:eastAsia="da-DK"/>
        </w:rPr>
      </w:pPr>
    </w:p>
    <w:p w:rsidR="002406E3" w:rsidRPr="00497F19" w:rsidRDefault="009243A3" w:rsidP="002406E3">
      <w:pPr>
        <w:rPr>
          <w:sz w:val="16"/>
          <w:szCs w:val="16"/>
          <w:lang w:val="es-ES_tradnl" w:eastAsia="da-DK"/>
        </w:rPr>
      </w:pPr>
      <w:r w:rsidRPr="00497F19">
        <w:rPr>
          <w:noProof/>
          <w:lang w:val="en-US" w:eastAsia="en-US"/>
        </w:rPr>
        <w:drawing>
          <wp:inline distT="0" distB="0" distL="0" distR="0" wp14:anchorId="4AB17CBC" wp14:editId="160B1D01">
            <wp:extent cx="5413153" cy="2014912"/>
            <wp:effectExtent l="0" t="0" r="0" b="4445"/>
            <wp:docPr id="4166" name="Picture 4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438159" cy="2024220"/>
                    </a:xfrm>
                    <a:prstGeom prst="rect">
                      <a:avLst/>
                    </a:prstGeom>
                    <a:noFill/>
                    <a:ln>
                      <a:noFill/>
                    </a:ln>
                  </pic:spPr>
                </pic:pic>
              </a:graphicData>
            </a:graphic>
          </wp:inline>
        </w:drawing>
      </w:r>
    </w:p>
    <w:p w:rsidR="002406E3" w:rsidRPr="00497F19" w:rsidRDefault="002406E3" w:rsidP="002406E3">
      <w:pPr>
        <w:rPr>
          <w:sz w:val="20"/>
          <w:lang w:val="es-ES_tradnl" w:eastAsia="da-DK"/>
        </w:rPr>
      </w:pPr>
    </w:p>
    <w:p w:rsidR="002406E3" w:rsidRPr="00497F19" w:rsidRDefault="002406E3" w:rsidP="002406E3">
      <w:pPr>
        <w:jc w:val="both"/>
        <w:rPr>
          <w:sz w:val="20"/>
          <w:lang w:val="es-ES_tradnl"/>
        </w:rPr>
      </w:pPr>
      <w:r w:rsidRPr="00497F19">
        <w:rPr>
          <w:sz w:val="20"/>
          <w:lang w:val="es-ES_tradnl"/>
        </w:rPr>
        <w:t xml:space="preserve">Nota:  Fondo fiduciario que reviste la forma de un acuerdo de cooperación entre la Oficina de Patentes y Marcas de los Estados Unidos de América (USPTO) y la OMPI en relación con servicios relativos a las necesidades de P.I. de las pymes. </w:t>
      </w:r>
      <w:r w:rsidR="009243A3" w:rsidRPr="00497F19">
        <w:rPr>
          <w:sz w:val="20"/>
          <w:lang w:val="es-ES_tradnl"/>
        </w:rPr>
        <w:t xml:space="preserve"> </w:t>
      </w:r>
      <w:r w:rsidRPr="00497F19">
        <w:rPr>
          <w:sz w:val="20"/>
          <w:lang w:val="es-ES_tradnl"/>
        </w:rPr>
        <w:t>Las cuentas e informes financieros relativos a este fondo fiduciario son mantenidos en dólares de los EE.UU.</w:t>
      </w:r>
    </w:p>
    <w:p w:rsidR="002406E3" w:rsidRPr="00497F19" w:rsidRDefault="002406E3" w:rsidP="002406E3">
      <w:pPr>
        <w:rPr>
          <w:sz w:val="16"/>
          <w:szCs w:val="16"/>
          <w:lang w:val="es-ES_tradnl" w:eastAsia="da-DK"/>
        </w:rPr>
      </w:pPr>
    </w:p>
    <w:p w:rsidR="002406E3" w:rsidRPr="00497F19" w:rsidRDefault="009243A3" w:rsidP="002406E3">
      <w:pPr>
        <w:rPr>
          <w:sz w:val="16"/>
          <w:szCs w:val="16"/>
          <w:lang w:val="es-ES_tradnl" w:eastAsia="da-DK"/>
        </w:rPr>
      </w:pPr>
      <w:r w:rsidRPr="00497F19">
        <w:rPr>
          <w:noProof/>
          <w:lang w:val="en-US" w:eastAsia="en-US"/>
        </w:rPr>
        <w:lastRenderedPageBreak/>
        <w:drawing>
          <wp:inline distT="0" distB="0" distL="0" distR="0" wp14:anchorId="62571E3D" wp14:editId="432FE2CD">
            <wp:extent cx="5760085" cy="2120114"/>
            <wp:effectExtent l="0" t="0" r="0" b="0"/>
            <wp:docPr id="4167" name="Picture 4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760085" cy="2120114"/>
                    </a:xfrm>
                    <a:prstGeom prst="rect">
                      <a:avLst/>
                    </a:prstGeom>
                    <a:noFill/>
                    <a:ln>
                      <a:noFill/>
                    </a:ln>
                  </pic:spPr>
                </pic:pic>
              </a:graphicData>
            </a:graphic>
          </wp:inline>
        </w:drawing>
      </w:r>
    </w:p>
    <w:p w:rsidR="002406E3" w:rsidRPr="00497F19" w:rsidRDefault="002406E3" w:rsidP="002406E3">
      <w:pPr>
        <w:rPr>
          <w:szCs w:val="22"/>
          <w:lang w:val="es-ES_tradnl" w:eastAsia="da-DK"/>
        </w:rPr>
      </w:pPr>
    </w:p>
    <w:p w:rsidR="002406E3" w:rsidRPr="00497F19" w:rsidRDefault="002406E3" w:rsidP="002406E3">
      <w:pPr>
        <w:jc w:val="both"/>
        <w:rPr>
          <w:sz w:val="20"/>
          <w:lang w:val="es-ES_tradnl"/>
        </w:rPr>
      </w:pPr>
      <w:r w:rsidRPr="00497F19">
        <w:rPr>
          <w:sz w:val="20"/>
          <w:lang w:val="es-ES_tradnl"/>
        </w:rPr>
        <w:t xml:space="preserve">Nota:  Fondo fiduciario que reviste la forma de un acuerdo de cooperación técnica entre el Gobierno del Uruguay y la OMPI para el desarrollo del sistema nacional de propiedad intelectual. </w:t>
      </w:r>
      <w:r w:rsidR="009243A3" w:rsidRPr="00497F19">
        <w:rPr>
          <w:sz w:val="20"/>
          <w:lang w:val="es-ES_tradnl"/>
        </w:rPr>
        <w:t xml:space="preserve"> </w:t>
      </w:r>
      <w:r w:rsidRPr="00497F19">
        <w:rPr>
          <w:sz w:val="20"/>
          <w:lang w:val="es-ES_tradnl"/>
        </w:rPr>
        <w:t>Las cuentas e informes financieros relativos a este fondo fiduciario son mantenidos en dólares de los EE.UU.</w:t>
      </w:r>
      <w:r w:rsidR="009243A3" w:rsidRPr="00497F19">
        <w:rPr>
          <w:sz w:val="20"/>
          <w:lang w:val="es-ES_tradnl"/>
        </w:rPr>
        <w:t xml:space="preserve"> </w:t>
      </w:r>
      <w:r w:rsidRPr="00497F19">
        <w:rPr>
          <w:sz w:val="20"/>
          <w:lang w:val="es-ES_tradnl"/>
        </w:rPr>
        <w:t xml:space="preserve"> Por consiguiente, las diferencias cambiarias en que se haya incurrido han sido absorbidas por la OMPI.</w:t>
      </w:r>
    </w:p>
    <w:p w:rsidR="002406E3" w:rsidRPr="00497F19" w:rsidRDefault="002406E3" w:rsidP="002406E3">
      <w:pPr>
        <w:rPr>
          <w:szCs w:val="22"/>
          <w:lang w:val="es-ES_tradnl" w:eastAsia="da-DK"/>
        </w:rPr>
      </w:pPr>
    </w:p>
    <w:p w:rsidR="002406E3" w:rsidRPr="00497F19" w:rsidRDefault="009243A3" w:rsidP="002406E3">
      <w:pPr>
        <w:rPr>
          <w:sz w:val="16"/>
          <w:szCs w:val="16"/>
          <w:lang w:val="es-ES_tradnl" w:eastAsia="da-DK"/>
        </w:rPr>
      </w:pPr>
      <w:r w:rsidRPr="00497F19">
        <w:rPr>
          <w:noProof/>
          <w:lang w:val="en-US" w:eastAsia="en-US"/>
        </w:rPr>
        <w:drawing>
          <wp:inline distT="0" distB="0" distL="0" distR="0" wp14:anchorId="4A616A8B" wp14:editId="164145C4">
            <wp:extent cx="5760085" cy="2273171"/>
            <wp:effectExtent l="0" t="0" r="0" b="0"/>
            <wp:docPr id="4168" name="Picture 4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760085" cy="2273171"/>
                    </a:xfrm>
                    <a:prstGeom prst="rect">
                      <a:avLst/>
                    </a:prstGeom>
                    <a:noFill/>
                    <a:ln>
                      <a:noFill/>
                    </a:ln>
                  </pic:spPr>
                </pic:pic>
              </a:graphicData>
            </a:graphic>
          </wp:inline>
        </w:drawing>
      </w:r>
    </w:p>
    <w:p w:rsidR="002406E3" w:rsidRPr="00497F19" w:rsidRDefault="002406E3" w:rsidP="002406E3">
      <w:pPr>
        <w:rPr>
          <w:sz w:val="16"/>
          <w:szCs w:val="16"/>
          <w:lang w:val="es-ES_tradnl" w:eastAsia="da-DK"/>
        </w:rPr>
      </w:pPr>
    </w:p>
    <w:p w:rsidR="002406E3" w:rsidRPr="00497F19" w:rsidRDefault="002406E3" w:rsidP="002406E3">
      <w:pPr>
        <w:jc w:val="both"/>
        <w:rPr>
          <w:sz w:val="20"/>
          <w:lang w:val="es-ES_tradnl"/>
        </w:rPr>
      </w:pPr>
      <w:r w:rsidRPr="00497F19">
        <w:rPr>
          <w:sz w:val="20"/>
          <w:lang w:val="es-ES_tradnl"/>
        </w:rPr>
        <w:t>Nota:  Fondo fiduciario que reviste la forma de un acuerdo de cooperación técnica entre el Gobierno del Uruguay y la OMPI para el desarrollo del sistema nacional de propiedad intelectual.</w:t>
      </w:r>
    </w:p>
    <w:p w:rsidR="002406E3" w:rsidRPr="00497F19" w:rsidRDefault="002406E3" w:rsidP="002406E3">
      <w:pPr>
        <w:rPr>
          <w:sz w:val="20"/>
          <w:lang w:val="es-ES_tradnl"/>
        </w:rPr>
      </w:pPr>
    </w:p>
    <w:p w:rsidR="002406E3" w:rsidRPr="00497F19" w:rsidRDefault="002406E3" w:rsidP="002406E3">
      <w:pPr>
        <w:rPr>
          <w:sz w:val="20"/>
          <w:lang w:val="es-ES_tradnl" w:eastAsia="da-DK"/>
        </w:rPr>
      </w:pPr>
    </w:p>
    <w:p w:rsidR="002406E3" w:rsidRPr="00497F19" w:rsidRDefault="002406E3" w:rsidP="002406E3">
      <w:pPr>
        <w:pStyle w:val="Endofdocument-Annex"/>
        <w:rPr>
          <w:lang w:val="es-ES_tradnl"/>
        </w:rPr>
      </w:pPr>
      <w:r w:rsidRPr="00497F19">
        <w:rPr>
          <w:lang w:val="es-ES_tradnl"/>
        </w:rPr>
        <w:t>[Fin del documento]</w:t>
      </w:r>
    </w:p>
    <w:p w:rsidR="003034B7" w:rsidRPr="00497F19" w:rsidRDefault="003034B7" w:rsidP="003034B7">
      <w:pPr>
        <w:pStyle w:val="Endofdocument-Annex"/>
        <w:ind w:left="0"/>
        <w:rPr>
          <w:szCs w:val="22"/>
          <w:lang w:val="es-ES_tradnl" w:eastAsia="da-DK"/>
        </w:rPr>
      </w:pPr>
    </w:p>
    <w:sectPr w:rsidR="003034B7" w:rsidRPr="00497F19" w:rsidSect="002406E3">
      <w:footerReference w:type="even" r:id="rId150"/>
      <w:pgSz w:w="11907" w:h="16840" w:code="9"/>
      <w:pgMar w:top="851" w:right="1418" w:bottom="907" w:left="1418" w:header="510" w:footer="51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79FE" w:rsidRDefault="00D179FE">
      <w:r>
        <w:separator/>
      </w:r>
    </w:p>
  </w:endnote>
  <w:endnote w:type="continuationSeparator" w:id="0">
    <w:p w:rsidR="00D179FE" w:rsidRPr="009D30E6" w:rsidRDefault="00D179FE" w:rsidP="007E663E">
      <w:pPr>
        <w:rPr>
          <w:sz w:val="17"/>
          <w:szCs w:val="17"/>
        </w:rPr>
      </w:pPr>
      <w:r w:rsidRPr="009D30E6">
        <w:rPr>
          <w:sz w:val="17"/>
          <w:szCs w:val="17"/>
        </w:rPr>
        <w:separator/>
      </w:r>
    </w:p>
    <w:p w:rsidR="00D179FE" w:rsidRPr="007E663E" w:rsidRDefault="00D179FE" w:rsidP="007E663E">
      <w:pPr>
        <w:spacing w:after="60"/>
        <w:rPr>
          <w:sz w:val="17"/>
          <w:szCs w:val="17"/>
        </w:rPr>
      </w:pPr>
      <w:r>
        <w:rPr>
          <w:sz w:val="17"/>
        </w:rPr>
        <w:t>[Continuación de la nota de la página anterior]</w:t>
      </w:r>
    </w:p>
  </w:endnote>
  <w:endnote w:type="continuationNotice" w:id="1">
    <w:p w:rsidR="00D179FE" w:rsidRPr="007E663E" w:rsidRDefault="00D179FE"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Bold">
    <w:panose1 w:val="020B07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MS Mincho"/>
    <w:charset w:val="80"/>
    <w:family w:val="auto"/>
    <w:pitch w:val="variable"/>
    <w:sig w:usb0="00000001" w:usb1="00000000" w:usb2="01000407" w:usb3="00000000" w:csb0="00020000" w:csb1="00000000"/>
  </w:font>
  <w:font w:name="Angsana New">
    <w:panose1 w:val="02020603050405020304"/>
    <w:charset w:val="00"/>
    <w:family w:val="roman"/>
    <w:pitch w:val="variable"/>
    <w:sig w:usb0="81000003" w:usb1="00000000" w:usb2="00000000" w:usb3="00000000" w:csb0="00010001" w:csb1="00000000"/>
  </w:font>
  <w:font w:name="Arial Black">
    <w:panose1 w:val="020B0A04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Lucida Grande">
    <w:altName w:val="Arial"/>
    <w:charset w:val="00"/>
    <w:family w:val="auto"/>
    <w:pitch w:val="variable"/>
    <w:sig w:usb0="E1000AEF"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9FE" w:rsidRPr="004E3DF9" w:rsidRDefault="00D179FE" w:rsidP="004E3DF9">
    <w:pPr>
      <w:pStyle w:val="Footer"/>
      <w:jc w:val="center"/>
      <w:rPr>
        <w:sz w:val="19"/>
        <w:szCs w:val="19"/>
      </w:rPr>
    </w:pPr>
    <w:r w:rsidRPr="007B64B6">
      <w:rPr>
        <w:rStyle w:val="PageNumber"/>
        <w:sz w:val="19"/>
        <w:szCs w:val="19"/>
      </w:rPr>
      <w:fldChar w:fldCharType="begin"/>
    </w:r>
    <w:r w:rsidRPr="007B64B6">
      <w:rPr>
        <w:rStyle w:val="PageNumber"/>
        <w:sz w:val="19"/>
        <w:szCs w:val="19"/>
      </w:rPr>
      <w:instrText xml:space="preserve"> PAGE </w:instrText>
    </w:r>
    <w:r w:rsidRPr="007B64B6">
      <w:rPr>
        <w:rStyle w:val="PageNumber"/>
        <w:sz w:val="19"/>
        <w:szCs w:val="19"/>
      </w:rPr>
      <w:fldChar w:fldCharType="separate"/>
    </w:r>
    <w:r w:rsidR="00ED766C">
      <w:rPr>
        <w:rStyle w:val="PageNumber"/>
        <w:noProof/>
        <w:sz w:val="19"/>
        <w:szCs w:val="19"/>
      </w:rPr>
      <w:t>v</w:t>
    </w:r>
    <w:r w:rsidRPr="007B64B6">
      <w:rPr>
        <w:rStyle w:val="PageNumber"/>
        <w:sz w:val="19"/>
        <w:szCs w:val="19"/>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9FE" w:rsidRPr="007B64B6" w:rsidRDefault="00D179FE" w:rsidP="004E3DF9">
    <w:pPr>
      <w:pStyle w:val="Footer"/>
      <w:jc w:val="center"/>
      <w:rPr>
        <w:sz w:val="19"/>
        <w:szCs w:val="19"/>
      </w:rPr>
    </w:pPr>
    <w:r w:rsidRPr="007B64B6">
      <w:rPr>
        <w:rStyle w:val="PageNumber"/>
        <w:sz w:val="19"/>
        <w:szCs w:val="19"/>
      </w:rPr>
      <w:fldChar w:fldCharType="begin"/>
    </w:r>
    <w:r w:rsidRPr="007B64B6">
      <w:rPr>
        <w:rStyle w:val="PageNumber"/>
        <w:sz w:val="19"/>
        <w:szCs w:val="19"/>
      </w:rPr>
      <w:instrText xml:space="preserve"> PAGE </w:instrText>
    </w:r>
    <w:r w:rsidRPr="007B64B6">
      <w:rPr>
        <w:rStyle w:val="PageNumber"/>
        <w:sz w:val="19"/>
        <w:szCs w:val="19"/>
      </w:rPr>
      <w:fldChar w:fldCharType="separate"/>
    </w:r>
    <w:r w:rsidR="00ED766C">
      <w:rPr>
        <w:rStyle w:val="PageNumber"/>
        <w:noProof/>
        <w:sz w:val="19"/>
        <w:szCs w:val="19"/>
      </w:rPr>
      <w:t>6</w:t>
    </w:r>
    <w:r w:rsidRPr="007B64B6">
      <w:rPr>
        <w:rStyle w:val="PageNumber"/>
        <w:sz w:val="19"/>
        <w:szCs w:val="19"/>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9FE" w:rsidRPr="007B64B6" w:rsidRDefault="00D179FE" w:rsidP="004E3DF9">
    <w:pPr>
      <w:pStyle w:val="Footer"/>
      <w:jc w:val="center"/>
      <w:rPr>
        <w:sz w:val="19"/>
        <w:szCs w:val="19"/>
      </w:rPr>
    </w:pPr>
    <w:r w:rsidRPr="007B64B6">
      <w:rPr>
        <w:rStyle w:val="PageNumber"/>
        <w:sz w:val="19"/>
        <w:szCs w:val="19"/>
      </w:rPr>
      <w:fldChar w:fldCharType="begin"/>
    </w:r>
    <w:r w:rsidRPr="007B64B6">
      <w:rPr>
        <w:rStyle w:val="PageNumber"/>
        <w:sz w:val="19"/>
        <w:szCs w:val="19"/>
      </w:rPr>
      <w:instrText xml:space="preserve"> PAGE </w:instrText>
    </w:r>
    <w:r w:rsidRPr="007B64B6">
      <w:rPr>
        <w:rStyle w:val="PageNumber"/>
        <w:sz w:val="19"/>
        <w:szCs w:val="19"/>
      </w:rPr>
      <w:fldChar w:fldCharType="separate"/>
    </w:r>
    <w:r w:rsidR="00ED766C">
      <w:rPr>
        <w:rStyle w:val="PageNumber"/>
        <w:noProof/>
        <w:sz w:val="19"/>
        <w:szCs w:val="19"/>
      </w:rPr>
      <w:t>iv</w:t>
    </w:r>
    <w:r w:rsidRPr="007B64B6">
      <w:rPr>
        <w:rStyle w:val="PageNumber"/>
        <w:sz w:val="19"/>
        <w:szCs w:val="19"/>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9FE" w:rsidRPr="007B64B6" w:rsidRDefault="00D179FE" w:rsidP="004E3DF9">
    <w:pPr>
      <w:pStyle w:val="Footer"/>
      <w:jc w:val="center"/>
      <w:rPr>
        <w:sz w:val="19"/>
        <w:szCs w:val="19"/>
      </w:rPr>
    </w:pPr>
    <w:r w:rsidRPr="007B64B6">
      <w:rPr>
        <w:rStyle w:val="PageNumber"/>
        <w:sz w:val="19"/>
        <w:szCs w:val="19"/>
      </w:rPr>
      <w:fldChar w:fldCharType="begin"/>
    </w:r>
    <w:r w:rsidRPr="007B64B6">
      <w:rPr>
        <w:rStyle w:val="PageNumber"/>
        <w:sz w:val="19"/>
        <w:szCs w:val="19"/>
      </w:rPr>
      <w:instrText xml:space="preserve"> PAGE </w:instrText>
    </w:r>
    <w:r w:rsidRPr="007B64B6">
      <w:rPr>
        <w:rStyle w:val="PageNumber"/>
        <w:sz w:val="19"/>
        <w:szCs w:val="19"/>
      </w:rPr>
      <w:fldChar w:fldCharType="separate"/>
    </w:r>
    <w:r w:rsidR="00ED766C">
      <w:rPr>
        <w:rStyle w:val="PageNumber"/>
        <w:noProof/>
        <w:sz w:val="19"/>
        <w:szCs w:val="19"/>
      </w:rPr>
      <w:t>100</w:t>
    </w:r>
    <w:r w:rsidRPr="007B64B6">
      <w:rPr>
        <w:rStyle w:val="PageNumber"/>
        <w:sz w:val="19"/>
        <w:szCs w:val="19"/>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79FE" w:rsidRDefault="00D179FE">
      <w:r>
        <w:separator/>
      </w:r>
    </w:p>
  </w:footnote>
  <w:footnote w:type="continuationSeparator" w:id="0">
    <w:p w:rsidR="00D179FE" w:rsidRPr="009D30E6" w:rsidRDefault="00D179FE" w:rsidP="007E663E">
      <w:pPr>
        <w:rPr>
          <w:sz w:val="17"/>
          <w:szCs w:val="17"/>
        </w:rPr>
      </w:pPr>
      <w:r w:rsidRPr="009D30E6">
        <w:rPr>
          <w:sz w:val="17"/>
          <w:szCs w:val="17"/>
        </w:rPr>
        <w:separator/>
      </w:r>
    </w:p>
    <w:p w:rsidR="00D179FE" w:rsidRPr="007E663E" w:rsidRDefault="00D179FE" w:rsidP="007E663E">
      <w:pPr>
        <w:spacing w:after="60"/>
        <w:rPr>
          <w:sz w:val="17"/>
          <w:szCs w:val="17"/>
        </w:rPr>
      </w:pPr>
      <w:r>
        <w:rPr>
          <w:sz w:val="17"/>
        </w:rPr>
        <w:t>[Continuación de la nota de la página anterior]</w:t>
      </w:r>
    </w:p>
  </w:footnote>
  <w:footnote w:type="continuationNotice" w:id="1">
    <w:p w:rsidR="00D179FE" w:rsidRPr="007E663E" w:rsidRDefault="00D179FE" w:rsidP="007E663E">
      <w:pPr>
        <w:spacing w:before="60"/>
        <w:jc w:val="right"/>
        <w:rPr>
          <w:sz w:val="17"/>
          <w:szCs w:val="17"/>
        </w:rPr>
      </w:pPr>
      <w:r w:rsidRPr="007E663E">
        <w:rPr>
          <w:sz w:val="17"/>
          <w:szCs w:val="17"/>
        </w:rPr>
        <w:t>[Sigue la nota en la página siguiente]</w:t>
      </w:r>
    </w:p>
  </w:footnote>
  <w:footnote w:id="2">
    <w:p w:rsidR="00D179FE" w:rsidRPr="00497F19" w:rsidRDefault="00D179FE" w:rsidP="004E3DF9">
      <w:pPr>
        <w:pStyle w:val="FootnoteText"/>
      </w:pPr>
      <w:r w:rsidRPr="00497F19">
        <w:rPr>
          <w:rStyle w:val="FootnoteReference"/>
          <w:szCs w:val="18"/>
        </w:rPr>
        <w:sym w:font="Symbol" w:char="F02A"/>
      </w:r>
      <w:r w:rsidRPr="00497F19">
        <w:rPr>
          <w:szCs w:val="18"/>
          <w:lang w:val="es-ES_tradnl"/>
        </w:rPr>
        <w:t xml:space="preserve">  </w:t>
      </w:r>
      <w:r w:rsidRPr="00497F19">
        <w:rPr>
          <w:szCs w:val="18"/>
        </w:rPr>
        <w:t>Unión de París (128º y 129º ejercicios), Unión de Berna (125º y 126º ejercicios), Unión de Madrid (121º y 122º ejercicios), Unión de La Haya (87º y 88º ejercicios), Unión de Niza (55º y 56º ejer</w:t>
      </w:r>
      <w:r w:rsidR="00497F19">
        <w:rPr>
          <w:szCs w:val="18"/>
        </w:rPr>
        <w:t>cicios), Unión de Lisboa (54º y </w:t>
      </w:r>
      <w:r w:rsidRPr="00497F19">
        <w:rPr>
          <w:szCs w:val="18"/>
        </w:rPr>
        <w:t>55º ejercicios), OMPI (43º y 44º ejercicios), Unión de Locarno (42º y 43º ejercicios), Unión de la CIP (38º y 39º ejercicios), Unión del PCT (35º y 36º ejercicios), Unión del TRT (33º y 34º ejercicios), Unión de Viena (27º y 28º ejercicios).</w:t>
      </w:r>
    </w:p>
  </w:footnote>
  <w:footnote w:id="3">
    <w:p w:rsidR="00D179FE" w:rsidRPr="00497F19" w:rsidRDefault="00D179FE" w:rsidP="002406E3">
      <w:pPr>
        <w:pStyle w:val="FootnoteText"/>
        <w:rPr>
          <w:sz w:val="14"/>
          <w:szCs w:val="14"/>
          <w:lang w:val="es-ES_tradnl"/>
        </w:rPr>
      </w:pPr>
      <w:r w:rsidRPr="00497F19">
        <w:rPr>
          <w:rStyle w:val="FootnoteReference"/>
          <w:sz w:val="14"/>
          <w:szCs w:val="14"/>
        </w:rPr>
        <w:footnoteRef/>
      </w:r>
      <w:r w:rsidRPr="00497F19">
        <w:rPr>
          <w:sz w:val="14"/>
          <w:szCs w:val="14"/>
          <w:lang w:val="es-ES_tradnl"/>
        </w:rPr>
        <w:t xml:space="preserve"> Hasta el 31 de diciembre de 2009</w:t>
      </w:r>
    </w:p>
  </w:footnote>
  <w:footnote w:id="4">
    <w:p w:rsidR="00D179FE" w:rsidRPr="00497F19" w:rsidRDefault="00D179FE" w:rsidP="002406E3">
      <w:pPr>
        <w:pStyle w:val="FootnoteText"/>
        <w:rPr>
          <w:sz w:val="14"/>
          <w:szCs w:val="14"/>
          <w:lang w:val="es-ES_tradnl"/>
        </w:rPr>
      </w:pPr>
      <w:r w:rsidRPr="00497F19">
        <w:rPr>
          <w:rStyle w:val="FootnoteReference"/>
          <w:sz w:val="16"/>
          <w:szCs w:val="16"/>
        </w:rPr>
        <w:footnoteRef/>
      </w:r>
      <w:r w:rsidRPr="00497F19">
        <w:rPr>
          <w:sz w:val="16"/>
          <w:szCs w:val="16"/>
          <w:lang w:val="es-ES_tradnl"/>
        </w:rPr>
        <w:t xml:space="preserve"> </w:t>
      </w:r>
      <w:r w:rsidRPr="00497F19">
        <w:rPr>
          <w:sz w:val="14"/>
          <w:szCs w:val="14"/>
          <w:lang w:val="es-ES_tradnl"/>
        </w:rPr>
        <w:t>Hasta el 29 de diciembre de 2010</w:t>
      </w:r>
    </w:p>
  </w:footnote>
  <w:footnote w:id="5">
    <w:p w:rsidR="00D179FE" w:rsidRPr="00497F19" w:rsidRDefault="00D179FE" w:rsidP="002406E3">
      <w:pPr>
        <w:pStyle w:val="FootnoteText"/>
        <w:rPr>
          <w:sz w:val="14"/>
          <w:szCs w:val="14"/>
          <w:lang w:val="es-ES_tradnl"/>
        </w:rPr>
      </w:pPr>
      <w:r w:rsidRPr="00497F19">
        <w:rPr>
          <w:rStyle w:val="FootnoteReference"/>
          <w:sz w:val="14"/>
          <w:szCs w:val="14"/>
        </w:rPr>
        <w:footnoteRef/>
      </w:r>
      <w:r w:rsidRPr="00497F19">
        <w:rPr>
          <w:sz w:val="14"/>
          <w:szCs w:val="14"/>
          <w:lang w:val="es-ES_tradnl"/>
        </w:rPr>
        <w:t xml:space="preserve"> Hasta el 30 de junio de 2010</w:t>
      </w:r>
    </w:p>
  </w:footnote>
  <w:footnote w:id="6">
    <w:p w:rsidR="00D179FE" w:rsidRPr="00497F19" w:rsidRDefault="00D179FE" w:rsidP="002406E3">
      <w:pPr>
        <w:pStyle w:val="FootnoteText"/>
        <w:rPr>
          <w:sz w:val="14"/>
          <w:szCs w:val="14"/>
          <w:lang w:val="es-ES_tradnl"/>
        </w:rPr>
      </w:pPr>
      <w:r w:rsidRPr="00497F19">
        <w:rPr>
          <w:rStyle w:val="FootnoteReference"/>
          <w:sz w:val="14"/>
          <w:szCs w:val="14"/>
        </w:rPr>
        <w:footnoteRef/>
      </w:r>
      <w:r w:rsidRPr="00497F19">
        <w:rPr>
          <w:sz w:val="14"/>
          <w:szCs w:val="14"/>
          <w:lang w:val="es-ES_tradnl"/>
        </w:rPr>
        <w:t xml:space="preserve"> Desde el 1 de enero de 2010</w:t>
      </w:r>
    </w:p>
  </w:footnote>
  <w:footnote w:id="7">
    <w:p w:rsidR="00D179FE" w:rsidRPr="00497F19" w:rsidRDefault="00D179FE" w:rsidP="002406E3">
      <w:pPr>
        <w:pStyle w:val="FootnoteText"/>
        <w:rPr>
          <w:sz w:val="14"/>
          <w:szCs w:val="14"/>
          <w:lang w:val="es-ES_tradnl"/>
        </w:rPr>
      </w:pPr>
      <w:r w:rsidRPr="00497F19">
        <w:rPr>
          <w:rStyle w:val="FootnoteReference"/>
          <w:sz w:val="14"/>
          <w:szCs w:val="14"/>
        </w:rPr>
        <w:footnoteRef/>
      </w:r>
      <w:r w:rsidRPr="00497F19">
        <w:rPr>
          <w:sz w:val="14"/>
          <w:szCs w:val="14"/>
          <w:lang w:val="es-ES_tradnl"/>
        </w:rPr>
        <w:t xml:space="preserve"> Desde el 1 de Julio de 2010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9FE" w:rsidRDefault="00D179FE" w:rsidP="00477D6B">
    <w:pPr>
      <w:jc w:val="right"/>
    </w:pPr>
    <w:bookmarkStart w:id="1" w:name="Code2"/>
    <w:bookmarkEnd w:id="1"/>
    <w:r>
      <w:t>A/54/8</w:t>
    </w:r>
  </w:p>
  <w:p w:rsidR="00D179FE" w:rsidRDefault="00D179FE" w:rsidP="00477D6B">
    <w:pPr>
      <w:jc w:val="right"/>
    </w:pPr>
    <w:r>
      <w:t xml:space="preserve">página </w:t>
    </w:r>
    <w:r>
      <w:fldChar w:fldCharType="begin"/>
    </w:r>
    <w:r>
      <w:instrText xml:space="preserve"> PAGE  \* MERGEFORMAT </w:instrText>
    </w:r>
    <w:r>
      <w:fldChar w:fldCharType="separate"/>
    </w:r>
    <w:r w:rsidR="00ED766C">
      <w:rPr>
        <w:noProof/>
      </w:rPr>
      <w:t>3</w:t>
    </w:r>
    <w:r>
      <w:fldChar w:fldCharType="end"/>
    </w:r>
  </w:p>
  <w:p w:rsidR="00D179FE" w:rsidRDefault="00D179FE" w:rsidP="00477D6B">
    <w:pPr>
      <w:jc w:val="righ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9FE" w:rsidRPr="007B64B6" w:rsidRDefault="00D179FE" w:rsidP="004E3DF9">
    <w:pPr>
      <w:pStyle w:val="Header"/>
      <w:jc w:val="right"/>
      <w:rPr>
        <w:b/>
        <w:bCs/>
        <w:sz w:val="17"/>
        <w:szCs w:val="17"/>
      </w:rPr>
    </w:pPr>
    <w:r>
      <w:rPr>
        <w:b/>
        <w:bCs/>
        <w:sz w:val="17"/>
        <w:szCs w:val="17"/>
      </w:rPr>
      <w:t>Informe de gestión financiera 2012/13</w:t>
    </w:r>
  </w:p>
  <w:p w:rsidR="00D179FE" w:rsidRPr="007B64B6" w:rsidRDefault="00D179FE" w:rsidP="004E3DF9">
    <w:pPr>
      <w:pStyle w:val="Header"/>
      <w:jc w:val="right"/>
      <w:rPr>
        <w:b/>
        <w:bCs/>
        <w:sz w:val="17"/>
        <w:szCs w:val="17"/>
      </w:rPr>
    </w:pPr>
  </w:p>
  <w:p w:rsidR="00D179FE" w:rsidRPr="007B64B6" w:rsidRDefault="00D179FE" w:rsidP="004E3DF9">
    <w:pPr>
      <w:pStyle w:val="Header"/>
      <w:jc w:val="right"/>
      <w:rPr>
        <w:b/>
        <w:bCs/>
        <w:sz w:val="17"/>
        <w:szCs w:val="17"/>
      </w:rPr>
    </w:pPr>
  </w:p>
  <w:p w:rsidR="00D179FE" w:rsidRPr="007B64B6" w:rsidRDefault="00D179FE" w:rsidP="004E3DF9">
    <w:pPr>
      <w:pStyle w:val="Header"/>
      <w:jc w:val="right"/>
      <w:rPr>
        <w:b/>
        <w:bCs/>
        <w:sz w:val="17"/>
        <w:szCs w:val="17"/>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9FE" w:rsidRPr="007B64B6" w:rsidRDefault="00D179FE" w:rsidP="004E3DF9">
    <w:pPr>
      <w:pStyle w:val="Header"/>
      <w:jc w:val="right"/>
      <w:rPr>
        <w:b/>
        <w:bCs/>
        <w:sz w:val="17"/>
        <w:szCs w:val="17"/>
      </w:rPr>
    </w:pPr>
    <w:r>
      <w:rPr>
        <w:b/>
        <w:bCs/>
        <w:sz w:val="17"/>
        <w:szCs w:val="17"/>
      </w:rPr>
      <w:t>Informe de gestión financiera 2012/13</w:t>
    </w:r>
  </w:p>
  <w:p w:rsidR="00D179FE" w:rsidRPr="007B64B6" w:rsidRDefault="00D179FE" w:rsidP="004E3DF9">
    <w:pPr>
      <w:pStyle w:val="Header"/>
      <w:jc w:val="right"/>
      <w:rPr>
        <w:b/>
        <w:bCs/>
        <w:sz w:val="17"/>
        <w:szCs w:val="17"/>
      </w:rPr>
    </w:pPr>
  </w:p>
  <w:p w:rsidR="00D179FE" w:rsidRPr="007B64B6" w:rsidRDefault="00D179FE" w:rsidP="004E3DF9">
    <w:pPr>
      <w:pStyle w:val="Header"/>
      <w:jc w:val="right"/>
      <w:rPr>
        <w:b/>
        <w:bCs/>
        <w:sz w:val="17"/>
        <w:szCs w:val="17"/>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9FE" w:rsidRPr="007B64B6" w:rsidRDefault="00D179FE" w:rsidP="004E3DF9">
    <w:pPr>
      <w:pStyle w:val="Header"/>
      <w:jc w:val="right"/>
      <w:rPr>
        <w:bCs/>
        <w:sz w:val="17"/>
        <w:szCs w:val="17"/>
      </w:rPr>
    </w:pPr>
  </w:p>
  <w:p w:rsidR="00D179FE" w:rsidRPr="007B64B6" w:rsidRDefault="00D179FE" w:rsidP="004E3DF9">
    <w:pPr>
      <w:pStyle w:val="Header"/>
      <w:rPr>
        <w:bCs/>
        <w:sz w:val="17"/>
        <w:szCs w:val="17"/>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9FE" w:rsidRPr="007B64B6" w:rsidRDefault="00D179FE" w:rsidP="004E3DF9">
    <w:pPr>
      <w:pStyle w:val="Header"/>
      <w:jc w:val="right"/>
      <w:rPr>
        <w:b/>
        <w:bCs/>
        <w:sz w:val="17"/>
        <w:szCs w:val="17"/>
      </w:rPr>
    </w:pPr>
  </w:p>
  <w:p w:rsidR="00D179FE" w:rsidRPr="007B64B6" w:rsidRDefault="00D179FE" w:rsidP="004E3DF9">
    <w:pPr>
      <w:pStyle w:val="Header"/>
      <w:jc w:val="right"/>
      <w:rPr>
        <w:b/>
        <w:bCs/>
        <w:sz w:val="17"/>
        <w:szCs w:val="17"/>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9FE" w:rsidRPr="007B64B6" w:rsidRDefault="00D179FE" w:rsidP="004E3DF9">
    <w:pPr>
      <w:pStyle w:val="Header"/>
      <w:rPr>
        <w:b/>
        <w:bCs/>
        <w:sz w:val="17"/>
        <w:szCs w:val="17"/>
      </w:rPr>
    </w:pPr>
    <w:r>
      <w:rPr>
        <w:b/>
        <w:bCs/>
        <w:sz w:val="17"/>
        <w:szCs w:val="17"/>
      </w:rPr>
      <w:t>Informe de gestión financiera</w:t>
    </w:r>
    <w:r w:rsidRPr="007B64B6">
      <w:rPr>
        <w:b/>
        <w:bCs/>
        <w:sz w:val="17"/>
        <w:szCs w:val="17"/>
      </w:rPr>
      <w:t xml:space="preserve"> 2012/13</w:t>
    </w:r>
  </w:p>
  <w:p w:rsidR="00D179FE" w:rsidRPr="007B64B6" w:rsidRDefault="00D179FE" w:rsidP="004E3DF9">
    <w:pPr>
      <w:pStyle w:val="Header"/>
      <w:rPr>
        <w:b/>
        <w:bCs/>
        <w:sz w:val="17"/>
        <w:szCs w:val="17"/>
      </w:rPr>
    </w:pPr>
  </w:p>
  <w:p w:rsidR="00D179FE" w:rsidRPr="007B64B6" w:rsidRDefault="00D179FE" w:rsidP="004E3DF9">
    <w:pPr>
      <w:pStyle w:val="Header"/>
      <w:rPr>
        <w:b/>
        <w:bCs/>
        <w:sz w:val="17"/>
        <w:szCs w:val="17"/>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9FE" w:rsidRPr="007B64B6" w:rsidRDefault="00D179FE" w:rsidP="004E3DF9">
    <w:pPr>
      <w:pStyle w:val="Header"/>
      <w:jc w:val="right"/>
      <w:rPr>
        <w:b/>
        <w:bCs/>
        <w:sz w:val="17"/>
        <w:szCs w:val="17"/>
      </w:rPr>
    </w:pPr>
    <w:r>
      <w:rPr>
        <w:b/>
        <w:bCs/>
        <w:sz w:val="17"/>
        <w:szCs w:val="17"/>
      </w:rPr>
      <w:t>Informe de gestión financiera 2012/13</w:t>
    </w:r>
  </w:p>
  <w:p w:rsidR="00D179FE" w:rsidRPr="007B64B6" w:rsidRDefault="00D179FE" w:rsidP="004E3DF9">
    <w:pPr>
      <w:pStyle w:val="Header"/>
      <w:jc w:val="right"/>
      <w:rPr>
        <w:b/>
        <w:bCs/>
        <w:sz w:val="17"/>
        <w:szCs w:val="17"/>
      </w:rPr>
    </w:pPr>
  </w:p>
  <w:p w:rsidR="00D179FE" w:rsidRPr="007B64B6" w:rsidRDefault="00D179FE" w:rsidP="004E3DF9">
    <w:pPr>
      <w:pStyle w:val="Header"/>
      <w:jc w:val="right"/>
      <w:rPr>
        <w:b/>
        <w:bCs/>
        <w:sz w:val="17"/>
        <w:szCs w:val="17"/>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9FE" w:rsidRPr="005B4136" w:rsidRDefault="00D179FE" w:rsidP="004E3DF9">
    <w:pPr>
      <w:pStyle w:val="Header"/>
      <w:rPr>
        <w:b/>
        <w:bCs/>
        <w:sz w:val="17"/>
        <w:szCs w:val="17"/>
      </w:rPr>
    </w:pPr>
    <w:r w:rsidRPr="005B4136">
      <w:rPr>
        <w:b/>
        <w:bCs/>
        <w:sz w:val="17"/>
        <w:szCs w:val="17"/>
        <w:lang w:val="es-ES_tradnl"/>
      </w:rPr>
      <w:t>Informe de gestión financiera 2012/13</w:t>
    </w:r>
  </w:p>
  <w:p w:rsidR="00D179FE" w:rsidRPr="005B4136" w:rsidRDefault="00D179FE" w:rsidP="004E3DF9">
    <w:pPr>
      <w:pStyle w:val="Header"/>
      <w:rPr>
        <w:b/>
        <w:bCs/>
        <w:sz w:val="17"/>
        <w:szCs w:val="17"/>
      </w:rPr>
    </w:pPr>
  </w:p>
  <w:p w:rsidR="00D179FE" w:rsidRPr="005B4136" w:rsidRDefault="00D179FE" w:rsidP="004E3DF9">
    <w:pPr>
      <w:pStyle w:val="Header"/>
      <w:rPr>
        <w:b/>
        <w:bCs/>
        <w:sz w:val="17"/>
        <w:szCs w:val="17"/>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9FE" w:rsidRPr="00216302" w:rsidRDefault="00D179FE" w:rsidP="004E3DF9">
    <w:pPr>
      <w:pStyle w:val="Header"/>
      <w:jc w:val="right"/>
      <w:rPr>
        <w:rFonts w:eastAsia="Times New Roman"/>
        <w:b/>
        <w:bCs/>
        <w:sz w:val="17"/>
        <w:szCs w:val="17"/>
        <w:lang w:eastAsia="en-US"/>
      </w:rPr>
    </w:pPr>
    <w:r w:rsidRPr="00216302">
      <w:rPr>
        <w:rFonts w:eastAsia="Times New Roman"/>
        <w:b/>
        <w:bCs/>
        <w:sz w:val="17"/>
        <w:szCs w:val="17"/>
        <w:lang w:eastAsia="en-US"/>
      </w:rPr>
      <w:t>Informe de gestión financiera 2012/13</w:t>
    </w:r>
  </w:p>
  <w:p w:rsidR="00D179FE" w:rsidRPr="00216302" w:rsidRDefault="00D179FE" w:rsidP="004E3DF9">
    <w:pPr>
      <w:pStyle w:val="Header"/>
      <w:jc w:val="right"/>
      <w:rPr>
        <w:rFonts w:eastAsia="Times New Roman"/>
        <w:b/>
        <w:bCs/>
        <w:sz w:val="17"/>
        <w:szCs w:val="17"/>
        <w:lang w:eastAsia="en-US"/>
      </w:rPr>
    </w:pPr>
  </w:p>
  <w:p w:rsidR="00D179FE" w:rsidRPr="004E3DF9" w:rsidRDefault="00D179FE" w:rsidP="004E3DF9">
    <w:pPr>
      <w:pStyle w:val="Header"/>
      <w:jc w:val="right"/>
      <w:rPr>
        <w:rFonts w:eastAsia="Times New Roman"/>
        <w:b/>
        <w:bCs/>
        <w:sz w:val="17"/>
        <w:szCs w:val="17"/>
        <w:lang w:val="en-US" w:eastAsia="en-US"/>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9FE" w:rsidRPr="004E70E4" w:rsidRDefault="00D179FE" w:rsidP="004E3DF9">
    <w:pPr>
      <w:pStyle w:val="Header"/>
      <w:jc w:val="right"/>
      <w:rPr>
        <w:b/>
        <w:bCs/>
        <w:color w:val="808080"/>
        <w:sz w:val="17"/>
        <w:szCs w:val="17"/>
      </w:rPr>
    </w:pPr>
    <w:r w:rsidRPr="004E70E4">
      <w:rPr>
        <w:b/>
        <w:bCs/>
        <w:color w:val="808080"/>
        <w:sz w:val="17"/>
        <w:szCs w:val="17"/>
        <w:lang w:val="es-ES_tradnl"/>
      </w:rPr>
      <w:t>Informe de gestión financiera 2012/13</w:t>
    </w:r>
  </w:p>
  <w:p w:rsidR="00D179FE" w:rsidRPr="007B64B6" w:rsidRDefault="00D179FE" w:rsidP="004E3DF9">
    <w:pPr>
      <w:pStyle w:val="Header"/>
      <w:jc w:val="right"/>
      <w:rPr>
        <w:b/>
        <w:bCs/>
        <w:sz w:val="17"/>
        <w:szCs w:val="17"/>
      </w:rPr>
    </w:pPr>
  </w:p>
  <w:p w:rsidR="00D179FE" w:rsidRPr="007B64B6" w:rsidRDefault="00D179FE" w:rsidP="004E3DF9">
    <w:pPr>
      <w:pStyle w:val="Header"/>
      <w:jc w:val="right"/>
      <w:rPr>
        <w:b/>
        <w:bCs/>
        <w:sz w:val="17"/>
        <w:szCs w:val="17"/>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9FE" w:rsidRPr="007B64B6" w:rsidRDefault="00D179FE" w:rsidP="004E3DF9">
    <w:pPr>
      <w:pStyle w:val="Header"/>
      <w:jc w:val="right"/>
      <w:rPr>
        <w:b/>
        <w:bCs/>
        <w:sz w:val="17"/>
        <w:szCs w:val="17"/>
      </w:rPr>
    </w:pPr>
    <w:r>
      <w:rPr>
        <w:b/>
        <w:bCs/>
        <w:sz w:val="17"/>
        <w:szCs w:val="17"/>
      </w:rPr>
      <w:t>Informe de gestión financiera 2012/13</w:t>
    </w:r>
  </w:p>
  <w:p w:rsidR="00D179FE" w:rsidRPr="007B64B6" w:rsidRDefault="00D179FE" w:rsidP="004E3DF9">
    <w:pPr>
      <w:pStyle w:val="Header"/>
      <w:jc w:val="right"/>
      <w:rPr>
        <w:b/>
        <w:bCs/>
        <w:sz w:val="17"/>
        <w:szCs w:val="17"/>
      </w:rPr>
    </w:pPr>
  </w:p>
  <w:p w:rsidR="00D179FE" w:rsidRPr="007B64B6" w:rsidRDefault="00D179FE" w:rsidP="004E3DF9">
    <w:pPr>
      <w:pStyle w:val="Header"/>
      <w:jc w:val="right"/>
      <w:rPr>
        <w:b/>
        <w:bCs/>
        <w:sz w:val="17"/>
        <w:szCs w:val="17"/>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35C1CAC"/>
    <w:multiLevelType w:val="hybridMultilevel"/>
    <w:tmpl w:val="E592BF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B434C3C"/>
    <w:multiLevelType w:val="hybridMultilevel"/>
    <w:tmpl w:val="4C92015A"/>
    <w:lvl w:ilvl="0" w:tplc="5502B30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4D369D"/>
    <w:multiLevelType w:val="hybridMultilevel"/>
    <w:tmpl w:val="EA7E6B9A"/>
    <w:lvl w:ilvl="0" w:tplc="990AAEA2">
      <w:start w:val="1"/>
      <w:numFmt w:val="decimal"/>
      <w:lvlRestart w:val="0"/>
      <w:lvlText w:val="2.%1."/>
      <w:lvlJc w:val="left"/>
      <w:pPr>
        <w:tabs>
          <w:tab w:val="num" w:pos="567"/>
        </w:tabs>
        <w:ind w:left="0" w:firstLine="0"/>
      </w:pPr>
      <w:rPr>
        <w:rFonts w:ascii="Arial" w:hAnsi="Arial" w:hint="default"/>
        <w:b w:val="0"/>
        <w:bCs/>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77D5000"/>
    <w:multiLevelType w:val="singleLevel"/>
    <w:tmpl w:val="0409000F"/>
    <w:lvl w:ilvl="0">
      <w:start w:val="1"/>
      <w:numFmt w:val="decimal"/>
      <w:lvlText w:val="%1."/>
      <w:lvlJc w:val="left"/>
      <w:pPr>
        <w:tabs>
          <w:tab w:val="num" w:pos="360"/>
        </w:tabs>
        <w:ind w:left="360" w:hanging="360"/>
      </w:pPr>
    </w:lvl>
  </w:abstractNum>
  <w:abstractNum w:abstractNumId="6">
    <w:nsid w:val="178B5A9C"/>
    <w:multiLevelType w:val="multilevel"/>
    <w:tmpl w:val="B7583D98"/>
    <w:lvl w:ilvl="0">
      <w:start w:val="1"/>
      <w:numFmt w:val="decimal"/>
      <w:lvlRestart w:val="0"/>
      <w:lvlText w:val="%1."/>
      <w:lvlJc w:val="left"/>
      <w:pPr>
        <w:tabs>
          <w:tab w:val="num" w:pos="567"/>
        </w:tabs>
        <w:ind w:left="0" w:firstLine="0"/>
      </w:pPr>
      <w:rPr>
        <w:rFonts w:hint="default"/>
        <w:b w:val="0"/>
        <w:bCs/>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b w:val="0"/>
        <w:bCs/>
        <w:i w:val="0"/>
        <w:iCs/>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nsid w:val="1B456D1F"/>
    <w:multiLevelType w:val="hybridMultilevel"/>
    <w:tmpl w:val="145EB764"/>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8">
    <w:nsid w:val="1EB657B5"/>
    <w:multiLevelType w:val="hybridMultilevel"/>
    <w:tmpl w:val="1F205004"/>
    <w:lvl w:ilvl="0" w:tplc="D1AE928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0">
    <w:nsid w:val="38875E87"/>
    <w:multiLevelType w:val="hybridMultilevel"/>
    <w:tmpl w:val="98A2F690"/>
    <w:lvl w:ilvl="0" w:tplc="195AF9A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8A2A61"/>
    <w:multiLevelType w:val="hybridMultilevel"/>
    <w:tmpl w:val="906A9786"/>
    <w:lvl w:ilvl="0" w:tplc="F6301FAC">
      <w:start w:val="1"/>
      <w:numFmt w:val="upperLetter"/>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D262724"/>
    <w:multiLevelType w:val="hybridMultilevel"/>
    <w:tmpl w:val="19FC1F7A"/>
    <w:lvl w:ilvl="0" w:tplc="92CE51DE">
      <w:start w:val="1"/>
      <w:numFmt w:val="upp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44B75810"/>
    <w:multiLevelType w:val="hybridMultilevel"/>
    <w:tmpl w:val="51A24D06"/>
    <w:lvl w:ilvl="0" w:tplc="EADCA4B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6C700FB"/>
    <w:multiLevelType w:val="hybridMultilevel"/>
    <w:tmpl w:val="1994A330"/>
    <w:lvl w:ilvl="0" w:tplc="A936F7F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7316939"/>
    <w:multiLevelType w:val="multilevel"/>
    <w:tmpl w:val="095200DC"/>
    <w:lvl w:ilvl="0">
      <w:start w:val="1"/>
      <w:numFmt w:val="bullet"/>
      <w:lvlText w:val=""/>
      <w:lvlJc w:val="left"/>
      <w:pPr>
        <w:tabs>
          <w:tab w:val="num" w:pos="1174"/>
        </w:tabs>
        <w:ind w:left="1174" w:hanging="454"/>
      </w:pPr>
      <w:rPr>
        <w:rFonts w:ascii="Symbol" w:hAnsi="Symbol" w:hint="default"/>
      </w:rPr>
    </w:lvl>
    <w:lvl w:ilvl="1">
      <w:start w:val="1"/>
      <w:numFmt w:val="lowerLetter"/>
      <w:lvlText w:val="(%2)"/>
      <w:lvlJc w:val="left"/>
      <w:pPr>
        <w:tabs>
          <w:tab w:val="num" w:pos="1854"/>
        </w:tabs>
        <w:ind w:left="1287" w:firstLine="0"/>
      </w:pPr>
      <w:rPr>
        <w:rFonts w:hint="default"/>
      </w:rPr>
    </w:lvl>
    <w:lvl w:ilvl="2">
      <w:start w:val="1"/>
      <w:numFmt w:val="lowerRoman"/>
      <w:lvlText w:val="(%3)"/>
      <w:lvlJc w:val="left"/>
      <w:pPr>
        <w:tabs>
          <w:tab w:val="num" w:pos="2421"/>
        </w:tabs>
        <w:ind w:left="1854" w:firstLine="0"/>
      </w:pPr>
      <w:rPr>
        <w:rFonts w:hint="default"/>
      </w:rPr>
    </w:lvl>
    <w:lvl w:ilvl="3">
      <w:start w:val="1"/>
      <w:numFmt w:val="bullet"/>
      <w:lvlText w:val=""/>
      <w:lvlJc w:val="left"/>
      <w:pPr>
        <w:tabs>
          <w:tab w:val="num" w:pos="2988"/>
        </w:tabs>
        <w:ind w:left="2421" w:firstLine="0"/>
      </w:pPr>
      <w:rPr>
        <w:rFonts w:hint="default"/>
      </w:rPr>
    </w:lvl>
    <w:lvl w:ilvl="4">
      <w:start w:val="1"/>
      <w:numFmt w:val="bullet"/>
      <w:lvlText w:val=""/>
      <w:lvlJc w:val="left"/>
      <w:pPr>
        <w:tabs>
          <w:tab w:val="num" w:pos="3555"/>
        </w:tabs>
        <w:ind w:left="2988" w:firstLine="0"/>
      </w:pPr>
      <w:rPr>
        <w:rFonts w:hint="default"/>
      </w:rPr>
    </w:lvl>
    <w:lvl w:ilvl="5">
      <w:start w:val="1"/>
      <w:numFmt w:val="bullet"/>
      <w:lvlText w:val=""/>
      <w:lvlJc w:val="left"/>
      <w:pPr>
        <w:tabs>
          <w:tab w:val="num" w:pos="4122"/>
        </w:tabs>
        <w:ind w:left="3555" w:firstLine="0"/>
      </w:pPr>
      <w:rPr>
        <w:rFonts w:hint="default"/>
      </w:rPr>
    </w:lvl>
    <w:lvl w:ilvl="6">
      <w:start w:val="1"/>
      <w:numFmt w:val="bullet"/>
      <w:lvlText w:val=""/>
      <w:lvlJc w:val="left"/>
      <w:pPr>
        <w:tabs>
          <w:tab w:val="num" w:pos="4689"/>
        </w:tabs>
        <w:ind w:left="4122" w:firstLine="0"/>
      </w:pPr>
      <w:rPr>
        <w:rFonts w:hint="default"/>
      </w:rPr>
    </w:lvl>
    <w:lvl w:ilvl="7">
      <w:start w:val="1"/>
      <w:numFmt w:val="bullet"/>
      <w:lvlText w:val=""/>
      <w:lvlJc w:val="left"/>
      <w:pPr>
        <w:tabs>
          <w:tab w:val="num" w:pos="5255"/>
        </w:tabs>
        <w:ind w:left="4689" w:firstLine="0"/>
      </w:pPr>
      <w:rPr>
        <w:rFonts w:hint="default"/>
      </w:rPr>
    </w:lvl>
    <w:lvl w:ilvl="8">
      <w:start w:val="1"/>
      <w:numFmt w:val="bullet"/>
      <w:lvlText w:val=""/>
      <w:lvlJc w:val="left"/>
      <w:pPr>
        <w:tabs>
          <w:tab w:val="num" w:pos="5822"/>
        </w:tabs>
        <w:ind w:left="5255" w:firstLine="0"/>
      </w:pPr>
      <w:rPr>
        <w:rFonts w:hint="default"/>
      </w:rPr>
    </w:lvl>
  </w:abstractNum>
  <w:abstractNum w:abstractNumId="17">
    <w:nsid w:val="4C2974AE"/>
    <w:multiLevelType w:val="multilevel"/>
    <w:tmpl w:val="1A8A6602"/>
    <w:lvl w:ilvl="0">
      <w:start w:val="1"/>
      <w:numFmt w:val="bullet"/>
      <w:lvlText w:val=""/>
      <w:lvlJc w:val="left"/>
      <w:pPr>
        <w:tabs>
          <w:tab w:val="num" w:pos="1174"/>
        </w:tabs>
        <w:ind w:left="1174" w:hanging="454"/>
      </w:pPr>
      <w:rPr>
        <w:rFonts w:ascii="Symbol" w:hAnsi="Symbol" w:hint="default"/>
      </w:rPr>
    </w:lvl>
    <w:lvl w:ilvl="1">
      <w:start w:val="1"/>
      <w:numFmt w:val="lowerLetter"/>
      <w:lvlText w:val="(%2)"/>
      <w:lvlJc w:val="left"/>
      <w:pPr>
        <w:tabs>
          <w:tab w:val="num" w:pos="1854"/>
        </w:tabs>
        <w:ind w:left="1287" w:firstLine="0"/>
      </w:pPr>
      <w:rPr>
        <w:rFonts w:hint="default"/>
      </w:rPr>
    </w:lvl>
    <w:lvl w:ilvl="2">
      <w:start w:val="1"/>
      <w:numFmt w:val="lowerRoman"/>
      <w:lvlText w:val="(%3)"/>
      <w:lvlJc w:val="left"/>
      <w:pPr>
        <w:tabs>
          <w:tab w:val="num" w:pos="2421"/>
        </w:tabs>
        <w:ind w:left="1854" w:firstLine="0"/>
      </w:pPr>
      <w:rPr>
        <w:rFonts w:hint="default"/>
      </w:rPr>
    </w:lvl>
    <w:lvl w:ilvl="3">
      <w:start w:val="1"/>
      <w:numFmt w:val="bullet"/>
      <w:lvlText w:val=""/>
      <w:lvlJc w:val="left"/>
      <w:pPr>
        <w:tabs>
          <w:tab w:val="num" w:pos="2988"/>
        </w:tabs>
        <w:ind w:left="2421" w:firstLine="0"/>
      </w:pPr>
      <w:rPr>
        <w:rFonts w:hint="default"/>
      </w:rPr>
    </w:lvl>
    <w:lvl w:ilvl="4">
      <w:start w:val="1"/>
      <w:numFmt w:val="bullet"/>
      <w:lvlText w:val=""/>
      <w:lvlJc w:val="left"/>
      <w:pPr>
        <w:tabs>
          <w:tab w:val="num" w:pos="3555"/>
        </w:tabs>
        <w:ind w:left="2988" w:firstLine="0"/>
      </w:pPr>
      <w:rPr>
        <w:rFonts w:hint="default"/>
      </w:rPr>
    </w:lvl>
    <w:lvl w:ilvl="5">
      <w:start w:val="1"/>
      <w:numFmt w:val="bullet"/>
      <w:lvlText w:val=""/>
      <w:lvlJc w:val="left"/>
      <w:pPr>
        <w:tabs>
          <w:tab w:val="num" w:pos="4122"/>
        </w:tabs>
        <w:ind w:left="3555" w:firstLine="0"/>
      </w:pPr>
      <w:rPr>
        <w:rFonts w:hint="default"/>
      </w:rPr>
    </w:lvl>
    <w:lvl w:ilvl="6">
      <w:start w:val="1"/>
      <w:numFmt w:val="bullet"/>
      <w:lvlText w:val=""/>
      <w:lvlJc w:val="left"/>
      <w:pPr>
        <w:tabs>
          <w:tab w:val="num" w:pos="4689"/>
        </w:tabs>
        <w:ind w:left="4122" w:firstLine="0"/>
      </w:pPr>
      <w:rPr>
        <w:rFonts w:hint="default"/>
      </w:rPr>
    </w:lvl>
    <w:lvl w:ilvl="7">
      <w:start w:val="1"/>
      <w:numFmt w:val="bullet"/>
      <w:lvlText w:val=""/>
      <w:lvlJc w:val="left"/>
      <w:pPr>
        <w:tabs>
          <w:tab w:val="num" w:pos="5255"/>
        </w:tabs>
        <w:ind w:left="4689" w:firstLine="0"/>
      </w:pPr>
      <w:rPr>
        <w:rFonts w:hint="default"/>
      </w:rPr>
    </w:lvl>
    <w:lvl w:ilvl="8">
      <w:start w:val="1"/>
      <w:numFmt w:val="bullet"/>
      <w:lvlText w:val=""/>
      <w:lvlJc w:val="left"/>
      <w:pPr>
        <w:tabs>
          <w:tab w:val="num" w:pos="5822"/>
        </w:tabs>
        <w:ind w:left="5255" w:firstLine="0"/>
      </w:pPr>
      <w:rPr>
        <w:rFonts w:hint="default"/>
      </w:rPr>
    </w:lvl>
  </w:abstractNum>
  <w:abstractNum w:abstractNumId="18">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ED92396"/>
    <w:multiLevelType w:val="hybridMultilevel"/>
    <w:tmpl w:val="5D18DD44"/>
    <w:lvl w:ilvl="0" w:tplc="FD821772">
      <w:start w:val="1"/>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A330E7F"/>
    <w:multiLevelType w:val="hybridMultilevel"/>
    <w:tmpl w:val="870EA4F6"/>
    <w:lvl w:ilvl="0" w:tplc="08090005">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1">
    <w:nsid w:val="5A676EAC"/>
    <w:multiLevelType w:val="multilevel"/>
    <w:tmpl w:val="FA90ECCA"/>
    <w:lvl w:ilvl="0">
      <w:start w:val="1"/>
      <w:numFmt w:val="bullet"/>
      <w:lvlText w:val=""/>
      <w:lvlJc w:val="left"/>
      <w:pPr>
        <w:tabs>
          <w:tab w:val="num" w:pos="1174"/>
        </w:tabs>
        <w:ind w:left="1174" w:hanging="454"/>
      </w:pPr>
      <w:rPr>
        <w:rFonts w:ascii="Symbol" w:hAnsi="Symbol" w:hint="default"/>
      </w:rPr>
    </w:lvl>
    <w:lvl w:ilvl="1">
      <w:start w:val="1"/>
      <w:numFmt w:val="lowerLetter"/>
      <w:lvlText w:val="(%2)"/>
      <w:lvlJc w:val="left"/>
      <w:pPr>
        <w:tabs>
          <w:tab w:val="num" w:pos="1854"/>
        </w:tabs>
        <w:ind w:left="1287" w:firstLine="0"/>
      </w:pPr>
      <w:rPr>
        <w:rFonts w:hint="default"/>
      </w:rPr>
    </w:lvl>
    <w:lvl w:ilvl="2">
      <w:start w:val="1"/>
      <w:numFmt w:val="lowerRoman"/>
      <w:lvlText w:val="(%3)"/>
      <w:lvlJc w:val="left"/>
      <w:pPr>
        <w:tabs>
          <w:tab w:val="num" w:pos="2421"/>
        </w:tabs>
        <w:ind w:left="1854" w:firstLine="0"/>
      </w:pPr>
      <w:rPr>
        <w:rFonts w:hint="default"/>
      </w:rPr>
    </w:lvl>
    <w:lvl w:ilvl="3">
      <w:start w:val="1"/>
      <w:numFmt w:val="bullet"/>
      <w:lvlText w:val=""/>
      <w:lvlJc w:val="left"/>
      <w:pPr>
        <w:tabs>
          <w:tab w:val="num" w:pos="2988"/>
        </w:tabs>
        <w:ind w:left="2421" w:firstLine="0"/>
      </w:pPr>
      <w:rPr>
        <w:rFonts w:hint="default"/>
      </w:rPr>
    </w:lvl>
    <w:lvl w:ilvl="4">
      <w:start w:val="1"/>
      <w:numFmt w:val="bullet"/>
      <w:lvlText w:val=""/>
      <w:lvlJc w:val="left"/>
      <w:pPr>
        <w:tabs>
          <w:tab w:val="num" w:pos="3555"/>
        </w:tabs>
        <w:ind w:left="2988" w:firstLine="0"/>
      </w:pPr>
      <w:rPr>
        <w:rFonts w:hint="default"/>
      </w:rPr>
    </w:lvl>
    <w:lvl w:ilvl="5">
      <w:start w:val="1"/>
      <w:numFmt w:val="bullet"/>
      <w:lvlText w:val=""/>
      <w:lvlJc w:val="left"/>
      <w:pPr>
        <w:tabs>
          <w:tab w:val="num" w:pos="4122"/>
        </w:tabs>
        <w:ind w:left="3555" w:firstLine="0"/>
      </w:pPr>
      <w:rPr>
        <w:rFonts w:hint="default"/>
      </w:rPr>
    </w:lvl>
    <w:lvl w:ilvl="6">
      <w:start w:val="1"/>
      <w:numFmt w:val="bullet"/>
      <w:lvlText w:val=""/>
      <w:lvlJc w:val="left"/>
      <w:pPr>
        <w:tabs>
          <w:tab w:val="num" w:pos="4689"/>
        </w:tabs>
        <w:ind w:left="4122" w:firstLine="0"/>
      </w:pPr>
      <w:rPr>
        <w:rFonts w:hint="default"/>
      </w:rPr>
    </w:lvl>
    <w:lvl w:ilvl="7">
      <w:start w:val="1"/>
      <w:numFmt w:val="bullet"/>
      <w:lvlText w:val=""/>
      <w:lvlJc w:val="left"/>
      <w:pPr>
        <w:tabs>
          <w:tab w:val="num" w:pos="5255"/>
        </w:tabs>
        <w:ind w:left="4689" w:firstLine="0"/>
      </w:pPr>
      <w:rPr>
        <w:rFonts w:hint="default"/>
      </w:rPr>
    </w:lvl>
    <w:lvl w:ilvl="8">
      <w:start w:val="1"/>
      <w:numFmt w:val="bullet"/>
      <w:lvlText w:val=""/>
      <w:lvlJc w:val="left"/>
      <w:pPr>
        <w:tabs>
          <w:tab w:val="num" w:pos="5822"/>
        </w:tabs>
        <w:ind w:left="5255" w:firstLine="0"/>
      </w:pPr>
      <w:rPr>
        <w:rFonts w:hint="default"/>
      </w:rPr>
    </w:lvl>
  </w:abstractNum>
  <w:abstractNum w:abstractNumId="22">
    <w:nsid w:val="5E203ED3"/>
    <w:multiLevelType w:val="hybridMultilevel"/>
    <w:tmpl w:val="0100DD74"/>
    <w:lvl w:ilvl="0" w:tplc="0B120414">
      <w:start w:val="1"/>
      <w:numFmt w:val="decimal"/>
      <w:lvlRestart w:val="0"/>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8454A5F"/>
    <w:multiLevelType w:val="multilevel"/>
    <w:tmpl w:val="CD84E4F6"/>
    <w:lvl w:ilvl="0">
      <w:start w:val="1"/>
      <w:numFmt w:val="bullet"/>
      <w:lvlText w:val=""/>
      <w:lvlJc w:val="left"/>
      <w:pPr>
        <w:tabs>
          <w:tab w:val="num" w:pos="1174"/>
        </w:tabs>
        <w:ind w:left="1174" w:hanging="454"/>
      </w:pPr>
      <w:rPr>
        <w:rFonts w:ascii="Symbol" w:hAnsi="Symbol" w:hint="default"/>
      </w:rPr>
    </w:lvl>
    <w:lvl w:ilvl="1">
      <w:start w:val="1"/>
      <w:numFmt w:val="lowerLetter"/>
      <w:lvlText w:val="(%2)"/>
      <w:lvlJc w:val="left"/>
      <w:pPr>
        <w:tabs>
          <w:tab w:val="num" w:pos="1854"/>
        </w:tabs>
        <w:ind w:left="1287" w:firstLine="0"/>
      </w:pPr>
      <w:rPr>
        <w:rFonts w:hint="default"/>
      </w:rPr>
    </w:lvl>
    <w:lvl w:ilvl="2">
      <w:start w:val="1"/>
      <w:numFmt w:val="lowerRoman"/>
      <w:lvlText w:val="(%3)"/>
      <w:lvlJc w:val="left"/>
      <w:pPr>
        <w:tabs>
          <w:tab w:val="num" w:pos="2421"/>
        </w:tabs>
        <w:ind w:left="1854" w:firstLine="0"/>
      </w:pPr>
      <w:rPr>
        <w:rFonts w:hint="default"/>
      </w:rPr>
    </w:lvl>
    <w:lvl w:ilvl="3">
      <w:start w:val="1"/>
      <w:numFmt w:val="bullet"/>
      <w:lvlText w:val=""/>
      <w:lvlJc w:val="left"/>
      <w:pPr>
        <w:tabs>
          <w:tab w:val="num" w:pos="2988"/>
        </w:tabs>
        <w:ind w:left="2421" w:firstLine="0"/>
      </w:pPr>
      <w:rPr>
        <w:rFonts w:hint="default"/>
      </w:rPr>
    </w:lvl>
    <w:lvl w:ilvl="4">
      <w:start w:val="1"/>
      <w:numFmt w:val="bullet"/>
      <w:lvlText w:val=""/>
      <w:lvlJc w:val="left"/>
      <w:pPr>
        <w:tabs>
          <w:tab w:val="num" w:pos="3555"/>
        </w:tabs>
        <w:ind w:left="2988" w:firstLine="0"/>
      </w:pPr>
      <w:rPr>
        <w:rFonts w:hint="default"/>
      </w:rPr>
    </w:lvl>
    <w:lvl w:ilvl="5">
      <w:start w:val="1"/>
      <w:numFmt w:val="bullet"/>
      <w:lvlText w:val=""/>
      <w:lvlJc w:val="left"/>
      <w:pPr>
        <w:tabs>
          <w:tab w:val="num" w:pos="4122"/>
        </w:tabs>
        <w:ind w:left="3555" w:firstLine="0"/>
      </w:pPr>
      <w:rPr>
        <w:rFonts w:hint="default"/>
      </w:rPr>
    </w:lvl>
    <w:lvl w:ilvl="6">
      <w:start w:val="1"/>
      <w:numFmt w:val="bullet"/>
      <w:lvlText w:val=""/>
      <w:lvlJc w:val="left"/>
      <w:pPr>
        <w:tabs>
          <w:tab w:val="num" w:pos="4689"/>
        </w:tabs>
        <w:ind w:left="4122" w:firstLine="0"/>
      </w:pPr>
      <w:rPr>
        <w:rFonts w:hint="default"/>
      </w:rPr>
    </w:lvl>
    <w:lvl w:ilvl="7">
      <w:start w:val="1"/>
      <w:numFmt w:val="bullet"/>
      <w:lvlText w:val=""/>
      <w:lvlJc w:val="left"/>
      <w:pPr>
        <w:tabs>
          <w:tab w:val="num" w:pos="5255"/>
        </w:tabs>
        <w:ind w:left="4689" w:firstLine="0"/>
      </w:pPr>
      <w:rPr>
        <w:rFonts w:hint="default"/>
      </w:rPr>
    </w:lvl>
    <w:lvl w:ilvl="8">
      <w:start w:val="1"/>
      <w:numFmt w:val="bullet"/>
      <w:lvlText w:val=""/>
      <w:lvlJc w:val="left"/>
      <w:pPr>
        <w:tabs>
          <w:tab w:val="num" w:pos="5822"/>
        </w:tabs>
        <w:ind w:left="5255" w:firstLine="0"/>
      </w:pPr>
      <w:rPr>
        <w:rFonts w:hint="default"/>
      </w:rPr>
    </w:lvl>
  </w:abstractNum>
  <w:num w:numId="1">
    <w:abstractNumId w:val="5"/>
  </w:num>
  <w:num w:numId="2">
    <w:abstractNumId w:val="13"/>
  </w:num>
  <w:num w:numId="3">
    <w:abstractNumId w:val="0"/>
  </w:num>
  <w:num w:numId="4">
    <w:abstractNumId w:val="18"/>
  </w:num>
  <w:num w:numId="5">
    <w:abstractNumId w:val="2"/>
  </w:num>
  <w:num w:numId="6">
    <w:abstractNumId w:val="9"/>
  </w:num>
  <w:num w:numId="7">
    <w:abstractNumId w:val="4"/>
  </w:num>
  <w:num w:numId="8">
    <w:abstractNumId w:val="6"/>
  </w:num>
  <w:num w:numId="9">
    <w:abstractNumId w:val="22"/>
  </w:num>
  <w:num w:numId="10">
    <w:abstractNumId w:val="20"/>
  </w:num>
  <w:num w:numId="11">
    <w:abstractNumId w:val="21"/>
  </w:num>
  <w:num w:numId="12">
    <w:abstractNumId w:val="17"/>
  </w:num>
  <w:num w:numId="13">
    <w:abstractNumId w:val="23"/>
  </w:num>
  <w:num w:numId="14">
    <w:abstractNumId w:val="16"/>
  </w:num>
  <w:num w:numId="15">
    <w:abstractNumId w:val="10"/>
  </w:num>
  <w:num w:numId="16">
    <w:abstractNumId w:val="12"/>
  </w:num>
  <w:num w:numId="17">
    <w:abstractNumId w:val="3"/>
  </w:num>
  <w:num w:numId="18">
    <w:abstractNumId w:val="8"/>
  </w:num>
  <w:num w:numId="19">
    <w:abstractNumId w:val="14"/>
  </w:num>
  <w:num w:numId="20">
    <w:abstractNumId w:val="11"/>
  </w:num>
  <w:num w:numId="21">
    <w:abstractNumId w:val="7"/>
  </w:num>
  <w:num w:numId="22">
    <w:abstractNumId w:val="1"/>
  </w:num>
  <w:num w:numId="23">
    <w:abstractNumId w:val="19"/>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6">
    <w:abstractNumId w:val="9"/>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7">
    <w:abstractNumId w:val="21"/>
    <w:lvlOverride w:ilvl="0"/>
    <w:lvlOverride w:ilvl="1">
      <w:startOverride w:val="1"/>
    </w:lvlOverride>
    <w:lvlOverride w:ilvl="2">
      <w:startOverride w:val="1"/>
    </w:lvlOverride>
    <w:lvlOverride w:ilvl="3"/>
    <w:lvlOverride w:ilvl="4"/>
    <w:lvlOverride w:ilvl="5"/>
    <w:lvlOverride w:ilvl="6"/>
    <w:lvlOverride w:ilvl="7"/>
    <w:lvlOverride w:ilvl="8"/>
  </w:num>
  <w:num w:numId="28">
    <w:abstractNumId w:val="17"/>
    <w:lvlOverride w:ilvl="0"/>
    <w:lvlOverride w:ilvl="1">
      <w:startOverride w:val="1"/>
    </w:lvlOverride>
    <w:lvlOverride w:ilvl="2">
      <w:startOverride w:val="1"/>
    </w:lvlOverride>
    <w:lvlOverride w:ilvl="3"/>
    <w:lvlOverride w:ilvl="4"/>
    <w:lvlOverride w:ilvl="5"/>
    <w:lvlOverride w:ilvl="6"/>
    <w:lvlOverride w:ilvl="7"/>
    <w:lvlOverride w:ilvl="8"/>
  </w:num>
  <w:num w:numId="29">
    <w:abstractNumId w:val="23"/>
    <w:lvlOverride w:ilvl="0"/>
    <w:lvlOverride w:ilvl="1">
      <w:startOverride w:val="1"/>
    </w:lvlOverride>
    <w:lvlOverride w:ilvl="2">
      <w:startOverride w:val="1"/>
    </w:lvlOverride>
    <w:lvlOverride w:ilvl="3"/>
    <w:lvlOverride w:ilvl="4"/>
    <w:lvlOverride w:ilvl="5"/>
    <w:lvlOverride w:ilvl="6"/>
    <w:lvlOverride w:ilvl="7"/>
    <w:lvlOverride w:ilvl="8"/>
  </w:num>
  <w:num w:numId="30">
    <w:abstractNumId w:val="16"/>
    <w:lvlOverride w:ilvl="0"/>
    <w:lvlOverride w:ilvl="1">
      <w:startOverride w:val="1"/>
    </w:lvlOverride>
    <w:lvlOverride w:ilvl="2">
      <w:startOverride w:val="1"/>
    </w:lvlOverride>
    <w:lvlOverride w:ilvl="3"/>
    <w:lvlOverride w:ilvl="4"/>
    <w:lvlOverride w:ilvl="5"/>
    <w:lvlOverride w:ilvl="6"/>
    <w:lvlOverride w:ilvl="7"/>
    <w:lvlOverride w:ilvl="8"/>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evenAndOddHeaders/>
  <w:displayHorizontalDrawingGridEvery w:val="0"/>
  <w:displayVerticalDrawingGridEvery w:val="0"/>
  <w:doNotUseMarginsForDrawingGridOrigin/>
  <w:noPunctuationKerning/>
  <w:characterSpacingControl w:val="doNotCompress"/>
  <w:hdrShapeDefaults>
    <o:shapedefaults v:ext="edit" spidmax="4096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4C96"/>
    <w:rsid w:val="00001301"/>
    <w:rsid w:val="00010686"/>
    <w:rsid w:val="00012857"/>
    <w:rsid w:val="000221B6"/>
    <w:rsid w:val="000274D8"/>
    <w:rsid w:val="00052915"/>
    <w:rsid w:val="0005634A"/>
    <w:rsid w:val="00074232"/>
    <w:rsid w:val="00082951"/>
    <w:rsid w:val="00085C0D"/>
    <w:rsid w:val="00094C96"/>
    <w:rsid w:val="00095968"/>
    <w:rsid w:val="000B56B8"/>
    <w:rsid w:val="000C4D3D"/>
    <w:rsid w:val="000D0102"/>
    <w:rsid w:val="000D13D6"/>
    <w:rsid w:val="000D69D8"/>
    <w:rsid w:val="000E26F3"/>
    <w:rsid w:val="000E3BB3"/>
    <w:rsid w:val="000F4AE6"/>
    <w:rsid w:val="000F5E56"/>
    <w:rsid w:val="00100FC5"/>
    <w:rsid w:val="00102987"/>
    <w:rsid w:val="0010585F"/>
    <w:rsid w:val="0011490F"/>
    <w:rsid w:val="00126D2D"/>
    <w:rsid w:val="00127DFB"/>
    <w:rsid w:val="001304D7"/>
    <w:rsid w:val="00132525"/>
    <w:rsid w:val="0013375A"/>
    <w:rsid w:val="001362EE"/>
    <w:rsid w:val="00143FD2"/>
    <w:rsid w:val="00152CEA"/>
    <w:rsid w:val="001562E6"/>
    <w:rsid w:val="001675DD"/>
    <w:rsid w:val="001832A6"/>
    <w:rsid w:val="0018369C"/>
    <w:rsid w:val="001876A6"/>
    <w:rsid w:val="00187D2E"/>
    <w:rsid w:val="00196811"/>
    <w:rsid w:val="001A2DC3"/>
    <w:rsid w:val="001A6D77"/>
    <w:rsid w:val="001B4909"/>
    <w:rsid w:val="001D0E35"/>
    <w:rsid w:val="001D4F5F"/>
    <w:rsid w:val="001D6D64"/>
    <w:rsid w:val="001D70C7"/>
    <w:rsid w:val="001D7272"/>
    <w:rsid w:val="001E0FC6"/>
    <w:rsid w:val="001F2A61"/>
    <w:rsid w:val="001F461D"/>
    <w:rsid w:val="001F560F"/>
    <w:rsid w:val="0020292E"/>
    <w:rsid w:val="00213EC5"/>
    <w:rsid w:val="0021584C"/>
    <w:rsid w:val="00216302"/>
    <w:rsid w:val="002242F2"/>
    <w:rsid w:val="00225326"/>
    <w:rsid w:val="00230492"/>
    <w:rsid w:val="00232848"/>
    <w:rsid w:val="002406DC"/>
    <w:rsid w:val="002406E3"/>
    <w:rsid w:val="002634C4"/>
    <w:rsid w:val="002758DC"/>
    <w:rsid w:val="00292231"/>
    <w:rsid w:val="00294792"/>
    <w:rsid w:val="00296CB6"/>
    <w:rsid w:val="002A24E9"/>
    <w:rsid w:val="002A2E4B"/>
    <w:rsid w:val="002A47CA"/>
    <w:rsid w:val="002A63A0"/>
    <w:rsid w:val="002B576C"/>
    <w:rsid w:val="002C624C"/>
    <w:rsid w:val="002C6A62"/>
    <w:rsid w:val="002D121C"/>
    <w:rsid w:val="002D2390"/>
    <w:rsid w:val="002D474A"/>
    <w:rsid w:val="002E0F47"/>
    <w:rsid w:val="002F4E68"/>
    <w:rsid w:val="002F730A"/>
    <w:rsid w:val="003034B7"/>
    <w:rsid w:val="003052C5"/>
    <w:rsid w:val="00312310"/>
    <w:rsid w:val="00317B75"/>
    <w:rsid w:val="003202E1"/>
    <w:rsid w:val="00333012"/>
    <w:rsid w:val="00334ACA"/>
    <w:rsid w:val="0034197E"/>
    <w:rsid w:val="00343050"/>
    <w:rsid w:val="0035139D"/>
    <w:rsid w:val="00351B3A"/>
    <w:rsid w:val="00354153"/>
    <w:rsid w:val="00354647"/>
    <w:rsid w:val="00357C3F"/>
    <w:rsid w:val="00373AFA"/>
    <w:rsid w:val="00377270"/>
    <w:rsid w:val="00377273"/>
    <w:rsid w:val="003830A2"/>
    <w:rsid w:val="003845C1"/>
    <w:rsid w:val="00387287"/>
    <w:rsid w:val="00390FE6"/>
    <w:rsid w:val="00397A0F"/>
    <w:rsid w:val="003A1FA7"/>
    <w:rsid w:val="003A30A3"/>
    <w:rsid w:val="003C3BA4"/>
    <w:rsid w:val="003C4CE4"/>
    <w:rsid w:val="003C600C"/>
    <w:rsid w:val="003D24BA"/>
    <w:rsid w:val="003E48F1"/>
    <w:rsid w:val="003E5749"/>
    <w:rsid w:val="003E5E53"/>
    <w:rsid w:val="003F347A"/>
    <w:rsid w:val="003F7BE3"/>
    <w:rsid w:val="00401014"/>
    <w:rsid w:val="00417743"/>
    <w:rsid w:val="00423E3E"/>
    <w:rsid w:val="00427AF4"/>
    <w:rsid w:val="00451856"/>
    <w:rsid w:val="0045231F"/>
    <w:rsid w:val="0046333D"/>
    <w:rsid w:val="004647DA"/>
    <w:rsid w:val="00467902"/>
    <w:rsid w:val="00477808"/>
    <w:rsid w:val="00477A23"/>
    <w:rsid w:val="00477D6B"/>
    <w:rsid w:val="004824B4"/>
    <w:rsid w:val="004858B7"/>
    <w:rsid w:val="00497F19"/>
    <w:rsid w:val="004A0BDA"/>
    <w:rsid w:val="004A40C7"/>
    <w:rsid w:val="004A6C37"/>
    <w:rsid w:val="004B0B8F"/>
    <w:rsid w:val="004B1149"/>
    <w:rsid w:val="004B4169"/>
    <w:rsid w:val="004B4B63"/>
    <w:rsid w:val="004C1566"/>
    <w:rsid w:val="004D60AD"/>
    <w:rsid w:val="004E01F7"/>
    <w:rsid w:val="004E2664"/>
    <w:rsid w:val="004E2841"/>
    <w:rsid w:val="004E297D"/>
    <w:rsid w:val="004E2C9D"/>
    <w:rsid w:val="004E3DF9"/>
    <w:rsid w:val="004E423F"/>
    <w:rsid w:val="004E70E4"/>
    <w:rsid w:val="004F49A8"/>
    <w:rsid w:val="00502F27"/>
    <w:rsid w:val="00504F46"/>
    <w:rsid w:val="005332F0"/>
    <w:rsid w:val="00542353"/>
    <w:rsid w:val="0055013B"/>
    <w:rsid w:val="0056158C"/>
    <w:rsid w:val="00561D50"/>
    <w:rsid w:val="00571665"/>
    <w:rsid w:val="00571B99"/>
    <w:rsid w:val="00574A41"/>
    <w:rsid w:val="005768EC"/>
    <w:rsid w:val="00580BD5"/>
    <w:rsid w:val="005814BF"/>
    <w:rsid w:val="00581DF7"/>
    <w:rsid w:val="005922E6"/>
    <w:rsid w:val="0059664B"/>
    <w:rsid w:val="005A300A"/>
    <w:rsid w:val="005B4136"/>
    <w:rsid w:val="005B55BC"/>
    <w:rsid w:val="005C5645"/>
    <w:rsid w:val="005D3EBF"/>
    <w:rsid w:val="005D58B3"/>
    <w:rsid w:val="005D7A6C"/>
    <w:rsid w:val="005E6A55"/>
    <w:rsid w:val="0060237F"/>
    <w:rsid w:val="006037B3"/>
    <w:rsid w:val="00605827"/>
    <w:rsid w:val="00606EE0"/>
    <w:rsid w:val="00610EF5"/>
    <w:rsid w:val="0061273A"/>
    <w:rsid w:val="00621BB6"/>
    <w:rsid w:val="006269A8"/>
    <w:rsid w:val="00632D7E"/>
    <w:rsid w:val="00633635"/>
    <w:rsid w:val="0065244D"/>
    <w:rsid w:val="006570CE"/>
    <w:rsid w:val="00661527"/>
    <w:rsid w:val="00663903"/>
    <w:rsid w:val="00674310"/>
    <w:rsid w:val="00675021"/>
    <w:rsid w:val="006812F9"/>
    <w:rsid w:val="00683FB6"/>
    <w:rsid w:val="0068656E"/>
    <w:rsid w:val="006A06C6"/>
    <w:rsid w:val="006A2321"/>
    <w:rsid w:val="006B4819"/>
    <w:rsid w:val="006B78D8"/>
    <w:rsid w:val="006C13AC"/>
    <w:rsid w:val="006C2F33"/>
    <w:rsid w:val="006C69DE"/>
    <w:rsid w:val="006E46E1"/>
    <w:rsid w:val="006E4CF6"/>
    <w:rsid w:val="00701AA9"/>
    <w:rsid w:val="00703E90"/>
    <w:rsid w:val="007058C9"/>
    <w:rsid w:val="0072191F"/>
    <w:rsid w:val="00721E87"/>
    <w:rsid w:val="007224C8"/>
    <w:rsid w:val="007542DA"/>
    <w:rsid w:val="007551CE"/>
    <w:rsid w:val="00765063"/>
    <w:rsid w:val="00772159"/>
    <w:rsid w:val="0077311B"/>
    <w:rsid w:val="00774D8D"/>
    <w:rsid w:val="00793C3D"/>
    <w:rsid w:val="00794BE2"/>
    <w:rsid w:val="007A18E4"/>
    <w:rsid w:val="007B6B72"/>
    <w:rsid w:val="007B71FE"/>
    <w:rsid w:val="007C0FA0"/>
    <w:rsid w:val="007D6C57"/>
    <w:rsid w:val="007D6D90"/>
    <w:rsid w:val="007D781E"/>
    <w:rsid w:val="007E5A5F"/>
    <w:rsid w:val="007E663E"/>
    <w:rsid w:val="007E68C5"/>
    <w:rsid w:val="007F0C07"/>
    <w:rsid w:val="007F2840"/>
    <w:rsid w:val="008068CB"/>
    <w:rsid w:val="00810EBE"/>
    <w:rsid w:val="00812C59"/>
    <w:rsid w:val="00815082"/>
    <w:rsid w:val="008230B0"/>
    <w:rsid w:val="00823DC6"/>
    <w:rsid w:val="00834061"/>
    <w:rsid w:val="008350F7"/>
    <w:rsid w:val="00840F85"/>
    <w:rsid w:val="0085571E"/>
    <w:rsid w:val="00856A21"/>
    <w:rsid w:val="00872F98"/>
    <w:rsid w:val="0088190F"/>
    <w:rsid w:val="0088395E"/>
    <w:rsid w:val="008B2CC1"/>
    <w:rsid w:val="008B3645"/>
    <w:rsid w:val="008C06D6"/>
    <w:rsid w:val="008C2684"/>
    <w:rsid w:val="008E2244"/>
    <w:rsid w:val="008E5D01"/>
    <w:rsid w:val="008E6BD6"/>
    <w:rsid w:val="008F311C"/>
    <w:rsid w:val="008F31A6"/>
    <w:rsid w:val="008F4F51"/>
    <w:rsid w:val="008F7C42"/>
    <w:rsid w:val="00903A5B"/>
    <w:rsid w:val="00906CF2"/>
    <w:rsid w:val="0090731E"/>
    <w:rsid w:val="00911234"/>
    <w:rsid w:val="0091167B"/>
    <w:rsid w:val="00911D3A"/>
    <w:rsid w:val="00914CCC"/>
    <w:rsid w:val="00917518"/>
    <w:rsid w:val="00922168"/>
    <w:rsid w:val="009243A3"/>
    <w:rsid w:val="009243BD"/>
    <w:rsid w:val="00930953"/>
    <w:rsid w:val="00941645"/>
    <w:rsid w:val="009422CC"/>
    <w:rsid w:val="00951FB6"/>
    <w:rsid w:val="009546E6"/>
    <w:rsid w:val="00957B34"/>
    <w:rsid w:val="009649C6"/>
    <w:rsid w:val="00964FB9"/>
    <w:rsid w:val="00966A22"/>
    <w:rsid w:val="009723B2"/>
    <w:rsid w:val="00972F03"/>
    <w:rsid w:val="00974214"/>
    <w:rsid w:val="00974EE7"/>
    <w:rsid w:val="00985C5D"/>
    <w:rsid w:val="00996A1D"/>
    <w:rsid w:val="009A0C8B"/>
    <w:rsid w:val="009B0422"/>
    <w:rsid w:val="009B4497"/>
    <w:rsid w:val="009B6241"/>
    <w:rsid w:val="009C7C44"/>
    <w:rsid w:val="009E3A2B"/>
    <w:rsid w:val="009F3382"/>
    <w:rsid w:val="009F5DC4"/>
    <w:rsid w:val="009F6455"/>
    <w:rsid w:val="00A00A05"/>
    <w:rsid w:val="00A02B48"/>
    <w:rsid w:val="00A13F2D"/>
    <w:rsid w:val="00A16FC0"/>
    <w:rsid w:val="00A17F15"/>
    <w:rsid w:val="00A23604"/>
    <w:rsid w:val="00A236E0"/>
    <w:rsid w:val="00A258D7"/>
    <w:rsid w:val="00A27DF3"/>
    <w:rsid w:val="00A304F6"/>
    <w:rsid w:val="00A315FF"/>
    <w:rsid w:val="00A32C9E"/>
    <w:rsid w:val="00A503B6"/>
    <w:rsid w:val="00A51305"/>
    <w:rsid w:val="00A81B52"/>
    <w:rsid w:val="00A90C9E"/>
    <w:rsid w:val="00A92D04"/>
    <w:rsid w:val="00AA08F5"/>
    <w:rsid w:val="00AA3649"/>
    <w:rsid w:val="00AA36F6"/>
    <w:rsid w:val="00AA40D0"/>
    <w:rsid w:val="00AA6DD9"/>
    <w:rsid w:val="00AB1F70"/>
    <w:rsid w:val="00AB22BB"/>
    <w:rsid w:val="00AB613D"/>
    <w:rsid w:val="00AC5948"/>
    <w:rsid w:val="00AD281A"/>
    <w:rsid w:val="00AD3850"/>
    <w:rsid w:val="00AD6454"/>
    <w:rsid w:val="00AE341B"/>
    <w:rsid w:val="00AE7F20"/>
    <w:rsid w:val="00B03995"/>
    <w:rsid w:val="00B11311"/>
    <w:rsid w:val="00B14159"/>
    <w:rsid w:val="00B1600C"/>
    <w:rsid w:val="00B240A4"/>
    <w:rsid w:val="00B35286"/>
    <w:rsid w:val="00B53D0A"/>
    <w:rsid w:val="00B63F80"/>
    <w:rsid w:val="00B65A0A"/>
    <w:rsid w:val="00B662A7"/>
    <w:rsid w:val="00B67CDC"/>
    <w:rsid w:val="00B72D36"/>
    <w:rsid w:val="00B73EB2"/>
    <w:rsid w:val="00B7624F"/>
    <w:rsid w:val="00B80EB6"/>
    <w:rsid w:val="00B86DF2"/>
    <w:rsid w:val="00B9540C"/>
    <w:rsid w:val="00BA52B8"/>
    <w:rsid w:val="00BB6844"/>
    <w:rsid w:val="00BC4164"/>
    <w:rsid w:val="00BC587C"/>
    <w:rsid w:val="00BC6E44"/>
    <w:rsid w:val="00BD2DCC"/>
    <w:rsid w:val="00BD6328"/>
    <w:rsid w:val="00BD6E28"/>
    <w:rsid w:val="00BE1D94"/>
    <w:rsid w:val="00C03584"/>
    <w:rsid w:val="00C07A31"/>
    <w:rsid w:val="00C24CF9"/>
    <w:rsid w:val="00C31743"/>
    <w:rsid w:val="00C366AD"/>
    <w:rsid w:val="00C37FDD"/>
    <w:rsid w:val="00C47740"/>
    <w:rsid w:val="00C47846"/>
    <w:rsid w:val="00C47D99"/>
    <w:rsid w:val="00C51450"/>
    <w:rsid w:val="00C6788B"/>
    <w:rsid w:val="00C76267"/>
    <w:rsid w:val="00C90559"/>
    <w:rsid w:val="00C951E1"/>
    <w:rsid w:val="00CA2251"/>
    <w:rsid w:val="00CA51F5"/>
    <w:rsid w:val="00CB5C3D"/>
    <w:rsid w:val="00CC58A3"/>
    <w:rsid w:val="00CC5FC5"/>
    <w:rsid w:val="00CD312F"/>
    <w:rsid w:val="00CE2CD7"/>
    <w:rsid w:val="00CF6E5D"/>
    <w:rsid w:val="00D003D6"/>
    <w:rsid w:val="00D02501"/>
    <w:rsid w:val="00D03774"/>
    <w:rsid w:val="00D10E55"/>
    <w:rsid w:val="00D1326E"/>
    <w:rsid w:val="00D179FE"/>
    <w:rsid w:val="00D212AA"/>
    <w:rsid w:val="00D27165"/>
    <w:rsid w:val="00D3765E"/>
    <w:rsid w:val="00D4191B"/>
    <w:rsid w:val="00D42B10"/>
    <w:rsid w:val="00D467C0"/>
    <w:rsid w:val="00D56C7C"/>
    <w:rsid w:val="00D6034F"/>
    <w:rsid w:val="00D62100"/>
    <w:rsid w:val="00D71B4D"/>
    <w:rsid w:val="00D74697"/>
    <w:rsid w:val="00D7600C"/>
    <w:rsid w:val="00D84647"/>
    <w:rsid w:val="00D859D5"/>
    <w:rsid w:val="00D86517"/>
    <w:rsid w:val="00D90289"/>
    <w:rsid w:val="00D91337"/>
    <w:rsid w:val="00D93D55"/>
    <w:rsid w:val="00D962A8"/>
    <w:rsid w:val="00DB566F"/>
    <w:rsid w:val="00DC4C60"/>
    <w:rsid w:val="00DF2B5E"/>
    <w:rsid w:val="00E0032D"/>
    <w:rsid w:val="00E0079A"/>
    <w:rsid w:val="00E03510"/>
    <w:rsid w:val="00E1166A"/>
    <w:rsid w:val="00E14D81"/>
    <w:rsid w:val="00E1641D"/>
    <w:rsid w:val="00E2048D"/>
    <w:rsid w:val="00E3695B"/>
    <w:rsid w:val="00E37C75"/>
    <w:rsid w:val="00E444DA"/>
    <w:rsid w:val="00E45C84"/>
    <w:rsid w:val="00E504E5"/>
    <w:rsid w:val="00E53895"/>
    <w:rsid w:val="00E56B88"/>
    <w:rsid w:val="00E6237F"/>
    <w:rsid w:val="00E729A7"/>
    <w:rsid w:val="00E75CD7"/>
    <w:rsid w:val="00E83EDB"/>
    <w:rsid w:val="00E84CC9"/>
    <w:rsid w:val="00EA2001"/>
    <w:rsid w:val="00EA4541"/>
    <w:rsid w:val="00EB2B26"/>
    <w:rsid w:val="00EB7A3E"/>
    <w:rsid w:val="00EC401A"/>
    <w:rsid w:val="00ED1387"/>
    <w:rsid w:val="00ED2267"/>
    <w:rsid w:val="00ED2997"/>
    <w:rsid w:val="00ED766C"/>
    <w:rsid w:val="00EE39A4"/>
    <w:rsid w:val="00EE57C8"/>
    <w:rsid w:val="00EE7401"/>
    <w:rsid w:val="00EF3DD6"/>
    <w:rsid w:val="00EF530A"/>
    <w:rsid w:val="00EF6622"/>
    <w:rsid w:val="00F02C72"/>
    <w:rsid w:val="00F0324B"/>
    <w:rsid w:val="00F066BD"/>
    <w:rsid w:val="00F07C2E"/>
    <w:rsid w:val="00F12776"/>
    <w:rsid w:val="00F14DD1"/>
    <w:rsid w:val="00F349D8"/>
    <w:rsid w:val="00F35E67"/>
    <w:rsid w:val="00F37320"/>
    <w:rsid w:val="00F4064E"/>
    <w:rsid w:val="00F53E70"/>
    <w:rsid w:val="00F55408"/>
    <w:rsid w:val="00F6269E"/>
    <w:rsid w:val="00F6306D"/>
    <w:rsid w:val="00F66152"/>
    <w:rsid w:val="00F76201"/>
    <w:rsid w:val="00F76ED4"/>
    <w:rsid w:val="00F80845"/>
    <w:rsid w:val="00F84474"/>
    <w:rsid w:val="00F85724"/>
    <w:rsid w:val="00F92E66"/>
    <w:rsid w:val="00F93FD6"/>
    <w:rsid w:val="00FA0F0D"/>
    <w:rsid w:val="00FA26B3"/>
    <w:rsid w:val="00FA4EAA"/>
    <w:rsid w:val="00FB3B8B"/>
    <w:rsid w:val="00FD55AD"/>
    <w:rsid w:val="00FD59D1"/>
    <w:rsid w:val="00FE18BB"/>
    <w:rsid w:val="00FE2383"/>
    <w:rsid w:val="00FE3757"/>
    <w:rsid w:val="00FE411D"/>
    <w:rsid w:val="00FF3990"/>
    <w:rsid w:val="00FF6A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F3990"/>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link w:val="Heading4Char"/>
    <w:qFormat/>
    <w:rsid w:val="00A32C9E"/>
    <w:pPr>
      <w:keepNext/>
      <w:spacing w:before="240" w:after="60"/>
      <w:outlineLvl w:val="3"/>
    </w:pPr>
    <w:rPr>
      <w:bCs/>
      <w:i/>
      <w:szCs w:val="28"/>
    </w:rPr>
  </w:style>
  <w:style w:type="paragraph" w:styleId="Heading5">
    <w:name w:val="heading 5"/>
    <w:basedOn w:val="Heading4"/>
    <w:next w:val="Normal"/>
    <w:link w:val="Heading5Char"/>
    <w:qFormat/>
    <w:rsid w:val="004E3DF9"/>
    <w:pPr>
      <w:tabs>
        <w:tab w:val="num" w:pos="1008"/>
      </w:tabs>
      <w:spacing w:before="0" w:after="0" w:line="300" w:lineRule="atLeast"/>
      <w:ind w:left="1008" w:hanging="1008"/>
      <w:jc w:val="center"/>
      <w:outlineLvl w:val="4"/>
    </w:pPr>
    <w:rPr>
      <w:rFonts w:ascii="Arial Bold" w:eastAsia="Times New Roman" w:hAnsi="Arial Bold"/>
      <w:i w:val="0"/>
      <w:color w:val="3E484E"/>
      <w:szCs w:val="26"/>
      <w:lang w:val="en-GB" w:eastAsia="da-DK"/>
    </w:rPr>
  </w:style>
  <w:style w:type="paragraph" w:styleId="Heading6">
    <w:name w:val="heading 6"/>
    <w:basedOn w:val="Heading5"/>
    <w:next w:val="Normal"/>
    <w:link w:val="Heading6Char"/>
    <w:qFormat/>
    <w:rsid w:val="004E3DF9"/>
    <w:pPr>
      <w:tabs>
        <w:tab w:val="clear" w:pos="1008"/>
        <w:tab w:val="num" w:pos="1152"/>
      </w:tabs>
      <w:ind w:left="1152" w:hanging="1152"/>
      <w:outlineLvl w:val="5"/>
    </w:pPr>
  </w:style>
  <w:style w:type="paragraph" w:styleId="Heading7">
    <w:name w:val="heading 7"/>
    <w:basedOn w:val="Heading6"/>
    <w:next w:val="Normal"/>
    <w:link w:val="Heading7Char"/>
    <w:qFormat/>
    <w:rsid w:val="004E3DF9"/>
    <w:pPr>
      <w:tabs>
        <w:tab w:val="clear" w:pos="1152"/>
        <w:tab w:val="num" w:pos="1296"/>
      </w:tabs>
      <w:ind w:left="1296" w:hanging="1296"/>
      <w:outlineLvl w:val="6"/>
    </w:pPr>
  </w:style>
  <w:style w:type="paragraph" w:styleId="Heading8">
    <w:name w:val="heading 8"/>
    <w:basedOn w:val="Heading7"/>
    <w:next w:val="Normal"/>
    <w:link w:val="Heading8Char"/>
    <w:qFormat/>
    <w:rsid w:val="004E3DF9"/>
    <w:pPr>
      <w:tabs>
        <w:tab w:val="clear" w:pos="1296"/>
        <w:tab w:val="num" w:pos="1440"/>
      </w:tabs>
      <w:ind w:left="1440" w:hanging="1440"/>
      <w:outlineLvl w:val="7"/>
    </w:pPr>
  </w:style>
  <w:style w:type="paragraph" w:styleId="Heading9">
    <w:name w:val="heading 9"/>
    <w:basedOn w:val="Heading8"/>
    <w:next w:val="Normal"/>
    <w:link w:val="Heading9Char"/>
    <w:qFormat/>
    <w:rsid w:val="004E3DF9"/>
    <w:pPr>
      <w:tabs>
        <w:tab w:val="clear" w:pos="1440"/>
        <w:tab w:val="num" w:pos="1584"/>
      </w:tabs>
      <w:ind w:left="1584" w:hanging="1584"/>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1"/>
    <w:semiHidden/>
    <w:rsid w:val="00A32C9E"/>
    <w:rPr>
      <w:sz w:val="18"/>
    </w:rPr>
  </w:style>
  <w:style w:type="paragraph" w:styleId="EndnoteText">
    <w:name w:val="endnote text"/>
    <w:basedOn w:val="Normal"/>
    <w:link w:val="EndnoteTextChar"/>
    <w:semiHidden/>
    <w:rsid w:val="00A32C9E"/>
    <w:rPr>
      <w:sz w:val="18"/>
    </w:rPr>
  </w:style>
  <w:style w:type="paragraph" w:styleId="Footer">
    <w:name w:val="footer"/>
    <w:basedOn w:val="Normal"/>
    <w:link w:val="FooterChar"/>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BalloonText">
    <w:name w:val="Balloon Text"/>
    <w:basedOn w:val="Normal"/>
    <w:link w:val="BalloonTextChar"/>
    <w:rsid w:val="004E2C9D"/>
    <w:rPr>
      <w:rFonts w:ascii="Tahoma" w:hAnsi="Tahoma" w:cs="Tahoma"/>
      <w:sz w:val="16"/>
      <w:szCs w:val="16"/>
    </w:rPr>
  </w:style>
  <w:style w:type="paragraph" w:styleId="Header">
    <w:name w:val="header"/>
    <w:basedOn w:val="Normal"/>
    <w:link w:val="HeaderChar"/>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link w:val="ONUMEChar"/>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link w:val="SalutationChar"/>
    <w:semiHidden/>
    <w:rsid w:val="00A32C9E"/>
  </w:style>
  <w:style w:type="paragraph" w:styleId="Signature">
    <w:name w:val="Signature"/>
    <w:basedOn w:val="Normal"/>
    <w:link w:val="SignatureChar"/>
    <w:semiHidden/>
    <w:rsid w:val="00A32C9E"/>
    <w:pPr>
      <w:ind w:left="5250"/>
    </w:pPr>
  </w:style>
  <w:style w:type="character" w:customStyle="1" w:styleId="BalloonTextChar">
    <w:name w:val="Balloon Text Char"/>
    <w:basedOn w:val="DefaultParagraphFont"/>
    <w:link w:val="BalloonText"/>
    <w:rsid w:val="004E2C9D"/>
    <w:rPr>
      <w:rFonts w:ascii="Tahoma" w:eastAsia="SimSun" w:hAnsi="Tahoma" w:cs="Tahoma"/>
      <w:sz w:val="16"/>
      <w:szCs w:val="16"/>
      <w:lang w:val="es-ES" w:eastAsia="zh-CN"/>
    </w:rPr>
  </w:style>
  <w:style w:type="paragraph" w:customStyle="1" w:styleId="StyleHeading1">
    <w:name w:val="Style Heading 1"/>
    <w:aliases w:val="Level 1 + Arial Auto Centered Left:  0 cm First..."/>
    <w:rsid w:val="004E3DF9"/>
    <w:pPr>
      <w:jc w:val="center"/>
    </w:pPr>
    <w:rPr>
      <w:rFonts w:ascii="Arial" w:hAnsi="Arial"/>
      <w:b/>
      <w:bCs/>
      <w:kern w:val="40"/>
      <w:sz w:val="72"/>
      <w:lang w:val="fr-FR"/>
    </w:rPr>
  </w:style>
  <w:style w:type="character" w:customStyle="1" w:styleId="Heading5Char">
    <w:name w:val="Heading 5 Char"/>
    <w:basedOn w:val="DefaultParagraphFont"/>
    <w:link w:val="Heading5"/>
    <w:rsid w:val="004E3DF9"/>
    <w:rPr>
      <w:rFonts w:ascii="Arial Bold" w:hAnsi="Arial Bold" w:cs="Arial"/>
      <w:bCs/>
      <w:color w:val="3E484E"/>
      <w:sz w:val="22"/>
      <w:szCs w:val="26"/>
      <w:lang w:val="en-GB" w:eastAsia="da-DK"/>
    </w:rPr>
  </w:style>
  <w:style w:type="character" w:customStyle="1" w:styleId="Heading6Char">
    <w:name w:val="Heading 6 Char"/>
    <w:basedOn w:val="DefaultParagraphFont"/>
    <w:link w:val="Heading6"/>
    <w:rsid w:val="004E3DF9"/>
    <w:rPr>
      <w:rFonts w:ascii="Arial Bold" w:hAnsi="Arial Bold" w:cs="Arial"/>
      <w:bCs/>
      <w:color w:val="3E484E"/>
      <w:sz w:val="22"/>
      <w:szCs w:val="26"/>
      <w:lang w:val="en-GB" w:eastAsia="da-DK"/>
    </w:rPr>
  </w:style>
  <w:style w:type="character" w:customStyle="1" w:styleId="Heading7Char">
    <w:name w:val="Heading 7 Char"/>
    <w:basedOn w:val="DefaultParagraphFont"/>
    <w:link w:val="Heading7"/>
    <w:rsid w:val="004E3DF9"/>
    <w:rPr>
      <w:rFonts w:ascii="Arial Bold" w:hAnsi="Arial Bold" w:cs="Arial"/>
      <w:bCs/>
      <w:color w:val="3E484E"/>
      <w:sz w:val="22"/>
      <w:szCs w:val="26"/>
      <w:lang w:val="en-GB" w:eastAsia="da-DK"/>
    </w:rPr>
  </w:style>
  <w:style w:type="character" w:customStyle="1" w:styleId="Heading8Char">
    <w:name w:val="Heading 8 Char"/>
    <w:basedOn w:val="DefaultParagraphFont"/>
    <w:link w:val="Heading8"/>
    <w:rsid w:val="004E3DF9"/>
    <w:rPr>
      <w:rFonts w:ascii="Arial Bold" w:hAnsi="Arial Bold" w:cs="Arial"/>
      <w:bCs/>
      <w:color w:val="3E484E"/>
      <w:sz w:val="22"/>
      <w:szCs w:val="26"/>
      <w:lang w:val="en-GB" w:eastAsia="da-DK"/>
    </w:rPr>
  </w:style>
  <w:style w:type="character" w:customStyle="1" w:styleId="Heading9Char">
    <w:name w:val="Heading 9 Char"/>
    <w:basedOn w:val="DefaultParagraphFont"/>
    <w:link w:val="Heading9"/>
    <w:rsid w:val="004E3DF9"/>
    <w:rPr>
      <w:rFonts w:ascii="Arial Bold" w:hAnsi="Arial Bold" w:cs="Arial"/>
      <w:bCs/>
      <w:color w:val="3E484E"/>
      <w:sz w:val="22"/>
      <w:szCs w:val="26"/>
      <w:lang w:val="en-GB" w:eastAsia="da-DK"/>
    </w:rPr>
  </w:style>
  <w:style w:type="character" w:customStyle="1" w:styleId="Heading2Char">
    <w:name w:val="Heading 2 Char"/>
    <w:link w:val="Heading2"/>
    <w:rsid w:val="004E3DF9"/>
    <w:rPr>
      <w:rFonts w:ascii="Arial" w:eastAsia="SimSun" w:hAnsi="Arial" w:cs="Arial"/>
      <w:bCs/>
      <w:iCs/>
      <w:caps/>
      <w:sz w:val="22"/>
      <w:szCs w:val="28"/>
      <w:lang w:val="es-ES" w:eastAsia="zh-CN"/>
    </w:rPr>
  </w:style>
  <w:style w:type="character" w:customStyle="1" w:styleId="Heading3Char">
    <w:name w:val="Heading 3 Char"/>
    <w:link w:val="Heading3"/>
    <w:rsid w:val="004E3DF9"/>
    <w:rPr>
      <w:rFonts w:ascii="Arial" w:eastAsia="SimSun" w:hAnsi="Arial" w:cs="Arial"/>
      <w:bCs/>
      <w:sz w:val="22"/>
      <w:szCs w:val="26"/>
      <w:u w:val="single"/>
      <w:lang w:val="es-ES" w:eastAsia="zh-CN"/>
    </w:rPr>
  </w:style>
  <w:style w:type="paragraph" w:customStyle="1" w:styleId="CharCharCharChar">
    <w:name w:val="Char Char Char Char"/>
    <w:basedOn w:val="Normal"/>
    <w:rsid w:val="004E3DF9"/>
    <w:pPr>
      <w:spacing w:after="160" w:line="240" w:lineRule="exact"/>
    </w:pPr>
    <w:rPr>
      <w:rFonts w:ascii="Verdana" w:eastAsia="Times New Roman" w:hAnsi="Verdana" w:cs="Times New Roman"/>
      <w:sz w:val="20"/>
      <w:lang w:val="en-GB" w:eastAsia="en-US"/>
    </w:rPr>
  </w:style>
  <w:style w:type="table" w:styleId="TableGrid">
    <w:name w:val="Table Grid"/>
    <w:basedOn w:val="TableNormal"/>
    <w:rsid w:val="004E3D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rsid w:val="004E3DF9"/>
    <w:pPr>
      <w:ind w:left="567"/>
    </w:pPr>
    <w:rPr>
      <w:rFonts w:eastAsia="Times New Roman" w:cs="Times New Roman"/>
      <w:lang w:val="en-US" w:eastAsia="en-US"/>
    </w:rPr>
  </w:style>
  <w:style w:type="character" w:customStyle="1" w:styleId="BodyTextIndentChar">
    <w:name w:val="Body Text Indent Char"/>
    <w:basedOn w:val="DefaultParagraphFont"/>
    <w:link w:val="BodyTextIndent"/>
    <w:rsid w:val="004E3DF9"/>
    <w:rPr>
      <w:rFonts w:ascii="Arial" w:hAnsi="Arial"/>
      <w:sz w:val="22"/>
    </w:rPr>
  </w:style>
  <w:style w:type="character" w:customStyle="1" w:styleId="hps">
    <w:name w:val="hps"/>
    <w:basedOn w:val="DefaultParagraphFont"/>
    <w:rsid w:val="004E3DF9"/>
  </w:style>
  <w:style w:type="paragraph" w:styleId="ListParagraph">
    <w:name w:val="List Paragraph"/>
    <w:basedOn w:val="Normal"/>
    <w:uiPriority w:val="34"/>
    <w:qFormat/>
    <w:rsid w:val="004E3DF9"/>
    <w:pPr>
      <w:spacing w:after="200" w:line="276" w:lineRule="auto"/>
      <w:ind w:left="720"/>
      <w:contextualSpacing/>
    </w:pPr>
    <w:rPr>
      <w:rFonts w:ascii="Calibri" w:eastAsia="Times New Roman" w:hAnsi="Calibri" w:cs="Times New Roman"/>
      <w:szCs w:val="22"/>
      <w:lang w:val="en-US" w:eastAsia="en-US"/>
    </w:rPr>
  </w:style>
  <w:style w:type="character" w:styleId="FootnoteReference">
    <w:name w:val="footnote reference"/>
    <w:rsid w:val="004E3DF9"/>
    <w:rPr>
      <w:vertAlign w:val="superscript"/>
    </w:rPr>
  </w:style>
  <w:style w:type="character" w:styleId="PageNumber">
    <w:name w:val="page number"/>
    <w:basedOn w:val="DefaultParagraphFont"/>
    <w:rsid w:val="004E3DF9"/>
  </w:style>
  <w:style w:type="paragraph" w:customStyle="1" w:styleId="1">
    <w:name w:val="1"/>
    <w:basedOn w:val="Normal"/>
    <w:rsid w:val="004E3DF9"/>
    <w:pPr>
      <w:spacing w:after="160" w:line="240" w:lineRule="exact"/>
    </w:pPr>
    <w:rPr>
      <w:rFonts w:ascii="Verdana" w:eastAsia="Times New Roman" w:hAnsi="Verdana" w:cs="Times New Roman"/>
      <w:sz w:val="20"/>
      <w:lang w:val="en-GB" w:eastAsia="en-US"/>
    </w:rPr>
  </w:style>
  <w:style w:type="paragraph" w:styleId="TOC2">
    <w:name w:val="toc 2"/>
    <w:basedOn w:val="Normal"/>
    <w:next w:val="Normal"/>
    <w:autoRedefine/>
    <w:uiPriority w:val="39"/>
    <w:rsid w:val="00A23604"/>
    <w:pPr>
      <w:tabs>
        <w:tab w:val="left" w:pos="1418"/>
        <w:tab w:val="right" w:leader="dot" w:pos="9061"/>
      </w:tabs>
      <w:spacing w:line="360" w:lineRule="auto"/>
      <w:ind w:left="238"/>
    </w:pPr>
    <w:rPr>
      <w:rFonts w:eastAsiaTheme="minorHAnsi" w:cs="Times New Roman"/>
      <w:noProof/>
      <w:sz w:val="20"/>
      <w:lang w:val="es-ES_tradnl" w:eastAsia="da-DK"/>
    </w:rPr>
  </w:style>
  <w:style w:type="character" w:styleId="Hyperlink">
    <w:name w:val="Hyperlink"/>
    <w:uiPriority w:val="99"/>
    <w:rsid w:val="004E3DF9"/>
    <w:rPr>
      <w:color w:val="0000FF"/>
      <w:u w:val="single"/>
    </w:rPr>
  </w:style>
  <w:style w:type="paragraph" w:customStyle="1" w:styleId="StyleHeading3ComplexItalic">
    <w:name w:val="Style Heading 3 + (Complex) Italic"/>
    <w:basedOn w:val="Heading3"/>
    <w:link w:val="StyleHeading3ComplexItalicChar"/>
    <w:rsid w:val="004E3DF9"/>
    <w:pPr>
      <w:tabs>
        <w:tab w:val="left" w:pos="1985"/>
      </w:tabs>
      <w:spacing w:before="0" w:after="0"/>
      <w:jc w:val="center"/>
    </w:pPr>
    <w:rPr>
      <w:rFonts w:ascii="Arial Bold" w:eastAsia="Times New Roman" w:hAnsi="Arial Bold"/>
      <w:bCs w:val="0"/>
      <w:iCs/>
      <w:szCs w:val="22"/>
      <w:u w:val="none"/>
      <w:lang w:val="en-US" w:eastAsia="en-US"/>
    </w:rPr>
  </w:style>
  <w:style w:type="character" w:customStyle="1" w:styleId="StyleHeading3ComplexItalicChar">
    <w:name w:val="Style Heading 3 + (Complex) Italic Char"/>
    <w:link w:val="StyleHeading3ComplexItalic"/>
    <w:rsid w:val="004E3DF9"/>
    <w:rPr>
      <w:rFonts w:ascii="Arial Bold" w:hAnsi="Arial Bold" w:cs="Arial"/>
      <w:iCs/>
      <w:sz w:val="22"/>
      <w:szCs w:val="22"/>
    </w:rPr>
  </w:style>
  <w:style w:type="paragraph" w:styleId="TOC3">
    <w:name w:val="toc 3"/>
    <w:basedOn w:val="Normal"/>
    <w:next w:val="Normal"/>
    <w:autoRedefine/>
    <w:uiPriority w:val="39"/>
    <w:rsid w:val="004E3DF9"/>
    <w:pPr>
      <w:tabs>
        <w:tab w:val="left" w:pos="1134"/>
        <w:tab w:val="left" w:pos="2619"/>
        <w:tab w:val="right" w:leader="dot" w:pos="9061"/>
      </w:tabs>
      <w:spacing w:after="120"/>
      <w:ind w:left="1871" w:hanging="1304"/>
    </w:pPr>
    <w:rPr>
      <w:rFonts w:eastAsia="Times New Roman" w:cs="Times New Roman"/>
      <w:noProof/>
      <w:sz w:val="20"/>
      <w:lang w:val="en-US" w:eastAsia="en-US"/>
    </w:rPr>
  </w:style>
  <w:style w:type="paragraph" w:customStyle="1" w:styleId="StyleHeading214ptAuto">
    <w:name w:val="Style Heading 2 + 14 pt Auto"/>
    <w:basedOn w:val="Heading2"/>
    <w:rsid w:val="004E3DF9"/>
    <w:pPr>
      <w:keepNext w:val="0"/>
      <w:widowControl w:val="0"/>
      <w:tabs>
        <w:tab w:val="left" w:pos="567"/>
      </w:tabs>
      <w:spacing w:before="0" w:after="0" w:line="300" w:lineRule="atLeast"/>
      <w:jc w:val="center"/>
    </w:pPr>
    <w:rPr>
      <w:rFonts w:ascii="Arial Bold" w:eastAsia="Times New Roman" w:hAnsi="Arial Bold"/>
      <w:b/>
      <w:caps w:val="0"/>
      <w:lang w:val="en-GB" w:eastAsia="da-DK"/>
    </w:rPr>
  </w:style>
  <w:style w:type="paragraph" w:styleId="NormalWeb">
    <w:name w:val="Normal (Web)"/>
    <w:basedOn w:val="Normal"/>
    <w:rsid w:val="004E3DF9"/>
    <w:pPr>
      <w:spacing w:before="100" w:beforeAutospacing="1" w:after="100" w:afterAutospacing="1"/>
    </w:pPr>
    <w:rPr>
      <w:rFonts w:eastAsia="Times New Roman"/>
      <w:sz w:val="18"/>
      <w:szCs w:val="18"/>
      <w:lang w:val="en-US" w:eastAsia="en-US"/>
    </w:rPr>
  </w:style>
  <w:style w:type="paragraph" w:styleId="TOC1">
    <w:name w:val="toc 1"/>
    <w:basedOn w:val="Normal"/>
    <w:next w:val="Normal"/>
    <w:autoRedefine/>
    <w:uiPriority w:val="39"/>
    <w:rsid w:val="004E3DF9"/>
    <w:pPr>
      <w:tabs>
        <w:tab w:val="right" w:leader="dot" w:pos="9061"/>
      </w:tabs>
      <w:spacing w:before="120" w:line="480" w:lineRule="auto"/>
      <w:contextualSpacing/>
      <w:jc w:val="center"/>
    </w:pPr>
    <w:rPr>
      <w:rFonts w:eastAsia="Times New Roman" w:cs="Times New Roman"/>
      <w:b/>
      <w:noProof/>
      <w:lang w:val="en-US" w:eastAsia="en-US"/>
    </w:rPr>
  </w:style>
  <w:style w:type="paragraph" w:customStyle="1" w:styleId="NormalArial">
    <w:name w:val="Normal + Arial"/>
    <w:aliases w:val="10 pt"/>
    <w:basedOn w:val="ListParagraph"/>
    <w:rsid w:val="004E3DF9"/>
    <w:pPr>
      <w:spacing w:after="0" w:line="240" w:lineRule="auto"/>
      <w:ind w:left="-28"/>
      <w:contextualSpacing w:val="0"/>
    </w:pPr>
    <w:rPr>
      <w:rFonts w:ascii="Arial" w:eastAsia="MS Mincho" w:hAnsi="Arial" w:cs="Arial"/>
      <w:bCs/>
      <w:sz w:val="20"/>
      <w:szCs w:val="20"/>
      <w:lang w:eastAsia="ja-JP"/>
    </w:rPr>
  </w:style>
  <w:style w:type="paragraph" w:customStyle="1" w:styleId="Default">
    <w:name w:val="Default"/>
    <w:rsid w:val="004E3DF9"/>
    <w:pPr>
      <w:autoSpaceDE w:val="0"/>
      <w:autoSpaceDN w:val="0"/>
      <w:adjustRightInd w:val="0"/>
    </w:pPr>
    <w:rPr>
      <w:rFonts w:ascii="Arial" w:hAnsi="Arial" w:cs="Arial"/>
      <w:color w:val="000000"/>
      <w:sz w:val="24"/>
      <w:szCs w:val="24"/>
    </w:rPr>
  </w:style>
  <w:style w:type="paragraph" w:customStyle="1" w:styleId="Normal6">
    <w:name w:val="Normal+6"/>
    <w:basedOn w:val="Normal"/>
    <w:next w:val="Normal"/>
    <w:rsid w:val="004E3DF9"/>
    <w:pPr>
      <w:autoSpaceDE w:val="0"/>
      <w:autoSpaceDN w:val="0"/>
      <w:adjustRightInd w:val="0"/>
    </w:pPr>
    <w:rPr>
      <w:rFonts w:eastAsia="Times New Roman" w:cs="Times New Roman"/>
      <w:szCs w:val="24"/>
      <w:lang w:val="en-US" w:eastAsia="en-US"/>
    </w:rPr>
  </w:style>
  <w:style w:type="character" w:styleId="CommentReference">
    <w:name w:val="annotation reference"/>
    <w:rsid w:val="004E3DF9"/>
    <w:rPr>
      <w:sz w:val="16"/>
      <w:szCs w:val="16"/>
    </w:rPr>
  </w:style>
  <w:style w:type="character" w:customStyle="1" w:styleId="CommentTextChar">
    <w:name w:val="Comment Text Char"/>
    <w:semiHidden/>
    <w:locked/>
    <w:rsid w:val="004E3DF9"/>
    <w:rPr>
      <w:lang w:val="en-US" w:eastAsia="en-US" w:bidi="ar-SA"/>
    </w:rPr>
  </w:style>
  <w:style w:type="paragraph" w:customStyle="1" w:styleId="StyleStyleHeading3ComplexItalicLatin12pt">
    <w:name w:val="Style Style Heading 3 + (Complex) Italic + (Latin) 12 pt"/>
    <w:basedOn w:val="StyleHeading3ComplexItalic"/>
    <w:link w:val="StyleStyleHeading3ComplexItalicLatin12ptChar"/>
    <w:rsid w:val="004E3DF9"/>
  </w:style>
  <w:style w:type="character" w:customStyle="1" w:styleId="StyleStyleHeading3ComplexItalicLatin12ptChar">
    <w:name w:val="Style Style Heading 3 + (Complex) Italic + (Latin) 12 pt Char"/>
    <w:basedOn w:val="StyleHeading3ComplexItalicChar"/>
    <w:link w:val="StyleStyleHeading3ComplexItalicLatin12pt"/>
    <w:rsid w:val="004E3DF9"/>
    <w:rPr>
      <w:rFonts w:ascii="Arial Bold" w:hAnsi="Arial Bold" w:cs="Arial"/>
      <w:iCs/>
      <w:sz w:val="22"/>
      <w:szCs w:val="22"/>
    </w:rPr>
  </w:style>
  <w:style w:type="character" w:customStyle="1" w:styleId="paracolourtext1">
    <w:name w:val="paracolourtext1"/>
    <w:rsid w:val="004E3DF9"/>
    <w:rPr>
      <w:b w:val="0"/>
      <w:bCs w:val="0"/>
      <w:i w:val="0"/>
      <w:iCs w:val="0"/>
      <w:color w:val="800000"/>
      <w:sz w:val="20"/>
      <w:szCs w:val="20"/>
    </w:rPr>
  </w:style>
  <w:style w:type="paragraph" w:customStyle="1" w:styleId="Body">
    <w:name w:val="Body"/>
    <w:rsid w:val="004E3DF9"/>
    <w:rPr>
      <w:rFonts w:ascii="Helvetica" w:eastAsia="ヒラギノ角ゴ Pro W3" w:hAnsi="Helvetica" w:cs="Angsana New"/>
      <w:color w:val="000000"/>
      <w:sz w:val="24"/>
      <w:lang w:bidi="th-TH"/>
    </w:rPr>
  </w:style>
  <w:style w:type="paragraph" w:customStyle="1" w:styleId="tes1">
    <w:name w:val="tes1"/>
    <w:basedOn w:val="Normal"/>
    <w:rsid w:val="004E3DF9"/>
    <w:pPr>
      <w:suppressAutoHyphens/>
      <w:ind w:left="1134" w:right="2195"/>
      <w:jc w:val="both"/>
    </w:pPr>
    <w:rPr>
      <w:rFonts w:eastAsia="Times New Roman" w:cs="Times New Roman"/>
      <w:b/>
      <w:spacing w:val="4"/>
      <w:w w:val="103"/>
      <w:kern w:val="14"/>
      <w:sz w:val="20"/>
      <w:lang w:val="en-GB" w:eastAsia="en-US"/>
    </w:rPr>
  </w:style>
  <w:style w:type="paragraph" w:customStyle="1" w:styleId="Style10">
    <w:name w:val="Style10"/>
    <w:basedOn w:val="Normal"/>
    <w:autoRedefine/>
    <w:rsid w:val="004E3DF9"/>
    <w:pPr>
      <w:tabs>
        <w:tab w:val="left" w:pos="340"/>
        <w:tab w:val="left" w:pos="680"/>
        <w:tab w:val="left" w:pos="1021"/>
        <w:tab w:val="left" w:pos="1361"/>
      </w:tabs>
      <w:suppressAutoHyphens/>
      <w:jc w:val="both"/>
    </w:pPr>
    <w:rPr>
      <w:rFonts w:eastAsia="Times New Roman" w:cs="Times New Roman"/>
      <w:snapToGrid w:val="0"/>
      <w:sz w:val="20"/>
      <w:lang w:val="en-US" w:eastAsia="en-US"/>
    </w:rPr>
  </w:style>
  <w:style w:type="paragraph" w:customStyle="1" w:styleId="Style11">
    <w:name w:val="Style11"/>
    <w:basedOn w:val="FootnoteText"/>
    <w:autoRedefine/>
    <w:rsid w:val="004E3DF9"/>
    <w:pPr>
      <w:suppressAutoHyphens/>
      <w:ind w:firstLine="340"/>
      <w:jc w:val="both"/>
    </w:pPr>
    <w:rPr>
      <w:rFonts w:eastAsia="Times New Roman" w:cs="Times New Roman"/>
      <w:snapToGrid w:val="0"/>
      <w:sz w:val="16"/>
      <w:lang w:val="en-US" w:eastAsia="en-US"/>
    </w:rPr>
  </w:style>
  <w:style w:type="paragraph" w:styleId="Title">
    <w:name w:val="Title"/>
    <w:basedOn w:val="Normal"/>
    <w:link w:val="TitleChar"/>
    <w:qFormat/>
    <w:rsid w:val="004E3DF9"/>
    <w:pPr>
      <w:jc w:val="center"/>
    </w:pPr>
    <w:rPr>
      <w:rFonts w:eastAsia="Times New Roman" w:cs="Times New Roman"/>
      <w:b/>
      <w:lang w:val="en-US" w:eastAsia="en-US"/>
    </w:rPr>
  </w:style>
  <w:style w:type="character" w:customStyle="1" w:styleId="TitleChar">
    <w:name w:val="Title Char"/>
    <w:basedOn w:val="DefaultParagraphFont"/>
    <w:link w:val="Title"/>
    <w:rsid w:val="004E3DF9"/>
    <w:rPr>
      <w:rFonts w:ascii="Arial" w:hAnsi="Arial"/>
      <w:b/>
      <w:sz w:val="22"/>
    </w:rPr>
  </w:style>
  <w:style w:type="paragraph" w:styleId="Subtitle">
    <w:name w:val="Subtitle"/>
    <w:basedOn w:val="Normal"/>
    <w:link w:val="SubtitleChar"/>
    <w:qFormat/>
    <w:rsid w:val="004E3DF9"/>
    <w:pPr>
      <w:jc w:val="center"/>
    </w:pPr>
    <w:rPr>
      <w:rFonts w:eastAsia="Times New Roman" w:cs="Times New Roman"/>
      <w:b/>
      <w:caps/>
      <w:color w:val="0000FF"/>
      <w:sz w:val="28"/>
      <w:lang w:val="en-US" w:eastAsia="en-US"/>
    </w:rPr>
  </w:style>
  <w:style w:type="character" w:customStyle="1" w:styleId="SubtitleChar">
    <w:name w:val="Subtitle Char"/>
    <w:basedOn w:val="DefaultParagraphFont"/>
    <w:link w:val="Subtitle"/>
    <w:rsid w:val="004E3DF9"/>
    <w:rPr>
      <w:rFonts w:ascii="Arial" w:hAnsi="Arial"/>
      <w:b/>
      <w:caps/>
      <w:color w:val="0000FF"/>
      <w:sz w:val="28"/>
    </w:rPr>
  </w:style>
  <w:style w:type="paragraph" w:customStyle="1" w:styleId="Endofdocument">
    <w:name w:val="End of document"/>
    <w:basedOn w:val="Normal"/>
    <w:rsid w:val="004E3DF9"/>
    <w:pPr>
      <w:ind w:left="4536"/>
      <w:jc w:val="center"/>
    </w:pPr>
    <w:rPr>
      <w:rFonts w:eastAsia="Times New Roman" w:cs="Times New Roman"/>
      <w:lang w:val="en-US" w:eastAsia="en-US"/>
    </w:rPr>
  </w:style>
  <w:style w:type="paragraph" w:styleId="BodyTextIndent2">
    <w:name w:val="Body Text Indent 2"/>
    <w:basedOn w:val="Normal"/>
    <w:link w:val="BodyTextIndent2Char"/>
    <w:rsid w:val="004E3DF9"/>
    <w:pPr>
      <w:tabs>
        <w:tab w:val="left" w:pos="714"/>
      </w:tabs>
      <w:spacing w:after="100"/>
      <w:ind w:hanging="6"/>
      <w:jc w:val="both"/>
    </w:pPr>
    <w:rPr>
      <w:rFonts w:eastAsia="Times New Roman" w:cs="Times New Roman"/>
      <w:snapToGrid w:val="0"/>
      <w:color w:val="000000"/>
      <w:sz w:val="20"/>
      <w:lang w:val="en-US" w:eastAsia="en-US"/>
    </w:rPr>
  </w:style>
  <w:style w:type="character" w:customStyle="1" w:styleId="BodyTextIndent2Char">
    <w:name w:val="Body Text Indent 2 Char"/>
    <w:basedOn w:val="DefaultParagraphFont"/>
    <w:link w:val="BodyTextIndent2"/>
    <w:rsid w:val="004E3DF9"/>
    <w:rPr>
      <w:rFonts w:ascii="Arial" w:hAnsi="Arial"/>
      <w:snapToGrid w:val="0"/>
      <w:color w:val="000000"/>
    </w:rPr>
  </w:style>
  <w:style w:type="paragraph" w:customStyle="1" w:styleId="3029-Titrechapitre">
    <w:name w:val="3029-Titre chapitre"/>
    <w:basedOn w:val="Heading1"/>
    <w:rsid w:val="004E3DF9"/>
    <w:pPr>
      <w:spacing w:before="0" w:after="0"/>
    </w:pPr>
    <w:rPr>
      <w:rFonts w:ascii="Arial Black" w:eastAsia="Times" w:hAnsi="Arial Black" w:cs="Times New Roman"/>
      <w:b w:val="0"/>
      <w:bCs w:val="0"/>
      <w:caps w:val="0"/>
      <w:color w:val="000080"/>
      <w:kern w:val="0"/>
      <w:sz w:val="30"/>
      <w:szCs w:val="20"/>
      <w:lang w:val="fr-FR" w:eastAsia="en-US"/>
    </w:rPr>
  </w:style>
  <w:style w:type="character" w:customStyle="1" w:styleId="underline">
    <w:name w:val="underline"/>
    <w:rsid w:val="004E3DF9"/>
    <w:rPr>
      <w:u w:val="single"/>
    </w:rPr>
  </w:style>
  <w:style w:type="paragraph" w:customStyle="1" w:styleId="zanxhead">
    <w:name w:val="zanxhead"/>
    <w:basedOn w:val="Normal"/>
    <w:rsid w:val="004E3DF9"/>
    <w:pPr>
      <w:spacing w:before="200"/>
    </w:pPr>
    <w:rPr>
      <w:rFonts w:eastAsia="Times New Roman" w:cs="Times New Roman"/>
      <w:b/>
      <w:color w:val="0000FF"/>
      <w:lang w:val="en-US" w:eastAsia="en-US"/>
    </w:rPr>
  </w:style>
  <w:style w:type="paragraph" w:customStyle="1" w:styleId="zanxtext">
    <w:name w:val="zanxtext"/>
    <w:basedOn w:val="Normal"/>
    <w:rsid w:val="004E3DF9"/>
    <w:pPr>
      <w:spacing w:before="120"/>
    </w:pPr>
    <w:rPr>
      <w:rFonts w:eastAsia="Times New Roman" w:cs="Times New Roman"/>
      <w:lang w:val="en-US" w:eastAsia="en-US"/>
    </w:rPr>
  </w:style>
  <w:style w:type="paragraph" w:styleId="BodyText2">
    <w:name w:val="Body Text 2"/>
    <w:basedOn w:val="Normal"/>
    <w:link w:val="BodyText2Char"/>
    <w:rsid w:val="004E3DF9"/>
    <w:pPr>
      <w:keepNext/>
      <w:jc w:val="both"/>
    </w:pPr>
    <w:rPr>
      <w:rFonts w:eastAsia="Times New Roman" w:cs="Times New Roman"/>
      <w:sz w:val="20"/>
      <w:lang w:val="en-US" w:eastAsia="en-US"/>
    </w:rPr>
  </w:style>
  <w:style w:type="character" w:customStyle="1" w:styleId="BodyText2Char">
    <w:name w:val="Body Text 2 Char"/>
    <w:basedOn w:val="DefaultParagraphFont"/>
    <w:link w:val="BodyText2"/>
    <w:rsid w:val="004E3DF9"/>
    <w:rPr>
      <w:rFonts w:ascii="Arial" w:hAnsi="Arial"/>
    </w:rPr>
  </w:style>
  <w:style w:type="paragraph" w:styleId="BlockText">
    <w:name w:val="Block Text"/>
    <w:basedOn w:val="Normal"/>
    <w:rsid w:val="004E3DF9"/>
    <w:pPr>
      <w:tabs>
        <w:tab w:val="left" w:pos="2127"/>
      </w:tabs>
      <w:spacing w:after="40"/>
      <w:ind w:left="2127" w:right="896" w:hanging="2127"/>
    </w:pPr>
    <w:rPr>
      <w:rFonts w:eastAsia="Times New Roman" w:cs="Times New Roman"/>
      <w:lang w:val="en-US" w:eastAsia="en-US"/>
    </w:rPr>
  </w:style>
  <w:style w:type="character" w:styleId="Emphasis">
    <w:name w:val="Emphasis"/>
    <w:qFormat/>
    <w:rsid w:val="004E3DF9"/>
    <w:rPr>
      <w:i/>
      <w:iCs/>
    </w:rPr>
  </w:style>
  <w:style w:type="character" w:styleId="Strong">
    <w:name w:val="Strong"/>
    <w:qFormat/>
    <w:rsid w:val="004E3DF9"/>
    <w:rPr>
      <w:b/>
      <w:bCs/>
    </w:rPr>
  </w:style>
  <w:style w:type="paragraph" w:customStyle="1" w:styleId="preparedby">
    <w:name w:val="prepared by"/>
    <w:basedOn w:val="Normal"/>
    <w:next w:val="Normal"/>
    <w:rsid w:val="004E3DF9"/>
    <w:pPr>
      <w:spacing w:before="120" w:after="480" w:line="260" w:lineRule="atLeast"/>
      <w:ind w:left="1021"/>
      <w:contextualSpacing/>
    </w:pPr>
    <w:rPr>
      <w:rFonts w:eastAsia="Times New Roman" w:cs="Times New Roman"/>
      <w:i/>
      <w:sz w:val="20"/>
      <w:lang w:val="en-US" w:eastAsia="en-US"/>
    </w:rPr>
  </w:style>
  <w:style w:type="paragraph" w:customStyle="1" w:styleId="Documenttitle">
    <w:name w:val="Document title"/>
    <w:basedOn w:val="Normal"/>
    <w:next w:val="preparedby"/>
    <w:rsid w:val="004E3DF9"/>
    <w:pPr>
      <w:spacing w:before="840" w:line="336" w:lineRule="exact"/>
      <w:ind w:left="1021"/>
      <w:contextualSpacing/>
    </w:pPr>
    <w:rPr>
      <w:rFonts w:eastAsia="Times New Roman" w:cs="Times New Roman"/>
      <w:lang w:val="en-US" w:eastAsia="en-US"/>
    </w:rPr>
  </w:style>
  <w:style w:type="paragraph" w:customStyle="1" w:styleId="MeetinglanguageDate">
    <w:name w:val="Meeting language &amp; Date"/>
    <w:basedOn w:val="Normal"/>
    <w:next w:val="Meetingtitle"/>
    <w:rsid w:val="004E3DF9"/>
    <w:pPr>
      <w:spacing w:after="1680" w:line="160" w:lineRule="exact"/>
      <w:ind w:left="1021"/>
      <w:contextualSpacing/>
      <w:jc w:val="right"/>
    </w:pPr>
    <w:rPr>
      <w:rFonts w:ascii="Arial Black" w:eastAsia="Times New Roman" w:hAnsi="Arial Black" w:cs="Times New Roman"/>
      <w:b/>
      <w:caps/>
      <w:sz w:val="15"/>
      <w:lang w:val="en-US" w:eastAsia="en-US"/>
    </w:rPr>
  </w:style>
  <w:style w:type="paragraph" w:customStyle="1" w:styleId="Meetingtitle">
    <w:name w:val="Meeting title"/>
    <w:basedOn w:val="Normal"/>
    <w:next w:val="Sessiontitle"/>
    <w:rsid w:val="004E3DF9"/>
    <w:pPr>
      <w:spacing w:line="336" w:lineRule="exact"/>
      <w:ind w:left="1021"/>
    </w:pPr>
    <w:rPr>
      <w:rFonts w:eastAsia="Times New Roman" w:cs="Times New Roman"/>
      <w:b/>
      <w:sz w:val="28"/>
      <w:lang w:val="en-US" w:eastAsia="en-US"/>
    </w:rPr>
  </w:style>
  <w:style w:type="paragraph" w:customStyle="1" w:styleId="Sessiontitle">
    <w:name w:val="Session title"/>
    <w:basedOn w:val="Meetingtitle"/>
    <w:next w:val="Meetingplacedate"/>
    <w:rsid w:val="004E3DF9"/>
    <w:pPr>
      <w:spacing w:before="480"/>
      <w:contextualSpacing/>
    </w:pPr>
    <w:rPr>
      <w:sz w:val="24"/>
    </w:rPr>
  </w:style>
  <w:style w:type="paragraph" w:customStyle="1" w:styleId="Meetingplacedate">
    <w:name w:val="Meeting place &amp; date"/>
    <w:basedOn w:val="Sessiontitle"/>
    <w:next w:val="Documenttitle"/>
    <w:rsid w:val="004E3DF9"/>
    <w:pPr>
      <w:spacing w:before="0"/>
      <w:contextualSpacing w:val="0"/>
    </w:pPr>
  </w:style>
  <w:style w:type="paragraph" w:customStyle="1" w:styleId="Language">
    <w:name w:val="Language"/>
    <w:basedOn w:val="Normal"/>
    <w:next w:val="Normal"/>
    <w:rsid w:val="004E3DF9"/>
    <w:pPr>
      <w:spacing w:after="120" w:line="340" w:lineRule="atLeast"/>
      <w:ind w:left="1021"/>
      <w:contextualSpacing/>
      <w:jc w:val="right"/>
    </w:pPr>
    <w:rPr>
      <w:rFonts w:eastAsia="Times New Roman" w:cs="Times New Roman"/>
      <w:b/>
      <w:caps/>
      <w:sz w:val="40"/>
      <w:lang w:val="en-US" w:eastAsia="en-US"/>
    </w:rPr>
  </w:style>
  <w:style w:type="paragraph" w:customStyle="1" w:styleId="MeetingCode">
    <w:name w:val="Meeting Code"/>
    <w:basedOn w:val="MeetinglanguageDate"/>
    <w:rsid w:val="004E3DF9"/>
    <w:pPr>
      <w:spacing w:before="1800" w:after="0"/>
    </w:pPr>
  </w:style>
  <w:style w:type="paragraph" w:customStyle="1" w:styleId="CarCarCar">
    <w:name w:val="Car Car Car"/>
    <w:basedOn w:val="Normal"/>
    <w:rsid w:val="004E3DF9"/>
    <w:pPr>
      <w:spacing w:after="160" w:line="240" w:lineRule="exact"/>
    </w:pPr>
    <w:rPr>
      <w:rFonts w:ascii="Verdana" w:eastAsia="PMingLiU" w:hAnsi="Verdana" w:cs="Times New Roman"/>
      <w:sz w:val="20"/>
      <w:lang w:val="en-US" w:eastAsia="en-US"/>
    </w:rPr>
  </w:style>
  <w:style w:type="paragraph" w:customStyle="1" w:styleId="Paragraphedeliste1">
    <w:name w:val="Paragraphe de liste1"/>
    <w:autoRedefine/>
    <w:rsid w:val="004E3DF9"/>
    <w:pPr>
      <w:spacing w:after="200" w:line="276" w:lineRule="auto"/>
      <w:ind w:left="720"/>
    </w:pPr>
    <w:rPr>
      <w:rFonts w:ascii="Lucida Grande" w:eastAsia="ヒラギノ角ゴ Pro W3" w:hAnsi="Lucida Grande"/>
      <w:color w:val="000000"/>
      <w:sz w:val="22"/>
      <w:lang w:val="en-GB"/>
    </w:rPr>
  </w:style>
  <w:style w:type="character" w:styleId="FollowedHyperlink">
    <w:name w:val="FollowedHyperlink"/>
    <w:rsid w:val="004E3DF9"/>
    <w:rPr>
      <w:color w:val="606420"/>
      <w:u w:val="single"/>
    </w:rPr>
  </w:style>
  <w:style w:type="paragraph" w:customStyle="1" w:styleId="Body1">
    <w:name w:val="Body 1"/>
    <w:rsid w:val="004E3DF9"/>
    <w:rPr>
      <w:rFonts w:ascii="Helvetica" w:eastAsia="Arial Unicode MS" w:hAnsi="Helvetica"/>
      <w:color w:val="000000"/>
      <w:sz w:val="24"/>
    </w:rPr>
  </w:style>
  <w:style w:type="paragraph" w:styleId="PlainText">
    <w:name w:val="Plain Text"/>
    <w:basedOn w:val="Normal"/>
    <w:link w:val="PlainTextChar"/>
    <w:uiPriority w:val="99"/>
    <w:rsid w:val="004E3DF9"/>
    <w:rPr>
      <w:rFonts w:ascii="Courier New" w:eastAsia="MS Mincho" w:hAnsi="Courier New" w:cs="Times New Roman"/>
      <w:sz w:val="20"/>
      <w:lang w:val="en-US" w:bidi="th-TH"/>
    </w:rPr>
  </w:style>
  <w:style w:type="character" w:customStyle="1" w:styleId="PlainTextChar">
    <w:name w:val="Plain Text Char"/>
    <w:basedOn w:val="DefaultParagraphFont"/>
    <w:link w:val="PlainText"/>
    <w:uiPriority w:val="99"/>
    <w:rsid w:val="004E3DF9"/>
    <w:rPr>
      <w:rFonts w:ascii="Courier New" w:eastAsia="MS Mincho" w:hAnsi="Courier New"/>
      <w:lang w:eastAsia="zh-CN" w:bidi="th-TH"/>
    </w:rPr>
  </w:style>
  <w:style w:type="character" w:customStyle="1" w:styleId="Bona">
    <w:name w:val="Bona"/>
    <w:semiHidden/>
    <w:rsid w:val="004E3DF9"/>
    <w:rPr>
      <w:rFonts w:ascii="Arial" w:hAnsi="Arial" w:cs="Arial"/>
      <w:color w:val="000080"/>
      <w:sz w:val="20"/>
      <w:szCs w:val="20"/>
    </w:rPr>
  </w:style>
  <w:style w:type="paragraph" w:styleId="CommentSubject">
    <w:name w:val="annotation subject"/>
    <w:basedOn w:val="CommentText"/>
    <w:next w:val="CommentText"/>
    <w:link w:val="CommentSubjectChar"/>
    <w:rsid w:val="004E3DF9"/>
    <w:rPr>
      <w:rFonts w:eastAsia="Times New Roman" w:cs="Times New Roman"/>
      <w:b/>
      <w:bCs/>
      <w:sz w:val="20"/>
      <w:lang w:val="en-US" w:eastAsia="en-US"/>
    </w:rPr>
  </w:style>
  <w:style w:type="character" w:customStyle="1" w:styleId="CommentTextChar1">
    <w:name w:val="Comment Text Char1"/>
    <w:basedOn w:val="DefaultParagraphFont"/>
    <w:link w:val="CommentText"/>
    <w:semiHidden/>
    <w:rsid w:val="004E3DF9"/>
    <w:rPr>
      <w:rFonts w:ascii="Arial" w:eastAsia="SimSun" w:hAnsi="Arial" w:cs="Arial"/>
      <w:sz w:val="18"/>
      <w:lang w:val="es-ES" w:eastAsia="zh-CN"/>
    </w:rPr>
  </w:style>
  <w:style w:type="character" w:customStyle="1" w:styleId="CommentSubjectChar">
    <w:name w:val="Comment Subject Char"/>
    <w:basedOn w:val="CommentTextChar1"/>
    <w:link w:val="CommentSubject"/>
    <w:rsid w:val="004E3DF9"/>
    <w:rPr>
      <w:rFonts w:ascii="Arial" w:eastAsia="SimSun" w:hAnsi="Arial" w:cs="Arial"/>
      <w:b/>
      <w:bCs/>
      <w:sz w:val="18"/>
      <w:lang w:val="es-ES" w:eastAsia="zh-CN"/>
    </w:rPr>
  </w:style>
  <w:style w:type="character" w:customStyle="1" w:styleId="HeaderChar">
    <w:name w:val="Header Char"/>
    <w:link w:val="Header"/>
    <w:rsid w:val="004E3DF9"/>
    <w:rPr>
      <w:rFonts w:ascii="Arial" w:eastAsia="SimSun" w:hAnsi="Arial" w:cs="Arial"/>
      <w:sz w:val="22"/>
      <w:lang w:val="es-ES" w:eastAsia="zh-CN"/>
    </w:rPr>
  </w:style>
  <w:style w:type="character" w:customStyle="1" w:styleId="ONUMEChar">
    <w:name w:val="ONUM E Char"/>
    <w:link w:val="ONUME"/>
    <w:rsid w:val="004E3DF9"/>
    <w:rPr>
      <w:rFonts w:ascii="Arial" w:eastAsia="SimSun" w:hAnsi="Arial" w:cs="Arial"/>
      <w:sz w:val="22"/>
      <w:lang w:val="es-ES" w:eastAsia="zh-CN"/>
    </w:rPr>
  </w:style>
  <w:style w:type="paragraph" w:customStyle="1" w:styleId="StyleArial10ptBlackCentered">
    <w:name w:val="Style Arial 10 pt Black Centered"/>
    <w:basedOn w:val="Normal"/>
    <w:rsid w:val="004E3DF9"/>
    <w:pPr>
      <w:jc w:val="center"/>
    </w:pPr>
    <w:rPr>
      <w:rFonts w:eastAsia="Times New Roman" w:cs="Times New Roman"/>
      <w:color w:val="000000"/>
      <w:sz w:val="20"/>
      <w:lang w:val="en-US" w:eastAsia="en-US"/>
    </w:rPr>
  </w:style>
  <w:style w:type="paragraph" w:styleId="TOCHeading">
    <w:name w:val="TOC Heading"/>
    <w:basedOn w:val="Heading1"/>
    <w:next w:val="Normal"/>
    <w:uiPriority w:val="39"/>
    <w:semiHidden/>
    <w:unhideWhenUsed/>
    <w:qFormat/>
    <w:rsid w:val="004E3DF9"/>
    <w:pPr>
      <w:keepLines/>
      <w:spacing w:before="480" w:after="0" w:line="276" w:lineRule="auto"/>
      <w:outlineLvl w:val="9"/>
    </w:pPr>
    <w:rPr>
      <w:rFonts w:asciiTheme="majorHAnsi" w:eastAsiaTheme="majorEastAsia" w:hAnsiTheme="majorHAnsi" w:cstheme="majorBidi"/>
      <w:caps w:val="0"/>
      <w:color w:val="365F91" w:themeColor="accent1" w:themeShade="BF"/>
      <w:kern w:val="0"/>
      <w:sz w:val="28"/>
      <w:szCs w:val="28"/>
      <w:lang w:val="en-US" w:eastAsia="ja-JP"/>
    </w:rPr>
  </w:style>
  <w:style w:type="character" w:customStyle="1" w:styleId="StyleArial11pt">
    <w:name w:val="Style Arial 11 pt"/>
    <w:basedOn w:val="DefaultParagraphFont"/>
    <w:rsid w:val="004E3DF9"/>
    <w:rPr>
      <w:rFonts w:ascii="Arial" w:hAnsi="Arial"/>
      <w:i w:val="0"/>
      <w:iCs/>
      <w:sz w:val="22"/>
    </w:rPr>
  </w:style>
  <w:style w:type="character" w:customStyle="1" w:styleId="NORMALTEXT">
    <w:name w:val="NORMAL TEXT"/>
    <w:basedOn w:val="StyleArial11pt"/>
    <w:rsid w:val="004E3DF9"/>
    <w:rPr>
      <w:rFonts w:ascii="Arial" w:hAnsi="Arial"/>
      <w:i w:val="0"/>
      <w:iCs/>
      <w:sz w:val="22"/>
    </w:rPr>
  </w:style>
  <w:style w:type="paragraph" w:customStyle="1" w:styleId="Heading22">
    <w:name w:val="Heading 2 2"/>
    <w:basedOn w:val="Normal"/>
    <w:qFormat/>
    <w:rsid w:val="004E3DF9"/>
    <w:pPr>
      <w:jc w:val="center"/>
    </w:pPr>
    <w:rPr>
      <w:color w:val="FFFFFF" w:themeColor="background1"/>
      <w:sz w:val="18"/>
      <w:szCs w:val="18"/>
      <w:lang w:val="en-US"/>
    </w:rPr>
  </w:style>
  <w:style w:type="paragraph" w:customStyle="1" w:styleId="HEADING220">
    <w:name w:val="HEADING 2 2"/>
    <w:basedOn w:val="Normal"/>
    <w:rsid w:val="004E3DF9"/>
    <w:pPr>
      <w:jc w:val="center"/>
    </w:pPr>
    <w:rPr>
      <w:rFonts w:eastAsia="Times New Roman" w:cs="Times New Roman"/>
      <w:color w:val="FFFFFF"/>
      <w:sz w:val="20"/>
      <w:lang w:val="en-US" w:eastAsia="en-US"/>
    </w:rPr>
  </w:style>
  <w:style w:type="paragraph" w:customStyle="1" w:styleId="Style6">
    <w:name w:val="Style6"/>
    <w:basedOn w:val="Normal"/>
    <w:link w:val="Style6Char"/>
    <w:rsid w:val="004E3DF9"/>
    <w:pPr>
      <w:ind w:right="91"/>
      <w:outlineLvl w:val="1"/>
    </w:pPr>
    <w:rPr>
      <w:b/>
      <w:szCs w:val="22"/>
      <w:lang w:val="en-US"/>
    </w:rPr>
  </w:style>
  <w:style w:type="character" w:customStyle="1" w:styleId="Style6Char">
    <w:name w:val="Style6 Char"/>
    <w:link w:val="Style6"/>
    <w:rsid w:val="004E3DF9"/>
    <w:rPr>
      <w:rFonts w:ascii="Arial" w:eastAsia="SimSun" w:hAnsi="Arial" w:cs="Arial"/>
      <w:b/>
      <w:sz w:val="22"/>
      <w:szCs w:val="22"/>
      <w:lang w:eastAsia="zh-CN"/>
    </w:rPr>
  </w:style>
  <w:style w:type="character" w:customStyle="1" w:styleId="Heading1Char">
    <w:name w:val="Heading 1 Char"/>
    <w:basedOn w:val="DefaultParagraphFont"/>
    <w:link w:val="Heading1"/>
    <w:rsid w:val="002406E3"/>
    <w:rPr>
      <w:rFonts w:ascii="Arial" w:eastAsia="SimSun" w:hAnsi="Arial" w:cs="Arial"/>
      <w:b/>
      <w:bCs/>
      <w:caps/>
      <w:kern w:val="32"/>
      <w:sz w:val="22"/>
      <w:szCs w:val="32"/>
      <w:lang w:val="es-ES" w:eastAsia="zh-CN"/>
    </w:rPr>
  </w:style>
  <w:style w:type="character" w:customStyle="1" w:styleId="Heading4Char">
    <w:name w:val="Heading 4 Char"/>
    <w:basedOn w:val="DefaultParagraphFont"/>
    <w:link w:val="Heading4"/>
    <w:rsid w:val="002406E3"/>
    <w:rPr>
      <w:rFonts w:ascii="Arial" w:eastAsia="SimSun" w:hAnsi="Arial" w:cs="Arial"/>
      <w:bCs/>
      <w:i/>
      <w:sz w:val="22"/>
      <w:szCs w:val="28"/>
      <w:lang w:val="es-ES" w:eastAsia="zh-CN"/>
    </w:rPr>
  </w:style>
  <w:style w:type="character" w:customStyle="1" w:styleId="FootnoteTextChar">
    <w:name w:val="Footnote Text Char"/>
    <w:basedOn w:val="DefaultParagraphFont"/>
    <w:link w:val="FootnoteText"/>
    <w:semiHidden/>
    <w:rsid w:val="002406E3"/>
    <w:rPr>
      <w:rFonts w:ascii="Arial" w:eastAsia="SimSun" w:hAnsi="Arial" w:cs="Arial"/>
      <w:sz w:val="18"/>
      <w:lang w:val="es-ES" w:eastAsia="zh-CN"/>
    </w:rPr>
  </w:style>
  <w:style w:type="character" w:customStyle="1" w:styleId="FooterChar">
    <w:name w:val="Footer Char"/>
    <w:basedOn w:val="DefaultParagraphFont"/>
    <w:link w:val="Footer"/>
    <w:rsid w:val="002406E3"/>
    <w:rPr>
      <w:rFonts w:ascii="Arial" w:eastAsia="SimSun" w:hAnsi="Arial" w:cs="Arial"/>
      <w:sz w:val="22"/>
      <w:lang w:val="es-ES" w:eastAsia="zh-CN"/>
    </w:rPr>
  </w:style>
  <w:style w:type="character" w:customStyle="1" w:styleId="EndnoteTextChar">
    <w:name w:val="Endnote Text Char"/>
    <w:basedOn w:val="DefaultParagraphFont"/>
    <w:link w:val="EndnoteText"/>
    <w:semiHidden/>
    <w:rsid w:val="002406E3"/>
    <w:rPr>
      <w:rFonts w:ascii="Arial" w:eastAsia="SimSun" w:hAnsi="Arial" w:cs="Arial"/>
      <w:sz w:val="18"/>
      <w:lang w:val="es-ES" w:eastAsia="zh-CN"/>
    </w:rPr>
  </w:style>
  <w:style w:type="character" w:customStyle="1" w:styleId="SignatureChar">
    <w:name w:val="Signature Char"/>
    <w:basedOn w:val="DefaultParagraphFont"/>
    <w:link w:val="Signature"/>
    <w:semiHidden/>
    <w:rsid w:val="002406E3"/>
    <w:rPr>
      <w:rFonts w:ascii="Arial" w:eastAsia="SimSun" w:hAnsi="Arial" w:cs="Arial"/>
      <w:sz w:val="22"/>
      <w:lang w:val="es-ES" w:eastAsia="zh-CN"/>
    </w:rPr>
  </w:style>
  <w:style w:type="character" w:customStyle="1" w:styleId="BodyTextChar">
    <w:name w:val="Body Text Char"/>
    <w:basedOn w:val="DefaultParagraphFont"/>
    <w:link w:val="BodyText"/>
    <w:rsid w:val="002406E3"/>
    <w:rPr>
      <w:rFonts w:ascii="Arial" w:eastAsia="SimSun" w:hAnsi="Arial" w:cs="Arial"/>
      <w:sz w:val="22"/>
      <w:lang w:val="es-ES" w:eastAsia="zh-CN"/>
    </w:rPr>
  </w:style>
  <w:style w:type="character" w:customStyle="1" w:styleId="SalutationChar">
    <w:name w:val="Salutation Char"/>
    <w:basedOn w:val="DefaultParagraphFont"/>
    <w:link w:val="Salutation"/>
    <w:semiHidden/>
    <w:rsid w:val="002406E3"/>
    <w:rPr>
      <w:rFonts w:ascii="Arial" w:eastAsia="SimSun" w:hAnsi="Arial" w:cs="Arial"/>
      <w:sz w:val="22"/>
      <w:lang w:val="es-E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F3990"/>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link w:val="Heading4Char"/>
    <w:qFormat/>
    <w:rsid w:val="00A32C9E"/>
    <w:pPr>
      <w:keepNext/>
      <w:spacing w:before="240" w:after="60"/>
      <w:outlineLvl w:val="3"/>
    </w:pPr>
    <w:rPr>
      <w:bCs/>
      <w:i/>
      <w:szCs w:val="28"/>
    </w:rPr>
  </w:style>
  <w:style w:type="paragraph" w:styleId="Heading5">
    <w:name w:val="heading 5"/>
    <w:basedOn w:val="Heading4"/>
    <w:next w:val="Normal"/>
    <w:link w:val="Heading5Char"/>
    <w:qFormat/>
    <w:rsid w:val="004E3DF9"/>
    <w:pPr>
      <w:tabs>
        <w:tab w:val="num" w:pos="1008"/>
      </w:tabs>
      <w:spacing w:before="0" w:after="0" w:line="300" w:lineRule="atLeast"/>
      <w:ind w:left="1008" w:hanging="1008"/>
      <w:jc w:val="center"/>
      <w:outlineLvl w:val="4"/>
    </w:pPr>
    <w:rPr>
      <w:rFonts w:ascii="Arial Bold" w:eastAsia="Times New Roman" w:hAnsi="Arial Bold"/>
      <w:i w:val="0"/>
      <w:color w:val="3E484E"/>
      <w:szCs w:val="26"/>
      <w:lang w:val="en-GB" w:eastAsia="da-DK"/>
    </w:rPr>
  </w:style>
  <w:style w:type="paragraph" w:styleId="Heading6">
    <w:name w:val="heading 6"/>
    <w:basedOn w:val="Heading5"/>
    <w:next w:val="Normal"/>
    <w:link w:val="Heading6Char"/>
    <w:qFormat/>
    <w:rsid w:val="004E3DF9"/>
    <w:pPr>
      <w:tabs>
        <w:tab w:val="clear" w:pos="1008"/>
        <w:tab w:val="num" w:pos="1152"/>
      </w:tabs>
      <w:ind w:left="1152" w:hanging="1152"/>
      <w:outlineLvl w:val="5"/>
    </w:pPr>
  </w:style>
  <w:style w:type="paragraph" w:styleId="Heading7">
    <w:name w:val="heading 7"/>
    <w:basedOn w:val="Heading6"/>
    <w:next w:val="Normal"/>
    <w:link w:val="Heading7Char"/>
    <w:qFormat/>
    <w:rsid w:val="004E3DF9"/>
    <w:pPr>
      <w:tabs>
        <w:tab w:val="clear" w:pos="1152"/>
        <w:tab w:val="num" w:pos="1296"/>
      </w:tabs>
      <w:ind w:left="1296" w:hanging="1296"/>
      <w:outlineLvl w:val="6"/>
    </w:pPr>
  </w:style>
  <w:style w:type="paragraph" w:styleId="Heading8">
    <w:name w:val="heading 8"/>
    <w:basedOn w:val="Heading7"/>
    <w:next w:val="Normal"/>
    <w:link w:val="Heading8Char"/>
    <w:qFormat/>
    <w:rsid w:val="004E3DF9"/>
    <w:pPr>
      <w:tabs>
        <w:tab w:val="clear" w:pos="1296"/>
        <w:tab w:val="num" w:pos="1440"/>
      </w:tabs>
      <w:ind w:left="1440" w:hanging="1440"/>
      <w:outlineLvl w:val="7"/>
    </w:pPr>
  </w:style>
  <w:style w:type="paragraph" w:styleId="Heading9">
    <w:name w:val="heading 9"/>
    <w:basedOn w:val="Heading8"/>
    <w:next w:val="Normal"/>
    <w:link w:val="Heading9Char"/>
    <w:qFormat/>
    <w:rsid w:val="004E3DF9"/>
    <w:pPr>
      <w:tabs>
        <w:tab w:val="clear" w:pos="1440"/>
        <w:tab w:val="num" w:pos="1584"/>
      </w:tabs>
      <w:ind w:left="1584" w:hanging="1584"/>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1"/>
    <w:semiHidden/>
    <w:rsid w:val="00A32C9E"/>
    <w:rPr>
      <w:sz w:val="18"/>
    </w:rPr>
  </w:style>
  <w:style w:type="paragraph" w:styleId="EndnoteText">
    <w:name w:val="endnote text"/>
    <w:basedOn w:val="Normal"/>
    <w:link w:val="EndnoteTextChar"/>
    <w:semiHidden/>
    <w:rsid w:val="00A32C9E"/>
    <w:rPr>
      <w:sz w:val="18"/>
    </w:rPr>
  </w:style>
  <w:style w:type="paragraph" w:styleId="Footer">
    <w:name w:val="footer"/>
    <w:basedOn w:val="Normal"/>
    <w:link w:val="FooterChar"/>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BalloonText">
    <w:name w:val="Balloon Text"/>
    <w:basedOn w:val="Normal"/>
    <w:link w:val="BalloonTextChar"/>
    <w:rsid w:val="004E2C9D"/>
    <w:rPr>
      <w:rFonts w:ascii="Tahoma" w:hAnsi="Tahoma" w:cs="Tahoma"/>
      <w:sz w:val="16"/>
      <w:szCs w:val="16"/>
    </w:rPr>
  </w:style>
  <w:style w:type="paragraph" w:styleId="Header">
    <w:name w:val="header"/>
    <w:basedOn w:val="Normal"/>
    <w:link w:val="HeaderChar"/>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link w:val="ONUMEChar"/>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link w:val="SalutationChar"/>
    <w:semiHidden/>
    <w:rsid w:val="00A32C9E"/>
  </w:style>
  <w:style w:type="paragraph" w:styleId="Signature">
    <w:name w:val="Signature"/>
    <w:basedOn w:val="Normal"/>
    <w:link w:val="SignatureChar"/>
    <w:semiHidden/>
    <w:rsid w:val="00A32C9E"/>
    <w:pPr>
      <w:ind w:left="5250"/>
    </w:pPr>
  </w:style>
  <w:style w:type="character" w:customStyle="1" w:styleId="BalloonTextChar">
    <w:name w:val="Balloon Text Char"/>
    <w:basedOn w:val="DefaultParagraphFont"/>
    <w:link w:val="BalloonText"/>
    <w:rsid w:val="004E2C9D"/>
    <w:rPr>
      <w:rFonts w:ascii="Tahoma" w:eastAsia="SimSun" w:hAnsi="Tahoma" w:cs="Tahoma"/>
      <w:sz w:val="16"/>
      <w:szCs w:val="16"/>
      <w:lang w:val="es-ES" w:eastAsia="zh-CN"/>
    </w:rPr>
  </w:style>
  <w:style w:type="paragraph" w:customStyle="1" w:styleId="StyleHeading1">
    <w:name w:val="Style Heading 1"/>
    <w:aliases w:val="Level 1 + Arial Auto Centered Left:  0 cm First..."/>
    <w:rsid w:val="004E3DF9"/>
    <w:pPr>
      <w:jc w:val="center"/>
    </w:pPr>
    <w:rPr>
      <w:rFonts w:ascii="Arial" w:hAnsi="Arial"/>
      <w:b/>
      <w:bCs/>
      <w:kern w:val="40"/>
      <w:sz w:val="72"/>
      <w:lang w:val="fr-FR"/>
    </w:rPr>
  </w:style>
  <w:style w:type="character" w:customStyle="1" w:styleId="Heading5Char">
    <w:name w:val="Heading 5 Char"/>
    <w:basedOn w:val="DefaultParagraphFont"/>
    <w:link w:val="Heading5"/>
    <w:rsid w:val="004E3DF9"/>
    <w:rPr>
      <w:rFonts w:ascii="Arial Bold" w:hAnsi="Arial Bold" w:cs="Arial"/>
      <w:bCs/>
      <w:color w:val="3E484E"/>
      <w:sz w:val="22"/>
      <w:szCs w:val="26"/>
      <w:lang w:val="en-GB" w:eastAsia="da-DK"/>
    </w:rPr>
  </w:style>
  <w:style w:type="character" w:customStyle="1" w:styleId="Heading6Char">
    <w:name w:val="Heading 6 Char"/>
    <w:basedOn w:val="DefaultParagraphFont"/>
    <w:link w:val="Heading6"/>
    <w:rsid w:val="004E3DF9"/>
    <w:rPr>
      <w:rFonts w:ascii="Arial Bold" w:hAnsi="Arial Bold" w:cs="Arial"/>
      <w:bCs/>
      <w:color w:val="3E484E"/>
      <w:sz w:val="22"/>
      <w:szCs w:val="26"/>
      <w:lang w:val="en-GB" w:eastAsia="da-DK"/>
    </w:rPr>
  </w:style>
  <w:style w:type="character" w:customStyle="1" w:styleId="Heading7Char">
    <w:name w:val="Heading 7 Char"/>
    <w:basedOn w:val="DefaultParagraphFont"/>
    <w:link w:val="Heading7"/>
    <w:rsid w:val="004E3DF9"/>
    <w:rPr>
      <w:rFonts w:ascii="Arial Bold" w:hAnsi="Arial Bold" w:cs="Arial"/>
      <w:bCs/>
      <w:color w:val="3E484E"/>
      <w:sz w:val="22"/>
      <w:szCs w:val="26"/>
      <w:lang w:val="en-GB" w:eastAsia="da-DK"/>
    </w:rPr>
  </w:style>
  <w:style w:type="character" w:customStyle="1" w:styleId="Heading8Char">
    <w:name w:val="Heading 8 Char"/>
    <w:basedOn w:val="DefaultParagraphFont"/>
    <w:link w:val="Heading8"/>
    <w:rsid w:val="004E3DF9"/>
    <w:rPr>
      <w:rFonts w:ascii="Arial Bold" w:hAnsi="Arial Bold" w:cs="Arial"/>
      <w:bCs/>
      <w:color w:val="3E484E"/>
      <w:sz w:val="22"/>
      <w:szCs w:val="26"/>
      <w:lang w:val="en-GB" w:eastAsia="da-DK"/>
    </w:rPr>
  </w:style>
  <w:style w:type="character" w:customStyle="1" w:styleId="Heading9Char">
    <w:name w:val="Heading 9 Char"/>
    <w:basedOn w:val="DefaultParagraphFont"/>
    <w:link w:val="Heading9"/>
    <w:rsid w:val="004E3DF9"/>
    <w:rPr>
      <w:rFonts w:ascii="Arial Bold" w:hAnsi="Arial Bold" w:cs="Arial"/>
      <w:bCs/>
      <w:color w:val="3E484E"/>
      <w:sz w:val="22"/>
      <w:szCs w:val="26"/>
      <w:lang w:val="en-GB" w:eastAsia="da-DK"/>
    </w:rPr>
  </w:style>
  <w:style w:type="character" w:customStyle="1" w:styleId="Heading2Char">
    <w:name w:val="Heading 2 Char"/>
    <w:link w:val="Heading2"/>
    <w:rsid w:val="004E3DF9"/>
    <w:rPr>
      <w:rFonts w:ascii="Arial" w:eastAsia="SimSun" w:hAnsi="Arial" w:cs="Arial"/>
      <w:bCs/>
      <w:iCs/>
      <w:caps/>
      <w:sz w:val="22"/>
      <w:szCs w:val="28"/>
      <w:lang w:val="es-ES" w:eastAsia="zh-CN"/>
    </w:rPr>
  </w:style>
  <w:style w:type="character" w:customStyle="1" w:styleId="Heading3Char">
    <w:name w:val="Heading 3 Char"/>
    <w:link w:val="Heading3"/>
    <w:rsid w:val="004E3DF9"/>
    <w:rPr>
      <w:rFonts w:ascii="Arial" w:eastAsia="SimSun" w:hAnsi="Arial" w:cs="Arial"/>
      <w:bCs/>
      <w:sz w:val="22"/>
      <w:szCs w:val="26"/>
      <w:u w:val="single"/>
      <w:lang w:val="es-ES" w:eastAsia="zh-CN"/>
    </w:rPr>
  </w:style>
  <w:style w:type="paragraph" w:customStyle="1" w:styleId="CharCharCharChar">
    <w:name w:val="Char Char Char Char"/>
    <w:basedOn w:val="Normal"/>
    <w:rsid w:val="004E3DF9"/>
    <w:pPr>
      <w:spacing w:after="160" w:line="240" w:lineRule="exact"/>
    </w:pPr>
    <w:rPr>
      <w:rFonts w:ascii="Verdana" w:eastAsia="Times New Roman" w:hAnsi="Verdana" w:cs="Times New Roman"/>
      <w:sz w:val="20"/>
      <w:lang w:val="en-GB" w:eastAsia="en-US"/>
    </w:rPr>
  </w:style>
  <w:style w:type="table" w:styleId="TableGrid">
    <w:name w:val="Table Grid"/>
    <w:basedOn w:val="TableNormal"/>
    <w:rsid w:val="004E3D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rsid w:val="004E3DF9"/>
    <w:pPr>
      <w:ind w:left="567"/>
    </w:pPr>
    <w:rPr>
      <w:rFonts w:eastAsia="Times New Roman" w:cs="Times New Roman"/>
      <w:lang w:val="en-US" w:eastAsia="en-US"/>
    </w:rPr>
  </w:style>
  <w:style w:type="character" w:customStyle="1" w:styleId="BodyTextIndentChar">
    <w:name w:val="Body Text Indent Char"/>
    <w:basedOn w:val="DefaultParagraphFont"/>
    <w:link w:val="BodyTextIndent"/>
    <w:rsid w:val="004E3DF9"/>
    <w:rPr>
      <w:rFonts w:ascii="Arial" w:hAnsi="Arial"/>
      <w:sz w:val="22"/>
    </w:rPr>
  </w:style>
  <w:style w:type="character" w:customStyle="1" w:styleId="hps">
    <w:name w:val="hps"/>
    <w:basedOn w:val="DefaultParagraphFont"/>
    <w:rsid w:val="004E3DF9"/>
  </w:style>
  <w:style w:type="paragraph" w:styleId="ListParagraph">
    <w:name w:val="List Paragraph"/>
    <w:basedOn w:val="Normal"/>
    <w:uiPriority w:val="34"/>
    <w:qFormat/>
    <w:rsid w:val="004E3DF9"/>
    <w:pPr>
      <w:spacing w:after="200" w:line="276" w:lineRule="auto"/>
      <w:ind w:left="720"/>
      <w:contextualSpacing/>
    </w:pPr>
    <w:rPr>
      <w:rFonts w:ascii="Calibri" w:eastAsia="Times New Roman" w:hAnsi="Calibri" w:cs="Times New Roman"/>
      <w:szCs w:val="22"/>
      <w:lang w:val="en-US" w:eastAsia="en-US"/>
    </w:rPr>
  </w:style>
  <w:style w:type="character" w:styleId="FootnoteReference">
    <w:name w:val="footnote reference"/>
    <w:rsid w:val="004E3DF9"/>
    <w:rPr>
      <w:vertAlign w:val="superscript"/>
    </w:rPr>
  </w:style>
  <w:style w:type="character" w:styleId="PageNumber">
    <w:name w:val="page number"/>
    <w:basedOn w:val="DefaultParagraphFont"/>
    <w:rsid w:val="004E3DF9"/>
  </w:style>
  <w:style w:type="paragraph" w:customStyle="1" w:styleId="1">
    <w:name w:val="1"/>
    <w:basedOn w:val="Normal"/>
    <w:rsid w:val="004E3DF9"/>
    <w:pPr>
      <w:spacing w:after="160" w:line="240" w:lineRule="exact"/>
    </w:pPr>
    <w:rPr>
      <w:rFonts w:ascii="Verdana" w:eastAsia="Times New Roman" w:hAnsi="Verdana" w:cs="Times New Roman"/>
      <w:sz w:val="20"/>
      <w:lang w:val="en-GB" w:eastAsia="en-US"/>
    </w:rPr>
  </w:style>
  <w:style w:type="paragraph" w:styleId="TOC2">
    <w:name w:val="toc 2"/>
    <w:basedOn w:val="Normal"/>
    <w:next w:val="Normal"/>
    <w:autoRedefine/>
    <w:uiPriority w:val="39"/>
    <w:rsid w:val="00A23604"/>
    <w:pPr>
      <w:tabs>
        <w:tab w:val="left" w:pos="1418"/>
        <w:tab w:val="right" w:leader="dot" w:pos="9061"/>
      </w:tabs>
      <w:spacing w:line="360" w:lineRule="auto"/>
      <w:ind w:left="238"/>
    </w:pPr>
    <w:rPr>
      <w:rFonts w:eastAsiaTheme="minorHAnsi" w:cs="Times New Roman"/>
      <w:noProof/>
      <w:sz w:val="20"/>
      <w:lang w:val="es-ES_tradnl" w:eastAsia="da-DK"/>
    </w:rPr>
  </w:style>
  <w:style w:type="character" w:styleId="Hyperlink">
    <w:name w:val="Hyperlink"/>
    <w:uiPriority w:val="99"/>
    <w:rsid w:val="004E3DF9"/>
    <w:rPr>
      <w:color w:val="0000FF"/>
      <w:u w:val="single"/>
    </w:rPr>
  </w:style>
  <w:style w:type="paragraph" w:customStyle="1" w:styleId="StyleHeading3ComplexItalic">
    <w:name w:val="Style Heading 3 + (Complex) Italic"/>
    <w:basedOn w:val="Heading3"/>
    <w:link w:val="StyleHeading3ComplexItalicChar"/>
    <w:rsid w:val="004E3DF9"/>
    <w:pPr>
      <w:tabs>
        <w:tab w:val="left" w:pos="1985"/>
      </w:tabs>
      <w:spacing w:before="0" w:after="0"/>
      <w:jc w:val="center"/>
    </w:pPr>
    <w:rPr>
      <w:rFonts w:ascii="Arial Bold" w:eastAsia="Times New Roman" w:hAnsi="Arial Bold"/>
      <w:bCs w:val="0"/>
      <w:iCs/>
      <w:szCs w:val="22"/>
      <w:u w:val="none"/>
      <w:lang w:val="en-US" w:eastAsia="en-US"/>
    </w:rPr>
  </w:style>
  <w:style w:type="character" w:customStyle="1" w:styleId="StyleHeading3ComplexItalicChar">
    <w:name w:val="Style Heading 3 + (Complex) Italic Char"/>
    <w:link w:val="StyleHeading3ComplexItalic"/>
    <w:rsid w:val="004E3DF9"/>
    <w:rPr>
      <w:rFonts w:ascii="Arial Bold" w:hAnsi="Arial Bold" w:cs="Arial"/>
      <w:iCs/>
      <w:sz w:val="22"/>
      <w:szCs w:val="22"/>
    </w:rPr>
  </w:style>
  <w:style w:type="paragraph" w:styleId="TOC3">
    <w:name w:val="toc 3"/>
    <w:basedOn w:val="Normal"/>
    <w:next w:val="Normal"/>
    <w:autoRedefine/>
    <w:uiPriority w:val="39"/>
    <w:rsid w:val="004E3DF9"/>
    <w:pPr>
      <w:tabs>
        <w:tab w:val="left" w:pos="1134"/>
        <w:tab w:val="left" w:pos="2619"/>
        <w:tab w:val="right" w:leader="dot" w:pos="9061"/>
      </w:tabs>
      <w:spacing w:after="120"/>
      <w:ind w:left="1871" w:hanging="1304"/>
    </w:pPr>
    <w:rPr>
      <w:rFonts w:eastAsia="Times New Roman" w:cs="Times New Roman"/>
      <w:noProof/>
      <w:sz w:val="20"/>
      <w:lang w:val="en-US" w:eastAsia="en-US"/>
    </w:rPr>
  </w:style>
  <w:style w:type="paragraph" w:customStyle="1" w:styleId="StyleHeading214ptAuto">
    <w:name w:val="Style Heading 2 + 14 pt Auto"/>
    <w:basedOn w:val="Heading2"/>
    <w:rsid w:val="004E3DF9"/>
    <w:pPr>
      <w:keepNext w:val="0"/>
      <w:widowControl w:val="0"/>
      <w:tabs>
        <w:tab w:val="left" w:pos="567"/>
      </w:tabs>
      <w:spacing w:before="0" w:after="0" w:line="300" w:lineRule="atLeast"/>
      <w:jc w:val="center"/>
    </w:pPr>
    <w:rPr>
      <w:rFonts w:ascii="Arial Bold" w:eastAsia="Times New Roman" w:hAnsi="Arial Bold"/>
      <w:b/>
      <w:caps w:val="0"/>
      <w:lang w:val="en-GB" w:eastAsia="da-DK"/>
    </w:rPr>
  </w:style>
  <w:style w:type="paragraph" w:styleId="NormalWeb">
    <w:name w:val="Normal (Web)"/>
    <w:basedOn w:val="Normal"/>
    <w:rsid w:val="004E3DF9"/>
    <w:pPr>
      <w:spacing w:before="100" w:beforeAutospacing="1" w:after="100" w:afterAutospacing="1"/>
    </w:pPr>
    <w:rPr>
      <w:rFonts w:eastAsia="Times New Roman"/>
      <w:sz w:val="18"/>
      <w:szCs w:val="18"/>
      <w:lang w:val="en-US" w:eastAsia="en-US"/>
    </w:rPr>
  </w:style>
  <w:style w:type="paragraph" w:styleId="TOC1">
    <w:name w:val="toc 1"/>
    <w:basedOn w:val="Normal"/>
    <w:next w:val="Normal"/>
    <w:autoRedefine/>
    <w:uiPriority w:val="39"/>
    <w:rsid w:val="004E3DF9"/>
    <w:pPr>
      <w:tabs>
        <w:tab w:val="right" w:leader="dot" w:pos="9061"/>
      </w:tabs>
      <w:spacing w:before="120" w:line="480" w:lineRule="auto"/>
      <w:contextualSpacing/>
      <w:jc w:val="center"/>
    </w:pPr>
    <w:rPr>
      <w:rFonts w:eastAsia="Times New Roman" w:cs="Times New Roman"/>
      <w:b/>
      <w:noProof/>
      <w:lang w:val="en-US" w:eastAsia="en-US"/>
    </w:rPr>
  </w:style>
  <w:style w:type="paragraph" w:customStyle="1" w:styleId="NormalArial">
    <w:name w:val="Normal + Arial"/>
    <w:aliases w:val="10 pt"/>
    <w:basedOn w:val="ListParagraph"/>
    <w:rsid w:val="004E3DF9"/>
    <w:pPr>
      <w:spacing w:after="0" w:line="240" w:lineRule="auto"/>
      <w:ind w:left="-28"/>
      <w:contextualSpacing w:val="0"/>
    </w:pPr>
    <w:rPr>
      <w:rFonts w:ascii="Arial" w:eastAsia="MS Mincho" w:hAnsi="Arial" w:cs="Arial"/>
      <w:bCs/>
      <w:sz w:val="20"/>
      <w:szCs w:val="20"/>
      <w:lang w:eastAsia="ja-JP"/>
    </w:rPr>
  </w:style>
  <w:style w:type="paragraph" w:customStyle="1" w:styleId="Default">
    <w:name w:val="Default"/>
    <w:rsid w:val="004E3DF9"/>
    <w:pPr>
      <w:autoSpaceDE w:val="0"/>
      <w:autoSpaceDN w:val="0"/>
      <w:adjustRightInd w:val="0"/>
    </w:pPr>
    <w:rPr>
      <w:rFonts w:ascii="Arial" w:hAnsi="Arial" w:cs="Arial"/>
      <w:color w:val="000000"/>
      <w:sz w:val="24"/>
      <w:szCs w:val="24"/>
    </w:rPr>
  </w:style>
  <w:style w:type="paragraph" w:customStyle="1" w:styleId="Normal6">
    <w:name w:val="Normal+6"/>
    <w:basedOn w:val="Normal"/>
    <w:next w:val="Normal"/>
    <w:rsid w:val="004E3DF9"/>
    <w:pPr>
      <w:autoSpaceDE w:val="0"/>
      <w:autoSpaceDN w:val="0"/>
      <w:adjustRightInd w:val="0"/>
    </w:pPr>
    <w:rPr>
      <w:rFonts w:eastAsia="Times New Roman" w:cs="Times New Roman"/>
      <w:szCs w:val="24"/>
      <w:lang w:val="en-US" w:eastAsia="en-US"/>
    </w:rPr>
  </w:style>
  <w:style w:type="character" w:styleId="CommentReference">
    <w:name w:val="annotation reference"/>
    <w:rsid w:val="004E3DF9"/>
    <w:rPr>
      <w:sz w:val="16"/>
      <w:szCs w:val="16"/>
    </w:rPr>
  </w:style>
  <w:style w:type="character" w:customStyle="1" w:styleId="CommentTextChar">
    <w:name w:val="Comment Text Char"/>
    <w:semiHidden/>
    <w:locked/>
    <w:rsid w:val="004E3DF9"/>
    <w:rPr>
      <w:lang w:val="en-US" w:eastAsia="en-US" w:bidi="ar-SA"/>
    </w:rPr>
  </w:style>
  <w:style w:type="paragraph" w:customStyle="1" w:styleId="StyleStyleHeading3ComplexItalicLatin12pt">
    <w:name w:val="Style Style Heading 3 + (Complex) Italic + (Latin) 12 pt"/>
    <w:basedOn w:val="StyleHeading3ComplexItalic"/>
    <w:link w:val="StyleStyleHeading3ComplexItalicLatin12ptChar"/>
    <w:rsid w:val="004E3DF9"/>
  </w:style>
  <w:style w:type="character" w:customStyle="1" w:styleId="StyleStyleHeading3ComplexItalicLatin12ptChar">
    <w:name w:val="Style Style Heading 3 + (Complex) Italic + (Latin) 12 pt Char"/>
    <w:basedOn w:val="StyleHeading3ComplexItalicChar"/>
    <w:link w:val="StyleStyleHeading3ComplexItalicLatin12pt"/>
    <w:rsid w:val="004E3DF9"/>
    <w:rPr>
      <w:rFonts w:ascii="Arial Bold" w:hAnsi="Arial Bold" w:cs="Arial"/>
      <w:iCs/>
      <w:sz w:val="22"/>
      <w:szCs w:val="22"/>
    </w:rPr>
  </w:style>
  <w:style w:type="character" w:customStyle="1" w:styleId="paracolourtext1">
    <w:name w:val="paracolourtext1"/>
    <w:rsid w:val="004E3DF9"/>
    <w:rPr>
      <w:b w:val="0"/>
      <w:bCs w:val="0"/>
      <w:i w:val="0"/>
      <w:iCs w:val="0"/>
      <w:color w:val="800000"/>
      <w:sz w:val="20"/>
      <w:szCs w:val="20"/>
    </w:rPr>
  </w:style>
  <w:style w:type="paragraph" w:customStyle="1" w:styleId="Body">
    <w:name w:val="Body"/>
    <w:rsid w:val="004E3DF9"/>
    <w:rPr>
      <w:rFonts w:ascii="Helvetica" w:eastAsia="ヒラギノ角ゴ Pro W3" w:hAnsi="Helvetica" w:cs="Angsana New"/>
      <w:color w:val="000000"/>
      <w:sz w:val="24"/>
      <w:lang w:bidi="th-TH"/>
    </w:rPr>
  </w:style>
  <w:style w:type="paragraph" w:customStyle="1" w:styleId="tes1">
    <w:name w:val="tes1"/>
    <w:basedOn w:val="Normal"/>
    <w:rsid w:val="004E3DF9"/>
    <w:pPr>
      <w:suppressAutoHyphens/>
      <w:ind w:left="1134" w:right="2195"/>
      <w:jc w:val="both"/>
    </w:pPr>
    <w:rPr>
      <w:rFonts w:eastAsia="Times New Roman" w:cs="Times New Roman"/>
      <w:b/>
      <w:spacing w:val="4"/>
      <w:w w:val="103"/>
      <w:kern w:val="14"/>
      <w:sz w:val="20"/>
      <w:lang w:val="en-GB" w:eastAsia="en-US"/>
    </w:rPr>
  </w:style>
  <w:style w:type="paragraph" w:customStyle="1" w:styleId="Style10">
    <w:name w:val="Style10"/>
    <w:basedOn w:val="Normal"/>
    <w:autoRedefine/>
    <w:rsid w:val="004E3DF9"/>
    <w:pPr>
      <w:tabs>
        <w:tab w:val="left" w:pos="340"/>
        <w:tab w:val="left" w:pos="680"/>
        <w:tab w:val="left" w:pos="1021"/>
        <w:tab w:val="left" w:pos="1361"/>
      </w:tabs>
      <w:suppressAutoHyphens/>
      <w:jc w:val="both"/>
    </w:pPr>
    <w:rPr>
      <w:rFonts w:eastAsia="Times New Roman" w:cs="Times New Roman"/>
      <w:snapToGrid w:val="0"/>
      <w:sz w:val="20"/>
      <w:lang w:val="en-US" w:eastAsia="en-US"/>
    </w:rPr>
  </w:style>
  <w:style w:type="paragraph" w:customStyle="1" w:styleId="Style11">
    <w:name w:val="Style11"/>
    <w:basedOn w:val="FootnoteText"/>
    <w:autoRedefine/>
    <w:rsid w:val="004E3DF9"/>
    <w:pPr>
      <w:suppressAutoHyphens/>
      <w:ind w:firstLine="340"/>
      <w:jc w:val="both"/>
    </w:pPr>
    <w:rPr>
      <w:rFonts w:eastAsia="Times New Roman" w:cs="Times New Roman"/>
      <w:snapToGrid w:val="0"/>
      <w:sz w:val="16"/>
      <w:lang w:val="en-US" w:eastAsia="en-US"/>
    </w:rPr>
  </w:style>
  <w:style w:type="paragraph" w:styleId="Title">
    <w:name w:val="Title"/>
    <w:basedOn w:val="Normal"/>
    <w:link w:val="TitleChar"/>
    <w:qFormat/>
    <w:rsid w:val="004E3DF9"/>
    <w:pPr>
      <w:jc w:val="center"/>
    </w:pPr>
    <w:rPr>
      <w:rFonts w:eastAsia="Times New Roman" w:cs="Times New Roman"/>
      <w:b/>
      <w:lang w:val="en-US" w:eastAsia="en-US"/>
    </w:rPr>
  </w:style>
  <w:style w:type="character" w:customStyle="1" w:styleId="TitleChar">
    <w:name w:val="Title Char"/>
    <w:basedOn w:val="DefaultParagraphFont"/>
    <w:link w:val="Title"/>
    <w:rsid w:val="004E3DF9"/>
    <w:rPr>
      <w:rFonts w:ascii="Arial" w:hAnsi="Arial"/>
      <w:b/>
      <w:sz w:val="22"/>
    </w:rPr>
  </w:style>
  <w:style w:type="paragraph" w:styleId="Subtitle">
    <w:name w:val="Subtitle"/>
    <w:basedOn w:val="Normal"/>
    <w:link w:val="SubtitleChar"/>
    <w:qFormat/>
    <w:rsid w:val="004E3DF9"/>
    <w:pPr>
      <w:jc w:val="center"/>
    </w:pPr>
    <w:rPr>
      <w:rFonts w:eastAsia="Times New Roman" w:cs="Times New Roman"/>
      <w:b/>
      <w:caps/>
      <w:color w:val="0000FF"/>
      <w:sz w:val="28"/>
      <w:lang w:val="en-US" w:eastAsia="en-US"/>
    </w:rPr>
  </w:style>
  <w:style w:type="character" w:customStyle="1" w:styleId="SubtitleChar">
    <w:name w:val="Subtitle Char"/>
    <w:basedOn w:val="DefaultParagraphFont"/>
    <w:link w:val="Subtitle"/>
    <w:rsid w:val="004E3DF9"/>
    <w:rPr>
      <w:rFonts w:ascii="Arial" w:hAnsi="Arial"/>
      <w:b/>
      <w:caps/>
      <w:color w:val="0000FF"/>
      <w:sz w:val="28"/>
    </w:rPr>
  </w:style>
  <w:style w:type="paragraph" w:customStyle="1" w:styleId="Endofdocument">
    <w:name w:val="End of document"/>
    <w:basedOn w:val="Normal"/>
    <w:rsid w:val="004E3DF9"/>
    <w:pPr>
      <w:ind w:left="4536"/>
      <w:jc w:val="center"/>
    </w:pPr>
    <w:rPr>
      <w:rFonts w:eastAsia="Times New Roman" w:cs="Times New Roman"/>
      <w:lang w:val="en-US" w:eastAsia="en-US"/>
    </w:rPr>
  </w:style>
  <w:style w:type="paragraph" w:styleId="BodyTextIndent2">
    <w:name w:val="Body Text Indent 2"/>
    <w:basedOn w:val="Normal"/>
    <w:link w:val="BodyTextIndent2Char"/>
    <w:rsid w:val="004E3DF9"/>
    <w:pPr>
      <w:tabs>
        <w:tab w:val="left" w:pos="714"/>
      </w:tabs>
      <w:spacing w:after="100"/>
      <w:ind w:hanging="6"/>
      <w:jc w:val="both"/>
    </w:pPr>
    <w:rPr>
      <w:rFonts w:eastAsia="Times New Roman" w:cs="Times New Roman"/>
      <w:snapToGrid w:val="0"/>
      <w:color w:val="000000"/>
      <w:sz w:val="20"/>
      <w:lang w:val="en-US" w:eastAsia="en-US"/>
    </w:rPr>
  </w:style>
  <w:style w:type="character" w:customStyle="1" w:styleId="BodyTextIndent2Char">
    <w:name w:val="Body Text Indent 2 Char"/>
    <w:basedOn w:val="DefaultParagraphFont"/>
    <w:link w:val="BodyTextIndent2"/>
    <w:rsid w:val="004E3DF9"/>
    <w:rPr>
      <w:rFonts w:ascii="Arial" w:hAnsi="Arial"/>
      <w:snapToGrid w:val="0"/>
      <w:color w:val="000000"/>
    </w:rPr>
  </w:style>
  <w:style w:type="paragraph" w:customStyle="1" w:styleId="3029-Titrechapitre">
    <w:name w:val="3029-Titre chapitre"/>
    <w:basedOn w:val="Heading1"/>
    <w:rsid w:val="004E3DF9"/>
    <w:pPr>
      <w:spacing w:before="0" w:after="0"/>
    </w:pPr>
    <w:rPr>
      <w:rFonts w:ascii="Arial Black" w:eastAsia="Times" w:hAnsi="Arial Black" w:cs="Times New Roman"/>
      <w:b w:val="0"/>
      <w:bCs w:val="0"/>
      <w:caps w:val="0"/>
      <w:color w:val="000080"/>
      <w:kern w:val="0"/>
      <w:sz w:val="30"/>
      <w:szCs w:val="20"/>
      <w:lang w:val="fr-FR" w:eastAsia="en-US"/>
    </w:rPr>
  </w:style>
  <w:style w:type="character" w:customStyle="1" w:styleId="underline">
    <w:name w:val="underline"/>
    <w:rsid w:val="004E3DF9"/>
    <w:rPr>
      <w:u w:val="single"/>
    </w:rPr>
  </w:style>
  <w:style w:type="paragraph" w:customStyle="1" w:styleId="zanxhead">
    <w:name w:val="zanxhead"/>
    <w:basedOn w:val="Normal"/>
    <w:rsid w:val="004E3DF9"/>
    <w:pPr>
      <w:spacing w:before="200"/>
    </w:pPr>
    <w:rPr>
      <w:rFonts w:eastAsia="Times New Roman" w:cs="Times New Roman"/>
      <w:b/>
      <w:color w:val="0000FF"/>
      <w:lang w:val="en-US" w:eastAsia="en-US"/>
    </w:rPr>
  </w:style>
  <w:style w:type="paragraph" w:customStyle="1" w:styleId="zanxtext">
    <w:name w:val="zanxtext"/>
    <w:basedOn w:val="Normal"/>
    <w:rsid w:val="004E3DF9"/>
    <w:pPr>
      <w:spacing w:before="120"/>
    </w:pPr>
    <w:rPr>
      <w:rFonts w:eastAsia="Times New Roman" w:cs="Times New Roman"/>
      <w:lang w:val="en-US" w:eastAsia="en-US"/>
    </w:rPr>
  </w:style>
  <w:style w:type="paragraph" w:styleId="BodyText2">
    <w:name w:val="Body Text 2"/>
    <w:basedOn w:val="Normal"/>
    <w:link w:val="BodyText2Char"/>
    <w:rsid w:val="004E3DF9"/>
    <w:pPr>
      <w:keepNext/>
      <w:jc w:val="both"/>
    </w:pPr>
    <w:rPr>
      <w:rFonts w:eastAsia="Times New Roman" w:cs="Times New Roman"/>
      <w:sz w:val="20"/>
      <w:lang w:val="en-US" w:eastAsia="en-US"/>
    </w:rPr>
  </w:style>
  <w:style w:type="character" w:customStyle="1" w:styleId="BodyText2Char">
    <w:name w:val="Body Text 2 Char"/>
    <w:basedOn w:val="DefaultParagraphFont"/>
    <w:link w:val="BodyText2"/>
    <w:rsid w:val="004E3DF9"/>
    <w:rPr>
      <w:rFonts w:ascii="Arial" w:hAnsi="Arial"/>
    </w:rPr>
  </w:style>
  <w:style w:type="paragraph" w:styleId="BlockText">
    <w:name w:val="Block Text"/>
    <w:basedOn w:val="Normal"/>
    <w:rsid w:val="004E3DF9"/>
    <w:pPr>
      <w:tabs>
        <w:tab w:val="left" w:pos="2127"/>
      </w:tabs>
      <w:spacing w:after="40"/>
      <w:ind w:left="2127" w:right="896" w:hanging="2127"/>
    </w:pPr>
    <w:rPr>
      <w:rFonts w:eastAsia="Times New Roman" w:cs="Times New Roman"/>
      <w:lang w:val="en-US" w:eastAsia="en-US"/>
    </w:rPr>
  </w:style>
  <w:style w:type="character" w:styleId="Emphasis">
    <w:name w:val="Emphasis"/>
    <w:qFormat/>
    <w:rsid w:val="004E3DF9"/>
    <w:rPr>
      <w:i/>
      <w:iCs/>
    </w:rPr>
  </w:style>
  <w:style w:type="character" w:styleId="Strong">
    <w:name w:val="Strong"/>
    <w:qFormat/>
    <w:rsid w:val="004E3DF9"/>
    <w:rPr>
      <w:b/>
      <w:bCs/>
    </w:rPr>
  </w:style>
  <w:style w:type="paragraph" w:customStyle="1" w:styleId="preparedby">
    <w:name w:val="prepared by"/>
    <w:basedOn w:val="Normal"/>
    <w:next w:val="Normal"/>
    <w:rsid w:val="004E3DF9"/>
    <w:pPr>
      <w:spacing w:before="120" w:after="480" w:line="260" w:lineRule="atLeast"/>
      <w:ind w:left="1021"/>
      <w:contextualSpacing/>
    </w:pPr>
    <w:rPr>
      <w:rFonts w:eastAsia="Times New Roman" w:cs="Times New Roman"/>
      <w:i/>
      <w:sz w:val="20"/>
      <w:lang w:val="en-US" w:eastAsia="en-US"/>
    </w:rPr>
  </w:style>
  <w:style w:type="paragraph" w:customStyle="1" w:styleId="Documenttitle">
    <w:name w:val="Document title"/>
    <w:basedOn w:val="Normal"/>
    <w:next w:val="preparedby"/>
    <w:rsid w:val="004E3DF9"/>
    <w:pPr>
      <w:spacing w:before="840" w:line="336" w:lineRule="exact"/>
      <w:ind w:left="1021"/>
      <w:contextualSpacing/>
    </w:pPr>
    <w:rPr>
      <w:rFonts w:eastAsia="Times New Roman" w:cs="Times New Roman"/>
      <w:lang w:val="en-US" w:eastAsia="en-US"/>
    </w:rPr>
  </w:style>
  <w:style w:type="paragraph" w:customStyle="1" w:styleId="MeetinglanguageDate">
    <w:name w:val="Meeting language &amp; Date"/>
    <w:basedOn w:val="Normal"/>
    <w:next w:val="Meetingtitle"/>
    <w:rsid w:val="004E3DF9"/>
    <w:pPr>
      <w:spacing w:after="1680" w:line="160" w:lineRule="exact"/>
      <w:ind w:left="1021"/>
      <w:contextualSpacing/>
      <w:jc w:val="right"/>
    </w:pPr>
    <w:rPr>
      <w:rFonts w:ascii="Arial Black" w:eastAsia="Times New Roman" w:hAnsi="Arial Black" w:cs="Times New Roman"/>
      <w:b/>
      <w:caps/>
      <w:sz w:val="15"/>
      <w:lang w:val="en-US" w:eastAsia="en-US"/>
    </w:rPr>
  </w:style>
  <w:style w:type="paragraph" w:customStyle="1" w:styleId="Meetingtitle">
    <w:name w:val="Meeting title"/>
    <w:basedOn w:val="Normal"/>
    <w:next w:val="Sessiontitle"/>
    <w:rsid w:val="004E3DF9"/>
    <w:pPr>
      <w:spacing w:line="336" w:lineRule="exact"/>
      <w:ind w:left="1021"/>
    </w:pPr>
    <w:rPr>
      <w:rFonts w:eastAsia="Times New Roman" w:cs="Times New Roman"/>
      <w:b/>
      <w:sz w:val="28"/>
      <w:lang w:val="en-US" w:eastAsia="en-US"/>
    </w:rPr>
  </w:style>
  <w:style w:type="paragraph" w:customStyle="1" w:styleId="Sessiontitle">
    <w:name w:val="Session title"/>
    <w:basedOn w:val="Meetingtitle"/>
    <w:next w:val="Meetingplacedate"/>
    <w:rsid w:val="004E3DF9"/>
    <w:pPr>
      <w:spacing w:before="480"/>
      <w:contextualSpacing/>
    </w:pPr>
    <w:rPr>
      <w:sz w:val="24"/>
    </w:rPr>
  </w:style>
  <w:style w:type="paragraph" w:customStyle="1" w:styleId="Meetingplacedate">
    <w:name w:val="Meeting place &amp; date"/>
    <w:basedOn w:val="Sessiontitle"/>
    <w:next w:val="Documenttitle"/>
    <w:rsid w:val="004E3DF9"/>
    <w:pPr>
      <w:spacing w:before="0"/>
      <w:contextualSpacing w:val="0"/>
    </w:pPr>
  </w:style>
  <w:style w:type="paragraph" w:customStyle="1" w:styleId="Language">
    <w:name w:val="Language"/>
    <w:basedOn w:val="Normal"/>
    <w:next w:val="Normal"/>
    <w:rsid w:val="004E3DF9"/>
    <w:pPr>
      <w:spacing w:after="120" w:line="340" w:lineRule="atLeast"/>
      <w:ind w:left="1021"/>
      <w:contextualSpacing/>
      <w:jc w:val="right"/>
    </w:pPr>
    <w:rPr>
      <w:rFonts w:eastAsia="Times New Roman" w:cs="Times New Roman"/>
      <w:b/>
      <w:caps/>
      <w:sz w:val="40"/>
      <w:lang w:val="en-US" w:eastAsia="en-US"/>
    </w:rPr>
  </w:style>
  <w:style w:type="paragraph" w:customStyle="1" w:styleId="MeetingCode">
    <w:name w:val="Meeting Code"/>
    <w:basedOn w:val="MeetinglanguageDate"/>
    <w:rsid w:val="004E3DF9"/>
    <w:pPr>
      <w:spacing w:before="1800" w:after="0"/>
    </w:pPr>
  </w:style>
  <w:style w:type="paragraph" w:customStyle="1" w:styleId="CarCarCar">
    <w:name w:val="Car Car Car"/>
    <w:basedOn w:val="Normal"/>
    <w:rsid w:val="004E3DF9"/>
    <w:pPr>
      <w:spacing w:after="160" w:line="240" w:lineRule="exact"/>
    </w:pPr>
    <w:rPr>
      <w:rFonts w:ascii="Verdana" w:eastAsia="PMingLiU" w:hAnsi="Verdana" w:cs="Times New Roman"/>
      <w:sz w:val="20"/>
      <w:lang w:val="en-US" w:eastAsia="en-US"/>
    </w:rPr>
  </w:style>
  <w:style w:type="paragraph" w:customStyle="1" w:styleId="Paragraphedeliste1">
    <w:name w:val="Paragraphe de liste1"/>
    <w:autoRedefine/>
    <w:rsid w:val="004E3DF9"/>
    <w:pPr>
      <w:spacing w:after="200" w:line="276" w:lineRule="auto"/>
      <w:ind w:left="720"/>
    </w:pPr>
    <w:rPr>
      <w:rFonts w:ascii="Lucida Grande" w:eastAsia="ヒラギノ角ゴ Pro W3" w:hAnsi="Lucida Grande"/>
      <w:color w:val="000000"/>
      <w:sz w:val="22"/>
      <w:lang w:val="en-GB"/>
    </w:rPr>
  </w:style>
  <w:style w:type="character" w:styleId="FollowedHyperlink">
    <w:name w:val="FollowedHyperlink"/>
    <w:rsid w:val="004E3DF9"/>
    <w:rPr>
      <w:color w:val="606420"/>
      <w:u w:val="single"/>
    </w:rPr>
  </w:style>
  <w:style w:type="paragraph" w:customStyle="1" w:styleId="Body1">
    <w:name w:val="Body 1"/>
    <w:rsid w:val="004E3DF9"/>
    <w:rPr>
      <w:rFonts w:ascii="Helvetica" w:eastAsia="Arial Unicode MS" w:hAnsi="Helvetica"/>
      <w:color w:val="000000"/>
      <w:sz w:val="24"/>
    </w:rPr>
  </w:style>
  <w:style w:type="paragraph" w:styleId="PlainText">
    <w:name w:val="Plain Text"/>
    <w:basedOn w:val="Normal"/>
    <w:link w:val="PlainTextChar"/>
    <w:uiPriority w:val="99"/>
    <w:rsid w:val="004E3DF9"/>
    <w:rPr>
      <w:rFonts w:ascii="Courier New" w:eastAsia="MS Mincho" w:hAnsi="Courier New" w:cs="Times New Roman"/>
      <w:sz w:val="20"/>
      <w:lang w:val="en-US" w:bidi="th-TH"/>
    </w:rPr>
  </w:style>
  <w:style w:type="character" w:customStyle="1" w:styleId="PlainTextChar">
    <w:name w:val="Plain Text Char"/>
    <w:basedOn w:val="DefaultParagraphFont"/>
    <w:link w:val="PlainText"/>
    <w:uiPriority w:val="99"/>
    <w:rsid w:val="004E3DF9"/>
    <w:rPr>
      <w:rFonts w:ascii="Courier New" w:eastAsia="MS Mincho" w:hAnsi="Courier New"/>
      <w:lang w:eastAsia="zh-CN" w:bidi="th-TH"/>
    </w:rPr>
  </w:style>
  <w:style w:type="character" w:customStyle="1" w:styleId="Bona">
    <w:name w:val="Bona"/>
    <w:semiHidden/>
    <w:rsid w:val="004E3DF9"/>
    <w:rPr>
      <w:rFonts w:ascii="Arial" w:hAnsi="Arial" w:cs="Arial"/>
      <w:color w:val="000080"/>
      <w:sz w:val="20"/>
      <w:szCs w:val="20"/>
    </w:rPr>
  </w:style>
  <w:style w:type="paragraph" w:styleId="CommentSubject">
    <w:name w:val="annotation subject"/>
    <w:basedOn w:val="CommentText"/>
    <w:next w:val="CommentText"/>
    <w:link w:val="CommentSubjectChar"/>
    <w:rsid w:val="004E3DF9"/>
    <w:rPr>
      <w:rFonts w:eastAsia="Times New Roman" w:cs="Times New Roman"/>
      <w:b/>
      <w:bCs/>
      <w:sz w:val="20"/>
      <w:lang w:val="en-US" w:eastAsia="en-US"/>
    </w:rPr>
  </w:style>
  <w:style w:type="character" w:customStyle="1" w:styleId="CommentTextChar1">
    <w:name w:val="Comment Text Char1"/>
    <w:basedOn w:val="DefaultParagraphFont"/>
    <w:link w:val="CommentText"/>
    <w:semiHidden/>
    <w:rsid w:val="004E3DF9"/>
    <w:rPr>
      <w:rFonts w:ascii="Arial" w:eastAsia="SimSun" w:hAnsi="Arial" w:cs="Arial"/>
      <w:sz w:val="18"/>
      <w:lang w:val="es-ES" w:eastAsia="zh-CN"/>
    </w:rPr>
  </w:style>
  <w:style w:type="character" w:customStyle="1" w:styleId="CommentSubjectChar">
    <w:name w:val="Comment Subject Char"/>
    <w:basedOn w:val="CommentTextChar1"/>
    <w:link w:val="CommentSubject"/>
    <w:rsid w:val="004E3DF9"/>
    <w:rPr>
      <w:rFonts w:ascii="Arial" w:eastAsia="SimSun" w:hAnsi="Arial" w:cs="Arial"/>
      <w:b/>
      <w:bCs/>
      <w:sz w:val="18"/>
      <w:lang w:val="es-ES" w:eastAsia="zh-CN"/>
    </w:rPr>
  </w:style>
  <w:style w:type="character" w:customStyle="1" w:styleId="HeaderChar">
    <w:name w:val="Header Char"/>
    <w:link w:val="Header"/>
    <w:rsid w:val="004E3DF9"/>
    <w:rPr>
      <w:rFonts w:ascii="Arial" w:eastAsia="SimSun" w:hAnsi="Arial" w:cs="Arial"/>
      <w:sz w:val="22"/>
      <w:lang w:val="es-ES" w:eastAsia="zh-CN"/>
    </w:rPr>
  </w:style>
  <w:style w:type="character" w:customStyle="1" w:styleId="ONUMEChar">
    <w:name w:val="ONUM E Char"/>
    <w:link w:val="ONUME"/>
    <w:rsid w:val="004E3DF9"/>
    <w:rPr>
      <w:rFonts w:ascii="Arial" w:eastAsia="SimSun" w:hAnsi="Arial" w:cs="Arial"/>
      <w:sz w:val="22"/>
      <w:lang w:val="es-ES" w:eastAsia="zh-CN"/>
    </w:rPr>
  </w:style>
  <w:style w:type="paragraph" w:customStyle="1" w:styleId="StyleArial10ptBlackCentered">
    <w:name w:val="Style Arial 10 pt Black Centered"/>
    <w:basedOn w:val="Normal"/>
    <w:rsid w:val="004E3DF9"/>
    <w:pPr>
      <w:jc w:val="center"/>
    </w:pPr>
    <w:rPr>
      <w:rFonts w:eastAsia="Times New Roman" w:cs="Times New Roman"/>
      <w:color w:val="000000"/>
      <w:sz w:val="20"/>
      <w:lang w:val="en-US" w:eastAsia="en-US"/>
    </w:rPr>
  </w:style>
  <w:style w:type="paragraph" w:styleId="TOCHeading">
    <w:name w:val="TOC Heading"/>
    <w:basedOn w:val="Heading1"/>
    <w:next w:val="Normal"/>
    <w:uiPriority w:val="39"/>
    <w:semiHidden/>
    <w:unhideWhenUsed/>
    <w:qFormat/>
    <w:rsid w:val="004E3DF9"/>
    <w:pPr>
      <w:keepLines/>
      <w:spacing w:before="480" w:after="0" w:line="276" w:lineRule="auto"/>
      <w:outlineLvl w:val="9"/>
    </w:pPr>
    <w:rPr>
      <w:rFonts w:asciiTheme="majorHAnsi" w:eastAsiaTheme="majorEastAsia" w:hAnsiTheme="majorHAnsi" w:cstheme="majorBidi"/>
      <w:caps w:val="0"/>
      <w:color w:val="365F91" w:themeColor="accent1" w:themeShade="BF"/>
      <w:kern w:val="0"/>
      <w:sz w:val="28"/>
      <w:szCs w:val="28"/>
      <w:lang w:val="en-US" w:eastAsia="ja-JP"/>
    </w:rPr>
  </w:style>
  <w:style w:type="character" w:customStyle="1" w:styleId="StyleArial11pt">
    <w:name w:val="Style Arial 11 pt"/>
    <w:basedOn w:val="DefaultParagraphFont"/>
    <w:rsid w:val="004E3DF9"/>
    <w:rPr>
      <w:rFonts w:ascii="Arial" w:hAnsi="Arial"/>
      <w:i w:val="0"/>
      <w:iCs/>
      <w:sz w:val="22"/>
    </w:rPr>
  </w:style>
  <w:style w:type="character" w:customStyle="1" w:styleId="NORMALTEXT">
    <w:name w:val="NORMAL TEXT"/>
    <w:basedOn w:val="StyleArial11pt"/>
    <w:rsid w:val="004E3DF9"/>
    <w:rPr>
      <w:rFonts w:ascii="Arial" w:hAnsi="Arial"/>
      <w:i w:val="0"/>
      <w:iCs/>
      <w:sz w:val="22"/>
    </w:rPr>
  </w:style>
  <w:style w:type="paragraph" w:customStyle="1" w:styleId="Heading22">
    <w:name w:val="Heading 2 2"/>
    <w:basedOn w:val="Normal"/>
    <w:qFormat/>
    <w:rsid w:val="004E3DF9"/>
    <w:pPr>
      <w:jc w:val="center"/>
    </w:pPr>
    <w:rPr>
      <w:color w:val="FFFFFF" w:themeColor="background1"/>
      <w:sz w:val="18"/>
      <w:szCs w:val="18"/>
      <w:lang w:val="en-US"/>
    </w:rPr>
  </w:style>
  <w:style w:type="paragraph" w:customStyle="1" w:styleId="HEADING220">
    <w:name w:val="HEADING 2 2"/>
    <w:basedOn w:val="Normal"/>
    <w:rsid w:val="004E3DF9"/>
    <w:pPr>
      <w:jc w:val="center"/>
    </w:pPr>
    <w:rPr>
      <w:rFonts w:eastAsia="Times New Roman" w:cs="Times New Roman"/>
      <w:color w:val="FFFFFF"/>
      <w:sz w:val="20"/>
      <w:lang w:val="en-US" w:eastAsia="en-US"/>
    </w:rPr>
  </w:style>
  <w:style w:type="paragraph" w:customStyle="1" w:styleId="Style6">
    <w:name w:val="Style6"/>
    <w:basedOn w:val="Normal"/>
    <w:link w:val="Style6Char"/>
    <w:rsid w:val="004E3DF9"/>
    <w:pPr>
      <w:ind w:right="91"/>
      <w:outlineLvl w:val="1"/>
    </w:pPr>
    <w:rPr>
      <w:b/>
      <w:szCs w:val="22"/>
      <w:lang w:val="en-US"/>
    </w:rPr>
  </w:style>
  <w:style w:type="character" w:customStyle="1" w:styleId="Style6Char">
    <w:name w:val="Style6 Char"/>
    <w:link w:val="Style6"/>
    <w:rsid w:val="004E3DF9"/>
    <w:rPr>
      <w:rFonts w:ascii="Arial" w:eastAsia="SimSun" w:hAnsi="Arial" w:cs="Arial"/>
      <w:b/>
      <w:sz w:val="22"/>
      <w:szCs w:val="22"/>
      <w:lang w:eastAsia="zh-CN"/>
    </w:rPr>
  </w:style>
  <w:style w:type="character" w:customStyle="1" w:styleId="Heading1Char">
    <w:name w:val="Heading 1 Char"/>
    <w:basedOn w:val="DefaultParagraphFont"/>
    <w:link w:val="Heading1"/>
    <w:rsid w:val="002406E3"/>
    <w:rPr>
      <w:rFonts w:ascii="Arial" w:eastAsia="SimSun" w:hAnsi="Arial" w:cs="Arial"/>
      <w:b/>
      <w:bCs/>
      <w:caps/>
      <w:kern w:val="32"/>
      <w:sz w:val="22"/>
      <w:szCs w:val="32"/>
      <w:lang w:val="es-ES" w:eastAsia="zh-CN"/>
    </w:rPr>
  </w:style>
  <w:style w:type="character" w:customStyle="1" w:styleId="Heading4Char">
    <w:name w:val="Heading 4 Char"/>
    <w:basedOn w:val="DefaultParagraphFont"/>
    <w:link w:val="Heading4"/>
    <w:rsid w:val="002406E3"/>
    <w:rPr>
      <w:rFonts w:ascii="Arial" w:eastAsia="SimSun" w:hAnsi="Arial" w:cs="Arial"/>
      <w:bCs/>
      <w:i/>
      <w:sz w:val="22"/>
      <w:szCs w:val="28"/>
      <w:lang w:val="es-ES" w:eastAsia="zh-CN"/>
    </w:rPr>
  </w:style>
  <w:style w:type="character" w:customStyle="1" w:styleId="FootnoteTextChar">
    <w:name w:val="Footnote Text Char"/>
    <w:basedOn w:val="DefaultParagraphFont"/>
    <w:link w:val="FootnoteText"/>
    <w:semiHidden/>
    <w:rsid w:val="002406E3"/>
    <w:rPr>
      <w:rFonts w:ascii="Arial" w:eastAsia="SimSun" w:hAnsi="Arial" w:cs="Arial"/>
      <w:sz w:val="18"/>
      <w:lang w:val="es-ES" w:eastAsia="zh-CN"/>
    </w:rPr>
  </w:style>
  <w:style w:type="character" w:customStyle="1" w:styleId="FooterChar">
    <w:name w:val="Footer Char"/>
    <w:basedOn w:val="DefaultParagraphFont"/>
    <w:link w:val="Footer"/>
    <w:rsid w:val="002406E3"/>
    <w:rPr>
      <w:rFonts w:ascii="Arial" w:eastAsia="SimSun" w:hAnsi="Arial" w:cs="Arial"/>
      <w:sz w:val="22"/>
      <w:lang w:val="es-ES" w:eastAsia="zh-CN"/>
    </w:rPr>
  </w:style>
  <w:style w:type="character" w:customStyle="1" w:styleId="EndnoteTextChar">
    <w:name w:val="Endnote Text Char"/>
    <w:basedOn w:val="DefaultParagraphFont"/>
    <w:link w:val="EndnoteText"/>
    <w:semiHidden/>
    <w:rsid w:val="002406E3"/>
    <w:rPr>
      <w:rFonts w:ascii="Arial" w:eastAsia="SimSun" w:hAnsi="Arial" w:cs="Arial"/>
      <w:sz w:val="18"/>
      <w:lang w:val="es-ES" w:eastAsia="zh-CN"/>
    </w:rPr>
  </w:style>
  <w:style w:type="character" w:customStyle="1" w:styleId="SignatureChar">
    <w:name w:val="Signature Char"/>
    <w:basedOn w:val="DefaultParagraphFont"/>
    <w:link w:val="Signature"/>
    <w:semiHidden/>
    <w:rsid w:val="002406E3"/>
    <w:rPr>
      <w:rFonts w:ascii="Arial" w:eastAsia="SimSun" w:hAnsi="Arial" w:cs="Arial"/>
      <w:sz w:val="22"/>
      <w:lang w:val="es-ES" w:eastAsia="zh-CN"/>
    </w:rPr>
  </w:style>
  <w:style w:type="character" w:customStyle="1" w:styleId="BodyTextChar">
    <w:name w:val="Body Text Char"/>
    <w:basedOn w:val="DefaultParagraphFont"/>
    <w:link w:val="BodyText"/>
    <w:rsid w:val="002406E3"/>
    <w:rPr>
      <w:rFonts w:ascii="Arial" w:eastAsia="SimSun" w:hAnsi="Arial" w:cs="Arial"/>
      <w:sz w:val="22"/>
      <w:lang w:val="es-ES" w:eastAsia="zh-CN"/>
    </w:rPr>
  </w:style>
  <w:style w:type="character" w:customStyle="1" w:styleId="SalutationChar">
    <w:name w:val="Salutation Char"/>
    <w:basedOn w:val="DefaultParagraphFont"/>
    <w:link w:val="Salutation"/>
    <w:semiHidden/>
    <w:rsid w:val="002406E3"/>
    <w:rPr>
      <w:rFonts w:ascii="Arial" w:eastAsia="SimSun" w:hAnsi="Arial" w:cs="Arial"/>
      <w:sz w:val="22"/>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6987049">
      <w:bodyDiv w:val="1"/>
      <w:marLeft w:val="0"/>
      <w:marRight w:val="0"/>
      <w:marTop w:val="0"/>
      <w:marBottom w:val="0"/>
      <w:divBdr>
        <w:top w:val="none" w:sz="0" w:space="0" w:color="auto"/>
        <w:left w:val="none" w:sz="0" w:space="0" w:color="auto"/>
        <w:bottom w:val="none" w:sz="0" w:space="0" w:color="auto"/>
        <w:right w:val="none" w:sz="0" w:space="0" w:color="auto"/>
      </w:divBdr>
    </w:div>
    <w:div w:id="1457871654">
      <w:bodyDiv w:val="1"/>
      <w:marLeft w:val="0"/>
      <w:marRight w:val="0"/>
      <w:marTop w:val="0"/>
      <w:marBottom w:val="0"/>
      <w:divBdr>
        <w:top w:val="none" w:sz="0" w:space="0" w:color="auto"/>
        <w:left w:val="none" w:sz="0" w:space="0" w:color="auto"/>
        <w:bottom w:val="none" w:sz="0" w:space="0" w:color="auto"/>
        <w:right w:val="none" w:sz="0" w:space="0" w:color="auto"/>
      </w:divBdr>
    </w:div>
    <w:div w:id="1655724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8.xml"/><Relationship Id="rId117" Type="http://schemas.openxmlformats.org/officeDocument/2006/relationships/image" Target="media/image95.emf"/><Relationship Id="rId21" Type="http://schemas.openxmlformats.org/officeDocument/2006/relationships/image" Target="media/image5.emf"/><Relationship Id="rId42" Type="http://schemas.openxmlformats.org/officeDocument/2006/relationships/image" Target="media/image21.emf"/><Relationship Id="rId47" Type="http://schemas.openxmlformats.org/officeDocument/2006/relationships/image" Target="media/image25.emf"/><Relationship Id="rId63" Type="http://schemas.openxmlformats.org/officeDocument/2006/relationships/image" Target="media/image41.emf"/><Relationship Id="rId68" Type="http://schemas.openxmlformats.org/officeDocument/2006/relationships/image" Target="media/image46.emf"/><Relationship Id="rId84" Type="http://schemas.openxmlformats.org/officeDocument/2006/relationships/image" Target="media/image62.emf"/><Relationship Id="rId89" Type="http://schemas.openxmlformats.org/officeDocument/2006/relationships/image" Target="media/image67.emf"/><Relationship Id="rId112" Type="http://schemas.openxmlformats.org/officeDocument/2006/relationships/image" Target="media/image90.emf"/><Relationship Id="rId133" Type="http://schemas.openxmlformats.org/officeDocument/2006/relationships/image" Target="media/image111.emf"/><Relationship Id="rId138" Type="http://schemas.openxmlformats.org/officeDocument/2006/relationships/image" Target="media/image116.emf"/><Relationship Id="rId16" Type="http://schemas.openxmlformats.org/officeDocument/2006/relationships/footer" Target="footer3.xml"/><Relationship Id="rId107" Type="http://schemas.openxmlformats.org/officeDocument/2006/relationships/image" Target="media/image85.emf"/><Relationship Id="rId11" Type="http://schemas.openxmlformats.org/officeDocument/2006/relationships/footer" Target="footer1.xml"/><Relationship Id="rId32" Type="http://schemas.openxmlformats.org/officeDocument/2006/relationships/image" Target="media/image12.emf"/><Relationship Id="rId37" Type="http://schemas.openxmlformats.org/officeDocument/2006/relationships/image" Target="media/image17.emf"/><Relationship Id="rId53" Type="http://schemas.openxmlformats.org/officeDocument/2006/relationships/image" Target="media/image31.emf"/><Relationship Id="rId58" Type="http://schemas.openxmlformats.org/officeDocument/2006/relationships/image" Target="media/image36.emf"/><Relationship Id="rId74" Type="http://schemas.openxmlformats.org/officeDocument/2006/relationships/image" Target="media/image52.emf"/><Relationship Id="rId79" Type="http://schemas.openxmlformats.org/officeDocument/2006/relationships/image" Target="media/image57.emf"/><Relationship Id="rId102" Type="http://schemas.openxmlformats.org/officeDocument/2006/relationships/image" Target="media/image80.emf"/><Relationship Id="rId123" Type="http://schemas.openxmlformats.org/officeDocument/2006/relationships/image" Target="media/image101.emf"/><Relationship Id="rId128" Type="http://schemas.openxmlformats.org/officeDocument/2006/relationships/image" Target="media/image106.emf"/><Relationship Id="rId144" Type="http://schemas.openxmlformats.org/officeDocument/2006/relationships/image" Target="media/image122.emf"/><Relationship Id="rId149" Type="http://schemas.openxmlformats.org/officeDocument/2006/relationships/image" Target="media/image127.emf"/><Relationship Id="rId5" Type="http://schemas.openxmlformats.org/officeDocument/2006/relationships/settings" Target="settings.xml"/><Relationship Id="rId90" Type="http://schemas.openxmlformats.org/officeDocument/2006/relationships/image" Target="media/image68.emf"/><Relationship Id="rId95" Type="http://schemas.openxmlformats.org/officeDocument/2006/relationships/image" Target="media/image73.emf"/><Relationship Id="rId22" Type="http://schemas.openxmlformats.org/officeDocument/2006/relationships/image" Target="media/image6.emf"/><Relationship Id="rId27" Type="http://schemas.openxmlformats.org/officeDocument/2006/relationships/image" Target="media/image8.emf"/><Relationship Id="rId43" Type="http://schemas.openxmlformats.org/officeDocument/2006/relationships/header" Target="header11.xml"/><Relationship Id="rId48" Type="http://schemas.openxmlformats.org/officeDocument/2006/relationships/image" Target="media/image26.emf"/><Relationship Id="rId64" Type="http://schemas.openxmlformats.org/officeDocument/2006/relationships/image" Target="media/image42.emf"/><Relationship Id="rId69" Type="http://schemas.openxmlformats.org/officeDocument/2006/relationships/image" Target="media/image47.emf"/><Relationship Id="rId113" Type="http://schemas.openxmlformats.org/officeDocument/2006/relationships/image" Target="media/image91.emf"/><Relationship Id="rId118" Type="http://schemas.openxmlformats.org/officeDocument/2006/relationships/image" Target="media/image96.emf"/><Relationship Id="rId134" Type="http://schemas.openxmlformats.org/officeDocument/2006/relationships/image" Target="media/image112.emf"/><Relationship Id="rId139" Type="http://schemas.openxmlformats.org/officeDocument/2006/relationships/image" Target="media/image117.emf"/><Relationship Id="rId80" Type="http://schemas.openxmlformats.org/officeDocument/2006/relationships/image" Target="media/image58.emf"/><Relationship Id="rId85" Type="http://schemas.openxmlformats.org/officeDocument/2006/relationships/image" Target="media/image63.emf"/><Relationship Id="rId150" Type="http://schemas.openxmlformats.org/officeDocument/2006/relationships/footer" Target="footer4.xml"/><Relationship Id="rId12" Type="http://schemas.openxmlformats.org/officeDocument/2006/relationships/image" Target="media/image2.emf"/><Relationship Id="rId17" Type="http://schemas.openxmlformats.org/officeDocument/2006/relationships/image" Target="media/image3.emf"/><Relationship Id="rId25" Type="http://schemas.openxmlformats.org/officeDocument/2006/relationships/image" Target="media/image7.emf"/><Relationship Id="rId33" Type="http://schemas.openxmlformats.org/officeDocument/2006/relationships/image" Target="media/image13.emf"/><Relationship Id="rId38" Type="http://schemas.openxmlformats.org/officeDocument/2006/relationships/image" Target="media/image18.emf"/><Relationship Id="rId46" Type="http://schemas.openxmlformats.org/officeDocument/2006/relationships/image" Target="media/image24.emf"/><Relationship Id="rId59" Type="http://schemas.openxmlformats.org/officeDocument/2006/relationships/image" Target="media/image37.emf"/><Relationship Id="rId67" Type="http://schemas.openxmlformats.org/officeDocument/2006/relationships/image" Target="media/image45.emf"/><Relationship Id="rId103" Type="http://schemas.openxmlformats.org/officeDocument/2006/relationships/image" Target="media/image81.emf"/><Relationship Id="rId108" Type="http://schemas.openxmlformats.org/officeDocument/2006/relationships/image" Target="media/image86.emf"/><Relationship Id="rId116" Type="http://schemas.openxmlformats.org/officeDocument/2006/relationships/image" Target="media/image94.emf"/><Relationship Id="rId124" Type="http://schemas.openxmlformats.org/officeDocument/2006/relationships/image" Target="media/image102.emf"/><Relationship Id="rId129" Type="http://schemas.openxmlformats.org/officeDocument/2006/relationships/image" Target="media/image107.emf"/><Relationship Id="rId137" Type="http://schemas.openxmlformats.org/officeDocument/2006/relationships/image" Target="media/image115.emf"/><Relationship Id="rId20" Type="http://schemas.openxmlformats.org/officeDocument/2006/relationships/image" Target="media/image4.emf"/><Relationship Id="rId41" Type="http://schemas.openxmlformats.org/officeDocument/2006/relationships/header" Target="header10.xml"/><Relationship Id="rId54" Type="http://schemas.openxmlformats.org/officeDocument/2006/relationships/image" Target="media/image32.emf"/><Relationship Id="rId62" Type="http://schemas.openxmlformats.org/officeDocument/2006/relationships/image" Target="media/image40.emf"/><Relationship Id="rId70" Type="http://schemas.openxmlformats.org/officeDocument/2006/relationships/image" Target="media/image48.emf"/><Relationship Id="rId75" Type="http://schemas.openxmlformats.org/officeDocument/2006/relationships/image" Target="media/image53.emf"/><Relationship Id="rId83" Type="http://schemas.openxmlformats.org/officeDocument/2006/relationships/image" Target="media/image61.emf"/><Relationship Id="rId88" Type="http://schemas.openxmlformats.org/officeDocument/2006/relationships/image" Target="media/image66.emf"/><Relationship Id="rId91" Type="http://schemas.openxmlformats.org/officeDocument/2006/relationships/image" Target="media/image69.emf"/><Relationship Id="rId96" Type="http://schemas.openxmlformats.org/officeDocument/2006/relationships/image" Target="media/image74.emf"/><Relationship Id="rId111" Type="http://schemas.openxmlformats.org/officeDocument/2006/relationships/image" Target="media/image89.emf"/><Relationship Id="rId132" Type="http://schemas.openxmlformats.org/officeDocument/2006/relationships/image" Target="media/image110.emf"/><Relationship Id="rId140" Type="http://schemas.openxmlformats.org/officeDocument/2006/relationships/image" Target="media/image118.emf"/><Relationship Id="rId145" Type="http://schemas.openxmlformats.org/officeDocument/2006/relationships/image" Target="media/image123.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6.xml"/><Relationship Id="rId28" Type="http://schemas.openxmlformats.org/officeDocument/2006/relationships/image" Target="media/image9.emf"/><Relationship Id="rId36" Type="http://schemas.openxmlformats.org/officeDocument/2006/relationships/image" Target="media/image16.emf"/><Relationship Id="rId49" Type="http://schemas.openxmlformats.org/officeDocument/2006/relationships/image" Target="media/image27.emf"/><Relationship Id="rId57" Type="http://schemas.openxmlformats.org/officeDocument/2006/relationships/image" Target="media/image35.emf"/><Relationship Id="rId106" Type="http://schemas.openxmlformats.org/officeDocument/2006/relationships/image" Target="media/image84.emf"/><Relationship Id="rId114" Type="http://schemas.openxmlformats.org/officeDocument/2006/relationships/image" Target="media/image92.emf"/><Relationship Id="rId119" Type="http://schemas.openxmlformats.org/officeDocument/2006/relationships/image" Target="media/image97.emf"/><Relationship Id="rId127" Type="http://schemas.openxmlformats.org/officeDocument/2006/relationships/image" Target="media/image105.emf"/><Relationship Id="rId10" Type="http://schemas.openxmlformats.org/officeDocument/2006/relationships/header" Target="header1.xml"/><Relationship Id="rId31" Type="http://schemas.openxmlformats.org/officeDocument/2006/relationships/image" Target="media/image11.emf"/><Relationship Id="rId44" Type="http://schemas.openxmlformats.org/officeDocument/2006/relationships/image" Target="media/image22.emf"/><Relationship Id="rId52" Type="http://schemas.openxmlformats.org/officeDocument/2006/relationships/image" Target="media/image30.emf"/><Relationship Id="rId60" Type="http://schemas.openxmlformats.org/officeDocument/2006/relationships/image" Target="media/image38.emf"/><Relationship Id="rId65" Type="http://schemas.openxmlformats.org/officeDocument/2006/relationships/image" Target="media/image43.emf"/><Relationship Id="rId73" Type="http://schemas.openxmlformats.org/officeDocument/2006/relationships/image" Target="media/image51.emf"/><Relationship Id="rId78" Type="http://schemas.openxmlformats.org/officeDocument/2006/relationships/image" Target="media/image56.emf"/><Relationship Id="rId81" Type="http://schemas.openxmlformats.org/officeDocument/2006/relationships/image" Target="media/image59.emf"/><Relationship Id="rId86" Type="http://schemas.openxmlformats.org/officeDocument/2006/relationships/image" Target="media/image64.emf"/><Relationship Id="rId94" Type="http://schemas.openxmlformats.org/officeDocument/2006/relationships/image" Target="media/image72.emf"/><Relationship Id="rId99" Type="http://schemas.openxmlformats.org/officeDocument/2006/relationships/image" Target="media/image77.emf"/><Relationship Id="rId101" Type="http://schemas.openxmlformats.org/officeDocument/2006/relationships/image" Target="media/image79.emf"/><Relationship Id="rId122" Type="http://schemas.openxmlformats.org/officeDocument/2006/relationships/image" Target="media/image100.emf"/><Relationship Id="rId130" Type="http://schemas.openxmlformats.org/officeDocument/2006/relationships/image" Target="media/image108.emf"/><Relationship Id="rId135" Type="http://schemas.openxmlformats.org/officeDocument/2006/relationships/image" Target="media/image113.emf"/><Relationship Id="rId143" Type="http://schemas.openxmlformats.org/officeDocument/2006/relationships/image" Target="media/image121.emf"/><Relationship Id="rId148" Type="http://schemas.openxmlformats.org/officeDocument/2006/relationships/image" Target="media/image126.emf"/><Relationship Id="rId15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header" Target="header4.xml"/><Relationship Id="rId39" Type="http://schemas.openxmlformats.org/officeDocument/2006/relationships/image" Target="media/image19.emf"/><Relationship Id="rId109" Type="http://schemas.openxmlformats.org/officeDocument/2006/relationships/image" Target="media/image87.emf"/><Relationship Id="rId34" Type="http://schemas.openxmlformats.org/officeDocument/2006/relationships/image" Target="media/image14.emf"/><Relationship Id="rId50" Type="http://schemas.openxmlformats.org/officeDocument/2006/relationships/image" Target="media/image28.emf"/><Relationship Id="rId55" Type="http://schemas.openxmlformats.org/officeDocument/2006/relationships/image" Target="media/image33.emf"/><Relationship Id="rId76" Type="http://schemas.openxmlformats.org/officeDocument/2006/relationships/image" Target="media/image54.emf"/><Relationship Id="rId97" Type="http://schemas.openxmlformats.org/officeDocument/2006/relationships/image" Target="media/image75.emf"/><Relationship Id="rId104" Type="http://schemas.openxmlformats.org/officeDocument/2006/relationships/image" Target="media/image82.emf"/><Relationship Id="rId120" Type="http://schemas.openxmlformats.org/officeDocument/2006/relationships/image" Target="media/image98.emf"/><Relationship Id="rId125" Type="http://schemas.openxmlformats.org/officeDocument/2006/relationships/image" Target="media/image103.emf"/><Relationship Id="rId141" Type="http://schemas.openxmlformats.org/officeDocument/2006/relationships/image" Target="media/image119.emf"/><Relationship Id="rId146" Type="http://schemas.openxmlformats.org/officeDocument/2006/relationships/image" Target="media/image124.emf"/><Relationship Id="rId7" Type="http://schemas.openxmlformats.org/officeDocument/2006/relationships/footnotes" Target="footnotes.xml"/><Relationship Id="rId71" Type="http://schemas.openxmlformats.org/officeDocument/2006/relationships/image" Target="media/image49.emf"/><Relationship Id="rId92" Type="http://schemas.openxmlformats.org/officeDocument/2006/relationships/image" Target="media/image70.emf"/><Relationship Id="rId2" Type="http://schemas.openxmlformats.org/officeDocument/2006/relationships/numbering" Target="numbering.xml"/><Relationship Id="rId29" Type="http://schemas.openxmlformats.org/officeDocument/2006/relationships/header" Target="header9.xml"/><Relationship Id="rId24" Type="http://schemas.openxmlformats.org/officeDocument/2006/relationships/header" Target="header7.xml"/><Relationship Id="rId40" Type="http://schemas.openxmlformats.org/officeDocument/2006/relationships/image" Target="media/image20.emf"/><Relationship Id="rId45" Type="http://schemas.openxmlformats.org/officeDocument/2006/relationships/image" Target="media/image23.emf"/><Relationship Id="rId66" Type="http://schemas.openxmlformats.org/officeDocument/2006/relationships/image" Target="media/image44.emf"/><Relationship Id="rId87" Type="http://schemas.openxmlformats.org/officeDocument/2006/relationships/image" Target="media/image65.emf"/><Relationship Id="rId110" Type="http://schemas.openxmlformats.org/officeDocument/2006/relationships/image" Target="media/image88.emf"/><Relationship Id="rId115" Type="http://schemas.openxmlformats.org/officeDocument/2006/relationships/image" Target="media/image93.emf"/><Relationship Id="rId131" Type="http://schemas.openxmlformats.org/officeDocument/2006/relationships/image" Target="media/image109.emf"/><Relationship Id="rId136" Type="http://schemas.openxmlformats.org/officeDocument/2006/relationships/image" Target="media/image114.emf"/><Relationship Id="rId61" Type="http://schemas.openxmlformats.org/officeDocument/2006/relationships/image" Target="media/image39.emf"/><Relationship Id="rId82" Type="http://schemas.openxmlformats.org/officeDocument/2006/relationships/image" Target="media/image60.emf"/><Relationship Id="rId152" Type="http://schemas.openxmlformats.org/officeDocument/2006/relationships/theme" Target="theme/theme1.xml"/><Relationship Id="rId19" Type="http://schemas.openxmlformats.org/officeDocument/2006/relationships/header" Target="header5.xml"/><Relationship Id="rId14" Type="http://schemas.openxmlformats.org/officeDocument/2006/relationships/header" Target="header3.xml"/><Relationship Id="rId30" Type="http://schemas.openxmlformats.org/officeDocument/2006/relationships/image" Target="media/image10.emf"/><Relationship Id="rId35" Type="http://schemas.openxmlformats.org/officeDocument/2006/relationships/image" Target="media/image15.emf"/><Relationship Id="rId56" Type="http://schemas.openxmlformats.org/officeDocument/2006/relationships/image" Target="media/image34.emf"/><Relationship Id="rId77" Type="http://schemas.openxmlformats.org/officeDocument/2006/relationships/image" Target="media/image55.emf"/><Relationship Id="rId100" Type="http://schemas.openxmlformats.org/officeDocument/2006/relationships/image" Target="media/image78.emf"/><Relationship Id="rId105" Type="http://schemas.openxmlformats.org/officeDocument/2006/relationships/image" Target="media/image83.emf"/><Relationship Id="rId126" Type="http://schemas.openxmlformats.org/officeDocument/2006/relationships/image" Target="media/image104.emf"/><Relationship Id="rId147" Type="http://schemas.openxmlformats.org/officeDocument/2006/relationships/image" Target="media/image125.emf"/><Relationship Id="rId8" Type="http://schemas.openxmlformats.org/officeDocument/2006/relationships/endnotes" Target="endnotes.xml"/><Relationship Id="rId51" Type="http://schemas.openxmlformats.org/officeDocument/2006/relationships/image" Target="media/image29.emf"/><Relationship Id="rId72" Type="http://schemas.openxmlformats.org/officeDocument/2006/relationships/image" Target="media/image50.emf"/><Relationship Id="rId93" Type="http://schemas.openxmlformats.org/officeDocument/2006/relationships/image" Target="media/image71.emf"/><Relationship Id="rId98" Type="http://schemas.openxmlformats.org/officeDocument/2006/relationships/image" Target="media/image76.emf"/><Relationship Id="rId121" Type="http://schemas.openxmlformats.org/officeDocument/2006/relationships/image" Target="media/image99.emf"/><Relationship Id="rId142" Type="http://schemas.openxmlformats.org/officeDocument/2006/relationships/image" Target="media/image120.emf"/><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54%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FE8B26-3DA6-4285-B834-2FD8FB65B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 54 (S)</Template>
  <TotalTime>0</TotalTime>
  <Pages>102</Pages>
  <Words>15301</Words>
  <Characters>87221</Characters>
  <Application>Microsoft Office Word</Application>
  <DocSecurity>4</DocSecurity>
  <Lines>726</Lines>
  <Paragraphs>204</Paragraphs>
  <ScaleCrop>false</ScaleCrop>
  <HeadingPairs>
    <vt:vector size="2" baseType="variant">
      <vt:variant>
        <vt:lpstr>Title</vt:lpstr>
      </vt:variant>
      <vt:variant>
        <vt:i4>1</vt:i4>
      </vt:variant>
    </vt:vector>
  </HeadingPairs>
  <TitlesOfParts>
    <vt:vector size="1" baseType="lpstr">
      <vt:lpstr>Informe de gestión financiera del bienio 2012/13</vt:lpstr>
    </vt:vector>
  </TitlesOfParts>
  <Company>WIPO</Company>
  <LinksUpToDate>false</LinksUpToDate>
  <CharactersWithSpaces>102318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gestión financiera del bienio 2012/13</dc:title>
  <dc:subject>A/54/8</dc:subject>
  <dc:creator>BOU LLORET Amparo</dc:creator>
  <dc:description>JC/KP/CPV (cuadros)
29/07/2014</dc:description>
  <cp:lastModifiedBy>DOYON Geneviève</cp:lastModifiedBy>
  <cp:revision>2</cp:revision>
  <cp:lastPrinted>2014-08-12T14:32:00Z</cp:lastPrinted>
  <dcterms:created xsi:type="dcterms:W3CDTF">2014-08-13T07:02:00Z</dcterms:created>
  <dcterms:modified xsi:type="dcterms:W3CDTF">2014-08-13T07:02:00Z</dcterms:modified>
</cp:coreProperties>
</file>