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B34E6B" w:rsidTr="00361450">
        <w:tc>
          <w:tcPr>
            <w:tcW w:w="4513" w:type="dxa"/>
            <w:tcBorders>
              <w:bottom w:val="single" w:sz="4" w:space="0" w:color="auto"/>
            </w:tcBorders>
            <w:tcMar>
              <w:bottom w:w="170" w:type="dxa"/>
            </w:tcMar>
          </w:tcPr>
          <w:p w:rsidR="00EC4E49" w:rsidRPr="00B34E6B"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B34E6B" w:rsidRDefault="00440FC7" w:rsidP="00916EE2">
            <w:pPr>
              <w:rPr>
                <w:lang w:val="es-ES_tradnl"/>
              </w:rPr>
            </w:pPr>
            <w:r w:rsidRPr="00B34E6B">
              <w:rPr>
                <w:noProof/>
                <w:lang w:eastAsia="en-US"/>
              </w:rPr>
              <w:drawing>
                <wp:inline distT="0" distB="0" distL="0" distR="0" wp14:anchorId="76878970" wp14:editId="48B07982">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34E6B" w:rsidRDefault="00440FC7" w:rsidP="00440FC7">
            <w:pPr>
              <w:jc w:val="right"/>
              <w:rPr>
                <w:lang w:val="es-ES_tradnl"/>
              </w:rPr>
            </w:pPr>
            <w:r w:rsidRPr="00B34E6B">
              <w:rPr>
                <w:b/>
                <w:sz w:val="40"/>
                <w:szCs w:val="40"/>
                <w:lang w:val="es-ES_tradnl"/>
              </w:rPr>
              <w:t>S</w:t>
            </w:r>
          </w:p>
        </w:tc>
      </w:tr>
      <w:tr w:rsidR="008B2CC1" w:rsidRPr="00B34E6B"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B34E6B" w:rsidRDefault="00A40716" w:rsidP="00916EE2">
            <w:pPr>
              <w:jc w:val="right"/>
              <w:rPr>
                <w:rFonts w:ascii="Arial Black" w:hAnsi="Arial Black"/>
                <w:caps/>
                <w:sz w:val="15"/>
                <w:lang w:val="es-ES_tradnl"/>
              </w:rPr>
            </w:pPr>
            <w:r w:rsidRPr="00B34E6B">
              <w:rPr>
                <w:rFonts w:ascii="Arial Black" w:hAnsi="Arial Black"/>
                <w:caps/>
                <w:sz w:val="15"/>
                <w:lang w:val="es-ES_tradnl"/>
              </w:rPr>
              <w:t>WO/PBC/22/</w:t>
            </w:r>
            <w:bookmarkStart w:id="1" w:name="Code"/>
            <w:bookmarkEnd w:id="1"/>
            <w:r w:rsidR="00CB33B1" w:rsidRPr="00B34E6B">
              <w:rPr>
                <w:rFonts w:ascii="Arial Black" w:hAnsi="Arial Black"/>
                <w:caps/>
                <w:sz w:val="15"/>
                <w:lang w:val="es-ES_tradnl"/>
              </w:rPr>
              <w:t>23</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p>
        </w:tc>
      </w:tr>
      <w:tr w:rsidR="008B2CC1" w:rsidRPr="00B34E6B" w:rsidTr="00916EE2">
        <w:trPr>
          <w:trHeight w:hRule="exact" w:val="170"/>
        </w:trPr>
        <w:tc>
          <w:tcPr>
            <w:tcW w:w="9356" w:type="dxa"/>
            <w:gridSpan w:val="3"/>
            <w:noWrap/>
            <w:tcMar>
              <w:left w:w="0" w:type="dxa"/>
              <w:right w:w="0" w:type="dxa"/>
            </w:tcMar>
            <w:vAlign w:val="bottom"/>
          </w:tcPr>
          <w:p w:rsidR="008B2CC1" w:rsidRPr="00B34E6B" w:rsidRDefault="008B2CC1" w:rsidP="00440FC7">
            <w:pPr>
              <w:jc w:val="right"/>
              <w:rPr>
                <w:rFonts w:ascii="Arial Black" w:hAnsi="Arial Black"/>
                <w:caps/>
                <w:sz w:val="15"/>
                <w:lang w:val="es-ES_tradnl"/>
              </w:rPr>
            </w:pPr>
            <w:r w:rsidRPr="00B34E6B">
              <w:rPr>
                <w:rFonts w:ascii="Arial Black" w:hAnsi="Arial Black"/>
                <w:caps/>
                <w:sz w:val="15"/>
                <w:lang w:val="es-ES_tradnl"/>
              </w:rPr>
              <w:t>ORIGINAL:</w:t>
            </w:r>
            <w:r w:rsidR="00A42DAF" w:rsidRPr="00B34E6B">
              <w:rPr>
                <w:rFonts w:ascii="Arial Black" w:hAnsi="Arial Black"/>
                <w:caps/>
                <w:sz w:val="15"/>
                <w:lang w:val="es-ES_tradnl"/>
              </w:rPr>
              <w:t xml:space="preserve"> </w:t>
            </w:r>
            <w:r w:rsidRPr="00B34E6B">
              <w:rPr>
                <w:rFonts w:ascii="Arial Black" w:hAnsi="Arial Black"/>
                <w:caps/>
                <w:sz w:val="15"/>
                <w:lang w:val="es-ES_tradnl"/>
              </w:rPr>
              <w:t xml:space="preserve"> </w:t>
            </w:r>
            <w:bookmarkStart w:id="2" w:name="Original"/>
            <w:bookmarkEnd w:id="2"/>
            <w:r w:rsidR="00440FC7" w:rsidRPr="00B34E6B">
              <w:rPr>
                <w:rFonts w:ascii="Arial Black" w:hAnsi="Arial Black"/>
                <w:caps/>
                <w:sz w:val="15"/>
                <w:lang w:val="es-ES_tradnl"/>
              </w:rPr>
              <w:t>Inglés</w:t>
            </w:r>
          </w:p>
        </w:tc>
      </w:tr>
      <w:tr w:rsidR="008B2CC1" w:rsidRPr="00B34E6B" w:rsidTr="00916EE2">
        <w:trPr>
          <w:trHeight w:hRule="exact" w:val="198"/>
        </w:trPr>
        <w:tc>
          <w:tcPr>
            <w:tcW w:w="9356" w:type="dxa"/>
            <w:gridSpan w:val="3"/>
            <w:tcMar>
              <w:left w:w="0" w:type="dxa"/>
              <w:right w:w="0" w:type="dxa"/>
            </w:tcMar>
            <w:vAlign w:val="bottom"/>
          </w:tcPr>
          <w:p w:rsidR="008B2CC1" w:rsidRPr="00B34E6B" w:rsidRDefault="00440FC7" w:rsidP="00440FC7">
            <w:pPr>
              <w:jc w:val="right"/>
              <w:rPr>
                <w:rFonts w:ascii="Arial Black" w:hAnsi="Arial Black"/>
                <w:caps/>
                <w:sz w:val="15"/>
                <w:lang w:val="es-ES_tradnl"/>
              </w:rPr>
            </w:pPr>
            <w:r w:rsidRPr="00B34E6B">
              <w:rPr>
                <w:rFonts w:ascii="Arial Black" w:hAnsi="Arial Black"/>
                <w:caps/>
                <w:sz w:val="15"/>
                <w:lang w:val="es-ES_tradnl"/>
              </w:rPr>
              <w:t>Fech</w:t>
            </w:r>
            <w:r w:rsidR="008B2CC1" w:rsidRPr="00B34E6B">
              <w:rPr>
                <w:rFonts w:ascii="Arial Black" w:hAnsi="Arial Black"/>
                <w:caps/>
                <w:sz w:val="15"/>
                <w:lang w:val="es-ES_tradnl"/>
              </w:rPr>
              <w:t>A:</w:t>
            </w:r>
            <w:r w:rsidR="00A42DAF" w:rsidRPr="00B34E6B">
              <w:rPr>
                <w:rFonts w:ascii="Arial Black" w:hAnsi="Arial Black"/>
                <w:caps/>
                <w:sz w:val="15"/>
                <w:lang w:val="es-ES_tradnl"/>
              </w:rPr>
              <w:t xml:space="preserve"> </w:t>
            </w:r>
            <w:r w:rsidR="008B2CC1" w:rsidRPr="00B34E6B">
              <w:rPr>
                <w:rFonts w:ascii="Arial Black" w:hAnsi="Arial Black"/>
                <w:caps/>
                <w:sz w:val="15"/>
                <w:lang w:val="es-ES_tradnl"/>
              </w:rPr>
              <w:t xml:space="preserve"> </w:t>
            </w:r>
            <w:bookmarkStart w:id="3" w:name="Date"/>
            <w:bookmarkEnd w:id="3"/>
            <w:r w:rsidRPr="00B34E6B">
              <w:rPr>
                <w:rFonts w:ascii="Arial Black" w:hAnsi="Arial Black"/>
                <w:caps/>
                <w:sz w:val="15"/>
                <w:lang w:val="es-ES_tradnl"/>
              </w:rPr>
              <w:t xml:space="preserve">14 de julio de </w:t>
            </w:r>
            <w:r w:rsidR="00CB33B1" w:rsidRPr="00B34E6B">
              <w:rPr>
                <w:rFonts w:ascii="Arial Black" w:hAnsi="Arial Black"/>
                <w:caps/>
                <w:sz w:val="15"/>
                <w:lang w:val="es-ES_tradnl"/>
              </w:rPr>
              <w:t>2014</w:t>
            </w:r>
          </w:p>
        </w:tc>
      </w:tr>
    </w:tbl>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A40716" w:rsidRPr="00B34E6B" w:rsidRDefault="00440FC7" w:rsidP="00A40716">
      <w:pPr>
        <w:rPr>
          <w:b/>
          <w:sz w:val="28"/>
          <w:szCs w:val="28"/>
          <w:lang w:val="es-ES_tradnl"/>
        </w:rPr>
      </w:pPr>
      <w:r w:rsidRPr="00B34E6B">
        <w:rPr>
          <w:b/>
          <w:sz w:val="28"/>
          <w:szCs w:val="28"/>
          <w:lang w:val="es-ES_tradnl"/>
        </w:rPr>
        <w:t>Comité del Pro</w:t>
      </w:r>
      <w:r w:rsidR="00A40716" w:rsidRPr="00B34E6B">
        <w:rPr>
          <w:b/>
          <w:sz w:val="28"/>
          <w:szCs w:val="28"/>
          <w:lang w:val="es-ES_tradnl"/>
        </w:rPr>
        <w:t>gram</w:t>
      </w:r>
      <w:r w:rsidRPr="00B34E6B">
        <w:rPr>
          <w:b/>
          <w:sz w:val="28"/>
          <w:szCs w:val="28"/>
          <w:lang w:val="es-ES_tradnl"/>
        </w:rPr>
        <w:t>a y Presupuesto</w:t>
      </w:r>
    </w:p>
    <w:p w:rsidR="003845C1" w:rsidRPr="00B34E6B" w:rsidRDefault="003845C1" w:rsidP="003845C1">
      <w:pPr>
        <w:rPr>
          <w:lang w:val="es-ES_tradnl"/>
        </w:rPr>
      </w:pPr>
    </w:p>
    <w:p w:rsidR="003845C1" w:rsidRPr="00B34E6B" w:rsidRDefault="003845C1" w:rsidP="003845C1">
      <w:pPr>
        <w:rPr>
          <w:lang w:val="es-ES_tradnl"/>
        </w:rPr>
      </w:pPr>
    </w:p>
    <w:p w:rsidR="00A40716" w:rsidRPr="00B34E6B" w:rsidRDefault="00440FC7" w:rsidP="00A40716">
      <w:pPr>
        <w:rPr>
          <w:b/>
          <w:sz w:val="24"/>
          <w:szCs w:val="24"/>
          <w:lang w:val="es-ES_tradnl"/>
        </w:rPr>
      </w:pPr>
      <w:r w:rsidRPr="00B34E6B">
        <w:rPr>
          <w:b/>
          <w:sz w:val="24"/>
          <w:szCs w:val="24"/>
          <w:lang w:val="es-ES_tradnl"/>
        </w:rPr>
        <w:t>Vigésima segunda sesión</w:t>
      </w:r>
    </w:p>
    <w:p w:rsidR="00A40716" w:rsidRPr="00B34E6B" w:rsidRDefault="00440FC7" w:rsidP="00A40716">
      <w:pPr>
        <w:rPr>
          <w:b/>
          <w:sz w:val="24"/>
          <w:szCs w:val="24"/>
          <w:lang w:val="es-ES_tradnl"/>
        </w:rPr>
      </w:pPr>
      <w:r w:rsidRPr="00B34E6B">
        <w:rPr>
          <w:b/>
          <w:sz w:val="24"/>
          <w:szCs w:val="24"/>
          <w:lang w:val="es-ES_tradnl"/>
        </w:rPr>
        <w:t>Gi</w:t>
      </w:r>
      <w:r w:rsidR="00A40716" w:rsidRPr="00B34E6B">
        <w:rPr>
          <w:b/>
          <w:sz w:val="24"/>
          <w:szCs w:val="24"/>
          <w:lang w:val="es-ES_tradnl"/>
        </w:rPr>
        <w:t>ne</w:t>
      </w:r>
      <w:r w:rsidRPr="00B34E6B">
        <w:rPr>
          <w:b/>
          <w:sz w:val="24"/>
          <w:szCs w:val="24"/>
          <w:lang w:val="es-ES_tradnl"/>
        </w:rPr>
        <w:t>br</w:t>
      </w:r>
      <w:r w:rsidR="00A40716" w:rsidRPr="00B34E6B">
        <w:rPr>
          <w:b/>
          <w:sz w:val="24"/>
          <w:szCs w:val="24"/>
          <w:lang w:val="es-ES_tradnl"/>
        </w:rPr>
        <w:t xml:space="preserve">a, </w:t>
      </w:r>
      <w:r w:rsidRPr="00B34E6B">
        <w:rPr>
          <w:b/>
          <w:sz w:val="24"/>
          <w:szCs w:val="24"/>
          <w:lang w:val="es-ES_tradnl"/>
        </w:rPr>
        <w:t xml:space="preserve">1 a 5 de septiembre de </w:t>
      </w:r>
      <w:r w:rsidR="00A40716" w:rsidRPr="00B34E6B">
        <w:rPr>
          <w:b/>
          <w:sz w:val="24"/>
          <w:szCs w:val="24"/>
          <w:lang w:val="es-ES_tradnl"/>
        </w:rPr>
        <w:t>2014</w:t>
      </w: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8B2CC1" w:rsidP="008B2CC1">
      <w:pPr>
        <w:rPr>
          <w:lang w:val="es-ES_tradnl"/>
        </w:rPr>
      </w:pPr>
    </w:p>
    <w:p w:rsidR="008B2CC1" w:rsidRPr="00B34E6B" w:rsidRDefault="00D36B5D" w:rsidP="008B2CC1">
      <w:pPr>
        <w:rPr>
          <w:caps/>
          <w:sz w:val="24"/>
          <w:lang w:val="es-ES_tradnl"/>
        </w:rPr>
      </w:pPr>
      <w:bookmarkStart w:id="4" w:name="TitleOfDoc"/>
      <w:bookmarkEnd w:id="4"/>
      <w:r w:rsidRPr="00B34E6B">
        <w:rPr>
          <w:caps/>
          <w:sz w:val="24"/>
          <w:lang w:val="es-ES_tradnl"/>
        </w:rPr>
        <w:t xml:space="preserve">informe sobre la marcha de la aplicación de las recomendaciones de la dependencia común de inspección (DCI) </w:t>
      </w:r>
      <w:r w:rsidR="00522489" w:rsidRPr="00B34E6B">
        <w:rPr>
          <w:caps/>
          <w:sz w:val="24"/>
          <w:lang w:val="es-ES_tradnl"/>
        </w:rPr>
        <w:t>dirigidas a los órganos legislativos de la OMPI</w:t>
      </w:r>
    </w:p>
    <w:p w:rsidR="008B2CC1" w:rsidRPr="00B34E6B" w:rsidRDefault="008B2CC1" w:rsidP="008B2CC1">
      <w:pPr>
        <w:rPr>
          <w:lang w:val="es-ES_tradnl"/>
        </w:rPr>
      </w:pPr>
    </w:p>
    <w:p w:rsidR="008B2CC1" w:rsidRPr="00B34E6B" w:rsidRDefault="00CB33B1" w:rsidP="008B2CC1">
      <w:pPr>
        <w:rPr>
          <w:i/>
          <w:lang w:val="es-ES_tradnl"/>
        </w:rPr>
      </w:pPr>
      <w:bookmarkStart w:id="5" w:name="Prepared"/>
      <w:bookmarkEnd w:id="5"/>
      <w:r w:rsidRPr="00B34E6B">
        <w:rPr>
          <w:i/>
          <w:lang w:val="es-ES_tradnl"/>
        </w:rPr>
        <w:t>prepar</w:t>
      </w:r>
      <w:r w:rsidR="00264B8B" w:rsidRPr="00B34E6B">
        <w:rPr>
          <w:i/>
          <w:lang w:val="es-ES_tradnl"/>
        </w:rPr>
        <w:t>ado por la Secretaría</w:t>
      </w:r>
    </w:p>
    <w:p w:rsidR="00AC205C" w:rsidRPr="00B34E6B" w:rsidRDefault="00AC205C">
      <w:pPr>
        <w:rPr>
          <w:lang w:val="es-ES_tradnl"/>
        </w:rPr>
      </w:pPr>
    </w:p>
    <w:p w:rsidR="002928D3" w:rsidRPr="00B34E6B" w:rsidRDefault="002928D3">
      <w:pPr>
        <w:rPr>
          <w:lang w:val="es-ES_tradnl"/>
        </w:rPr>
      </w:pPr>
    </w:p>
    <w:p w:rsidR="00CB33B1" w:rsidRPr="00B34E6B" w:rsidRDefault="00CB33B1" w:rsidP="00CB33B1">
      <w:pPr>
        <w:rPr>
          <w:i/>
          <w:lang w:val="es-ES_tradnl"/>
        </w:rPr>
      </w:pPr>
    </w:p>
    <w:p w:rsidR="00CB33B1" w:rsidRPr="00B34E6B" w:rsidRDefault="00264B8B" w:rsidP="00CB33B1">
      <w:pPr>
        <w:pStyle w:val="ListParagraph"/>
        <w:numPr>
          <w:ilvl w:val="0"/>
          <w:numId w:val="7"/>
        </w:numPr>
        <w:tabs>
          <w:tab w:val="left" w:pos="0"/>
        </w:tabs>
        <w:ind w:left="0" w:firstLine="0"/>
        <w:rPr>
          <w:lang w:val="es-ES_tradnl"/>
        </w:rPr>
      </w:pPr>
      <w:r w:rsidRPr="00B34E6B">
        <w:rPr>
          <w:lang w:val="es-ES_tradnl"/>
        </w:rPr>
        <w:t>El presente documento ofrece un panorama del estado de aplicación de las recomendaciones dirigidas a los órganos legislativos de la OMPI como resultado de los exámenes realizados por la Dependencia Común de Inspección (DCI) durante el período 2010</w:t>
      </w:r>
      <w:r w:rsidRPr="00B34E6B">
        <w:rPr>
          <w:lang w:val="es-ES_tradnl"/>
        </w:rPr>
        <w:noBreakHyphen/>
        <w:t xml:space="preserve">2013, e incluye las recomendaciones dirigidas a los órganos legislativos de la OMPI a resultas del Examen de la DCI de la Gestión y la Administración de la OMPI.  La respuesta completa de la Secretaría al informe de la DCI sobre ese examen (JIU/REP/2014/2) se presenta </w:t>
      </w:r>
      <w:r w:rsidR="00522489" w:rsidRPr="00B34E6B">
        <w:rPr>
          <w:lang w:val="es-ES_tradnl"/>
        </w:rPr>
        <w:t>aparte</w:t>
      </w:r>
      <w:r w:rsidRPr="00B34E6B">
        <w:rPr>
          <w:lang w:val="es-ES_tradnl"/>
        </w:rPr>
        <w:t xml:space="preserve"> al Comité del Programa y Presupuesto, en el documento WO/PBC/22/20.</w:t>
      </w:r>
      <w:r w:rsidR="00CB33B1" w:rsidRPr="00B34E6B">
        <w:rPr>
          <w:lang w:val="es-ES_tradnl"/>
        </w:rPr>
        <w:t xml:space="preserve"> </w:t>
      </w:r>
    </w:p>
    <w:p w:rsidR="00CB33B1" w:rsidRPr="00B34E6B" w:rsidRDefault="00CB33B1" w:rsidP="00CB33B1">
      <w:pPr>
        <w:ind w:firstLine="567"/>
        <w:rPr>
          <w:lang w:val="es-ES_tradnl"/>
        </w:rPr>
      </w:pPr>
    </w:p>
    <w:p w:rsidR="00CB33B1" w:rsidRPr="00B34E6B" w:rsidRDefault="00977148" w:rsidP="00CB33B1">
      <w:pPr>
        <w:pStyle w:val="ListParagraph"/>
        <w:numPr>
          <w:ilvl w:val="0"/>
          <w:numId w:val="7"/>
        </w:numPr>
        <w:ind w:left="0" w:firstLine="0"/>
        <w:rPr>
          <w:lang w:val="es-ES_tradnl"/>
        </w:rPr>
      </w:pPr>
      <w:r w:rsidRPr="00B34E6B">
        <w:rPr>
          <w:lang w:val="es-ES_tradnl"/>
        </w:rPr>
        <w:t>En el Anexo del presente documento figuran unas recomendaciones dirigidas a los órganos legislativos de las organizaciones del sistema de las Naciones Unidas, junto con el estado actual de aceptación y aplicación de dichas recomendaciones.</w:t>
      </w:r>
      <w:r w:rsidR="00522489" w:rsidRPr="00B34E6B">
        <w:rPr>
          <w:lang w:val="es-ES_tradnl"/>
        </w:rPr>
        <w:t xml:space="preserve"> </w:t>
      </w:r>
      <w:r w:rsidRPr="00B34E6B">
        <w:rPr>
          <w:lang w:val="es-ES_tradnl"/>
        </w:rPr>
        <w:t xml:space="preserve"> Se </w:t>
      </w:r>
      <w:r w:rsidR="00875034" w:rsidRPr="00B34E6B">
        <w:rPr>
          <w:lang w:val="es-ES_tradnl"/>
        </w:rPr>
        <w:t>han tenido</w:t>
      </w:r>
      <w:r w:rsidRPr="00B34E6B">
        <w:rPr>
          <w:lang w:val="es-ES_tradnl"/>
        </w:rPr>
        <w:t xml:space="preserve"> en cuenta las </w:t>
      </w:r>
      <w:r w:rsidR="00D46522" w:rsidRPr="00B34E6B">
        <w:rPr>
          <w:lang w:val="es-ES_tradnl"/>
        </w:rPr>
        <w:t>recomendaciones pendientes al momento de redactar el presente informe así como las que han sido aplicadas desde</w:t>
      </w:r>
      <w:r w:rsidR="00875034" w:rsidRPr="00B34E6B">
        <w:rPr>
          <w:lang w:val="es-ES_tradnl"/>
        </w:rPr>
        <w:t xml:space="preserve"> que se publicara el último informe sobre la aplicación de las recomendaciones de la DCI</w:t>
      </w:r>
      <w:r w:rsidR="00CB33B1" w:rsidRPr="00B34E6B">
        <w:rPr>
          <w:lang w:val="es-ES_tradnl"/>
        </w:rPr>
        <w:t xml:space="preserve"> (</w:t>
      </w:r>
      <w:r w:rsidR="00875034" w:rsidRPr="00B34E6B">
        <w:rPr>
          <w:lang w:val="es-ES_tradnl"/>
        </w:rPr>
        <w:t xml:space="preserve">documento </w:t>
      </w:r>
      <w:r w:rsidR="00CB33B1" w:rsidRPr="00B34E6B">
        <w:rPr>
          <w:lang w:val="es-ES_tradnl"/>
        </w:rPr>
        <w:t>WO/PBC/21/16).</w:t>
      </w:r>
    </w:p>
    <w:p w:rsidR="00237761" w:rsidRPr="00B34E6B" w:rsidRDefault="00237761" w:rsidP="00237761">
      <w:pPr>
        <w:rPr>
          <w:lang w:val="es-ES_tradnl"/>
        </w:rPr>
      </w:pPr>
    </w:p>
    <w:p w:rsidR="00237761" w:rsidRPr="00B34E6B" w:rsidRDefault="00875034" w:rsidP="00CB33B1">
      <w:pPr>
        <w:pStyle w:val="ListParagraph"/>
        <w:numPr>
          <w:ilvl w:val="0"/>
          <w:numId w:val="7"/>
        </w:numPr>
        <w:ind w:left="0" w:firstLine="0"/>
        <w:rPr>
          <w:lang w:val="es-ES_tradnl"/>
        </w:rPr>
      </w:pPr>
      <w:r w:rsidRPr="00B34E6B">
        <w:rPr>
          <w:lang w:val="es-ES_tradnl"/>
        </w:rPr>
        <w:t>En el último informe eran 24 las recomendaciones dirigidas a los órganos legislativos de la OMPI que fueron consideradas como finalizadas o no pertinentes, razón por la cual no figuran en el presente informe</w:t>
      </w:r>
      <w:r w:rsidR="00237761" w:rsidRPr="00B34E6B">
        <w:rPr>
          <w:lang w:val="es-ES_tradnl"/>
        </w:rPr>
        <w:t xml:space="preserve">. </w:t>
      </w:r>
      <w:r w:rsidR="00164B91" w:rsidRPr="00B34E6B">
        <w:rPr>
          <w:lang w:val="es-ES_tradnl"/>
        </w:rPr>
        <w:t xml:space="preserve"> </w:t>
      </w:r>
      <w:r w:rsidRPr="00B34E6B">
        <w:rPr>
          <w:lang w:val="es-ES_tradnl"/>
        </w:rPr>
        <w:t>Se han incorporado al informe cuatro nuevas recomendaciones, lo que eleva a un total de 24 las recomendaciones en el Anexo, de las cuales</w:t>
      </w:r>
      <w:r w:rsidR="00237761" w:rsidRPr="00B34E6B">
        <w:rPr>
          <w:lang w:val="es-ES_tradnl"/>
        </w:rPr>
        <w:t xml:space="preserve"> </w:t>
      </w:r>
    </w:p>
    <w:p w:rsidR="00164B91" w:rsidRPr="00B34E6B" w:rsidRDefault="00164B91" w:rsidP="00164B91">
      <w:pPr>
        <w:rPr>
          <w:lang w:val="es-ES_tradnl"/>
        </w:rPr>
      </w:pPr>
    </w:p>
    <w:p w:rsidR="00237761" w:rsidRPr="00B34E6B" w:rsidRDefault="00522489" w:rsidP="00911B2D">
      <w:pPr>
        <w:pStyle w:val="ListParagraph"/>
        <w:numPr>
          <w:ilvl w:val="1"/>
          <w:numId w:val="7"/>
        </w:numPr>
        <w:tabs>
          <w:tab w:val="left" w:pos="1620"/>
        </w:tabs>
        <w:ind w:left="1620" w:hanging="540"/>
        <w:rPr>
          <w:lang w:val="es-ES_tradnl"/>
        </w:rPr>
      </w:pPr>
      <w:r w:rsidRPr="00B34E6B">
        <w:rPr>
          <w:lang w:val="es-ES_tradnl"/>
        </w:rPr>
        <w:t>doce han sido aceptadas y aplicadas</w:t>
      </w:r>
      <w:r w:rsidR="00237761" w:rsidRPr="00B34E6B">
        <w:rPr>
          <w:lang w:val="es-ES_tradnl"/>
        </w:rPr>
        <w:t>;</w:t>
      </w:r>
    </w:p>
    <w:p w:rsidR="00237761" w:rsidRPr="00B34E6B" w:rsidRDefault="00522489" w:rsidP="00911B2D">
      <w:pPr>
        <w:pStyle w:val="ListParagraph"/>
        <w:numPr>
          <w:ilvl w:val="1"/>
          <w:numId w:val="7"/>
        </w:numPr>
        <w:ind w:left="1620" w:hanging="540"/>
        <w:rPr>
          <w:lang w:val="es-ES_tradnl"/>
        </w:rPr>
      </w:pPr>
      <w:r w:rsidRPr="00B34E6B">
        <w:rPr>
          <w:lang w:val="es-ES_tradnl"/>
        </w:rPr>
        <w:t>dos han sido aceptadas</w:t>
      </w:r>
      <w:r w:rsidR="00237761" w:rsidRPr="00B34E6B">
        <w:rPr>
          <w:lang w:val="es-ES_tradnl"/>
        </w:rPr>
        <w:t xml:space="preserve"> </w:t>
      </w:r>
      <w:r w:rsidRPr="00B34E6B">
        <w:rPr>
          <w:lang w:val="es-ES_tradnl"/>
        </w:rPr>
        <w:t>y están en vías de aplicación</w:t>
      </w:r>
      <w:r w:rsidR="00237761" w:rsidRPr="00B34E6B">
        <w:rPr>
          <w:lang w:val="es-ES_tradnl"/>
        </w:rPr>
        <w:t>;</w:t>
      </w:r>
    </w:p>
    <w:p w:rsidR="00237761" w:rsidRPr="00B34E6B" w:rsidRDefault="007761E4" w:rsidP="00911B2D">
      <w:pPr>
        <w:pStyle w:val="ListParagraph"/>
        <w:numPr>
          <w:ilvl w:val="1"/>
          <w:numId w:val="7"/>
        </w:numPr>
        <w:ind w:left="1620" w:hanging="540"/>
        <w:rPr>
          <w:lang w:val="es-ES_tradnl"/>
        </w:rPr>
      </w:pPr>
      <w:r w:rsidRPr="00B34E6B">
        <w:rPr>
          <w:lang w:val="es-ES_tradnl"/>
        </w:rPr>
        <w:t>diez son objeto de estudio</w:t>
      </w:r>
      <w:r w:rsidR="00522489" w:rsidRPr="00B34E6B">
        <w:rPr>
          <w:lang w:val="es-ES_tradnl"/>
        </w:rPr>
        <w:t>.</w:t>
      </w:r>
    </w:p>
    <w:p w:rsidR="00237761" w:rsidRPr="00B34E6B" w:rsidRDefault="00237761" w:rsidP="00237761">
      <w:pPr>
        <w:keepNext/>
        <w:keepLines/>
        <w:rPr>
          <w:lang w:val="es-ES_tradnl"/>
        </w:rPr>
      </w:pPr>
    </w:p>
    <w:p w:rsidR="00CB33B1" w:rsidRPr="00B34E6B" w:rsidRDefault="00522489" w:rsidP="00CB33B1">
      <w:pPr>
        <w:pStyle w:val="ListParagraph"/>
        <w:keepNext/>
        <w:keepLines/>
        <w:numPr>
          <w:ilvl w:val="0"/>
          <w:numId w:val="7"/>
        </w:numPr>
        <w:ind w:left="0" w:firstLine="0"/>
        <w:rPr>
          <w:lang w:val="es-ES_tradnl"/>
        </w:rPr>
      </w:pPr>
      <w:r w:rsidRPr="00B34E6B">
        <w:rPr>
          <w:lang w:val="es-ES_tradnl"/>
        </w:rPr>
        <w:t>Se propone el siguiente párrafo de decisión</w:t>
      </w:r>
      <w:r w:rsidR="00CB33B1" w:rsidRPr="00B34E6B">
        <w:rPr>
          <w:lang w:val="es-ES_tradnl"/>
        </w:rPr>
        <w:t>.</w:t>
      </w:r>
    </w:p>
    <w:p w:rsidR="00CB33B1" w:rsidRPr="00B34E6B" w:rsidRDefault="00CB33B1" w:rsidP="00CB33B1">
      <w:pPr>
        <w:keepNext/>
        <w:keepLines/>
        <w:rPr>
          <w:lang w:val="es-ES_tradnl"/>
        </w:rPr>
      </w:pPr>
    </w:p>
    <w:p w:rsidR="00CB33B1" w:rsidRPr="00B34E6B" w:rsidRDefault="00164B91" w:rsidP="00CB33B1">
      <w:pPr>
        <w:keepNext/>
        <w:keepLines/>
        <w:ind w:left="5103"/>
        <w:rPr>
          <w:i/>
          <w:lang w:val="es-ES_tradnl"/>
        </w:rPr>
      </w:pPr>
      <w:r w:rsidRPr="00B34E6B">
        <w:rPr>
          <w:i/>
          <w:lang w:val="es-ES_tradnl"/>
        </w:rPr>
        <w:t>5</w:t>
      </w:r>
      <w:r w:rsidR="00CB33B1" w:rsidRPr="00B34E6B">
        <w:rPr>
          <w:i/>
          <w:lang w:val="es-ES_tradnl"/>
        </w:rPr>
        <w:t>.</w:t>
      </w:r>
      <w:r w:rsidR="00CB33B1" w:rsidRPr="00B34E6B">
        <w:rPr>
          <w:lang w:val="es-ES_tradnl"/>
        </w:rPr>
        <w:tab/>
      </w:r>
      <w:r w:rsidR="00522489" w:rsidRPr="00B34E6B">
        <w:rPr>
          <w:i/>
          <w:lang w:val="es-ES_tradnl"/>
        </w:rPr>
        <w:t xml:space="preserve">El Comité del Programa y Presupuesto tomó nota del estado de aplicación de las recomendaciones de la Dependencia Común de Inspección (DCI) dirigidas a los órganos legislativos de la OMPI, y observe que doce recomendaciones han sido aplicadas, dos han sido aceptadas y están en vías de aplicación, y diez </w:t>
      </w:r>
      <w:r w:rsidR="007761E4" w:rsidRPr="00B34E6B">
        <w:rPr>
          <w:i/>
          <w:lang w:val="es-ES_tradnl"/>
        </w:rPr>
        <w:t>son objeto de estudio</w:t>
      </w:r>
      <w:r w:rsidR="00FD1545" w:rsidRPr="00B34E6B">
        <w:rPr>
          <w:i/>
          <w:lang w:val="es-ES_tradnl"/>
        </w:rPr>
        <w:t xml:space="preserve"> (document</w:t>
      </w:r>
      <w:r w:rsidR="00522489" w:rsidRPr="00B34E6B">
        <w:rPr>
          <w:i/>
          <w:lang w:val="es-ES_tradnl"/>
        </w:rPr>
        <w:t>o</w:t>
      </w:r>
      <w:r w:rsidR="00FD1545" w:rsidRPr="00B34E6B">
        <w:rPr>
          <w:i/>
          <w:lang w:val="es-ES_tradnl"/>
        </w:rPr>
        <w:t> WO/PBC/22/23)</w:t>
      </w:r>
      <w:r w:rsidR="00CB33B1" w:rsidRPr="00B34E6B">
        <w:rPr>
          <w:i/>
          <w:lang w:val="es-ES_tradnl"/>
        </w:rPr>
        <w:t>.</w:t>
      </w:r>
    </w:p>
    <w:p w:rsidR="00CB33B1" w:rsidRPr="00B34E6B" w:rsidRDefault="00CB33B1" w:rsidP="00CB33B1">
      <w:pPr>
        <w:keepNext/>
        <w:keepLines/>
        <w:ind w:left="5103"/>
        <w:rPr>
          <w:i/>
          <w:lang w:val="es-ES_tradnl"/>
        </w:rPr>
      </w:pPr>
    </w:p>
    <w:p w:rsidR="00CB33B1" w:rsidRPr="00B34E6B" w:rsidRDefault="00CB33B1" w:rsidP="00CB33B1">
      <w:pPr>
        <w:keepNext/>
        <w:keepLines/>
        <w:ind w:left="5103"/>
        <w:rPr>
          <w:i/>
          <w:lang w:val="es-ES_tradnl"/>
        </w:rPr>
      </w:pPr>
    </w:p>
    <w:p w:rsidR="00CB33B1" w:rsidRPr="00B34E6B" w:rsidRDefault="00CB33B1" w:rsidP="00CB33B1">
      <w:pPr>
        <w:keepNext/>
        <w:keepLines/>
        <w:ind w:left="5103"/>
        <w:rPr>
          <w:i/>
          <w:lang w:val="es-ES_tradnl"/>
        </w:rPr>
      </w:pPr>
    </w:p>
    <w:p w:rsidR="00CB33B1" w:rsidRPr="00B34E6B" w:rsidRDefault="00CB33B1" w:rsidP="00CB33B1">
      <w:pPr>
        <w:keepNext/>
        <w:keepLines/>
        <w:ind w:left="5103"/>
        <w:rPr>
          <w:lang w:val="es-ES_tradnl"/>
        </w:rPr>
      </w:pPr>
      <w:r w:rsidRPr="00B34E6B">
        <w:rPr>
          <w:lang w:val="es-ES_tradnl"/>
        </w:rPr>
        <w:t>[</w:t>
      </w:r>
      <w:r w:rsidR="00522489" w:rsidRPr="00B34E6B">
        <w:rPr>
          <w:lang w:val="es-ES_tradnl"/>
        </w:rPr>
        <w:t xml:space="preserve">Sigue el </w:t>
      </w:r>
      <w:r w:rsidRPr="00B34E6B">
        <w:rPr>
          <w:lang w:val="es-ES_tradnl"/>
        </w:rPr>
        <w:t>Anexo]</w:t>
      </w:r>
    </w:p>
    <w:p w:rsidR="002B1FF8" w:rsidRPr="00B34E6B" w:rsidRDefault="002B1FF8">
      <w:pPr>
        <w:rPr>
          <w:lang w:val="es-ES_tradnl"/>
        </w:rPr>
        <w:sectPr w:rsidR="002B1FF8" w:rsidRPr="00B34E6B" w:rsidSect="00CB33B1">
          <w:headerReference w:type="default" r:id="rId10"/>
          <w:endnotePr>
            <w:numFmt w:val="decimal"/>
          </w:endnotePr>
          <w:pgSz w:w="11907" w:h="16840" w:code="9"/>
          <w:pgMar w:top="567" w:right="1134" w:bottom="1418" w:left="1418" w:header="510" w:footer="1021" w:gutter="0"/>
          <w:cols w:space="720"/>
          <w:titlePg/>
          <w:docGrid w:linePitch="299"/>
        </w:sectPr>
      </w:pPr>
    </w:p>
    <w:p w:rsidR="00D252C2" w:rsidRPr="00B34E6B" w:rsidRDefault="00D252C2" w:rsidP="00103705">
      <w:pPr>
        <w:jc w:val="center"/>
        <w:rPr>
          <w:sz w:val="16"/>
          <w:szCs w:val="16"/>
          <w:lang w:val="es-ES_tradnl"/>
        </w:rPr>
      </w:pPr>
    </w:p>
    <w:p w:rsidR="00D252C2" w:rsidRPr="00B34E6B" w:rsidRDefault="00522489" w:rsidP="00AD0BC5">
      <w:pPr>
        <w:jc w:val="center"/>
        <w:rPr>
          <w:lang w:val="es-ES_tradnl"/>
        </w:rPr>
      </w:pPr>
      <w:r w:rsidRPr="00B34E6B">
        <w:rPr>
          <w:lang w:val="es-ES_tradnl"/>
        </w:rPr>
        <w:t>RECOMENDACIONES DE LA DCI A LOS ÓRGANOS LEGISLATIVOS DE LA OMPI</w:t>
      </w:r>
    </w:p>
    <w:p w:rsidR="00D252C2" w:rsidRPr="00B34E6B" w:rsidRDefault="00D252C2">
      <w:pPr>
        <w:rPr>
          <w:sz w:val="16"/>
          <w:szCs w:val="16"/>
          <w:lang w:val="es-ES_tradnl"/>
        </w:rPr>
      </w:pPr>
    </w:p>
    <w:tbl>
      <w:tblPr>
        <w:tblStyle w:val="TableGrid"/>
        <w:tblW w:w="9576" w:type="dxa"/>
        <w:tblLayout w:type="fixed"/>
        <w:tblLook w:val="04A0" w:firstRow="1" w:lastRow="0" w:firstColumn="1" w:lastColumn="0" w:noHBand="0" w:noVBand="1"/>
      </w:tblPr>
      <w:tblGrid>
        <w:gridCol w:w="2628"/>
        <w:gridCol w:w="1350"/>
        <w:gridCol w:w="1350"/>
        <w:gridCol w:w="1620"/>
        <w:gridCol w:w="2628"/>
      </w:tblGrid>
      <w:tr w:rsidR="00D252C2" w:rsidRPr="00B34E6B" w:rsidTr="009F12BA">
        <w:trPr>
          <w:tblHeader/>
        </w:trPr>
        <w:tc>
          <w:tcPr>
            <w:tcW w:w="2628" w:type="dxa"/>
            <w:shd w:val="clear" w:color="auto" w:fill="B6DDE8" w:themeFill="accent5" w:themeFillTint="66"/>
          </w:tcPr>
          <w:p w:rsidR="00D252C2" w:rsidRPr="00B34E6B" w:rsidRDefault="00D252C2">
            <w:pPr>
              <w:rPr>
                <w:b/>
                <w:sz w:val="18"/>
                <w:szCs w:val="18"/>
                <w:lang w:val="es-ES_tradnl"/>
              </w:rPr>
            </w:pPr>
          </w:p>
          <w:p w:rsidR="00D252C2" w:rsidRPr="00B34E6B" w:rsidRDefault="00D252C2">
            <w:pPr>
              <w:rPr>
                <w:b/>
                <w:sz w:val="18"/>
                <w:szCs w:val="18"/>
                <w:lang w:val="es-ES_tradnl"/>
              </w:rPr>
            </w:pPr>
            <w:r w:rsidRPr="00B34E6B">
              <w:rPr>
                <w:b/>
                <w:sz w:val="18"/>
                <w:szCs w:val="18"/>
                <w:lang w:val="es-ES_tradnl"/>
              </w:rPr>
              <w:t>Recom</w:t>
            </w:r>
            <w:r w:rsidR="00522489" w:rsidRPr="00B34E6B">
              <w:rPr>
                <w:b/>
                <w:sz w:val="18"/>
                <w:szCs w:val="18"/>
                <w:lang w:val="es-ES_tradnl"/>
              </w:rPr>
              <w:t>endación</w:t>
            </w:r>
          </w:p>
          <w:p w:rsidR="00D252C2" w:rsidRPr="00B34E6B" w:rsidRDefault="00D252C2">
            <w:pPr>
              <w:rPr>
                <w:b/>
                <w:sz w:val="18"/>
                <w:szCs w:val="18"/>
                <w:lang w:val="es-ES_tradnl"/>
              </w:rPr>
            </w:pPr>
          </w:p>
        </w:tc>
        <w:tc>
          <w:tcPr>
            <w:tcW w:w="1350" w:type="dxa"/>
            <w:shd w:val="clear" w:color="auto" w:fill="B6DDE8" w:themeFill="accent5" w:themeFillTint="66"/>
          </w:tcPr>
          <w:p w:rsidR="00D252C2" w:rsidRPr="00B34E6B" w:rsidRDefault="00D252C2" w:rsidP="00103705">
            <w:pPr>
              <w:rPr>
                <w:b/>
                <w:sz w:val="18"/>
                <w:szCs w:val="18"/>
                <w:lang w:val="es-ES_tradnl"/>
              </w:rPr>
            </w:pPr>
          </w:p>
          <w:p w:rsidR="00D252C2" w:rsidRPr="00B34E6B" w:rsidRDefault="00522489" w:rsidP="00103705">
            <w:pPr>
              <w:rPr>
                <w:b/>
                <w:sz w:val="18"/>
                <w:szCs w:val="18"/>
                <w:lang w:val="es-ES_tradnl"/>
              </w:rPr>
            </w:pPr>
            <w:r w:rsidRPr="00B34E6B">
              <w:rPr>
                <w:b/>
                <w:sz w:val="18"/>
                <w:szCs w:val="18"/>
                <w:lang w:val="es-ES_tradnl"/>
              </w:rPr>
              <w:t>Funcionario encargado</w:t>
            </w:r>
            <w:r w:rsidR="00D252C2" w:rsidRPr="00B34E6B">
              <w:rPr>
                <w:b/>
                <w:sz w:val="18"/>
                <w:szCs w:val="18"/>
                <w:lang w:val="es-ES_tradnl"/>
              </w:rPr>
              <w:t xml:space="preserve"> </w:t>
            </w:r>
          </w:p>
          <w:p w:rsidR="00D252C2" w:rsidRPr="00B34E6B" w:rsidRDefault="00D252C2" w:rsidP="00103705">
            <w:pPr>
              <w:rPr>
                <w:b/>
                <w:sz w:val="18"/>
                <w:szCs w:val="18"/>
                <w:lang w:val="es-ES_tradnl"/>
              </w:rPr>
            </w:pPr>
          </w:p>
        </w:tc>
        <w:tc>
          <w:tcPr>
            <w:tcW w:w="1350" w:type="dxa"/>
            <w:shd w:val="clear" w:color="auto" w:fill="B6DDE8" w:themeFill="accent5" w:themeFillTint="66"/>
          </w:tcPr>
          <w:p w:rsidR="00D252C2" w:rsidRPr="00B34E6B" w:rsidRDefault="00D252C2">
            <w:pPr>
              <w:rPr>
                <w:b/>
                <w:sz w:val="18"/>
                <w:szCs w:val="18"/>
                <w:lang w:val="es-ES_tradnl"/>
              </w:rPr>
            </w:pPr>
          </w:p>
          <w:p w:rsidR="00D252C2" w:rsidRPr="00B34E6B" w:rsidRDefault="00522489">
            <w:pPr>
              <w:rPr>
                <w:b/>
                <w:sz w:val="18"/>
                <w:szCs w:val="18"/>
                <w:lang w:val="es-ES_tradnl"/>
              </w:rPr>
            </w:pPr>
            <w:r w:rsidRPr="00B34E6B">
              <w:rPr>
                <w:b/>
                <w:sz w:val="18"/>
                <w:szCs w:val="18"/>
                <w:lang w:val="es-ES_tradnl"/>
              </w:rPr>
              <w:t>Aceptación</w:t>
            </w:r>
          </w:p>
        </w:tc>
        <w:tc>
          <w:tcPr>
            <w:tcW w:w="1620" w:type="dxa"/>
            <w:shd w:val="clear" w:color="auto" w:fill="B6DDE8" w:themeFill="accent5" w:themeFillTint="66"/>
          </w:tcPr>
          <w:p w:rsidR="00D252C2" w:rsidRPr="00B34E6B" w:rsidRDefault="00D252C2">
            <w:pPr>
              <w:rPr>
                <w:b/>
                <w:sz w:val="18"/>
                <w:szCs w:val="18"/>
                <w:lang w:val="es-ES_tradnl"/>
              </w:rPr>
            </w:pPr>
          </w:p>
          <w:p w:rsidR="00D252C2" w:rsidRPr="00B34E6B" w:rsidRDefault="00522489">
            <w:pPr>
              <w:rPr>
                <w:b/>
                <w:sz w:val="18"/>
                <w:szCs w:val="18"/>
                <w:lang w:val="es-ES_tradnl"/>
              </w:rPr>
            </w:pPr>
            <w:r w:rsidRPr="00B34E6B">
              <w:rPr>
                <w:b/>
                <w:sz w:val="18"/>
                <w:szCs w:val="18"/>
                <w:lang w:val="es-ES_tradnl"/>
              </w:rPr>
              <w:t>Aplicación</w:t>
            </w:r>
          </w:p>
        </w:tc>
        <w:tc>
          <w:tcPr>
            <w:tcW w:w="2628" w:type="dxa"/>
            <w:shd w:val="clear" w:color="auto" w:fill="B6DDE8" w:themeFill="accent5" w:themeFillTint="66"/>
          </w:tcPr>
          <w:p w:rsidR="00D252C2" w:rsidRPr="00B34E6B" w:rsidRDefault="00D252C2" w:rsidP="00103705">
            <w:pPr>
              <w:rPr>
                <w:b/>
                <w:sz w:val="18"/>
                <w:szCs w:val="18"/>
                <w:lang w:val="es-ES_tradnl"/>
              </w:rPr>
            </w:pPr>
          </w:p>
          <w:p w:rsidR="00D252C2" w:rsidRPr="00B34E6B" w:rsidRDefault="00A53211" w:rsidP="00103705">
            <w:pPr>
              <w:rPr>
                <w:b/>
                <w:sz w:val="18"/>
                <w:szCs w:val="18"/>
                <w:lang w:val="es-ES_tradnl"/>
              </w:rPr>
            </w:pPr>
            <w:r w:rsidRPr="00B34E6B">
              <w:rPr>
                <w:b/>
                <w:sz w:val="18"/>
                <w:szCs w:val="18"/>
                <w:lang w:val="es-ES_tradnl"/>
              </w:rPr>
              <w:t>Evaluación Equipo directivo/Coordinador</w:t>
            </w:r>
            <w:r w:rsidR="00D252C2" w:rsidRPr="00B34E6B">
              <w:rPr>
                <w:b/>
                <w:sz w:val="18"/>
                <w:szCs w:val="18"/>
                <w:lang w:val="es-ES_tradnl"/>
              </w:rPr>
              <w:t xml:space="preserve"> </w:t>
            </w:r>
          </w:p>
        </w:tc>
      </w:tr>
      <w:tr w:rsidR="00D252C2" w:rsidRPr="006508B9" w:rsidTr="009F12BA">
        <w:trPr>
          <w:trHeight w:val="521"/>
        </w:trPr>
        <w:tc>
          <w:tcPr>
            <w:tcW w:w="9576" w:type="dxa"/>
            <w:gridSpan w:val="5"/>
            <w:shd w:val="clear" w:color="auto" w:fill="auto"/>
            <w:vAlign w:val="center"/>
          </w:tcPr>
          <w:p w:rsidR="00D252C2" w:rsidRPr="00B34E6B" w:rsidRDefault="00D252C2" w:rsidP="007761E4">
            <w:pPr>
              <w:jc w:val="center"/>
              <w:rPr>
                <w:b/>
                <w:lang w:val="es-ES_tradnl"/>
              </w:rPr>
            </w:pPr>
            <w:r w:rsidRPr="00B34E6B">
              <w:rPr>
                <w:b/>
                <w:lang w:val="es-ES_tradnl"/>
              </w:rPr>
              <w:t>Reco</w:t>
            </w:r>
            <w:r w:rsidR="00A53211" w:rsidRPr="00B34E6B">
              <w:rPr>
                <w:b/>
                <w:lang w:val="es-ES_tradnl"/>
              </w:rPr>
              <w:t>mendac</w:t>
            </w:r>
            <w:r w:rsidRPr="00B34E6B">
              <w:rPr>
                <w:b/>
                <w:lang w:val="es-ES_tradnl"/>
              </w:rPr>
              <w:t>ion</w:t>
            </w:r>
            <w:r w:rsidR="00A53211" w:rsidRPr="00B34E6B">
              <w:rPr>
                <w:b/>
                <w:lang w:val="es-ES_tradnl"/>
              </w:rPr>
              <w:t>e</w:t>
            </w:r>
            <w:r w:rsidRPr="00B34E6B">
              <w:rPr>
                <w:b/>
                <w:lang w:val="es-ES_tradnl"/>
              </w:rPr>
              <w:t>s</w:t>
            </w:r>
            <w:r w:rsidR="00A53211" w:rsidRPr="00B34E6B">
              <w:rPr>
                <w:b/>
                <w:lang w:val="es-ES_tradnl"/>
              </w:rPr>
              <w:t xml:space="preserve"> resultantes de exámenes de la DCI </w:t>
            </w:r>
            <w:r w:rsidR="007761E4" w:rsidRPr="00B34E6B">
              <w:rPr>
                <w:b/>
                <w:lang w:val="es-ES_tradnl"/>
              </w:rPr>
              <w:t>efectuados en</w:t>
            </w:r>
            <w:r w:rsidR="00A53211" w:rsidRPr="00B34E6B">
              <w:rPr>
                <w:b/>
                <w:lang w:val="es-ES_tradnl"/>
              </w:rPr>
              <w:t xml:space="preserve"> </w:t>
            </w:r>
            <w:r w:rsidRPr="00B34E6B">
              <w:rPr>
                <w:b/>
                <w:lang w:val="es-ES_tradnl"/>
              </w:rPr>
              <w:t>2014</w:t>
            </w:r>
          </w:p>
        </w:tc>
      </w:tr>
      <w:tr w:rsidR="00D252C2" w:rsidRPr="006508B9" w:rsidTr="009F12BA">
        <w:trPr>
          <w:trHeight w:val="189"/>
        </w:trPr>
        <w:tc>
          <w:tcPr>
            <w:tcW w:w="9576" w:type="dxa"/>
            <w:gridSpan w:val="5"/>
            <w:shd w:val="clear" w:color="auto" w:fill="auto"/>
            <w:vAlign w:val="center"/>
          </w:tcPr>
          <w:p w:rsidR="00D252C2" w:rsidRPr="00B34E6B" w:rsidRDefault="00D252C2" w:rsidP="0067232E">
            <w:pPr>
              <w:jc w:val="center"/>
              <w:rPr>
                <w:b/>
                <w:sz w:val="18"/>
                <w:szCs w:val="18"/>
                <w:lang w:val="es-ES_tradnl"/>
              </w:rPr>
            </w:pPr>
          </w:p>
          <w:p w:rsidR="007761E4" w:rsidRPr="00B34E6B" w:rsidRDefault="00D252C2" w:rsidP="007761E4">
            <w:pPr>
              <w:jc w:val="center"/>
              <w:rPr>
                <w:b/>
                <w:sz w:val="18"/>
                <w:szCs w:val="18"/>
                <w:lang w:val="es-ES_tradnl"/>
              </w:rPr>
            </w:pPr>
            <w:r w:rsidRPr="00B34E6B">
              <w:rPr>
                <w:b/>
                <w:sz w:val="18"/>
                <w:szCs w:val="18"/>
                <w:lang w:val="es-ES_tradnl"/>
              </w:rPr>
              <w:t>JIU/REP/2014/2 “</w:t>
            </w:r>
            <w:r w:rsidR="007761E4" w:rsidRPr="00B34E6B">
              <w:rPr>
                <w:b/>
                <w:sz w:val="18"/>
                <w:szCs w:val="18"/>
                <w:lang w:val="es-ES_tradnl"/>
              </w:rPr>
              <w:t xml:space="preserve">Examen de la Gestión y la Administración de la Organización Mundial </w:t>
            </w:r>
            <w:r w:rsidR="007761E4" w:rsidRPr="00B34E6B">
              <w:rPr>
                <w:b/>
                <w:sz w:val="18"/>
                <w:szCs w:val="18"/>
                <w:lang w:val="es-ES_tradnl"/>
              </w:rPr>
              <w:br/>
              <w:t>de la Propiedad Intelectual (OMPI)</w:t>
            </w:r>
          </w:p>
          <w:p w:rsidR="00D252C2" w:rsidRPr="00B34E6B" w:rsidRDefault="00D252C2" w:rsidP="0067232E">
            <w:pPr>
              <w:jc w:val="center"/>
              <w:rPr>
                <w:b/>
                <w:sz w:val="18"/>
                <w:szCs w:val="18"/>
                <w:lang w:val="es-ES_tradnl"/>
              </w:rPr>
            </w:pPr>
          </w:p>
          <w:p w:rsidR="00D252C2" w:rsidRPr="00B34E6B" w:rsidRDefault="00D252C2" w:rsidP="0067232E">
            <w:pPr>
              <w:jc w:val="center"/>
              <w:rPr>
                <w:b/>
                <w:sz w:val="18"/>
                <w:szCs w:val="18"/>
                <w:lang w:val="es-ES_tradnl"/>
              </w:rPr>
            </w:pPr>
          </w:p>
        </w:tc>
      </w:tr>
      <w:tr w:rsidR="00D252C2" w:rsidRPr="006508B9" w:rsidTr="009F12BA">
        <w:trPr>
          <w:trHeight w:val="189"/>
        </w:trPr>
        <w:tc>
          <w:tcPr>
            <w:tcW w:w="2628" w:type="dxa"/>
            <w:shd w:val="clear" w:color="auto" w:fill="auto"/>
            <w:vAlign w:val="center"/>
          </w:tcPr>
          <w:p w:rsidR="00D252C2" w:rsidRPr="00B34E6B" w:rsidRDefault="00D252C2" w:rsidP="0067232E">
            <w:pPr>
              <w:rPr>
                <w:lang w:val="es-ES_tradnl"/>
              </w:rPr>
            </w:pPr>
            <w:r w:rsidRPr="00B34E6B">
              <w:rPr>
                <w:bCs/>
                <w:sz w:val="18"/>
                <w:szCs w:val="18"/>
                <w:lang w:val="es-ES_tradnl" w:eastAsia="en-GB"/>
              </w:rPr>
              <w:t xml:space="preserve">Rec. 1.  </w:t>
            </w:r>
            <w:r w:rsidR="007761E4" w:rsidRPr="00B34E6B">
              <w:rPr>
                <w:sz w:val="18"/>
                <w:szCs w:val="18"/>
                <w:lang w:val="es-ES_tradnl"/>
              </w:rPr>
              <w:t>La Asamblea General de la OMPI debe examinar el marco de gobernanza de la OMPI así como sus prácticas vigentes con miras a reforzar la capacidad de los órganos rectores de orientar y supervisar la labor de la organización.  Con ese fin, puede que los Estados miembros deseen considerar en sus deliberaciones las opciones que se proponen en el presente informe.</w:t>
            </w:r>
          </w:p>
        </w:tc>
        <w:tc>
          <w:tcPr>
            <w:tcW w:w="1350" w:type="dxa"/>
            <w:shd w:val="clear" w:color="auto" w:fill="auto"/>
            <w:vAlign w:val="center"/>
          </w:tcPr>
          <w:p w:rsidR="00D252C2" w:rsidRPr="00B34E6B" w:rsidRDefault="007761E4" w:rsidP="0067232E">
            <w:pPr>
              <w:rPr>
                <w:sz w:val="18"/>
                <w:szCs w:val="18"/>
                <w:lang w:val="es-ES_tradnl"/>
              </w:rPr>
            </w:pPr>
            <w:r w:rsidRPr="00B34E6B">
              <w:rPr>
                <w:sz w:val="18"/>
                <w:szCs w:val="18"/>
                <w:lang w:val="es-ES_tradnl"/>
              </w:rPr>
              <w:t>Jefe del Gabinete</w:t>
            </w: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p w:rsidR="00850569" w:rsidRPr="00B34E6B" w:rsidRDefault="00850569" w:rsidP="0067232E">
            <w:pPr>
              <w:rPr>
                <w:sz w:val="18"/>
                <w:szCs w:val="18"/>
                <w:lang w:val="es-ES_tradnl"/>
              </w:rPr>
            </w:pPr>
          </w:p>
        </w:tc>
        <w:tc>
          <w:tcPr>
            <w:tcW w:w="1350" w:type="dxa"/>
            <w:shd w:val="clear" w:color="auto" w:fill="auto"/>
            <w:vAlign w:val="center"/>
          </w:tcPr>
          <w:p w:rsidR="00850569" w:rsidRPr="00B34E6B" w:rsidRDefault="00850569" w:rsidP="0067232E">
            <w:pPr>
              <w:rPr>
                <w:sz w:val="18"/>
                <w:szCs w:val="18"/>
                <w:lang w:val="es-ES_tradnl"/>
              </w:rPr>
            </w:pPr>
          </w:p>
          <w:p w:rsidR="00D252C2" w:rsidRPr="00B34E6B" w:rsidRDefault="007761E4" w:rsidP="0067232E">
            <w:pPr>
              <w:rPr>
                <w:sz w:val="18"/>
                <w:szCs w:val="18"/>
                <w:lang w:val="es-ES_tradnl"/>
              </w:rPr>
            </w:pPr>
            <w:r w:rsidRPr="00B34E6B">
              <w:rPr>
                <w:sz w:val="18"/>
                <w:szCs w:val="18"/>
                <w:lang w:val="es-ES_tradnl"/>
              </w:rPr>
              <w:t>A estudio</w:t>
            </w: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tc>
        <w:tc>
          <w:tcPr>
            <w:tcW w:w="1620" w:type="dxa"/>
            <w:shd w:val="clear" w:color="auto" w:fill="auto"/>
            <w:vAlign w:val="center"/>
          </w:tcPr>
          <w:p w:rsidR="00D252C2" w:rsidRPr="00B34E6B" w:rsidRDefault="00D252C2" w:rsidP="0067232E">
            <w:pPr>
              <w:rPr>
                <w:lang w:val="es-ES_tradnl"/>
              </w:rPr>
            </w:pPr>
          </w:p>
        </w:tc>
        <w:tc>
          <w:tcPr>
            <w:tcW w:w="2628" w:type="dxa"/>
            <w:shd w:val="clear" w:color="auto" w:fill="auto"/>
            <w:vAlign w:val="center"/>
          </w:tcPr>
          <w:p w:rsidR="00D252C2" w:rsidRPr="00B34E6B" w:rsidRDefault="007761E4" w:rsidP="0067232E">
            <w:pPr>
              <w:rPr>
                <w:sz w:val="18"/>
                <w:szCs w:val="18"/>
                <w:lang w:val="es-ES_tradnl"/>
              </w:rPr>
            </w:pPr>
            <w:r w:rsidRPr="00B34E6B">
              <w:rPr>
                <w:rFonts w:eastAsiaTheme="minorHAnsi"/>
                <w:sz w:val="18"/>
                <w:szCs w:val="18"/>
                <w:lang w:val="es-ES_tradnl" w:eastAsia="en-US"/>
              </w:rPr>
              <w:t>El 30 de mayo de 2014 se envió una carta del Director General de la OMPI a la Presidenta de la Asamblea General de la OMPI, señalando a su atención esa recomendación</w:t>
            </w:r>
            <w:r w:rsidR="001F18C2" w:rsidRPr="00B34E6B">
              <w:rPr>
                <w:sz w:val="18"/>
                <w:szCs w:val="18"/>
                <w:lang w:val="es-ES_tradnl"/>
              </w:rPr>
              <w:t>.</w:t>
            </w:r>
          </w:p>
          <w:p w:rsidR="00D252C2" w:rsidRPr="00B34E6B" w:rsidRDefault="00D252C2" w:rsidP="0067232E">
            <w:pPr>
              <w:rPr>
                <w:lang w:val="es-ES_tradnl"/>
              </w:rPr>
            </w:pPr>
          </w:p>
          <w:p w:rsidR="00D252C2" w:rsidRPr="00B34E6B" w:rsidRDefault="00D252C2" w:rsidP="0067232E">
            <w:pPr>
              <w:rPr>
                <w:lang w:val="es-ES_tradnl"/>
              </w:rPr>
            </w:pPr>
          </w:p>
          <w:p w:rsidR="00D252C2" w:rsidRPr="00B34E6B" w:rsidRDefault="00D252C2" w:rsidP="0067232E">
            <w:pPr>
              <w:rPr>
                <w:lang w:val="es-ES_tradnl"/>
              </w:rPr>
            </w:pPr>
          </w:p>
          <w:p w:rsidR="00D252C2" w:rsidRPr="00B34E6B" w:rsidRDefault="00D252C2" w:rsidP="0067232E">
            <w:pPr>
              <w:rPr>
                <w:lang w:val="es-ES_tradnl"/>
              </w:rPr>
            </w:pPr>
          </w:p>
        </w:tc>
      </w:tr>
      <w:tr w:rsidR="00D252C2" w:rsidRPr="006508B9" w:rsidTr="009F12BA">
        <w:trPr>
          <w:trHeight w:val="187"/>
        </w:trPr>
        <w:tc>
          <w:tcPr>
            <w:tcW w:w="2628" w:type="dxa"/>
            <w:shd w:val="clear" w:color="auto" w:fill="auto"/>
            <w:vAlign w:val="center"/>
          </w:tcPr>
          <w:p w:rsidR="00D252C2" w:rsidRPr="00B34E6B" w:rsidRDefault="00D252C2" w:rsidP="0067232E">
            <w:pPr>
              <w:pStyle w:val="Bodydrafting"/>
              <w:jc w:val="left"/>
              <w:rPr>
                <w:rFonts w:ascii="Arial" w:hAnsi="Arial" w:cs="Arial"/>
                <w:bCs/>
                <w:sz w:val="18"/>
                <w:szCs w:val="18"/>
                <w:lang w:val="es-ES_tradnl" w:eastAsia="en-GB"/>
              </w:rPr>
            </w:pPr>
            <w:r w:rsidRPr="00B34E6B">
              <w:rPr>
                <w:rFonts w:ascii="Arial" w:hAnsi="Arial" w:cs="Arial"/>
                <w:bCs/>
                <w:sz w:val="18"/>
                <w:szCs w:val="18"/>
                <w:lang w:val="es-ES_tradnl" w:eastAsia="en-GB"/>
              </w:rPr>
              <w:t xml:space="preserve">Rec. 6.  </w:t>
            </w:r>
            <w:r w:rsidR="007761E4" w:rsidRPr="00B34E6B">
              <w:rPr>
                <w:rFonts w:ascii="Arial" w:eastAsiaTheme="minorHAnsi" w:hAnsi="Arial" w:cs="Arial"/>
                <w:sz w:val="18"/>
                <w:szCs w:val="18"/>
                <w:lang w:val="es-ES_tradnl"/>
              </w:rPr>
              <w:t>El Comité de Coordinación debe reexaminar los principios vigentes acerca de la distribución geográfica a fin de garantizar una mayor diversidad geográfica del personal profesional de la OMPI</w:t>
            </w:r>
            <w:r w:rsidRPr="00B34E6B">
              <w:rPr>
                <w:rFonts w:ascii="Arial" w:hAnsi="Arial" w:cs="Arial"/>
                <w:sz w:val="18"/>
                <w:szCs w:val="18"/>
                <w:lang w:val="es-ES_tradnl"/>
              </w:rPr>
              <w:t>.</w:t>
            </w:r>
          </w:p>
          <w:p w:rsidR="00D252C2" w:rsidRPr="00B34E6B" w:rsidRDefault="00D252C2" w:rsidP="0067232E">
            <w:pPr>
              <w:rPr>
                <w:lang w:val="es-ES_tradnl"/>
              </w:rPr>
            </w:pPr>
          </w:p>
        </w:tc>
        <w:tc>
          <w:tcPr>
            <w:tcW w:w="1350" w:type="dxa"/>
            <w:shd w:val="clear" w:color="auto" w:fill="auto"/>
            <w:vAlign w:val="center"/>
          </w:tcPr>
          <w:p w:rsidR="00850569" w:rsidRPr="00B34E6B" w:rsidRDefault="00F31144" w:rsidP="0067232E">
            <w:pPr>
              <w:rPr>
                <w:sz w:val="18"/>
                <w:szCs w:val="18"/>
                <w:lang w:val="es-ES_tradnl"/>
              </w:rPr>
            </w:pPr>
            <w:r w:rsidRPr="00B34E6B">
              <w:rPr>
                <w:sz w:val="18"/>
                <w:szCs w:val="18"/>
                <w:lang w:val="es-ES_tradnl"/>
              </w:rPr>
              <w:t>Director</w:t>
            </w:r>
            <w:r w:rsidR="007761E4" w:rsidRPr="00B34E6B">
              <w:rPr>
                <w:sz w:val="18"/>
                <w:szCs w:val="18"/>
                <w:lang w:val="es-ES_tradnl"/>
              </w:rPr>
              <w:t>a del Depto. de Gestión de los Recursos Humanos</w:t>
            </w:r>
            <w:r w:rsidRPr="00B34E6B">
              <w:rPr>
                <w:sz w:val="18"/>
                <w:szCs w:val="18"/>
                <w:lang w:val="es-ES_tradnl"/>
              </w:rPr>
              <w:t xml:space="preserve"> (</w:t>
            </w:r>
            <w:r w:rsidR="007761E4" w:rsidRPr="00B34E6B">
              <w:rPr>
                <w:sz w:val="18"/>
                <w:szCs w:val="18"/>
                <w:lang w:val="es-ES_tradnl"/>
              </w:rPr>
              <w:t>DGRRHH</w:t>
            </w:r>
            <w:r w:rsidRPr="00B34E6B">
              <w:rPr>
                <w:sz w:val="18"/>
                <w:szCs w:val="18"/>
                <w:lang w:val="es-ES_tradnl"/>
              </w:rPr>
              <w:t>)</w:t>
            </w:r>
          </w:p>
          <w:p w:rsidR="00F31144" w:rsidRPr="00B34E6B" w:rsidRDefault="00F31144" w:rsidP="0067232E">
            <w:pPr>
              <w:rPr>
                <w:sz w:val="18"/>
                <w:szCs w:val="18"/>
                <w:lang w:val="es-ES_tradnl"/>
              </w:rPr>
            </w:pPr>
          </w:p>
          <w:p w:rsidR="00F31144" w:rsidRPr="00B34E6B" w:rsidRDefault="00F31144" w:rsidP="0067232E">
            <w:pPr>
              <w:rPr>
                <w:sz w:val="18"/>
                <w:szCs w:val="18"/>
                <w:lang w:val="es-ES_tradnl"/>
              </w:rPr>
            </w:pPr>
          </w:p>
          <w:p w:rsidR="00F31144" w:rsidRPr="00B34E6B" w:rsidRDefault="00F31144" w:rsidP="0067232E">
            <w:pPr>
              <w:rPr>
                <w:sz w:val="18"/>
                <w:szCs w:val="18"/>
                <w:lang w:val="es-ES_tradnl"/>
              </w:rPr>
            </w:pPr>
          </w:p>
          <w:p w:rsidR="00F31144" w:rsidRPr="00B34E6B" w:rsidRDefault="00F31144" w:rsidP="0067232E">
            <w:pPr>
              <w:rPr>
                <w:sz w:val="18"/>
                <w:szCs w:val="18"/>
                <w:lang w:val="es-ES_tradnl"/>
              </w:rPr>
            </w:pPr>
          </w:p>
        </w:tc>
        <w:tc>
          <w:tcPr>
            <w:tcW w:w="1350" w:type="dxa"/>
            <w:shd w:val="clear" w:color="auto" w:fill="auto"/>
            <w:vAlign w:val="center"/>
          </w:tcPr>
          <w:p w:rsidR="00D252C2" w:rsidRPr="00B34E6B" w:rsidRDefault="00D252C2" w:rsidP="0067232E">
            <w:pPr>
              <w:rPr>
                <w:sz w:val="18"/>
                <w:szCs w:val="18"/>
                <w:lang w:val="es-ES_tradnl"/>
              </w:rPr>
            </w:pPr>
          </w:p>
          <w:p w:rsidR="00D252C2" w:rsidRPr="00B34E6B" w:rsidRDefault="007761E4" w:rsidP="0067232E">
            <w:pPr>
              <w:rPr>
                <w:sz w:val="18"/>
                <w:szCs w:val="18"/>
                <w:lang w:val="es-ES_tradnl"/>
              </w:rPr>
            </w:pPr>
            <w:r w:rsidRPr="00B34E6B">
              <w:rPr>
                <w:sz w:val="18"/>
                <w:szCs w:val="18"/>
                <w:lang w:val="es-ES_tradnl"/>
              </w:rPr>
              <w:t>A estudio</w:t>
            </w: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p w:rsidR="00D252C2" w:rsidRPr="00B34E6B" w:rsidRDefault="00D252C2" w:rsidP="0067232E">
            <w:pPr>
              <w:rPr>
                <w:sz w:val="18"/>
                <w:szCs w:val="18"/>
                <w:lang w:val="es-ES_tradnl"/>
              </w:rPr>
            </w:pPr>
          </w:p>
        </w:tc>
        <w:tc>
          <w:tcPr>
            <w:tcW w:w="1620" w:type="dxa"/>
            <w:shd w:val="clear" w:color="auto" w:fill="auto"/>
            <w:vAlign w:val="center"/>
          </w:tcPr>
          <w:p w:rsidR="00D252C2" w:rsidRPr="00B34E6B" w:rsidRDefault="00D252C2" w:rsidP="0067232E">
            <w:pPr>
              <w:rPr>
                <w:lang w:val="es-ES_tradnl"/>
              </w:rPr>
            </w:pPr>
          </w:p>
        </w:tc>
        <w:tc>
          <w:tcPr>
            <w:tcW w:w="2628" w:type="dxa"/>
            <w:shd w:val="clear" w:color="auto" w:fill="auto"/>
            <w:vAlign w:val="center"/>
          </w:tcPr>
          <w:p w:rsidR="00D252C2" w:rsidRPr="00B34E6B" w:rsidRDefault="007761E4" w:rsidP="0067232E">
            <w:pPr>
              <w:rPr>
                <w:sz w:val="18"/>
                <w:szCs w:val="18"/>
                <w:lang w:val="es-ES_tradnl"/>
              </w:rPr>
            </w:pPr>
            <w:r w:rsidRPr="00B34E6B">
              <w:rPr>
                <w:sz w:val="18"/>
                <w:szCs w:val="18"/>
                <w:lang w:val="es-ES_tradnl"/>
              </w:rPr>
              <w:t>El 30 de mayo de 2014 se envió una carta del Director General de la OMPI al Presidente del Comité de Coordinación de la OMPI, señalando a su atención esta recomendación</w:t>
            </w:r>
            <w:r w:rsidR="001F18C2" w:rsidRPr="00B34E6B">
              <w:rPr>
                <w:sz w:val="18"/>
                <w:szCs w:val="18"/>
                <w:lang w:val="es-ES_tradnl"/>
              </w:rPr>
              <w:t>.</w:t>
            </w:r>
          </w:p>
          <w:p w:rsidR="00D252C2" w:rsidRPr="00B34E6B" w:rsidRDefault="00D252C2" w:rsidP="0067232E">
            <w:pPr>
              <w:rPr>
                <w:lang w:val="es-ES_tradnl"/>
              </w:rPr>
            </w:pPr>
          </w:p>
          <w:p w:rsidR="00D252C2" w:rsidRPr="00B34E6B" w:rsidRDefault="00D252C2" w:rsidP="0067232E">
            <w:pPr>
              <w:rPr>
                <w:lang w:val="es-ES_tradnl"/>
              </w:rPr>
            </w:pPr>
          </w:p>
          <w:p w:rsidR="00D252C2" w:rsidRPr="00B34E6B" w:rsidRDefault="00D252C2" w:rsidP="0067232E">
            <w:pPr>
              <w:rPr>
                <w:lang w:val="es-ES_tradnl"/>
              </w:rPr>
            </w:pPr>
          </w:p>
        </w:tc>
      </w:tr>
      <w:tr w:rsidR="00D252C2" w:rsidRPr="006508B9" w:rsidTr="009F12BA">
        <w:trPr>
          <w:trHeight w:val="521"/>
        </w:trPr>
        <w:tc>
          <w:tcPr>
            <w:tcW w:w="9576" w:type="dxa"/>
            <w:gridSpan w:val="5"/>
            <w:shd w:val="clear" w:color="auto" w:fill="auto"/>
            <w:vAlign w:val="center"/>
          </w:tcPr>
          <w:p w:rsidR="00D252C2" w:rsidRPr="00B34E6B" w:rsidRDefault="007761E4" w:rsidP="00BE2EB0">
            <w:pPr>
              <w:jc w:val="center"/>
              <w:rPr>
                <w:b/>
                <w:lang w:val="es-ES_tradnl"/>
              </w:rPr>
            </w:pPr>
            <w:r w:rsidRPr="00B34E6B">
              <w:rPr>
                <w:b/>
                <w:lang w:val="es-ES_tradnl"/>
              </w:rPr>
              <w:t xml:space="preserve">Recomendaciones resultantes de exámenes de la DCI efectuados en </w:t>
            </w:r>
            <w:r w:rsidR="00D252C2" w:rsidRPr="00B34E6B">
              <w:rPr>
                <w:b/>
                <w:lang w:val="es-ES_tradnl"/>
              </w:rPr>
              <w:t>2013</w:t>
            </w:r>
          </w:p>
        </w:tc>
      </w:tr>
      <w:tr w:rsidR="00D252C2" w:rsidRPr="006508B9" w:rsidTr="009F12BA">
        <w:trPr>
          <w:trHeight w:val="521"/>
        </w:trPr>
        <w:tc>
          <w:tcPr>
            <w:tcW w:w="9576" w:type="dxa"/>
            <w:gridSpan w:val="5"/>
            <w:shd w:val="clear" w:color="auto" w:fill="DAEEF3" w:themeFill="accent5" w:themeFillTint="33"/>
            <w:vAlign w:val="center"/>
          </w:tcPr>
          <w:p w:rsidR="00D252C2" w:rsidRPr="00B34E6B" w:rsidRDefault="00D252C2" w:rsidP="00BE2EB0">
            <w:pPr>
              <w:jc w:val="center"/>
              <w:rPr>
                <w:b/>
                <w:sz w:val="18"/>
                <w:szCs w:val="18"/>
                <w:lang w:val="es-ES_tradnl"/>
              </w:rPr>
            </w:pPr>
          </w:p>
          <w:p w:rsidR="00D252C2" w:rsidRPr="00B34E6B" w:rsidRDefault="00D252C2" w:rsidP="009B29E9">
            <w:pPr>
              <w:shd w:val="clear" w:color="auto" w:fill="DAEEF3" w:themeFill="accent5" w:themeFillTint="33"/>
              <w:jc w:val="center"/>
              <w:rPr>
                <w:b/>
                <w:sz w:val="18"/>
                <w:szCs w:val="18"/>
                <w:lang w:val="es-ES_tradnl"/>
              </w:rPr>
            </w:pPr>
            <w:r w:rsidRPr="00B34E6B">
              <w:rPr>
                <w:b/>
                <w:sz w:val="18"/>
                <w:szCs w:val="18"/>
                <w:lang w:val="es-ES_tradnl"/>
              </w:rPr>
              <w:t>JIU/REP/2013/1 “</w:t>
            </w:r>
            <w:r w:rsidR="00882A9B" w:rsidRPr="00B34E6B">
              <w:rPr>
                <w:rStyle w:val="s"/>
                <w:b/>
                <w:sz w:val="18"/>
                <w:szCs w:val="18"/>
                <w:lang w:val="es-ES_tradnl"/>
              </w:rPr>
              <w:t xml:space="preserve">Examen </w:t>
            </w:r>
            <w:r w:rsidR="007761E4" w:rsidRPr="00B34E6B">
              <w:rPr>
                <w:rStyle w:val="s"/>
                <w:b/>
                <w:sz w:val="18"/>
                <w:szCs w:val="18"/>
                <w:lang w:val="es-ES_tradnl"/>
              </w:rPr>
              <w:t>de los acuerdos a largo plazo en materia de adquisiciones</w:t>
            </w:r>
            <w:r w:rsidRPr="00B34E6B">
              <w:rPr>
                <w:b/>
                <w:sz w:val="18"/>
                <w:szCs w:val="18"/>
                <w:lang w:val="es-ES_tradnl"/>
              </w:rPr>
              <w:t>”</w:t>
            </w:r>
          </w:p>
          <w:p w:rsidR="00D252C2" w:rsidRPr="00B34E6B" w:rsidRDefault="00D252C2" w:rsidP="00BE2EB0">
            <w:pPr>
              <w:jc w:val="center"/>
              <w:rPr>
                <w:b/>
                <w:sz w:val="18"/>
                <w:szCs w:val="18"/>
                <w:lang w:val="es-ES_tradnl"/>
              </w:rPr>
            </w:pPr>
          </w:p>
        </w:tc>
      </w:tr>
      <w:tr w:rsidR="00D252C2" w:rsidRPr="006508B9" w:rsidTr="009F12BA">
        <w:trPr>
          <w:trHeight w:val="521"/>
        </w:trPr>
        <w:tc>
          <w:tcPr>
            <w:tcW w:w="2628" w:type="dxa"/>
            <w:shd w:val="clear" w:color="auto" w:fill="auto"/>
          </w:tcPr>
          <w:p w:rsidR="00D252C2" w:rsidRPr="00B34E6B" w:rsidRDefault="00D252C2" w:rsidP="00882A9B">
            <w:pPr>
              <w:rPr>
                <w:sz w:val="18"/>
                <w:szCs w:val="18"/>
                <w:lang w:val="es-ES_tradnl"/>
              </w:rPr>
            </w:pPr>
            <w:r w:rsidRPr="00B34E6B">
              <w:rPr>
                <w:sz w:val="18"/>
                <w:szCs w:val="18"/>
                <w:lang w:val="es-ES_tradnl"/>
              </w:rPr>
              <w:t xml:space="preserve">Rec. 5.  </w:t>
            </w:r>
            <w:r w:rsidR="00882A9B" w:rsidRPr="00B34E6B">
              <w:rPr>
                <w:sz w:val="18"/>
                <w:szCs w:val="18"/>
                <w:lang w:val="es-ES_tradnl"/>
              </w:rPr>
              <w:t>Los órganos legislativos/rectores deben desempeñar su papel de supervisión sobre la función y las actividades en materia de adquisiciones con el fin de garantizar que esa función cumple adecuadamente su papel estratégico y que las actividades de adquisición, incluidos los acuerdos a largo plazo, se llevan a cabo sobre la base de sólidos planes y estrategias de adquisiciones</w:t>
            </w:r>
            <w:r w:rsidRPr="00B34E6B">
              <w:rPr>
                <w:sz w:val="18"/>
                <w:szCs w:val="18"/>
                <w:lang w:val="es-ES_tradnl"/>
              </w:rPr>
              <w:t>.</w:t>
            </w:r>
          </w:p>
        </w:tc>
        <w:tc>
          <w:tcPr>
            <w:tcW w:w="1350" w:type="dxa"/>
            <w:shd w:val="clear" w:color="auto" w:fill="auto"/>
          </w:tcPr>
          <w:p w:rsidR="00241913" w:rsidRPr="00B34E6B" w:rsidRDefault="00241913" w:rsidP="00CD626D">
            <w:pPr>
              <w:rPr>
                <w:sz w:val="18"/>
                <w:szCs w:val="18"/>
                <w:lang w:val="es-ES_tradnl"/>
              </w:rPr>
            </w:pPr>
          </w:p>
          <w:p w:rsidR="00D252C2" w:rsidRPr="00B34E6B" w:rsidRDefault="00D252C2" w:rsidP="00882A9B">
            <w:pPr>
              <w:rPr>
                <w:sz w:val="18"/>
                <w:szCs w:val="18"/>
                <w:lang w:val="es-ES_tradnl"/>
              </w:rPr>
            </w:pPr>
            <w:r w:rsidRPr="00B34E6B">
              <w:rPr>
                <w:sz w:val="18"/>
                <w:szCs w:val="18"/>
                <w:lang w:val="es-ES_tradnl"/>
              </w:rPr>
              <w:t>Director</w:t>
            </w:r>
            <w:r w:rsidR="00882A9B" w:rsidRPr="00B34E6B">
              <w:rPr>
                <w:sz w:val="18"/>
                <w:szCs w:val="18"/>
                <w:lang w:val="es-ES_tradnl"/>
              </w:rPr>
              <w:t>a</w:t>
            </w:r>
            <w:r w:rsidRPr="00B34E6B">
              <w:rPr>
                <w:sz w:val="18"/>
                <w:szCs w:val="18"/>
                <w:lang w:val="es-ES_tradnl"/>
              </w:rPr>
              <w:t>,</w:t>
            </w:r>
            <w:r w:rsidR="00882A9B" w:rsidRPr="00B34E6B">
              <w:rPr>
                <w:sz w:val="18"/>
                <w:szCs w:val="18"/>
                <w:lang w:val="es-ES_tradnl"/>
              </w:rPr>
              <w:t xml:space="preserve"> División de Adquisiciones y Viajes</w:t>
            </w:r>
          </w:p>
        </w:tc>
        <w:tc>
          <w:tcPr>
            <w:tcW w:w="1350" w:type="dxa"/>
            <w:shd w:val="clear" w:color="auto" w:fill="auto"/>
            <w:vAlign w:val="center"/>
          </w:tcPr>
          <w:p w:rsidR="008A58E7" w:rsidRPr="00B34E6B" w:rsidRDefault="008A58E7" w:rsidP="008A58E7">
            <w:pPr>
              <w:rPr>
                <w:sz w:val="18"/>
                <w:szCs w:val="18"/>
                <w:lang w:val="es-ES_tradnl"/>
              </w:rPr>
            </w:pPr>
          </w:p>
          <w:p w:rsidR="00D252C2" w:rsidRPr="00B34E6B" w:rsidRDefault="008A58E7" w:rsidP="008A58E7">
            <w:pPr>
              <w:jc w:val="center"/>
              <w:rPr>
                <w:sz w:val="18"/>
                <w:szCs w:val="18"/>
                <w:lang w:val="es-ES_tradnl"/>
              </w:rPr>
            </w:pPr>
            <w:r w:rsidRPr="00B34E6B">
              <w:rPr>
                <w:sz w:val="18"/>
                <w:szCs w:val="18"/>
                <w:lang w:val="es-ES_tradnl"/>
              </w:rPr>
              <w:t xml:space="preserve">Aceptada </w:t>
            </w: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jc w:val="center"/>
              <w:rPr>
                <w:sz w:val="18"/>
                <w:szCs w:val="18"/>
                <w:lang w:val="es-ES_tradnl"/>
              </w:rPr>
            </w:pPr>
          </w:p>
          <w:p w:rsidR="008A58E7" w:rsidRPr="00B34E6B" w:rsidRDefault="008A58E7" w:rsidP="008A58E7">
            <w:pPr>
              <w:rPr>
                <w:b/>
                <w:lang w:val="es-ES_tradnl"/>
              </w:rPr>
            </w:pPr>
          </w:p>
        </w:tc>
        <w:tc>
          <w:tcPr>
            <w:tcW w:w="1620" w:type="dxa"/>
            <w:shd w:val="clear" w:color="auto" w:fill="auto"/>
            <w:vAlign w:val="center"/>
          </w:tcPr>
          <w:p w:rsidR="00241913" w:rsidRPr="00B34E6B" w:rsidRDefault="00241913" w:rsidP="00BE2EB0">
            <w:pPr>
              <w:jc w:val="center"/>
              <w:rPr>
                <w:sz w:val="18"/>
                <w:szCs w:val="18"/>
                <w:lang w:val="es-ES_tradnl"/>
              </w:rPr>
            </w:pPr>
          </w:p>
          <w:p w:rsidR="00D252C2" w:rsidRPr="00B34E6B" w:rsidRDefault="00882A9B" w:rsidP="00BE2EB0">
            <w:pPr>
              <w:jc w:val="center"/>
              <w:rPr>
                <w:sz w:val="18"/>
                <w:szCs w:val="18"/>
                <w:lang w:val="es-ES_tradnl"/>
              </w:rPr>
            </w:pPr>
            <w:r w:rsidRPr="00B34E6B">
              <w:rPr>
                <w:sz w:val="18"/>
                <w:szCs w:val="18"/>
                <w:lang w:val="es-ES_tradnl"/>
              </w:rPr>
              <w:t>Aplicada</w:t>
            </w: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850569" w:rsidRPr="00B34E6B" w:rsidRDefault="00850569"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p w:rsidR="00241913" w:rsidRPr="00B34E6B" w:rsidRDefault="00241913" w:rsidP="00BE2EB0">
            <w:pPr>
              <w:jc w:val="center"/>
              <w:rPr>
                <w:sz w:val="18"/>
                <w:szCs w:val="18"/>
                <w:lang w:val="es-ES_tradnl"/>
              </w:rPr>
            </w:pPr>
          </w:p>
        </w:tc>
        <w:tc>
          <w:tcPr>
            <w:tcW w:w="2628" w:type="dxa"/>
            <w:shd w:val="clear" w:color="auto" w:fill="auto"/>
            <w:vAlign w:val="center"/>
          </w:tcPr>
          <w:p w:rsidR="00241913" w:rsidRPr="00B34E6B" w:rsidRDefault="00241913" w:rsidP="00BC3D77">
            <w:pPr>
              <w:rPr>
                <w:sz w:val="18"/>
                <w:szCs w:val="18"/>
                <w:lang w:val="es-ES_tradnl"/>
              </w:rPr>
            </w:pPr>
          </w:p>
          <w:p w:rsidR="00241913" w:rsidRPr="00B34E6B" w:rsidRDefault="00882A9B" w:rsidP="00BC3D77">
            <w:pPr>
              <w:rPr>
                <w:sz w:val="18"/>
                <w:szCs w:val="18"/>
                <w:lang w:val="es-ES_tradnl"/>
              </w:rPr>
            </w:pPr>
            <w:r w:rsidRPr="00B34E6B">
              <w:rPr>
                <w:sz w:val="18"/>
                <w:szCs w:val="18"/>
                <w:lang w:val="es-ES_tradnl"/>
              </w:rPr>
              <w:t xml:space="preserve">La OMPI presenta informes sobre sus adquisiciones y el logro de los resultados previstos por la vía del Informe sobre el rendimiento de los programas, que somete a sus Estados miembros, </w:t>
            </w:r>
            <w:r w:rsidR="00044498" w:rsidRPr="00B34E6B">
              <w:rPr>
                <w:sz w:val="18"/>
                <w:szCs w:val="18"/>
                <w:lang w:val="es-ES_tradnl"/>
              </w:rPr>
              <w:t>y es objeto</w:t>
            </w:r>
            <w:r w:rsidRPr="00B34E6B">
              <w:rPr>
                <w:sz w:val="18"/>
                <w:szCs w:val="18"/>
                <w:lang w:val="es-ES_tradnl"/>
              </w:rPr>
              <w:t xml:space="preserve"> de las auditorías que regularmente realizan el Auditor Interno y el Auditor Externo</w:t>
            </w:r>
            <w:r w:rsidR="00044498" w:rsidRPr="00B34E6B">
              <w:rPr>
                <w:sz w:val="18"/>
                <w:szCs w:val="18"/>
                <w:lang w:val="es-ES_tradnl"/>
              </w:rPr>
              <w:t>, y presenta informes frecuentes a la CCIS sobre la marcha de la aplicación de las recomendaciones de los auditores</w:t>
            </w:r>
            <w:r w:rsidR="00241913" w:rsidRPr="00B34E6B">
              <w:rPr>
                <w:sz w:val="18"/>
                <w:szCs w:val="18"/>
                <w:lang w:val="es-ES_tradnl"/>
              </w:rPr>
              <w:t>.</w:t>
            </w:r>
          </w:p>
          <w:p w:rsidR="00241913" w:rsidRPr="00B34E6B" w:rsidRDefault="00241913" w:rsidP="00BC3D77">
            <w:pPr>
              <w:rPr>
                <w:b/>
                <w:lang w:val="es-ES_tradnl"/>
              </w:rPr>
            </w:pPr>
          </w:p>
        </w:tc>
      </w:tr>
      <w:tr w:rsidR="00D252C2" w:rsidRPr="006508B9" w:rsidTr="009F12BA">
        <w:trPr>
          <w:trHeight w:val="521"/>
        </w:trPr>
        <w:tc>
          <w:tcPr>
            <w:tcW w:w="9576" w:type="dxa"/>
            <w:gridSpan w:val="5"/>
            <w:shd w:val="clear" w:color="auto" w:fill="auto"/>
            <w:vAlign w:val="center"/>
          </w:tcPr>
          <w:p w:rsidR="00D252C2" w:rsidRPr="00B34E6B" w:rsidRDefault="008A58E7" w:rsidP="008A58E7">
            <w:pPr>
              <w:keepNext/>
              <w:keepLines/>
              <w:jc w:val="center"/>
              <w:rPr>
                <w:b/>
                <w:lang w:val="es-ES_tradnl"/>
              </w:rPr>
            </w:pPr>
            <w:r w:rsidRPr="00B34E6B">
              <w:rPr>
                <w:b/>
                <w:lang w:val="es-ES_tradnl"/>
              </w:rPr>
              <w:lastRenderedPageBreak/>
              <w:t xml:space="preserve">Recomendaciones resultantes de exámenes de la DCI efectuados en </w:t>
            </w:r>
            <w:r w:rsidR="00D252C2" w:rsidRPr="00B34E6B">
              <w:rPr>
                <w:b/>
                <w:lang w:val="es-ES_tradnl"/>
              </w:rPr>
              <w:t>2012</w:t>
            </w:r>
          </w:p>
        </w:tc>
      </w:tr>
      <w:tr w:rsidR="00D252C2" w:rsidRPr="006508B9" w:rsidTr="009F12BA">
        <w:tc>
          <w:tcPr>
            <w:tcW w:w="9576" w:type="dxa"/>
            <w:gridSpan w:val="5"/>
            <w:shd w:val="clear" w:color="auto" w:fill="DAEEF3" w:themeFill="accent5" w:themeFillTint="33"/>
          </w:tcPr>
          <w:p w:rsidR="00D252C2" w:rsidRPr="00B34E6B" w:rsidRDefault="00D252C2" w:rsidP="008A58E7">
            <w:pPr>
              <w:keepNext/>
              <w:keepLines/>
              <w:jc w:val="center"/>
              <w:rPr>
                <w:b/>
                <w:sz w:val="18"/>
                <w:szCs w:val="18"/>
                <w:lang w:val="es-ES_tradnl"/>
              </w:rPr>
            </w:pPr>
          </w:p>
          <w:p w:rsidR="00D252C2" w:rsidRPr="00B34E6B" w:rsidRDefault="00D252C2" w:rsidP="008A58E7">
            <w:pPr>
              <w:keepNext/>
              <w:keepLines/>
              <w:jc w:val="center"/>
              <w:rPr>
                <w:b/>
                <w:sz w:val="18"/>
                <w:szCs w:val="18"/>
                <w:lang w:val="es-ES_tradnl"/>
              </w:rPr>
            </w:pPr>
            <w:r w:rsidRPr="00B34E6B">
              <w:rPr>
                <w:b/>
                <w:sz w:val="18"/>
                <w:szCs w:val="18"/>
                <w:lang w:val="es-ES_tradnl"/>
              </w:rPr>
              <w:t>JIU/REP/2012/2, “</w:t>
            </w:r>
            <w:r w:rsidR="008A58E7" w:rsidRPr="00B34E6B">
              <w:rPr>
                <w:b/>
                <w:sz w:val="18"/>
                <w:szCs w:val="18"/>
                <w:lang w:val="es-ES_tradnl"/>
              </w:rPr>
              <w:t xml:space="preserve">Gestión de las licencias de enfermedad en las organizaciones del </w:t>
            </w:r>
            <w:r w:rsidR="008A58E7" w:rsidRPr="00B34E6B">
              <w:rPr>
                <w:b/>
                <w:sz w:val="18"/>
                <w:szCs w:val="18"/>
                <w:lang w:val="es-ES_tradnl"/>
              </w:rPr>
              <w:br/>
              <w:t>Sistema de las Naciones Unidas</w:t>
            </w:r>
            <w:r w:rsidRPr="00B34E6B">
              <w:rPr>
                <w:b/>
                <w:sz w:val="18"/>
                <w:szCs w:val="18"/>
                <w:lang w:val="es-ES_tradnl"/>
              </w:rPr>
              <w:t>”</w:t>
            </w:r>
          </w:p>
          <w:p w:rsidR="00D252C2" w:rsidRPr="00B34E6B" w:rsidRDefault="00D252C2" w:rsidP="008A58E7">
            <w:pPr>
              <w:keepNext/>
              <w:keepLines/>
              <w:jc w:val="center"/>
              <w:rPr>
                <w:b/>
                <w:sz w:val="18"/>
                <w:szCs w:val="18"/>
                <w:lang w:val="es-ES_tradnl"/>
              </w:rPr>
            </w:pPr>
          </w:p>
        </w:tc>
      </w:tr>
      <w:tr w:rsidR="00D252C2" w:rsidRPr="006508B9" w:rsidTr="009F12BA">
        <w:tc>
          <w:tcPr>
            <w:tcW w:w="2628" w:type="dxa"/>
          </w:tcPr>
          <w:p w:rsidR="00D252C2" w:rsidRDefault="00D252C2" w:rsidP="008A58E7">
            <w:pPr>
              <w:autoSpaceDE w:val="0"/>
              <w:autoSpaceDN w:val="0"/>
              <w:adjustRightInd w:val="0"/>
              <w:rPr>
                <w:sz w:val="18"/>
                <w:szCs w:val="18"/>
                <w:lang w:val="es-ES_tradnl"/>
              </w:rPr>
            </w:pPr>
            <w:r w:rsidRPr="00B34E6B">
              <w:rPr>
                <w:sz w:val="18"/>
                <w:szCs w:val="18"/>
                <w:lang w:val="es-ES_tradnl"/>
              </w:rPr>
              <w:t xml:space="preserve">Rec. 5. </w:t>
            </w:r>
            <w:r w:rsidR="008A58E7" w:rsidRPr="00B34E6B">
              <w:rPr>
                <w:rFonts w:eastAsia="Times New Roman"/>
                <w:bCs/>
                <w:sz w:val="18"/>
                <w:szCs w:val="18"/>
                <w:lang w:val="es-ES_tradnl" w:eastAsia="en-US"/>
              </w:rPr>
              <w:t>Los órganos legislativos de las organizaciones del sistema de las Naciones Unidas deberían pedir a los jefes ejecutivos que les presentasen informes detallados, con periodicidad anual o bienal, sobre las licencias de enfermedad, con inclusión de datos estadísticos y financieros, y sobre las medidas adoptadas por la organización para reducir el ausentismo por licencia de enfermedad</w:t>
            </w:r>
            <w:r w:rsidRPr="00B34E6B">
              <w:rPr>
                <w:sz w:val="18"/>
                <w:szCs w:val="18"/>
                <w:lang w:val="es-ES_tradnl"/>
              </w:rPr>
              <w:t>.</w:t>
            </w:r>
          </w:p>
          <w:p w:rsidR="00105436" w:rsidRPr="00B34E6B" w:rsidRDefault="00105436" w:rsidP="008A58E7">
            <w:pPr>
              <w:autoSpaceDE w:val="0"/>
              <w:autoSpaceDN w:val="0"/>
              <w:adjustRightInd w:val="0"/>
              <w:rPr>
                <w:sz w:val="18"/>
                <w:szCs w:val="18"/>
                <w:lang w:val="es-ES_tradnl"/>
              </w:rPr>
            </w:pPr>
          </w:p>
        </w:tc>
        <w:tc>
          <w:tcPr>
            <w:tcW w:w="1350" w:type="dxa"/>
          </w:tcPr>
          <w:p w:rsidR="00850569" w:rsidRPr="00B34E6B" w:rsidRDefault="00850569">
            <w:pPr>
              <w:rPr>
                <w:sz w:val="18"/>
                <w:szCs w:val="18"/>
                <w:lang w:val="es-ES_tradnl"/>
              </w:rPr>
            </w:pPr>
          </w:p>
          <w:p w:rsidR="00D252C2" w:rsidRPr="00B34E6B" w:rsidRDefault="00D252C2" w:rsidP="008A58E7">
            <w:pPr>
              <w:rPr>
                <w:sz w:val="18"/>
                <w:szCs w:val="18"/>
                <w:lang w:val="es-ES_tradnl"/>
              </w:rPr>
            </w:pPr>
            <w:r w:rsidRPr="00B34E6B">
              <w:rPr>
                <w:sz w:val="18"/>
                <w:szCs w:val="18"/>
                <w:lang w:val="es-ES_tradnl"/>
              </w:rPr>
              <w:t>Director</w:t>
            </w:r>
            <w:r w:rsidR="008A58E7" w:rsidRPr="00B34E6B">
              <w:rPr>
                <w:sz w:val="18"/>
                <w:szCs w:val="18"/>
                <w:lang w:val="es-ES_tradnl"/>
              </w:rPr>
              <w:t>a</w:t>
            </w:r>
            <w:r w:rsidRPr="00B34E6B">
              <w:rPr>
                <w:sz w:val="18"/>
                <w:szCs w:val="18"/>
                <w:lang w:val="es-ES_tradnl"/>
              </w:rPr>
              <w:t xml:space="preserve">, </w:t>
            </w:r>
            <w:r w:rsidR="008A58E7" w:rsidRPr="00B34E6B">
              <w:rPr>
                <w:sz w:val="18"/>
                <w:szCs w:val="18"/>
                <w:lang w:val="es-ES_tradnl"/>
              </w:rPr>
              <w:t>DGRRHH</w:t>
            </w:r>
          </w:p>
        </w:tc>
        <w:tc>
          <w:tcPr>
            <w:tcW w:w="1350" w:type="dxa"/>
          </w:tcPr>
          <w:p w:rsidR="00850569" w:rsidRPr="00B34E6B" w:rsidRDefault="00850569" w:rsidP="00E12316">
            <w:pPr>
              <w:rPr>
                <w:sz w:val="18"/>
                <w:szCs w:val="18"/>
                <w:lang w:val="es-ES_tradnl"/>
              </w:rPr>
            </w:pPr>
          </w:p>
          <w:p w:rsidR="00D252C2" w:rsidRPr="00B34E6B" w:rsidRDefault="00D252C2" w:rsidP="008A58E7">
            <w:pPr>
              <w:rPr>
                <w:sz w:val="18"/>
                <w:szCs w:val="18"/>
                <w:lang w:val="es-ES_tradnl"/>
              </w:rPr>
            </w:pPr>
            <w:r w:rsidRPr="00B34E6B">
              <w:rPr>
                <w:sz w:val="18"/>
                <w:szCs w:val="18"/>
                <w:lang w:val="es-ES_tradnl"/>
              </w:rPr>
              <w:t>Ac</w:t>
            </w:r>
            <w:r w:rsidR="008A58E7" w:rsidRPr="00B34E6B">
              <w:rPr>
                <w:sz w:val="18"/>
                <w:szCs w:val="18"/>
                <w:lang w:val="es-ES_tradnl"/>
              </w:rPr>
              <w:t>eptada</w:t>
            </w:r>
            <w:r w:rsidRPr="00B34E6B">
              <w:rPr>
                <w:sz w:val="18"/>
                <w:szCs w:val="18"/>
                <w:lang w:val="es-ES_tradnl"/>
              </w:rPr>
              <w:t xml:space="preserve"> </w:t>
            </w:r>
          </w:p>
        </w:tc>
        <w:tc>
          <w:tcPr>
            <w:tcW w:w="1620" w:type="dxa"/>
          </w:tcPr>
          <w:p w:rsidR="00850569" w:rsidRPr="00B34E6B" w:rsidRDefault="00850569" w:rsidP="00C64D0E">
            <w:pPr>
              <w:rPr>
                <w:sz w:val="18"/>
                <w:szCs w:val="18"/>
                <w:lang w:val="es-ES_tradnl"/>
              </w:rPr>
            </w:pPr>
          </w:p>
          <w:p w:rsidR="00D252C2" w:rsidRPr="00B34E6B" w:rsidRDefault="008A58E7" w:rsidP="008A58E7">
            <w:pPr>
              <w:rPr>
                <w:sz w:val="18"/>
                <w:szCs w:val="18"/>
                <w:lang w:val="es-ES_tradnl"/>
              </w:rPr>
            </w:pPr>
            <w:r w:rsidRPr="00B34E6B">
              <w:rPr>
                <w:sz w:val="18"/>
                <w:szCs w:val="18"/>
                <w:lang w:val="es-ES_tradnl"/>
              </w:rPr>
              <w:t>Aplicada</w:t>
            </w:r>
          </w:p>
        </w:tc>
        <w:tc>
          <w:tcPr>
            <w:tcW w:w="2628" w:type="dxa"/>
          </w:tcPr>
          <w:p w:rsidR="00850569" w:rsidRPr="00B34E6B" w:rsidRDefault="00850569">
            <w:pPr>
              <w:rPr>
                <w:sz w:val="18"/>
                <w:szCs w:val="18"/>
                <w:lang w:val="es-ES_tradnl"/>
              </w:rPr>
            </w:pPr>
          </w:p>
          <w:p w:rsidR="00D252C2" w:rsidRPr="00B34E6B" w:rsidRDefault="008A58E7" w:rsidP="008A58E7">
            <w:pPr>
              <w:rPr>
                <w:sz w:val="18"/>
                <w:szCs w:val="18"/>
                <w:lang w:val="es-ES_tradnl"/>
              </w:rPr>
            </w:pPr>
            <w:r w:rsidRPr="00B34E6B">
              <w:rPr>
                <w:sz w:val="18"/>
                <w:szCs w:val="18"/>
                <w:lang w:val="es-ES_tradnl"/>
              </w:rPr>
              <w:t>La OMPI proporciona a los Estados miembros datos estadísticos sobre la licencia por enfermedad y el ausentismo, en el Informe anual sobre recursos humanos</w:t>
            </w:r>
            <w:r w:rsidR="00C64D0E" w:rsidRPr="00B34E6B">
              <w:rPr>
                <w:sz w:val="18"/>
                <w:szCs w:val="18"/>
                <w:lang w:val="es-ES_tradnl"/>
              </w:rPr>
              <w:t>.</w:t>
            </w:r>
          </w:p>
        </w:tc>
      </w:tr>
      <w:tr w:rsidR="00D252C2" w:rsidRPr="006508B9" w:rsidTr="009F12BA">
        <w:tc>
          <w:tcPr>
            <w:tcW w:w="9576" w:type="dxa"/>
            <w:gridSpan w:val="5"/>
            <w:shd w:val="clear" w:color="auto" w:fill="DAEEF3" w:themeFill="accent5" w:themeFillTint="33"/>
          </w:tcPr>
          <w:p w:rsidR="00D252C2" w:rsidRPr="00B34E6B" w:rsidRDefault="00D252C2" w:rsidP="00544965">
            <w:pPr>
              <w:jc w:val="center"/>
              <w:rPr>
                <w:b/>
                <w:sz w:val="18"/>
                <w:szCs w:val="18"/>
                <w:lang w:val="es-ES_tradnl"/>
              </w:rPr>
            </w:pPr>
          </w:p>
          <w:p w:rsidR="00D252C2" w:rsidRPr="00B34E6B" w:rsidRDefault="00D252C2" w:rsidP="00544965">
            <w:pPr>
              <w:jc w:val="center"/>
              <w:rPr>
                <w:b/>
                <w:sz w:val="18"/>
                <w:szCs w:val="18"/>
                <w:lang w:val="es-ES_tradnl"/>
              </w:rPr>
            </w:pPr>
            <w:r w:rsidRPr="00B34E6B">
              <w:rPr>
                <w:b/>
                <w:sz w:val="18"/>
                <w:szCs w:val="18"/>
                <w:lang w:val="es-ES_tradnl"/>
              </w:rPr>
              <w:t>JIU/REP/2012/8 “</w:t>
            </w:r>
            <w:r w:rsidR="007D1439" w:rsidRPr="00B34E6B">
              <w:rPr>
                <w:b/>
                <w:sz w:val="18"/>
                <w:szCs w:val="18"/>
                <w:lang w:val="es-ES_tradnl"/>
              </w:rPr>
              <w:t>Examen de los sistemas de planificación de los recursos institucionales en las organizaciones del sistema de las Naciones Unidas</w:t>
            </w:r>
            <w:r w:rsidRPr="00B34E6B">
              <w:rPr>
                <w:b/>
                <w:sz w:val="18"/>
                <w:szCs w:val="18"/>
                <w:lang w:val="es-ES_tradnl"/>
              </w:rPr>
              <w:t xml:space="preserve">” </w:t>
            </w:r>
          </w:p>
          <w:p w:rsidR="00D252C2" w:rsidRPr="00B34E6B" w:rsidRDefault="00D252C2" w:rsidP="00544965">
            <w:pPr>
              <w:jc w:val="center"/>
              <w:rPr>
                <w:b/>
                <w:sz w:val="18"/>
                <w:szCs w:val="18"/>
                <w:lang w:val="es-ES_tradnl"/>
              </w:rPr>
            </w:pPr>
          </w:p>
        </w:tc>
      </w:tr>
      <w:tr w:rsidR="00D252C2" w:rsidRPr="006508B9" w:rsidTr="009F12BA">
        <w:tc>
          <w:tcPr>
            <w:tcW w:w="2628" w:type="dxa"/>
          </w:tcPr>
          <w:p w:rsidR="00D252C2" w:rsidRDefault="00D252C2" w:rsidP="007D1439">
            <w:pPr>
              <w:autoSpaceDE w:val="0"/>
              <w:autoSpaceDN w:val="0"/>
              <w:adjustRightInd w:val="0"/>
              <w:rPr>
                <w:sz w:val="18"/>
                <w:szCs w:val="18"/>
                <w:lang w:val="es-ES_tradnl"/>
              </w:rPr>
            </w:pPr>
            <w:r w:rsidRPr="00B34E6B">
              <w:rPr>
                <w:sz w:val="18"/>
                <w:szCs w:val="18"/>
                <w:lang w:val="es-ES_tradnl"/>
              </w:rPr>
              <w:t xml:space="preserve">Rec. 2.  </w:t>
            </w:r>
            <w:r w:rsidR="007D1439" w:rsidRPr="00B34E6B">
              <w:rPr>
                <w:rFonts w:eastAsia="Times New Roman"/>
                <w:bCs/>
                <w:sz w:val="18"/>
                <w:szCs w:val="18"/>
                <w:lang w:val="es-ES_tradnl" w:eastAsia="en-US"/>
              </w:rPr>
              <w:t>Los órganos legislativos o rectores de las organizaciones del sistema de las Naciones Unidas deben ejercer su función de supervisión y vigilancia sobre sus respectivos proyectos de planificación de los recursos institucionales de manera continua, entre otras cosas, sobre la aplicación, la política de mantenimiento y crecimiento, la eficacia en función de los costos y los logros de los objetivos generales de los proyectos</w:t>
            </w:r>
            <w:r w:rsidRPr="00B34E6B">
              <w:rPr>
                <w:sz w:val="18"/>
                <w:szCs w:val="18"/>
                <w:lang w:val="es-ES_tradnl"/>
              </w:rPr>
              <w:t>.</w:t>
            </w:r>
          </w:p>
          <w:p w:rsidR="00105436" w:rsidRPr="00B34E6B" w:rsidRDefault="00105436" w:rsidP="007D1439">
            <w:pPr>
              <w:autoSpaceDE w:val="0"/>
              <w:autoSpaceDN w:val="0"/>
              <w:adjustRightInd w:val="0"/>
              <w:rPr>
                <w:sz w:val="18"/>
                <w:szCs w:val="18"/>
                <w:lang w:val="es-ES_tradnl"/>
              </w:rPr>
            </w:pPr>
          </w:p>
        </w:tc>
        <w:tc>
          <w:tcPr>
            <w:tcW w:w="1350" w:type="dxa"/>
          </w:tcPr>
          <w:p w:rsidR="00850569" w:rsidRPr="00B34E6B" w:rsidRDefault="00850569">
            <w:pPr>
              <w:rPr>
                <w:sz w:val="18"/>
                <w:szCs w:val="18"/>
                <w:lang w:val="es-ES_tradnl"/>
              </w:rPr>
            </w:pPr>
          </w:p>
          <w:p w:rsidR="00D252C2" w:rsidRPr="00B34E6B" w:rsidRDefault="00D252C2">
            <w:pPr>
              <w:rPr>
                <w:sz w:val="18"/>
                <w:szCs w:val="18"/>
                <w:lang w:val="es-ES_tradnl"/>
              </w:rPr>
            </w:pPr>
            <w:r w:rsidRPr="00B34E6B">
              <w:rPr>
                <w:sz w:val="18"/>
                <w:szCs w:val="18"/>
                <w:lang w:val="es-ES_tradnl"/>
              </w:rPr>
              <w:t>Director</w:t>
            </w:r>
            <w:r w:rsidR="007D1439" w:rsidRPr="00B34E6B">
              <w:rPr>
                <w:sz w:val="18"/>
                <w:szCs w:val="18"/>
                <w:lang w:val="es-ES_tradnl"/>
              </w:rPr>
              <w:t>a</w:t>
            </w:r>
            <w:r w:rsidRPr="00B34E6B">
              <w:rPr>
                <w:sz w:val="18"/>
                <w:szCs w:val="18"/>
                <w:lang w:val="es-ES_tradnl"/>
              </w:rPr>
              <w:t xml:space="preserve">, </w:t>
            </w:r>
          </w:p>
          <w:p w:rsidR="00D252C2" w:rsidRPr="00B34E6B" w:rsidRDefault="00D252C2" w:rsidP="007D1439">
            <w:pPr>
              <w:rPr>
                <w:sz w:val="18"/>
                <w:szCs w:val="18"/>
                <w:lang w:val="es-ES_tradnl"/>
              </w:rPr>
            </w:pPr>
            <w:r w:rsidRPr="00B34E6B">
              <w:rPr>
                <w:sz w:val="18"/>
                <w:szCs w:val="18"/>
                <w:lang w:val="es-ES_tradnl"/>
              </w:rPr>
              <w:t>Depto</w:t>
            </w:r>
            <w:r w:rsidR="007D1439" w:rsidRPr="00B34E6B">
              <w:rPr>
                <w:sz w:val="18"/>
                <w:szCs w:val="18"/>
                <w:lang w:val="es-ES_tradnl"/>
              </w:rPr>
              <w:t>. de Planificación de Programas y Finanzas</w:t>
            </w:r>
          </w:p>
        </w:tc>
        <w:tc>
          <w:tcPr>
            <w:tcW w:w="1350" w:type="dxa"/>
          </w:tcPr>
          <w:p w:rsidR="00850569" w:rsidRPr="00B34E6B" w:rsidRDefault="00850569" w:rsidP="00047BB7">
            <w:pPr>
              <w:rPr>
                <w:sz w:val="18"/>
                <w:szCs w:val="18"/>
                <w:lang w:val="es-ES_tradnl"/>
              </w:rPr>
            </w:pPr>
          </w:p>
          <w:p w:rsidR="00D252C2" w:rsidRPr="00B34E6B" w:rsidRDefault="007D1439" w:rsidP="007D1439">
            <w:pPr>
              <w:rPr>
                <w:sz w:val="18"/>
                <w:szCs w:val="18"/>
                <w:lang w:val="es-ES_tradnl"/>
              </w:rPr>
            </w:pPr>
            <w:r w:rsidRPr="00B34E6B">
              <w:rPr>
                <w:sz w:val="18"/>
                <w:szCs w:val="18"/>
                <w:lang w:val="es-ES_tradnl"/>
              </w:rPr>
              <w:t>Ac</w:t>
            </w:r>
            <w:r w:rsidR="00D252C2" w:rsidRPr="00B34E6B">
              <w:rPr>
                <w:sz w:val="18"/>
                <w:szCs w:val="18"/>
                <w:lang w:val="es-ES_tradnl"/>
              </w:rPr>
              <w:t>ep</w:t>
            </w:r>
            <w:r w:rsidRPr="00B34E6B">
              <w:rPr>
                <w:sz w:val="18"/>
                <w:szCs w:val="18"/>
                <w:lang w:val="es-ES_tradnl"/>
              </w:rPr>
              <w:t>tada</w:t>
            </w:r>
          </w:p>
        </w:tc>
        <w:tc>
          <w:tcPr>
            <w:tcW w:w="1620" w:type="dxa"/>
          </w:tcPr>
          <w:p w:rsidR="00850569" w:rsidRPr="00B34E6B" w:rsidRDefault="00850569" w:rsidP="00047BB7">
            <w:pPr>
              <w:rPr>
                <w:sz w:val="18"/>
                <w:szCs w:val="18"/>
                <w:lang w:val="es-ES_tradnl"/>
              </w:rPr>
            </w:pPr>
          </w:p>
          <w:p w:rsidR="00D252C2" w:rsidRPr="00B34E6B" w:rsidRDefault="007D1439" w:rsidP="007D1439">
            <w:pPr>
              <w:rPr>
                <w:sz w:val="18"/>
                <w:szCs w:val="18"/>
                <w:lang w:val="es-ES_tradnl"/>
              </w:rPr>
            </w:pPr>
            <w:r w:rsidRPr="00B34E6B">
              <w:rPr>
                <w:sz w:val="18"/>
                <w:szCs w:val="18"/>
                <w:lang w:val="es-ES_tradnl"/>
              </w:rPr>
              <w:t>Aplicada</w:t>
            </w:r>
          </w:p>
        </w:tc>
        <w:tc>
          <w:tcPr>
            <w:tcW w:w="2628" w:type="dxa"/>
          </w:tcPr>
          <w:p w:rsidR="00850569" w:rsidRPr="00B34E6B" w:rsidRDefault="00850569" w:rsidP="00047BB7">
            <w:pPr>
              <w:rPr>
                <w:sz w:val="18"/>
                <w:szCs w:val="18"/>
                <w:lang w:val="es-ES_tradnl"/>
              </w:rPr>
            </w:pPr>
          </w:p>
          <w:p w:rsidR="00D252C2" w:rsidRPr="00B34E6B" w:rsidRDefault="007D1439" w:rsidP="007D1439">
            <w:pPr>
              <w:rPr>
                <w:sz w:val="18"/>
                <w:szCs w:val="18"/>
                <w:lang w:val="es-ES_tradnl"/>
              </w:rPr>
            </w:pPr>
            <w:r w:rsidRPr="00B34E6B">
              <w:rPr>
                <w:sz w:val="18"/>
                <w:szCs w:val="18"/>
                <w:lang w:val="es-ES_tradnl"/>
              </w:rPr>
              <w:t>El Comité del Programa y Presupuesto supervisa la ejecución de la cartera de proyectos en materia de PRI</w:t>
            </w:r>
            <w:r w:rsidR="00D252C2" w:rsidRPr="00B34E6B">
              <w:rPr>
                <w:sz w:val="18"/>
                <w:szCs w:val="18"/>
                <w:lang w:val="es-ES_tradnl"/>
              </w:rPr>
              <w:t>.</w:t>
            </w:r>
          </w:p>
        </w:tc>
      </w:tr>
      <w:tr w:rsidR="00D252C2" w:rsidRPr="006508B9" w:rsidTr="009F12BA">
        <w:tc>
          <w:tcPr>
            <w:tcW w:w="9576" w:type="dxa"/>
            <w:gridSpan w:val="5"/>
            <w:shd w:val="clear" w:color="auto" w:fill="DAEEF3" w:themeFill="accent5" w:themeFillTint="33"/>
          </w:tcPr>
          <w:p w:rsidR="00D252C2" w:rsidRPr="00B34E6B" w:rsidRDefault="00D252C2" w:rsidP="00544965">
            <w:pPr>
              <w:jc w:val="center"/>
              <w:rPr>
                <w:b/>
                <w:sz w:val="18"/>
                <w:szCs w:val="18"/>
                <w:lang w:val="es-ES_tradnl"/>
              </w:rPr>
            </w:pPr>
          </w:p>
          <w:p w:rsidR="00D252C2" w:rsidRPr="00B34E6B" w:rsidRDefault="00D252C2" w:rsidP="00544965">
            <w:pPr>
              <w:jc w:val="center"/>
              <w:rPr>
                <w:b/>
                <w:sz w:val="18"/>
                <w:szCs w:val="18"/>
                <w:lang w:val="es-ES_tradnl"/>
              </w:rPr>
            </w:pPr>
            <w:r w:rsidRPr="00B34E6B">
              <w:rPr>
                <w:b/>
                <w:sz w:val="18"/>
                <w:szCs w:val="18"/>
                <w:lang w:val="es-ES_tradnl"/>
              </w:rPr>
              <w:t>JIU/REP/2012/9 “</w:t>
            </w:r>
            <w:r w:rsidR="007D1439" w:rsidRPr="00B34E6B">
              <w:rPr>
                <w:b/>
                <w:sz w:val="18"/>
                <w:szCs w:val="18"/>
                <w:lang w:val="es-ES_tradnl"/>
              </w:rPr>
              <w:t>Pago de sumas fijas en lugar de prestaciones</w:t>
            </w:r>
            <w:r w:rsidRPr="00B34E6B">
              <w:rPr>
                <w:b/>
                <w:sz w:val="18"/>
                <w:szCs w:val="18"/>
                <w:lang w:val="es-ES_tradnl"/>
              </w:rPr>
              <w:t>”</w:t>
            </w:r>
          </w:p>
          <w:p w:rsidR="00D252C2" w:rsidRPr="00B34E6B" w:rsidRDefault="00D252C2" w:rsidP="00544965">
            <w:pPr>
              <w:jc w:val="center"/>
              <w:rPr>
                <w:b/>
                <w:sz w:val="18"/>
                <w:szCs w:val="18"/>
                <w:lang w:val="es-ES_tradnl"/>
              </w:rPr>
            </w:pPr>
          </w:p>
        </w:tc>
      </w:tr>
      <w:tr w:rsidR="00D252C2" w:rsidRPr="006508B9" w:rsidTr="009F12BA">
        <w:tc>
          <w:tcPr>
            <w:tcW w:w="2628" w:type="dxa"/>
          </w:tcPr>
          <w:p w:rsidR="00D252C2" w:rsidRPr="00B34E6B" w:rsidRDefault="00D252C2" w:rsidP="00190B93">
            <w:pPr>
              <w:autoSpaceDE w:val="0"/>
              <w:autoSpaceDN w:val="0"/>
              <w:adjustRightInd w:val="0"/>
              <w:rPr>
                <w:rFonts w:eastAsia="Times New Roman"/>
                <w:bCs/>
                <w:sz w:val="18"/>
                <w:szCs w:val="18"/>
                <w:lang w:val="es-ES_tradnl" w:eastAsia="en-US"/>
              </w:rPr>
            </w:pPr>
            <w:r w:rsidRPr="00B34E6B">
              <w:rPr>
                <w:sz w:val="18"/>
                <w:szCs w:val="18"/>
                <w:lang w:val="es-ES_tradnl"/>
              </w:rPr>
              <w:t xml:space="preserve">Rec. 1. </w:t>
            </w:r>
            <w:r w:rsidR="00190B93" w:rsidRPr="00B34E6B">
              <w:rPr>
                <w:sz w:val="18"/>
                <w:szCs w:val="18"/>
                <w:lang w:val="es-ES_tradnl"/>
              </w:rPr>
              <w:t xml:space="preserve"> </w:t>
            </w:r>
            <w:r w:rsidR="00190B93" w:rsidRPr="00B34E6B">
              <w:rPr>
                <w:rFonts w:eastAsia="Times New Roman"/>
                <w:bCs/>
                <w:sz w:val="18"/>
                <w:szCs w:val="18"/>
                <w:lang w:val="es-ES_tradnl" w:eastAsia="en-US"/>
              </w:rPr>
              <w:t xml:space="preserve">Los órganos legislativos/rectores de las organizaciones del sistema de las Naciones Unidas deben pedir a sus respectivos jefes ejecutivos que preparen un informe sobre el uso de la opción de la suma fija para los viajes de vacaciones en el país de origen, en el que, entre otras cosas, se comparen los costos de la opción de la suma fija con los de la organización del viaje de los funcionarios de la sede </w:t>
            </w:r>
            <w:r w:rsidR="00190B93" w:rsidRPr="00B34E6B">
              <w:rPr>
                <w:rFonts w:eastAsia="Times New Roman"/>
                <w:bCs/>
                <w:sz w:val="18"/>
                <w:szCs w:val="18"/>
                <w:lang w:val="es-ES_tradnl" w:eastAsia="en-US"/>
              </w:rPr>
              <w:lastRenderedPageBreak/>
              <w:t>que tienen derecho a ello a lo largo de un período de dos años. Una vez examinado el informe, el órgano legislativo/rector deberá decidir en 2015 si procede adoptar alguna medida adecuada.</w:t>
            </w:r>
          </w:p>
          <w:p w:rsidR="00190B93" w:rsidRPr="00B34E6B" w:rsidRDefault="00190B93" w:rsidP="00190B93">
            <w:pPr>
              <w:autoSpaceDE w:val="0"/>
              <w:autoSpaceDN w:val="0"/>
              <w:adjustRightInd w:val="0"/>
              <w:rPr>
                <w:sz w:val="18"/>
                <w:szCs w:val="18"/>
                <w:lang w:val="es-ES_tradnl"/>
              </w:rPr>
            </w:pPr>
          </w:p>
        </w:tc>
        <w:tc>
          <w:tcPr>
            <w:tcW w:w="1350" w:type="dxa"/>
          </w:tcPr>
          <w:p w:rsidR="00850569" w:rsidRPr="00B34E6B" w:rsidRDefault="00850569">
            <w:pPr>
              <w:rPr>
                <w:sz w:val="18"/>
                <w:szCs w:val="18"/>
                <w:lang w:val="es-ES_tradnl"/>
              </w:rPr>
            </w:pPr>
          </w:p>
          <w:p w:rsidR="00D252C2" w:rsidRPr="00B34E6B" w:rsidRDefault="00D252C2" w:rsidP="00190B93">
            <w:pPr>
              <w:rPr>
                <w:sz w:val="18"/>
                <w:szCs w:val="18"/>
                <w:lang w:val="es-ES_tradnl"/>
              </w:rPr>
            </w:pPr>
            <w:r w:rsidRPr="00B34E6B">
              <w:rPr>
                <w:sz w:val="18"/>
                <w:szCs w:val="18"/>
                <w:lang w:val="es-ES_tradnl"/>
              </w:rPr>
              <w:t>Director</w:t>
            </w:r>
            <w:r w:rsidR="00190B93" w:rsidRPr="00B34E6B">
              <w:rPr>
                <w:sz w:val="18"/>
                <w:szCs w:val="18"/>
                <w:lang w:val="es-ES_tradnl"/>
              </w:rPr>
              <w:t>a</w:t>
            </w:r>
            <w:r w:rsidRPr="00B34E6B">
              <w:rPr>
                <w:sz w:val="18"/>
                <w:szCs w:val="18"/>
                <w:lang w:val="es-ES_tradnl"/>
              </w:rPr>
              <w:t>,</w:t>
            </w:r>
            <w:r w:rsidR="00190B93" w:rsidRPr="00B34E6B">
              <w:rPr>
                <w:sz w:val="18"/>
                <w:szCs w:val="18"/>
                <w:lang w:val="es-ES_tradnl"/>
              </w:rPr>
              <w:t xml:space="preserve"> División de Adquisiciones y Viajes</w:t>
            </w:r>
          </w:p>
        </w:tc>
        <w:tc>
          <w:tcPr>
            <w:tcW w:w="1350" w:type="dxa"/>
          </w:tcPr>
          <w:p w:rsidR="00850569" w:rsidRPr="00B34E6B" w:rsidRDefault="00850569">
            <w:pPr>
              <w:rPr>
                <w:sz w:val="18"/>
                <w:szCs w:val="18"/>
                <w:lang w:val="es-ES_tradnl"/>
              </w:rPr>
            </w:pPr>
          </w:p>
          <w:p w:rsidR="00D252C2" w:rsidRPr="00B34E6B" w:rsidRDefault="00190B93" w:rsidP="00190B93">
            <w:pPr>
              <w:rPr>
                <w:sz w:val="18"/>
                <w:szCs w:val="18"/>
                <w:lang w:val="es-ES_tradnl"/>
              </w:rPr>
            </w:pPr>
            <w:r w:rsidRPr="00B34E6B">
              <w:rPr>
                <w:sz w:val="18"/>
                <w:szCs w:val="18"/>
                <w:lang w:val="es-ES_tradnl"/>
              </w:rPr>
              <w:t>Ac</w:t>
            </w:r>
            <w:r w:rsidR="00D252C2" w:rsidRPr="00B34E6B">
              <w:rPr>
                <w:sz w:val="18"/>
                <w:szCs w:val="18"/>
                <w:lang w:val="es-ES_tradnl"/>
              </w:rPr>
              <w:t>ept</w:t>
            </w:r>
            <w:r w:rsidRPr="00B34E6B">
              <w:rPr>
                <w:sz w:val="18"/>
                <w:szCs w:val="18"/>
                <w:lang w:val="es-ES_tradnl"/>
              </w:rPr>
              <w:t>ada</w:t>
            </w:r>
          </w:p>
        </w:tc>
        <w:tc>
          <w:tcPr>
            <w:tcW w:w="1620" w:type="dxa"/>
          </w:tcPr>
          <w:p w:rsidR="00850569" w:rsidRPr="00B34E6B" w:rsidRDefault="00850569">
            <w:pPr>
              <w:rPr>
                <w:sz w:val="18"/>
                <w:szCs w:val="18"/>
                <w:lang w:val="es-ES_tradnl"/>
              </w:rPr>
            </w:pPr>
          </w:p>
          <w:p w:rsidR="00D252C2" w:rsidRPr="00B34E6B" w:rsidRDefault="00190B93" w:rsidP="00190B93">
            <w:pPr>
              <w:rPr>
                <w:sz w:val="18"/>
                <w:szCs w:val="18"/>
                <w:lang w:val="es-ES_tradnl"/>
              </w:rPr>
            </w:pPr>
            <w:r w:rsidRPr="00B34E6B">
              <w:rPr>
                <w:sz w:val="18"/>
                <w:szCs w:val="18"/>
                <w:lang w:val="es-ES_tradnl"/>
              </w:rPr>
              <w:t>Aplicada</w:t>
            </w:r>
          </w:p>
        </w:tc>
        <w:tc>
          <w:tcPr>
            <w:tcW w:w="2628" w:type="dxa"/>
          </w:tcPr>
          <w:p w:rsidR="00850569" w:rsidRPr="00B34E6B" w:rsidRDefault="00850569" w:rsidP="00144196">
            <w:pPr>
              <w:rPr>
                <w:sz w:val="18"/>
                <w:szCs w:val="18"/>
                <w:lang w:val="es-ES_tradnl"/>
              </w:rPr>
            </w:pPr>
          </w:p>
          <w:p w:rsidR="00850569" w:rsidRPr="00B34E6B" w:rsidRDefault="00BB58F1" w:rsidP="00850569">
            <w:pPr>
              <w:rPr>
                <w:sz w:val="18"/>
                <w:szCs w:val="18"/>
                <w:lang w:val="es-ES_tradnl"/>
              </w:rPr>
            </w:pPr>
            <w:r w:rsidRPr="00B34E6B">
              <w:rPr>
                <w:sz w:val="18"/>
                <w:szCs w:val="18"/>
                <w:lang w:val="es-ES_tradnl"/>
              </w:rPr>
              <w:t xml:space="preserve">La OMPI ha evaluado la opción de la suma fija </w:t>
            </w:r>
            <w:r w:rsidR="00D338E6" w:rsidRPr="00B34E6B">
              <w:rPr>
                <w:sz w:val="18"/>
                <w:szCs w:val="18"/>
                <w:lang w:val="es-ES_tradnl"/>
              </w:rPr>
              <w:t>para</w:t>
            </w:r>
            <w:r w:rsidRPr="00B34E6B">
              <w:rPr>
                <w:sz w:val="18"/>
                <w:szCs w:val="18"/>
                <w:lang w:val="es-ES_tradnl"/>
              </w:rPr>
              <w:t xml:space="preserve"> los viajes de vacaciones en el país de origen, al igual que la </w:t>
            </w:r>
            <w:r w:rsidR="00D338E6" w:rsidRPr="00B34E6B">
              <w:rPr>
                <w:sz w:val="18"/>
                <w:szCs w:val="18"/>
                <w:lang w:val="es-ES_tradnl"/>
              </w:rPr>
              <w:t>División</w:t>
            </w:r>
            <w:r w:rsidRPr="00B34E6B">
              <w:rPr>
                <w:sz w:val="18"/>
                <w:szCs w:val="18"/>
                <w:lang w:val="es-ES_tradnl"/>
              </w:rPr>
              <w:t xml:space="preserve"> de Auditoría y Supervisión Internas en su informe de 2012 sobre las políticas de viajes en la OMPI</w:t>
            </w:r>
            <w:r w:rsidR="00DD3C45" w:rsidRPr="00B34E6B">
              <w:rPr>
                <w:sz w:val="18"/>
                <w:szCs w:val="18"/>
                <w:lang w:val="es-ES_tradnl"/>
              </w:rPr>
              <w:t xml:space="preserve">.  </w:t>
            </w:r>
            <w:r w:rsidRPr="00B34E6B">
              <w:rPr>
                <w:sz w:val="18"/>
                <w:szCs w:val="18"/>
                <w:lang w:val="es-ES_tradnl"/>
              </w:rPr>
              <w:t>La política de la OMPI en materia de viajes de vacaciones al país de origen ya contempla como opción el pago de una suma fija al funcionario</w:t>
            </w:r>
            <w:r w:rsidR="00DD3C45" w:rsidRPr="00B34E6B">
              <w:rPr>
                <w:sz w:val="18"/>
                <w:szCs w:val="18"/>
                <w:lang w:val="es-ES_tradnl"/>
              </w:rPr>
              <w:t>.</w:t>
            </w:r>
            <w:r w:rsidR="00850569" w:rsidRPr="00B34E6B">
              <w:rPr>
                <w:sz w:val="18"/>
                <w:szCs w:val="18"/>
                <w:lang w:val="es-ES_tradnl"/>
              </w:rPr>
              <w:t xml:space="preserve">  </w:t>
            </w:r>
            <w:r w:rsidRPr="00B34E6B">
              <w:rPr>
                <w:sz w:val="18"/>
                <w:szCs w:val="18"/>
                <w:lang w:val="es-ES_tradnl"/>
              </w:rPr>
              <w:t xml:space="preserve">Los Estados </w:t>
            </w:r>
            <w:r w:rsidRPr="00B34E6B">
              <w:rPr>
                <w:sz w:val="18"/>
                <w:szCs w:val="18"/>
                <w:lang w:val="es-ES_tradnl"/>
              </w:rPr>
              <w:lastRenderedPageBreak/>
              <w:t xml:space="preserve">miembros, reunidos en </w:t>
            </w:r>
            <w:r w:rsidR="00C54E21" w:rsidRPr="00B34E6B">
              <w:rPr>
                <w:sz w:val="18"/>
                <w:szCs w:val="18"/>
                <w:lang w:val="es-ES_tradnl"/>
              </w:rPr>
              <w:t>asamblea en 2013, pidieron “a la Secretaría que contemple la posibilidad de ahorros adicionales en el presupuesto ordinario, entre otras medidas, mediante la plena aplicación de las recomendaciones de la DASI sobre la política de viajes”</w:t>
            </w:r>
            <w:r w:rsidR="00850569" w:rsidRPr="00B34E6B">
              <w:rPr>
                <w:sz w:val="18"/>
                <w:szCs w:val="18"/>
                <w:lang w:val="es-ES_tradnl"/>
              </w:rPr>
              <w:t xml:space="preserve">.  </w:t>
            </w:r>
            <w:r w:rsidR="00C54E21" w:rsidRPr="00B34E6B">
              <w:rPr>
                <w:sz w:val="18"/>
                <w:szCs w:val="18"/>
                <w:lang w:val="es-ES_tradnl"/>
              </w:rPr>
              <w:t>En 2014 se publicó la política revisada en materia de vacaciones en el país de origen</w:t>
            </w:r>
            <w:r w:rsidR="00850569" w:rsidRPr="00B34E6B">
              <w:rPr>
                <w:sz w:val="18"/>
                <w:szCs w:val="18"/>
                <w:lang w:val="es-ES_tradnl"/>
              </w:rPr>
              <w:t>.</w:t>
            </w:r>
          </w:p>
          <w:p w:rsidR="00850569" w:rsidRPr="00B34E6B" w:rsidRDefault="00850569" w:rsidP="00850569">
            <w:pPr>
              <w:rPr>
                <w:sz w:val="18"/>
                <w:szCs w:val="18"/>
                <w:lang w:val="es-ES_tradnl"/>
              </w:rPr>
            </w:pPr>
          </w:p>
        </w:tc>
      </w:tr>
      <w:tr w:rsidR="00D252C2" w:rsidRPr="006508B9" w:rsidTr="009F12BA">
        <w:tc>
          <w:tcPr>
            <w:tcW w:w="2628" w:type="dxa"/>
          </w:tcPr>
          <w:p w:rsidR="00D252C2" w:rsidRDefault="00D252C2" w:rsidP="00C54E21">
            <w:pPr>
              <w:autoSpaceDE w:val="0"/>
              <w:autoSpaceDN w:val="0"/>
              <w:adjustRightInd w:val="0"/>
              <w:rPr>
                <w:sz w:val="18"/>
                <w:szCs w:val="18"/>
                <w:lang w:val="es-ES_tradnl"/>
              </w:rPr>
            </w:pPr>
            <w:r w:rsidRPr="00B34E6B">
              <w:rPr>
                <w:sz w:val="18"/>
                <w:szCs w:val="18"/>
                <w:lang w:val="es-ES_tradnl"/>
              </w:rPr>
              <w:lastRenderedPageBreak/>
              <w:t xml:space="preserve">Rec. 3. </w:t>
            </w:r>
            <w:r w:rsidR="00C54E21" w:rsidRPr="00B34E6B">
              <w:rPr>
                <w:sz w:val="18"/>
                <w:szCs w:val="18"/>
                <w:lang w:val="es-ES_tradnl"/>
              </w:rPr>
              <w:t xml:space="preserve"> </w:t>
            </w:r>
            <w:r w:rsidR="00C54E21" w:rsidRPr="00B34E6B">
              <w:rPr>
                <w:rFonts w:eastAsia="Times New Roman"/>
                <w:bCs/>
                <w:sz w:val="18"/>
                <w:szCs w:val="18"/>
                <w:lang w:val="es-ES_tradnl" w:eastAsia="en-US"/>
              </w:rPr>
              <w:t>Los órganos legislativos/rectores de las organizaciones del sistema de las Naciones Unidas deben pedir a sus respectivos jefes ejecutivos que, si no lo han hecho aún, suspendan el pago del porcentaje adicional de las dietas (el 15% o el 40%) a los funcionarios que viajen con cargo al presupuesto de la organización</w:t>
            </w:r>
            <w:r w:rsidRPr="00B34E6B">
              <w:rPr>
                <w:sz w:val="18"/>
                <w:szCs w:val="18"/>
                <w:lang w:val="es-ES_tradnl"/>
              </w:rPr>
              <w:t>.</w:t>
            </w:r>
          </w:p>
          <w:p w:rsidR="00105436" w:rsidRPr="00B34E6B" w:rsidRDefault="00105436" w:rsidP="00C54E21">
            <w:pPr>
              <w:autoSpaceDE w:val="0"/>
              <w:autoSpaceDN w:val="0"/>
              <w:adjustRightInd w:val="0"/>
              <w:rPr>
                <w:sz w:val="18"/>
                <w:szCs w:val="18"/>
                <w:lang w:val="es-ES_tradnl"/>
              </w:rPr>
            </w:pPr>
          </w:p>
        </w:tc>
        <w:tc>
          <w:tcPr>
            <w:tcW w:w="1350" w:type="dxa"/>
          </w:tcPr>
          <w:p w:rsidR="00450047" w:rsidRPr="00B34E6B" w:rsidRDefault="00450047">
            <w:pPr>
              <w:rPr>
                <w:sz w:val="18"/>
                <w:szCs w:val="18"/>
                <w:lang w:val="es-ES_tradnl"/>
              </w:rPr>
            </w:pPr>
          </w:p>
          <w:p w:rsidR="00D252C2" w:rsidRPr="00B34E6B" w:rsidRDefault="00D252C2" w:rsidP="00C54E21">
            <w:pPr>
              <w:rPr>
                <w:sz w:val="18"/>
                <w:szCs w:val="18"/>
                <w:lang w:val="es-ES_tradnl"/>
              </w:rPr>
            </w:pPr>
            <w:r w:rsidRPr="00B34E6B">
              <w:rPr>
                <w:sz w:val="18"/>
                <w:szCs w:val="18"/>
                <w:lang w:val="es-ES_tradnl"/>
              </w:rPr>
              <w:t>Director</w:t>
            </w:r>
            <w:r w:rsidR="00C54E21" w:rsidRPr="00B34E6B">
              <w:rPr>
                <w:sz w:val="18"/>
                <w:szCs w:val="18"/>
                <w:lang w:val="es-ES_tradnl"/>
              </w:rPr>
              <w:t>a</w:t>
            </w:r>
            <w:r w:rsidRPr="00B34E6B">
              <w:rPr>
                <w:sz w:val="18"/>
                <w:szCs w:val="18"/>
                <w:lang w:val="es-ES_tradnl"/>
              </w:rPr>
              <w:t xml:space="preserve">, </w:t>
            </w:r>
            <w:r w:rsidR="00C54E21" w:rsidRPr="00B34E6B">
              <w:rPr>
                <w:sz w:val="18"/>
                <w:szCs w:val="18"/>
                <w:lang w:val="es-ES_tradnl"/>
              </w:rPr>
              <w:t>División de Adquisiciones y Viajes</w:t>
            </w:r>
          </w:p>
        </w:tc>
        <w:tc>
          <w:tcPr>
            <w:tcW w:w="1350" w:type="dxa"/>
          </w:tcPr>
          <w:p w:rsidR="00450047" w:rsidRPr="00B34E6B" w:rsidRDefault="00450047">
            <w:pPr>
              <w:rPr>
                <w:sz w:val="18"/>
                <w:szCs w:val="18"/>
                <w:lang w:val="es-ES_tradnl"/>
              </w:rPr>
            </w:pPr>
          </w:p>
          <w:p w:rsidR="00D252C2" w:rsidRPr="00B34E6B" w:rsidRDefault="00C54E21" w:rsidP="00C54E21">
            <w:pPr>
              <w:rPr>
                <w:sz w:val="18"/>
                <w:szCs w:val="18"/>
                <w:lang w:val="es-ES_tradnl"/>
              </w:rPr>
            </w:pPr>
            <w:r w:rsidRPr="00B34E6B">
              <w:rPr>
                <w:sz w:val="18"/>
                <w:szCs w:val="18"/>
                <w:lang w:val="es-ES_tradnl"/>
              </w:rPr>
              <w:t>A estudio</w:t>
            </w:r>
          </w:p>
        </w:tc>
        <w:tc>
          <w:tcPr>
            <w:tcW w:w="1620" w:type="dxa"/>
          </w:tcPr>
          <w:p w:rsidR="00D252C2" w:rsidRPr="00B34E6B" w:rsidRDefault="00D252C2">
            <w:pPr>
              <w:rPr>
                <w:sz w:val="18"/>
                <w:szCs w:val="18"/>
                <w:lang w:val="es-ES_tradnl"/>
              </w:rPr>
            </w:pPr>
          </w:p>
        </w:tc>
        <w:tc>
          <w:tcPr>
            <w:tcW w:w="2628" w:type="dxa"/>
          </w:tcPr>
          <w:p w:rsidR="00450047" w:rsidRPr="00B34E6B" w:rsidRDefault="00450047" w:rsidP="00E12316">
            <w:pPr>
              <w:rPr>
                <w:sz w:val="18"/>
                <w:szCs w:val="18"/>
                <w:lang w:val="es-ES_tradnl"/>
              </w:rPr>
            </w:pPr>
          </w:p>
          <w:p w:rsidR="00D252C2" w:rsidRPr="00B34E6B" w:rsidRDefault="00C54E21" w:rsidP="00C54E21">
            <w:pPr>
              <w:rPr>
                <w:sz w:val="18"/>
                <w:szCs w:val="18"/>
                <w:lang w:val="es-ES_tradnl"/>
              </w:rPr>
            </w:pPr>
            <w:r w:rsidRPr="00B34E6B">
              <w:rPr>
                <w:sz w:val="18"/>
                <w:szCs w:val="18"/>
                <w:lang w:val="es-ES_tradnl"/>
              </w:rPr>
              <w:t>Se acaba de examinar el cálculo de las dietas en lo relativo a los viajes que se realizan de noche, lo que ha resultado en un ajuste a la baja.  El porcentaje adicional de las dietas está aún a estudio</w:t>
            </w:r>
            <w:r w:rsidR="00D252C2" w:rsidRPr="00B34E6B">
              <w:rPr>
                <w:sz w:val="18"/>
                <w:szCs w:val="18"/>
                <w:lang w:val="es-ES_tradnl"/>
              </w:rPr>
              <w:t xml:space="preserve">. </w:t>
            </w:r>
          </w:p>
        </w:tc>
      </w:tr>
      <w:tr w:rsidR="00D252C2" w:rsidRPr="006508B9" w:rsidTr="009F12BA">
        <w:tc>
          <w:tcPr>
            <w:tcW w:w="9576" w:type="dxa"/>
            <w:gridSpan w:val="5"/>
            <w:shd w:val="clear" w:color="auto" w:fill="DAEEF3" w:themeFill="accent5" w:themeFillTint="33"/>
            <w:vAlign w:val="center"/>
          </w:tcPr>
          <w:p w:rsidR="00D252C2" w:rsidRPr="00B34E6B" w:rsidRDefault="00D252C2" w:rsidP="00E34FBC">
            <w:pPr>
              <w:jc w:val="center"/>
              <w:rPr>
                <w:b/>
                <w:sz w:val="18"/>
                <w:szCs w:val="18"/>
                <w:lang w:val="es-ES_tradnl"/>
              </w:rPr>
            </w:pPr>
          </w:p>
          <w:p w:rsidR="00D252C2" w:rsidRPr="00B34E6B" w:rsidRDefault="00D252C2" w:rsidP="00E34FBC">
            <w:pPr>
              <w:jc w:val="center"/>
              <w:rPr>
                <w:b/>
                <w:sz w:val="18"/>
                <w:szCs w:val="18"/>
                <w:lang w:val="es-ES_tradnl"/>
              </w:rPr>
            </w:pPr>
            <w:r w:rsidRPr="00B34E6B">
              <w:rPr>
                <w:b/>
                <w:sz w:val="18"/>
                <w:szCs w:val="18"/>
                <w:lang w:val="es-ES_tradnl"/>
              </w:rPr>
              <w:t>JIU/REP/2012/10, “</w:t>
            </w:r>
            <w:r w:rsidR="00190B93" w:rsidRPr="00B34E6B">
              <w:rPr>
                <w:b/>
                <w:sz w:val="18"/>
                <w:szCs w:val="18"/>
                <w:lang w:val="es-ES_tradnl"/>
              </w:rPr>
              <w:t>Relaciones entre el personal y la administración en los organismos especializados y el régimen común</w:t>
            </w:r>
            <w:r w:rsidR="00B44F77" w:rsidRPr="00B34E6B">
              <w:rPr>
                <w:b/>
                <w:sz w:val="18"/>
                <w:szCs w:val="18"/>
                <w:lang w:val="es-ES_tradnl"/>
              </w:rPr>
              <w:t xml:space="preserve"> de las Naciones Unidas</w:t>
            </w:r>
            <w:r w:rsidRPr="00B34E6B">
              <w:rPr>
                <w:b/>
                <w:sz w:val="18"/>
                <w:szCs w:val="18"/>
                <w:lang w:val="es-ES_tradnl"/>
              </w:rPr>
              <w:t>”</w:t>
            </w:r>
          </w:p>
          <w:p w:rsidR="00D252C2" w:rsidRPr="00B34E6B" w:rsidRDefault="00D252C2" w:rsidP="00E34FBC">
            <w:pPr>
              <w:jc w:val="center"/>
              <w:rPr>
                <w:b/>
                <w:sz w:val="18"/>
                <w:szCs w:val="18"/>
                <w:lang w:val="es-ES_tradnl"/>
              </w:rPr>
            </w:pPr>
          </w:p>
        </w:tc>
      </w:tr>
      <w:tr w:rsidR="00D252C2" w:rsidRPr="006508B9" w:rsidTr="009F12BA">
        <w:tc>
          <w:tcPr>
            <w:tcW w:w="2628" w:type="dxa"/>
          </w:tcPr>
          <w:p w:rsidR="00D252C2" w:rsidRPr="00B34E6B" w:rsidRDefault="00D252C2" w:rsidP="00D87FA8">
            <w:pPr>
              <w:autoSpaceDE w:val="0"/>
              <w:autoSpaceDN w:val="0"/>
              <w:adjustRightInd w:val="0"/>
              <w:rPr>
                <w:sz w:val="18"/>
                <w:szCs w:val="18"/>
                <w:lang w:val="es-ES_tradnl"/>
              </w:rPr>
            </w:pPr>
            <w:r w:rsidRPr="00B34E6B">
              <w:rPr>
                <w:sz w:val="18"/>
                <w:szCs w:val="18"/>
                <w:lang w:val="es-ES_tradnl"/>
              </w:rPr>
              <w:t>Rec. 5</w:t>
            </w:r>
            <w:r w:rsidRPr="00B34E6B">
              <w:rPr>
                <w:rFonts w:eastAsia="Times New Roman"/>
                <w:bCs/>
                <w:sz w:val="18"/>
                <w:szCs w:val="18"/>
                <w:lang w:val="es-ES_tradnl" w:eastAsia="en-US"/>
              </w:rPr>
              <w:t xml:space="preserve">. </w:t>
            </w:r>
            <w:r w:rsidR="00D87FA8" w:rsidRPr="00B34E6B">
              <w:rPr>
                <w:rFonts w:eastAsia="Times New Roman"/>
                <w:bCs/>
                <w:sz w:val="18"/>
                <w:szCs w:val="18"/>
                <w:lang w:val="es-ES_tradnl" w:eastAsia="en-US"/>
              </w:rPr>
              <w:t>Los órganos rectores de las organizaciones examinadas que tienen una presencia sobre el terreno deben confiar a sus jefes ejecutivos el mandato de velar por que, cuando presenten informes sobre las cuestiones relacionadas con los recursos humanos, precisen las dificultades con que se enfrenta el personal sobre el terreno</w:t>
            </w:r>
            <w:r w:rsidRPr="00B34E6B">
              <w:rPr>
                <w:rFonts w:eastAsia="Times New Roman"/>
                <w:bCs/>
                <w:sz w:val="18"/>
                <w:szCs w:val="18"/>
                <w:lang w:val="es-ES_tradnl" w:eastAsia="en-US"/>
              </w:rPr>
              <w:t>.</w:t>
            </w:r>
          </w:p>
        </w:tc>
        <w:tc>
          <w:tcPr>
            <w:tcW w:w="1350" w:type="dxa"/>
          </w:tcPr>
          <w:p w:rsidR="00450047" w:rsidRPr="00B34E6B" w:rsidRDefault="00450047" w:rsidP="00E34FBC">
            <w:pPr>
              <w:rPr>
                <w:sz w:val="18"/>
                <w:szCs w:val="18"/>
                <w:lang w:val="es-ES_tradnl"/>
              </w:rPr>
            </w:pPr>
          </w:p>
          <w:p w:rsidR="00D252C2" w:rsidRPr="00B34E6B" w:rsidRDefault="00D252C2" w:rsidP="00D87FA8">
            <w:pPr>
              <w:rPr>
                <w:sz w:val="18"/>
                <w:szCs w:val="18"/>
                <w:lang w:val="es-ES_tradnl"/>
              </w:rPr>
            </w:pPr>
            <w:r w:rsidRPr="00B34E6B">
              <w:rPr>
                <w:sz w:val="18"/>
                <w:szCs w:val="18"/>
                <w:lang w:val="es-ES_tradnl"/>
              </w:rPr>
              <w:t>Director</w:t>
            </w:r>
            <w:r w:rsidR="00D87FA8" w:rsidRPr="00B34E6B">
              <w:rPr>
                <w:sz w:val="18"/>
                <w:szCs w:val="18"/>
                <w:lang w:val="es-ES_tradnl"/>
              </w:rPr>
              <w:t>a</w:t>
            </w:r>
            <w:r w:rsidRPr="00B34E6B">
              <w:rPr>
                <w:sz w:val="18"/>
                <w:szCs w:val="18"/>
                <w:lang w:val="es-ES_tradnl"/>
              </w:rPr>
              <w:t xml:space="preserve">, </w:t>
            </w:r>
            <w:r w:rsidR="00D87FA8" w:rsidRPr="00B34E6B">
              <w:rPr>
                <w:sz w:val="18"/>
                <w:szCs w:val="18"/>
                <w:lang w:val="es-ES_tradnl"/>
              </w:rPr>
              <w:t>DGRRHH</w:t>
            </w:r>
          </w:p>
        </w:tc>
        <w:tc>
          <w:tcPr>
            <w:tcW w:w="1350" w:type="dxa"/>
          </w:tcPr>
          <w:p w:rsidR="00450047" w:rsidRPr="00B34E6B" w:rsidRDefault="00450047" w:rsidP="00E34FBC">
            <w:pPr>
              <w:rPr>
                <w:sz w:val="18"/>
                <w:szCs w:val="18"/>
                <w:lang w:val="es-ES_tradnl"/>
              </w:rPr>
            </w:pPr>
          </w:p>
          <w:p w:rsidR="00D252C2" w:rsidRPr="00B34E6B" w:rsidRDefault="00D252C2" w:rsidP="00D87FA8">
            <w:pPr>
              <w:rPr>
                <w:sz w:val="18"/>
                <w:szCs w:val="18"/>
                <w:lang w:val="es-ES_tradnl"/>
              </w:rPr>
            </w:pPr>
            <w:r w:rsidRPr="00B34E6B">
              <w:rPr>
                <w:sz w:val="18"/>
                <w:szCs w:val="18"/>
                <w:lang w:val="es-ES_tradnl"/>
              </w:rPr>
              <w:t>Acept</w:t>
            </w:r>
            <w:r w:rsidR="00D87FA8" w:rsidRPr="00B34E6B">
              <w:rPr>
                <w:sz w:val="18"/>
                <w:szCs w:val="18"/>
                <w:lang w:val="es-ES_tradnl"/>
              </w:rPr>
              <w:t>a</w:t>
            </w:r>
            <w:r w:rsidRPr="00B34E6B">
              <w:rPr>
                <w:sz w:val="18"/>
                <w:szCs w:val="18"/>
                <w:lang w:val="es-ES_tradnl"/>
              </w:rPr>
              <w:t>d</w:t>
            </w:r>
            <w:r w:rsidR="00D87FA8" w:rsidRPr="00B34E6B">
              <w:rPr>
                <w:sz w:val="18"/>
                <w:szCs w:val="18"/>
                <w:lang w:val="es-ES_tradnl"/>
              </w:rPr>
              <w:t>a</w:t>
            </w:r>
          </w:p>
        </w:tc>
        <w:tc>
          <w:tcPr>
            <w:tcW w:w="1620" w:type="dxa"/>
          </w:tcPr>
          <w:p w:rsidR="00450047" w:rsidRPr="00B34E6B" w:rsidRDefault="00450047" w:rsidP="00E34FBC">
            <w:pPr>
              <w:rPr>
                <w:sz w:val="18"/>
                <w:szCs w:val="18"/>
                <w:lang w:val="es-ES_tradnl"/>
              </w:rPr>
            </w:pPr>
          </w:p>
          <w:p w:rsidR="00D252C2" w:rsidRPr="00B34E6B" w:rsidRDefault="00D87FA8" w:rsidP="00E34FBC">
            <w:pPr>
              <w:rPr>
                <w:sz w:val="18"/>
                <w:szCs w:val="18"/>
                <w:lang w:val="es-ES_tradnl"/>
              </w:rPr>
            </w:pPr>
            <w:r w:rsidRPr="00B34E6B">
              <w:rPr>
                <w:sz w:val="18"/>
                <w:szCs w:val="18"/>
                <w:lang w:val="es-ES_tradnl"/>
              </w:rPr>
              <w:t>Aplicada</w:t>
            </w:r>
          </w:p>
        </w:tc>
        <w:tc>
          <w:tcPr>
            <w:tcW w:w="2628" w:type="dxa"/>
          </w:tcPr>
          <w:p w:rsidR="00450047" w:rsidRPr="00B34E6B" w:rsidRDefault="00450047" w:rsidP="00290A3F">
            <w:pPr>
              <w:rPr>
                <w:sz w:val="18"/>
                <w:szCs w:val="18"/>
                <w:lang w:val="es-ES_tradnl"/>
              </w:rPr>
            </w:pPr>
          </w:p>
          <w:p w:rsidR="00D252C2" w:rsidRPr="00B34E6B" w:rsidRDefault="00D87FA8" w:rsidP="00290A3F">
            <w:pPr>
              <w:rPr>
                <w:sz w:val="18"/>
                <w:szCs w:val="18"/>
                <w:lang w:val="es-ES_tradnl"/>
              </w:rPr>
            </w:pPr>
            <w:r w:rsidRPr="00B34E6B">
              <w:rPr>
                <w:sz w:val="18"/>
                <w:szCs w:val="18"/>
                <w:lang w:val="es-ES_tradnl"/>
              </w:rPr>
              <w:t>La OMPI posee un número limitado de personal (10) en oficinas distantes de Ginebra. Los lugares de destino son</w:t>
            </w:r>
            <w:r w:rsidR="00241913" w:rsidRPr="00B34E6B">
              <w:rPr>
                <w:sz w:val="18"/>
                <w:szCs w:val="18"/>
                <w:lang w:val="es-ES_tradnl"/>
              </w:rPr>
              <w:t xml:space="preserve"> N</w:t>
            </w:r>
            <w:r w:rsidRPr="00B34E6B">
              <w:rPr>
                <w:sz w:val="18"/>
                <w:szCs w:val="18"/>
                <w:lang w:val="es-ES_tradnl"/>
              </w:rPr>
              <w:t>ueva</w:t>
            </w:r>
            <w:r w:rsidR="00241913" w:rsidRPr="00B34E6B">
              <w:rPr>
                <w:sz w:val="18"/>
                <w:szCs w:val="18"/>
                <w:lang w:val="es-ES_tradnl"/>
              </w:rPr>
              <w:t xml:space="preserve"> York, Tok</w:t>
            </w:r>
            <w:r w:rsidRPr="00B34E6B">
              <w:rPr>
                <w:sz w:val="18"/>
                <w:szCs w:val="18"/>
                <w:lang w:val="es-ES_tradnl"/>
              </w:rPr>
              <w:t>i</w:t>
            </w:r>
            <w:r w:rsidR="00241913" w:rsidRPr="00B34E6B">
              <w:rPr>
                <w:sz w:val="18"/>
                <w:szCs w:val="18"/>
                <w:lang w:val="es-ES_tradnl"/>
              </w:rPr>
              <w:t>o, Singap</w:t>
            </w:r>
            <w:r w:rsidRPr="00B34E6B">
              <w:rPr>
                <w:sz w:val="18"/>
                <w:szCs w:val="18"/>
                <w:lang w:val="es-ES_tradnl"/>
              </w:rPr>
              <w:t>u</w:t>
            </w:r>
            <w:r w:rsidR="00241913" w:rsidRPr="00B34E6B">
              <w:rPr>
                <w:sz w:val="18"/>
                <w:szCs w:val="18"/>
                <w:lang w:val="es-ES_tradnl"/>
              </w:rPr>
              <w:t xml:space="preserve">r </w:t>
            </w:r>
            <w:r w:rsidRPr="00B34E6B">
              <w:rPr>
                <w:sz w:val="18"/>
                <w:szCs w:val="18"/>
                <w:lang w:val="es-ES_tradnl"/>
              </w:rPr>
              <w:t>y</w:t>
            </w:r>
            <w:r w:rsidR="00241913" w:rsidRPr="00B34E6B">
              <w:rPr>
                <w:sz w:val="18"/>
                <w:szCs w:val="18"/>
                <w:lang w:val="es-ES_tradnl"/>
              </w:rPr>
              <w:t xml:space="preserve"> Rio de Janeiro.</w:t>
            </w:r>
            <w:r w:rsidRPr="00B34E6B">
              <w:rPr>
                <w:sz w:val="18"/>
                <w:szCs w:val="18"/>
                <w:lang w:val="es-ES_tradnl"/>
              </w:rPr>
              <w:t xml:space="preserve"> En el segundo semestre de 2014 se abrirán oficinas en Moscú y</w:t>
            </w:r>
            <w:r w:rsidR="00241913" w:rsidRPr="00B34E6B">
              <w:rPr>
                <w:sz w:val="18"/>
                <w:szCs w:val="18"/>
                <w:lang w:val="es-ES_tradnl"/>
              </w:rPr>
              <w:t xml:space="preserve"> Be</w:t>
            </w:r>
            <w:r w:rsidR="007132D7" w:rsidRPr="00B34E6B">
              <w:rPr>
                <w:sz w:val="18"/>
                <w:szCs w:val="18"/>
                <w:lang w:val="es-ES_tradnl"/>
              </w:rPr>
              <w:t>i</w:t>
            </w:r>
            <w:r w:rsidR="00241913" w:rsidRPr="00B34E6B">
              <w:rPr>
                <w:sz w:val="18"/>
                <w:szCs w:val="18"/>
                <w:lang w:val="es-ES_tradnl"/>
              </w:rPr>
              <w:t>jing.</w:t>
            </w:r>
            <w:r w:rsidR="00C64D0E" w:rsidRPr="00B34E6B">
              <w:rPr>
                <w:sz w:val="18"/>
                <w:szCs w:val="18"/>
                <w:lang w:val="es-ES_tradnl"/>
              </w:rPr>
              <w:t xml:space="preserve"> </w:t>
            </w:r>
            <w:r w:rsidR="007132D7" w:rsidRPr="00B34E6B">
              <w:rPr>
                <w:sz w:val="18"/>
                <w:szCs w:val="18"/>
                <w:lang w:val="es-ES_tradnl"/>
              </w:rPr>
              <w:t xml:space="preserve"> </w:t>
            </w:r>
            <w:r w:rsidRPr="00B34E6B">
              <w:rPr>
                <w:sz w:val="18"/>
                <w:szCs w:val="18"/>
                <w:lang w:val="es-ES_tradnl"/>
              </w:rPr>
              <w:t>Toda dificultad a la que se enfrente el personal sobre el terreno será mencionada en el Informe anual sobre RR.HH.</w:t>
            </w:r>
          </w:p>
          <w:p w:rsidR="00450047" w:rsidRPr="00B34E6B" w:rsidRDefault="00450047" w:rsidP="00290A3F">
            <w:pPr>
              <w:rPr>
                <w:sz w:val="18"/>
                <w:szCs w:val="18"/>
                <w:lang w:val="es-ES_tradnl"/>
              </w:rPr>
            </w:pPr>
          </w:p>
        </w:tc>
      </w:tr>
      <w:tr w:rsidR="00D252C2" w:rsidRPr="006508B9" w:rsidTr="009F12BA">
        <w:trPr>
          <w:cantSplit/>
        </w:trPr>
        <w:tc>
          <w:tcPr>
            <w:tcW w:w="2628" w:type="dxa"/>
          </w:tcPr>
          <w:p w:rsidR="00D252C2" w:rsidRPr="00B34E6B" w:rsidRDefault="00D252C2" w:rsidP="000875A1">
            <w:pPr>
              <w:rPr>
                <w:sz w:val="18"/>
                <w:szCs w:val="18"/>
                <w:lang w:val="es-ES_tradnl"/>
              </w:rPr>
            </w:pPr>
            <w:r w:rsidRPr="00B34E6B">
              <w:rPr>
                <w:sz w:val="18"/>
                <w:szCs w:val="18"/>
                <w:lang w:val="es-ES_tradnl"/>
              </w:rPr>
              <w:lastRenderedPageBreak/>
              <w:t xml:space="preserve">Rec. 8. </w:t>
            </w:r>
            <w:r w:rsidR="00881E2F" w:rsidRPr="00B34E6B">
              <w:rPr>
                <w:bCs/>
                <w:sz w:val="18"/>
                <w:szCs w:val="18"/>
                <w:lang w:val="es-ES_tradnl"/>
              </w:rPr>
              <w:t>Los órganos legislativos o rectores de las organizaciones que se examinan deben confiar a sus jefes ejecutivos el mandato de otorgar prioridad a la elaboración de una fórmula y un acuerdo para la distribución de la carga que supone la financiación de todos los gastos asociados a la función de representación de los funcionarios de las federaciones del personal reconocidas por el Estatuto y el Reglamento de la CAPI</w:t>
            </w:r>
            <w:r w:rsidRPr="00B34E6B">
              <w:rPr>
                <w:sz w:val="18"/>
                <w:szCs w:val="18"/>
                <w:lang w:val="es-ES_tradnl"/>
              </w:rPr>
              <w:t>.</w:t>
            </w:r>
          </w:p>
          <w:p w:rsidR="000875A1" w:rsidRPr="00B34E6B" w:rsidRDefault="000875A1" w:rsidP="000875A1">
            <w:pPr>
              <w:rPr>
                <w:sz w:val="18"/>
                <w:szCs w:val="18"/>
                <w:lang w:val="es-ES_tradnl"/>
              </w:rPr>
            </w:pPr>
          </w:p>
        </w:tc>
        <w:tc>
          <w:tcPr>
            <w:tcW w:w="1350" w:type="dxa"/>
          </w:tcPr>
          <w:p w:rsidR="00D252C2" w:rsidRPr="00B34E6B" w:rsidRDefault="00881E2F" w:rsidP="00881E2F">
            <w:pPr>
              <w:rPr>
                <w:sz w:val="18"/>
                <w:szCs w:val="18"/>
                <w:lang w:val="es-ES_tradnl"/>
              </w:rPr>
            </w:pPr>
            <w:r w:rsidRPr="00B34E6B">
              <w:rPr>
                <w:sz w:val="18"/>
                <w:szCs w:val="18"/>
                <w:lang w:val="es-ES_tradnl"/>
              </w:rPr>
              <w:t>Directora, DGRRHH</w:t>
            </w:r>
          </w:p>
        </w:tc>
        <w:tc>
          <w:tcPr>
            <w:tcW w:w="1350" w:type="dxa"/>
          </w:tcPr>
          <w:p w:rsidR="00D252C2" w:rsidRPr="00B34E6B" w:rsidRDefault="00881E2F" w:rsidP="00881E2F">
            <w:pPr>
              <w:rPr>
                <w:sz w:val="18"/>
                <w:szCs w:val="18"/>
                <w:lang w:val="es-ES_tradnl"/>
              </w:rPr>
            </w:pPr>
            <w:r w:rsidRPr="00B34E6B">
              <w:rPr>
                <w:sz w:val="18"/>
                <w:szCs w:val="18"/>
                <w:lang w:val="es-ES_tradnl"/>
              </w:rPr>
              <w:t>A estudio</w:t>
            </w:r>
          </w:p>
        </w:tc>
        <w:tc>
          <w:tcPr>
            <w:tcW w:w="1620" w:type="dxa"/>
          </w:tcPr>
          <w:p w:rsidR="00D252C2" w:rsidRPr="00B34E6B" w:rsidRDefault="00D252C2" w:rsidP="00E34FBC">
            <w:pPr>
              <w:rPr>
                <w:sz w:val="18"/>
                <w:szCs w:val="18"/>
                <w:lang w:val="es-ES_tradnl"/>
              </w:rPr>
            </w:pPr>
          </w:p>
        </w:tc>
        <w:tc>
          <w:tcPr>
            <w:tcW w:w="2628" w:type="dxa"/>
          </w:tcPr>
          <w:p w:rsidR="00241913" w:rsidRPr="00B34E6B" w:rsidRDefault="00881E2F" w:rsidP="00241913">
            <w:pPr>
              <w:spacing w:after="200" w:line="276" w:lineRule="auto"/>
              <w:rPr>
                <w:rFonts w:eastAsiaTheme="minorHAnsi"/>
                <w:sz w:val="18"/>
                <w:szCs w:val="18"/>
                <w:lang w:val="es-ES_tradnl" w:eastAsia="en-US"/>
              </w:rPr>
            </w:pPr>
            <w:r w:rsidRPr="00B34E6B">
              <w:rPr>
                <w:rFonts w:eastAsiaTheme="minorHAnsi"/>
                <w:sz w:val="18"/>
                <w:szCs w:val="18"/>
                <w:lang w:val="es-ES_tradnl" w:eastAsia="en-US"/>
              </w:rPr>
              <w:t>Esta recomendación  está aún siendo estudiada por la OMPI</w:t>
            </w:r>
            <w:r w:rsidR="00241913" w:rsidRPr="00B34E6B">
              <w:rPr>
                <w:rFonts w:eastAsiaTheme="minorHAnsi"/>
                <w:sz w:val="18"/>
                <w:szCs w:val="18"/>
                <w:lang w:val="es-ES_tradnl" w:eastAsia="en-US"/>
              </w:rPr>
              <w:t>.</w:t>
            </w:r>
          </w:p>
          <w:p w:rsidR="00D252C2" w:rsidRPr="00B34E6B" w:rsidRDefault="00881E2F" w:rsidP="00241913">
            <w:pPr>
              <w:rPr>
                <w:sz w:val="18"/>
                <w:szCs w:val="18"/>
                <w:lang w:val="es-ES_tradnl"/>
              </w:rPr>
            </w:pPr>
            <w:r w:rsidRPr="00B34E6B">
              <w:rPr>
                <w:rFonts w:eastAsiaTheme="minorHAnsi"/>
                <w:sz w:val="18"/>
                <w:szCs w:val="18"/>
                <w:lang w:val="es-ES_tradnl" w:eastAsia="en-US"/>
              </w:rPr>
              <w:t xml:space="preserve">La OMPI financia actualmente al Secretario General de la </w:t>
            </w:r>
            <w:r w:rsidR="00241913" w:rsidRPr="00B34E6B">
              <w:rPr>
                <w:rFonts w:eastAsiaTheme="minorHAnsi"/>
                <w:sz w:val="18"/>
                <w:szCs w:val="18"/>
                <w:lang w:val="es-ES_tradnl" w:eastAsia="en-US"/>
              </w:rPr>
              <w:t xml:space="preserve">FICSA </w:t>
            </w:r>
            <w:r w:rsidR="000875A1" w:rsidRPr="00B34E6B">
              <w:rPr>
                <w:rFonts w:eastAsiaTheme="minorHAnsi"/>
                <w:sz w:val="18"/>
                <w:szCs w:val="18"/>
                <w:lang w:val="es-ES_tradnl" w:eastAsia="en-US"/>
              </w:rPr>
              <w:t>ya que es un funcionario de la OMPI que ha sido cedido a jornada completa a la FICSA hasta febrero de</w:t>
            </w:r>
            <w:r w:rsidR="00241913" w:rsidRPr="00B34E6B">
              <w:rPr>
                <w:rFonts w:eastAsiaTheme="minorHAnsi"/>
                <w:sz w:val="18"/>
                <w:szCs w:val="18"/>
                <w:lang w:val="es-ES_tradnl" w:eastAsia="en-US"/>
              </w:rPr>
              <w:t xml:space="preserve"> 2015.</w:t>
            </w:r>
          </w:p>
          <w:p w:rsidR="00241913" w:rsidRPr="00B34E6B" w:rsidRDefault="00241913" w:rsidP="00E34FBC">
            <w:pPr>
              <w:rPr>
                <w:sz w:val="18"/>
                <w:szCs w:val="18"/>
                <w:lang w:val="es-ES_tradnl"/>
              </w:rPr>
            </w:pPr>
          </w:p>
          <w:p w:rsidR="00241913" w:rsidRPr="00B34E6B" w:rsidRDefault="00241913" w:rsidP="00E34FBC">
            <w:pPr>
              <w:rPr>
                <w:sz w:val="18"/>
                <w:szCs w:val="18"/>
                <w:lang w:val="es-ES_tradnl"/>
              </w:rPr>
            </w:pPr>
          </w:p>
        </w:tc>
      </w:tr>
      <w:tr w:rsidR="00D252C2" w:rsidRPr="006508B9" w:rsidTr="009F12BA">
        <w:tc>
          <w:tcPr>
            <w:tcW w:w="9576" w:type="dxa"/>
            <w:gridSpan w:val="5"/>
            <w:shd w:val="clear" w:color="auto" w:fill="DAEEF3" w:themeFill="accent5" w:themeFillTint="33"/>
            <w:vAlign w:val="center"/>
          </w:tcPr>
          <w:p w:rsidR="00D252C2" w:rsidRPr="00B34E6B" w:rsidRDefault="00D252C2" w:rsidP="00105436">
            <w:pPr>
              <w:jc w:val="center"/>
              <w:rPr>
                <w:b/>
                <w:sz w:val="18"/>
                <w:szCs w:val="18"/>
                <w:lang w:val="es-ES_tradnl"/>
              </w:rPr>
            </w:pPr>
          </w:p>
          <w:p w:rsidR="00D252C2" w:rsidRPr="00B34E6B" w:rsidRDefault="00D252C2" w:rsidP="000875A1">
            <w:pPr>
              <w:keepNext/>
              <w:keepLines/>
              <w:jc w:val="center"/>
              <w:rPr>
                <w:b/>
                <w:sz w:val="18"/>
                <w:szCs w:val="18"/>
                <w:lang w:val="es-ES_tradnl"/>
              </w:rPr>
            </w:pPr>
            <w:r w:rsidRPr="00B34E6B">
              <w:rPr>
                <w:b/>
                <w:sz w:val="18"/>
                <w:szCs w:val="18"/>
                <w:lang w:val="es-ES_tradnl"/>
              </w:rPr>
              <w:t>JIU/REP/2012/12, “</w:t>
            </w:r>
            <w:r w:rsidR="00190B93" w:rsidRPr="00B34E6B">
              <w:rPr>
                <w:b/>
                <w:sz w:val="18"/>
                <w:szCs w:val="18"/>
                <w:lang w:val="es-ES_tradnl"/>
              </w:rPr>
              <w:t>Planificación estratégica en el sistema de las Naciones Unidas</w:t>
            </w:r>
            <w:r w:rsidRPr="00B34E6B">
              <w:rPr>
                <w:b/>
                <w:sz w:val="18"/>
                <w:szCs w:val="18"/>
                <w:lang w:val="es-ES_tradnl"/>
              </w:rPr>
              <w:t>”</w:t>
            </w:r>
          </w:p>
          <w:p w:rsidR="00D252C2" w:rsidRPr="00B34E6B" w:rsidRDefault="00D252C2" w:rsidP="0057361E">
            <w:pPr>
              <w:jc w:val="center"/>
              <w:rPr>
                <w:sz w:val="18"/>
                <w:szCs w:val="18"/>
                <w:lang w:val="es-ES_tradnl"/>
              </w:rPr>
            </w:pPr>
          </w:p>
        </w:tc>
      </w:tr>
      <w:tr w:rsidR="00D252C2" w:rsidRPr="006508B9" w:rsidTr="009F12BA">
        <w:tc>
          <w:tcPr>
            <w:tcW w:w="2628" w:type="dxa"/>
          </w:tcPr>
          <w:p w:rsidR="009632FA" w:rsidRDefault="009632FA" w:rsidP="00A83674">
            <w:pPr>
              <w:rPr>
                <w:sz w:val="18"/>
                <w:szCs w:val="18"/>
                <w:lang w:val="es-ES_tradnl"/>
              </w:rPr>
            </w:pPr>
          </w:p>
          <w:p w:rsidR="00D252C2" w:rsidRPr="00B34E6B" w:rsidRDefault="00D252C2" w:rsidP="00A83674">
            <w:pPr>
              <w:rPr>
                <w:sz w:val="18"/>
                <w:szCs w:val="18"/>
                <w:lang w:val="es-ES_tradnl"/>
              </w:rPr>
            </w:pPr>
            <w:r w:rsidRPr="00B34E6B">
              <w:rPr>
                <w:sz w:val="18"/>
                <w:szCs w:val="18"/>
                <w:lang w:val="es-ES_tradnl"/>
              </w:rPr>
              <w:t xml:space="preserve">Rec. 4. </w:t>
            </w:r>
            <w:r w:rsidR="000875A1" w:rsidRPr="00B34E6B">
              <w:rPr>
                <w:bCs/>
                <w:sz w:val="18"/>
                <w:szCs w:val="18"/>
                <w:lang w:val="es-ES_tradnl"/>
              </w:rPr>
              <w:t>Los órganos legislativos de las organizaciones del sistema de las Naciones Unidas deberían formular y definir los pertinentes marcos estratégicos sectoriales para todo el sistema por conducto del Consejo Económico y Social con el fin de alcanzar los objetivos a largo plazo establecidos en el Documento Final de la Cumbre Mundial 2005, aprobado por la Asamblea General en su resolución 60/1, así como los establecidos por las misiones y mandatos de las organizaciones del sistema como resultado de conferencias mundiales</w:t>
            </w:r>
            <w:r w:rsidRPr="00B34E6B">
              <w:rPr>
                <w:sz w:val="18"/>
                <w:szCs w:val="18"/>
                <w:lang w:val="es-ES_tradnl"/>
              </w:rPr>
              <w:t>.</w:t>
            </w:r>
          </w:p>
        </w:tc>
        <w:tc>
          <w:tcPr>
            <w:tcW w:w="1350" w:type="dxa"/>
          </w:tcPr>
          <w:p w:rsidR="009632FA" w:rsidRDefault="009632FA" w:rsidP="000875A1">
            <w:pPr>
              <w:rPr>
                <w:sz w:val="18"/>
                <w:szCs w:val="18"/>
                <w:lang w:val="es-ES_tradnl"/>
              </w:rPr>
            </w:pPr>
          </w:p>
          <w:p w:rsidR="000875A1" w:rsidRPr="00B34E6B" w:rsidRDefault="000875A1" w:rsidP="000875A1">
            <w:pPr>
              <w:rPr>
                <w:sz w:val="18"/>
                <w:szCs w:val="18"/>
                <w:lang w:val="es-ES_tradnl"/>
              </w:rPr>
            </w:pPr>
            <w:r w:rsidRPr="00B34E6B">
              <w:rPr>
                <w:sz w:val="18"/>
                <w:szCs w:val="18"/>
                <w:lang w:val="es-ES_tradnl"/>
              </w:rPr>
              <w:t xml:space="preserve">Directora, </w:t>
            </w:r>
          </w:p>
          <w:p w:rsidR="00D252C2" w:rsidRPr="00B34E6B" w:rsidRDefault="000875A1" w:rsidP="000875A1">
            <w:pPr>
              <w:rPr>
                <w:sz w:val="18"/>
                <w:szCs w:val="18"/>
                <w:lang w:val="es-ES_tradnl"/>
              </w:rPr>
            </w:pPr>
            <w:r w:rsidRPr="00B34E6B">
              <w:rPr>
                <w:sz w:val="18"/>
                <w:szCs w:val="18"/>
                <w:lang w:val="es-ES_tradnl"/>
              </w:rPr>
              <w:t>Depto. de Planificación de Programas y Finanzas (Contralor)</w:t>
            </w:r>
          </w:p>
        </w:tc>
        <w:tc>
          <w:tcPr>
            <w:tcW w:w="1350" w:type="dxa"/>
          </w:tcPr>
          <w:p w:rsidR="009632FA" w:rsidRDefault="009632FA" w:rsidP="000875A1">
            <w:pPr>
              <w:rPr>
                <w:sz w:val="18"/>
                <w:szCs w:val="18"/>
                <w:lang w:val="es-ES_tradnl"/>
              </w:rPr>
            </w:pPr>
          </w:p>
          <w:p w:rsidR="00D252C2" w:rsidRPr="00B34E6B" w:rsidRDefault="000875A1" w:rsidP="000875A1">
            <w:pPr>
              <w:rPr>
                <w:sz w:val="18"/>
                <w:szCs w:val="18"/>
                <w:lang w:val="es-ES_tradnl"/>
              </w:rPr>
            </w:pPr>
            <w:r w:rsidRPr="00B34E6B">
              <w:rPr>
                <w:sz w:val="18"/>
                <w:szCs w:val="18"/>
                <w:lang w:val="es-ES_tradnl"/>
              </w:rPr>
              <w:t>A estudio</w:t>
            </w:r>
          </w:p>
        </w:tc>
        <w:tc>
          <w:tcPr>
            <w:tcW w:w="1620" w:type="dxa"/>
          </w:tcPr>
          <w:p w:rsidR="00D252C2" w:rsidRPr="00B34E6B" w:rsidRDefault="00D252C2">
            <w:pPr>
              <w:rPr>
                <w:sz w:val="18"/>
                <w:szCs w:val="18"/>
                <w:lang w:val="es-ES_tradnl"/>
              </w:rPr>
            </w:pPr>
          </w:p>
        </w:tc>
        <w:tc>
          <w:tcPr>
            <w:tcW w:w="2628" w:type="dxa"/>
          </w:tcPr>
          <w:p w:rsidR="009632FA" w:rsidRDefault="009632FA" w:rsidP="00130EFE">
            <w:pPr>
              <w:rPr>
                <w:sz w:val="18"/>
                <w:szCs w:val="18"/>
                <w:lang w:val="es-ES_tradnl"/>
              </w:rPr>
            </w:pPr>
          </w:p>
          <w:p w:rsidR="00D252C2" w:rsidRPr="00B34E6B" w:rsidRDefault="00032B9D" w:rsidP="00130EFE">
            <w:pPr>
              <w:rPr>
                <w:sz w:val="18"/>
                <w:szCs w:val="18"/>
                <w:lang w:val="es-ES_tradnl"/>
              </w:rPr>
            </w:pPr>
            <w:r w:rsidRPr="00B34E6B">
              <w:rPr>
                <w:sz w:val="18"/>
                <w:szCs w:val="18"/>
                <w:lang w:val="es-ES_tradnl"/>
              </w:rPr>
              <w:t>El plan estratégico a mediano plazo de la OMPI, actualmente en ejecución, cubre el quinquenio 2010/15, y el marco de la OMPI de gestión por resultados tiene una cobertura bienal</w:t>
            </w:r>
            <w:r w:rsidR="00D252C2" w:rsidRPr="00B34E6B">
              <w:rPr>
                <w:sz w:val="18"/>
                <w:szCs w:val="18"/>
                <w:lang w:val="es-ES_tradnl"/>
              </w:rPr>
              <w:t xml:space="preserve">. </w:t>
            </w:r>
            <w:r w:rsidRPr="00B34E6B">
              <w:rPr>
                <w:sz w:val="18"/>
                <w:szCs w:val="18"/>
                <w:lang w:val="es-ES_tradnl"/>
              </w:rPr>
              <w:t xml:space="preserve">Habida cuenta del </w:t>
            </w:r>
            <w:r w:rsidR="00CC4AF2" w:rsidRPr="00B34E6B">
              <w:rPr>
                <w:sz w:val="18"/>
                <w:szCs w:val="18"/>
                <w:lang w:val="es-ES_tradnl"/>
              </w:rPr>
              <w:t>c</w:t>
            </w:r>
            <w:r w:rsidRPr="00B34E6B">
              <w:rPr>
                <w:sz w:val="18"/>
                <w:szCs w:val="18"/>
                <w:lang w:val="es-ES_tradnl"/>
              </w:rPr>
              <w:t>ar</w:t>
            </w:r>
            <w:r w:rsidR="00CC4AF2" w:rsidRPr="00B34E6B">
              <w:rPr>
                <w:sz w:val="18"/>
                <w:szCs w:val="18"/>
                <w:lang w:val="es-ES_tradnl"/>
              </w:rPr>
              <w:t>ác</w:t>
            </w:r>
            <w:r w:rsidRPr="00B34E6B">
              <w:rPr>
                <w:sz w:val="18"/>
                <w:szCs w:val="18"/>
                <w:lang w:val="es-ES_tradnl"/>
              </w:rPr>
              <w:t xml:space="preserve">ter técnico y especializado de la labor de la OMPI, ninguna de esas dos herramientas de planificación estratégica ha sido formulada o definida por conducto del Consejo Económico y Social de NN.UU. </w:t>
            </w:r>
            <w:r w:rsidR="00CC4AF2" w:rsidRPr="00B34E6B">
              <w:rPr>
                <w:sz w:val="18"/>
                <w:szCs w:val="18"/>
                <w:lang w:val="es-ES_tradnl"/>
              </w:rPr>
              <w:t xml:space="preserve"> La OMPI sigue empeñada en cumplir con su parte en el cometido de alcanzar los objetivos de desarrollo de milenio</w:t>
            </w:r>
            <w:r w:rsidR="00D252C2" w:rsidRPr="00B34E6B">
              <w:rPr>
                <w:sz w:val="18"/>
                <w:szCs w:val="18"/>
                <w:lang w:val="es-ES_tradnl"/>
              </w:rPr>
              <w:t xml:space="preserve">. </w:t>
            </w:r>
            <w:r w:rsidR="00CC4AF2" w:rsidRPr="00B34E6B">
              <w:rPr>
                <w:sz w:val="18"/>
                <w:szCs w:val="18"/>
                <w:lang w:val="es-ES_tradnl"/>
              </w:rPr>
              <w:t>Nuestras actividades dimanantes de la Agenda para el Desarrollo ponen de relieve nuestro compromiso de ayudar a que los Estados miembros se beneficien, mediante la utilización del sistema de propiedad intelectual, en lo que atañe a su desarrollo socioeconómico y cultural</w:t>
            </w:r>
            <w:r w:rsidR="00D252C2" w:rsidRPr="00B34E6B">
              <w:rPr>
                <w:sz w:val="18"/>
                <w:szCs w:val="18"/>
                <w:lang w:val="es-ES_tradnl"/>
              </w:rPr>
              <w:t xml:space="preserve">. </w:t>
            </w:r>
            <w:r w:rsidR="00CC4AF2" w:rsidRPr="00B34E6B">
              <w:rPr>
                <w:sz w:val="18"/>
                <w:szCs w:val="18"/>
                <w:lang w:val="es-ES_tradnl"/>
              </w:rPr>
              <w:t xml:space="preserve">Aunque la labor de la OMPI </w:t>
            </w:r>
            <w:r w:rsidR="0036686B" w:rsidRPr="00B34E6B">
              <w:rPr>
                <w:sz w:val="18"/>
                <w:szCs w:val="18"/>
                <w:lang w:val="es-ES_tradnl"/>
              </w:rPr>
              <w:t>en ese sentido es importante, en vista de la naturaleza de nuestro apoyo no es fácil planificar ni atribuirla directamente a la consecución de los objetivos de desarrollo del milenio</w:t>
            </w:r>
            <w:r w:rsidR="00D252C2" w:rsidRPr="00B34E6B">
              <w:rPr>
                <w:sz w:val="18"/>
                <w:szCs w:val="18"/>
                <w:lang w:val="es-ES_tradnl"/>
              </w:rPr>
              <w:t>.</w:t>
            </w:r>
          </w:p>
          <w:p w:rsidR="00D252C2" w:rsidRPr="00B34E6B" w:rsidRDefault="00D252C2" w:rsidP="00130EFE">
            <w:pPr>
              <w:rPr>
                <w:sz w:val="18"/>
                <w:szCs w:val="18"/>
                <w:lang w:val="es-ES_tradnl"/>
              </w:rPr>
            </w:pPr>
          </w:p>
        </w:tc>
      </w:tr>
      <w:tr w:rsidR="009F12BA" w:rsidRPr="006508B9" w:rsidTr="009F12BA">
        <w:tc>
          <w:tcPr>
            <w:tcW w:w="2628" w:type="dxa"/>
          </w:tcPr>
          <w:p w:rsidR="009F12BA" w:rsidRDefault="00E207BB" w:rsidP="009F12BA">
            <w:pPr>
              <w:rPr>
                <w:sz w:val="18"/>
                <w:szCs w:val="18"/>
                <w:lang w:val="es-ES_tradnl"/>
              </w:rPr>
            </w:pPr>
            <w:r w:rsidRPr="00B34E6B">
              <w:rPr>
                <w:sz w:val="18"/>
                <w:szCs w:val="18"/>
                <w:lang w:val="es-ES_tradnl"/>
              </w:rPr>
              <w:t xml:space="preserve">Rec. 5. </w:t>
            </w:r>
            <w:r w:rsidR="009F12BA" w:rsidRPr="00B34E6B">
              <w:rPr>
                <w:sz w:val="18"/>
                <w:szCs w:val="18"/>
                <w:lang w:val="es-ES_tradnl"/>
              </w:rPr>
              <w:t>Los órganos legislativos de las organizacio</w:t>
            </w:r>
            <w:r w:rsidR="00EE221A" w:rsidRPr="00B34E6B">
              <w:rPr>
                <w:sz w:val="18"/>
                <w:szCs w:val="18"/>
                <w:lang w:val="es-ES_tradnl"/>
              </w:rPr>
              <w:t xml:space="preserve">nes del sistema de las Naciones </w:t>
            </w:r>
            <w:r w:rsidR="009F12BA" w:rsidRPr="00B34E6B">
              <w:rPr>
                <w:sz w:val="18"/>
                <w:szCs w:val="18"/>
                <w:lang w:val="es-ES_tradnl"/>
              </w:rPr>
              <w:t xml:space="preserve">Unidas </w:t>
            </w:r>
            <w:r w:rsidR="009F12BA" w:rsidRPr="00B34E6B">
              <w:rPr>
                <w:sz w:val="18"/>
                <w:szCs w:val="18"/>
                <w:lang w:val="es-ES_tradnl"/>
              </w:rPr>
              <w:lastRenderedPageBreak/>
              <w:t>deberían dar instrucciones a sus respectivas s</w:t>
            </w:r>
            <w:r w:rsidR="00EE221A" w:rsidRPr="00B34E6B">
              <w:rPr>
                <w:sz w:val="18"/>
                <w:szCs w:val="18"/>
                <w:lang w:val="es-ES_tradnl"/>
              </w:rPr>
              <w:t xml:space="preserve">ecretarías para que adopten las </w:t>
            </w:r>
            <w:r w:rsidR="009F12BA" w:rsidRPr="00B34E6B">
              <w:rPr>
                <w:sz w:val="18"/>
                <w:szCs w:val="18"/>
                <w:lang w:val="es-ES_tradnl"/>
              </w:rPr>
              <w:t>medidas necesarias con el fin de que, antes de finales</w:t>
            </w:r>
            <w:r w:rsidR="00EE221A" w:rsidRPr="00B34E6B">
              <w:rPr>
                <w:sz w:val="18"/>
                <w:szCs w:val="18"/>
                <w:lang w:val="es-ES_tradnl"/>
              </w:rPr>
              <w:t xml:space="preserve"> de 2015, armonicen y/o ajusten </w:t>
            </w:r>
            <w:r w:rsidR="009F12BA" w:rsidRPr="00B34E6B">
              <w:rPr>
                <w:sz w:val="18"/>
                <w:szCs w:val="18"/>
                <w:lang w:val="es-ES_tradnl"/>
              </w:rPr>
              <w:t>los ciclos de planificación de sus planes est</w:t>
            </w:r>
            <w:r w:rsidR="00EE221A" w:rsidRPr="00B34E6B">
              <w:rPr>
                <w:sz w:val="18"/>
                <w:szCs w:val="18"/>
                <w:lang w:val="es-ES_tradnl"/>
              </w:rPr>
              <w:t xml:space="preserve">ratégicos de modo que todas las </w:t>
            </w:r>
            <w:r w:rsidR="009F12BA" w:rsidRPr="00B34E6B">
              <w:rPr>
                <w:sz w:val="18"/>
                <w:szCs w:val="18"/>
                <w:lang w:val="es-ES_tradnl"/>
              </w:rPr>
              <w:t>organizaciones estén preparadas para inici</w:t>
            </w:r>
            <w:r w:rsidR="00EE221A" w:rsidRPr="00B34E6B">
              <w:rPr>
                <w:sz w:val="18"/>
                <w:szCs w:val="18"/>
                <w:lang w:val="es-ES_tradnl"/>
              </w:rPr>
              <w:t xml:space="preserve">ar un nuevo ciclo armonizado de </w:t>
            </w:r>
            <w:r w:rsidR="009F12BA" w:rsidRPr="00B34E6B">
              <w:rPr>
                <w:sz w:val="18"/>
                <w:szCs w:val="18"/>
                <w:lang w:val="es-ES_tradnl"/>
              </w:rPr>
              <w:t>presentación de informes a los Estados Miembros en 2016.</w:t>
            </w:r>
          </w:p>
          <w:p w:rsidR="009632FA" w:rsidRPr="00B34E6B" w:rsidRDefault="009632FA" w:rsidP="009F12BA">
            <w:pPr>
              <w:rPr>
                <w:sz w:val="18"/>
                <w:szCs w:val="18"/>
                <w:lang w:val="es-ES_tradnl"/>
              </w:rPr>
            </w:pPr>
          </w:p>
        </w:tc>
        <w:tc>
          <w:tcPr>
            <w:tcW w:w="1350" w:type="dxa"/>
          </w:tcPr>
          <w:p w:rsidR="009F12BA" w:rsidRPr="00B34E6B" w:rsidRDefault="009F12BA" w:rsidP="00D34ED7">
            <w:pPr>
              <w:rPr>
                <w:sz w:val="18"/>
                <w:szCs w:val="18"/>
                <w:lang w:val="es-ES_tradnl"/>
              </w:rPr>
            </w:pPr>
            <w:r w:rsidRPr="00B34E6B">
              <w:rPr>
                <w:sz w:val="18"/>
                <w:szCs w:val="18"/>
                <w:lang w:val="es-ES_tradnl"/>
              </w:rPr>
              <w:lastRenderedPageBreak/>
              <w:t xml:space="preserve">Directora, </w:t>
            </w:r>
          </w:p>
          <w:p w:rsidR="009F12BA" w:rsidRPr="00B34E6B" w:rsidRDefault="009F12BA" w:rsidP="00D34ED7">
            <w:pPr>
              <w:rPr>
                <w:sz w:val="18"/>
                <w:szCs w:val="18"/>
                <w:lang w:val="es-ES_tradnl"/>
              </w:rPr>
            </w:pPr>
            <w:r w:rsidRPr="00B34E6B">
              <w:rPr>
                <w:sz w:val="18"/>
                <w:szCs w:val="18"/>
                <w:lang w:val="es-ES_tradnl"/>
              </w:rPr>
              <w:t xml:space="preserve">Depto. de Planificación de Programas </w:t>
            </w:r>
            <w:r w:rsidRPr="00B34E6B">
              <w:rPr>
                <w:sz w:val="18"/>
                <w:szCs w:val="18"/>
                <w:lang w:val="es-ES_tradnl"/>
              </w:rPr>
              <w:lastRenderedPageBreak/>
              <w:t>y Finanzas (Contralor)</w:t>
            </w:r>
          </w:p>
        </w:tc>
        <w:tc>
          <w:tcPr>
            <w:tcW w:w="1350" w:type="dxa"/>
          </w:tcPr>
          <w:p w:rsidR="009F12BA" w:rsidRPr="00B34E6B" w:rsidRDefault="009F12BA">
            <w:pPr>
              <w:rPr>
                <w:sz w:val="18"/>
                <w:szCs w:val="18"/>
                <w:lang w:val="es-ES_tradnl"/>
              </w:rPr>
            </w:pPr>
            <w:r w:rsidRPr="00B34E6B">
              <w:rPr>
                <w:sz w:val="18"/>
                <w:szCs w:val="18"/>
                <w:lang w:val="es-ES_tradnl"/>
              </w:rPr>
              <w:lastRenderedPageBreak/>
              <w:t>Aceptada</w:t>
            </w:r>
          </w:p>
        </w:tc>
        <w:tc>
          <w:tcPr>
            <w:tcW w:w="1620" w:type="dxa"/>
          </w:tcPr>
          <w:p w:rsidR="009F12BA" w:rsidRPr="00B34E6B" w:rsidRDefault="009F12BA">
            <w:pPr>
              <w:rPr>
                <w:sz w:val="18"/>
                <w:szCs w:val="18"/>
                <w:lang w:val="es-ES_tradnl"/>
              </w:rPr>
            </w:pPr>
            <w:r w:rsidRPr="00B34E6B">
              <w:rPr>
                <w:sz w:val="18"/>
                <w:szCs w:val="18"/>
                <w:lang w:val="es-ES_tradnl"/>
              </w:rPr>
              <w:t>Aplicada</w:t>
            </w:r>
          </w:p>
        </w:tc>
        <w:tc>
          <w:tcPr>
            <w:tcW w:w="2628" w:type="dxa"/>
            <w:shd w:val="clear" w:color="auto" w:fill="auto"/>
          </w:tcPr>
          <w:p w:rsidR="009F12BA" w:rsidRPr="00B34E6B" w:rsidRDefault="004C561D" w:rsidP="004C561D">
            <w:pPr>
              <w:rPr>
                <w:sz w:val="18"/>
                <w:szCs w:val="18"/>
                <w:lang w:val="es-ES_tradnl"/>
              </w:rPr>
            </w:pPr>
            <w:r w:rsidRPr="00B34E6B">
              <w:rPr>
                <w:sz w:val="18"/>
                <w:szCs w:val="18"/>
                <w:lang w:val="es-ES_tradnl"/>
              </w:rPr>
              <w:t xml:space="preserve">El plan estratégico a mediano plazo de la OMPI, actualmente en ejecución, cubre el quinquenio 2010/15  </w:t>
            </w:r>
            <w:r w:rsidRPr="00B34E6B">
              <w:rPr>
                <w:sz w:val="18"/>
                <w:szCs w:val="18"/>
                <w:lang w:val="es-ES_tradnl"/>
              </w:rPr>
              <w:lastRenderedPageBreak/>
              <w:t xml:space="preserve">y, por lo tanto, está en concordancia con la propuesta.  Sin embargo, ha de tenerse en cuenta que la duración del ciclo de planificación de la OMPI es actualmente de seis años. </w:t>
            </w:r>
          </w:p>
        </w:tc>
      </w:tr>
      <w:tr w:rsidR="009F12BA" w:rsidRPr="006508B9" w:rsidTr="009F12BA">
        <w:trPr>
          <w:cantSplit/>
        </w:trPr>
        <w:tc>
          <w:tcPr>
            <w:tcW w:w="9576" w:type="dxa"/>
            <w:gridSpan w:val="5"/>
            <w:shd w:val="clear" w:color="auto" w:fill="auto"/>
            <w:vAlign w:val="center"/>
          </w:tcPr>
          <w:p w:rsidR="009F12BA" w:rsidRPr="00B34E6B" w:rsidRDefault="009F12BA" w:rsidP="00D20D7D">
            <w:pPr>
              <w:jc w:val="center"/>
              <w:rPr>
                <w:b/>
                <w:sz w:val="18"/>
                <w:szCs w:val="18"/>
                <w:lang w:val="es-ES_tradnl"/>
              </w:rPr>
            </w:pPr>
          </w:p>
          <w:p w:rsidR="009F12BA" w:rsidRDefault="009F12BA" w:rsidP="00D20D7D">
            <w:pPr>
              <w:jc w:val="center"/>
              <w:rPr>
                <w:b/>
                <w:lang w:val="es-ES_tradnl"/>
              </w:rPr>
            </w:pPr>
            <w:r w:rsidRPr="00B34E6B">
              <w:rPr>
                <w:b/>
                <w:lang w:val="es-ES_tradnl"/>
              </w:rPr>
              <w:t>Recomendaciones resultantes de exámenes de la DCI efectuados en 2011</w:t>
            </w:r>
          </w:p>
          <w:p w:rsidR="009632FA" w:rsidRPr="00B34E6B" w:rsidRDefault="009632FA" w:rsidP="00D20D7D">
            <w:pPr>
              <w:jc w:val="center"/>
              <w:rPr>
                <w:sz w:val="18"/>
                <w:szCs w:val="18"/>
                <w:lang w:val="es-ES_tradnl"/>
              </w:rPr>
            </w:pPr>
          </w:p>
        </w:tc>
      </w:tr>
      <w:tr w:rsidR="009F12BA" w:rsidRPr="006508B9" w:rsidTr="009F12BA">
        <w:tc>
          <w:tcPr>
            <w:tcW w:w="9576" w:type="dxa"/>
            <w:gridSpan w:val="5"/>
            <w:shd w:val="clear" w:color="auto" w:fill="DAEEF3" w:themeFill="accent5" w:themeFillTint="33"/>
            <w:vAlign w:val="center"/>
          </w:tcPr>
          <w:p w:rsidR="009F12BA" w:rsidRPr="00B34E6B" w:rsidRDefault="009F12BA" w:rsidP="00A56AC3">
            <w:pPr>
              <w:jc w:val="center"/>
              <w:rPr>
                <w:b/>
                <w:sz w:val="18"/>
                <w:szCs w:val="18"/>
                <w:lang w:val="es-ES_tradnl"/>
              </w:rPr>
            </w:pPr>
          </w:p>
          <w:p w:rsidR="00FE7ED5" w:rsidRPr="00B34E6B" w:rsidRDefault="009F12BA" w:rsidP="00FE7ED5">
            <w:pPr>
              <w:jc w:val="center"/>
              <w:rPr>
                <w:b/>
                <w:sz w:val="18"/>
                <w:szCs w:val="18"/>
                <w:lang w:val="es-ES_tradnl"/>
              </w:rPr>
            </w:pPr>
            <w:r w:rsidRPr="00B34E6B">
              <w:rPr>
                <w:b/>
                <w:sz w:val="18"/>
                <w:szCs w:val="18"/>
                <w:lang w:val="es-ES_tradnl"/>
              </w:rPr>
              <w:t>JIU/REP/2011/1, “</w:t>
            </w:r>
            <w:r w:rsidR="00FE7ED5" w:rsidRPr="00B34E6B">
              <w:rPr>
                <w:b/>
                <w:sz w:val="18"/>
                <w:szCs w:val="18"/>
                <w:lang w:val="es-ES_tradnl"/>
              </w:rPr>
              <w:t>Examen del servicio médico en las organizaciones</w:t>
            </w:r>
          </w:p>
          <w:p w:rsidR="009F12BA" w:rsidRPr="00B34E6B" w:rsidRDefault="00FE7ED5" w:rsidP="00FE7ED5">
            <w:pPr>
              <w:jc w:val="center"/>
              <w:rPr>
                <w:b/>
                <w:sz w:val="18"/>
                <w:szCs w:val="18"/>
                <w:lang w:val="es-ES_tradnl"/>
              </w:rPr>
            </w:pPr>
            <w:r w:rsidRPr="00B34E6B">
              <w:rPr>
                <w:b/>
                <w:sz w:val="18"/>
                <w:szCs w:val="18"/>
                <w:lang w:val="es-ES_tradnl"/>
              </w:rPr>
              <w:t>del sistema de las Naciones Unidas</w:t>
            </w:r>
            <w:r w:rsidR="009F12BA" w:rsidRPr="00B34E6B">
              <w:rPr>
                <w:b/>
                <w:sz w:val="18"/>
                <w:szCs w:val="18"/>
                <w:lang w:val="es-ES_tradnl"/>
              </w:rPr>
              <w:t>”</w:t>
            </w:r>
          </w:p>
          <w:p w:rsidR="009F12BA" w:rsidRPr="00B34E6B" w:rsidRDefault="009F12BA" w:rsidP="00A56AC3">
            <w:pPr>
              <w:jc w:val="center"/>
              <w:rPr>
                <w:b/>
                <w:sz w:val="18"/>
                <w:szCs w:val="18"/>
                <w:lang w:val="es-ES_tradnl"/>
              </w:rPr>
            </w:pPr>
          </w:p>
        </w:tc>
      </w:tr>
      <w:tr w:rsidR="009F12BA" w:rsidRPr="006508B9" w:rsidTr="009F12BA">
        <w:tc>
          <w:tcPr>
            <w:tcW w:w="2628" w:type="dxa"/>
          </w:tcPr>
          <w:p w:rsidR="009F12BA" w:rsidRDefault="009F12BA" w:rsidP="00E207BB">
            <w:pPr>
              <w:rPr>
                <w:sz w:val="18"/>
                <w:szCs w:val="18"/>
                <w:lang w:val="es-ES_tradnl"/>
              </w:rPr>
            </w:pPr>
            <w:r w:rsidRPr="00B34E6B">
              <w:rPr>
                <w:sz w:val="18"/>
                <w:szCs w:val="18"/>
                <w:lang w:val="es-ES_tradnl"/>
              </w:rPr>
              <w:t xml:space="preserve">Rec. 2.  </w:t>
            </w:r>
            <w:r w:rsidR="00E207BB" w:rsidRPr="00B34E6B">
              <w:rPr>
                <w:sz w:val="18"/>
                <w:szCs w:val="18"/>
                <w:lang w:val="es-ES_tradnl"/>
              </w:rPr>
              <w:t>Los órganos legislativos de las organizacio</w:t>
            </w:r>
            <w:r w:rsidR="00EE221A" w:rsidRPr="00B34E6B">
              <w:rPr>
                <w:sz w:val="18"/>
                <w:szCs w:val="18"/>
                <w:lang w:val="es-ES_tradnl"/>
              </w:rPr>
              <w:t xml:space="preserve">nes del sistema de las Naciones </w:t>
            </w:r>
            <w:r w:rsidR="00E207BB" w:rsidRPr="00B34E6B">
              <w:rPr>
                <w:sz w:val="18"/>
                <w:szCs w:val="18"/>
                <w:lang w:val="es-ES_tradnl"/>
              </w:rPr>
              <w:t>Unidas deberían adoptar normas apropiada</w:t>
            </w:r>
            <w:r w:rsidR="00EE221A" w:rsidRPr="00B34E6B">
              <w:rPr>
                <w:sz w:val="18"/>
                <w:szCs w:val="18"/>
                <w:lang w:val="es-ES_tradnl"/>
              </w:rPr>
              <w:t xml:space="preserve">s con respecto a las cuestiones </w:t>
            </w:r>
            <w:r w:rsidR="00E207BB" w:rsidRPr="00B34E6B">
              <w:rPr>
                <w:sz w:val="18"/>
                <w:szCs w:val="18"/>
                <w:lang w:val="es-ES_tradnl"/>
              </w:rPr>
              <w:t>relacionadas con la seguridad y la salud en el trabaj</w:t>
            </w:r>
            <w:r w:rsidR="00EE221A" w:rsidRPr="00B34E6B">
              <w:rPr>
                <w:sz w:val="18"/>
                <w:szCs w:val="18"/>
                <w:lang w:val="es-ES_tradnl"/>
              </w:rPr>
              <w:t xml:space="preserve">o, teniendo en cuenta y velando </w:t>
            </w:r>
            <w:r w:rsidR="00E207BB" w:rsidRPr="00B34E6B">
              <w:rPr>
                <w:sz w:val="18"/>
                <w:szCs w:val="18"/>
                <w:lang w:val="es-ES_tradnl"/>
              </w:rPr>
              <w:t>por su compatibilidad con las modificaciones que se introd</w:t>
            </w:r>
            <w:r w:rsidR="00EE221A" w:rsidRPr="00B34E6B">
              <w:rPr>
                <w:sz w:val="18"/>
                <w:szCs w:val="18"/>
                <w:lang w:val="es-ES_tradnl"/>
              </w:rPr>
              <w:t xml:space="preserve">uzcan en las normas </w:t>
            </w:r>
            <w:r w:rsidR="00E207BB" w:rsidRPr="00B34E6B">
              <w:rPr>
                <w:sz w:val="18"/>
                <w:szCs w:val="18"/>
                <w:lang w:val="es-ES_tradnl"/>
              </w:rPr>
              <w:t>mínimas operativas de seguridad y salud en el trabajo.</w:t>
            </w:r>
          </w:p>
          <w:p w:rsidR="00105436" w:rsidRPr="00B34E6B" w:rsidRDefault="00105436" w:rsidP="00E207BB">
            <w:pPr>
              <w:rPr>
                <w:sz w:val="18"/>
                <w:szCs w:val="18"/>
                <w:lang w:val="es-ES_tradnl"/>
              </w:rPr>
            </w:pPr>
          </w:p>
        </w:tc>
        <w:tc>
          <w:tcPr>
            <w:tcW w:w="1350" w:type="dxa"/>
          </w:tcPr>
          <w:p w:rsidR="009F12BA" w:rsidRPr="00B34E6B" w:rsidRDefault="00234343" w:rsidP="003A3ED6">
            <w:pPr>
              <w:rPr>
                <w:sz w:val="18"/>
                <w:szCs w:val="18"/>
                <w:lang w:val="es-ES_tradnl"/>
              </w:rPr>
            </w:pPr>
            <w:r w:rsidRPr="00B34E6B">
              <w:rPr>
                <w:sz w:val="18"/>
                <w:szCs w:val="18"/>
                <w:lang w:val="es-ES_tradnl"/>
              </w:rPr>
              <w:t>Directora, DGRRHH</w:t>
            </w:r>
          </w:p>
        </w:tc>
        <w:tc>
          <w:tcPr>
            <w:tcW w:w="1350" w:type="dxa"/>
          </w:tcPr>
          <w:p w:rsidR="009F12BA" w:rsidRPr="00B34E6B" w:rsidRDefault="00FE7ED5" w:rsidP="007132D7">
            <w:pPr>
              <w:rPr>
                <w:sz w:val="18"/>
                <w:szCs w:val="18"/>
                <w:lang w:val="es-ES_tradnl"/>
              </w:rPr>
            </w:pPr>
            <w:r w:rsidRPr="00B34E6B">
              <w:rPr>
                <w:sz w:val="18"/>
                <w:szCs w:val="18"/>
                <w:lang w:val="es-ES_tradnl"/>
              </w:rPr>
              <w:t>Aceptada</w:t>
            </w:r>
          </w:p>
        </w:tc>
        <w:tc>
          <w:tcPr>
            <w:tcW w:w="1620" w:type="dxa"/>
          </w:tcPr>
          <w:p w:rsidR="009F12BA" w:rsidRPr="00B34E6B" w:rsidRDefault="00FE7ED5" w:rsidP="00D63A0F">
            <w:pPr>
              <w:rPr>
                <w:sz w:val="18"/>
                <w:szCs w:val="18"/>
                <w:lang w:val="es-ES_tradnl"/>
              </w:rPr>
            </w:pPr>
            <w:r w:rsidRPr="00B34E6B">
              <w:rPr>
                <w:sz w:val="18"/>
                <w:szCs w:val="18"/>
                <w:lang w:val="es-ES_tradnl"/>
              </w:rPr>
              <w:t>En curso</w:t>
            </w:r>
          </w:p>
        </w:tc>
        <w:tc>
          <w:tcPr>
            <w:tcW w:w="2628" w:type="dxa"/>
          </w:tcPr>
          <w:p w:rsidR="00EE221A" w:rsidRPr="00B34E6B" w:rsidRDefault="00EE221A" w:rsidP="00157599">
            <w:pPr>
              <w:rPr>
                <w:sz w:val="18"/>
                <w:szCs w:val="18"/>
                <w:lang w:val="es-ES_tradnl"/>
              </w:rPr>
            </w:pPr>
            <w:r w:rsidRPr="00B34E6B">
              <w:rPr>
                <w:sz w:val="18"/>
                <w:szCs w:val="18"/>
                <w:lang w:val="es-ES_tradnl"/>
              </w:rPr>
              <w:t xml:space="preserve">En diciembre de 2013 comenzó a funcionar un Comité de Higiene y Seguridad del Trabajo que se </w:t>
            </w:r>
            <w:r w:rsidR="00D338E6" w:rsidRPr="00B34E6B">
              <w:rPr>
                <w:sz w:val="18"/>
                <w:szCs w:val="18"/>
                <w:lang w:val="es-ES_tradnl"/>
              </w:rPr>
              <w:t>reúne</w:t>
            </w:r>
            <w:r w:rsidRPr="00B34E6B">
              <w:rPr>
                <w:sz w:val="18"/>
                <w:szCs w:val="18"/>
                <w:lang w:val="es-ES_tradnl"/>
              </w:rPr>
              <w:t xml:space="preserve"> periódicamente para </w:t>
            </w:r>
            <w:r w:rsidR="00D338E6" w:rsidRPr="00B34E6B">
              <w:rPr>
                <w:sz w:val="18"/>
                <w:szCs w:val="18"/>
                <w:lang w:val="es-ES_tradnl"/>
              </w:rPr>
              <w:t>considerar</w:t>
            </w:r>
            <w:r w:rsidRPr="00B34E6B">
              <w:rPr>
                <w:sz w:val="18"/>
                <w:szCs w:val="18"/>
                <w:lang w:val="es-ES_tradnl"/>
              </w:rPr>
              <w:t xml:space="preserve"> y formular recomendaciones sobre asuntos que afectan a la </w:t>
            </w:r>
            <w:r w:rsidR="00D338E6" w:rsidRPr="00B34E6B">
              <w:rPr>
                <w:sz w:val="18"/>
                <w:szCs w:val="18"/>
                <w:lang w:val="es-ES_tradnl"/>
              </w:rPr>
              <w:t>higiene</w:t>
            </w:r>
            <w:r w:rsidRPr="00B34E6B">
              <w:rPr>
                <w:sz w:val="18"/>
                <w:szCs w:val="18"/>
                <w:lang w:val="es-ES_tradnl"/>
              </w:rPr>
              <w:t xml:space="preserve"> y seguridad del personal.</w:t>
            </w:r>
          </w:p>
        </w:tc>
      </w:tr>
      <w:tr w:rsidR="009F12BA" w:rsidRPr="006508B9" w:rsidTr="009F12BA">
        <w:tc>
          <w:tcPr>
            <w:tcW w:w="9576" w:type="dxa"/>
            <w:gridSpan w:val="5"/>
            <w:shd w:val="clear" w:color="auto" w:fill="DAEEF3" w:themeFill="accent5" w:themeFillTint="33"/>
            <w:vAlign w:val="center"/>
          </w:tcPr>
          <w:p w:rsidR="009F12BA" w:rsidRPr="00B34E6B" w:rsidRDefault="009F12BA" w:rsidP="00A56AC3">
            <w:pPr>
              <w:jc w:val="center"/>
              <w:rPr>
                <w:b/>
                <w:sz w:val="18"/>
                <w:szCs w:val="18"/>
                <w:lang w:val="es-ES_tradnl"/>
              </w:rPr>
            </w:pPr>
          </w:p>
          <w:p w:rsidR="00EE221A" w:rsidRPr="00B34E6B" w:rsidRDefault="009F12BA" w:rsidP="00EE221A">
            <w:pPr>
              <w:jc w:val="center"/>
              <w:rPr>
                <w:b/>
                <w:sz w:val="18"/>
                <w:szCs w:val="18"/>
                <w:lang w:val="es-ES_tradnl"/>
              </w:rPr>
            </w:pPr>
            <w:r w:rsidRPr="00B34E6B">
              <w:rPr>
                <w:b/>
                <w:sz w:val="18"/>
                <w:szCs w:val="18"/>
                <w:lang w:val="es-ES_tradnl"/>
              </w:rPr>
              <w:t>JIU/REP/2011/3, “</w:t>
            </w:r>
            <w:r w:rsidR="00EE221A" w:rsidRPr="00B34E6B">
              <w:rPr>
                <w:b/>
                <w:sz w:val="18"/>
                <w:szCs w:val="18"/>
                <w:lang w:val="es-ES_tradnl"/>
              </w:rPr>
              <w:t>La cooperación Sur-Sur y la cooperación triangular</w:t>
            </w:r>
          </w:p>
          <w:p w:rsidR="009F12BA" w:rsidRPr="00B34E6B" w:rsidRDefault="00EE221A" w:rsidP="00EE221A">
            <w:pPr>
              <w:jc w:val="center"/>
              <w:rPr>
                <w:b/>
                <w:sz w:val="18"/>
                <w:szCs w:val="18"/>
                <w:lang w:val="es-ES_tradnl"/>
              </w:rPr>
            </w:pPr>
            <w:r w:rsidRPr="00B34E6B">
              <w:rPr>
                <w:b/>
                <w:sz w:val="18"/>
                <w:szCs w:val="18"/>
                <w:lang w:val="es-ES_tradnl"/>
              </w:rPr>
              <w:t>en el sistema de las Naciones Unidas</w:t>
            </w:r>
            <w:r w:rsidR="009F12BA" w:rsidRPr="00B34E6B">
              <w:rPr>
                <w:b/>
                <w:sz w:val="18"/>
                <w:szCs w:val="18"/>
                <w:lang w:val="es-ES_tradnl"/>
              </w:rPr>
              <w:t>”</w:t>
            </w:r>
          </w:p>
          <w:p w:rsidR="009F12BA" w:rsidRPr="00B34E6B" w:rsidRDefault="009F12BA" w:rsidP="00A56AC3">
            <w:pPr>
              <w:jc w:val="center"/>
              <w:rPr>
                <w:b/>
                <w:sz w:val="18"/>
                <w:szCs w:val="18"/>
                <w:lang w:val="es-ES_tradnl"/>
              </w:rPr>
            </w:pPr>
          </w:p>
        </w:tc>
      </w:tr>
      <w:tr w:rsidR="009F12BA" w:rsidRPr="006508B9" w:rsidTr="009F12BA">
        <w:tc>
          <w:tcPr>
            <w:tcW w:w="2628" w:type="dxa"/>
          </w:tcPr>
          <w:p w:rsidR="009F12BA" w:rsidRPr="00B34E6B" w:rsidRDefault="009F12BA" w:rsidP="00EE221A">
            <w:pPr>
              <w:rPr>
                <w:sz w:val="18"/>
                <w:szCs w:val="18"/>
                <w:lang w:val="es-ES_tradnl"/>
              </w:rPr>
            </w:pPr>
            <w:r w:rsidRPr="00B34E6B">
              <w:rPr>
                <w:sz w:val="18"/>
                <w:szCs w:val="18"/>
                <w:lang w:val="es-ES_tradnl"/>
              </w:rPr>
              <w:t>Rec. 3</w:t>
            </w:r>
            <w:r w:rsidR="00EE221A" w:rsidRPr="00B34E6B">
              <w:rPr>
                <w:sz w:val="18"/>
                <w:szCs w:val="18"/>
                <w:lang w:val="es-ES_tradnl"/>
              </w:rPr>
              <w:t>.</w:t>
            </w:r>
            <w:r w:rsidR="00EE221A" w:rsidRPr="00B34E6B">
              <w:rPr>
                <w:lang w:val="es-ES_tradnl"/>
              </w:rPr>
              <w:t xml:space="preserve"> </w:t>
            </w:r>
            <w:r w:rsidR="00EE221A" w:rsidRPr="00B34E6B">
              <w:rPr>
                <w:sz w:val="18"/>
                <w:szCs w:val="18"/>
                <w:lang w:val="es-ES_tradnl"/>
              </w:rPr>
              <w:t xml:space="preserve">Los órganos legislativos de las organizaciones de las Naciones Unidas deberían pedir a los Jefes Ejecutivos que establezcan estructuras, mecanismos y coordinadores localizables y específicamente encargados de desarrollar la política institucional y la estrategia de apoyo concreta de cada organización y de proveer a la coordinación de la cooperación Sur-Sur y triangular dentro de sus respectivas organizaciones y entre ellas, mediante la reasignación que corresponda del personal y </w:t>
            </w:r>
            <w:r w:rsidR="00EE221A" w:rsidRPr="00B34E6B">
              <w:rPr>
                <w:sz w:val="18"/>
                <w:szCs w:val="18"/>
                <w:lang w:val="es-ES_tradnl"/>
              </w:rPr>
              <w:lastRenderedPageBreak/>
              <w:t>los recursos necesarios para ello</w:t>
            </w:r>
            <w:r w:rsidRPr="00B34E6B">
              <w:rPr>
                <w:sz w:val="18"/>
                <w:szCs w:val="18"/>
                <w:lang w:val="es-ES_tradnl"/>
              </w:rPr>
              <w:t>.</w:t>
            </w:r>
          </w:p>
          <w:p w:rsidR="009F12BA" w:rsidRPr="00B34E6B" w:rsidRDefault="009F12BA">
            <w:pPr>
              <w:rPr>
                <w:sz w:val="18"/>
                <w:szCs w:val="18"/>
                <w:lang w:val="es-ES_tradnl"/>
              </w:rPr>
            </w:pPr>
          </w:p>
          <w:p w:rsidR="009F12BA" w:rsidRPr="00B34E6B" w:rsidRDefault="009F12BA">
            <w:pPr>
              <w:rPr>
                <w:sz w:val="18"/>
                <w:szCs w:val="18"/>
                <w:lang w:val="es-ES_tradnl"/>
              </w:rPr>
            </w:pPr>
          </w:p>
        </w:tc>
        <w:tc>
          <w:tcPr>
            <w:tcW w:w="1350" w:type="dxa"/>
          </w:tcPr>
          <w:p w:rsidR="00234343" w:rsidRPr="00B34E6B" w:rsidRDefault="00234343" w:rsidP="00234343">
            <w:pPr>
              <w:rPr>
                <w:sz w:val="18"/>
                <w:szCs w:val="18"/>
                <w:lang w:val="es-ES_tradnl"/>
              </w:rPr>
            </w:pPr>
            <w:r w:rsidRPr="00B34E6B">
              <w:rPr>
                <w:sz w:val="18"/>
                <w:szCs w:val="18"/>
                <w:lang w:val="es-ES_tradnl"/>
              </w:rPr>
              <w:lastRenderedPageBreak/>
              <w:t>Director Principal,</w:t>
            </w:r>
          </w:p>
          <w:p w:rsidR="009F12BA" w:rsidRPr="00B34E6B" w:rsidRDefault="00234343" w:rsidP="00234343">
            <w:pPr>
              <w:rPr>
                <w:sz w:val="18"/>
                <w:szCs w:val="18"/>
                <w:lang w:val="es-ES_tradnl"/>
              </w:rPr>
            </w:pPr>
            <w:r w:rsidRPr="00B34E6B">
              <w:rPr>
                <w:sz w:val="18"/>
                <w:szCs w:val="18"/>
                <w:lang w:val="es-ES_tradnl"/>
              </w:rPr>
              <w:t>División de Acceso a la Información y al Conocimiento</w:t>
            </w:r>
          </w:p>
        </w:tc>
        <w:tc>
          <w:tcPr>
            <w:tcW w:w="1350" w:type="dxa"/>
          </w:tcPr>
          <w:p w:rsidR="009F12BA" w:rsidRPr="00B34E6B" w:rsidRDefault="00FE7ED5">
            <w:pPr>
              <w:rPr>
                <w:sz w:val="18"/>
                <w:szCs w:val="18"/>
                <w:lang w:val="es-ES_tradnl"/>
              </w:rPr>
            </w:pPr>
            <w:r w:rsidRPr="00B34E6B">
              <w:rPr>
                <w:sz w:val="18"/>
                <w:szCs w:val="18"/>
                <w:lang w:val="es-ES_tradnl"/>
              </w:rPr>
              <w:t>A estudio</w:t>
            </w:r>
          </w:p>
        </w:tc>
        <w:tc>
          <w:tcPr>
            <w:tcW w:w="1620" w:type="dxa"/>
          </w:tcPr>
          <w:p w:rsidR="009F12BA" w:rsidRPr="00B34E6B" w:rsidRDefault="009F12BA">
            <w:pPr>
              <w:rPr>
                <w:sz w:val="18"/>
                <w:szCs w:val="18"/>
                <w:lang w:val="es-ES_tradnl"/>
              </w:rPr>
            </w:pPr>
          </w:p>
        </w:tc>
        <w:tc>
          <w:tcPr>
            <w:tcW w:w="2628" w:type="dxa"/>
          </w:tcPr>
          <w:p w:rsidR="009F12BA" w:rsidRPr="00B34E6B" w:rsidRDefault="00B34E6B" w:rsidP="004D0233">
            <w:pPr>
              <w:rPr>
                <w:sz w:val="18"/>
                <w:szCs w:val="18"/>
                <w:lang w:val="es-ES_tradnl"/>
              </w:rPr>
            </w:pPr>
            <w:r w:rsidRPr="00B34E6B">
              <w:rPr>
                <w:sz w:val="18"/>
                <w:szCs w:val="18"/>
                <w:lang w:val="es-ES_tradnl"/>
              </w:rPr>
              <w:t xml:space="preserve">El Comité de Desarrollo y Propiedad Intelectual </w:t>
            </w:r>
            <w:r w:rsidR="009F12BA" w:rsidRPr="00B34E6B">
              <w:rPr>
                <w:sz w:val="18"/>
                <w:szCs w:val="18"/>
                <w:lang w:val="es-ES_tradnl"/>
              </w:rPr>
              <w:t>(CDIP)</w:t>
            </w:r>
            <w:r w:rsidRPr="00B34E6B">
              <w:rPr>
                <w:sz w:val="18"/>
                <w:szCs w:val="18"/>
                <w:lang w:val="es-ES_tradnl"/>
              </w:rPr>
              <w:t xml:space="preserve"> aprobó</w:t>
            </w:r>
            <w:r w:rsidR="009F12BA" w:rsidRPr="00B34E6B">
              <w:rPr>
                <w:sz w:val="18"/>
                <w:szCs w:val="18"/>
                <w:lang w:val="es-ES_tradnl"/>
              </w:rPr>
              <w:t xml:space="preserve">, </w:t>
            </w:r>
            <w:r w:rsidRPr="00B34E6B">
              <w:rPr>
                <w:sz w:val="18"/>
                <w:szCs w:val="18"/>
                <w:lang w:val="es-ES_tradnl"/>
              </w:rPr>
              <w:t>durante su decimotercera sesión en mayo de 2014</w:t>
            </w:r>
            <w:r w:rsidR="00CC7F0D">
              <w:rPr>
                <w:sz w:val="18"/>
                <w:szCs w:val="18"/>
                <w:lang w:val="es-ES_tradnl"/>
              </w:rPr>
              <w:t xml:space="preserve">, la ampliación del proyecto </w:t>
            </w:r>
            <w:r w:rsidR="00CC7F0D" w:rsidRPr="00CC7F0D">
              <w:rPr>
                <w:sz w:val="18"/>
                <w:szCs w:val="18"/>
                <w:lang w:val="es-ES_tradnl"/>
              </w:rPr>
              <w:t>relativo a la intensificación de la cooperación Sur-Sur en materia de P.I. y desarrollo entre los países en desarrollo y los PMA</w:t>
            </w:r>
            <w:r w:rsidR="00CC7F0D">
              <w:rPr>
                <w:sz w:val="18"/>
                <w:szCs w:val="18"/>
                <w:lang w:val="es-ES_tradnl"/>
              </w:rPr>
              <w:t xml:space="preserve">, por un período de un año a fin de que los Estados miembros y la Secretaría pudieran “preparar una propuesta de plan para la integración de la cooperación Sur-Sur en la labor de la </w:t>
            </w:r>
            <w:r w:rsidR="00D15A81">
              <w:rPr>
                <w:sz w:val="18"/>
                <w:szCs w:val="18"/>
                <w:lang w:val="es-ES_tradnl"/>
              </w:rPr>
              <w:t>Organización</w:t>
            </w:r>
            <w:r w:rsidR="00CC7F0D">
              <w:rPr>
                <w:sz w:val="18"/>
                <w:szCs w:val="18"/>
                <w:lang w:val="es-ES_tradnl"/>
              </w:rPr>
              <w:t xml:space="preserve"> en tanto que estrategia de ejecución que complemente los enfoques </w:t>
            </w:r>
            <w:r w:rsidR="00CC7F0D">
              <w:rPr>
                <w:sz w:val="18"/>
                <w:szCs w:val="18"/>
                <w:lang w:val="es-ES_tradnl"/>
              </w:rPr>
              <w:lastRenderedPageBreak/>
              <w:t xml:space="preserve">existentes y considerar establecer una función de coordinación especializada, que se coordine asimismo con otras organizaciones dentro y fuera del sistema de las NN.UU. y una formalización de la cooperación con </w:t>
            </w:r>
            <w:r w:rsidR="009F12BA" w:rsidRPr="00B34E6B">
              <w:rPr>
                <w:sz w:val="18"/>
                <w:szCs w:val="18"/>
                <w:lang w:val="es-ES_tradnl"/>
              </w:rPr>
              <w:t>UNOSSC.” (</w:t>
            </w:r>
            <w:r w:rsidR="00CC7F0D">
              <w:rPr>
                <w:sz w:val="18"/>
                <w:szCs w:val="18"/>
                <w:lang w:val="es-ES_tradnl"/>
              </w:rPr>
              <w:t>véase el párrafo</w:t>
            </w:r>
            <w:r w:rsidR="009F12BA" w:rsidRPr="00B34E6B">
              <w:rPr>
                <w:sz w:val="18"/>
                <w:szCs w:val="18"/>
                <w:lang w:val="es-ES_tradnl"/>
              </w:rPr>
              <w:t xml:space="preserve"> 7 </w:t>
            </w:r>
            <w:r w:rsidR="00CC7F0D">
              <w:rPr>
                <w:sz w:val="18"/>
                <w:szCs w:val="18"/>
                <w:lang w:val="es-ES_tradnl"/>
              </w:rPr>
              <w:t xml:space="preserve">del resumen de la Presidencia en </w:t>
            </w:r>
            <w:hyperlink r:id="rId11" w:history="1">
              <w:r w:rsidR="00CC7F0D" w:rsidRPr="004655B2">
                <w:rPr>
                  <w:rStyle w:val="Hyperlink"/>
                  <w:sz w:val="18"/>
                  <w:szCs w:val="18"/>
                  <w:lang w:val="es-ES_tradnl"/>
                </w:rPr>
                <w:t>http://www.wipo.int/edocs/mdocs/mdocs/es/cdip_13/cdip_13_summary.pdf</w:t>
              </w:r>
            </w:hyperlink>
            <w:r w:rsidR="009F12BA" w:rsidRPr="00B34E6B">
              <w:rPr>
                <w:sz w:val="18"/>
                <w:szCs w:val="18"/>
                <w:lang w:val="es-ES_tradnl"/>
              </w:rPr>
              <w:t xml:space="preserve"> </w:t>
            </w:r>
            <w:r w:rsidR="00CC7F0D">
              <w:rPr>
                <w:sz w:val="18"/>
                <w:szCs w:val="18"/>
                <w:lang w:val="es-ES_tradnl"/>
              </w:rPr>
              <w:t xml:space="preserve">y la página </w:t>
            </w:r>
            <w:r w:rsidR="009F12BA" w:rsidRPr="00B34E6B">
              <w:rPr>
                <w:sz w:val="18"/>
                <w:szCs w:val="18"/>
                <w:lang w:val="es-ES_tradnl"/>
              </w:rPr>
              <w:t xml:space="preserve">6 </w:t>
            </w:r>
            <w:r w:rsidR="00CC7F0D">
              <w:rPr>
                <w:sz w:val="18"/>
                <w:szCs w:val="18"/>
                <w:lang w:val="es-ES_tradnl"/>
              </w:rPr>
              <w:t xml:space="preserve">del Anexo del documento </w:t>
            </w:r>
            <w:r w:rsidR="009F12BA" w:rsidRPr="00B34E6B">
              <w:rPr>
                <w:sz w:val="18"/>
                <w:szCs w:val="18"/>
                <w:lang w:val="es-ES_tradnl"/>
              </w:rPr>
              <w:t xml:space="preserve">CDIP13/4 </w:t>
            </w:r>
            <w:r w:rsidR="00CC7F0D">
              <w:rPr>
                <w:sz w:val="18"/>
                <w:szCs w:val="18"/>
                <w:lang w:val="es-ES_tradnl"/>
              </w:rPr>
              <w:t xml:space="preserve">en </w:t>
            </w:r>
            <w:hyperlink r:id="rId12" w:history="1">
              <w:r w:rsidR="00CC7F0D" w:rsidRPr="004655B2">
                <w:rPr>
                  <w:rStyle w:val="Hyperlink"/>
                  <w:sz w:val="18"/>
                  <w:szCs w:val="18"/>
                  <w:lang w:val="es-ES_tradnl"/>
                </w:rPr>
                <w:t>http://www.wipo.int/edocs/mdocs/mdocs/es/cdip_13/cdip_13_4.pdf</w:t>
              </w:r>
            </w:hyperlink>
            <w:r w:rsidR="009F12BA" w:rsidRPr="00B34E6B">
              <w:rPr>
                <w:sz w:val="18"/>
                <w:szCs w:val="18"/>
                <w:lang w:val="es-ES_tradnl"/>
              </w:rPr>
              <w:t>)   </w:t>
            </w:r>
            <w:r w:rsidR="00CC7F0D">
              <w:rPr>
                <w:sz w:val="18"/>
                <w:szCs w:val="18"/>
                <w:lang w:val="es-ES_tradnl"/>
              </w:rPr>
              <w:t>La Secretaría está haciendo un seguimiento de este tema.</w:t>
            </w:r>
          </w:p>
          <w:p w:rsidR="009F12BA" w:rsidRPr="00B34E6B" w:rsidRDefault="009F12BA" w:rsidP="00043CAD">
            <w:pPr>
              <w:rPr>
                <w:sz w:val="18"/>
                <w:szCs w:val="18"/>
                <w:lang w:val="es-ES_tradnl"/>
              </w:rPr>
            </w:pPr>
          </w:p>
        </w:tc>
      </w:tr>
      <w:tr w:rsidR="009F12BA" w:rsidRPr="006508B9" w:rsidTr="009F12BA">
        <w:tc>
          <w:tcPr>
            <w:tcW w:w="2628" w:type="dxa"/>
          </w:tcPr>
          <w:p w:rsidR="009F12BA" w:rsidRPr="00B34E6B" w:rsidRDefault="009F12BA" w:rsidP="00263484">
            <w:pPr>
              <w:rPr>
                <w:sz w:val="18"/>
                <w:szCs w:val="18"/>
                <w:lang w:val="es-ES_tradnl"/>
              </w:rPr>
            </w:pPr>
            <w:r w:rsidRPr="00B34E6B">
              <w:rPr>
                <w:sz w:val="18"/>
                <w:szCs w:val="18"/>
                <w:lang w:val="es-ES_tradnl"/>
              </w:rPr>
              <w:lastRenderedPageBreak/>
              <w:t xml:space="preserve">Rec. 9. </w:t>
            </w:r>
            <w:r w:rsidR="00263484" w:rsidRPr="00263484">
              <w:rPr>
                <w:sz w:val="18"/>
                <w:szCs w:val="18"/>
                <w:lang w:val="es-ES_tradnl"/>
              </w:rPr>
              <w:t>Los órganos legislativos y rectores de las or</w:t>
            </w:r>
            <w:r w:rsidR="00263484">
              <w:rPr>
                <w:sz w:val="18"/>
                <w:szCs w:val="18"/>
                <w:lang w:val="es-ES_tradnl"/>
              </w:rPr>
              <w:t xml:space="preserve">ganizaciones del sistema de las </w:t>
            </w:r>
            <w:r w:rsidR="00263484" w:rsidRPr="00263484">
              <w:rPr>
                <w:sz w:val="18"/>
                <w:szCs w:val="18"/>
                <w:lang w:val="es-ES_tradnl"/>
              </w:rPr>
              <w:t>Naciones Unidas deberían pedir a los Jefes Ejecutivos que destinen un porcentaje</w:t>
            </w:r>
            <w:r w:rsidR="00263484">
              <w:rPr>
                <w:sz w:val="18"/>
                <w:szCs w:val="18"/>
                <w:lang w:val="es-ES_tradnl"/>
              </w:rPr>
              <w:t xml:space="preserve"> </w:t>
            </w:r>
            <w:r w:rsidR="00263484" w:rsidRPr="00263484">
              <w:rPr>
                <w:sz w:val="18"/>
                <w:szCs w:val="18"/>
                <w:lang w:val="es-ES_tradnl"/>
              </w:rPr>
              <w:t>determinado —no menos del 0,5%— de los rec</w:t>
            </w:r>
            <w:r w:rsidR="00263484">
              <w:rPr>
                <w:sz w:val="18"/>
                <w:szCs w:val="18"/>
                <w:lang w:val="es-ES_tradnl"/>
              </w:rPr>
              <w:t xml:space="preserve">ursos del presupuesto básico al </w:t>
            </w:r>
            <w:r w:rsidR="00263484" w:rsidRPr="00263484">
              <w:rPr>
                <w:sz w:val="18"/>
                <w:szCs w:val="18"/>
                <w:lang w:val="es-ES_tradnl"/>
              </w:rPr>
              <w:t>fomento de la cooperación Sur-Sur en sus respect</w:t>
            </w:r>
            <w:r w:rsidR="00263484">
              <w:rPr>
                <w:sz w:val="18"/>
                <w:szCs w:val="18"/>
                <w:lang w:val="es-ES_tradnl"/>
              </w:rPr>
              <w:t xml:space="preserve">ivas esferas de competencia, en </w:t>
            </w:r>
            <w:r w:rsidR="00263484" w:rsidRPr="00263484">
              <w:rPr>
                <w:sz w:val="18"/>
                <w:szCs w:val="18"/>
                <w:lang w:val="es-ES_tradnl"/>
              </w:rPr>
              <w:t>consulta con los países destinatarios de los programas;</w:t>
            </w:r>
            <w:r w:rsidR="00263484">
              <w:rPr>
                <w:sz w:val="18"/>
                <w:szCs w:val="18"/>
                <w:lang w:val="es-ES_tradnl"/>
              </w:rPr>
              <w:t xml:space="preserve"> y que convengan con los países </w:t>
            </w:r>
            <w:r w:rsidR="00263484" w:rsidRPr="00263484">
              <w:rPr>
                <w:sz w:val="18"/>
                <w:szCs w:val="18"/>
                <w:lang w:val="es-ES_tradnl"/>
              </w:rPr>
              <w:t xml:space="preserve">donantes en destinar una determinada parte de los </w:t>
            </w:r>
            <w:r w:rsidR="00263484">
              <w:rPr>
                <w:sz w:val="18"/>
                <w:szCs w:val="18"/>
                <w:lang w:val="es-ES_tradnl"/>
              </w:rPr>
              <w:t xml:space="preserve">recursos extrapresupuestarios a </w:t>
            </w:r>
            <w:r w:rsidR="00263484" w:rsidRPr="00263484">
              <w:rPr>
                <w:sz w:val="18"/>
                <w:szCs w:val="18"/>
                <w:lang w:val="es-ES_tradnl"/>
              </w:rPr>
              <w:t>financiar las iniciativas de cooperación Sur-Sur y de cooperación triangular.</w:t>
            </w:r>
            <w:r w:rsidR="00263484">
              <w:rPr>
                <w:sz w:val="18"/>
                <w:szCs w:val="18"/>
                <w:lang w:val="es-ES_tradnl"/>
              </w:rPr>
              <w:t xml:space="preserve"> </w:t>
            </w:r>
          </w:p>
        </w:tc>
        <w:tc>
          <w:tcPr>
            <w:tcW w:w="1350" w:type="dxa"/>
          </w:tcPr>
          <w:p w:rsidR="009F12BA" w:rsidRPr="00B34E6B" w:rsidRDefault="009F12BA">
            <w:pPr>
              <w:rPr>
                <w:sz w:val="18"/>
                <w:szCs w:val="18"/>
                <w:lang w:val="es-ES_tradnl"/>
              </w:rPr>
            </w:pPr>
            <w:r w:rsidRPr="00B34E6B">
              <w:rPr>
                <w:sz w:val="18"/>
                <w:szCs w:val="18"/>
                <w:lang w:val="es-ES_tradnl"/>
              </w:rPr>
              <w:t>Director</w:t>
            </w:r>
            <w:r w:rsidR="00234343" w:rsidRPr="00B34E6B">
              <w:rPr>
                <w:sz w:val="18"/>
                <w:szCs w:val="18"/>
                <w:lang w:val="es-ES_tradnl"/>
              </w:rPr>
              <w:t xml:space="preserve"> Principal</w:t>
            </w:r>
            <w:r w:rsidRPr="00B34E6B">
              <w:rPr>
                <w:sz w:val="18"/>
                <w:szCs w:val="18"/>
                <w:lang w:val="es-ES_tradnl"/>
              </w:rPr>
              <w:t>,</w:t>
            </w:r>
          </w:p>
          <w:p w:rsidR="009F12BA" w:rsidRPr="00B34E6B" w:rsidRDefault="00234343">
            <w:pPr>
              <w:rPr>
                <w:sz w:val="18"/>
                <w:szCs w:val="18"/>
                <w:lang w:val="es-ES_tradnl"/>
              </w:rPr>
            </w:pPr>
            <w:r w:rsidRPr="00B34E6B">
              <w:rPr>
                <w:sz w:val="18"/>
                <w:szCs w:val="18"/>
                <w:lang w:val="es-ES_tradnl"/>
              </w:rPr>
              <w:t>División de Acceso a la Información y al Conocimiento</w:t>
            </w:r>
          </w:p>
        </w:tc>
        <w:tc>
          <w:tcPr>
            <w:tcW w:w="1350" w:type="dxa"/>
          </w:tcPr>
          <w:p w:rsidR="009F12BA" w:rsidRPr="00B34E6B" w:rsidRDefault="00FE7ED5">
            <w:pPr>
              <w:rPr>
                <w:sz w:val="18"/>
                <w:szCs w:val="18"/>
                <w:lang w:val="es-ES_tradnl"/>
              </w:rPr>
            </w:pPr>
            <w:r w:rsidRPr="00B34E6B">
              <w:rPr>
                <w:sz w:val="18"/>
                <w:szCs w:val="18"/>
                <w:lang w:val="es-ES_tradnl"/>
              </w:rPr>
              <w:t>A estudio</w:t>
            </w:r>
          </w:p>
        </w:tc>
        <w:tc>
          <w:tcPr>
            <w:tcW w:w="1620" w:type="dxa"/>
          </w:tcPr>
          <w:p w:rsidR="009F12BA" w:rsidRPr="00B34E6B" w:rsidRDefault="009F12BA">
            <w:pPr>
              <w:rPr>
                <w:sz w:val="18"/>
                <w:szCs w:val="18"/>
                <w:lang w:val="es-ES_tradnl"/>
              </w:rPr>
            </w:pPr>
          </w:p>
        </w:tc>
        <w:tc>
          <w:tcPr>
            <w:tcW w:w="2628" w:type="dxa"/>
          </w:tcPr>
          <w:p w:rsidR="009F12BA" w:rsidRPr="00B34E6B" w:rsidRDefault="00263484" w:rsidP="00105436">
            <w:pPr>
              <w:rPr>
                <w:sz w:val="18"/>
                <w:szCs w:val="18"/>
                <w:lang w:val="es-ES_tradnl"/>
              </w:rPr>
            </w:pPr>
            <w:r w:rsidRPr="00B34E6B">
              <w:rPr>
                <w:sz w:val="18"/>
                <w:szCs w:val="18"/>
                <w:lang w:val="es-ES_tradnl"/>
              </w:rPr>
              <w:t>El Comité de Desarrollo y Propiedad Intelectual (CDIP) aprobó, durante su decimotercera sesión en mayo de 2014</w:t>
            </w:r>
            <w:r>
              <w:rPr>
                <w:sz w:val="18"/>
                <w:szCs w:val="18"/>
                <w:lang w:val="es-ES_tradnl"/>
              </w:rPr>
              <w:t xml:space="preserve">, la ampliación del proyecto </w:t>
            </w:r>
            <w:r w:rsidRPr="00CC7F0D">
              <w:rPr>
                <w:sz w:val="18"/>
                <w:szCs w:val="18"/>
                <w:lang w:val="es-ES_tradnl"/>
              </w:rPr>
              <w:t>relativo a la intensificación de la cooperación Sur-Sur en materia de P.I. y desarrollo entre los países en desarrollo y los PMA</w:t>
            </w:r>
            <w:r>
              <w:rPr>
                <w:sz w:val="18"/>
                <w:szCs w:val="18"/>
                <w:lang w:val="es-ES_tradnl"/>
              </w:rPr>
              <w:t xml:space="preserve">, por un período de un año a fin de que los Estados miembros y la Secretaría pudieran “preparar una propuesta de plan para la integración de la cooperación Sur-Sur en la labor de la </w:t>
            </w:r>
            <w:r w:rsidR="00D15A81">
              <w:rPr>
                <w:sz w:val="18"/>
                <w:szCs w:val="18"/>
                <w:lang w:val="es-ES_tradnl"/>
              </w:rPr>
              <w:t>Organización</w:t>
            </w:r>
            <w:r>
              <w:rPr>
                <w:sz w:val="18"/>
                <w:szCs w:val="18"/>
                <w:lang w:val="es-ES_tradnl"/>
              </w:rPr>
              <w:t xml:space="preserve"> en tanto que estrategia de ejecución que complemente los enfoques existentes y considerar establecer una función de coordinación especializada, que se coordine asimismo con otras organizaciones dentro y fuera del sistema de las NN.UU. y una formalización de la cooperación con </w:t>
            </w:r>
            <w:r w:rsidRPr="00B34E6B">
              <w:rPr>
                <w:sz w:val="18"/>
                <w:szCs w:val="18"/>
                <w:lang w:val="es-ES_tradnl"/>
              </w:rPr>
              <w:t>UNOSSC.” (</w:t>
            </w:r>
            <w:r>
              <w:rPr>
                <w:sz w:val="18"/>
                <w:szCs w:val="18"/>
                <w:lang w:val="es-ES_tradnl"/>
              </w:rPr>
              <w:t>véase el párrafo</w:t>
            </w:r>
            <w:r w:rsidRPr="00B34E6B">
              <w:rPr>
                <w:sz w:val="18"/>
                <w:szCs w:val="18"/>
                <w:lang w:val="es-ES_tradnl"/>
              </w:rPr>
              <w:t xml:space="preserve"> 7 </w:t>
            </w:r>
            <w:r>
              <w:rPr>
                <w:sz w:val="18"/>
                <w:szCs w:val="18"/>
                <w:lang w:val="es-ES_tradnl"/>
              </w:rPr>
              <w:t xml:space="preserve">del resumen de la Presidencia en </w:t>
            </w:r>
            <w:hyperlink r:id="rId13" w:history="1">
              <w:r w:rsidRPr="004655B2">
                <w:rPr>
                  <w:rStyle w:val="Hyperlink"/>
                  <w:sz w:val="18"/>
                  <w:szCs w:val="18"/>
                  <w:lang w:val="es-ES_tradnl"/>
                </w:rPr>
                <w:t>http://www.wipo.int/edocs/mdocs/mdocs/es/cdip_13/cdip_13_summary.pdf</w:t>
              </w:r>
            </w:hyperlink>
            <w:r w:rsidRPr="00B34E6B">
              <w:rPr>
                <w:sz w:val="18"/>
                <w:szCs w:val="18"/>
                <w:lang w:val="es-ES_tradnl"/>
              </w:rPr>
              <w:t xml:space="preserve"> </w:t>
            </w:r>
            <w:r>
              <w:rPr>
                <w:sz w:val="18"/>
                <w:szCs w:val="18"/>
                <w:lang w:val="es-ES_tradnl"/>
              </w:rPr>
              <w:t xml:space="preserve">y la página </w:t>
            </w:r>
            <w:r w:rsidRPr="00B34E6B">
              <w:rPr>
                <w:sz w:val="18"/>
                <w:szCs w:val="18"/>
                <w:lang w:val="es-ES_tradnl"/>
              </w:rPr>
              <w:t xml:space="preserve">6 </w:t>
            </w:r>
            <w:r>
              <w:rPr>
                <w:sz w:val="18"/>
                <w:szCs w:val="18"/>
                <w:lang w:val="es-ES_tradnl"/>
              </w:rPr>
              <w:t xml:space="preserve">del Anexo del documento </w:t>
            </w:r>
            <w:r w:rsidRPr="00B34E6B">
              <w:rPr>
                <w:sz w:val="18"/>
                <w:szCs w:val="18"/>
                <w:lang w:val="es-ES_tradnl"/>
              </w:rPr>
              <w:t xml:space="preserve">CDIP13/4 </w:t>
            </w:r>
            <w:r>
              <w:rPr>
                <w:sz w:val="18"/>
                <w:szCs w:val="18"/>
                <w:lang w:val="es-ES_tradnl"/>
              </w:rPr>
              <w:t xml:space="preserve">en </w:t>
            </w:r>
            <w:hyperlink r:id="rId14" w:history="1">
              <w:r w:rsidRPr="004655B2">
                <w:rPr>
                  <w:rStyle w:val="Hyperlink"/>
                  <w:sz w:val="18"/>
                  <w:szCs w:val="18"/>
                  <w:lang w:val="es-ES_tradnl"/>
                </w:rPr>
                <w:t>http://www.wipo.int/edocs/mdocs/mdocs/es/cdip_13/cdip_13_4.pdf</w:t>
              </w:r>
            </w:hyperlink>
            <w:r w:rsidRPr="00B34E6B">
              <w:rPr>
                <w:sz w:val="18"/>
                <w:szCs w:val="18"/>
                <w:lang w:val="es-ES_tradnl"/>
              </w:rPr>
              <w:t>)   </w:t>
            </w:r>
            <w:r>
              <w:rPr>
                <w:sz w:val="18"/>
                <w:szCs w:val="18"/>
                <w:lang w:val="es-ES_tradnl"/>
              </w:rPr>
              <w:t>La Secretaría está haciendo un seguimiento de este tema.</w:t>
            </w:r>
          </w:p>
        </w:tc>
      </w:tr>
      <w:tr w:rsidR="009F12BA" w:rsidRPr="006508B9" w:rsidTr="009F12BA">
        <w:tc>
          <w:tcPr>
            <w:tcW w:w="9576" w:type="dxa"/>
            <w:gridSpan w:val="5"/>
            <w:shd w:val="clear" w:color="auto" w:fill="DAEEF3" w:themeFill="accent5" w:themeFillTint="33"/>
            <w:vAlign w:val="center"/>
          </w:tcPr>
          <w:p w:rsidR="009F12BA" w:rsidRPr="00B34E6B" w:rsidRDefault="009F12BA" w:rsidP="009A3E70">
            <w:pPr>
              <w:jc w:val="center"/>
              <w:rPr>
                <w:b/>
                <w:sz w:val="18"/>
                <w:szCs w:val="18"/>
                <w:lang w:val="es-ES_tradnl"/>
              </w:rPr>
            </w:pPr>
          </w:p>
          <w:p w:rsidR="009F12BA" w:rsidRPr="00B34E6B" w:rsidRDefault="009F12BA" w:rsidP="006665AE">
            <w:pPr>
              <w:jc w:val="center"/>
              <w:rPr>
                <w:b/>
                <w:sz w:val="18"/>
                <w:szCs w:val="18"/>
                <w:lang w:val="es-ES_tradnl"/>
              </w:rPr>
            </w:pPr>
            <w:r w:rsidRPr="00B34E6B">
              <w:rPr>
                <w:b/>
                <w:sz w:val="18"/>
                <w:szCs w:val="18"/>
                <w:lang w:val="es-ES_tradnl"/>
              </w:rPr>
              <w:t>JIU/REP/2011/4, “</w:t>
            </w:r>
            <w:r w:rsidR="006665AE" w:rsidRPr="006665AE">
              <w:rPr>
                <w:b/>
                <w:sz w:val="18"/>
                <w:szCs w:val="18"/>
                <w:lang w:val="es-ES_tradnl"/>
              </w:rPr>
              <w:t>El multilingüismo en las organizaciones</w:t>
            </w:r>
            <w:r w:rsidR="009632FA">
              <w:rPr>
                <w:b/>
                <w:sz w:val="18"/>
                <w:szCs w:val="18"/>
                <w:lang w:val="es-ES_tradnl"/>
              </w:rPr>
              <w:t xml:space="preserve"> </w:t>
            </w:r>
            <w:r w:rsidR="006665AE" w:rsidRPr="006665AE">
              <w:rPr>
                <w:b/>
                <w:sz w:val="18"/>
                <w:szCs w:val="18"/>
                <w:lang w:val="es-ES_tradnl"/>
              </w:rPr>
              <w:t>del sistema de las Naciones Unidas:</w:t>
            </w:r>
            <w:r w:rsidR="009632FA">
              <w:rPr>
                <w:b/>
                <w:sz w:val="18"/>
                <w:szCs w:val="18"/>
                <w:lang w:val="es-ES_tradnl"/>
              </w:rPr>
              <w:br/>
            </w:r>
            <w:r w:rsidR="006665AE" w:rsidRPr="006665AE">
              <w:rPr>
                <w:b/>
                <w:sz w:val="18"/>
                <w:szCs w:val="18"/>
                <w:lang w:val="es-ES_tradnl"/>
              </w:rPr>
              <w:t>estado de aplicación</w:t>
            </w:r>
            <w:r w:rsidRPr="00B34E6B">
              <w:rPr>
                <w:b/>
                <w:sz w:val="18"/>
                <w:szCs w:val="18"/>
                <w:lang w:val="es-ES_tradnl"/>
              </w:rPr>
              <w:t>”</w:t>
            </w:r>
          </w:p>
          <w:p w:rsidR="009F12BA" w:rsidRPr="00B34E6B" w:rsidRDefault="009F12BA" w:rsidP="009A3E70">
            <w:pPr>
              <w:jc w:val="center"/>
              <w:rPr>
                <w:b/>
                <w:sz w:val="18"/>
                <w:szCs w:val="18"/>
                <w:lang w:val="es-ES_tradnl"/>
              </w:rPr>
            </w:pPr>
          </w:p>
        </w:tc>
      </w:tr>
      <w:tr w:rsidR="009F12BA" w:rsidRPr="006508B9" w:rsidTr="009F12BA">
        <w:tc>
          <w:tcPr>
            <w:tcW w:w="2628" w:type="dxa"/>
          </w:tcPr>
          <w:p w:rsidR="009F12BA" w:rsidRPr="00B34E6B" w:rsidRDefault="009F12BA" w:rsidP="006665AE">
            <w:pPr>
              <w:rPr>
                <w:sz w:val="18"/>
                <w:szCs w:val="18"/>
                <w:lang w:val="es-ES_tradnl"/>
              </w:rPr>
            </w:pPr>
            <w:r w:rsidRPr="00B34E6B">
              <w:rPr>
                <w:sz w:val="18"/>
                <w:szCs w:val="18"/>
                <w:lang w:val="es-ES_tradnl"/>
              </w:rPr>
              <w:t xml:space="preserve">Rec. 8.  </w:t>
            </w:r>
            <w:r w:rsidR="006665AE" w:rsidRPr="006665AE">
              <w:rPr>
                <w:sz w:val="18"/>
                <w:szCs w:val="18"/>
                <w:lang w:val="es-ES_tradnl"/>
              </w:rPr>
              <w:t>Los órganos legislativos de las organizacio</w:t>
            </w:r>
            <w:r w:rsidR="006665AE">
              <w:rPr>
                <w:sz w:val="18"/>
                <w:szCs w:val="18"/>
                <w:lang w:val="es-ES_tradnl"/>
              </w:rPr>
              <w:t xml:space="preserve">nes del sistema de las Naciones </w:t>
            </w:r>
            <w:r w:rsidR="006665AE" w:rsidRPr="006665AE">
              <w:rPr>
                <w:sz w:val="18"/>
                <w:szCs w:val="18"/>
                <w:lang w:val="es-ES_tradnl"/>
              </w:rPr>
              <w:t xml:space="preserve">Unidas deberían procurar que en las organizaciones se </w:t>
            </w:r>
            <w:r w:rsidR="006665AE">
              <w:rPr>
                <w:sz w:val="18"/>
                <w:szCs w:val="18"/>
                <w:lang w:val="es-ES_tradnl"/>
              </w:rPr>
              <w:t xml:space="preserve">asignen los recursos necesarios </w:t>
            </w:r>
            <w:r w:rsidR="006665AE" w:rsidRPr="006665AE">
              <w:rPr>
                <w:sz w:val="18"/>
                <w:szCs w:val="18"/>
                <w:lang w:val="es-ES_tradnl"/>
              </w:rPr>
              <w:t>para lograr una sucesión en los cargos eficaz y ofrece</w:t>
            </w:r>
            <w:r w:rsidR="006665AE">
              <w:rPr>
                <w:sz w:val="18"/>
                <w:szCs w:val="18"/>
                <w:lang w:val="es-ES_tradnl"/>
              </w:rPr>
              <w:t xml:space="preserve">r una capacitación específica a </w:t>
            </w:r>
            <w:r w:rsidR="006665AE" w:rsidRPr="006665AE">
              <w:rPr>
                <w:sz w:val="18"/>
                <w:szCs w:val="18"/>
                <w:lang w:val="es-ES_tradnl"/>
              </w:rPr>
              <w:t>los candidatos a los exámenes de idiomas.</w:t>
            </w:r>
          </w:p>
        </w:tc>
        <w:tc>
          <w:tcPr>
            <w:tcW w:w="1350" w:type="dxa"/>
          </w:tcPr>
          <w:p w:rsidR="009F12BA" w:rsidRPr="00B34E6B" w:rsidRDefault="00234343">
            <w:pPr>
              <w:rPr>
                <w:sz w:val="18"/>
                <w:szCs w:val="18"/>
                <w:lang w:val="es-ES_tradnl"/>
              </w:rPr>
            </w:pPr>
            <w:r w:rsidRPr="00B34E6B">
              <w:rPr>
                <w:sz w:val="18"/>
                <w:szCs w:val="18"/>
                <w:lang w:val="es-ES_tradnl"/>
              </w:rPr>
              <w:t>Directora, DGRRHH</w:t>
            </w:r>
          </w:p>
        </w:tc>
        <w:tc>
          <w:tcPr>
            <w:tcW w:w="1350" w:type="dxa"/>
          </w:tcPr>
          <w:p w:rsidR="009F12BA" w:rsidRPr="00B34E6B" w:rsidRDefault="00FE7ED5" w:rsidP="008710C5">
            <w:pPr>
              <w:rPr>
                <w:sz w:val="18"/>
                <w:szCs w:val="18"/>
                <w:lang w:val="es-ES_tradnl"/>
              </w:rPr>
            </w:pPr>
            <w:r w:rsidRPr="00B34E6B">
              <w:rPr>
                <w:sz w:val="18"/>
                <w:szCs w:val="18"/>
                <w:lang w:val="es-ES_tradnl"/>
              </w:rPr>
              <w:t>Aceptada</w:t>
            </w:r>
          </w:p>
        </w:tc>
        <w:tc>
          <w:tcPr>
            <w:tcW w:w="1620" w:type="dxa"/>
          </w:tcPr>
          <w:p w:rsidR="009F12BA" w:rsidRPr="00B34E6B" w:rsidRDefault="00FE7ED5">
            <w:pPr>
              <w:rPr>
                <w:sz w:val="18"/>
                <w:szCs w:val="18"/>
                <w:lang w:val="es-ES_tradnl"/>
              </w:rPr>
            </w:pPr>
            <w:r w:rsidRPr="00B34E6B">
              <w:rPr>
                <w:sz w:val="18"/>
                <w:szCs w:val="18"/>
                <w:lang w:val="es-ES_tradnl"/>
              </w:rPr>
              <w:t>Aplicada</w:t>
            </w:r>
          </w:p>
        </w:tc>
        <w:tc>
          <w:tcPr>
            <w:tcW w:w="2628" w:type="dxa"/>
          </w:tcPr>
          <w:p w:rsidR="009F12BA" w:rsidRDefault="006665AE" w:rsidP="003A612E">
            <w:pPr>
              <w:rPr>
                <w:sz w:val="18"/>
                <w:szCs w:val="18"/>
                <w:lang w:val="es-ES_tradnl"/>
              </w:rPr>
            </w:pPr>
            <w:r>
              <w:rPr>
                <w:sz w:val="18"/>
                <w:szCs w:val="18"/>
                <w:lang w:val="es-ES_tradnl"/>
              </w:rPr>
              <w:t>Debido a un importante cambio geográfico en el volumen de trabajo de los servicios de la OMPI existen necesidades específi</w:t>
            </w:r>
            <w:r w:rsidR="003A612E">
              <w:rPr>
                <w:sz w:val="18"/>
                <w:szCs w:val="18"/>
                <w:lang w:val="es-ES_tradnl"/>
              </w:rPr>
              <w:t>cas respecto de</w:t>
            </w:r>
            <w:r>
              <w:rPr>
                <w:sz w:val="18"/>
                <w:szCs w:val="18"/>
                <w:lang w:val="es-ES_tradnl"/>
              </w:rPr>
              <w:t xml:space="preserve">l personal </w:t>
            </w:r>
            <w:r w:rsidR="00E4720A">
              <w:rPr>
                <w:sz w:val="18"/>
                <w:szCs w:val="18"/>
                <w:lang w:val="es-ES_tradnl"/>
              </w:rPr>
              <w:t>con competencias lingüísticas</w:t>
            </w:r>
            <w:r>
              <w:rPr>
                <w:sz w:val="18"/>
                <w:szCs w:val="18"/>
                <w:lang w:val="es-ES_tradnl"/>
              </w:rPr>
              <w:t>,</w:t>
            </w:r>
            <w:r w:rsidR="00D15A81">
              <w:rPr>
                <w:sz w:val="18"/>
                <w:szCs w:val="18"/>
                <w:lang w:val="es-ES_tradnl"/>
              </w:rPr>
              <w:t xml:space="preserve"> </w:t>
            </w:r>
            <w:r w:rsidR="00E4720A">
              <w:rPr>
                <w:sz w:val="18"/>
                <w:szCs w:val="18"/>
                <w:lang w:val="es-ES_tradnl"/>
              </w:rPr>
              <w:t xml:space="preserve">necesidades </w:t>
            </w:r>
            <w:r>
              <w:rPr>
                <w:sz w:val="18"/>
                <w:szCs w:val="18"/>
                <w:lang w:val="es-ES_tradnl"/>
              </w:rPr>
              <w:t xml:space="preserve">que se han determinado y </w:t>
            </w:r>
            <w:r w:rsidR="00E4720A">
              <w:rPr>
                <w:sz w:val="18"/>
                <w:szCs w:val="18"/>
                <w:lang w:val="es-ES_tradnl"/>
              </w:rPr>
              <w:t>a las que se está respondiendo.</w:t>
            </w:r>
            <w:r w:rsidRPr="000C1395">
              <w:rPr>
                <w:lang w:val="es-ES"/>
              </w:rPr>
              <w:t xml:space="preserve"> </w:t>
            </w:r>
            <w:r w:rsidR="00E4720A">
              <w:rPr>
                <w:sz w:val="18"/>
                <w:szCs w:val="18"/>
                <w:lang w:val="es-ES_tradnl"/>
              </w:rPr>
              <w:t>La OMPI tiene un exceso de</w:t>
            </w:r>
            <w:r w:rsidRPr="006665AE">
              <w:rPr>
                <w:sz w:val="18"/>
                <w:szCs w:val="18"/>
                <w:lang w:val="es-ES_tradnl"/>
              </w:rPr>
              <w:t xml:space="preserve"> capacidad</w:t>
            </w:r>
            <w:r w:rsidR="00E4720A">
              <w:rPr>
                <w:sz w:val="18"/>
                <w:szCs w:val="18"/>
                <w:lang w:val="es-ES_tradnl"/>
              </w:rPr>
              <w:t>es</w:t>
            </w:r>
            <w:r w:rsidRPr="006665AE">
              <w:rPr>
                <w:sz w:val="18"/>
                <w:szCs w:val="18"/>
                <w:lang w:val="es-ES_tradnl"/>
              </w:rPr>
              <w:t xml:space="preserve"> en relación con algunos idiomas y acusa lagunas en otros y se han adoptado estrategias para corregir ese desequilibrio</w:t>
            </w:r>
            <w:r>
              <w:rPr>
                <w:sz w:val="18"/>
                <w:szCs w:val="18"/>
                <w:lang w:val="es-ES_tradnl"/>
              </w:rPr>
              <w:t>. Los órganos legislativos de la OMPI son conscientes de estas estrategias</w:t>
            </w:r>
            <w:r w:rsidR="009F12BA" w:rsidRPr="00B34E6B">
              <w:rPr>
                <w:sz w:val="18"/>
                <w:szCs w:val="18"/>
                <w:lang w:val="es-ES_tradnl"/>
              </w:rPr>
              <w:t>.</w:t>
            </w:r>
          </w:p>
          <w:p w:rsidR="009632FA" w:rsidRPr="00B34E6B" w:rsidRDefault="009632FA" w:rsidP="003A612E">
            <w:pPr>
              <w:rPr>
                <w:sz w:val="18"/>
                <w:szCs w:val="18"/>
                <w:lang w:val="es-ES_tradnl"/>
              </w:rPr>
            </w:pPr>
          </w:p>
        </w:tc>
      </w:tr>
      <w:tr w:rsidR="009F12BA" w:rsidRPr="006508B9" w:rsidTr="009F12BA">
        <w:tc>
          <w:tcPr>
            <w:tcW w:w="2628" w:type="dxa"/>
          </w:tcPr>
          <w:p w:rsidR="009F12BA" w:rsidRPr="00B34E6B" w:rsidRDefault="009F12BA" w:rsidP="006D7D80">
            <w:pPr>
              <w:rPr>
                <w:sz w:val="18"/>
                <w:szCs w:val="18"/>
                <w:lang w:val="es-ES_tradnl"/>
              </w:rPr>
            </w:pPr>
            <w:r w:rsidRPr="00B34E6B">
              <w:rPr>
                <w:sz w:val="18"/>
                <w:szCs w:val="18"/>
                <w:lang w:val="es-ES_tradnl"/>
              </w:rPr>
              <w:t xml:space="preserve">Rec. 12.  </w:t>
            </w:r>
            <w:r w:rsidR="00E4720A" w:rsidRPr="00E4720A">
              <w:rPr>
                <w:sz w:val="18"/>
                <w:szCs w:val="18"/>
                <w:lang w:val="es-ES_tradnl"/>
              </w:rPr>
              <w:t>Los órganos legislativos de las organizaciones del sistema de las Naciones Unidas deberían orientar y aprobar el apoyo necesario a los Jefes Ejecutivos para desarrollar sitios web multilingües en todos sus idiomas oficiales o de trabajo, prestando la debida atención a las singularidades lingüísticas de los lugares de destino.</w:t>
            </w:r>
          </w:p>
        </w:tc>
        <w:tc>
          <w:tcPr>
            <w:tcW w:w="1350" w:type="dxa"/>
          </w:tcPr>
          <w:p w:rsidR="009F12BA" w:rsidRPr="00B34E6B" w:rsidRDefault="00234343">
            <w:pPr>
              <w:rPr>
                <w:sz w:val="18"/>
                <w:szCs w:val="18"/>
                <w:lang w:val="es-ES_tradnl"/>
              </w:rPr>
            </w:pPr>
            <w:r w:rsidRPr="00B34E6B">
              <w:rPr>
                <w:sz w:val="18"/>
                <w:szCs w:val="18"/>
                <w:lang w:val="es-ES_tradnl"/>
              </w:rPr>
              <w:t>Departamento Lingüístico y de Conferencias</w:t>
            </w:r>
          </w:p>
        </w:tc>
        <w:tc>
          <w:tcPr>
            <w:tcW w:w="1350" w:type="dxa"/>
          </w:tcPr>
          <w:p w:rsidR="009F12BA" w:rsidRPr="00B34E6B" w:rsidRDefault="00FE7ED5" w:rsidP="008710C5">
            <w:pPr>
              <w:rPr>
                <w:sz w:val="18"/>
                <w:szCs w:val="18"/>
                <w:lang w:val="es-ES_tradnl"/>
              </w:rPr>
            </w:pPr>
            <w:r w:rsidRPr="00B34E6B">
              <w:rPr>
                <w:sz w:val="18"/>
                <w:szCs w:val="18"/>
                <w:lang w:val="es-ES_tradnl"/>
              </w:rPr>
              <w:t>Aceptada</w:t>
            </w:r>
            <w:r w:rsidR="009F12BA" w:rsidRPr="00B34E6B">
              <w:rPr>
                <w:sz w:val="18"/>
                <w:szCs w:val="18"/>
                <w:lang w:val="es-ES_tradnl"/>
              </w:rPr>
              <w:t xml:space="preserve"> </w:t>
            </w:r>
          </w:p>
        </w:tc>
        <w:tc>
          <w:tcPr>
            <w:tcW w:w="1620" w:type="dxa"/>
          </w:tcPr>
          <w:p w:rsidR="009F12BA" w:rsidRPr="00B34E6B" w:rsidRDefault="00FE7ED5" w:rsidP="00FE7ED5">
            <w:pPr>
              <w:rPr>
                <w:sz w:val="18"/>
                <w:szCs w:val="18"/>
                <w:lang w:val="es-ES_tradnl"/>
              </w:rPr>
            </w:pPr>
            <w:r w:rsidRPr="00B34E6B">
              <w:rPr>
                <w:sz w:val="18"/>
                <w:szCs w:val="18"/>
                <w:lang w:val="es-ES_tradnl"/>
              </w:rPr>
              <w:t>En curso</w:t>
            </w:r>
          </w:p>
        </w:tc>
        <w:tc>
          <w:tcPr>
            <w:tcW w:w="2628" w:type="dxa"/>
          </w:tcPr>
          <w:p w:rsidR="009F12BA" w:rsidRDefault="00E4720A" w:rsidP="00E4720A">
            <w:pPr>
              <w:rPr>
                <w:sz w:val="18"/>
                <w:szCs w:val="18"/>
                <w:lang w:val="es-ES_tradnl"/>
              </w:rPr>
            </w:pPr>
            <w:r>
              <w:rPr>
                <w:sz w:val="18"/>
                <w:szCs w:val="18"/>
                <w:lang w:val="es-ES_tradnl"/>
              </w:rPr>
              <w:t>El sitio web de la OMPI ya estaba</w:t>
            </w:r>
            <w:r w:rsidRPr="00E4720A">
              <w:rPr>
                <w:sz w:val="18"/>
                <w:szCs w:val="18"/>
                <w:lang w:val="es-ES_tradnl"/>
              </w:rPr>
              <w:t xml:space="preserve"> disponible en seis idiomas.</w:t>
            </w:r>
            <w:r>
              <w:rPr>
                <w:sz w:val="18"/>
                <w:szCs w:val="18"/>
                <w:lang w:val="es-ES_tradnl"/>
              </w:rPr>
              <w:t xml:space="preserve">  Sin embargo, en noviembre de 2013 se puso en marcha el sitio reestructurado y rediseñado. El portal y las páginas principales se publicaron en los seis idiomas oficiales.  Se está llevando a cabo la traducción y publicación del sitio en los seis idiomas de manera progresiva sobre la base de los planes de trabajo y los recursos disponibles.</w:t>
            </w:r>
          </w:p>
          <w:p w:rsidR="009632FA" w:rsidRPr="00B34E6B" w:rsidRDefault="009632FA" w:rsidP="00E4720A">
            <w:pPr>
              <w:rPr>
                <w:sz w:val="18"/>
                <w:szCs w:val="18"/>
                <w:lang w:val="es-ES_tradnl"/>
              </w:rPr>
            </w:pPr>
          </w:p>
        </w:tc>
      </w:tr>
      <w:tr w:rsidR="009F12BA" w:rsidRPr="006508B9" w:rsidTr="009F12BA">
        <w:tc>
          <w:tcPr>
            <w:tcW w:w="2628" w:type="dxa"/>
          </w:tcPr>
          <w:p w:rsidR="009F12BA" w:rsidRPr="00B34E6B" w:rsidRDefault="009F12BA" w:rsidP="009D1FD9">
            <w:pPr>
              <w:rPr>
                <w:sz w:val="18"/>
                <w:szCs w:val="18"/>
                <w:lang w:val="es-ES_tradnl"/>
              </w:rPr>
            </w:pPr>
            <w:r w:rsidRPr="00B34E6B">
              <w:rPr>
                <w:sz w:val="18"/>
                <w:szCs w:val="18"/>
                <w:lang w:val="es-ES_tradnl"/>
              </w:rPr>
              <w:t xml:space="preserve">Rec. 15. </w:t>
            </w:r>
            <w:r w:rsidR="00E4720A" w:rsidRPr="00E4720A">
              <w:rPr>
                <w:sz w:val="18"/>
                <w:szCs w:val="18"/>
                <w:lang w:val="es-ES_tradnl"/>
              </w:rPr>
              <w:t>Como norma general, los órganos legislativos de las organizaciones del sistema de las Naciones Unidas deberían apoyar, también por la vía presupuestaria, los mecanismos necesarios para garantizar el efectivo cumplimiento de las actividades básicas de las organizaciones en todos los idiomas oficiales y de trabajo.</w:t>
            </w:r>
          </w:p>
        </w:tc>
        <w:tc>
          <w:tcPr>
            <w:tcW w:w="1350" w:type="dxa"/>
          </w:tcPr>
          <w:p w:rsidR="009F12BA" w:rsidRPr="00B34E6B" w:rsidRDefault="00234343" w:rsidP="00234343">
            <w:pPr>
              <w:rPr>
                <w:sz w:val="18"/>
                <w:szCs w:val="18"/>
                <w:lang w:val="es-ES_tradnl"/>
              </w:rPr>
            </w:pPr>
            <w:r w:rsidRPr="00B34E6B">
              <w:rPr>
                <w:sz w:val="18"/>
                <w:szCs w:val="18"/>
                <w:lang w:val="es-ES_tradnl"/>
              </w:rPr>
              <w:t>Departamento Lingüístico y de Conferencias</w:t>
            </w:r>
          </w:p>
        </w:tc>
        <w:tc>
          <w:tcPr>
            <w:tcW w:w="1350" w:type="dxa"/>
          </w:tcPr>
          <w:p w:rsidR="009F12BA" w:rsidRPr="00B34E6B" w:rsidRDefault="00FE7ED5">
            <w:pPr>
              <w:rPr>
                <w:sz w:val="18"/>
                <w:szCs w:val="18"/>
                <w:lang w:val="es-ES_tradnl"/>
              </w:rPr>
            </w:pPr>
            <w:r w:rsidRPr="00B34E6B">
              <w:rPr>
                <w:sz w:val="18"/>
                <w:szCs w:val="18"/>
                <w:lang w:val="es-ES_tradnl"/>
              </w:rPr>
              <w:t>Aceptada</w:t>
            </w:r>
            <w:r w:rsidR="009F12BA" w:rsidRPr="00B34E6B">
              <w:rPr>
                <w:sz w:val="18"/>
                <w:szCs w:val="18"/>
                <w:lang w:val="es-ES_tradnl"/>
              </w:rPr>
              <w:t xml:space="preserve"> </w:t>
            </w:r>
          </w:p>
        </w:tc>
        <w:tc>
          <w:tcPr>
            <w:tcW w:w="1620" w:type="dxa"/>
          </w:tcPr>
          <w:p w:rsidR="009F12BA" w:rsidRPr="00B34E6B" w:rsidRDefault="00FE7ED5">
            <w:pPr>
              <w:rPr>
                <w:sz w:val="18"/>
                <w:szCs w:val="18"/>
                <w:lang w:val="es-ES_tradnl"/>
              </w:rPr>
            </w:pPr>
            <w:r w:rsidRPr="00B34E6B">
              <w:rPr>
                <w:sz w:val="18"/>
                <w:szCs w:val="18"/>
                <w:lang w:val="es-ES_tradnl"/>
              </w:rPr>
              <w:t>Aplicada</w:t>
            </w:r>
          </w:p>
        </w:tc>
        <w:tc>
          <w:tcPr>
            <w:tcW w:w="2628" w:type="dxa"/>
          </w:tcPr>
          <w:p w:rsidR="009F12BA" w:rsidRPr="00B34E6B" w:rsidRDefault="0001226D" w:rsidP="00BB5DB9">
            <w:pPr>
              <w:rPr>
                <w:sz w:val="18"/>
                <w:szCs w:val="18"/>
                <w:lang w:val="es-ES_tradnl"/>
              </w:rPr>
            </w:pPr>
            <w:r>
              <w:rPr>
                <w:sz w:val="18"/>
                <w:szCs w:val="18"/>
                <w:lang w:val="es-ES_tradnl"/>
              </w:rPr>
              <w:t xml:space="preserve">A raíz de </w:t>
            </w:r>
            <w:r w:rsidR="00E52BDB">
              <w:rPr>
                <w:sz w:val="18"/>
                <w:szCs w:val="18"/>
                <w:lang w:val="es-ES_tradnl"/>
              </w:rPr>
              <w:t>la aprobación de la P</w:t>
            </w:r>
            <w:r w:rsidRPr="0001226D">
              <w:rPr>
                <w:sz w:val="18"/>
                <w:szCs w:val="18"/>
                <w:lang w:val="es-ES_tradnl"/>
              </w:rPr>
              <w:t xml:space="preserve">olítica </w:t>
            </w:r>
            <w:r w:rsidR="00E52BDB">
              <w:rPr>
                <w:sz w:val="18"/>
                <w:szCs w:val="18"/>
                <w:lang w:val="es-ES_tradnl"/>
              </w:rPr>
              <w:t>L</w:t>
            </w:r>
            <w:r w:rsidRPr="0001226D">
              <w:rPr>
                <w:sz w:val="18"/>
                <w:szCs w:val="18"/>
                <w:lang w:val="es-ES_tradnl"/>
              </w:rPr>
              <w:t xml:space="preserve">ingüística de la OMPI durante las reuniones de las Asambleas de los Estados miembros de la OMPI </w:t>
            </w:r>
            <w:r>
              <w:rPr>
                <w:sz w:val="18"/>
                <w:szCs w:val="18"/>
                <w:lang w:val="es-ES_tradnl"/>
              </w:rPr>
              <w:t>d</w:t>
            </w:r>
            <w:r w:rsidRPr="0001226D">
              <w:rPr>
                <w:sz w:val="18"/>
                <w:szCs w:val="18"/>
                <w:lang w:val="es-ES_tradnl"/>
              </w:rPr>
              <w:t xml:space="preserve">e septiembre de 2011, </w:t>
            </w:r>
            <w:r w:rsidR="00E52BDB">
              <w:rPr>
                <w:sz w:val="18"/>
                <w:szCs w:val="18"/>
                <w:lang w:val="es-ES_tradnl"/>
              </w:rPr>
              <w:t>en</w:t>
            </w:r>
            <w:r w:rsidRPr="0001226D">
              <w:rPr>
                <w:sz w:val="18"/>
                <w:szCs w:val="18"/>
                <w:lang w:val="es-ES_tradnl"/>
              </w:rPr>
              <w:t xml:space="preserve"> la serie de reuniones de las Asambleas que </w:t>
            </w:r>
            <w:r>
              <w:rPr>
                <w:sz w:val="18"/>
                <w:szCs w:val="18"/>
                <w:lang w:val="es-ES_tradnl"/>
              </w:rPr>
              <w:t xml:space="preserve">tuvo </w:t>
            </w:r>
            <w:r w:rsidRPr="0001226D">
              <w:rPr>
                <w:sz w:val="18"/>
                <w:szCs w:val="18"/>
                <w:lang w:val="es-ES_tradnl"/>
              </w:rPr>
              <w:t xml:space="preserve">lugar en </w:t>
            </w:r>
            <w:r>
              <w:rPr>
                <w:sz w:val="18"/>
                <w:szCs w:val="18"/>
                <w:lang w:val="es-ES_tradnl"/>
              </w:rPr>
              <w:t>septiembre de 2013 se presentó</w:t>
            </w:r>
            <w:r w:rsidRPr="0001226D">
              <w:rPr>
                <w:sz w:val="18"/>
                <w:szCs w:val="18"/>
                <w:lang w:val="es-ES_tradnl"/>
              </w:rPr>
              <w:t xml:space="preserve"> </w:t>
            </w:r>
            <w:r>
              <w:rPr>
                <w:sz w:val="18"/>
                <w:szCs w:val="18"/>
                <w:lang w:val="es-ES_tradnl"/>
              </w:rPr>
              <w:t xml:space="preserve">a los Estados miembros </w:t>
            </w:r>
            <w:r w:rsidRPr="0001226D">
              <w:rPr>
                <w:sz w:val="18"/>
                <w:szCs w:val="18"/>
                <w:lang w:val="es-ES_tradnl"/>
              </w:rPr>
              <w:t xml:space="preserve">un informe sobre la marcha de la aplicación de la </w:t>
            </w:r>
            <w:r w:rsidR="00E52BDB">
              <w:rPr>
                <w:sz w:val="18"/>
                <w:szCs w:val="18"/>
                <w:lang w:val="es-ES_tradnl"/>
              </w:rPr>
              <w:t>P</w:t>
            </w:r>
            <w:r w:rsidRPr="0001226D">
              <w:rPr>
                <w:sz w:val="18"/>
                <w:szCs w:val="18"/>
                <w:lang w:val="es-ES_tradnl"/>
              </w:rPr>
              <w:t xml:space="preserve">olítica </w:t>
            </w:r>
            <w:r w:rsidR="00E52BDB">
              <w:rPr>
                <w:sz w:val="18"/>
                <w:szCs w:val="18"/>
                <w:lang w:val="es-ES_tradnl"/>
              </w:rPr>
              <w:t>L</w:t>
            </w:r>
            <w:r w:rsidRPr="0001226D">
              <w:rPr>
                <w:sz w:val="18"/>
                <w:szCs w:val="18"/>
                <w:lang w:val="es-ES_tradnl"/>
              </w:rPr>
              <w:t>ingüística de la OMPI</w:t>
            </w:r>
          </w:p>
          <w:p w:rsidR="009F12BA" w:rsidRDefault="009F12BA" w:rsidP="0001226D">
            <w:pPr>
              <w:rPr>
                <w:sz w:val="18"/>
                <w:szCs w:val="18"/>
                <w:lang w:val="es-ES_tradnl"/>
              </w:rPr>
            </w:pPr>
            <w:r w:rsidRPr="00B34E6B">
              <w:rPr>
                <w:sz w:val="18"/>
                <w:szCs w:val="18"/>
                <w:lang w:val="es-ES_tradnl"/>
              </w:rPr>
              <w:t xml:space="preserve">(A/51/12).  </w:t>
            </w:r>
            <w:r w:rsidR="0001226D">
              <w:rPr>
                <w:sz w:val="18"/>
                <w:szCs w:val="18"/>
                <w:lang w:val="es-ES_tradnl"/>
              </w:rPr>
              <w:t xml:space="preserve">La Asamblea </w:t>
            </w:r>
            <w:r w:rsidRPr="00B34E6B">
              <w:rPr>
                <w:sz w:val="18"/>
                <w:szCs w:val="18"/>
                <w:lang w:val="es-ES_tradnl"/>
              </w:rPr>
              <w:t xml:space="preserve">General </w:t>
            </w:r>
            <w:r w:rsidR="0001226D">
              <w:rPr>
                <w:sz w:val="18"/>
                <w:szCs w:val="18"/>
                <w:lang w:val="es-ES_tradnl"/>
              </w:rPr>
              <w:t>ya ha considerado y asignado los fondos necesarios para aplicar la Política efectivamente</w:t>
            </w:r>
            <w:r w:rsidRPr="00B34E6B">
              <w:rPr>
                <w:sz w:val="18"/>
                <w:szCs w:val="18"/>
                <w:lang w:val="es-ES_tradnl"/>
              </w:rPr>
              <w:t>.</w:t>
            </w:r>
          </w:p>
          <w:p w:rsidR="009632FA" w:rsidRPr="00B34E6B" w:rsidRDefault="009632FA" w:rsidP="0001226D">
            <w:pPr>
              <w:rPr>
                <w:color w:val="FF0000"/>
                <w:sz w:val="18"/>
                <w:szCs w:val="18"/>
                <w:lang w:val="es-ES_tradnl"/>
              </w:rPr>
            </w:pPr>
          </w:p>
        </w:tc>
      </w:tr>
      <w:tr w:rsidR="009F12BA" w:rsidRPr="006508B9" w:rsidTr="009F12BA">
        <w:tc>
          <w:tcPr>
            <w:tcW w:w="9576" w:type="dxa"/>
            <w:gridSpan w:val="5"/>
            <w:shd w:val="clear" w:color="auto" w:fill="DAEEF3" w:themeFill="accent5" w:themeFillTint="33"/>
            <w:vAlign w:val="center"/>
          </w:tcPr>
          <w:p w:rsidR="009F12BA" w:rsidRPr="00B34E6B" w:rsidRDefault="009F12BA" w:rsidP="00105436">
            <w:pPr>
              <w:keepNext/>
              <w:jc w:val="center"/>
              <w:rPr>
                <w:b/>
                <w:sz w:val="18"/>
                <w:szCs w:val="18"/>
                <w:lang w:val="es-ES_tradnl"/>
              </w:rPr>
            </w:pPr>
          </w:p>
          <w:p w:rsidR="009F12BA" w:rsidRPr="00B34E6B" w:rsidRDefault="009F12BA" w:rsidP="00105436">
            <w:pPr>
              <w:keepNext/>
              <w:jc w:val="center"/>
              <w:rPr>
                <w:b/>
                <w:sz w:val="18"/>
                <w:szCs w:val="18"/>
                <w:lang w:val="es-ES_tradnl"/>
              </w:rPr>
            </w:pPr>
            <w:r w:rsidRPr="00B34E6B">
              <w:rPr>
                <w:b/>
                <w:sz w:val="18"/>
                <w:szCs w:val="18"/>
                <w:lang w:val="es-ES_tradnl"/>
              </w:rPr>
              <w:t>JIU/REP/2011/9, “</w:t>
            </w:r>
            <w:r w:rsidR="00E52BDB" w:rsidRPr="00E52BDB">
              <w:rPr>
                <w:b/>
                <w:sz w:val="18"/>
                <w:szCs w:val="18"/>
                <w:lang w:val="es-ES_tradnl"/>
              </w:rPr>
              <w:t>Gestión de la tecnología de la información</w:t>
            </w:r>
            <w:r w:rsidR="009632FA">
              <w:rPr>
                <w:b/>
                <w:sz w:val="18"/>
                <w:szCs w:val="18"/>
                <w:lang w:val="es-ES_tradnl"/>
              </w:rPr>
              <w:t xml:space="preserve"> </w:t>
            </w:r>
            <w:r w:rsidR="00E52BDB" w:rsidRPr="00E52BDB">
              <w:rPr>
                <w:b/>
                <w:sz w:val="18"/>
                <w:szCs w:val="18"/>
                <w:lang w:val="es-ES_tradnl"/>
              </w:rPr>
              <w:t>y las comunicaciones en las organizaciones</w:t>
            </w:r>
            <w:r w:rsidR="009632FA">
              <w:rPr>
                <w:b/>
                <w:sz w:val="18"/>
                <w:szCs w:val="18"/>
                <w:lang w:val="es-ES_tradnl"/>
              </w:rPr>
              <w:t xml:space="preserve"> </w:t>
            </w:r>
            <w:r w:rsidR="00E52BDB" w:rsidRPr="00E52BDB">
              <w:rPr>
                <w:b/>
                <w:sz w:val="18"/>
                <w:szCs w:val="18"/>
                <w:lang w:val="es-ES_tradnl"/>
              </w:rPr>
              <w:t>del sistema de las Naciones Unidas</w:t>
            </w:r>
            <w:r w:rsidRPr="00B34E6B">
              <w:rPr>
                <w:b/>
                <w:sz w:val="18"/>
                <w:szCs w:val="18"/>
                <w:lang w:val="es-ES_tradnl"/>
              </w:rPr>
              <w:t>”</w:t>
            </w:r>
          </w:p>
          <w:p w:rsidR="009F12BA" w:rsidRPr="00B34E6B" w:rsidRDefault="009F12BA" w:rsidP="00105436">
            <w:pPr>
              <w:keepNext/>
              <w:jc w:val="center"/>
              <w:rPr>
                <w:b/>
                <w:sz w:val="18"/>
                <w:szCs w:val="18"/>
                <w:lang w:val="es-ES_tradnl"/>
              </w:rPr>
            </w:pPr>
          </w:p>
        </w:tc>
      </w:tr>
      <w:tr w:rsidR="009F12BA" w:rsidRPr="006508B9" w:rsidTr="009F12BA">
        <w:tc>
          <w:tcPr>
            <w:tcW w:w="2628" w:type="dxa"/>
          </w:tcPr>
          <w:p w:rsidR="009F12BA" w:rsidRPr="00B34E6B" w:rsidRDefault="009F12BA" w:rsidP="00105436">
            <w:pPr>
              <w:keepNext/>
              <w:rPr>
                <w:sz w:val="18"/>
                <w:szCs w:val="18"/>
                <w:lang w:val="es-ES_tradnl"/>
              </w:rPr>
            </w:pPr>
            <w:r w:rsidRPr="00B34E6B">
              <w:rPr>
                <w:sz w:val="18"/>
                <w:szCs w:val="18"/>
                <w:lang w:val="es-ES_tradnl"/>
              </w:rPr>
              <w:t xml:space="preserve">Rec. 6. </w:t>
            </w:r>
            <w:r w:rsidR="00E52BDB" w:rsidRPr="00E52BDB">
              <w:rPr>
                <w:sz w:val="18"/>
                <w:szCs w:val="18"/>
                <w:lang w:val="es-ES_tradnl"/>
              </w:rPr>
              <w:t>Los órganos legislativos de las organizaciones</w:t>
            </w:r>
            <w:r w:rsidR="00E52BDB">
              <w:rPr>
                <w:sz w:val="18"/>
                <w:szCs w:val="18"/>
                <w:lang w:val="es-ES_tradnl"/>
              </w:rPr>
              <w:t xml:space="preserve"> del sistema de Naciones Unidas </w:t>
            </w:r>
            <w:r w:rsidR="00E52BDB" w:rsidRPr="00E52BDB">
              <w:rPr>
                <w:sz w:val="18"/>
                <w:szCs w:val="18"/>
                <w:lang w:val="es-ES_tradnl"/>
              </w:rPr>
              <w:t xml:space="preserve">deberían pedir a los jefes ejecutivos que presentaran </w:t>
            </w:r>
            <w:r w:rsidR="00E52BDB">
              <w:rPr>
                <w:sz w:val="18"/>
                <w:szCs w:val="18"/>
                <w:lang w:val="es-ES_tradnl"/>
              </w:rPr>
              <w:t xml:space="preserve">las estrategias institucionales </w:t>
            </w:r>
            <w:r w:rsidR="00E52BDB" w:rsidRPr="00E52BDB">
              <w:rPr>
                <w:sz w:val="18"/>
                <w:szCs w:val="18"/>
                <w:lang w:val="es-ES_tradnl"/>
              </w:rPr>
              <w:t>relativas a la TIC a los Estados miembros para informarlos y recabar su apoyo.</w:t>
            </w:r>
            <w:r w:rsidR="00E52BDB">
              <w:rPr>
                <w:sz w:val="18"/>
                <w:szCs w:val="18"/>
                <w:lang w:val="es-ES_tradnl"/>
              </w:rPr>
              <w:t xml:space="preserve"> </w:t>
            </w:r>
          </w:p>
          <w:p w:rsidR="009F12BA" w:rsidRPr="00B34E6B" w:rsidRDefault="009F12BA" w:rsidP="00105436">
            <w:pPr>
              <w:keepNext/>
              <w:rPr>
                <w:sz w:val="18"/>
                <w:szCs w:val="18"/>
                <w:lang w:val="es-ES_tradnl"/>
              </w:rPr>
            </w:pPr>
          </w:p>
        </w:tc>
        <w:tc>
          <w:tcPr>
            <w:tcW w:w="1350" w:type="dxa"/>
          </w:tcPr>
          <w:p w:rsidR="009F12BA" w:rsidRPr="00B34E6B" w:rsidRDefault="00234343" w:rsidP="00105436">
            <w:pPr>
              <w:keepNext/>
              <w:rPr>
                <w:sz w:val="18"/>
                <w:szCs w:val="18"/>
                <w:lang w:val="es-ES_tradnl"/>
              </w:rPr>
            </w:pPr>
            <w:r w:rsidRPr="00B34E6B">
              <w:rPr>
                <w:sz w:val="18"/>
                <w:szCs w:val="18"/>
                <w:lang w:val="es-ES_tradnl"/>
              </w:rPr>
              <w:t>Director de los Sistemas de Información</w:t>
            </w:r>
          </w:p>
        </w:tc>
        <w:tc>
          <w:tcPr>
            <w:tcW w:w="1350" w:type="dxa"/>
          </w:tcPr>
          <w:p w:rsidR="009F12BA" w:rsidRPr="00B34E6B" w:rsidRDefault="00FE7ED5" w:rsidP="00105436">
            <w:pPr>
              <w:keepNext/>
              <w:rPr>
                <w:sz w:val="18"/>
                <w:szCs w:val="18"/>
                <w:lang w:val="es-ES_tradnl"/>
              </w:rPr>
            </w:pPr>
            <w:r w:rsidRPr="00B34E6B">
              <w:rPr>
                <w:sz w:val="18"/>
                <w:szCs w:val="18"/>
                <w:lang w:val="es-ES_tradnl"/>
              </w:rPr>
              <w:t>Aceptada</w:t>
            </w:r>
          </w:p>
        </w:tc>
        <w:tc>
          <w:tcPr>
            <w:tcW w:w="1620" w:type="dxa"/>
          </w:tcPr>
          <w:p w:rsidR="009F12BA" w:rsidRPr="00B34E6B" w:rsidRDefault="00FE7ED5" w:rsidP="00105436">
            <w:pPr>
              <w:keepNext/>
              <w:rPr>
                <w:sz w:val="18"/>
                <w:szCs w:val="18"/>
                <w:lang w:val="es-ES_tradnl"/>
              </w:rPr>
            </w:pPr>
            <w:r w:rsidRPr="00B34E6B">
              <w:rPr>
                <w:sz w:val="18"/>
                <w:szCs w:val="18"/>
                <w:lang w:val="es-ES_tradnl"/>
              </w:rPr>
              <w:t>Aplicada</w:t>
            </w:r>
          </w:p>
        </w:tc>
        <w:tc>
          <w:tcPr>
            <w:tcW w:w="2628" w:type="dxa"/>
          </w:tcPr>
          <w:p w:rsidR="009F12BA" w:rsidRPr="00B34E6B" w:rsidRDefault="00E52BDB" w:rsidP="00105436">
            <w:pPr>
              <w:keepNext/>
              <w:rPr>
                <w:sz w:val="18"/>
                <w:szCs w:val="18"/>
                <w:lang w:val="es-ES_tradnl"/>
              </w:rPr>
            </w:pPr>
            <w:r>
              <w:rPr>
                <w:sz w:val="18"/>
                <w:szCs w:val="18"/>
                <w:lang w:val="es-ES_tradnl"/>
              </w:rPr>
              <w:t>Se ha publicado en el sitio web de la OMPI la Estrategia de las TIC y se ha puesto a disposición de los Estados miembros.</w:t>
            </w:r>
          </w:p>
        </w:tc>
      </w:tr>
      <w:tr w:rsidR="009F12BA" w:rsidRPr="006508B9" w:rsidTr="009F12BA">
        <w:tc>
          <w:tcPr>
            <w:tcW w:w="9576" w:type="dxa"/>
            <w:gridSpan w:val="5"/>
            <w:shd w:val="clear" w:color="auto" w:fill="auto"/>
          </w:tcPr>
          <w:p w:rsidR="009F12BA" w:rsidRPr="00B34E6B" w:rsidRDefault="009F12BA" w:rsidP="00266F99">
            <w:pPr>
              <w:keepNext/>
              <w:keepLines/>
              <w:jc w:val="center"/>
              <w:rPr>
                <w:b/>
                <w:sz w:val="18"/>
                <w:szCs w:val="18"/>
                <w:lang w:val="es-ES_tradnl"/>
              </w:rPr>
            </w:pPr>
          </w:p>
          <w:p w:rsidR="009F12BA" w:rsidRDefault="0061702C" w:rsidP="00266F99">
            <w:pPr>
              <w:keepNext/>
              <w:keepLines/>
              <w:jc w:val="center"/>
              <w:rPr>
                <w:b/>
                <w:lang w:val="es-ES_tradnl"/>
              </w:rPr>
            </w:pPr>
            <w:r w:rsidRPr="0061702C">
              <w:rPr>
                <w:b/>
                <w:lang w:val="es-ES_tradnl"/>
              </w:rPr>
              <w:t>Recomendaciones resultantes de exáme</w:t>
            </w:r>
            <w:r>
              <w:rPr>
                <w:b/>
                <w:lang w:val="es-ES_tradnl"/>
              </w:rPr>
              <w:t>nes de la DCI efectuados en 2010</w:t>
            </w:r>
          </w:p>
          <w:p w:rsidR="00105436" w:rsidRPr="00B34E6B" w:rsidRDefault="00105436" w:rsidP="00266F99">
            <w:pPr>
              <w:keepNext/>
              <w:keepLines/>
              <w:jc w:val="center"/>
              <w:rPr>
                <w:b/>
                <w:sz w:val="18"/>
                <w:szCs w:val="18"/>
                <w:lang w:val="es-ES_tradnl"/>
              </w:rPr>
            </w:pPr>
          </w:p>
        </w:tc>
      </w:tr>
      <w:tr w:rsidR="009F12BA" w:rsidRPr="006508B9" w:rsidTr="009F12BA">
        <w:tc>
          <w:tcPr>
            <w:tcW w:w="9576" w:type="dxa"/>
            <w:gridSpan w:val="5"/>
            <w:shd w:val="clear" w:color="auto" w:fill="DAEEF3" w:themeFill="accent5" w:themeFillTint="33"/>
            <w:vAlign w:val="center"/>
          </w:tcPr>
          <w:p w:rsidR="009F12BA" w:rsidRPr="00B34E6B" w:rsidRDefault="009F12BA" w:rsidP="00266F99">
            <w:pPr>
              <w:keepNext/>
              <w:keepLines/>
              <w:jc w:val="center"/>
              <w:rPr>
                <w:sz w:val="18"/>
                <w:szCs w:val="18"/>
                <w:lang w:val="es-ES_tradnl"/>
              </w:rPr>
            </w:pPr>
          </w:p>
          <w:p w:rsidR="009F12BA" w:rsidRPr="00B34E6B" w:rsidRDefault="009F12BA" w:rsidP="00266F99">
            <w:pPr>
              <w:keepNext/>
              <w:keepLines/>
              <w:shd w:val="clear" w:color="auto" w:fill="DAEEF3" w:themeFill="accent5" w:themeFillTint="33"/>
              <w:jc w:val="center"/>
              <w:rPr>
                <w:b/>
                <w:sz w:val="18"/>
                <w:szCs w:val="18"/>
                <w:lang w:val="es-ES_tradnl"/>
              </w:rPr>
            </w:pPr>
            <w:r w:rsidRPr="00B34E6B">
              <w:rPr>
                <w:b/>
                <w:sz w:val="18"/>
                <w:szCs w:val="18"/>
                <w:lang w:val="es-ES_tradnl"/>
              </w:rPr>
              <w:t>JIU/REP/2010/7, “</w:t>
            </w:r>
            <w:r w:rsidR="0061702C">
              <w:rPr>
                <w:b/>
                <w:sz w:val="18"/>
                <w:szCs w:val="18"/>
                <w:lang w:val="es-ES_tradnl"/>
              </w:rPr>
              <w:t>P</w:t>
            </w:r>
            <w:r w:rsidR="0061702C" w:rsidRPr="0061702C">
              <w:rPr>
                <w:b/>
                <w:sz w:val="18"/>
                <w:szCs w:val="18"/>
                <w:lang w:val="es-ES_tradnl"/>
              </w:rPr>
              <w:t>olíticas y procedimientos para la</w:t>
            </w:r>
            <w:r w:rsidR="00266F99">
              <w:rPr>
                <w:b/>
                <w:sz w:val="18"/>
                <w:szCs w:val="18"/>
                <w:lang w:val="es-ES_tradnl"/>
              </w:rPr>
              <w:t xml:space="preserve"> </w:t>
            </w:r>
            <w:r w:rsidR="0061702C">
              <w:rPr>
                <w:b/>
                <w:sz w:val="18"/>
                <w:szCs w:val="18"/>
                <w:lang w:val="es-ES_tradnl"/>
              </w:rPr>
              <w:t>a</w:t>
            </w:r>
            <w:r w:rsidR="0061702C" w:rsidRPr="0061702C">
              <w:rPr>
                <w:b/>
                <w:sz w:val="18"/>
                <w:szCs w:val="18"/>
                <w:lang w:val="es-ES_tradnl"/>
              </w:rPr>
              <w:t>dministración de fondos fiduciarios</w:t>
            </w:r>
            <w:r w:rsidR="00266F99">
              <w:rPr>
                <w:b/>
                <w:sz w:val="18"/>
                <w:szCs w:val="18"/>
                <w:lang w:val="es-ES_tradnl"/>
              </w:rPr>
              <w:t xml:space="preserve"> </w:t>
            </w:r>
            <w:r w:rsidR="0061702C">
              <w:rPr>
                <w:b/>
                <w:sz w:val="18"/>
                <w:szCs w:val="18"/>
                <w:lang w:val="es-ES_tradnl"/>
              </w:rPr>
              <w:t>e</w:t>
            </w:r>
            <w:r w:rsidR="0061702C" w:rsidRPr="0061702C">
              <w:rPr>
                <w:b/>
                <w:sz w:val="18"/>
                <w:szCs w:val="18"/>
                <w:lang w:val="es-ES_tradnl"/>
              </w:rPr>
              <w:t>n las organizaciones del sistema</w:t>
            </w:r>
            <w:r w:rsidR="00266F99">
              <w:rPr>
                <w:b/>
                <w:sz w:val="18"/>
                <w:szCs w:val="18"/>
                <w:lang w:val="es-ES_tradnl"/>
              </w:rPr>
              <w:t xml:space="preserve"> </w:t>
            </w:r>
            <w:r w:rsidR="0061702C">
              <w:rPr>
                <w:b/>
                <w:sz w:val="18"/>
                <w:szCs w:val="18"/>
                <w:lang w:val="es-ES_tradnl"/>
              </w:rPr>
              <w:t>d</w:t>
            </w:r>
            <w:r w:rsidR="0061702C" w:rsidRPr="0061702C">
              <w:rPr>
                <w:b/>
                <w:sz w:val="18"/>
                <w:szCs w:val="18"/>
                <w:lang w:val="es-ES_tradnl"/>
              </w:rPr>
              <w:t xml:space="preserve">e las </w:t>
            </w:r>
            <w:r w:rsidR="0061702C">
              <w:rPr>
                <w:b/>
                <w:sz w:val="18"/>
                <w:szCs w:val="18"/>
                <w:lang w:val="es-ES_tradnl"/>
              </w:rPr>
              <w:t>N</w:t>
            </w:r>
            <w:r w:rsidR="0061702C" w:rsidRPr="0061702C">
              <w:rPr>
                <w:b/>
                <w:sz w:val="18"/>
                <w:szCs w:val="18"/>
                <w:lang w:val="es-ES_tradnl"/>
              </w:rPr>
              <w:t xml:space="preserve">aciones </w:t>
            </w:r>
            <w:r w:rsidR="0061702C">
              <w:rPr>
                <w:b/>
                <w:sz w:val="18"/>
                <w:szCs w:val="18"/>
                <w:lang w:val="es-ES_tradnl"/>
              </w:rPr>
              <w:t>U</w:t>
            </w:r>
            <w:r w:rsidR="0061702C" w:rsidRPr="0061702C">
              <w:rPr>
                <w:b/>
                <w:sz w:val="18"/>
                <w:szCs w:val="18"/>
                <w:lang w:val="es-ES_tradnl"/>
              </w:rPr>
              <w:t>nidas</w:t>
            </w:r>
            <w:r w:rsidRPr="00B34E6B">
              <w:rPr>
                <w:b/>
                <w:sz w:val="18"/>
                <w:szCs w:val="18"/>
                <w:lang w:val="es-ES_tradnl"/>
              </w:rPr>
              <w:t>”</w:t>
            </w:r>
          </w:p>
          <w:p w:rsidR="009F12BA" w:rsidRPr="00B34E6B" w:rsidRDefault="009F12BA" w:rsidP="00266F99">
            <w:pPr>
              <w:keepNext/>
              <w:keepLines/>
              <w:shd w:val="clear" w:color="auto" w:fill="DAEEF3" w:themeFill="accent5" w:themeFillTint="33"/>
              <w:jc w:val="center"/>
              <w:rPr>
                <w:sz w:val="18"/>
                <w:szCs w:val="18"/>
                <w:lang w:val="es-ES_tradnl"/>
              </w:rPr>
            </w:pPr>
          </w:p>
        </w:tc>
      </w:tr>
      <w:tr w:rsidR="009F12BA" w:rsidRPr="006508B9" w:rsidTr="009F12BA">
        <w:tc>
          <w:tcPr>
            <w:tcW w:w="2628" w:type="dxa"/>
          </w:tcPr>
          <w:p w:rsidR="009F12BA" w:rsidRDefault="009F12BA" w:rsidP="00C83BBF">
            <w:pPr>
              <w:rPr>
                <w:sz w:val="18"/>
                <w:szCs w:val="18"/>
                <w:lang w:val="es-ES_tradnl"/>
              </w:rPr>
            </w:pPr>
            <w:r w:rsidRPr="00B34E6B">
              <w:rPr>
                <w:sz w:val="18"/>
                <w:szCs w:val="18"/>
                <w:lang w:val="es-ES_tradnl"/>
              </w:rPr>
              <w:t xml:space="preserve">Rec. 2. </w:t>
            </w:r>
            <w:r w:rsidR="00C83BBF" w:rsidRPr="00C83BBF">
              <w:rPr>
                <w:sz w:val="18"/>
                <w:szCs w:val="18"/>
                <w:lang w:val="es-ES_tradnl"/>
              </w:rPr>
              <w:t xml:space="preserve">Los órganos legislativos de las organizaciones del sistema de las </w:t>
            </w:r>
            <w:r w:rsidR="00C83BBF">
              <w:rPr>
                <w:sz w:val="18"/>
                <w:szCs w:val="18"/>
                <w:lang w:val="es-ES_tradnl"/>
              </w:rPr>
              <w:t xml:space="preserve">Naciones </w:t>
            </w:r>
            <w:r w:rsidR="00C83BBF" w:rsidRPr="00C83BBF">
              <w:rPr>
                <w:sz w:val="18"/>
                <w:szCs w:val="18"/>
                <w:lang w:val="es-ES_tradnl"/>
              </w:rPr>
              <w:t>Unidas deberían invitar a todos los donantes a</w:t>
            </w:r>
            <w:r w:rsidR="00C83BBF">
              <w:rPr>
                <w:sz w:val="18"/>
                <w:szCs w:val="18"/>
                <w:lang w:val="es-ES_tradnl"/>
              </w:rPr>
              <w:t xml:space="preserve"> responder favorablemente a las </w:t>
            </w:r>
            <w:r w:rsidR="00C83BBF" w:rsidRPr="00C83BBF">
              <w:rPr>
                <w:sz w:val="18"/>
                <w:szCs w:val="18"/>
                <w:lang w:val="es-ES_tradnl"/>
              </w:rPr>
              <w:t>iniciativas adoptadas por las organizaciones para incr</w:t>
            </w:r>
            <w:r w:rsidR="00C83BBF">
              <w:rPr>
                <w:sz w:val="18"/>
                <w:szCs w:val="18"/>
                <w:lang w:val="es-ES_tradnl"/>
              </w:rPr>
              <w:t xml:space="preserve">ementar la porción y el volumen </w:t>
            </w:r>
            <w:r w:rsidR="00C83BBF" w:rsidRPr="00C83BBF">
              <w:rPr>
                <w:sz w:val="18"/>
                <w:szCs w:val="18"/>
                <w:lang w:val="es-ES_tradnl"/>
              </w:rPr>
              <w:t xml:space="preserve">de los fondos fiduciarios temáticos y otro tipo de </w:t>
            </w:r>
            <w:r w:rsidR="00C83BBF">
              <w:rPr>
                <w:sz w:val="18"/>
                <w:szCs w:val="18"/>
                <w:lang w:val="es-ES_tradnl"/>
              </w:rPr>
              <w:t xml:space="preserve">financiación común, con miras a </w:t>
            </w:r>
            <w:r w:rsidR="00C83BBF" w:rsidRPr="00C83BBF">
              <w:rPr>
                <w:sz w:val="18"/>
                <w:szCs w:val="18"/>
                <w:lang w:val="es-ES_tradnl"/>
              </w:rPr>
              <w:t>facilitar una gestión más eficiente de los fondos fiduciarios.</w:t>
            </w:r>
          </w:p>
          <w:p w:rsidR="00266F99" w:rsidRPr="00B34E6B" w:rsidRDefault="00266F99" w:rsidP="00C83BBF">
            <w:pPr>
              <w:rPr>
                <w:sz w:val="18"/>
                <w:szCs w:val="18"/>
                <w:lang w:val="es-ES_tradnl"/>
              </w:rPr>
            </w:pPr>
          </w:p>
        </w:tc>
        <w:tc>
          <w:tcPr>
            <w:tcW w:w="1350" w:type="dxa"/>
          </w:tcPr>
          <w:p w:rsidR="00234343" w:rsidRPr="00B34E6B" w:rsidRDefault="00234343" w:rsidP="00234343">
            <w:pPr>
              <w:rPr>
                <w:sz w:val="18"/>
                <w:szCs w:val="18"/>
                <w:lang w:val="es-ES_tradnl"/>
              </w:rPr>
            </w:pPr>
            <w:r w:rsidRPr="00B34E6B">
              <w:rPr>
                <w:sz w:val="18"/>
                <w:szCs w:val="18"/>
                <w:lang w:val="es-ES_tradnl"/>
              </w:rPr>
              <w:t xml:space="preserve">Directora, </w:t>
            </w:r>
          </w:p>
          <w:p w:rsidR="009F12BA" w:rsidRPr="00B34E6B" w:rsidRDefault="00234343" w:rsidP="00234343">
            <w:pPr>
              <w:rPr>
                <w:sz w:val="18"/>
                <w:szCs w:val="18"/>
                <w:lang w:val="es-ES_tradnl"/>
              </w:rPr>
            </w:pPr>
            <w:r w:rsidRPr="00B34E6B">
              <w:rPr>
                <w:sz w:val="18"/>
                <w:szCs w:val="18"/>
                <w:lang w:val="es-ES_tradnl"/>
              </w:rPr>
              <w:t>Depto. de Planificación de Programas y Finanzas (Contralor)</w:t>
            </w:r>
          </w:p>
        </w:tc>
        <w:tc>
          <w:tcPr>
            <w:tcW w:w="1350" w:type="dxa"/>
          </w:tcPr>
          <w:p w:rsidR="009F12BA" w:rsidRPr="00B34E6B" w:rsidRDefault="00FE7ED5" w:rsidP="00633C4A">
            <w:pPr>
              <w:rPr>
                <w:sz w:val="18"/>
                <w:szCs w:val="18"/>
                <w:lang w:val="es-ES_tradnl"/>
              </w:rPr>
            </w:pPr>
            <w:r w:rsidRPr="00B34E6B">
              <w:rPr>
                <w:sz w:val="18"/>
                <w:szCs w:val="18"/>
                <w:lang w:val="es-ES_tradnl"/>
              </w:rPr>
              <w:t>Aceptada</w:t>
            </w:r>
          </w:p>
        </w:tc>
        <w:tc>
          <w:tcPr>
            <w:tcW w:w="1620" w:type="dxa"/>
          </w:tcPr>
          <w:p w:rsidR="009F12BA" w:rsidRPr="00B34E6B" w:rsidRDefault="00FE7ED5" w:rsidP="00633C4A">
            <w:pPr>
              <w:rPr>
                <w:sz w:val="18"/>
                <w:szCs w:val="18"/>
                <w:lang w:val="es-ES_tradnl"/>
              </w:rPr>
            </w:pPr>
            <w:r w:rsidRPr="00B34E6B">
              <w:rPr>
                <w:sz w:val="18"/>
                <w:szCs w:val="18"/>
                <w:lang w:val="es-ES_tradnl"/>
              </w:rPr>
              <w:t>Aplicada</w:t>
            </w:r>
          </w:p>
        </w:tc>
        <w:tc>
          <w:tcPr>
            <w:tcW w:w="2628" w:type="dxa"/>
          </w:tcPr>
          <w:p w:rsidR="009F12BA" w:rsidRPr="00B34E6B" w:rsidRDefault="00C83BBF" w:rsidP="00637083">
            <w:pPr>
              <w:rPr>
                <w:sz w:val="18"/>
                <w:szCs w:val="18"/>
                <w:lang w:val="es-ES_tradnl"/>
              </w:rPr>
            </w:pPr>
            <w:r>
              <w:rPr>
                <w:sz w:val="18"/>
                <w:szCs w:val="18"/>
                <w:lang w:val="es-ES_tradnl"/>
              </w:rPr>
              <w:t xml:space="preserve">La OMPI ha promovido fondos fiduciarios temáticos y otros tipos de fondos mancomunados con sus donantes actuales y </w:t>
            </w:r>
            <w:r w:rsidR="000B5F41">
              <w:rPr>
                <w:sz w:val="18"/>
                <w:szCs w:val="18"/>
                <w:lang w:val="es-ES_tradnl"/>
              </w:rPr>
              <w:t xml:space="preserve">con </w:t>
            </w:r>
            <w:r>
              <w:rPr>
                <w:sz w:val="18"/>
                <w:szCs w:val="18"/>
                <w:lang w:val="es-ES_tradnl"/>
              </w:rPr>
              <w:t>donantes eventuales.</w:t>
            </w:r>
          </w:p>
        </w:tc>
      </w:tr>
      <w:tr w:rsidR="009F12BA" w:rsidRPr="006508B9" w:rsidTr="009F12BA">
        <w:tc>
          <w:tcPr>
            <w:tcW w:w="2628" w:type="dxa"/>
          </w:tcPr>
          <w:p w:rsidR="009F12BA" w:rsidRDefault="009F12BA" w:rsidP="00FB4320">
            <w:pPr>
              <w:rPr>
                <w:sz w:val="18"/>
                <w:szCs w:val="18"/>
                <w:lang w:val="es-ES_tradnl"/>
              </w:rPr>
            </w:pPr>
            <w:r w:rsidRPr="00B34E6B">
              <w:rPr>
                <w:sz w:val="18"/>
                <w:szCs w:val="18"/>
                <w:lang w:val="es-ES_tradnl"/>
              </w:rPr>
              <w:t xml:space="preserve">Rec. 7. </w:t>
            </w:r>
            <w:r w:rsidR="00FB4320" w:rsidRPr="00FB4320">
              <w:rPr>
                <w:sz w:val="18"/>
                <w:szCs w:val="18"/>
                <w:lang w:val="es-ES_tradnl"/>
              </w:rPr>
              <w:t>Los órganos legislativos de las organizacio</w:t>
            </w:r>
            <w:r w:rsidR="00FB4320">
              <w:rPr>
                <w:sz w:val="18"/>
                <w:szCs w:val="18"/>
                <w:lang w:val="es-ES_tradnl"/>
              </w:rPr>
              <w:t xml:space="preserve">nes del sistema de las Naciones </w:t>
            </w:r>
            <w:r w:rsidR="00FB4320" w:rsidRPr="00FB4320">
              <w:rPr>
                <w:sz w:val="18"/>
                <w:szCs w:val="18"/>
                <w:lang w:val="es-ES_tradnl"/>
              </w:rPr>
              <w:t>Unidas deberían examinar las políticas y los princip</w:t>
            </w:r>
            <w:r w:rsidR="00FB4320">
              <w:rPr>
                <w:sz w:val="18"/>
                <w:szCs w:val="18"/>
                <w:lang w:val="es-ES_tradnl"/>
              </w:rPr>
              <w:t xml:space="preserve">ios armonizados de recuperación </w:t>
            </w:r>
            <w:r w:rsidR="00FB4320" w:rsidRPr="00FB4320">
              <w:rPr>
                <w:sz w:val="18"/>
                <w:szCs w:val="18"/>
                <w:lang w:val="es-ES_tradnl"/>
              </w:rPr>
              <w:t>de los gastos para los fondos fiduciarios y las actividade</w:t>
            </w:r>
            <w:r w:rsidR="00FB4320">
              <w:rPr>
                <w:sz w:val="18"/>
                <w:szCs w:val="18"/>
                <w:lang w:val="es-ES_tradnl"/>
              </w:rPr>
              <w:t xml:space="preserve">s financiadas con cargo a otros </w:t>
            </w:r>
            <w:r w:rsidR="00FB4320" w:rsidRPr="00FB4320">
              <w:rPr>
                <w:sz w:val="18"/>
                <w:szCs w:val="18"/>
                <w:lang w:val="es-ES_tradnl"/>
              </w:rPr>
              <w:t>recursos extrapresupuestarios, una vez que se hubier</w:t>
            </w:r>
            <w:r w:rsidR="00FB4320">
              <w:rPr>
                <w:sz w:val="18"/>
                <w:szCs w:val="18"/>
                <w:lang w:val="es-ES_tradnl"/>
              </w:rPr>
              <w:t xml:space="preserve">an acordado con la Junta de los </w:t>
            </w:r>
            <w:r w:rsidR="00FB4320" w:rsidRPr="00FB4320">
              <w:rPr>
                <w:sz w:val="18"/>
                <w:szCs w:val="18"/>
                <w:lang w:val="es-ES_tradnl"/>
              </w:rPr>
              <w:t>jefes ejecutivos, con miras a actualizar las políticas d</w:t>
            </w:r>
            <w:r w:rsidR="00FB4320">
              <w:rPr>
                <w:sz w:val="18"/>
                <w:szCs w:val="18"/>
                <w:lang w:val="es-ES_tradnl"/>
              </w:rPr>
              <w:t xml:space="preserve">e recuperación de los gastos de </w:t>
            </w:r>
            <w:r w:rsidR="00FB4320" w:rsidRPr="00FB4320">
              <w:rPr>
                <w:sz w:val="18"/>
                <w:szCs w:val="18"/>
                <w:lang w:val="es-ES_tradnl"/>
              </w:rPr>
              <w:t>sus organizaciones, según proceda.</w:t>
            </w:r>
          </w:p>
          <w:p w:rsidR="00266F99" w:rsidRPr="00B34E6B" w:rsidRDefault="00266F99" w:rsidP="00FB4320">
            <w:pPr>
              <w:rPr>
                <w:sz w:val="18"/>
                <w:szCs w:val="18"/>
                <w:lang w:val="es-ES_tradnl"/>
              </w:rPr>
            </w:pPr>
          </w:p>
        </w:tc>
        <w:tc>
          <w:tcPr>
            <w:tcW w:w="1350" w:type="dxa"/>
          </w:tcPr>
          <w:p w:rsidR="00234343" w:rsidRPr="00B34E6B" w:rsidRDefault="00234343" w:rsidP="00234343">
            <w:pPr>
              <w:rPr>
                <w:sz w:val="18"/>
                <w:szCs w:val="18"/>
                <w:lang w:val="es-ES_tradnl"/>
              </w:rPr>
            </w:pPr>
            <w:r w:rsidRPr="00B34E6B">
              <w:rPr>
                <w:sz w:val="18"/>
                <w:szCs w:val="18"/>
                <w:lang w:val="es-ES_tradnl"/>
              </w:rPr>
              <w:t xml:space="preserve">Directora, </w:t>
            </w:r>
          </w:p>
          <w:p w:rsidR="009F12BA" w:rsidRPr="00B34E6B" w:rsidRDefault="00234343" w:rsidP="00234343">
            <w:pPr>
              <w:rPr>
                <w:sz w:val="18"/>
                <w:szCs w:val="18"/>
                <w:lang w:val="es-ES_tradnl"/>
              </w:rPr>
            </w:pPr>
            <w:r w:rsidRPr="00B34E6B">
              <w:rPr>
                <w:sz w:val="18"/>
                <w:szCs w:val="18"/>
                <w:lang w:val="es-ES_tradnl"/>
              </w:rPr>
              <w:t>Depto. de Planificación de Programas y Finanzas (Contralor)</w:t>
            </w:r>
          </w:p>
        </w:tc>
        <w:tc>
          <w:tcPr>
            <w:tcW w:w="1350" w:type="dxa"/>
          </w:tcPr>
          <w:p w:rsidR="009F12BA" w:rsidRPr="00B34E6B" w:rsidRDefault="00FE7ED5" w:rsidP="00633C4A">
            <w:pPr>
              <w:rPr>
                <w:sz w:val="18"/>
                <w:szCs w:val="18"/>
                <w:lang w:val="es-ES_tradnl"/>
              </w:rPr>
            </w:pPr>
            <w:r w:rsidRPr="00B34E6B">
              <w:rPr>
                <w:sz w:val="18"/>
                <w:szCs w:val="18"/>
                <w:lang w:val="es-ES_tradnl"/>
              </w:rPr>
              <w:t>A estudio</w:t>
            </w:r>
          </w:p>
        </w:tc>
        <w:tc>
          <w:tcPr>
            <w:tcW w:w="1620" w:type="dxa"/>
          </w:tcPr>
          <w:p w:rsidR="009F12BA" w:rsidRPr="00B34E6B" w:rsidRDefault="009F12BA" w:rsidP="00633C4A">
            <w:pPr>
              <w:rPr>
                <w:sz w:val="18"/>
                <w:szCs w:val="18"/>
                <w:lang w:val="es-ES_tradnl"/>
              </w:rPr>
            </w:pPr>
          </w:p>
        </w:tc>
        <w:tc>
          <w:tcPr>
            <w:tcW w:w="2628" w:type="dxa"/>
          </w:tcPr>
          <w:p w:rsidR="009F12BA" w:rsidRPr="00B34E6B" w:rsidRDefault="00FB4320" w:rsidP="00633C4A">
            <w:pPr>
              <w:rPr>
                <w:sz w:val="18"/>
                <w:szCs w:val="18"/>
                <w:lang w:val="es-ES_tradnl"/>
              </w:rPr>
            </w:pPr>
            <w:r w:rsidRPr="00FB4320">
              <w:rPr>
                <w:sz w:val="18"/>
                <w:szCs w:val="18"/>
                <w:lang w:val="es-ES_tradnl"/>
              </w:rPr>
              <w:t>Esta recomendación, que afecta a todo el sistema, está siendo examinada por la JJE.</w:t>
            </w:r>
          </w:p>
        </w:tc>
      </w:tr>
      <w:tr w:rsidR="009F12BA" w:rsidRPr="006508B9" w:rsidTr="009F12BA">
        <w:tc>
          <w:tcPr>
            <w:tcW w:w="9576" w:type="dxa"/>
            <w:gridSpan w:val="5"/>
            <w:shd w:val="clear" w:color="auto" w:fill="DAEEF3" w:themeFill="accent5" w:themeFillTint="33"/>
            <w:vAlign w:val="center"/>
          </w:tcPr>
          <w:p w:rsidR="009F12BA" w:rsidRPr="00B34E6B" w:rsidRDefault="009F12BA" w:rsidP="00105436">
            <w:pPr>
              <w:keepNext/>
              <w:jc w:val="center"/>
              <w:rPr>
                <w:b/>
                <w:sz w:val="18"/>
                <w:szCs w:val="18"/>
                <w:lang w:val="es-ES_tradnl"/>
              </w:rPr>
            </w:pPr>
          </w:p>
          <w:p w:rsidR="009F12BA" w:rsidRPr="00B34E6B" w:rsidRDefault="009F12BA" w:rsidP="00105436">
            <w:pPr>
              <w:keepNext/>
              <w:jc w:val="center"/>
              <w:rPr>
                <w:b/>
                <w:sz w:val="18"/>
                <w:szCs w:val="18"/>
                <w:lang w:val="es-ES_tradnl"/>
              </w:rPr>
            </w:pPr>
            <w:r w:rsidRPr="00B34E6B">
              <w:rPr>
                <w:b/>
                <w:sz w:val="18"/>
                <w:szCs w:val="18"/>
                <w:lang w:val="es-ES_tradnl"/>
              </w:rPr>
              <w:t>JIU/REP/2010/5, “</w:t>
            </w:r>
            <w:r w:rsidR="00FB4320" w:rsidRPr="00FB4320">
              <w:rPr>
                <w:b/>
                <w:sz w:val="18"/>
                <w:szCs w:val="18"/>
                <w:lang w:val="es-ES_tradnl"/>
              </w:rPr>
              <w:t>La función de auditoría en el sistema</w:t>
            </w:r>
            <w:r w:rsidR="00266F99">
              <w:rPr>
                <w:b/>
                <w:sz w:val="18"/>
                <w:szCs w:val="18"/>
                <w:lang w:val="es-ES_tradnl"/>
              </w:rPr>
              <w:t xml:space="preserve"> </w:t>
            </w:r>
            <w:r w:rsidR="00FB4320" w:rsidRPr="00FB4320">
              <w:rPr>
                <w:b/>
                <w:sz w:val="18"/>
                <w:szCs w:val="18"/>
                <w:lang w:val="es-ES_tradnl"/>
              </w:rPr>
              <w:t>de las Naciones Unidas</w:t>
            </w:r>
            <w:r w:rsidRPr="00B34E6B">
              <w:rPr>
                <w:b/>
                <w:sz w:val="18"/>
                <w:szCs w:val="18"/>
                <w:lang w:val="es-ES_tradnl"/>
              </w:rPr>
              <w:t>”</w:t>
            </w:r>
          </w:p>
          <w:p w:rsidR="009F12BA" w:rsidRPr="00B34E6B" w:rsidRDefault="009F12BA" w:rsidP="00105436">
            <w:pPr>
              <w:keepNext/>
              <w:jc w:val="center"/>
              <w:rPr>
                <w:b/>
                <w:sz w:val="18"/>
                <w:szCs w:val="18"/>
                <w:lang w:val="es-ES_tradnl"/>
              </w:rPr>
            </w:pPr>
          </w:p>
        </w:tc>
      </w:tr>
      <w:tr w:rsidR="009F12BA" w:rsidRPr="006508B9" w:rsidTr="009F12BA">
        <w:tc>
          <w:tcPr>
            <w:tcW w:w="2628" w:type="dxa"/>
          </w:tcPr>
          <w:p w:rsidR="009F12BA" w:rsidRDefault="009F12BA" w:rsidP="00105436">
            <w:pPr>
              <w:keepNext/>
              <w:rPr>
                <w:sz w:val="18"/>
                <w:szCs w:val="18"/>
                <w:lang w:val="es-ES_tradnl"/>
              </w:rPr>
            </w:pPr>
            <w:r w:rsidRPr="00B34E6B">
              <w:rPr>
                <w:sz w:val="18"/>
                <w:szCs w:val="18"/>
                <w:lang w:val="es-ES_tradnl"/>
              </w:rPr>
              <w:t xml:space="preserve">Rec.14. </w:t>
            </w:r>
            <w:r w:rsidR="00FB4320" w:rsidRPr="00FB4320">
              <w:rPr>
                <w:sz w:val="18"/>
                <w:szCs w:val="18"/>
                <w:lang w:val="es-ES_tradnl"/>
              </w:rPr>
              <w:t>Los órganos legislativos o rectores de las organizaciones del</w:t>
            </w:r>
            <w:r w:rsidR="00FB4320">
              <w:rPr>
                <w:sz w:val="18"/>
                <w:szCs w:val="18"/>
                <w:lang w:val="es-ES_tradnl"/>
              </w:rPr>
              <w:t xml:space="preserve"> </w:t>
            </w:r>
            <w:r w:rsidR="00FB4320" w:rsidRPr="00FB4320">
              <w:rPr>
                <w:sz w:val="18"/>
                <w:szCs w:val="18"/>
                <w:lang w:val="es-ES_tradnl"/>
              </w:rPr>
              <w:t>sistema de las Naciones Unidas deberían disponer que los jefes ejecutivos de</w:t>
            </w:r>
            <w:r w:rsidR="00FB4320">
              <w:rPr>
                <w:sz w:val="18"/>
                <w:szCs w:val="18"/>
                <w:lang w:val="es-ES_tradnl"/>
              </w:rPr>
              <w:t xml:space="preserve"> c</w:t>
            </w:r>
            <w:r w:rsidR="00FB4320" w:rsidRPr="00FB4320">
              <w:rPr>
                <w:sz w:val="18"/>
                <w:szCs w:val="18"/>
                <w:lang w:val="es-ES_tradnl"/>
              </w:rPr>
              <w:t>ada organización los informen de todas las solicitudes de auditoría o de</w:t>
            </w:r>
            <w:r w:rsidR="006F2C04">
              <w:rPr>
                <w:sz w:val="18"/>
                <w:szCs w:val="18"/>
                <w:lang w:val="es-ES_tradnl"/>
              </w:rPr>
              <w:t xml:space="preserve"> </w:t>
            </w:r>
            <w:r w:rsidR="00FB4320" w:rsidRPr="00FB4320">
              <w:rPr>
                <w:sz w:val="18"/>
                <w:szCs w:val="18"/>
                <w:lang w:val="es-ES_tradnl"/>
              </w:rPr>
              <w:t>verificación por terceros, después de consult</w:t>
            </w:r>
            <w:r w:rsidR="00FB4320">
              <w:rPr>
                <w:sz w:val="18"/>
                <w:szCs w:val="18"/>
                <w:lang w:val="es-ES_tradnl"/>
              </w:rPr>
              <w:t xml:space="preserve">ar a los comités de auditoría o </w:t>
            </w:r>
            <w:r w:rsidR="00FB4320" w:rsidRPr="00FB4320">
              <w:rPr>
                <w:sz w:val="18"/>
                <w:szCs w:val="18"/>
                <w:lang w:val="es-ES_tradnl"/>
              </w:rPr>
              <w:t>supervisión y a los auditores externos.</w:t>
            </w:r>
          </w:p>
          <w:p w:rsidR="00266F99" w:rsidRPr="00B34E6B" w:rsidRDefault="00266F99" w:rsidP="00105436">
            <w:pPr>
              <w:keepNext/>
              <w:rPr>
                <w:sz w:val="18"/>
                <w:szCs w:val="18"/>
                <w:lang w:val="es-ES_tradnl"/>
              </w:rPr>
            </w:pPr>
          </w:p>
        </w:tc>
        <w:tc>
          <w:tcPr>
            <w:tcW w:w="1350" w:type="dxa"/>
          </w:tcPr>
          <w:p w:rsidR="00234343" w:rsidRPr="00B34E6B" w:rsidRDefault="00234343" w:rsidP="00105436">
            <w:pPr>
              <w:keepNext/>
              <w:rPr>
                <w:sz w:val="18"/>
                <w:szCs w:val="18"/>
                <w:lang w:val="es-ES_tradnl"/>
              </w:rPr>
            </w:pPr>
            <w:r w:rsidRPr="00B34E6B">
              <w:rPr>
                <w:sz w:val="18"/>
                <w:szCs w:val="18"/>
                <w:lang w:val="es-ES_tradnl"/>
              </w:rPr>
              <w:t xml:space="preserve">Directora, </w:t>
            </w:r>
          </w:p>
          <w:p w:rsidR="009F12BA" w:rsidRPr="00B34E6B" w:rsidRDefault="00234343" w:rsidP="00105436">
            <w:pPr>
              <w:keepNext/>
              <w:rPr>
                <w:sz w:val="18"/>
                <w:szCs w:val="18"/>
                <w:lang w:val="es-ES_tradnl"/>
              </w:rPr>
            </w:pPr>
            <w:r w:rsidRPr="00B34E6B">
              <w:rPr>
                <w:sz w:val="18"/>
                <w:szCs w:val="18"/>
                <w:lang w:val="es-ES_tradnl"/>
              </w:rPr>
              <w:t>Depto. de Planificación de Programas y Finanzas (Contralor)</w:t>
            </w:r>
          </w:p>
          <w:p w:rsidR="00234343" w:rsidRPr="00B34E6B" w:rsidRDefault="00234343" w:rsidP="00105436">
            <w:pPr>
              <w:keepNext/>
              <w:rPr>
                <w:sz w:val="18"/>
                <w:szCs w:val="18"/>
                <w:lang w:val="es-ES_tradnl"/>
              </w:rPr>
            </w:pPr>
          </w:p>
          <w:p w:rsidR="009F12BA" w:rsidRPr="00B34E6B" w:rsidRDefault="009F12BA" w:rsidP="00105436">
            <w:pPr>
              <w:keepNext/>
              <w:rPr>
                <w:sz w:val="18"/>
                <w:szCs w:val="18"/>
                <w:lang w:val="es-ES_tradnl"/>
              </w:rPr>
            </w:pPr>
            <w:r w:rsidRPr="00B34E6B">
              <w:rPr>
                <w:sz w:val="18"/>
                <w:szCs w:val="18"/>
                <w:lang w:val="es-ES_tradnl"/>
              </w:rPr>
              <w:t>Director,</w:t>
            </w:r>
          </w:p>
          <w:p w:rsidR="009F12BA" w:rsidRPr="00B34E6B" w:rsidRDefault="009F12BA" w:rsidP="00105436">
            <w:pPr>
              <w:keepNext/>
              <w:rPr>
                <w:sz w:val="18"/>
                <w:szCs w:val="18"/>
                <w:lang w:val="es-ES_tradnl"/>
              </w:rPr>
            </w:pPr>
            <w:r w:rsidRPr="00B34E6B">
              <w:rPr>
                <w:sz w:val="18"/>
                <w:szCs w:val="18"/>
                <w:lang w:val="es-ES_tradnl"/>
              </w:rPr>
              <w:t>D</w:t>
            </w:r>
            <w:r w:rsidR="00234343" w:rsidRPr="00B34E6B">
              <w:rPr>
                <w:sz w:val="18"/>
                <w:szCs w:val="18"/>
                <w:lang w:val="es-ES_tradnl"/>
              </w:rPr>
              <w:t>ASI</w:t>
            </w:r>
          </w:p>
        </w:tc>
        <w:tc>
          <w:tcPr>
            <w:tcW w:w="1350" w:type="dxa"/>
          </w:tcPr>
          <w:p w:rsidR="009F12BA" w:rsidRPr="00B34E6B" w:rsidRDefault="00FE7ED5" w:rsidP="00105436">
            <w:pPr>
              <w:keepNext/>
              <w:rPr>
                <w:sz w:val="18"/>
                <w:szCs w:val="18"/>
                <w:lang w:val="es-ES_tradnl"/>
              </w:rPr>
            </w:pPr>
            <w:r w:rsidRPr="00B34E6B">
              <w:rPr>
                <w:sz w:val="18"/>
                <w:szCs w:val="18"/>
                <w:lang w:val="es-ES_tradnl"/>
              </w:rPr>
              <w:t>Aceptada</w:t>
            </w:r>
          </w:p>
          <w:p w:rsidR="009F12BA" w:rsidRPr="00B34E6B" w:rsidRDefault="009F12BA" w:rsidP="00105436">
            <w:pPr>
              <w:keepNext/>
              <w:rPr>
                <w:sz w:val="18"/>
                <w:szCs w:val="18"/>
                <w:lang w:val="es-ES_tradnl"/>
              </w:rPr>
            </w:pPr>
          </w:p>
        </w:tc>
        <w:tc>
          <w:tcPr>
            <w:tcW w:w="1620" w:type="dxa"/>
          </w:tcPr>
          <w:p w:rsidR="009F12BA" w:rsidRPr="00B34E6B" w:rsidRDefault="00FE7ED5" w:rsidP="00105436">
            <w:pPr>
              <w:keepNext/>
              <w:rPr>
                <w:sz w:val="18"/>
                <w:szCs w:val="18"/>
                <w:lang w:val="es-ES_tradnl"/>
              </w:rPr>
            </w:pPr>
            <w:r w:rsidRPr="00B34E6B">
              <w:rPr>
                <w:sz w:val="18"/>
                <w:szCs w:val="18"/>
                <w:lang w:val="es-ES_tradnl"/>
              </w:rPr>
              <w:t>Aplicada</w:t>
            </w:r>
          </w:p>
        </w:tc>
        <w:tc>
          <w:tcPr>
            <w:tcW w:w="2628" w:type="dxa"/>
          </w:tcPr>
          <w:p w:rsidR="009F12BA" w:rsidRPr="00B34E6B" w:rsidRDefault="00FB4320" w:rsidP="00105436">
            <w:pPr>
              <w:keepNext/>
              <w:rPr>
                <w:sz w:val="18"/>
                <w:szCs w:val="18"/>
                <w:lang w:val="es-ES_tradnl"/>
              </w:rPr>
            </w:pPr>
            <w:r w:rsidRPr="00FB4320">
              <w:rPr>
                <w:sz w:val="18"/>
                <w:szCs w:val="18"/>
                <w:lang w:val="es-ES_tradnl"/>
              </w:rPr>
              <w:t>Contrariamente a otras organizaciones de las Naciones Unidas, la OMPI no utiliza un gran volumen de fondos extrapresupuestarios, de suerte que se presentan pocas solicitudes de verificación por terceros.</w:t>
            </w:r>
            <w:r>
              <w:rPr>
                <w:sz w:val="18"/>
                <w:szCs w:val="18"/>
                <w:lang w:val="es-ES_tradnl"/>
              </w:rPr>
              <w:t xml:space="preserve">  Se informará a la Asamblea General de ese tipo de peticiones a medida que surjan, si se da el caso.</w:t>
            </w:r>
          </w:p>
        </w:tc>
      </w:tr>
      <w:tr w:rsidR="009F12BA" w:rsidRPr="006508B9" w:rsidTr="009F12BA">
        <w:tc>
          <w:tcPr>
            <w:tcW w:w="9576" w:type="dxa"/>
            <w:gridSpan w:val="5"/>
            <w:shd w:val="clear" w:color="auto" w:fill="B6DDE8" w:themeFill="accent5" w:themeFillTint="66"/>
            <w:vAlign w:val="center"/>
          </w:tcPr>
          <w:p w:rsidR="009F12BA" w:rsidRPr="00B34E6B" w:rsidRDefault="009F12BA" w:rsidP="00266F99">
            <w:pPr>
              <w:keepNext/>
              <w:jc w:val="center"/>
              <w:rPr>
                <w:b/>
                <w:sz w:val="18"/>
                <w:szCs w:val="18"/>
                <w:lang w:val="es-ES_tradnl"/>
              </w:rPr>
            </w:pPr>
          </w:p>
          <w:p w:rsidR="009F12BA" w:rsidRPr="00B34E6B" w:rsidRDefault="009F12BA" w:rsidP="00266F99">
            <w:pPr>
              <w:keepNext/>
              <w:shd w:val="clear" w:color="auto" w:fill="B6DDE8" w:themeFill="accent5" w:themeFillTint="66"/>
              <w:jc w:val="center"/>
              <w:rPr>
                <w:b/>
                <w:sz w:val="18"/>
                <w:szCs w:val="18"/>
                <w:lang w:val="es-ES_tradnl"/>
              </w:rPr>
            </w:pPr>
            <w:r w:rsidRPr="00B34E6B">
              <w:rPr>
                <w:b/>
                <w:sz w:val="18"/>
                <w:szCs w:val="18"/>
                <w:lang w:val="es-ES_tradnl"/>
              </w:rPr>
              <w:t>JIU/REP/2010/3, “</w:t>
            </w:r>
            <w:r w:rsidR="00D278DA" w:rsidRPr="00D278DA">
              <w:rPr>
                <w:b/>
                <w:sz w:val="18"/>
                <w:szCs w:val="18"/>
                <w:lang w:val="es-ES_tradnl"/>
              </w:rPr>
              <w:t>La ética en el sistema de</w:t>
            </w:r>
            <w:r w:rsidR="00266F99">
              <w:rPr>
                <w:b/>
                <w:sz w:val="18"/>
                <w:szCs w:val="18"/>
                <w:lang w:val="es-ES_tradnl"/>
              </w:rPr>
              <w:t xml:space="preserve"> </w:t>
            </w:r>
            <w:r w:rsidR="00D278DA" w:rsidRPr="00D278DA">
              <w:rPr>
                <w:b/>
                <w:sz w:val="18"/>
                <w:szCs w:val="18"/>
                <w:lang w:val="es-ES_tradnl"/>
              </w:rPr>
              <w:t xml:space="preserve">las </w:t>
            </w:r>
            <w:r w:rsidR="00D278DA">
              <w:rPr>
                <w:b/>
                <w:sz w:val="18"/>
                <w:szCs w:val="18"/>
                <w:lang w:val="es-ES_tradnl"/>
              </w:rPr>
              <w:t>N</w:t>
            </w:r>
            <w:r w:rsidR="00D278DA" w:rsidRPr="00D278DA">
              <w:rPr>
                <w:b/>
                <w:sz w:val="18"/>
                <w:szCs w:val="18"/>
                <w:lang w:val="es-ES_tradnl"/>
              </w:rPr>
              <w:t xml:space="preserve">aciones </w:t>
            </w:r>
            <w:r w:rsidR="00D278DA">
              <w:rPr>
                <w:b/>
                <w:sz w:val="18"/>
                <w:szCs w:val="18"/>
                <w:lang w:val="es-ES_tradnl"/>
              </w:rPr>
              <w:t>U</w:t>
            </w:r>
            <w:r w:rsidR="00D278DA" w:rsidRPr="00D278DA">
              <w:rPr>
                <w:b/>
                <w:sz w:val="18"/>
                <w:szCs w:val="18"/>
                <w:lang w:val="es-ES_tradnl"/>
              </w:rPr>
              <w:t>nidas</w:t>
            </w:r>
            <w:r w:rsidRPr="00B34E6B">
              <w:rPr>
                <w:b/>
                <w:sz w:val="18"/>
                <w:szCs w:val="18"/>
                <w:lang w:val="es-ES_tradnl"/>
              </w:rPr>
              <w:t>”</w:t>
            </w:r>
          </w:p>
          <w:p w:rsidR="009F12BA" w:rsidRPr="00B34E6B" w:rsidRDefault="009F12BA" w:rsidP="00266F99">
            <w:pPr>
              <w:keepNext/>
              <w:jc w:val="center"/>
              <w:rPr>
                <w:b/>
                <w:sz w:val="18"/>
                <w:szCs w:val="18"/>
                <w:lang w:val="es-ES_tradnl"/>
              </w:rPr>
            </w:pPr>
          </w:p>
        </w:tc>
      </w:tr>
      <w:tr w:rsidR="009F12BA" w:rsidRPr="00B34E6B" w:rsidTr="009F12BA">
        <w:tc>
          <w:tcPr>
            <w:tcW w:w="2628" w:type="dxa"/>
          </w:tcPr>
          <w:p w:rsidR="009F12BA" w:rsidRDefault="009F12BA" w:rsidP="00266F99">
            <w:pPr>
              <w:keepNext/>
              <w:rPr>
                <w:sz w:val="18"/>
                <w:szCs w:val="18"/>
                <w:lang w:val="es-ES_tradnl"/>
              </w:rPr>
            </w:pPr>
            <w:r w:rsidRPr="00B34E6B">
              <w:rPr>
                <w:sz w:val="18"/>
                <w:szCs w:val="18"/>
                <w:lang w:val="es-ES_tradnl"/>
              </w:rPr>
              <w:t xml:space="preserve">Rec. 6. </w:t>
            </w:r>
            <w:r w:rsidR="00FB4320" w:rsidRPr="00FB4320">
              <w:rPr>
                <w:sz w:val="18"/>
                <w:szCs w:val="18"/>
                <w:lang w:val="es-ES_tradnl"/>
              </w:rPr>
              <w:t>Los órganos legislativos deberían dar instrucciones a sus respectivos jefes ejecutivos de que establezcan límites a la duración del mandato del jefe de la oficina de ética, que debe ser nombrado por un período no renovable de siete años o no más de dos períodos consecutivos de cuatro o cinco años, sin posibilidad de reempleo en la misma organización.</w:t>
            </w:r>
          </w:p>
          <w:p w:rsidR="00266F99" w:rsidRPr="00B34E6B" w:rsidRDefault="00266F99" w:rsidP="00266F99">
            <w:pPr>
              <w:keepNext/>
              <w:rPr>
                <w:sz w:val="18"/>
                <w:szCs w:val="18"/>
                <w:lang w:val="es-ES_tradnl"/>
              </w:rPr>
            </w:pPr>
          </w:p>
        </w:tc>
        <w:tc>
          <w:tcPr>
            <w:tcW w:w="1350" w:type="dxa"/>
          </w:tcPr>
          <w:p w:rsidR="009F12BA" w:rsidRPr="00B34E6B" w:rsidRDefault="00234343" w:rsidP="00266F99">
            <w:pPr>
              <w:keepNext/>
              <w:rPr>
                <w:sz w:val="18"/>
                <w:szCs w:val="18"/>
                <w:lang w:val="es-ES_tradnl"/>
              </w:rPr>
            </w:pPr>
            <w:r w:rsidRPr="00B34E6B">
              <w:rPr>
                <w:sz w:val="18"/>
                <w:szCs w:val="18"/>
                <w:lang w:val="es-ES_tradnl"/>
              </w:rPr>
              <w:t>Oficial Jefe de Ética Profesional</w:t>
            </w:r>
          </w:p>
        </w:tc>
        <w:tc>
          <w:tcPr>
            <w:tcW w:w="1350" w:type="dxa"/>
          </w:tcPr>
          <w:p w:rsidR="009F12BA" w:rsidRPr="00B34E6B" w:rsidRDefault="00FE7ED5" w:rsidP="00266F99">
            <w:pPr>
              <w:keepNext/>
              <w:rPr>
                <w:sz w:val="18"/>
                <w:szCs w:val="18"/>
                <w:lang w:val="es-ES_tradnl"/>
              </w:rPr>
            </w:pPr>
            <w:r w:rsidRPr="00B34E6B">
              <w:rPr>
                <w:sz w:val="18"/>
                <w:szCs w:val="18"/>
                <w:lang w:val="es-ES_tradnl"/>
              </w:rPr>
              <w:t>A estudio</w:t>
            </w:r>
          </w:p>
        </w:tc>
        <w:tc>
          <w:tcPr>
            <w:tcW w:w="1620" w:type="dxa"/>
          </w:tcPr>
          <w:p w:rsidR="009F12BA" w:rsidRPr="00B34E6B" w:rsidRDefault="009F12BA" w:rsidP="00266F99">
            <w:pPr>
              <w:keepNext/>
              <w:rPr>
                <w:sz w:val="18"/>
                <w:szCs w:val="18"/>
                <w:lang w:val="es-ES_tradnl"/>
              </w:rPr>
            </w:pPr>
          </w:p>
        </w:tc>
        <w:tc>
          <w:tcPr>
            <w:tcW w:w="2628" w:type="dxa"/>
          </w:tcPr>
          <w:p w:rsidR="009F12BA" w:rsidRPr="00B34E6B" w:rsidRDefault="009F12BA" w:rsidP="00266F99">
            <w:pPr>
              <w:keepNext/>
              <w:rPr>
                <w:sz w:val="18"/>
                <w:szCs w:val="18"/>
                <w:lang w:val="es-ES_tradnl"/>
              </w:rPr>
            </w:pPr>
          </w:p>
        </w:tc>
      </w:tr>
      <w:tr w:rsidR="009F12BA" w:rsidRPr="00B34E6B" w:rsidTr="009F12BA">
        <w:trPr>
          <w:trHeight w:val="1520"/>
        </w:trPr>
        <w:tc>
          <w:tcPr>
            <w:tcW w:w="2628" w:type="dxa"/>
          </w:tcPr>
          <w:p w:rsidR="009F12BA" w:rsidRDefault="009F12BA" w:rsidP="001502E4">
            <w:pPr>
              <w:rPr>
                <w:sz w:val="18"/>
                <w:szCs w:val="18"/>
                <w:lang w:val="es-ES_tradnl"/>
              </w:rPr>
            </w:pPr>
            <w:r w:rsidRPr="00B34E6B">
              <w:rPr>
                <w:sz w:val="18"/>
                <w:szCs w:val="18"/>
                <w:lang w:val="es-ES_tradnl"/>
              </w:rPr>
              <w:t xml:space="preserve">Rec. 8. </w:t>
            </w:r>
            <w:r w:rsidR="00FB4320" w:rsidRPr="00FB4320">
              <w:rPr>
                <w:sz w:val="18"/>
                <w:szCs w:val="18"/>
                <w:lang w:val="es-ES_tradnl"/>
              </w:rPr>
              <w:t>Los órganos legislativos deberían dar instrucciones a sus respectivos jefes ejecutivos de que velen por que el jefe de la oficina de ética tenga acceso oficioso a los órganos legislativos y que ello conste por escrito.</w:t>
            </w:r>
          </w:p>
          <w:p w:rsidR="00266F99" w:rsidRPr="00B34E6B" w:rsidRDefault="00266F99" w:rsidP="001502E4">
            <w:pPr>
              <w:rPr>
                <w:sz w:val="18"/>
                <w:szCs w:val="18"/>
                <w:lang w:val="es-ES_tradnl"/>
              </w:rPr>
            </w:pPr>
          </w:p>
        </w:tc>
        <w:tc>
          <w:tcPr>
            <w:tcW w:w="1350" w:type="dxa"/>
          </w:tcPr>
          <w:p w:rsidR="009F12BA" w:rsidRPr="00B34E6B" w:rsidRDefault="00234343">
            <w:pPr>
              <w:rPr>
                <w:sz w:val="18"/>
                <w:szCs w:val="18"/>
                <w:lang w:val="es-ES_tradnl"/>
              </w:rPr>
            </w:pPr>
            <w:r w:rsidRPr="00B34E6B">
              <w:rPr>
                <w:sz w:val="18"/>
                <w:szCs w:val="18"/>
                <w:lang w:val="es-ES_tradnl"/>
              </w:rPr>
              <w:t>Oficial Jefe de Ética Profesional</w:t>
            </w:r>
          </w:p>
        </w:tc>
        <w:tc>
          <w:tcPr>
            <w:tcW w:w="1350" w:type="dxa"/>
          </w:tcPr>
          <w:p w:rsidR="009F12BA" w:rsidRPr="00B34E6B" w:rsidRDefault="00FE7ED5">
            <w:pPr>
              <w:rPr>
                <w:sz w:val="18"/>
                <w:szCs w:val="18"/>
                <w:lang w:val="es-ES_tradnl"/>
              </w:rPr>
            </w:pPr>
            <w:r w:rsidRPr="00B34E6B">
              <w:rPr>
                <w:sz w:val="18"/>
                <w:szCs w:val="18"/>
                <w:lang w:val="es-ES_tradnl"/>
              </w:rPr>
              <w:t>A estudio</w:t>
            </w:r>
            <w:r w:rsidR="009F12BA" w:rsidRPr="00B34E6B">
              <w:rPr>
                <w:sz w:val="18"/>
                <w:szCs w:val="18"/>
                <w:lang w:val="es-ES_tradnl"/>
              </w:rPr>
              <w:t xml:space="preserve"> </w:t>
            </w:r>
          </w:p>
        </w:tc>
        <w:tc>
          <w:tcPr>
            <w:tcW w:w="1620" w:type="dxa"/>
          </w:tcPr>
          <w:p w:rsidR="009F12BA" w:rsidRPr="00B34E6B" w:rsidRDefault="009F12BA">
            <w:pPr>
              <w:rPr>
                <w:sz w:val="18"/>
                <w:szCs w:val="18"/>
                <w:lang w:val="es-ES_tradnl"/>
              </w:rPr>
            </w:pPr>
          </w:p>
        </w:tc>
        <w:tc>
          <w:tcPr>
            <w:tcW w:w="2628" w:type="dxa"/>
          </w:tcPr>
          <w:p w:rsidR="009F12BA" w:rsidRPr="00B34E6B" w:rsidRDefault="009F12BA">
            <w:pPr>
              <w:rPr>
                <w:sz w:val="18"/>
                <w:szCs w:val="18"/>
                <w:lang w:val="es-ES_tradnl"/>
              </w:rPr>
            </w:pPr>
          </w:p>
        </w:tc>
      </w:tr>
      <w:tr w:rsidR="009F12BA" w:rsidRPr="006508B9" w:rsidTr="009F12BA">
        <w:tc>
          <w:tcPr>
            <w:tcW w:w="2628" w:type="dxa"/>
          </w:tcPr>
          <w:p w:rsidR="009F12BA" w:rsidRDefault="009F12BA">
            <w:pPr>
              <w:rPr>
                <w:sz w:val="18"/>
                <w:szCs w:val="18"/>
                <w:lang w:val="es-ES_tradnl"/>
              </w:rPr>
            </w:pPr>
            <w:r w:rsidRPr="00B34E6B">
              <w:rPr>
                <w:sz w:val="18"/>
                <w:szCs w:val="18"/>
                <w:lang w:val="es-ES_tradnl"/>
              </w:rPr>
              <w:t xml:space="preserve">Rec.16. </w:t>
            </w:r>
            <w:r w:rsidR="00FB4320" w:rsidRPr="00FB4320">
              <w:rPr>
                <w:sz w:val="18"/>
                <w:szCs w:val="18"/>
                <w:lang w:val="es-ES_tradnl"/>
              </w:rPr>
              <w:t>Los órganos legislativos deberían dar instrucciones a sus respectivos jefes ejecutivos de que presenten una declaración de su situación financiera, que debería ser examinada de la misma manera que la de los demás funcionarios que están obligados a presentar dichas declaraciones.</w:t>
            </w:r>
          </w:p>
          <w:p w:rsidR="00266F99" w:rsidRPr="00B34E6B" w:rsidRDefault="00266F99">
            <w:pPr>
              <w:rPr>
                <w:sz w:val="18"/>
                <w:szCs w:val="18"/>
                <w:lang w:val="es-ES_tradnl"/>
              </w:rPr>
            </w:pPr>
          </w:p>
        </w:tc>
        <w:tc>
          <w:tcPr>
            <w:tcW w:w="1350" w:type="dxa"/>
          </w:tcPr>
          <w:p w:rsidR="009F12BA" w:rsidRPr="00B34E6B" w:rsidRDefault="00234343">
            <w:pPr>
              <w:rPr>
                <w:sz w:val="18"/>
                <w:szCs w:val="18"/>
                <w:lang w:val="es-ES_tradnl"/>
              </w:rPr>
            </w:pPr>
            <w:r w:rsidRPr="00B34E6B">
              <w:rPr>
                <w:sz w:val="18"/>
                <w:szCs w:val="18"/>
                <w:lang w:val="es-ES_tradnl"/>
              </w:rPr>
              <w:t>Oficial Jefe de Ética Profesional</w:t>
            </w:r>
          </w:p>
        </w:tc>
        <w:tc>
          <w:tcPr>
            <w:tcW w:w="1350" w:type="dxa"/>
          </w:tcPr>
          <w:p w:rsidR="009F12BA" w:rsidRPr="00B34E6B" w:rsidRDefault="00FE7ED5">
            <w:pPr>
              <w:rPr>
                <w:sz w:val="18"/>
                <w:szCs w:val="18"/>
                <w:lang w:val="es-ES_tradnl"/>
              </w:rPr>
            </w:pPr>
            <w:r w:rsidRPr="00B34E6B">
              <w:rPr>
                <w:sz w:val="18"/>
                <w:szCs w:val="18"/>
                <w:lang w:val="es-ES_tradnl"/>
              </w:rPr>
              <w:t>Aceptada</w:t>
            </w:r>
            <w:r w:rsidR="009F12BA" w:rsidRPr="00B34E6B">
              <w:rPr>
                <w:sz w:val="18"/>
                <w:szCs w:val="18"/>
                <w:lang w:val="es-ES_tradnl"/>
              </w:rPr>
              <w:t xml:space="preserve"> </w:t>
            </w:r>
          </w:p>
        </w:tc>
        <w:tc>
          <w:tcPr>
            <w:tcW w:w="1620" w:type="dxa"/>
          </w:tcPr>
          <w:p w:rsidR="009F12BA" w:rsidRPr="00B34E6B" w:rsidRDefault="00FE7ED5">
            <w:pPr>
              <w:rPr>
                <w:sz w:val="18"/>
                <w:szCs w:val="18"/>
                <w:lang w:val="es-ES_tradnl"/>
              </w:rPr>
            </w:pPr>
            <w:r w:rsidRPr="00B34E6B">
              <w:rPr>
                <w:sz w:val="18"/>
                <w:szCs w:val="18"/>
                <w:lang w:val="es-ES_tradnl"/>
              </w:rPr>
              <w:t>Aplicada</w:t>
            </w:r>
          </w:p>
        </w:tc>
        <w:tc>
          <w:tcPr>
            <w:tcW w:w="2628" w:type="dxa"/>
          </w:tcPr>
          <w:p w:rsidR="009F12BA" w:rsidRPr="00B34E6B" w:rsidRDefault="00FB4320">
            <w:pPr>
              <w:rPr>
                <w:sz w:val="18"/>
                <w:szCs w:val="18"/>
                <w:lang w:val="es-ES_tradnl"/>
              </w:rPr>
            </w:pPr>
            <w:r>
              <w:rPr>
                <w:sz w:val="18"/>
                <w:szCs w:val="18"/>
                <w:lang w:val="es-ES_tradnl"/>
              </w:rPr>
              <w:t>La P</w:t>
            </w:r>
            <w:r w:rsidRPr="00FB4320">
              <w:rPr>
                <w:sz w:val="18"/>
                <w:szCs w:val="18"/>
                <w:lang w:val="es-ES_tradnl"/>
              </w:rPr>
              <w:t>olítica de la OMPI de declaración de intereses incumbe también al Director General de la OMPI, según estipula la Orden de servicio de la OMPI Nº 1/2013.</w:t>
            </w:r>
          </w:p>
        </w:tc>
      </w:tr>
    </w:tbl>
    <w:p w:rsidR="00D252C2" w:rsidRPr="00B34E6B" w:rsidRDefault="00D252C2">
      <w:pPr>
        <w:rPr>
          <w:sz w:val="18"/>
          <w:szCs w:val="18"/>
          <w:lang w:val="es-ES_tradnl"/>
        </w:rPr>
      </w:pPr>
    </w:p>
    <w:p w:rsidR="002B1FF8" w:rsidRPr="00B34E6B" w:rsidRDefault="002B1FF8" w:rsidP="00D252C2">
      <w:pPr>
        <w:rPr>
          <w:lang w:val="es-ES_tradnl"/>
        </w:rPr>
      </w:pPr>
    </w:p>
    <w:p w:rsidR="00556E39" w:rsidRPr="00B34E6B" w:rsidRDefault="00556E39" w:rsidP="00D252C2">
      <w:pPr>
        <w:rPr>
          <w:lang w:val="es-ES_tradnl"/>
        </w:rPr>
      </w:pPr>
      <w:r w:rsidRPr="00B34E6B">
        <w:rPr>
          <w:noProof/>
          <w:sz w:val="18"/>
          <w:szCs w:val="18"/>
          <w:lang w:eastAsia="en-US"/>
        </w:rPr>
        <mc:AlternateContent>
          <mc:Choice Requires="wps">
            <w:drawing>
              <wp:anchor distT="0" distB="0" distL="114300" distR="114300" simplePos="0" relativeHeight="251659264" behindDoc="0" locked="0" layoutInCell="1" allowOverlap="1" wp14:anchorId="353258C1" wp14:editId="6783A67F">
                <wp:simplePos x="0" y="0"/>
                <wp:positionH relativeFrom="column">
                  <wp:posOffset>3213100</wp:posOffset>
                </wp:positionH>
                <wp:positionV relativeFrom="paragraph">
                  <wp:posOffset>166370</wp:posOffset>
                </wp:positionV>
                <wp:extent cx="2292350" cy="48387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0" cy="483870"/>
                        </a:xfrm>
                        <a:prstGeom prst="rect">
                          <a:avLst/>
                        </a:prstGeom>
                        <a:solidFill>
                          <a:srgbClr val="FFFFFF"/>
                        </a:solidFill>
                        <a:ln w="9525">
                          <a:noFill/>
                          <a:miter lim="800000"/>
                          <a:headEnd/>
                          <a:tailEnd/>
                        </a:ln>
                      </wps:spPr>
                      <wps:txbx>
                        <w:txbxContent>
                          <w:p w:rsidR="00D252C2" w:rsidRPr="000C1395" w:rsidRDefault="00D252C2">
                            <w:pPr>
                              <w:rPr>
                                <w:lang w:val="es-ES"/>
                              </w:rPr>
                            </w:pPr>
                            <w:r w:rsidRPr="000C1395">
                              <w:rPr>
                                <w:lang w:val="es-ES"/>
                              </w:rPr>
                              <w:t>[</w:t>
                            </w:r>
                            <w:r w:rsidR="00BC663F" w:rsidRPr="000C1395">
                              <w:rPr>
                                <w:lang w:val="es-ES"/>
                              </w:rPr>
                              <w:t xml:space="preserve">Fin del </w:t>
                            </w:r>
                            <w:r w:rsidRPr="000C1395">
                              <w:rPr>
                                <w:lang w:val="es-ES"/>
                              </w:rPr>
                              <w:t>A</w:t>
                            </w:r>
                            <w:r w:rsidR="00BC663F" w:rsidRPr="000C1395">
                              <w:rPr>
                                <w:lang w:val="es-ES"/>
                              </w:rPr>
                              <w:t>n</w:t>
                            </w:r>
                            <w:r w:rsidRPr="000C1395">
                              <w:rPr>
                                <w:lang w:val="es-ES"/>
                              </w:rPr>
                              <w:t>ex</w:t>
                            </w:r>
                            <w:r w:rsidR="00BC663F" w:rsidRPr="000C1395">
                              <w:rPr>
                                <w:lang w:val="es-ES"/>
                              </w:rPr>
                              <w:t>o</w:t>
                            </w:r>
                            <w:r w:rsidRPr="000C1395">
                              <w:rPr>
                                <w:lang w:val="es-ES"/>
                              </w:rPr>
                              <w:t xml:space="preserve"> </w:t>
                            </w:r>
                            <w:r w:rsidR="00BC663F" w:rsidRPr="000C1395">
                              <w:rPr>
                                <w:lang w:val="es-ES"/>
                              </w:rPr>
                              <w:t xml:space="preserve">y del </w:t>
                            </w:r>
                            <w:r w:rsidRPr="000C1395">
                              <w:rPr>
                                <w:lang w:val="es-ES"/>
                              </w:rPr>
                              <w:t>document</w:t>
                            </w:r>
                            <w:r w:rsidR="00BC663F" w:rsidRPr="000C1395">
                              <w:rPr>
                                <w:lang w:val="es-ES"/>
                              </w:rPr>
                              <w:t>o</w:t>
                            </w:r>
                            <w:r w:rsidRPr="000C1395">
                              <w:rPr>
                                <w:lang w:val="es-E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3pt;margin-top:13.1pt;width:180.5pt;height:3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" stroked="f">
                <v:textbox>
                  <w:txbxContent>
                    <w:p w:rsidR="00D252C2" w:rsidRPr="002F3243" w:rsidRDefault="00D252C2">
                      <w:r w:rsidRPr="002F3243">
                        <w:t>[</w:t>
                      </w:r>
                      <w:r w:rsidR="00BC663F">
                        <w:t xml:space="preserve">Fin del </w:t>
                      </w:r>
                      <w:r w:rsidRPr="002F3243">
                        <w:t>A</w:t>
                      </w:r>
                      <w:r w:rsidR="00BC663F">
                        <w:t>n</w:t>
                      </w:r>
                      <w:r>
                        <w:t>ex</w:t>
                      </w:r>
                      <w:r w:rsidR="00BC663F">
                        <w:t>o</w:t>
                      </w:r>
                      <w:r>
                        <w:t xml:space="preserve"> </w:t>
                      </w:r>
                      <w:r w:rsidR="00BC663F">
                        <w:t xml:space="preserve">y del </w:t>
                      </w:r>
                      <w:r w:rsidRPr="002F3243">
                        <w:t>document</w:t>
                      </w:r>
                      <w:r w:rsidR="00BC663F">
                        <w:t>o</w:t>
                      </w:r>
                      <w:r w:rsidRPr="002F3243">
                        <w:t>]</w:t>
                      </w:r>
                    </w:p>
                  </w:txbxContent>
                </v:textbox>
              </v:shape>
            </w:pict>
          </mc:Fallback>
        </mc:AlternateContent>
      </w:r>
    </w:p>
    <w:sectPr w:rsidR="00556E39" w:rsidRPr="00B34E6B" w:rsidSect="00D252C2">
      <w:headerReference w:type="default" r:id="rId15"/>
      <w:footerReference w:type="default" r:id="rId16"/>
      <w:headerReference w:type="first" r:id="rId17"/>
      <w:footerReference w:type="first" r:id="rId18"/>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B5D" w:rsidRDefault="00692B5D">
      <w:r>
        <w:separator/>
      </w:r>
    </w:p>
  </w:endnote>
  <w:endnote w:type="continuationSeparator" w:id="0">
    <w:p w:rsidR="00692B5D" w:rsidRDefault="00692B5D" w:rsidP="003B38C1">
      <w:r>
        <w:separator/>
      </w:r>
    </w:p>
    <w:p w:rsidR="00692B5D" w:rsidRPr="003B38C1" w:rsidRDefault="00692B5D" w:rsidP="003B38C1">
      <w:pPr>
        <w:spacing w:after="60"/>
        <w:rPr>
          <w:sz w:val="17"/>
        </w:rPr>
      </w:pPr>
      <w:r>
        <w:rPr>
          <w:sz w:val="17"/>
        </w:rPr>
        <w:t>[Endnote continued from previous page]</w:t>
      </w:r>
    </w:p>
  </w:endnote>
  <w:endnote w:type="continuationNotice" w:id="1">
    <w:p w:rsidR="00692B5D" w:rsidRPr="003B38C1" w:rsidRDefault="00692B5D"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FE" w:rsidRDefault="006508B9" w:rsidP="009D7D01"/>
  <w:p w:rsidR="001408FE" w:rsidRDefault="006508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8FE" w:rsidRDefault="006508B9" w:rsidP="009D7D01">
    <w:pPr>
      <w:jc w:val="center"/>
      <w:rPr>
        <w:color w:val="C00000"/>
      </w:rPr>
    </w:pPr>
  </w:p>
  <w:p w:rsidR="001408FE" w:rsidRDefault="00650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B5D" w:rsidRDefault="00692B5D">
      <w:r>
        <w:separator/>
      </w:r>
    </w:p>
  </w:footnote>
  <w:footnote w:type="continuationSeparator" w:id="0">
    <w:p w:rsidR="00692B5D" w:rsidRDefault="00692B5D" w:rsidP="008B60B2">
      <w:r>
        <w:separator/>
      </w:r>
    </w:p>
    <w:p w:rsidR="00692B5D" w:rsidRPr="00ED77FB" w:rsidRDefault="00692B5D" w:rsidP="008B60B2">
      <w:pPr>
        <w:spacing w:after="60"/>
        <w:rPr>
          <w:sz w:val="17"/>
          <w:szCs w:val="17"/>
        </w:rPr>
      </w:pPr>
      <w:r w:rsidRPr="00ED77FB">
        <w:rPr>
          <w:sz w:val="17"/>
          <w:szCs w:val="17"/>
        </w:rPr>
        <w:t>[Footnote continued from previous page]</w:t>
      </w:r>
    </w:p>
  </w:footnote>
  <w:footnote w:type="continuationNotice" w:id="1">
    <w:p w:rsidR="00692B5D" w:rsidRPr="00ED77FB" w:rsidRDefault="00692B5D"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522489" w:rsidRDefault="00CB33B1" w:rsidP="00477D6B">
    <w:pPr>
      <w:jc w:val="right"/>
      <w:rPr>
        <w:lang w:val="es-ES"/>
      </w:rPr>
    </w:pPr>
    <w:bookmarkStart w:id="6" w:name="Code2"/>
    <w:bookmarkEnd w:id="6"/>
    <w:r w:rsidRPr="00522489">
      <w:rPr>
        <w:lang w:val="es-ES"/>
      </w:rPr>
      <w:t>WO/PBC/22/23</w:t>
    </w:r>
  </w:p>
  <w:p w:rsidR="00EC4E49" w:rsidRPr="00522489" w:rsidRDefault="00EC4E49" w:rsidP="00477D6B">
    <w:pPr>
      <w:jc w:val="right"/>
      <w:rPr>
        <w:lang w:val="es-ES"/>
      </w:rPr>
    </w:pPr>
    <w:r w:rsidRPr="00522489">
      <w:rPr>
        <w:lang w:val="es-ES"/>
      </w:rPr>
      <w:t>p</w:t>
    </w:r>
    <w:r w:rsidR="00522489">
      <w:rPr>
        <w:lang w:val="es-ES"/>
      </w:rPr>
      <w:t>ágina</w:t>
    </w:r>
    <w:r w:rsidRPr="00522489">
      <w:rPr>
        <w:lang w:val="es-ES"/>
      </w:rPr>
      <w:t xml:space="preserve"> </w:t>
    </w:r>
    <w:r w:rsidRPr="00522489">
      <w:rPr>
        <w:lang w:val="es-ES"/>
      </w:rPr>
      <w:fldChar w:fldCharType="begin"/>
    </w:r>
    <w:r w:rsidRPr="00522489">
      <w:rPr>
        <w:lang w:val="es-ES"/>
      </w:rPr>
      <w:instrText xml:space="preserve"> PAGE  \* MERGEFORMAT </w:instrText>
    </w:r>
    <w:r w:rsidRPr="00522489">
      <w:rPr>
        <w:lang w:val="es-ES"/>
      </w:rPr>
      <w:fldChar w:fldCharType="separate"/>
    </w:r>
    <w:r w:rsidR="006508B9">
      <w:rPr>
        <w:noProof/>
        <w:lang w:val="es-ES"/>
      </w:rPr>
      <w:t>2</w:t>
    </w:r>
    <w:r w:rsidRPr="00522489">
      <w:rPr>
        <w:lang w:val="es-ES"/>
      </w:rPr>
      <w:fldChar w:fldCharType="end"/>
    </w:r>
  </w:p>
  <w:p w:rsidR="00EC4E49" w:rsidRPr="00522489" w:rsidRDefault="00EC4E49" w:rsidP="00477D6B">
    <w:pP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3D77" w:rsidRPr="008A58E7" w:rsidRDefault="00D252C2" w:rsidP="00BC3D77">
    <w:pPr>
      <w:pStyle w:val="Header"/>
      <w:jc w:val="right"/>
      <w:rPr>
        <w:lang w:val="es-ES"/>
      </w:rPr>
    </w:pPr>
    <w:r w:rsidRPr="008A58E7">
      <w:rPr>
        <w:lang w:val="es-ES"/>
      </w:rPr>
      <w:t>WO/PBC/22/23</w:t>
    </w:r>
  </w:p>
  <w:p w:rsidR="00BC3D77" w:rsidRPr="008A58E7" w:rsidRDefault="005B2D34" w:rsidP="00BC3D77">
    <w:pPr>
      <w:pStyle w:val="Header"/>
      <w:jc w:val="right"/>
      <w:rPr>
        <w:lang w:val="es-ES"/>
      </w:rPr>
    </w:pPr>
    <w:r w:rsidRPr="008A58E7">
      <w:rPr>
        <w:lang w:val="es-ES"/>
      </w:rPr>
      <w:t>Anex</w:t>
    </w:r>
    <w:r w:rsidR="008A58E7" w:rsidRPr="008A58E7">
      <w:rPr>
        <w:lang w:val="es-ES"/>
      </w:rPr>
      <w:t>o</w:t>
    </w:r>
    <w:r w:rsidRPr="008A58E7">
      <w:rPr>
        <w:lang w:val="es-ES"/>
      </w:rPr>
      <w:t xml:space="preserve">, </w:t>
    </w:r>
    <w:r w:rsidR="00DD3C45" w:rsidRPr="008A58E7">
      <w:rPr>
        <w:lang w:val="es-ES"/>
      </w:rPr>
      <w:t>p</w:t>
    </w:r>
    <w:r w:rsidR="008A58E7" w:rsidRPr="008A58E7">
      <w:rPr>
        <w:lang w:val="es-ES"/>
      </w:rPr>
      <w:t>ágina</w:t>
    </w:r>
    <w:r w:rsidRPr="008A58E7">
      <w:rPr>
        <w:lang w:val="es-ES"/>
      </w:rPr>
      <w:t xml:space="preserve"> </w:t>
    </w:r>
    <w:sdt>
      <w:sdtPr>
        <w:rPr>
          <w:lang w:val="es-ES"/>
        </w:rPr>
        <w:id w:val="-268541166"/>
        <w:docPartObj>
          <w:docPartGallery w:val="Page Numbers (Top of Page)"/>
          <w:docPartUnique/>
        </w:docPartObj>
      </w:sdtPr>
      <w:sdtEndPr>
        <w:rPr>
          <w:noProof/>
        </w:rPr>
      </w:sdtEndPr>
      <w:sdtContent>
        <w:r w:rsidRPr="008A58E7">
          <w:rPr>
            <w:lang w:val="es-ES"/>
          </w:rPr>
          <w:fldChar w:fldCharType="begin"/>
        </w:r>
        <w:r w:rsidRPr="008A58E7">
          <w:rPr>
            <w:lang w:val="es-ES"/>
          </w:rPr>
          <w:instrText xml:space="preserve"> PAGE   \* MERGEFORMAT </w:instrText>
        </w:r>
        <w:r w:rsidRPr="008A58E7">
          <w:rPr>
            <w:lang w:val="es-ES"/>
          </w:rPr>
          <w:fldChar w:fldCharType="separate"/>
        </w:r>
        <w:r w:rsidR="006508B9">
          <w:rPr>
            <w:noProof/>
            <w:lang w:val="es-ES"/>
          </w:rPr>
          <w:t>9</w:t>
        </w:r>
        <w:r w:rsidRPr="008A58E7">
          <w:rPr>
            <w:noProof/>
            <w:lang w:val="es-ES"/>
          </w:rPr>
          <w:fldChar w:fldCharType="end"/>
        </w:r>
      </w:sdtContent>
    </w:sdt>
  </w:p>
  <w:p w:rsidR="001408FE" w:rsidRPr="008A58E7" w:rsidRDefault="006508B9" w:rsidP="006D7D80">
    <w:pPr>
      <w:pStyle w:val="Header"/>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3A2D" w:rsidRPr="00522489" w:rsidRDefault="005B2D34" w:rsidP="00D252C2">
    <w:pPr>
      <w:pStyle w:val="Header"/>
      <w:ind w:left="3240" w:firstLine="4500"/>
      <w:jc w:val="right"/>
      <w:rPr>
        <w:lang w:val="es-ES"/>
      </w:rPr>
    </w:pPr>
    <w:r w:rsidRPr="00522489">
      <w:rPr>
        <w:lang w:val="es-ES"/>
      </w:rPr>
      <w:t>WO/PBC/22/</w:t>
    </w:r>
    <w:r w:rsidR="001F18C2" w:rsidRPr="00522489">
      <w:rPr>
        <w:lang w:val="es-ES"/>
      </w:rPr>
      <w:t>23</w:t>
    </w:r>
    <w:r w:rsidR="00DD3C45" w:rsidRPr="00522489">
      <w:rPr>
        <w:lang w:val="es-ES"/>
      </w:rPr>
      <w:t>ANEX</w:t>
    </w:r>
    <w:r w:rsidR="00522489" w:rsidRPr="00522489">
      <w:rPr>
        <w:lang w:val="es-ES"/>
      </w:rPr>
      <w:t>O</w:t>
    </w:r>
  </w:p>
  <w:p w:rsidR="00EA4539" w:rsidRPr="00522489" w:rsidRDefault="006508B9" w:rsidP="003C2A5E">
    <w:pPr>
      <w:pStyle w:val="Header"/>
      <w:ind w:left="3240" w:firstLine="4680"/>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2E7833"/>
    <w:multiLevelType w:val="hybridMultilevel"/>
    <w:tmpl w:val="4878A620"/>
    <w:lvl w:ilvl="0" w:tplc="33D4D0B4">
      <w:start w:val="1"/>
      <w:numFmt w:val="decimal"/>
      <w:lvlText w:val="%1."/>
      <w:lvlJc w:val="left"/>
      <w:pPr>
        <w:ind w:left="930" w:hanging="570"/>
      </w:pPr>
      <w:rPr>
        <w:rFonts w:hint="default"/>
      </w:rPr>
    </w:lvl>
    <w:lvl w:ilvl="1" w:tplc="04090017">
      <w:start w:val="1"/>
      <w:numFmt w:val="lowerLetter"/>
      <w:lvlText w:val="%2)"/>
      <w:lvlJc w:val="left"/>
      <w:pPr>
        <w:ind w:left="1440" w:hanging="360"/>
      </w:pPr>
      <w:rPr>
        <w:rFonts w:hint="default"/>
        <w:lang w:val="es-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2042081"/>
    <w:multiLevelType w:val="multilevel"/>
    <w:tmpl w:val="16E2542E"/>
    <w:lvl w:ilvl="0">
      <w:start w:val="1"/>
      <w:numFmt w:val="decimal"/>
      <w:lvlText w:val="%1."/>
      <w:lvlJc w:val="left"/>
      <w:pPr>
        <w:ind w:left="930" w:hanging="57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0"/>
  </w:num>
  <w:num w:numId="4">
    <w:abstractNumId w:val="6"/>
  </w:num>
  <w:num w:numId="5">
    <w:abstractNumId w:val="1"/>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3B1"/>
    <w:rsid w:val="00000814"/>
    <w:rsid w:val="0001226D"/>
    <w:rsid w:val="00032B9D"/>
    <w:rsid w:val="00043CAA"/>
    <w:rsid w:val="00044498"/>
    <w:rsid w:val="00075432"/>
    <w:rsid w:val="000875A1"/>
    <w:rsid w:val="000968ED"/>
    <w:rsid w:val="000A472D"/>
    <w:rsid w:val="000B5F41"/>
    <w:rsid w:val="000B6436"/>
    <w:rsid w:val="000C1395"/>
    <w:rsid w:val="000F5E56"/>
    <w:rsid w:val="00105436"/>
    <w:rsid w:val="001362EE"/>
    <w:rsid w:val="001459D6"/>
    <w:rsid w:val="00157599"/>
    <w:rsid w:val="00164B91"/>
    <w:rsid w:val="001737D1"/>
    <w:rsid w:val="001832A6"/>
    <w:rsid w:val="00190B93"/>
    <w:rsid w:val="001F18C2"/>
    <w:rsid w:val="001F24AE"/>
    <w:rsid w:val="00217F23"/>
    <w:rsid w:val="00234343"/>
    <w:rsid w:val="002361BA"/>
    <w:rsid w:val="00237761"/>
    <w:rsid w:val="00241913"/>
    <w:rsid w:val="00263414"/>
    <w:rsid w:val="00263484"/>
    <w:rsid w:val="002634C4"/>
    <w:rsid w:val="00264B8B"/>
    <w:rsid w:val="00266F99"/>
    <w:rsid w:val="00272702"/>
    <w:rsid w:val="0028483A"/>
    <w:rsid w:val="002928D3"/>
    <w:rsid w:val="002B1FF8"/>
    <w:rsid w:val="002B4199"/>
    <w:rsid w:val="002F1FE6"/>
    <w:rsid w:val="002F4E68"/>
    <w:rsid w:val="00312119"/>
    <w:rsid w:val="00312F7F"/>
    <w:rsid w:val="0034556E"/>
    <w:rsid w:val="00360432"/>
    <w:rsid w:val="00361450"/>
    <w:rsid w:val="0036686B"/>
    <w:rsid w:val="003673CF"/>
    <w:rsid w:val="003845C1"/>
    <w:rsid w:val="003A612E"/>
    <w:rsid w:val="003A6F89"/>
    <w:rsid w:val="003B38C1"/>
    <w:rsid w:val="003C200B"/>
    <w:rsid w:val="00423E3E"/>
    <w:rsid w:val="00427AF4"/>
    <w:rsid w:val="00440FC7"/>
    <w:rsid w:val="00450047"/>
    <w:rsid w:val="004647DA"/>
    <w:rsid w:val="00474062"/>
    <w:rsid w:val="00477D6B"/>
    <w:rsid w:val="004C0F47"/>
    <w:rsid w:val="004C561D"/>
    <w:rsid w:val="005019FF"/>
    <w:rsid w:val="00507135"/>
    <w:rsid w:val="00522489"/>
    <w:rsid w:val="0053057A"/>
    <w:rsid w:val="00556E39"/>
    <w:rsid w:val="00560A29"/>
    <w:rsid w:val="00591E3C"/>
    <w:rsid w:val="005B2D34"/>
    <w:rsid w:val="005C6649"/>
    <w:rsid w:val="005E7546"/>
    <w:rsid w:val="00605827"/>
    <w:rsid w:val="0061702C"/>
    <w:rsid w:val="00623BAF"/>
    <w:rsid w:val="00637083"/>
    <w:rsid w:val="00646050"/>
    <w:rsid w:val="006508B9"/>
    <w:rsid w:val="006665AE"/>
    <w:rsid w:val="006713CA"/>
    <w:rsid w:val="00676C5C"/>
    <w:rsid w:val="00677ECD"/>
    <w:rsid w:val="00692B5D"/>
    <w:rsid w:val="006F2C04"/>
    <w:rsid w:val="007132D7"/>
    <w:rsid w:val="007709FD"/>
    <w:rsid w:val="007761E4"/>
    <w:rsid w:val="007D1439"/>
    <w:rsid w:val="007D1613"/>
    <w:rsid w:val="007D1F18"/>
    <w:rsid w:val="00850569"/>
    <w:rsid w:val="00875034"/>
    <w:rsid w:val="00881E2F"/>
    <w:rsid w:val="00882A9B"/>
    <w:rsid w:val="008A58E7"/>
    <w:rsid w:val="008B2CC1"/>
    <w:rsid w:val="008B60B2"/>
    <w:rsid w:val="0090731E"/>
    <w:rsid w:val="00911B2D"/>
    <w:rsid w:val="00916EE2"/>
    <w:rsid w:val="00937E96"/>
    <w:rsid w:val="009632FA"/>
    <w:rsid w:val="00966A22"/>
    <w:rsid w:val="0096722F"/>
    <w:rsid w:val="00977148"/>
    <w:rsid w:val="00980843"/>
    <w:rsid w:val="009C4662"/>
    <w:rsid w:val="009E2791"/>
    <w:rsid w:val="009E3F6F"/>
    <w:rsid w:val="009F12BA"/>
    <w:rsid w:val="009F499F"/>
    <w:rsid w:val="00A40716"/>
    <w:rsid w:val="00A42DAF"/>
    <w:rsid w:val="00A45BD8"/>
    <w:rsid w:val="00A53211"/>
    <w:rsid w:val="00A869B7"/>
    <w:rsid w:val="00AC205C"/>
    <w:rsid w:val="00AF0A6B"/>
    <w:rsid w:val="00B05A69"/>
    <w:rsid w:val="00B34E6B"/>
    <w:rsid w:val="00B44F77"/>
    <w:rsid w:val="00B9734B"/>
    <w:rsid w:val="00BB58F1"/>
    <w:rsid w:val="00BC663F"/>
    <w:rsid w:val="00C11BFE"/>
    <w:rsid w:val="00C54E21"/>
    <w:rsid w:val="00C64D0E"/>
    <w:rsid w:val="00C83BBF"/>
    <w:rsid w:val="00CB33B1"/>
    <w:rsid w:val="00CC4AF2"/>
    <w:rsid w:val="00CC7F0D"/>
    <w:rsid w:val="00D15A81"/>
    <w:rsid w:val="00D235FE"/>
    <w:rsid w:val="00D24317"/>
    <w:rsid w:val="00D252C2"/>
    <w:rsid w:val="00D2564D"/>
    <w:rsid w:val="00D278DA"/>
    <w:rsid w:val="00D30167"/>
    <w:rsid w:val="00D338E6"/>
    <w:rsid w:val="00D36B5D"/>
    <w:rsid w:val="00D406AA"/>
    <w:rsid w:val="00D45252"/>
    <w:rsid w:val="00D46522"/>
    <w:rsid w:val="00D71B4D"/>
    <w:rsid w:val="00D87FA8"/>
    <w:rsid w:val="00D93D55"/>
    <w:rsid w:val="00DB6913"/>
    <w:rsid w:val="00DD3C45"/>
    <w:rsid w:val="00E207BB"/>
    <w:rsid w:val="00E335FE"/>
    <w:rsid w:val="00E4720A"/>
    <w:rsid w:val="00E52BDB"/>
    <w:rsid w:val="00EC4E49"/>
    <w:rsid w:val="00ED77FB"/>
    <w:rsid w:val="00EE221A"/>
    <w:rsid w:val="00EE45FA"/>
    <w:rsid w:val="00F31144"/>
    <w:rsid w:val="00F551D1"/>
    <w:rsid w:val="00F66152"/>
    <w:rsid w:val="00FB4320"/>
    <w:rsid w:val="00FC1370"/>
    <w:rsid w:val="00FC4A80"/>
    <w:rsid w:val="00FD1545"/>
    <w:rsid w:val="00FD6361"/>
    <w:rsid w:val="00FE0614"/>
    <w:rsid w:val="00FE7ED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3484"/>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tabs>
        <w:tab w:val="clear" w:pos="567"/>
        <w:tab w:val="num" w:pos="360"/>
      </w:tabs>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CB33B1"/>
    <w:pPr>
      <w:ind w:left="720"/>
      <w:contextualSpacing/>
    </w:pPr>
  </w:style>
  <w:style w:type="paragraph" w:styleId="BalloonText">
    <w:name w:val="Balloon Text"/>
    <w:basedOn w:val="Normal"/>
    <w:link w:val="BalloonTextChar"/>
    <w:rsid w:val="00237761"/>
    <w:rPr>
      <w:rFonts w:ascii="Tahoma" w:hAnsi="Tahoma" w:cs="Tahoma"/>
      <w:sz w:val="16"/>
      <w:szCs w:val="16"/>
    </w:rPr>
  </w:style>
  <w:style w:type="character" w:customStyle="1" w:styleId="BalloonTextChar">
    <w:name w:val="Balloon Text Char"/>
    <w:basedOn w:val="DefaultParagraphFont"/>
    <w:link w:val="BalloonText"/>
    <w:rsid w:val="00237761"/>
    <w:rPr>
      <w:rFonts w:ascii="Tahoma" w:eastAsia="SimSun" w:hAnsi="Tahoma" w:cs="Tahoma"/>
      <w:sz w:val="16"/>
      <w:szCs w:val="16"/>
      <w:lang w:eastAsia="zh-CN"/>
    </w:rPr>
  </w:style>
  <w:style w:type="table" w:styleId="TableGrid">
    <w:name w:val="Table Grid"/>
    <w:basedOn w:val="TableNormal"/>
    <w:uiPriority w:val="59"/>
    <w:rsid w:val="00D252C2"/>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rsid w:val="00D252C2"/>
    <w:rPr>
      <w:rFonts w:ascii="Arial" w:eastAsia="SimSun" w:hAnsi="Arial" w:cs="Arial"/>
      <w:sz w:val="22"/>
      <w:lang w:eastAsia="zh-CN"/>
    </w:rPr>
  </w:style>
  <w:style w:type="character" w:customStyle="1" w:styleId="FooterChar">
    <w:name w:val="Footer Char"/>
    <w:basedOn w:val="DefaultParagraphFont"/>
    <w:link w:val="Footer"/>
    <w:uiPriority w:val="99"/>
    <w:rsid w:val="00D252C2"/>
    <w:rPr>
      <w:rFonts w:ascii="Arial" w:eastAsia="SimSun" w:hAnsi="Arial" w:cs="Arial"/>
      <w:sz w:val="22"/>
      <w:lang w:eastAsia="zh-CN"/>
    </w:rPr>
  </w:style>
  <w:style w:type="character" w:styleId="Hyperlink">
    <w:name w:val="Hyperlink"/>
    <w:basedOn w:val="DefaultParagraphFont"/>
    <w:uiPriority w:val="99"/>
    <w:unhideWhenUsed/>
    <w:rsid w:val="00D252C2"/>
    <w:rPr>
      <w:color w:val="0000FF"/>
      <w:u w:val="single"/>
    </w:rPr>
  </w:style>
  <w:style w:type="paragraph" w:customStyle="1" w:styleId="Bodydrafting">
    <w:name w:val="Body drafting"/>
    <w:basedOn w:val="Normal"/>
    <w:uiPriority w:val="99"/>
    <w:rsid w:val="00D252C2"/>
    <w:pPr>
      <w:spacing w:before="120" w:after="120"/>
      <w:jc w:val="both"/>
    </w:pPr>
    <w:rPr>
      <w:rFonts w:ascii="Times New Roman" w:eastAsia="Times New Roman" w:hAnsi="Times New Roman" w:cs="Times New Roman"/>
      <w:szCs w:val="24"/>
      <w:lang w:eastAsia="en-US"/>
    </w:rPr>
  </w:style>
  <w:style w:type="character" w:customStyle="1" w:styleId="s">
    <w:name w:val="s"/>
    <w:basedOn w:val="DefaultParagraphFont"/>
    <w:rsid w:val="007761E4"/>
  </w:style>
  <w:style w:type="paragraph" w:customStyle="1" w:styleId="Default">
    <w:name w:val="Default"/>
    <w:rsid w:val="00882A9B"/>
    <w:pPr>
      <w:autoSpaceDE w:val="0"/>
      <w:autoSpaceDN w:val="0"/>
      <w:adjustRightInd w:val="0"/>
    </w:pPr>
    <w:rPr>
      <w:color w:val="000000"/>
      <w:sz w:val="24"/>
      <w:szCs w:val="24"/>
    </w:rPr>
  </w:style>
  <w:style w:type="character" w:styleId="FollowedHyperlink">
    <w:name w:val="FollowedHyperlink"/>
    <w:basedOn w:val="DefaultParagraphFont"/>
    <w:rsid w:val="00CC7F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ipo.int/edocs/mdocs/mdocs/es/cdip_13/cdip_13_summary.pdf"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ipo.int/edocs/mdocs/mdocs/es/cdip_13/cdip_13_4.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edocs/mdocs/mdocs/es/cdip_13/cdip_13_summary.pdf"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wipo.int/edocs/mdocs/mdocs/es/cdip_13/cdip_13_4.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BUDGET\WO%20PBC%2022%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9C306-708C-4738-9A72-AF5500017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PBC 22 (E)</Template>
  <TotalTime>474</TotalTime>
  <Pages>11</Pages>
  <Words>3642</Words>
  <Characters>20242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Informe sobre la marcha de la aplicación de las recomendaciones de la Dependencia Común de Inspección (DCI) dirigidas a los órgnanos legislativos de la OMPI</vt:lpstr>
    </vt:vector>
  </TitlesOfParts>
  <Company>WIPO</Company>
  <LinksUpToDate>false</LinksUpToDate>
  <CharactersWithSpaces>23837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sobre la marcha de la aplicación de las recomendaciones de la Dependencia Común de Inspección (DCI) dirigidas a los órganos legislativos de la OMPI</dc:title>
  <dc:subject>WO/PBC/22/23</dc:subject>
  <dc:creator>HALLER</dc:creator>
  <cp:keywords>implementation, JIU recommendations</cp:keywords>
  <dc:description>MH/JC
17/07/2014</dc:description>
  <cp:lastModifiedBy>NETTER Iza</cp:lastModifiedBy>
  <cp:revision>48</cp:revision>
  <cp:lastPrinted>2014-07-14T11:48:00Z</cp:lastPrinted>
  <dcterms:created xsi:type="dcterms:W3CDTF">2014-07-17T08:09:00Z</dcterms:created>
  <dcterms:modified xsi:type="dcterms:W3CDTF">2014-07-25T07:52:00Z</dcterms:modified>
  <cp:contentStatus/>
</cp:coreProperties>
</file>