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921576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21576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1" w:name="Code"/>
            <w:bookmarkEnd w:id="1"/>
            <w:r w:rsidR="00332AF0">
              <w:rPr>
                <w:rFonts w:ascii="Arial Black" w:hAnsi="Arial Black"/>
                <w:caps/>
                <w:sz w:val="15"/>
              </w:rPr>
              <w:t>13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332AF0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332AF0">
              <w:rPr>
                <w:rFonts w:ascii="Arial Black" w:hAnsi="Arial Black"/>
                <w:caps/>
                <w:sz w:val="15"/>
              </w:rPr>
              <w:t>4 DE AGOSTO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21576" w:rsidRPr="002D4995" w:rsidRDefault="00921576" w:rsidP="00921576">
      <w:pPr>
        <w:rPr>
          <w:b/>
          <w:sz w:val="28"/>
          <w:szCs w:val="28"/>
        </w:rPr>
      </w:pPr>
      <w:r w:rsidRPr="002D4995">
        <w:rPr>
          <w:b/>
          <w:sz w:val="28"/>
          <w:szCs w:val="28"/>
        </w:rPr>
        <w:t>Comité del Programa y Presupuesto</w:t>
      </w:r>
    </w:p>
    <w:p w:rsidR="003845C1" w:rsidRPr="002D4995" w:rsidRDefault="003845C1" w:rsidP="003845C1"/>
    <w:p w:rsidR="003845C1" w:rsidRPr="002D4995" w:rsidRDefault="003845C1" w:rsidP="003845C1"/>
    <w:p w:rsidR="00921576" w:rsidRPr="002D4995" w:rsidRDefault="00921576" w:rsidP="00921576">
      <w:pPr>
        <w:rPr>
          <w:b/>
          <w:sz w:val="24"/>
          <w:szCs w:val="24"/>
        </w:rPr>
      </w:pPr>
      <w:r w:rsidRPr="002D4995">
        <w:rPr>
          <w:b/>
          <w:sz w:val="24"/>
          <w:szCs w:val="24"/>
        </w:rPr>
        <w:t>Vigésima segunda sesión</w:t>
      </w:r>
    </w:p>
    <w:p w:rsidR="00921576" w:rsidRPr="002D4995" w:rsidRDefault="00921576" w:rsidP="00921576">
      <w:pPr>
        <w:rPr>
          <w:b/>
          <w:sz w:val="24"/>
          <w:szCs w:val="24"/>
        </w:rPr>
      </w:pPr>
      <w:r w:rsidRPr="002D4995">
        <w:rPr>
          <w:b/>
          <w:sz w:val="24"/>
          <w:szCs w:val="24"/>
        </w:rPr>
        <w:t>Ginebra, 1 a 5 de septiembre de 2014</w:t>
      </w:r>
    </w:p>
    <w:p w:rsidR="008B2CC1" w:rsidRPr="002D4995" w:rsidRDefault="008B2CC1" w:rsidP="008B2CC1"/>
    <w:p w:rsidR="008B2CC1" w:rsidRPr="002D4995" w:rsidRDefault="008B2CC1" w:rsidP="008B2CC1"/>
    <w:p w:rsidR="008B2CC1" w:rsidRPr="002D4995" w:rsidRDefault="008B2CC1" w:rsidP="008B2CC1"/>
    <w:p w:rsidR="002B1F1A" w:rsidRPr="002D4995" w:rsidRDefault="009E7C84" w:rsidP="002B1F1A">
      <w:pPr>
        <w:rPr>
          <w:caps/>
          <w:sz w:val="24"/>
        </w:rPr>
      </w:pPr>
      <w:bookmarkStart w:id="4" w:name="TitleOfDoc"/>
      <w:bookmarkEnd w:id="4"/>
      <w:r w:rsidRPr="002D4995">
        <w:rPr>
          <w:caps/>
          <w:sz w:val="24"/>
        </w:rPr>
        <w:t xml:space="preserve">INFORME SOBRE LA MARCHA DEL PROYECTO PARA REFORZAR LAS NORMAS DE SEGURIDAD Y VIGILANCIA DE LOS </w:t>
      </w:r>
      <w:r w:rsidR="00B77AF0" w:rsidRPr="002D4995">
        <w:rPr>
          <w:caps/>
          <w:sz w:val="24"/>
        </w:rPr>
        <w:t xml:space="preserve">ACTUALES </w:t>
      </w:r>
      <w:r w:rsidRPr="002D4995">
        <w:rPr>
          <w:caps/>
          <w:sz w:val="24"/>
        </w:rPr>
        <w:t>EDIFICIOS DE LA OMPI</w:t>
      </w:r>
    </w:p>
    <w:p w:rsidR="002B1F1A" w:rsidRPr="002D4995" w:rsidRDefault="002B1F1A" w:rsidP="002B1F1A"/>
    <w:p w:rsidR="002B1F1A" w:rsidRPr="002D4995" w:rsidRDefault="009E7C84" w:rsidP="002B1F1A">
      <w:pPr>
        <w:rPr>
          <w:i/>
        </w:rPr>
      </w:pPr>
      <w:bookmarkStart w:id="5" w:name="Prepared"/>
      <w:bookmarkEnd w:id="5"/>
      <w:r w:rsidRPr="002D4995">
        <w:rPr>
          <w:i/>
        </w:rPr>
        <w:t>preparado por la Secretaría</w:t>
      </w:r>
    </w:p>
    <w:p w:rsidR="002B1F1A" w:rsidRPr="002D4995" w:rsidRDefault="002B1F1A" w:rsidP="002B1F1A"/>
    <w:p w:rsidR="002B1F1A" w:rsidRPr="002D4995" w:rsidRDefault="002B1F1A" w:rsidP="002B1F1A"/>
    <w:p w:rsidR="002B1F1A" w:rsidRPr="002D4995" w:rsidRDefault="002B1F1A" w:rsidP="002B1F1A"/>
    <w:p w:rsidR="002B1F1A" w:rsidRPr="002D4995" w:rsidRDefault="002B1F1A" w:rsidP="002B1F1A"/>
    <w:p w:rsidR="002B1F1A" w:rsidRPr="002D4995" w:rsidRDefault="002B1F1A" w:rsidP="002B1F1A">
      <w:pPr>
        <w:outlineLvl w:val="1"/>
        <w:rPr>
          <w:b/>
          <w:bCs/>
          <w:iCs/>
          <w:caps/>
          <w:szCs w:val="22"/>
        </w:rPr>
      </w:pPr>
      <w:r w:rsidRPr="002D4995">
        <w:rPr>
          <w:b/>
          <w:bCs/>
          <w:iCs/>
          <w:caps/>
          <w:szCs w:val="22"/>
        </w:rPr>
        <w:t>Introduc</w:t>
      </w:r>
      <w:r w:rsidR="009E7C84" w:rsidRPr="002D4995">
        <w:rPr>
          <w:b/>
          <w:bCs/>
          <w:iCs/>
          <w:caps/>
          <w:szCs w:val="22"/>
        </w:rPr>
        <w:t>CIÓN</w:t>
      </w:r>
    </w:p>
    <w:p w:rsidR="002B1F1A" w:rsidRPr="002D4995" w:rsidRDefault="002B1F1A" w:rsidP="002B1F1A">
      <w:pPr>
        <w:pStyle w:val="ONUME"/>
        <w:numPr>
          <w:ilvl w:val="0"/>
          <w:numId w:val="0"/>
        </w:numPr>
        <w:spacing w:after="0"/>
      </w:pPr>
    </w:p>
    <w:p w:rsidR="002B1F1A" w:rsidRPr="002D4995" w:rsidRDefault="009E7C84" w:rsidP="002B1F1A">
      <w:pPr>
        <w:pStyle w:val="ONUME"/>
        <w:spacing w:after="0"/>
        <w:rPr>
          <w:bCs/>
          <w:iCs/>
          <w:caps/>
          <w:szCs w:val="22"/>
        </w:rPr>
      </w:pPr>
      <w:r w:rsidRPr="002D4995">
        <w:t xml:space="preserve">En el presente documento se </w:t>
      </w:r>
      <w:r w:rsidR="00C47C2B">
        <w:t>informa</w:t>
      </w:r>
      <w:r w:rsidRPr="002D4995">
        <w:t xml:space="preserve"> al Comité del Programa y Presupuesto (PBC) </w:t>
      </w:r>
      <w:r w:rsidR="00C47C2B">
        <w:t>de los avances en el</w:t>
      </w:r>
      <w:r w:rsidRPr="002D4995">
        <w:t xml:space="preserve"> “Proyecto para reforzar las normas de seguridad y vigilancia de los</w:t>
      </w:r>
      <w:r w:rsidR="00F017B0">
        <w:t xml:space="preserve"> actuales</w:t>
      </w:r>
      <w:r w:rsidRPr="002D4995">
        <w:t xml:space="preserve"> edificios de la OMPI”</w:t>
      </w:r>
      <w:r w:rsidR="00F017B0">
        <w:t xml:space="preserve"> </w:t>
      </w:r>
      <w:r w:rsidRPr="002D4995">
        <w:t xml:space="preserve">desde la presentación del informe </w:t>
      </w:r>
      <w:r w:rsidR="000D43BC" w:rsidRPr="002D4995">
        <w:t>anterior</w:t>
      </w:r>
      <w:r w:rsidRPr="002D4995">
        <w:t xml:space="preserve"> </w:t>
      </w:r>
      <w:r w:rsidR="00F017B0">
        <w:t>en</w:t>
      </w:r>
      <w:r w:rsidRPr="002D4995">
        <w:t xml:space="preserve"> la vigésima primera sesión del PBC, celebrada en septiembre de </w:t>
      </w:r>
      <w:r w:rsidR="002B1F1A" w:rsidRPr="002D4995">
        <w:t>2013 (WO/PBC/21/9).</w:t>
      </w:r>
    </w:p>
    <w:p w:rsidR="002B1F1A" w:rsidRPr="002D4995" w:rsidRDefault="002B1F1A" w:rsidP="002B1F1A">
      <w:pPr>
        <w:outlineLvl w:val="1"/>
        <w:rPr>
          <w:bCs/>
          <w:iCs/>
          <w:caps/>
          <w:szCs w:val="22"/>
        </w:rPr>
      </w:pPr>
    </w:p>
    <w:p w:rsidR="002B1F1A" w:rsidRPr="002D4995" w:rsidRDefault="000D43BC" w:rsidP="002B1F1A">
      <w:pPr>
        <w:outlineLvl w:val="1"/>
        <w:rPr>
          <w:b/>
          <w:bCs/>
          <w:iCs/>
          <w:caps/>
          <w:szCs w:val="22"/>
        </w:rPr>
      </w:pPr>
      <w:r w:rsidRPr="002D4995">
        <w:rPr>
          <w:b/>
          <w:bCs/>
          <w:iCs/>
          <w:caps/>
          <w:szCs w:val="22"/>
        </w:rPr>
        <w:t xml:space="preserve">reseña </w:t>
      </w:r>
      <w:r w:rsidR="00A83F4A" w:rsidRPr="002D4995">
        <w:rPr>
          <w:b/>
          <w:bCs/>
          <w:iCs/>
          <w:caps/>
          <w:szCs w:val="22"/>
        </w:rPr>
        <w:t xml:space="preserve">general </w:t>
      </w:r>
      <w:r w:rsidR="00AB050E" w:rsidRPr="002D4995">
        <w:rPr>
          <w:b/>
          <w:bCs/>
          <w:iCs/>
          <w:caps/>
          <w:szCs w:val="22"/>
        </w:rPr>
        <w:t>sobre</w:t>
      </w:r>
      <w:r w:rsidRPr="002D4995">
        <w:rPr>
          <w:b/>
          <w:bCs/>
          <w:iCs/>
          <w:caps/>
          <w:szCs w:val="22"/>
        </w:rPr>
        <w:t xml:space="preserve"> la marcha del proyecto</w:t>
      </w:r>
    </w:p>
    <w:p w:rsidR="002B1F1A" w:rsidRPr="002D4995" w:rsidRDefault="002B1F1A" w:rsidP="002B1F1A">
      <w:pPr>
        <w:outlineLvl w:val="1"/>
        <w:rPr>
          <w:bCs/>
          <w:iCs/>
          <w:caps/>
          <w:szCs w:val="22"/>
        </w:rPr>
      </w:pPr>
    </w:p>
    <w:p w:rsidR="002B1F1A" w:rsidRPr="002D4995" w:rsidRDefault="00F21D56" w:rsidP="002B1F1A">
      <w:pPr>
        <w:pStyle w:val="ONUME"/>
        <w:numPr>
          <w:ilvl w:val="0"/>
          <w:numId w:val="8"/>
        </w:numPr>
        <w:spacing w:after="0"/>
        <w:ind w:left="0" w:firstLine="0"/>
        <w:outlineLvl w:val="1"/>
      </w:pPr>
      <w:r>
        <w:t xml:space="preserve">La ejecución del </w:t>
      </w:r>
      <w:r w:rsidR="00AB050E" w:rsidRPr="002D4995">
        <w:t xml:space="preserve">proyecto para reforzar las normas de seguridad y vigilancia de los edificios de la OMPI se </w:t>
      </w:r>
      <w:r>
        <w:t>estructuró en</w:t>
      </w:r>
      <w:r w:rsidR="00AB050E" w:rsidRPr="002D4995">
        <w:t xml:space="preserve"> tres fases</w:t>
      </w:r>
      <w:r>
        <w:t xml:space="preserve"> principales</w:t>
      </w:r>
      <w:r w:rsidR="00AB050E" w:rsidRPr="002D4995">
        <w:t xml:space="preserve">:  </w:t>
      </w:r>
    </w:p>
    <w:p w:rsidR="00AB050E" w:rsidRPr="002D4995" w:rsidRDefault="00AB050E" w:rsidP="00306CE9">
      <w:pPr>
        <w:pStyle w:val="ONUME"/>
        <w:numPr>
          <w:ilvl w:val="0"/>
          <w:numId w:val="0"/>
        </w:numPr>
        <w:spacing w:after="0"/>
        <w:outlineLvl w:val="1"/>
      </w:pPr>
    </w:p>
    <w:p w:rsidR="002B1F1A" w:rsidRPr="002D4995" w:rsidRDefault="009E7C84" w:rsidP="002B1F1A">
      <w:pPr>
        <w:pStyle w:val="ListParagraph"/>
        <w:numPr>
          <w:ilvl w:val="0"/>
          <w:numId w:val="7"/>
        </w:numPr>
        <w:ind w:left="1134" w:hanging="567"/>
        <w:rPr>
          <w:lang w:val="es-ES_tradnl"/>
        </w:rPr>
      </w:pPr>
      <w:r w:rsidRPr="002D4995">
        <w:rPr>
          <w:rFonts w:eastAsiaTheme="minorHAnsi"/>
          <w:b/>
          <w:szCs w:val="22"/>
          <w:lang w:val="es-ES_tradnl" w:eastAsia="en-US"/>
        </w:rPr>
        <w:t>Fase</w:t>
      </w:r>
      <w:r w:rsidR="002B1F1A" w:rsidRPr="002D4995">
        <w:rPr>
          <w:rFonts w:eastAsiaTheme="minorHAnsi"/>
          <w:b/>
          <w:szCs w:val="22"/>
          <w:lang w:val="es-ES_tradnl" w:eastAsia="en-US"/>
        </w:rPr>
        <w:t xml:space="preserve"> I</w:t>
      </w:r>
      <w:r w:rsidR="00DA7139" w:rsidRPr="002D4995">
        <w:rPr>
          <w:rFonts w:eastAsiaTheme="minorHAnsi"/>
          <w:szCs w:val="22"/>
          <w:lang w:val="es-ES_tradnl" w:eastAsia="en-US"/>
        </w:rPr>
        <w:t>:  A</w:t>
      </w:r>
      <w:r w:rsidR="00AB050E" w:rsidRPr="002D4995">
        <w:rPr>
          <w:rFonts w:eastAsiaTheme="minorHAnsi"/>
          <w:szCs w:val="22"/>
          <w:lang w:val="es-ES_tradnl" w:eastAsia="en-US"/>
        </w:rPr>
        <w:t>plicación de los “principios de gestión de riesgos” y compilaci</w:t>
      </w:r>
      <w:r w:rsidR="00DA7139" w:rsidRPr="002D4995">
        <w:rPr>
          <w:rFonts w:eastAsiaTheme="minorHAnsi"/>
          <w:szCs w:val="22"/>
          <w:lang w:val="es-ES_tradnl" w:eastAsia="en-US"/>
        </w:rPr>
        <w:t xml:space="preserve">ón de medidas </w:t>
      </w:r>
      <w:r w:rsidR="00C502EE">
        <w:rPr>
          <w:rFonts w:eastAsiaTheme="minorHAnsi"/>
          <w:szCs w:val="22"/>
          <w:lang w:val="es-ES_tradnl" w:eastAsia="en-US"/>
        </w:rPr>
        <w:t>eficaces</w:t>
      </w:r>
      <w:r w:rsidR="00DA7139" w:rsidRPr="002D4995">
        <w:rPr>
          <w:rFonts w:eastAsiaTheme="minorHAnsi"/>
          <w:szCs w:val="22"/>
          <w:lang w:val="es-ES_tradnl" w:eastAsia="en-US"/>
        </w:rPr>
        <w:t xml:space="preserve"> de mitigación de riesgos</w:t>
      </w:r>
      <w:r w:rsidR="00AB050E" w:rsidRPr="002D4995">
        <w:rPr>
          <w:rFonts w:eastAsiaTheme="minorHAnsi"/>
          <w:szCs w:val="22"/>
          <w:lang w:val="es-ES_tradnl" w:eastAsia="en-US"/>
        </w:rPr>
        <w:t xml:space="preserve">, haciendo hincapié y evaluando los diversos sistemas técnicos necesarios, la compatibilidad de la infraestructura y las alianzas internas y externas que han propiciado la formulación de un concepto holístico de seguridad </w:t>
      </w:r>
      <w:r w:rsidR="00993866" w:rsidRPr="002D4995">
        <w:rPr>
          <w:rFonts w:eastAsiaTheme="minorHAnsi"/>
          <w:szCs w:val="22"/>
          <w:lang w:val="es-ES_tradnl" w:eastAsia="en-US"/>
        </w:rPr>
        <w:t xml:space="preserve">y vigilancia acorde con </w:t>
      </w:r>
      <w:r w:rsidR="00AB050E" w:rsidRPr="002D4995">
        <w:rPr>
          <w:rFonts w:eastAsiaTheme="minorHAnsi"/>
          <w:szCs w:val="22"/>
          <w:lang w:val="es-ES_tradnl" w:eastAsia="en-US"/>
        </w:rPr>
        <w:t xml:space="preserve">el marco del proyecto y las normas </w:t>
      </w:r>
      <w:r w:rsidR="00993866" w:rsidRPr="002D4995">
        <w:rPr>
          <w:rFonts w:eastAsiaTheme="minorHAnsi"/>
          <w:szCs w:val="22"/>
          <w:lang w:val="es-ES_tradnl" w:eastAsia="en-US"/>
        </w:rPr>
        <w:t>UN H</w:t>
      </w:r>
      <w:r w:rsidR="00993866" w:rsidRPr="002D4995">
        <w:rPr>
          <w:rFonts w:eastAsiaTheme="minorHAnsi"/>
          <w:szCs w:val="22"/>
          <w:lang w:val="es-ES_tradnl" w:eastAsia="en-US"/>
        </w:rPr>
        <w:noBreakHyphen/>
      </w:r>
      <w:r w:rsidR="00AB050E" w:rsidRPr="002D4995">
        <w:rPr>
          <w:rFonts w:eastAsiaTheme="minorHAnsi"/>
          <w:szCs w:val="22"/>
          <w:lang w:val="es-ES_tradnl" w:eastAsia="en-US"/>
        </w:rPr>
        <w:t>MOSS</w:t>
      </w:r>
      <w:r w:rsidR="00F21D56">
        <w:rPr>
          <w:rFonts w:eastAsiaTheme="minorHAnsi"/>
          <w:szCs w:val="22"/>
          <w:lang w:val="es-ES_tradnl" w:eastAsia="en-US"/>
        </w:rPr>
        <w:t>.</w:t>
      </w:r>
      <w:r w:rsidR="00AB050E" w:rsidRPr="002D4995">
        <w:rPr>
          <w:rFonts w:eastAsiaTheme="minorHAnsi"/>
          <w:szCs w:val="22"/>
          <w:lang w:val="es-ES_tradnl" w:eastAsia="en-US"/>
        </w:rPr>
        <w:t xml:space="preserve"> (</w:t>
      </w:r>
      <w:r w:rsidR="00F21D56">
        <w:rPr>
          <w:rFonts w:eastAsiaTheme="minorHAnsi"/>
          <w:szCs w:val="22"/>
          <w:lang w:val="es-ES_tradnl" w:eastAsia="en-US"/>
        </w:rPr>
        <w:t>F</w:t>
      </w:r>
      <w:r w:rsidR="00993866" w:rsidRPr="002D4995">
        <w:rPr>
          <w:rFonts w:eastAsiaTheme="minorHAnsi"/>
          <w:szCs w:val="22"/>
          <w:lang w:val="es-ES_tradnl" w:eastAsia="en-US"/>
        </w:rPr>
        <w:t>inalizada</w:t>
      </w:r>
      <w:r w:rsidR="00AB050E" w:rsidRPr="002D4995">
        <w:rPr>
          <w:rFonts w:eastAsiaTheme="minorHAnsi"/>
          <w:szCs w:val="22"/>
          <w:lang w:val="es-ES_tradnl" w:eastAsia="en-US"/>
        </w:rPr>
        <w:t xml:space="preserve">). </w:t>
      </w:r>
    </w:p>
    <w:p w:rsidR="002B1F1A" w:rsidRPr="002D4995" w:rsidRDefault="002B1F1A" w:rsidP="002B1F1A">
      <w:pPr>
        <w:pStyle w:val="ListParagraph"/>
        <w:rPr>
          <w:lang w:val="es-ES_tradnl"/>
        </w:rPr>
      </w:pPr>
    </w:p>
    <w:p w:rsidR="002B1F1A" w:rsidRPr="002D4995" w:rsidRDefault="009E7C84" w:rsidP="002B1F1A">
      <w:pPr>
        <w:pStyle w:val="ListParagraph"/>
        <w:numPr>
          <w:ilvl w:val="0"/>
          <w:numId w:val="7"/>
        </w:numPr>
        <w:ind w:left="1134" w:hanging="567"/>
        <w:rPr>
          <w:lang w:val="es-ES_tradnl"/>
        </w:rPr>
      </w:pPr>
      <w:r w:rsidRPr="002D4995">
        <w:rPr>
          <w:b/>
          <w:lang w:val="es-ES_tradnl"/>
        </w:rPr>
        <w:t>Fase</w:t>
      </w:r>
      <w:r w:rsidR="002B1F1A" w:rsidRPr="002D4995">
        <w:rPr>
          <w:b/>
          <w:lang w:val="es-ES_tradnl"/>
        </w:rPr>
        <w:t xml:space="preserve"> II</w:t>
      </w:r>
      <w:r w:rsidR="00DA7139" w:rsidRPr="002D4995">
        <w:rPr>
          <w:lang w:val="es-ES_tradnl"/>
        </w:rPr>
        <w:t xml:space="preserve">:  </w:t>
      </w:r>
      <w:r w:rsidR="00993866" w:rsidRPr="002D4995">
        <w:rPr>
          <w:lang w:val="es-ES_tradnl"/>
        </w:rPr>
        <w:t xml:space="preserve">Preparación de las especificaciones técnicas, incluidas las carpetas de ejecución de </w:t>
      </w:r>
      <w:r w:rsidR="00F21D56">
        <w:rPr>
          <w:lang w:val="es-ES_tradnl"/>
        </w:rPr>
        <w:t xml:space="preserve">las </w:t>
      </w:r>
      <w:r w:rsidR="00993866" w:rsidRPr="002D4995">
        <w:rPr>
          <w:lang w:val="es-ES_tradnl"/>
        </w:rPr>
        <w:t>obras</w:t>
      </w:r>
      <w:r w:rsidR="00F21D56">
        <w:rPr>
          <w:lang w:val="es-ES_tradnl"/>
        </w:rPr>
        <w:t>,</w:t>
      </w:r>
      <w:r w:rsidR="00993866" w:rsidRPr="002D4995">
        <w:rPr>
          <w:lang w:val="es-ES_tradnl"/>
        </w:rPr>
        <w:t xml:space="preserve"> destinadas a las </w:t>
      </w:r>
      <w:r w:rsidR="00993866" w:rsidRPr="00F21D56">
        <w:rPr>
          <w:lang w:val="es-ES_tradnl"/>
        </w:rPr>
        <w:t xml:space="preserve">empresas de construcción y los proveedores de servicios, </w:t>
      </w:r>
      <w:r w:rsidR="00C502EE">
        <w:rPr>
          <w:lang w:val="es-ES_tradnl"/>
        </w:rPr>
        <w:t>el lanzamiento</w:t>
      </w:r>
      <w:r w:rsidR="00993866" w:rsidRPr="00F21D56">
        <w:rPr>
          <w:lang w:val="es-ES_tradnl"/>
        </w:rPr>
        <w:t xml:space="preserve"> de las convocatorias de licitación para contratar sus servicios y </w:t>
      </w:r>
      <w:r w:rsidR="00C47C2B">
        <w:rPr>
          <w:lang w:val="es-ES_tradnl"/>
        </w:rPr>
        <w:t>la adquisición de</w:t>
      </w:r>
      <w:r w:rsidR="00993866" w:rsidRPr="00F21D56">
        <w:rPr>
          <w:lang w:val="es-ES_tradnl"/>
        </w:rPr>
        <w:t xml:space="preserve"> los equipos técnicos y</w:t>
      </w:r>
      <w:r w:rsidR="00C47C2B">
        <w:rPr>
          <w:lang w:val="es-ES_tradnl"/>
        </w:rPr>
        <w:t xml:space="preserve"> sus </w:t>
      </w:r>
      <w:r w:rsidR="00993866" w:rsidRPr="00F21D56">
        <w:rPr>
          <w:lang w:val="es-ES_tradnl"/>
        </w:rPr>
        <w:t xml:space="preserve">sistemas de </w:t>
      </w:r>
      <w:r w:rsidR="00C502EE">
        <w:rPr>
          <w:lang w:val="es-ES_tradnl"/>
        </w:rPr>
        <w:t>respaldo</w:t>
      </w:r>
      <w:r w:rsidR="00CA3137">
        <w:rPr>
          <w:lang w:val="es-ES_tradnl"/>
        </w:rPr>
        <w:t xml:space="preserve"> en materia de </w:t>
      </w:r>
      <w:r w:rsidR="00993866" w:rsidRPr="00F21D56">
        <w:rPr>
          <w:lang w:val="es-ES_tradnl"/>
        </w:rPr>
        <w:t>comunicaciones y conectividad. (Finalizada en</w:t>
      </w:r>
      <w:r w:rsidR="00E674C6">
        <w:rPr>
          <w:lang w:val="es-ES_tradnl"/>
        </w:rPr>
        <w:t xml:space="preserve"> mayo de </w:t>
      </w:r>
      <w:r w:rsidR="00993866" w:rsidRPr="002D4995">
        <w:rPr>
          <w:lang w:val="es-ES_tradnl"/>
        </w:rPr>
        <w:t>2014).</w:t>
      </w:r>
    </w:p>
    <w:p w:rsidR="002B1F1A" w:rsidRPr="002D4995" w:rsidRDefault="002B1F1A" w:rsidP="002B1F1A"/>
    <w:p w:rsidR="002B1F1A" w:rsidRPr="002D4995" w:rsidRDefault="009E7C84" w:rsidP="002B1F1A">
      <w:pPr>
        <w:pStyle w:val="ListParagraph"/>
        <w:numPr>
          <w:ilvl w:val="0"/>
          <w:numId w:val="7"/>
        </w:numPr>
        <w:ind w:left="1134" w:hanging="567"/>
        <w:rPr>
          <w:lang w:val="es-ES_tradnl" w:eastAsia="en-US"/>
        </w:rPr>
      </w:pPr>
      <w:r w:rsidRPr="002D4995">
        <w:rPr>
          <w:b/>
          <w:lang w:val="es-ES_tradnl" w:eastAsia="en-US"/>
        </w:rPr>
        <w:t>Fase</w:t>
      </w:r>
      <w:r w:rsidR="002B1F1A" w:rsidRPr="002D4995">
        <w:rPr>
          <w:b/>
          <w:lang w:val="es-ES_tradnl" w:eastAsia="en-US"/>
        </w:rPr>
        <w:t xml:space="preserve"> III</w:t>
      </w:r>
      <w:r w:rsidR="0083131E" w:rsidRPr="002D4995">
        <w:rPr>
          <w:lang w:val="es-ES_tradnl" w:eastAsia="en-US"/>
        </w:rPr>
        <w:t>:  Ejecución material del proyecto, supervisión, finalización y entrega a la OMPI</w:t>
      </w:r>
      <w:r w:rsidR="002B1F1A" w:rsidRPr="002D4995">
        <w:rPr>
          <w:lang w:val="es-ES_tradnl" w:eastAsia="en-US"/>
        </w:rPr>
        <w:t>.  (</w:t>
      </w:r>
      <w:r w:rsidR="00DA7139" w:rsidRPr="002D4995">
        <w:rPr>
          <w:lang w:val="es-ES_tradnl" w:eastAsia="en-US"/>
        </w:rPr>
        <w:t>En curso</w:t>
      </w:r>
      <w:r w:rsidR="002B1F1A" w:rsidRPr="002D4995">
        <w:rPr>
          <w:lang w:val="es-ES_tradnl" w:eastAsia="en-US"/>
        </w:rPr>
        <w:t>)</w:t>
      </w:r>
      <w:r w:rsidR="00F21D56">
        <w:rPr>
          <w:lang w:val="es-ES_tradnl" w:eastAsia="en-US"/>
        </w:rPr>
        <w:t>.</w:t>
      </w:r>
    </w:p>
    <w:p w:rsidR="002B1F1A" w:rsidRPr="002D4995" w:rsidRDefault="002B1F1A" w:rsidP="002B1F1A">
      <w:pPr>
        <w:rPr>
          <w:rFonts w:eastAsiaTheme="minorHAnsi"/>
          <w:szCs w:val="22"/>
          <w:lang w:eastAsia="en-US"/>
        </w:rPr>
      </w:pPr>
    </w:p>
    <w:p w:rsidR="002B1F1A" w:rsidRPr="002D4995" w:rsidRDefault="0083131E" w:rsidP="002B1F1A">
      <w:pPr>
        <w:pStyle w:val="ListParagraph"/>
        <w:numPr>
          <w:ilvl w:val="0"/>
          <w:numId w:val="8"/>
        </w:numPr>
        <w:ind w:left="0" w:firstLine="0"/>
        <w:rPr>
          <w:lang w:val="es-ES_tradnl" w:eastAsia="en-US"/>
        </w:rPr>
      </w:pPr>
      <w:r w:rsidRPr="002D4995">
        <w:rPr>
          <w:rFonts w:eastAsiaTheme="minorHAnsi"/>
          <w:szCs w:val="22"/>
          <w:lang w:val="es-ES_tradnl" w:eastAsia="en-US"/>
        </w:rPr>
        <w:t xml:space="preserve">Al término del presente informe, las medidas de </w:t>
      </w:r>
      <w:r w:rsidR="00F21D56">
        <w:rPr>
          <w:rFonts w:eastAsiaTheme="minorHAnsi"/>
          <w:szCs w:val="22"/>
          <w:lang w:val="es-ES_tradnl" w:eastAsia="en-US"/>
        </w:rPr>
        <w:t>ejecución</w:t>
      </w:r>
      <w:r w:rsidRPr="002D4995">
        <w:rPr>
          <w:rFonts w:eastAsiaTheme="minorHAnsi"/>
          <w:szCs w:val="22"/>
          <w:lang w:val="es-ES_tradnl" w:eastAsia="en-US"/>
        </w:rPr>
        <w:t xml:space="preserve"> del proyecto técnico y las fases de supervisión del proyecto </w:t>
      </w:r>
      <w:r w:rsidR="005839CD" w:rsidRPr="002D4995">
        <w:rPr>
          <w:rFonts w:eastAsiaTheme="minorHAnsi"/>
          <w:szCs w:val="22"/>
          <w:lang w:val="es-ES_tradnl" w:eastAsia="en-US"/>
        </w:rPr>
        <w:t xml:space="preserve">han sido objeto de </w:t>
      </w:r>
      <w:r w:rsidR="00604EA5" w:rsidRPr="002D4995">
        <w:rPr>
          <w:rFonts w:eastAsiaTheme="minorHAnsi"/>
          <w:szCs w:val="22"/>
          <w:lang w:val="es-ES_tradnl" w:eastAsia="en-US"/>
        </w:rPr>
        <w:t xml:space="preserve">la </w:t>
      </w:r>
      <w:r w:rsidR="005839CD" w:rsidRPr="002D4995">
        <w:rPr>
          <w:rFonts w:eastAsiaTheme="minorHAnsi"/>
          <w:szCs w:val="22"/>
          <w:lang w:val="es-ES_tradnl" w:eastAsia="en-US"/>
        </w:rPr>
        <w:t xml:space="preserve">evaluación y </w:t>
      </w:r>
      <w:r w:rsidR="00604EA5" w:rsidRPr="002D4995">
        <w:rPr>
          <w:rFonts w:eastAsiaTheme="minorHAnsi"/>
          <w:szCs w:val="22"/>
          <w:lang w:val="es-ES_tradnl" w:eastAsia="en-US"/>
        </w:rPr>
        <w:t xml:space="preserve">los </w:t>
      </w:r>
      <w:r w:rsidR="005839CD" w:rsidRPr="002D4995">
        <w:rPr>
          <w:rFonts w:eastAsiaTheme="minorHAnsi"/>
          <w:szCs w:val="22"/>
          <w:lang w:val="es-ES_tradnl" w:eastAsia="en-US"/>
        </w:rPr>
        <w:t xml:space="preserve">ajustes </w:t>
      </w:r>
      <w:r w:rsidR="00604EA5" w:rsidRPr="002D4995">
        <w:rPr>
          <w:rFonts w:eastAsiaTheme="minorHAnsi"/>
          <w:szCs w:val="22"/>
          <w:lang w:val="es-ES_tradnl" w:eastAsia="en-US"/>
        </w:rPr>
        <w:t>que constan en el siguiente cuadro</w:t>
      </w:r>
      <w:r w:rsidR="002B1F1A" w:rsidRPr="002D4995">
        <w:rPr>
          <w:rFonts w:eastAsiaTheme="minorHAnsi"/>
          <w:szCs w:val="22"/>
          <w:lang w:val="es-ES_tradnl" w:eastAsia="en-US"/>
        </w:rPr>
        <w:t>:</w:t>
      </w:r>
    </w:p>
    <w:p w:rsidR="002B1F1A" w:rsidRPr="002D4995" w:rsidRDefault="002B1F1A" w:rsidP="002B1F1A">
      <w:pPr>
        <w:outlineLvl w:val="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883"/>
        <w:gridCol w:w="2929"/>
      </w:tblGrid>
      <w:tr w:rsidR="002B1F1A" w:rsidRPr="002D4995" w:rsidTr="0068716A">
        <w:trPr>
          <w:trHeight w:val="435"/>
        </w:trPr>
        <w:tc>
          <w:tcPr>
            <w:tcW w:w="2977" w:type="dxa"/>
            <w:vAlign w:val="center"/>
          </w:tcPr>
          <w:p w:rsidR="002B1F1A" w:rsidRPr="002D4995" w:rsidRDefault="00D94D54" w:rsidP="0068716A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2D4995">
              <w:rPr>
                <w:rFonts w:eastAsiaTheme="minorHAnsi"/>
                <w:b/>
                <w:lang w:eastAsia="en-US"/>
              </w:rPr>
              <w:t>Elementos</w:t>
            </w:r>
            <w:r w:rsidR="00604EA5" w:rsidRPr="002D4995">
              <w:rPr>
                <w:rFonts w:eastAsiaTheme="minorHAnsi"/>
                <w:b/>
                <w:lang w:eastAsia="en-US"/>
              </w:rPr>
              <w:t xml:space="preserve"> del proyecto</w:t>
            </w:r>
          </w:p>
        </w:tc>
        <w:tc>
          <w:tcPr>
            <w:tcW w:w="2883" w:type="dxa"/>
            <w:vAlign w:val="center"/>
          </w:tcPr>
          <w:p w:rsidR="002B1F1A" w:rsidRPr="002D4995" w:rsidRDefault="00604EA5" w:rsidP="0068716A">
            <w:pPr>
              <w:ind w:left="34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2D4995">
              <w:rPr>
                <w:rFonts w:eastAsiaTheme="minorHAnsi"/>
                <w:b/>
                <w:lang w:eastAsia="en-US"/>
              </w:rPr>
              <w:t>Situación actual</w:t>
            </w:r>
          </w:p>
        </w:tc>
        <w:tc>
          <w:tcPr>
            <w:tcW w:w="2929" w:type="dxa"/>
            <w:vAlign w:val="center"/>
          </w:tcPr>
          <w:p w:rsidR="002B1F1A" w:rsidRPr="002D4995" w:rsidRDefault="00604EA5" w:rsidP="0068716A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2D4995">
              <w:rPr>
                <w:rFonts w:eastAsiaTheme="minorHAnsi"/>
                <w:b/>
                <w:lang w:eastAsia="en-US"/>
              </w:rPr>
              <w:t>Finalización prevista</w:t>
            </w:r>
          </w:p>
        </w:tc>
      </w:tr>
      <w:tr w:rsidR="002B1F1A" w:rsidRPr="002D4995" w:rsidTr="0068716A">
        <w:trPr>
          <w:trHeight w:val="697"/>
        </w:trPr>
        <w:tc>
          <w:tcPr>
            <w:tcW w:w="2977" w:type="dxa"/>
          </w:tcPr>
          <w:p w:rsidR="002B1F1A" w:rsidRPr="002D4995" w:rsidRDefault="00F21D56" w:rsidP="00F21D56">
            <w:pPr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Medidas relativas al p</w:t>
            </w:r>
            <w:r w:rsidR="00D94D54" w:rsidRPr="002D4995">
              <w:rPr>
                <w:rFonts w:eastAsiaTheme="minorHAnsi"/>
                <w:lang w:eastAsia="en-US"/>
              </w:rPr>
              <w:t>er</w:t>
            </w:r>
            <w:r>
              <w:rPr>
                <w:rFonts w:eastAsiaTheme="minorHAnsi"/>
                <w:lang w:eastAsia="en-US"/>
              </w:rPr>
              <w:t>ímetro de s</w:t>
            </w:r>
            <w:r w:rsidR="00D94D54" w:rsidRPr="002D4995">
              <w:rPr>
                <w:rFonts w:eastAsiaTheme="minorHAnsi"/>
                <w:lang w:eastAsia="en-US"/>
              </w:rPr>
              <w:t>eguridad de la OMPI</w:t>
            </w:r>
            <w:r w:rsidR="002B1F1A" w:rsidRPr="002D4995">
              <w:rPr>
                <w:rFonts w:eastAsiaTheme="minorHAnsi"/>
                <w:lang w:eastAsia="en-US"/>
              </w:rPr>
              <w:t xml:space="preserve"> (FIPOI)</w:t>
            </w:r>
          </w:p>
        </w:tc>
        <w:tc>
          <w:tcPr>
            <w:tcW w:w="2883" w:type="dxa"/>
          </w:tcPr>
          <w:p w:rsidR="002B1F1A" w:rsidRPr="002D4995" w:rsidRDefault="00604EA5" w:rsidP="001223B3">
            <w:pPr>
              <w:ind w:left="34"/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 w:rsidRPr="002D4995">
              <w:rPr>
                <w:rFonts w:eastAsiaTheme="minorHAnsi"/>
                <w:lang w:eastAsia="en-US"/>
              </w:rPr>
              <w:t>Fase</w:t>
            </w:r>
            <w:r w:rsidR="002B1F1A" w:rsidRPr="002D4995">
              <w:rPr>
                <w:rFonts w:eastAsiaTheme="minorHAnsi"/>
                <w:lang w:eastAsia="en-US"/>
              </w:rPr>
              <w:t xml:space="preserve"> III </w:t>
            </w:r>
            <w:r w:rsidR="002B1F1A" w:rsidRPr="002D4995">
              <w:rPr>
                <w:rFonts w:eastAsiaTheme="minorHAnsi"/>
                <w:lang w:eastAsia="en-US"/>
              </w:rPr>
              <w:br/>
            </w:r>
            <w:r w:rsidR="001223B3" w:rsidRPr="002D4995">
              <w:rPr>
                <w:rFonts w:eastAsiaTheme="minorHAnsi"/>
                <w:lang w:eastAsia="en-US"/>
              </w:rPr>
              <w:t>En curso, con un avance del</w:t>
            </w:r>
            <w:r w:rsidR="002B1F1A" w:rsidRPr="002D4995">
              <w:rPr>
                <w:rFonts w:eastAsiaTheme="minorHAnsi"/>
                <w:lang w:eastAsia="en-US"/>
              </w:rPr>
              <w:t xml:space="preserve"> 85% </w:t>
            </w:r>
          </w:p>
        </w:tc>
        <w:tc>
          <w:tcPr>
            <w:tcW w:w="2929" w:type="dxa"/>
          </w:tcPr>
          <w:p w:rsidR="002B1F1A" w:rsidRPr="002D4995" w:rsidRDefault="00604EA5" w:rsidP="0068716A">
            <w:pPr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 w:rsidRPr="002D4995">
              <w:rPr>
                <w:rFonts w:eastAsiaTheme="minorHAnsi"/>
                <w:lang w:eastAsia="en-US"/>
              </w:rPr>
              <w:t>Octubre de</w:t>
            </w:r>
            <w:r w:rsidR="002B1F1A" w:rsidRPr="002D4995">
              <w:rPr>
                <w:rFonts w:eastAsiaTheme="minorHAnsi"/>
                <w:lang w:eastAsia="en-US"/>
              </w:rPr>
              <w:t xml:space="preserve"> 2014</w:t>
            </w:r>
          </w:p>
        </w:tc>
      </w:tr>
      <w:tr w:rsidR="002B1F1A" w:rsidRPr="002D4995" w:rsidTr="0068716A">
        <w:trPr>
          <w:trHeight w:val="693"/>
        </w:trPr>
        <w:tc>
          <w:tcPr>
            <w:tcW w:w="2977" w:type="dxa"/>
          </w:tcPr>
          <w:p w:rsidR="002B1F1A" w:rsidRPr="002D4995" w:rsidRDefault="001223B3" w:rsidP="00F21D56">
            <w:pPr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 w:rsidRPr="002D4995">
              <w:rPr>
                <w:rFonts w:eastAsiaTheme="minorHAnsi"/>
                <w:lang w:eastAsia="en-US"/>
              </w:rPr>
              <w:t xml:space="preserve">Medidas de seguridad </w:t>
            </w:r>
            <w:r w:rsidR="00F21D56">
              <w:rPr>
                <w:rFonts w:eastAsiaTheme="minorHAnsi"/>
                <w:lang w:eastAsia="en-US"/>
              </w:rPr>
              <w:t xml:space="preserve">interna </w:t>
            </w:r>
            <w:r w:rsidRPr="002D4995">
              <w:rPr>
                <w:rFonts w:eastAsiaTheme="minorHAnsi"/>
                <w:lang w:eastAsia="en-US"/>
              </w:rPr>
              <w:t>de la OMPI</w:t>
            </w:r>
          </w:p>
        </w:tc>
        <w:tc>
          <w:tcPr>
            <w:tcW w:w="2883" w:type="dxa"/>
          </w:tcPr>
          <w:p w:rsidR="002B1F1A" w:rsidRPr="002D4995" w:rsidRDefault="00604EA5" w:rsidP="001223B3">
            <w:pPr>
              <w:ind w:left="34"/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 w:rsidRPr="002D4995">
              <w:rPr>
                <w:rFonts w:eastAsiaTheme="minorHAnsi"/>
                <w:lang w:eastAsia="en-US"/>
              </w:rPr>
              <w:t>Fase</w:t>
            </w:r>
            <w:r w:rsidR="002B1F1A" w:rsidRPr="002D4995">
              <w:rPr>
                <w:rFonts w:eastAsiaTheme="minorHAnsi"/>
                <w:lang w:eastAsia="en-US"/>
              </w:rPr>
              <w:t xml:space="preserve"> III </w:t>
            </w:r>
            <w:r w:rsidR="002B1F1A" w:rsidRPr="002D4995">
              <w:rPr>
                <w:rFonts w:eastAsiaTheme="minorHAnsi"/>
                <w:lang w:eastAsia="en-US"/>
              </w:rPr>
              <w:br/>
            </w:r>
            <w:r w:rsidR="001223B3" w:rsidRPr="002D4995">
              <w:rPr>
                <w:rFonts w:eastAsiaTheme="minorHAnsi"/>
                <w:lang w:eastAsia="en-US"/>
              </w:rPr>
              <w:t>En curso, con un avance del</w:t>
            </w:r>
            <w:r w:rsidR="002B1F1A" w:rsidRPr="002D4995">
              <w:rPr>
                <w:rFonts w:eastAsiaTheme="minorHAnsi"/>
                <w:lang w:eastAsia="en-US"/>
              </w:rPr>
              <w:t xml:space="preserve"> 90% </w:t>
            </w:r>
          </w:p>
        </w:tc>
        <w:tc>
          <w:tcPr>
            <w:tcW w:w="2929" w:type="dxa"/>
          </w:tcPr>
          <w:p w:rsidR="002B1F1A" w:rsidRPr="002D4995" w:rsidRDefault="00604EA5" w:rsidP="0068716A">
            <w:pPr>
              <w:contextualSpacing/>
              <w:jc w:val="center"/>
              <w:rPr>
                <w:rFonts w:eastAsiaTheme="minorHAnsi"/>
                <w:szCs w:val="20"/>
                <w:lang w:eastAsia="en-US"/>
              </w:rPr>
            </w:pPr>
            <w:r w:rsidRPr="002D4995">
              <w:rPr>
                <w:rFonts w:eastAsiaTheme="minorHAnsi"/>
                <w:lang w:eastAsia="en-US"/>
              </w:rPr>
              <w:t>Septiembre de</w:t>
            </w:r>
            <w:r w:rsidR="002B1F1A" w:rsidRPr="002D4995">
              <w:rPr>
                <w:rFonts w:eastAsiaTheme="minorHAnsi"/>
                <w:lang w:eastAsia="en-US"/>
              </w:rPr>
              <w:t xml:space="preserve"> 2014</w:t>
            </w:r>
          </w:p>
        </w:tc>
      </w:tr>
    </w:tbl>
    <w:p w:rsidR="002B1F1A" w:rsidRPr="002D4995" w:rsidRDefault="002B1F1A" w:rsidP="002B1F1A">
      <w:pPr>
        <w:rPr>
          <w:rFonts w:eastAsiaTheme="minorHAnsi"/>
          <w:b/>
          <w:szCs w:val="22"/>
          <w:lang w:eastAsia="en-US"/>
        </w:rPr>
      </w:pPr>
    </w:p>
    <w:p w:rsidR="002B1F1A" w:rsidRPr="002D4995" w:rsidRDefault="001223B3" w:rsidP="002B1F1A">
      <w:pPr>
        <w:pStyle w:val="ListParagraph"/>
        <w:numPr>
          <w:ilvl w:val="0"/>
          <w:numId w:val="8"/>
        </w:numPr>
        <w:ind w:left="0" w:firstLine="0"/>
        <w:rPr>
          <w:rFonts w:eastAsiaTheme="minorHAnsi"/>
          <w:b/>
          <w:szCs w:val="22"/>
          <w:lang w:val="es-ES_tradnl" w:eastAsia="en-US"/>
        </w:rPr>
      </w:pPr>
      <w:r w:rsidRPr="002D4995">
        <w:rPr>
          <w:rFonts w:eastAsiaTheme="minorHAnsi"/>
          <w:szCs w:val="22"/>
          <w:lang w:val="es-ES_tradnl" w:eastAsia="en-US"/>
        </w:rPr>
        <w:t xml:space="preserve">Los avances en la construcción de la nueva sala de conferencias incidieron en </w:t>
      </w:r>
      <w:r w:rsidR="00E51AB6">
        <w:rPr>
          <w:rFonts w:eastAsiaTheme="minorHAnsi"/>
          <w:szCs w:val="22"/>
          <w:lang w:val="es-ES_tradnl" w:eastAsia="en-US"/>
        </w:rPr>
        <w:t xml:space="preserve">el plan de </w:t>
      </w:r>
      <w:r w:rsidR="00521FA1" w:rsidRPr="002D4995">
        <w:rPr>
          <w:rFonts w:eastAsiaTheme="minorHAnsi"/>
          <w:szCs w:val="22"/>
          <w:lang w:val="es-ES_tradnl" w:eastAsia="en-US"/>
        </w:rPr>
        <w:t xml:space="preserve"> aplicaci</w:t>
      </w:r>
      <w:r w:rsidR="00E51AB6">
        <w:rPr>
          <w:rFonts w:eastAsiaTheme="minorHAnsi"/>
          <w:szCs w:val="22"/>
          <w:lang w:val="es-ES_tradnl" w:eastAsia="en-US"/>
        </w:rPr>
        <w:t>ón por niveles</w:t>
      </w:r>
      <w:r w:rsidR="00521FA1" w:rsidRPr="002D4995">
        <w:rPr>
          <w:rFonts w:eastAsiaTheme="minorHAnsi"/>
          <w:szCs w:val="22"/>
          <w:lang w:val="es-ES_tradnl" w:eastAsia="en-US"/>
        </w:rPr>
        <w:t xml:space="preserve"> de las medidas relativas al perímetro de seguridad en el marco de las normas H-MOSS.  El acceso a la zona de obras </w:t>
      </w:r>
      <w:r w:rsidR="00C502EE">
        <w:rPr>
          <w:rFonts w:eastAsiaTheme="minorHAnsi"/>
          <w:szCs w:val="22"/>
          <w:lang w:val="es-ES_tradnl" w:eastAsia="en-US"/>
        </w:rPr>
        <w:t xml:space="preserve">para la realización del trabajo </w:t>
      </w:r>
      <w:r w:rsidR="00521FA1" w:rsidRPr="002D4995">
        <w:rPr>
          <w:rFonts w:eastAsiaTheme="minorHAnsi"/>
          <w:szCs w:val="22"/>
          <w:lang w:val="es-ES_tradnl" w:eastAsia="en-US"/>
        </w:rPr>
        <w:t xml:space="preserve">sigue siendo una cuestión primordial a medida que se aproxima la fecha de finalización.  En general, las mejoras de seguridad y vigilancia </w:t>
      </w:r>
      <w:r w:rsidR="008D3830">
        <w:rPr>
          <w:rFonts w:eastAsiaTheme="minorHAnsi"/>
          <w:szCs w:val="22"/>
          <w:lang w:val="es-ES_tradnl" w:eastAsia="en-US"/>
        </w:rPr>
        <w:t xml:space="preserve">son tareas que </w:t>
      </w:r>
      <w:r w:rsidR="00521FA1" w:rsidRPr="002D4995">
        <w:rPr>
          <w:rFonts w:eastAsiaTheme="minorHAnsi"/>
          <w:szCs w:val="22"/>
          <w:lang w:val="es-ES_tradnl" w:eastAsia="en-US"/>
        </w:rPr>
        <w:t xml:space="preserve">suelen dejarse para el final, </w:t>
      </w:r>
      <w:r w:rsidR="00E51AB6">
        <w:rPr>
          <w:rFonts w:eastAsiaTheme="minorHAnsi"/>
          <w:szCs w:val="22"/>
          <w:lang w:val="es-ES_tradnl" w:eastAsia="en-US"/>
        </w:rPr>
        <w:t>ya</w:t>
      </w:r>
      <w:r w:rsidR="00521FA1" w:rsidRPr="002D4995">
        <w:rPr>
          <w:rFonts w:eastAsiaTheme="minorHAnsi"/>
          <w:szCs w:val="22"/>
          <w:lang w:val="es-ES_tradnl" w:eastAsia="en-US"/>
        </w:rPr>
        <w:t xml:space="preserve"> que dependen </w:t>
      </w:r>
      <w:r w:rsidR="008D3830">
        <w:rPr>
          <w:rFonts w:eastAsiaTheme="minorHAnsi"/>
          <w:szCs w:val="22"/>
          <w:lang w:val="es-ES_tradnl" w:eastAsia="en-US"/>
        </w:rPr>
        <w:t>de que estén terminados otros elementos</w:t>
      </w:r>
      <w:r w:rsidR="00521FA1" w:rsidRPr="002D4995">
        <w:rPr>
          <w:rFonts w:eastAsiaTheme="minorHAnsi"/>
          <w:szCs w:val="22"/>
          <w:lang w:val="es-ES_tradnl" w:eastAsia="en-US"/>
        </w:rPr>
        <w:t xml:space="preserve"> </w:t>
      </w:r>
      <w:r w:rsidR="008D3830">
        <w:rPr>
          <w:rFonts w:eastAsiaTheme="minorHAnsi"/>
          <w:szCs w:val="22"/>
          <w:lang w:val="es-ES_tradnl" w:eastAsia="en-US"/>
        </w:rPr>
        <w:t xml:space="preserve">fundamentales </w:t>
      </w:r>
      <w:r w:rsidR="00521FA1" w:rsidRPr="002D4995">
        <w:rPr>
          <w:rFonts w:eastAsiaTheme="minorHAnsi"/>
          <w:szCs w:val="22"/>
          <w:lang w:val="es-ES_tradnl" w:eastAsia="en-US"/>
        </w:rPr>
        <w:t>de la infraestructura.</w:t>
      </w:r>
    </w:p>
    <w:p w:rsidR="002B1F1A" w:rsidRPr="002D4995" w:rsidRDefault="002B1F1A" w:rsidP="002B1F1A">
      <w:pPr>
        <w:rPr>
          <w:rFonts w:eastAsiaTheme="minorHAnsi"/>
          <w:szCs w:val="22"/>
          <w:lang w:eastAsia="en-US"/>
        </w:rPr>
      </w:pPr>
    </w:p>
    <w:p w:rsidR="002B1F1A" w:rsidRPr="002D4995" w:rsidRDefault="00B77AF0" w:rsidP="002B1F1A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b/>
          <w:szCs w:val="22"/>
          <w:lang w:val="es-ES_tradnl" w:eastAsia="en-US"/>
        </w:rPr>
      </w:pPr>
      <w:r w:rsidRPr="002D4995">
        <w:rPr>
          <w:rFonts w:eastAsiaTheme="minorHAnsi"/>
          <w:szCs w:val="22"/>
          <w:lang w:val="es-ES_tradnl" w:eastAsia="en-US"/>
        </w:rPr>
        <w:t>Siguen los avances en relación con las medidas relativas al perímetro de seguridad</w:t>
      </w:r>
      <w:r w:rsidR="00CA3137">
        <w:rPr>
          <w:rFonts w:eastAsiaTheme="minorHAnsi"/>
          <w:szCs w:val="22"/>
          <w:lang w:val="es-ES_tradnl" w:eastAsia="en-US"/>
        </w:rPr>
        <w:t xml:space="preserve">;  </w:t>
      </w:r>
      <w:r w:rsidR="00E674C6">
        <w:rPr>
          <w:rFonts w:eastAsiaTheme="minorHAnsi"/>
          <w:szCs w:val="22"/>
          <w:lang w:val="es-ES_tradnl" w:eastAsia="en-US"/>
        </w:rPr>
        <w:t>en </w:t>
      </w:r>
      <w:r w:rsidR="009322C4" w:rsidRPr="002D4995">
        <w:rPr>
          <w:rFonts w:eastAsiaTheme="minorHAnsi"/>
          <w:szCs w:val="22"/>
          <w:lang w:val="es-ES_tradnl" w:eastAsia="en-US"/>
        </w:rPr>
        <w:t>2013 se finalizó la</w:t>
      </w:r>
      <w:r w:rsidRPr="002D4995">
        <w:rPr>
          <w:rFonts w:eastAsiaTheme="minorHAnsi"/>
          <w:szCs w:val="22"/>
          <w:lang w:val="es-ES_tradnl" w:eastAsia="en-US"/>
        </w:rPr>
        <w:t xml:space="preserve"> infraestructura del perímetro contra la intrusión de vehículos d</w:t>
      </w:r>
      <w:r w:rsidR="00E51AB6">
        <w:rPr>
          <w:rFonts w:eastAsiaTheme="minorHAnsi"/>
          <w:szCs w:val="22"/>
          <w:lang w:val="es-ES_tradnl" w:eastAsia="en-US"/>
        </w:rPr>
        <w:t xml:space="preserve">e los edificios AB, GBI y GBII </w:t>
      </w:r>
      <w:r w:rsidR="009322C4" w:rsidRPr="002D4995">
        <w:rPr>
          <w:rFonts w:eastAsiaTheme="minorHAnsi"/>
          <w:szCs w:val="22"/>
          <w:lang w:val="es-ES_tradnl" w:eastAsia="en-US"/>
        </w:rPr>
        <w:t>así como</w:t>
      </w:r>
      <w:r w:rsidRPr="002D4995">
        <w:rPr>
          <w:rFonts w:eastAsiaTheme="minorHAnsi"/>
          <w:szCs w:val="22"/>
          <w:lang w:val="es-ES_tradnl" w:eastAsia="en-US"/>
        </w:rPr>
        <w:t xml:space="preserve"> la </w:t>
      </w:r>
      <w:r w:rsidR="009322C4" w:rsidRPr="002D4995">
        <w:rPr>
          <w:rFonts w:eastAsiaTheme="minorHAnsi"/>
          <w:szCs w:val="22"/>
          <w:lang w:val="es-ES_tradnl" w:eastAsia="en-US"/>
        </w:rPr>
        <w:t xml:space="preserve">mayor parte </w:t>
      </w:r>
      <w:r w:rsidRPr="002D4995">
        <w:rPr>
          <w:rFonts w:eastAsiaTheme="minorHAnsi"/>
          <w:szCs w:val="22"/>
          <w:lang w:val="es-ES_tradnl" w:eastAsia="en-US"/>
        </w:rPr>
        <w:t xml:space="preserve">(90%) </w:t>
      </w:r>
      <w:r w:rsidR="008C65EC">
        <w:rPr>
          <w:rFonts w:eastAsiaTheme="minorHAnsi"/>
          <w:szCs w:val="22"/>
          <w:lang w:val="es-ES_tradnl" w:eastAsia="en-US"/>
        </w:rPr>
        <w:t>de las obras del</w:t>
      </w:r>
      <w:r w:rsidRPr="002D4995">
        <w:rPr>
          <w:rFonts w:eastAsiaTheme="minorHAnsi"/>
          <w:szCs w:val="22"/>
          <w:lang w:val="es-ES_tradnl" w:eastAsia="en-US"/>
        </w:rPr>
        <w:t xml:space="preserve"> perímetro del edificio </w:t>
      </w:r>
      <w:r w:rsidR="009322C4" w:rsidRPr="002D4995">
        <w:rPr>
          <w:rFonts w:eastAsiaTheme="minorHAnsi"/>
          <w:szCs w:val="22"/>
          <w:lang w:val="es-ES_tradnl" w:eastAsia="en-US"/>
        </w:rPr>
        <w:t xml:space="preserve">del </w:t>
      </w:r>
      <w:r w:rsidRPr="002D4995">
        <w:rPr>
          <w:rFonts w:eastAsiaTheme="minorHAnsi"/>
          <w:szCs w:val="22"/>
          <w:lang w:val="es-ES_tradnl" w:eastAsia="en-US"/>
        </w:rPr>
        <w:t>PCT</w:t>
      </w:r>
      <w:r w:rsidR="009322C4" w:rsidRPr="002D4995">
        <w:rPr>
          <w:rFonts w:eastAsiaTheme="minorHAnsi"/>
          <w:szCs w:val="22"/>
          <w:lang w:val="es-ES_tradnl" w:eastAsia="en-US"/>
        </w:rPr>
        <w:t>.  Ya se ha abierto el nuevo Centro de Acceso a la OMPI (ubicado en</w:t>
      </w:r>
      <w:r w:rsidR="00C502EE">
        <w:rPr>
          <w:rFonts w:eastAsiaTheme="minorHAnsi"/>
          <w:szCs w:val="22"/>
          <w:lang w:val="es-ES_tradnl" w:eastAsia="en-US"/>
        </w:rPr>
        <w:t xml:space="preserve"> el </w:t>
      </w:r>
      <w:r w:rsidR="009322C4" w:rsidRPr="002D4995">
        <w:rPr>
          <w:rFonts w:eastAsiaTheme="minorHAnsi"/>
          <w:szCs w:val="22"/>
          <w:lang w:val="es-ES_tradnl" w:eastAsia="en-US"/>
        </w:rPr>
        <w:t xml:space="preserve">frente del edificio AB) y está en funcionamiento desde </w:t>
      </w:r>
      <w:r w:rsidR="008C65EC">
        <w:rPr>
          <w:rFonts w:eastAsiaTheme="minorHAnsi"/>
          <w:szCs w:val="22"/>
          <w:lang w:val="es-ES_tradnl" w:eastAsia="en-US"/>
        </w:rPr>
        <w:t xml:space="preserve">principios de </w:t>
      </w:r>
      <w:r w:rsidR="009322C4" w:rsidRPr="002D4995">
        <w:rPr>
          <w:rFonts w:eastAsiaTheme="minorHAnsi"/>
          <w:szCs w:val="22"/>
          <w:lang w:val="es-ES_tradnl" w:eastAsia="en-US"/>
        </w:rPr>
        <w:t xml:space="preserve">agosto.  La infraestructura del perímetro de seguridad de la nueva sala de conferencias </w:t>
      </w:r>
      <w:r w:rsidR="00E51AB6">
        <w:rPr>
          <w:rFonts w:eastAsiaTheme="minorHAnsi"/>
          <w:szCs w:val="22"/>
          <w:lang w:val="es-ES_tradnl" w:eastAsia="en-US"/>
        </w:rPr>
        <w:t>estará terminada</w:t>
      </w:r>
      <w:r w:rsidR="00E674C6">
        <w:rPr>
          <w:rFonts w:eastAsiaTheme="minorHAnsi"/>
          <w:szCs w:val="22"/>
          <w:lang w:val="es-ES_tradnl" w:eastAsia="en-US"/>
        </w:rPr>
        <w:t xml:space="preserve"> en septiembre de </w:t>
      </w:r>
      <w:r w:rsidR="009322C4" w:rsidRPr="002D4995">
        <w:rPr>
          <w:rFonts w:eastAsiaTheme="minorHAnsi"/>
          <w:szCs w:val="22"/>
          <w:lang w:val="es-ES_tradnl" w:eastAsia="en-US"/>
        </w:rPr>
        <w:t xml:space="preserve">2014. </w:t>
      </w:r>
    </w:p>
    <w:p w:rsidR="002B1F1A" w:rsidRPr="002D4995" w:rsidRDefault="002B1F1A" w:rsidP="002B1F1A">
      <w:pPr>
        <w:rPr>
          <w:rFonts w:eastAsiaTheme="minorHAnsi"/>
          <w:b/>
          <w:szCs w:val="22"/>
          <w:lang w:eastAsia="en-US"/>
        </w:rPr>
      </w:pPr>
    </w:p>
    <w:p w:rsidR="002B1F1A" w:rsidRPr="002D4995" w:rsidRDefault="009322C4" w:rsidP="002B1F1A">
      <w:pPr>
        <w:rPr>
          <w:rFonts w:eastAsiaTheme="minorHAnsi"/>
          <w:szCs w:val="22"/>
          <w:lang w:eastAsia="en-US"/>
        </w:rPr>
      </w:pPr>
      <w:r w:rsidRPr="002D4995">
        <w:rPr>
          <w:rFonts w:eastAsiaTheme="minorHAnsi"/>
          <w:b/>
          <w:szCs w:val="22"/>
          <w:lang w:eastAsia="en-US"/>
        </w:rPr>
        <w:t xml:space="preserve">OBJETIVOS LOGRADOS </w:t>
      </w:r>
      <w:r w:rsidRPr="00F017B0">
        <w:rPr>
          <w:rFonts w:eastAsiaTheme="minorHAnsi"/>
          <w:b/>
          <w:szCs w:val="22"/>
          <w:lang w:eastAsia="en-US"/>
        </w:rPr>
        <w:t>DURANTE EL PERÍODO QUE ABARCA EL INFORME</w:t>
      </w:r>
    </w:p>
    <w:p w:rsidR="002B1F1A" w:rsidRPr="002D4995" w:rsidRDefault="002B1F1A" w:rsidP="002B1F1A">
      <w:pPr>
        <w:outlineLvl w:val="1"/>
      </w:pPr>
    </w:p>
    <w:p w:rsidR="002B1F1A" w:rsidRPr="002D4995" w:rsidRDefault="009322C4" w:rsidP="002B1F1A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val="es-ES_tradnl" w:eastAsia="en-US"/>
        </w:rPr>
      </w:pPr>
      <w:r w:rsidRPr="002D4995">
        <w:rPr>
          <w:rFonts w:eastAsiaTheme="minorHAnsi"/>
          <w:szCs w:val="22"/>
          <w:lang w:val="es-ES_tradnl" w:eastAsia="en-US"/>
        </w:rPr>
        <w:t xml:space="preserve">Como se menciona en el anterior informe del PBC, </w:t>
      </w:r>
      <w:r w:rsidR="008D3830">
        <w:rPr>
          <w:rFonts w:eastAsiaTheme="minorHAnsi"/>
          <w:szCs w:val="22"/>
          <w:lang w:val="es-ES_tradnl" w:eastAsia="en-US"/>
        </w:rPr>
        <w:t>hacia</w:t>
      </w:r>
      <w:r w:rsidR="00D92093" w:rsidRPr="002D4995">
        <w:rPr>
          <w:rFonts w:eastAsiaTheme="minorHAnsi"/>
          <w:szCs w:val="22"/>
          <w:lang w:val="es-ES_tradnl" w:eastAsia="en-US"/>
        </w:rPr>
        <w:t xml:space="preserve"> finales de 2012 se instaló </w:t>
      </w:r>
      <w:r w:rsidR="008D3830">
        <w:rPr>
          <w:rFonts w:eastAsiaTheme="minorHAnsi"/>
          <w:szCs w:val="22"/>
          <w:lang w:val="es-ES_tradnl" w:eastAsia="en-US"/>
        </w:rPr>
        <w:t xml:space="preserve">en </w:t>
      </w:r>
      <w:r w:rsidR="00AA4217">
        <w:rPr>
          <w:rFonts w:eastAsiaTheme="minorHAnsi"/>
          <w:szCs w:val="22"/>
          <w:lang w:val="es-ES_tradnl" w:eastAsia="en-US"/>
        </w:rPr>
        <w:t xml:space="preserve">la sala de </w:t>
      </w:r>
      <w:r w:rsidR="00BE1EA1">
        <w:rPr>
          <w:rFonts w:eastAsiaTheme="minorHAnsi"/>
          <w:szCs w:val="22"/>
          <w:lang w:val="es-ES_tradnl" w:eastAsia="en-US"/>
        </w:rPr>
        <w:t>control</w:t>
      </w:r>
      <w:r w:rsidR="008D3830" w:rsidRPr="002D4995">
        <w:rPr>
          <w:rFonts w:eastAsiaTheme="minorHAnsi"/>
          <w:szCs w:val="22"/>
          <w:lang w:val="es-ES_tradnl" w:eastAsia="en-US"/>
        </w:rPr>
        <w:t xml:space="preserve"> </w:t>
      </w:r>
      <w:r w:rsidR="00D92093" w:rsidRPr="002D4995">
        <w:rPr>
          <w:rFonts w:eastAsiaTheme="minorHAnsi"/>
          <w:szCs w:val="22"/>
          <w:lang w:val="es-ES_tradnl" w:eastAsia="en-US"/>
        </w:rPr>
        <w:t>una red de área local (LAN) independiente y específica</w:t>
      </w:r>
      <w:r w:rsidR="002B1F1A" w:rsidRPr="002D4995">
        <w:rPr>
          <w:rFonts w:eastAsiaTheme="minorHAnsi"/>
          <w:szCs w:val="22"/>
          <w:lang w:val="es-ES_tradnl" w:eastAsia="en-US"/>
        </w:rPr>
        <w:t xml:space="preserve">.  </w:t>
      </w:r>
      <w:r w:rsidR="00D92093" w:rsidRPr="002D4995">
        <w:rPr>
          <w:rFonts w:eastAsiaTheme="minorHAnsi"/>
          <w:szCs w:val="22"/>
          <w:lang w:val="es-ES_tradnl" w:eastAsia="en-US"/>
        </w:rPr>
        <w:t xml:space="preserve">Esta red fundamental de T.I. permitió que a finales de 2013 y principios de 2014 </w:t>
      </w:r>
      <w:r w:rsidR="00AA4217" w:rsidRPr="002D4995">
        <w:rPr>
          <w:rFonts w:eastAsiaTheme="minorHAnsi"/>
          <w:szCs w:val="22"/>
          <w:lang w:val="es-ES_tradnl" w:eastAsia="en-US"/>
        </w:rPr>
        <w:t xml:space="preserve">quedaran conectados </w:t>
      </w:r>
      <w:r w:rsidR="00AA4217">
        <w:rPr>
          <w:rFonts w:eastAsiaTheme="minorHAnsi"/>
          <w:szCs w:val="22"/>
          <w:lang w:val="es-ES_tradnl" w:eastAsia="en-US"/>
        </w:rPr>
        <w:t xml:space="preserve">con la sala de </w:t>
      </w:r>
      <w:r w:rsidR="00BE1EA1">
        <w:rPr>
          <w:rFonts w:eastAsiaTheme="minorHAnsi"/>
          <w:szCs w:val="22"/>
          <w:lang w:val="es-ES_tradnl" w:eastAsia="en-US"/>
        </w:rPr>
        <w:t>control</w:t>
      </w:r>
      <w:r w:rsidR="00AA4217" w:rsidRPr="002D4995">
        <w:rPr>
          <w:rFonts w:eastAsiaTheme="minorHAnsi"/>
          <w:szCs w:val="22"/>
          <w:lang w:val="es-ES_tradnl" w:eastAsia="en-US"/>
        </w:rPr>
        <w:t xml:space="preserve"> </w:t>
      </w:r>
      <w:r w:rsidR="00D92093" w:rsidRPr="002D4995">
        <w:rPr>
          <w:rFonts w:eastAsiaTheme="minorHAnsi"/>
          <w:szCs w:val="22"/>
          <w:lang w:val="es-ES_tradnl" w:eastAsia="en-US"/>
        </w:rPr>
        <w:t xml:space="preserve">diversos sistemas técnicos (cámaras de televisión en circuito cerrado, </w:t>
      </w:r>
      <w:r w:rsidR="00AA4217">
        <w:rPr>
          <w:rFonts w:eastAsiaTheme="minorHAnsi"/>
          <w:szCs w:val="22"/>
          <w:lang w:val="es-ES_tradnl" w:eastAsia="en-US"/>
        </w:rPr>
        <w:t xml:space="preserve">sistemas de </w:t>
      </w:r>
      <w:r w:rsidR="00D92093" w:rsidRPr="002D4995">
        <w:rPr>
          <w:rFonts w:eastAsiaTheme="minorHAnsi"/>
          <w:szCs w:val="22"/>
          <w:lang w:val="es-ES_tradnl" w:eastAsia="en-US"/>
        </w:rPr>
        <w:t xml:space="preserve">control de acceso y </w:t>
      </w:r>
      <w:r w:rsidR="008C65EC">
        <w:rPr>
          <w:rFonts w:eastAsiaTheme="minorHAnsi"/>
          <w:szCs w:val="22"/>
          <w:lang w:val="es-ES_tradnl" w:eastAsia="en-US"/>
        </w:rPr>
        <w:t xml:space="preserve">sistemas </w:t>
      </w:r>
      <w:r w:rsidR="00D92093" w:rsidRPr="002D4995">
        <w:rPr>
          <w:rFonts w:eastAsiaTheme="minorHAnsi"/>
          <w:szCs w:val="22"/>
          <w:lang w:val="es-ES_tradnl" w:eastAsia="en-US"/>
        </w:rPr>
        <w:t xml:space="preserve">contra intrusiones).  </w:t>
      </w:r>
      <w:r w:rsidR="00AF0AA7">
        <w:rPr>
          <w:rFonts w:eastAsiaTheme="minorHAnsi"/>
          <w:szCs w:val="22"/>
          <w:lang w:val="es-ES_tradnl" w:eastAsia="en-US"/>
        </w:rPr>
        <w:t>Esta</w:t>
      </w:r>
      <w:r w:rsidR="00232C70" w:rsidRPr="00AA4217">
        <w:rPr>
          <w:rFonts w:eastAsiaTheme="minorHAnsi"/>
          <w:szCs w:val="22"/>
          <w:lang w:val="es-ES_tradnl" w:eastAsia="en-US"/>
        </w:rPr>
        <w:t xml:space="preserve"> </w:t>
      </w:r>
      <w:r w:rsidR="00D92093" w:rsidRPr="00AA4217">
        <w:rPr>
          <w:rFonts w:eastAsiaTheme="minorHAnsi"/>
          <w:szCs w:val="22"/>
          <w:lang w:val="es-ES_tradnl" w:eastAsia="en-US"/>
        </w:rPr>
        <w:t xml:space="preserve">LAN </w:t>
      </w:r>
      <w:r w:rsidR="00AF0AA7">
        <w:rPr>
          <w:rFonts w:eastAsiaTheme="minorHAnsi"/>
          <w:szCs w:val="22"/>
          <w:lang w:val="es-ES_tradnl" w:eastAsia="en-US"/>
        </w:rPr>
        <w:t>específica</w:t>
      </w:r>
      <w:r w:rsidR="00232C70" w:rsidRPr="00AA4217">
        <w:rPr>
          <w:rFonts w:eastAsiaTheme="minorHAnsi"/>
          <w:szCs w:val="22"/>
          <w:lang w:val="es-ES_tradnl" w:eastAsia="en-US"/>
        </w:rPr>
        <w:t xml:space="preserve"> es fundamental para asegurar </w:t>
      </w:r>
      <w:r w:rsidR="00A14B2C">
        <w:rPr>
          <w:rFonts w:eastAsiaTheme="minorHAnsi"/>
          <w:szCs w:val="22"/>
          <w:lang w:val="es-ES_tradnl" w:eastAsia="en-US"/>
        </w:rPr>
        <w:t>el</w:t>
      </w:r>
      <w:r w:rsidR="00232C70" w:rsidRPr="00AA4217">
        <w:rPr>
          <w:rFonts w:eastAsiaTheme="minorHAnsi"/>
          <w:szCs w:val="22"/>
          <w:lang w:val="es-ES_tradnl" w:eastAsia="en-US"/>
        </w:rPr>
        <w:t xml:space="preserve"> funcionamiento y </w:t>
      </w:r>
      <w:r w:rsidR="00A14B2C">
        <w:rPr>
          <w:rFonts w:eastAsiaTheme="minorHAnsi"/>
          <w:szCs w:val="22"/>
          <w:lang w:val="es-ES_tradnl" w:eastAsia="en-US"/>
        </w:rPr>
        <w:t xml:space="preserve">la </w:t>
      </w:r>
      <w:r w:rsidR="00232C70" w:rsidRPr="00AA4217">
        <w:rPr>
          <w:rFonts w:eastAsiaTheme="minorHAnsi"/>
          <w:szCs w:val="22"/>
          <w:lang w:val="es-ES_tradnl" w:eastAsia="en-US"/>
        </w:rPr>
        <w:t>disp</w:t>
      </w:r>
      <w:r w:rsidR="00A14B2C">
        <w:rPr>
          <w:rFonts w:eastAsiaTheme="minorHAnsi"/>
          <w:szCs w:val="22"/>
          <w:lang w:val="es-ES_tradnl" w:eastAsia="en-US"/>
        </w:rPr>
        <w:t>onibilidad autónomos</w:t>
      </w:r>
      <w:r w:rsidR="00232C70" w:rsidRPr="00AA4217">
        <w:rPr>
          <w:rFonts w:eastAsiaTheme="minorHAnsi"/>
          <w:szCs w:val="22"/>
          <w:lang w:val="es-ES_tradnl" w:eastAsia="en-US"/>
        </w:rPr>
        <w:t xml:space="preserve"> de los principales</w:t>
      </w:r>
      <w:r w:rsidR="00232C70" w:rsidRPr="002D4995">
        <w:rPr>
          <w:rFonts w:eastAsiaTheme="minorHAnsi"/>
          <w:szCs w:val="22"/>
          <w:lang w:val="es-ES_tradnl" w:eastAsia="en-US"/>
        </w:rPr>
        <w:t xml:space="preserve"> sistemas de seguridad y vigilancia</w:t>
      </w:r>
      <w:r w:rsidR="00A14B2C">
        <w:rPr>
          <w:rFonts w:eastAsiaTheme="minorHAnsi"/>
          <w:szCs w:val="22"/>
          <w:lang w:val="es-ES_tradnl" w:eastAsia="en-US"/>
        </w:rPr>
        <w:t>,</w:t>
      </w:r>
      <w:r w:rsidR="00232C70" w:rsidRPr="002D4995">
        <w:rPr>
          <w:rFonts w:eastAsiaTheme="minorHAnsi"/>
          <w:szCs w:val="22"/>
          <w:lang w:val="es-ES_tradnl" w:eastAsia="en-US"/>
        </w:rPr>
        <w:t xml:space="preserve"> que funcionar</w:t>
      </w:r>
      <w:r w:rsidR="00AF0AA7">
        <w:rPr>
          <w:rFonts w:eastAsiaTheme="minorHAnsi"/>
          <w:szCs w:val="22"/>
          <w:lang w:val="es-ES_tradnl" w:eastAsia="en-US"/>
        </w:rPr>
        <w:t xml:space="preserve">án de manera independiente </w:t>
      </w:r>
      <w:r w:rsidR="00C502EE">
        <w:rPr>
          <w:rFonts w:eastAsiaTheme="minorHAnsi"/>
          <w:szCs w:val="22"/>
          <w:lang w:val="es-ES_tradnl" w:eastAsia="en-US"/>
        </w:rPr>
        <w:t>de</w:t>
      </w:r>
      <w:r w:rsidR="00AF0AA7">
        <w:rPr>
          <w:rFonts w:eastAsiaTheme="minorHAnsi"/>
          <w:szCs w:val="22"/>
          <w:lang w:val="es-ES_tradnl" w:eastAsia="en-US"/>
        </w:rPr>
        <w:t xml:space="preserve"> todas las demás </w:t>
      </w:r>
      <w:r w:rsidR="00232C70" w:rsidRPr="002D4995">
        <w:rPr>
          <w:rFonts w:eastAsiaTheme="minorHAnsi"/>
          <w:szCs w:val="22"/>
          <w:lang w:val="es-ES_tradnl" w:eastAsia="en-US"/>
        </w:rPr>
        <w:t xml:space="preserve">redes de T.I. de la OMPI.  </w:t>
      </w:r>
      <w:r w:rsidR="00A14B2C">
        <w:rPr>
          <w:rFonts w:eastAsiaTheme="minorHAnsi"/>
          <w:szCs w:val="22"/>
          <w:lang w:val="es-ES_tradnl" w:eastAsia="en-US"/>
        </w:rPr>
        <w:t>E</w:t>
      </w:r>
      <w:r w:rsidR="00232C70" w:rsidRPr="002D4995">
        <w:rPr>
          <w:rFonts w:eastAsiaTheme="minorHAnsi"/>
          <w:szCs w:val="22"/>
          <w:lang w:val="es-ES_tradnl" w:eastAsia="en-US"/>
        </w:rPr>
        <w:t>stá previsto que</w:t>
      </w:r>
      <w:r w:rsidR="00A14B2C">
        <w:rPr>
          <w:rFonts w:eastAsiaTheme="minorHAnsi"/>
          <w:szCs w:val="22"/>
          <w:lang w:val="es-ES_tradnl" w:eastAsia="en-US"/>
        </w:rPr>
        <w:t>,</w:t>
      </w:r>
      <w:r w:rsidR="00232C70" w:rsidRPr="002D4995">
        <w:rPr>
          <w:rFonts w:eastAsiaTheme="minorHAnsi"/>
          <w:szCs w:val="22"/>
          <w:lang w:val="es-ES_tradnl" w:eastAsia="en-US"/>
        </w:rPr>
        <w:t xml:space="preserve"> </w:t>
      </w:r>
      <w:r w:rsidR="00A14B2C">
        <w:rPr>
          <w:rFonts w:eastAsiaTheme="minorHAnsi"/>
          <w:szCs w:val="22"/>
          <w:lang w:val="es-ES_tradnl" w:eastAsia="en-US"/>
        </w:rPr>
        <w:t>para</w:t>
      </w:r>
      <w:r w:rsidR="00A14B2C" w:rsidRPr="002D4995">
        <w:rPr>
          <w:rFonts w:eastAsiaTheme="minorHAnsi"/>
          <w:szCs w:val="22"/>
          <w:lang w:val="es-ES_tradnl" w:eastAsia="en-US"/>
        </w:rPr>
        <w:t xml:space="preserve"> septiembre de 2014</w:t>
      </w:r>
      <w:r w:rsidR="00A14B2C">
        <w:rPr>
          <w:rFonts w:eastAsiaTheme="minorHAnsi"/>
          <w:szCs w:val="22"/>
          <w:lang w:val="es-ES_tradnl" w:eastAsia="en-US"/>
        </w:rPr>
        <w:t xml:space="preserve">, </w:t>
      </w:r>
      <w:r w:rsidR="00232C70" w:rsidRPr="002D4995">
        <w:rPr>
          <w:rFonts w:eastAsiaTheme="minorHAnsi"/>
          <w:szCs w:val="22"/>
          <w:lang w:val="es-ES_tradnl" w:eastAsia="en-US"/>
        </w:rPr>
        <w:t>el resto de tales sistemas de comunicación, supervisión y detección esté integrado en dicha LAN.</w:t>
      </w:r>
    </w:p>
    <w:p w:rsidR="002B1F1A" w:rsidRPr="002D4995" w:rsidRDefault="002B1F1A" w:rsidP="002B1F1A">
      <w:pPr>
        <w:pStyle w:val="ListParagraph"/>
        <w:ind w:left="0"/>
        <w:outlineLvl w:val="1"/>
        <w:rPr>
          <w:rFonts w:eastAsiaTheme="minorHAnsi"/>
          <w:szCs w:val="22"/>
          <w:lang w:val="es-ES_tradnl" w:eastAsia="en-US"/>
        </w:rPr>
      </w:pPr>
    </w:p>
    <w:p w:rsidR="002B1F1A" w:rsidRPr="002D4995" w:rsidRDefault="00AF0AA7" w:rsidP="002B1F1A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val="es-ES_tradnl" w:eastAsia="en-US"/>
        </w:rPr>
      </w:pPr>
      <w:r>
        <w:rPr>
          <w:rFonts w:eastAsiaTheme="minorHAnsi"/>
          <w:szCs w:val="22"/>
          <w:lang w:val="es-ES_tradnl" w:eastAsia="en-US"/>
        </w:rPr>
        <w:t>E</w:t>
      </w:r>
      <w:r w:rsidR="00B16782" w:rsidRPr="002D4995">
        <w:rPr>
          <w:rFonts w:eastAsiaTheme="minorHAnsi"/>
          <w:szCs w:val="22"/>
          <w:lang w:val="es-ES_tradnl" w:eastAsia="en-US"/>
        </w:rPr>
        <w:t xml:space="preserve">l nuevo Centro de Acceso </w:t>
      </w:r>
      <w:r>
        <w:rPr>
          <w:rFonts w:eastAsiaTheme="minorHAnsi"/>
          <w:szCs w:val="22"/>
          <w:lang w:val="es-ES_tradnl" w:eastAsia="en-US"/>
        </w:rPr>
        <w:t xml:space="preserve">ya está construido </w:t>
      </w:r>
      <w:r w:rsidR="00B16782" w:rsidRPr="002D4995">
        <w:rPr>
          <w:rFonts w:eastAsiaTheme="minorHAnsi"/>
          <w:szCs w:val="22"/>
          <w:lang w:val="es-ES_tradnl" w:eastAsia="en-US"/>
        </w:rPr>
        <w:t>y se ha hecho entreg</w:t>
      </w:r>
      <w:r w:rsidR="00306CE9" w:rsidRPr="002D4995">
        <w:rPr>
          <w:rFonts w:eastAsiaTheme="minorHAnsi"/>
          <w:szCs w:val="22"/>
          <w:lang w:val="es-ES_tradnl" w:eastAsia="en-US"/>
        </w:rPr>
        <w:t>a oficial de la obra a la OMPI.  La avanzada tecnología de que dispone el Centro de Acceso permitir</w:t>
      </w:r>
      <w:r w:rsidR="00972A7C" w:rsidRPr="002D4995">
        <w:rPr>
          <w:rFonts w:eastAsiaTheme="minorHAnsi"/>
          <w:szCs w:val="22"/>
          <w:lang w:val="es-ES_tradnl" w:eastAsia="en-US"/>
        </w:rPr>
        <w:t>á</w:t>
      </w:r>
      <w:r w:rsidR="00306CE9" w:rsidRPr="002D4995">
        <w:rPr>
          <w:rFonts w:eastAsiaTheme="minorHAnsi"/>
          <w:szCs w:val="22"/>
          <w:lang w:val="es-ES_tradnl" w:eastAsia="en-US"/>
        </w:rPr>
        <w:t xml:space="preserve"> al Servicio de Coordinación en materia </w:t>
      </w:r>
      <w:r w:rsidR="00CA3137">
        <w:rPr>
          <w:rFonts w:eastAsiaTheme="minorHAnsi"/>
          <w:szCs w:val="22"/>
          <w:lang w:val="es-ES_tradnl" w:eastAsia="en-US"/>
        </w:rPr>
        <w:t xml:space="preserve">de </w:t>
      </w:r>
      <w:r w:rsidR="00306CE9" w:rsidRPr="002D4995">
        <w:rPr>
          <w:rFonts w:eastAsiaTheme="minorHAnsi"/>
          <w:szCs w:val="22"/>
          <w:lang w:val="es-ES_tradnl" w:eastAsia="en-US"/>
        </w:rPr>
        <w:t>Seguridad y Vigilancia de la OMPI</w:t>
      </w:r>
      <w:r w:rsidR="00A12177" w:rsidRPr="002D4995">
        <w:rPr>
          <w:rFonts w:eastAsiaTheme="minorHAnsi"/>
          <w:szCs w:val="22"/>
          <w:lang w:val="es-ES_tradnl" w:eastAsia="en-US"/>
        </w:rPr>
        <w:t xml:space="preserve"> gestionar eficazmente el acceso de los peatones y los vehículos a los edificios de la </w:t>
      </w:r>
      <w:r w:rsidR="00972A7C" w:rsidRPr="002D4995">
        <w:rPr>
          <w:rFonts w:eastAsiaTheme="minorHAnsi"/>
          <w:szCs w:val="22"/>
          <w:lang w:val="es-ES_tradnl" w:eastAsia="en-US"/>
        </w:rPr>
        <w:t>Organización</w:t>
      </w:r>
      <w:r w:rsidR="00A12177" w:rsidRPr="002D4995">
        <w:rPr>
          <w:rFonts w:eastAsiaTheme="minorHAnsi"/>
          <w:szCs w:val="22"/>
          <w:lang w:val="es-ES_tradnl" w:eastAsia="en-US"/>
        </w:rPr>
        <w:t>.  Ha concluido la formación</w:t>
      </w:r>
      <w:r w:rsidR="00CA3137">
        <w:rPr>
          <w:rFonts w:eastAsiaTheme="minorHAnsi"/>
          <w:szCs w:val="22"/>
          <w:lang w:val="es-ES_tradnl" w:eastAsia="en-US"/>
        </w:rPr>
        <w:t>,</w:t>
      </w:r>
      <w:r w:rsidR="00A12177" w:rsidRPr="002D4995">
        <w:rPr>
          <w:rFonts w:eastAsiaTheme="minorHAnsi"/>
          <w:szCs w:val="22"/>
          <w:lang w:val="es-ES_tradnl" w:eastAsia="en-US"/>
        </w:rPr>
        <w:t xml:space="preserve"> </w:t>
      </w:r>
      <w:r w:rsidR="00CA3137">
        <w:rPr>
          <w:rFonts w:eastAsiaTheme="minorHAnsi"/>
          <w:szCs w:val="22"/>
          <w:lang w:val="es-ES_tradnl" w:eastAsia="en-US"/>
        </w:rPr>
        <w:t>destinada al</w:t>
      </w:r>
      <w:r w:rsidR="00A12177" w:rsidRPr="002D4995">
        <w:rPr>
          <w:rFonts w:eastAsiaTheme="minorHAnsi"/>
          <w:szCs w:val="22"/>
          <w:lang w:val="es-ES_tradnl" w:eastAsia="en-US"/>
        </w:rPr>
        <w:t xml:space="preserve"> personal de la OMPI y </w:t>
      </w:r>
      <w:r w:rsidR="00CA3137">
        <w:rPr>
          <w:rFonts w:eastAsiaTheme="minorHAnsi"/>
          <w:szCs w:val="22"/>
          <w:lang w:val="es-ES_tradnl" w:eastAsia="en-US"/>
        </w:rPr>
        <w:t>a</w:t>
      </w:r>
      <w:r w:rsidR="00A12177" w:rsidRPr="002D4995">
        <w:rPr>
          <w:rFonts w:eastAsiaTheme="minorHAnsi"/>
          <w:szCs w:val="22"/>
          <w:lang w:val="es-ES_tradnl" w:eastAsia="en-US"/>
        </w:rPr>
        <w:t xml:space="preserve"> los guardias de seguridad </w:t>
      </w:r>
      <w:r w:rsidR="00CA3137">
        <w:rPr>
          <w:rFonts w:eastAsiaTheme="minorHAnsi"/>
          <w:szCs w:val="22"/>
          <w:lang w:val="es-ES_tradnl" w:eastAsia="en-US"/>
        </w:rPr>
        <w:t>contratados, en</w:t>
      </w:r>
      <w:r w:rsidR="00A12177" w:rsidRPr="002D4995">
        <w:rPr>
          <w:rFonts w:eastAsiaTheme="minorHAnsi"/>
          <w:szCs w:val="22"/>
          <w:lang w:val="es-ES_tradnl" w:eastAsia="en-US"/>
        </w:rPr>
        <w:t xml:space="preserve"> el uso de tales sistemas de alta tecnología (julio de 2014).  </w:t>
      </w:r>
      <w:r w:rsidR="00A14B2C">
        <w:rPr>
          <w:rFonts w:eastAsiaTheme="minorHAnsi"/>
          <w:szCs w:val="22"/>
          <w:lang w:val="es-ES_tradnl" w:eastAsia="en-US"/>
        </w:rPr>
        <w:t>E</w:t>
      </w:r>
      <w:r w:rsidR="00A12177" w:rsidRPr="002D4995">
        <w:rPr>
          <w:rFonts w:eastAsiaTheme="minorHAnsi"/>
          <w:szCs w:val="22"/>
          <w:lang w:val="es-ES_tradnl" w:eastAsia="en-US"/>
        </w:rPr>
        <w:t>stá</w:t>
      </w:r>
      <w:r w:rsidR="00C502EE">
        <w:rPr>
          <w:rFonts w:eastAsiaTheme="minorHAnsi"/>
          <w:szCs w:val="22"/>
          <w:lang w:val="es-ES_tradnl" w:eastAsia="en-US"/>
        </w:rPr>
        <w:t>n</w:t>
      </w:r>
      <w:r w:rsidR="00A12177" w:rsidRPr="002D4995">
        <w:rPr>
          <w:rFonts w:eastAsiaTheme="minorHAnsi"/>
          <w:szCs w:val="22"/>
          <w:lang w:val="es-ES_tradnl" w:eastAsia="en-US"/>
        </w:rPr>
        <w:t xml:space="preserve"> en curso </w:t>
      </w:r>
      <w:r w:rsidR="00972A7C" w:rsidRPr="002D4995">
        <w:rPr>
          <w:rFonts w:eastAsiaTheme="minorHAnsi"/>
          <w:szCs w:val="22"/>
          <w:lang w:val="es-ES_tradnl" w:eastAsia="en-US"/>
        </w:rPr>
        <w:t xml:space="preserve">el acondicionamiento y las pruebas de los diversos sistemas técnicos de control e intervención en materia de seguridad y vigilancia.  </w:t>
      </w:r>
    </w:p>
    <w:p w:rsidR="00E674C6" w:rsidRDefault="00E674C6" w:rsidP="00E674C6">
      <w:pPr>
        <w:spacing w:line="276" w:lineRule="auto"/>
        <w:rPr>
          <w:rFonts w:eastAsiaTheme="minorHAnsi"/>
          <w:b/>
          <w:szCs w:val="22"/>
          <w:lang w:eastAsia="en-US"/>
        </w:rPr>
      </w:pPr>
    </w:p>
    <w:p w:rsidR="00E674C6" w:rsidRDefault="00E674C6">
      <w:pPr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br w:type="page"/>
      </w:r>
    </w:p>
    <w:p w:rsidR="002B1F1A" w:rsidRPr="002D4995" w:rsidRDefault="00972A7C" w:rsidP="00E674C6">
      <w:pPr>
        <w:spacing w:line="276" w:lineRule="auto"/>
        <w:rPr>
          <w:rFonts w:eastAsiaTheme="minorHAnsi"/>
          <w:b/>
          <w:szCs w:val="22"/>
          <w:lang w:eastAsia="en-US"/>
        </w:rPr>
      </w:pPr>
      <w:r w:rsidRPr="002D4995">
        <w:rPr>
          <w:rFonts w:eastAsiaTheme="minorHAnsi"/>
          <w:b/>
          <w:szCs w:val="22"/>
          <w:lang w:eastAsia="en-US"/>
        </w:rPr>
        <w:lastRenderedPageBreak/>
        <w:t>UTILIZACIÓN DEL PRESUPUESTO APROBADO</w:t>
      </w:r>
    </w:p>
    <w:p w:rsidR="002B1F1A" w:rsidRPr="002D4995" w:rsidRDefault="002B1F1A" w:rsidP="00E674C6">
      <w:pPr>
        <w:rPr>
          <w:rFonts w:eastAsiaTheme="minorHAnsi"/>
          <w:b/>
          <w:szCs w:val="22"/>
          <w:lang w:eastAsia="en-US"/>
        </w:rPr>
      </w:pPr>
    </w:p>
    <w:p w:rsidR="002B1F1A" w:rsidRPr="002D4995" w:rsidRDefault="00972A7C" w:rsidP="00E674C6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val="es-ES_tradnl" w:eastAsia="en-US"/>
        </w:rPr>
      </w:pPr>
      <w:r w:rsidRPr="002D4995">
        <w:rPr>
          <w:rFonts w:eastAsiaTheme="minorHAnsi"/>
          <w:szCs w:val="22"/>
          <w:lang w:val="es-ES_tradnl" w:eastAsia="en-US"/>
        </w:rPr>
        <w:t xml:space="preserve">Se recuerda que </w:t>
      </w:r>
      <w:r w:rsidR="00F64076" w:rsidRPr="002D4995">
        <w:rPr>
          <w:rFonts w:eastAsiaTheme="minorHAnsi"/>
          <w:szCs w:val="22"/>
          <w:lang w:val="es-ES_tradnl" w:eastAsia="en-US"/>
        </w:rPr>
        <w:t>la financiación del</w:t>
      </w:r>
      <w:r w:rsidRPr="002D4995">
        <w:rPr>
          <w:rFonts w:eastAsiaTheme="minorHAnsi"/>
          <w:szCs w:val="22"/>
          <w:lang w:val="es-ES_tradnl" w:eastAsia="en-US"/>
        </w:rPr>
        <w:t xml:space="preserve"> </w:t>
      </w:r>
      <w:r w:rsidR="00C667C3">
        <w:rPr>
          <w:rFonts w:eastAsiaTheme="minorHAnsi"/>
          <w:szCs w:val="22"/>
          <w:lang w:val="es-ES_tradnl" w:eastAsia="en-US"/>
        </w:rPr>
        <w:t>p</w:t>
      </w:r>
      <w:r w:rsidR="00434E95" w:rsidRPr="002D4995">
        <w:rPr>
          <w:rFonts w:eastAsiaTheme="minorHAnsi"/>
          <w:szCs w:val="22"/>
          <w:lang w:val="es-ES_tradnl" w:eastAsia="en-US"/>
        </w:rPr>
        <w:t xml:space="preserve">royecto para reforzar las normas de seguridad y vigilancia de los actuales edificios de la OMPI </w:t>
      </w:r>
      <w:r w:rsidR="00C502EE">
        <w:rPr>
          <w:rFonts w:eastAsiaTheme="minorHAnsi"/>
          <w:szCs w:val="22"/>
          <w:lang w:val="es-ES_tradnl" w:eastAsia="en-US"/>
        </w:rPr>
        <w:t>es</w:t>
      </w:r>
      <w:r w:rsidR="00F64076" w:rsidRPr="002D4995">
        <w:rPr>
          <w:rFonts w:eastAsiaTheme="minorHAnsi"/>
          <w:szCs w:val="22"/>
          <w:lang w:val="es-ES_tradnl" w:eastAsia="en-US"/>
        </w:rPr>
        <w:t xml:space="preserve"> un plan común</w:t>
      </w:r>
      <w:r w:rsidR="00434E95" w:rsidRPr="002D4995">
        <w:rPr>
          <w:rFonts w:eastAsiaTheme="minorHAnsi"/>
          <w:szCs w:val="22"/>
          <w:lang w:val="es-ES_tradnl" w:eastAsia="en-US"/>
        </w:rPr>
        <w:t xml:space="preserve"> entre la OMPI y el país anfitrión</w:t>
      </w:r>
      <w:r w:rsidR="002B1F1A" w:rsidRPr="002D4995">
        <w:rPr>
          <w:rFonts w:eastAsiaTheme="minorHAnsi"/>
          <w:szCs w:val="22"/>
          <w:lang w:val="es-ES_tradnl" w:eastAsia="en-US"/>
        </w:rPr>
        <w:t xml:space="preserve">.  </w:t>
      </w:r>
      <w:r w:rsidR="00F64076" w:rsidRPr="002D4995">
        <w:rPr>
          <w:rFonts w:eastAsiaTheme="minorHAnsi"/>
          <w:szCs w:val="22"/>
          <w:lang w:val="es-ES_tradnl" w:eastAsia="en-US"/>
        </w:rPr>
        <w:t>El</w:t>
      </w:r>
      <w:r w:rsidR="00434E95" w:rsidRPr="002D4995">
        <w:rPr>
          <w:rFonts w:eastAsiaTheme="minorHAnsi"/>
          <w:szCs w:val="22"/>
          <w:lang w:val="es-ES_tradnl" w:eastAsia="en-US"/>
        </w:rPr>
        <w:t xml:space="preserve"> país anfitrión </w:t>
      </w:r>
      <w:r w:rsidR="00F64076" w:rsidRPr="002D4995">
        <w:rPr>
          <w:rFonts w:eastAsiaTheme="minorHAnsi"/>
          <w:szCs w:val="22"/>
          <w:lang w:val="es-ES_tradnl" w:eastAsia="en-US"/>
        </w:rPr>
        <w:t>aportó</w:t>
      </w:r>
      <w:r w:rsidR="00434E95" w:rsidRPr="002D4995">
        <w:rPr>
          <w:rFonts w:eastAsiaTheme="minorHAnsi"/>
          <w:szCs w:val="22"/>
          <w:lang w:val="es-ES_tradnl" w:eastAsia="en-US"/>
        </w:rPr>
        <w:t xml:space="preserve"> 5</w:t>
      </w:r>
      <w:r w:rsidR="00C667C3">
        <w:rPr>
          <w:rFonts w:eastAsiaTheme="minorHAnsi"/>
          <w:szCs w:val="22"/>
          <w:lang w:val="es-ES_tradnl" w:eastAsia="en-US"/>
        </w:rPr>
        <w:t xml:space="preserve"> millones de</w:t>
      </w:r>
      <w:r w:rsidR="00E674C6">
        <w:rPr>
          <w:rFonts w:eastAsiaTheme="minorHAnsi"/>
          <w:szCs w:val="22"/>
          <w:lang w:val="es-ES_tradnl" w:eastAsia="en-US"/>
        </w:rPr>
        <w:t xml:space="preserve"> </w:t>
      </w:r>
      <w:r w:rsidR="00434E95" w:rsidRPr="002D4995">
        <w:rPr>
          <w:rFonts w:eastAsiaTheme="minorHAnsi"/>
          <w:szCs w:val="22"/>
          <w:lang w:val="es-ES_tradnl" w:eastAsia="en-US"/>
        </w:rPr>
        <w:t>francos</w:t>
      </w:r>
      <w:r w:rsidR="00E674C6">
        <w:rPr>
          <w:rFonts w:eastAsiaTheme="minorHAnsi"/>
          <w:szCs w:val="22"/>
          <w:lang w:val="es-ES_tradnl" w:eastAsia="en-US"/>
        </w:rPr>
        <w:t xml:space="preserve"> </w:t>
      </w:r>
      <w:r w:rsidR="002133ED" w:rsidRPr="002D4995">
        <w:rPr>
          <w:rFonts w:eastAsiaTheme="minorHAnsi"/>
          <w:szCs w:val="22"/>
          <w:lang w:val="es-ES_tradnl" w:eastAsia="en-US"/>
        </w:rPr>
        <w:t>suizos</w:t>
      </w:r>
      <w:r w:rsidR="00A14B2C">
        <w:rPr>
          <w:rFonts w:eastAsiaTheme="minorHAnsi"/>
          <w:szCs w:val="22"/>
          <w:lang w:val="es-ES_tradnl" w:eastAsia="en-US"/>
        </w:rPr>
        <w:t>,</w:t>
      </w:r>
      <w:r w:rsidR="002133ED" w:rsidRPr="002D4995">
        <w:rPr>
          <w:rFonts w:eastAsiaTheme="minorHAnsi"/>
          <w:szCs w:val="22"/>
          <w:lang w:val="es-ES_tradnl" w:eastAsia="en-US"/>
        </w:rPr>
        <w:t xml:space="preserve"> </w:t>
      </w:r>
      <w:r w:rsidR="00F64076" w:rsidRPr="002D4995">
        <w:rPr>
          <w:rFonts w:eastAsiaTheme="minorHAnsi"/>
          <w:szCs w:val="22"/>
          <w:lang w:val="es-ES_tradnl" w:eastAsia="en-US"/>
        </w:rPr>
        <w:t>destinados</w:t>
      </w:r>
      <w:r w:rsidR="00434E95" w:rsidRPr="002D4995">
        <w:rPr>
          <w:rFonts w:eastAsiaTheme="minorHAnsi"/>
          <w:szCs w:val="22"/>
          <w:lang w:val="es-ES_tradnl" w:eastAsia="en-US"/>
        </w:rPr>
        <w:t xml:space="preserve"> a cubr</w:t>
      </w:r>
      <w:r w:rsidR="002133ED" w:rsidRPr="002D4995">
        <w:rPr>
          <w:rFonts w:eastAsiaTheme="minorHAnsi"/>
          <w:szCs w:val="22"/>
          <w:lang w:val="es-ES_tradnl" w:eastAsia="en-US"/>
        </w:rPr>
        <w:t>ir el costo de diversas medidas</w:t>
      </w:r>
      <w:r w:rsidR="00C667C3">
        <w:rPr>
          <w:rFonts w:eastAsiaTheme="minorHAnsi"/>
          <w:szCs w:val="22"/>
          <w:lang w:val="es-ES_tradnl" w:eastAsia="en-US"/>
        </w:rPr>
        <w:t xml:space="preserve"> externas</w:t>
      </w:r>
      <w:r w:rsidR="00434E95" w:rsidRPr="002D4995">
        <w:rPr>
          <w:rFonts w:eastAsiaTheme="minorHAnsi"/>
          <w:szCs w:val="22"/>
          <w:lang w:val="es-ES_tradnl" w:eastAsia="en-US"/>
        </w:rPr>
        <w:t xml:space="preserve"> de seguridad</w:t>
      </w:r>
      <w:r w:rsidR="002133ED" w:rsidRPr="002D4995">
        <w:rPr>
          <w:rFonts w:eastAsiaTheme="minorHAnsi"/>
          <w:szCs w:val="22"/>
          <w:lang w:val="es-ES_tradnl" w:eastAsia="en-US"/>
        </w:rPr>
        <w:t>;  por su parte, la OMPI aprobó un presupuesto de 7</w:t>
      </w:r>
      <w:r w:rsidR="00C667C3">
        <w:rPr>
          <w:rFonts w:eastAsiaTheme="minorHAnsi"/>
          <w:szCs w:val="22"/>
          <w:lang w:val="es-ES_tradnl" w:eastAsia="en-US"/>
        </w:rPr>
        <w:t>,6 millones de</w:t>
      </w:r>
      <w:r w:rsidR="00E674C6">
        <w:rPr>
          <w:rFonts w:eastAsiaTheme="minorHAnsi"/>
          <w:szCs w:val="22"/>
          <w:lang w:val="es-ES_tradnl" w:eastAsia="en-US"/>
        </w:rPr>
        <w:t xml:space="preserve"> </w:t>
      </w:r>
      <w:r w:rsidR="002133ED" w:rsidRPr="002D4995">
        <w:rPr>
          <w:rFonts w:eastAsiaTheme="minorHAnsi"/>
          <w:szCs w:val="22"/>
          <w:lang w:val="es-ES_tradnl" w:eastAsia="en-US"/>
        </w:rPr>
        <w:t>francos</w:t>
      </w:r>
      <w:r w:rsidR="00E674C6">
        <w:rPr>
          <w:rFonts w:eastAsiaTheme="minorHAnsi"/>
          <w:szCs w:val="22"/>
          <w:lang w:val="es-ES_tradnl" w:eastAsia="en-US"/>
        </w:rPr>
        <w:t xml:space="preserve"> </w:t>
      </w:r>
      <w:r w:rsidR="002133ED" w:rsidRPr="002D4995">
        <w:rPr>
          <w:rFonts w:eastAsiaTheme="minorHAnsi"/>
          <w:szCs w:val="22"/>
          <w:lang w:val="es-ES_tradnl" w:eastAsia="en-US"/>
        </w:rPr>
        <w:t>suizos</w:t>
      </w:r>
      <w:r w:rsidR="00A14B2C">
        <w:rPr>
          <w:rFonts w:eastAsiaTheme="minorHAnsi"/>
          <w:szCs w:val="22"/>
          <w:lang w:val="es-ES_tradnl" w:eastAsia="en-US"/>
        </w:rPr>
        <w:t>,</w:t>
      </w:r>
      <w:r w:rsidR="002133ED" w:rsidRPr="002D4995">
        <w:rPr>
          <w:rFonts w:eastAsiaTheme="minorHAnsi"/>
          <w:szCs w:val="22"/>
          <w:lang w:val="es-ES_tradnl" w:eastAsia="en-US"/>
        </w:rPr>
        <w:t xml:space="preserve"> destinados a cubrir el costo de las medidas </w:t>
      </w:r>
      <w:r w:rsidR="00170D39" w:rsidRPr="002D4995">
        <w:rPr>
          <w:rFonts w:eastAsiaTheme="minorHAnsi"/>
          <w:szCs w:val="22"/>
          <w:lang w:val="es-ES_tradnl" w:eastAsia="en-US"/>
        </w:rPr>
        <w:t xml:space="preserve">internas </w:t>
      </w:r>
      <w:r w:rsidR="002133ED" w:rsidRPr="002D4995">
        <w:rPr>
          <w:rFonts w:eastAsiaTheme="minorHAnsi"/>
          <w:szCs w:val="22"/>
          <w:lang w:val="es-ES_tradnl" w:eastAsia="en-US"/>
        </w:rPr>
        <w:t>de seguridad y vigilancia (documento A/46/10 Rev.).</w:t>
      </w:r>
    </w:p>
    <w:p w:rsidR="002B1F1A" w:rsidRPr="002D4995" w:rsidRDefault="002B1F1A" w:rsidP="002B1F1A">
      <w:pPr>
        <w:pStyle w:val="ListParagraph"/>
        <w:ind w:left="0"/>
        <w:outlineLvl w:val="1"/>
        <w:rPr>
          <w:lang w:val="es-ES_tradnl"/>
        </w:rPr>
      </w:pPr>
    </w:p>
    <w:p w:rsidR="002B1F1A" w:rsidRPr="002D4995" w:rsidRDefault="002B1F1A" w:rsidP="002B1F1A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val="es-ES_tradnl" w:eastAsia="en-US"/>
        </w:rPr>
      </w:pPr>
      <w:r w:rsidRPr="002D4995">
        <w:rPr>
          <w:color w:val="FF0000"/>
          <w:lang w:val="es-ES_tradnl"/>
        </w:rPr>
        <w:t xml:space="preserve"> </w:t>
      </w:r>
      <w:r w:rsidR="00080074" w:rsidRPr="00B447F0">
        <w:rPr>
          <w:rFonts w:eastAsiaTheme="minorHAnsi"/>
          <w:szCs w:val="22"/>
          <w:lang w:val="es-ES_tradnl" w:eastAsia="en-US"/>
        </w:rPr>
        <w:t>La finalización del</w:t>
      </w:r>
      <w:r w:rsidR="00BD75F1" w:rsidRPr="00B447F0">
        <w:rPr>
          <w:rFonts w:eastAsiaTheme="minorHAnsi"/>
          <w:szCs w:val="22"/>
          <w:lang w:val="es-ES_tradnl" w:eastAsia="en-US"/>
        </w:rPr>
        <w:t xml:space="preserve"> proyecto está</w:t>
      </w:r>
      <w:r w:rsidR="00080074" w:rsidRPr="00B447F0">
        <w:rPr>
          <w:rFonts w:eastAsiaTheme="minorHAnsi"/>
          <w:szCs w:val="22"/>
          <w:lang w:val="es-ES_tradnl" w:eastAsia="en-US"/>
        </w:rPr>
        <w:t xml:space="preserve"> próxima y los elementos básicos establecidos en el </w:t>
      </w:r>
      <w:r w:rsidR="00A14B2C">
        <w:rPr>
          <w:rFonts w:eastAsiaTheme="minorHAnsi"/>
          <w:szCs w:val="22"/>
          <w:lang w:val="es-ES_tradnl" w:eastAsia="en-US"/>
        </w:rPr>
        <w:t>alcance</w:t>
      </w:r>
      <w:r w:rsidR="00080074" w:rsidRPr="00B447F0">
        <w:rPr>
          <w:rFonts w:eastAsiaTheme="minorHAnsi"/>
          <w:szCs w:val="22"/>
          <w:lang w:val="es-ES_tradnl" w:eastAsia="en-US"/>
        </w:rPr>
        <w:t xml:space="preserve"> del proyecto se llevarán a término dentro del presupuesto aprobado </w:t>
      </w:r>
      <w:r w:rsidR="00B447F0" w:rsidRPr="00B447F0">
        <w:rPr>
          <w:rFonts w:eastAsiaTheme="minorHAnsi"/>
          <w:szCs w:val="22"/>
          <w:lang w:val="es-ES_tradnl" w:eastAsia="en-US"/>
        </w:rPr>
        <w:t>y autorizado por</w:t>
      </w:r>
      <w:r w:rsidR="00080074" w:rsidRPr="00B447F0">
        <w:rPr>
          <w:rFonts w:eastAsiaTheme="minorHAnsi"/>
          <w:szCs w:val="22"/>
          <w:lang w:val="es-ES_tradnl" w:eastAsia="en-US"/>
        </w:rPr>
        <w:t xml:space="preserve"> los Estados miembros.</w:t>
      </w:r>
      <w:r w:rsidR="00080074" w:rsidRPr="002D4995">
        <w:rPr>
          <w:rFonts w:eastAsiaTheme="minorHAnsi"/>
          <w:szCs w:val="22"/>
          <w:lang w:val="es-ES_tradnl" w:eastAsia="en-US"/>
        </w:rPr>
        <w:t xml:space="preserve">  Este complejo proyecto ha puesto de relieve diferentes enseñanzas en relación con la </w:t>
      </w:r>
      <w:r w:rsidR="00170D39" w:rsidRPr="002D4995">
        <w:rPr>
          <w:rFonts w:eastAsiaTheme="minorHAnsi"/>
          <w:szCs w:val="22"/>
          <w:lang w:val="es-ES_tradnl" w:eastAsia="en-US"/>
        </w:rPr>
        <w:t>instalación</w:t>
      </w:r>
      <w:r w:rsidR="00080074" w:rsidRPr="002D4995">
        <w:rPr>
          <w:rFonts w:eastAsiaTheme="minorHAnsi"/>
          <w:szCs w:val="22"/>
          <w:lang w:val="es-ES_tradnl" w:eastAsia="en-US"/>
        </w:rPr>
        <w:t xml:space="preserve"> de </w:t>
      </w:r>
      <w:r w:rsidR="00170D39" w:rsidRPr="002D4995">
        <w:rPr>
          <w:rFonts w:eastAsiaTheme="minorHAnsi"/>
          <w:szCs w:val="22"/>
          <w:lang w:val="es-ES_tradnl" w:eastAsia="en-US"/>
        </w:rPr>
        <w:t xml:space="preserve">tecnología específica en materia de seguridad y vigilancia y los correspondientes requisitos complementarios de </w:t>
      </w:r>
      <w:r w:rsidR="00512950">
        <w:rPr>
          <w:rFonts w:eastAsiaTheme="minorHAnsi"/>
          <w:szCs w:val="22"/>
          <w:lang w:val="es-ES_tradnl" w:eastAsia="en-US"/>
        </w:rPr>
        <w:t>soporte</w:t>
      </w:r>
      <w:r w:rsidR="00170D39" w:rsidRPr="002D4995">
        <w:rPr>
          <w:rFonts w:eastAsiaTheme="minorHAnsi"/>
          <w:szCs w:val="22"/>
          <w:lang w:val="es-ES_tradnl" w:eastAsia="en-US"/>
        </w:rPr>
        <w:t xml:space="preserve"> técnico especializado que no habían sido tenidos en cuenta en el marco inicial del proyecto.  Esta cuestión se </w:t>
      </w:r>
      <w:r w:rsidR="00512950">
        <w:rPr>
          <w:rFonts w:eastAsiaTheme="minorHAnsi"/>
          <w:szCs w:val="22"/>
          <w:lang w:val="es-ES_tradnl" w:eastAsia="en-US"/>
        </w:rPr>
        <w:t>examinará</w:t>
      </w:r>
      <w:r w:rsidR="00170D39" w:rsidRPr="002D4995">
        <w:rPr>
          <w:rFonts w:eastAsiaTheme="minorHAnsi"/>
          <w:szCs w:val="22"/>
          <w:lang w:val="es-ES_tradnl" w:eastAsia="en-US"/>
        </w:rPr>
        <w:t xml:space="preserve"> con más detalle en el informe final de cierre del proyecto.</w:t>
      </w:r>
    </w:p>
    <w:p w:rsidR="002B1F1A" w:rsidRPr="002D4995" w:rsidRDefault="002B1F1A" w:rsidP="002B1F1A">
      <w:pPr>
        <w:pStyle w:val="ListParagraph"/>
        <w:rPr>
          <w:rFonts w:eastAsiaTheme="minorHAnsi"/>
          <w:szCs w:val="22"/>
          <w:lang w:val="es-ES_tradnl" w:eastAsia="en-US"/>
        </w:rPr>
      </w:pPr>
    </w:p>
    <w:p w:rsidR="002B1F1A" w:rsidRPr="002D4995" w:rsidRDefault="00170D39" w:rsidP="002B1F1A">
      <w:pPr>
        <w:pStyle w:val="ListParagraph"/>
        <w:numPr>
          <w:ilvl w:val="0"/>
          <w:numId w:val="8"/>
        </w:numPr>
        <w:ind w:left="0" w:firstLine="0"/>
        <w:outlineLvl w:val="1"/>
        <w:rPr>
          <w:rFonts w:eastAsiaTheme="minorHAnsi"/>
          <w:szCs w:val="22"/>
          <w:lang w:val="es-ES_tradnl" w:eastAsia="en-US"/>
        </w:rPr>
      </w:pPr>
      <w:r w:rsidRPr="002D4995">
        <w:rPr>
          <w:rFonts w:eastAsiaTheme="minorHAnsi"/>
          <w:szCs w:val="22"/>
          <w:lang w:val="es-ES_tradnl" w:eastAsia="en-US"/>
        </w:rPr>
        <w:t>Se recuerda que, en 2008, los Estados miembros aprobaron un presu</w:t>
      </w:r>
      <w:r w:rsidR="005523CA">
        <w:rPr>
          <w:rFonts w:eastAsiaTheme="minorHAnsi"/>
          <w:szCs w:val="22"/>
          <w:lang w:val="es-ES_tradnl" w:eastAsia="en-US"/>
        </w:rPr>
        <w:t>puesto de 7,</w:t>
      </w:r>
      <w:r w:rsidRPr="002D4995">
        <w:rPr>
          <w:rFonts w:eastAsiaTheme="minorHAnsi"/>
          <w:szCs w:val="22"/>
          <w:lang w:val="es-ES_tradnl" w:eastAsia="en-US"/>
        </w:rPr>
        <w:t>6</w:t>
      </w:r>
      <w:r w:rsidR="005523CA">
        <w:rPr>
          <w:rFonts w:eastAsiaTheme="minorHAnsi"/>
          <w:szCs w:val="22"/>
          <w:lang w:val="es-ES_tradnl" w:eastAsia="en-US"/>
        </w:rPr>
        <w:t> millones de f</w:t>
      </w:r>
      <w:r w:rsidRPr="002D4995">
        <w:rPr>
          <w:rFonts w:eastAsiaTheme="minorHAnsi"/>
          <w:szCs w:val="22"/>
          <w:lang w:val="es-ES_tradnl" w:eastAsia="en-US"/>
        </w:rPr>
        <w:t>rancos</w:t>
      </w:r>
      <w:r w:rsidR="00E674C6">
        <w:rPr>
          <w:rFonts w:eastAsiaTheme="minorHAnsi"/>
          <w:szCs w:val="22"/>
          <w:lang w:val="es-ES_tradnl" w:eastAsia="en-US"/>
        </w:rPr>
        <w:t xml:space="preserve"> </w:t>
      </w:r>
      <w:r w:rsidRPr="002D4995">
        <w:rPr>
          <w:rFonts w:eastAsiaTheme="minorHAnsi"/>
          <w:szCs w:val="22"/>
          <w:lang w:val="es-ES_tradnl" w:eastAsia="en-US"/>
        </w:rPr>
        <w:t xml:space="preserve">suizos para financiar </w:t>
      </w:r>
      <w:r w:rsidR="00CA3137">
        <w:rPr>
          <w:rFonts w:eastAsiaTheme="minorHAnsi"/>
          <w:szCs w:val="22"/>
          <w:lang w:val="es-ES_tradnl" w:eastAsia="en-US"/>
        </w:rPr>
        <w:t>el</w:t>
      </w:r>
      <w:r w:rsidR="00A14B2C">
        <w:rPr>
          <w:rFonts w:eastAsiaTheme="minorHAnsi"/>
          <w:szCs w:val="22"/>
          <w:lang w:val="es-ES_tradnl" w:eastAsia="en-US"/>
        </w:rPr>
        <w:t xml:space="preserve"> proyecto</w:t>
      </w:r>
      <w:r w:rsidRPr="002D4995">
        <w:rPr>
          <w:rFonts w:eastAsiaTheme="minorHAnsi"/>
          <w:szCs w:val="22"/>
          <w:lang w:val="es-ES_tradnl" w:eastAsia="en-US"/>
        </w:rPr>
        <w:t xml:space="preserve"> conforme </w:t>
      </w:r>
      <w:r w:rsidR="00507028" w:rsidRPr="002D4995">
        <w:rPr>
          <w:rFonts w:eastAsiaTheme="minorHAnsi"/>
          <w:szCs w:val="22"/>
          <w:lang w:val="es-ES_tradnl" w:eastAsia="en-US"/>
        </w:rPr>
        <w:t>a la estimación de los costos</w:t>
      </w:r>
      <w:r w:rsidRPr="002D4995">
        <w:rPr>
          <w:rFonts w:eastAsiaTheme="minorHAnsi"/>
          <w:szCs w:val="22"/>
          <w:lang w:val="es-ES_tradnl" w:eastAsia="en-US"/>
        </w:rPr>
        <w:t xml:space="preserve"> que figura en el Anexo I del documento</w:t>
      </w:r>
      <w:r w:rsidR="002B1F1A" w:rsidRPr="002D4995">
        <w:rPr>
          <w:rFonts w:eastAsiaTheme="minorHAnsi"/>
          <w:szCs w:val="22"/>
          <w:lang w:val="es-ES_tradnl" w:eastAsia="en-US"/>
        </w:rPr>
        <w:t xml:space="preserve"> </w:t>
      </w:r>
      <w:r w:rsidR="00507028" w:rsidRPr="002D4995">
        <w:rPr>
          <w:rFonts w:eastAsiaTheme="minorHAnsi"/>
          <w:szCs w:val="22"/>
          <w:lang w:val="es-ES_tradnl" w:eastAsia="en-US"/>
        </w:rPr>
        <w:t>WO/PBC/13/6</w:t>
      </w:r>
      <w:r w:rsidR="00C502EE">
        <w:rPr>
          <w:rFonts w:eastAsiaTheme="minorHAnsi"/>
          <w:szCs w:val="22"/>
          <w:lang w:val="es-ES_tradnl" w:eastAsia="en-US"/>
        </w:rPr>
        <w:t>(</w:t>
      </w:r>
      <w:r w:rsidR="002B1F1A" w:rsidRPr="002D4995">
        <w:rPr>
          <w:rFonts w:eastAsiaTheme="minorHAnsi"/>
          <w:szCs w:val="22"/>
          <w:lang w:val="es-ES_tradnl" w:eastAsia="en-US"/>
        </w:rPr>
        <w:t>a).</w:t>
      </w:r>
    </w:p>
    <w:p w:rsidR="002B1F1A" w:rsidRPr="002D4995" w:rsidRDefault="002B1F1A" w:rsidP="002B1F1A">
      <w:pPr>
        <w:pStyle w:val="ListParagraph"/>
        <w:rPr>
          <w:rFonts w:eastAsiaTheme="minorHAnsi"/>
          <w:szCs w:val="22"/>
          <w:lang w:val="es-ES_tradnl" w:eastAsia="en-US"/>
        </w:rPr>
      </w:pPr>
    </w:p>
    <w:p w:rsidR="002B1F1A" w:rsidRPr="002D4995" w:rsidRDefault="00507028" w:rsidP="00E674C6">
      <w:pPr>
        <w:pStyle w:val="ListParagraph"/>
        <w:numPr>
          <w:ilvl w:val="0"/>
          <w:numId w:val="8"/>
        </w:numPr>
        <w:ind w:left="0" w:firstLine="0"/>
        <w:outlineLvl w:val="1"/>
        <w:rPr>
          <w:lang w:val="es-ES_tradnl"/>
        </w:rPr>
      </w:pPr>
      <w:r w:rsidRPr="002D4995">
        <w:rPr>
          <w:rFonts w:eastAsiaTheme="minorHAnsi"/>
          <w:szCs w:val="22"/>
          <w:lang w:val="es-ES_tradnl" w:eastAsia="en-US"/>
        </w:rPr>
        <w:t xml:space="preserve">Se recuerda asimismo que fue necesario introducir algunas modificaciones en el concepto inicial (véase el documento WO/PBC/18/6).  También fue necesario modificar el alcance de las necesidades relativas a las obras y al sistema de seguridad del nuevo Centro de Acceso, </w:t>
      </w:r>
      <w:r w:rsidR="001A6750">
        <w:rPr>
          <w:rFonts w:eastAsiaTheme="minorHAnsi"/>
          <w:szCs w:val="22"/>
          <w:lang w:val="es-ES_tradnl" w:eastAsia="en-US"/>
        </w:rPr>
        <w:t>para lo cual</w:t>
      </w:r>
      <w:r w:rsidRPr="002D4995">
        <w:rPr>
          <w:rFonts w:eastAsiaTheme="minorHAnsi"/>
          <w:szCs w:val="22"/>
          <w:lang w:val="es-ES_tradnl" w:eastAsia="en-US"/>
        </w:rPr>
        <w:t xml:space="preserve"> </w:t>
      </w:r>
      <w:r w:rsidR="001A6750">
        <w:rPr>
          <w:rFonts w:eastAsiaTheme="minorHAnsi"/>
          <w:szCs w:val="22"/>
          <w:lang w:val="es-ES_tradnl" w:eastAsia="en-US"/>
        </w:rPr>
        <w:t>hubo que</w:t>
      </w:r>
      <w:r w:rsidRPr="002D4995">
        <w:rPr>
          <w:rFonts w:eastAsiaTheme="minorHAnsi"/>
          <w:szCs w:val="22"/>
          <w:lang w:val="es-ES_tradnl" w:eastAsia="en-US"/>
        </w:rPr>
        <w:t xml:space="preserve"> reformular la prioridad y los calendarios de algunas actividades </w:t>
      </w:r>
      <w:r w:rsidR="00CA3137">
        <w:rPr>
          <w:rFonts w:eastAsiaTheme="minorHAnsi"/>
          <w:szCs w:val="22"/>
          <w:lang w:val="es-ES_tradnl" w:eastAsia="en-US"/>
        </w:rPr>
        <w:t>a fin de</w:t>
      </w:r>
      <w:r w:rsidRPr="002D4995">
        <w:rPr>
          <w:rFonts w:eastAsiaTheme="minorHAnsi"/>
          <w:szCs w:val="22"/>
          <w:lang w:val="es-ES_tradnl" w:eastAsia="en-US"/>
        </w:rPr>
        <w:t xml:space="preserve"> alcanzar los objetivos estipulados. </w:t>
      </w:r>
    </w:p>
    <w:p w:rsidR="002B1F1A" w:rsidRPr="002D4995" w:rsidRDefault="002B1F1A" w:rsidP="002B1F1A">
      <w:pPr>
        <w:pStyle w:val="ListParagraph"/>
        <w:rPr>
          <w:rFonts w:eastAsiaTheme="minorHAnsi"/>
          <w:szCs w:val="22"/>
          <w:lang w:val="es-ES_tradnl" w:eastAsia="en-US"/>
        </w:rPr>
      </w:pPr>
    </w:p>
    <w:p w:rsidR="002B1F1A" w:rsidRPr="002D4995" w:rsidRDefault="00507028" w:rsidP="00E674C6">
      <w:pPr>
        <w:pStyle w:val="ListParagraph"/>
        <w:numPr>
          <w:ilvl w:val="0"/>
          <w:numId w:val="8"/>
        </w:numPr>
        <w:tabs>
          <w:tab w:val="left" w:pos="0"/>
          <w:tab w:val="left" w:pos="567"/>
        </w:tabs>
        <w:ind w:left="0" w:firstLine="0"/>
        <w:outlineLvl w:val="1"/>
        <w:rPr>
          <w:lang w:val="es-ES_tradnl"/>
        </w:rPr>
      </w:pPr>
      <w:r w:rsidRPr="002D4995">
        <w:rPr>
          <w:rFonts w:eastAsiaTheme="minorHAnsi"/>
          <w:szCs w:val="22"/>
          <w:lang w:val="es-ES_tradnl" w:eastAsia="en-US"/>
        </w:rPr>
        <w:t>Al 30 de junio de</w:t>
      </w:r>
      <w:r w:rsidR="002B1F1A" w:rsidRPr="002D4995">
        <w:rPr>
          <w:rFonts w:eastAsiaTheme="minorHAnsi"/>
          <w:szCs w:val="22"/>
          <w:lang w:val="es-ES_tradnl" w:eastAsia="en-US"/>
        </w:rPr>
        <w:t xml:space="preserve"> 2014,</w:t>
      </w:r>
      <w:r w:rsidR="002B1F1A" w:rsidRPr="002D4995">
        <w:rPr>
          <w:lang w:val="es-ES_tradnl"/>
        </w:rPr>
        <w:t xml:space="preserve"> </w:t>
      </w:r>
      <w:r w:rsidR="008F3D6E" w:rsidRPr="002D4995">
        <w:rPr>
          <w:lang w:val="es-ES_tradnl"/>
        </w:rPr>
        <w:t>de los fondos del proyecto se ha gastado ya o se ha comprometido, como se indica a continuación, un importe de 12.400.208 francos</w:t>
      </w:r>
      <w:r w:rsidR="00E674C6">
        <w:rPr>
          <w:lang w:val="es-ES_tradnl"/>
        </w:rPr>
        <w:t xml:space="preserve"> </w:t>
      </w:r>
      <w:r w:rsidR="008F3D6E" w:rsidRPr="002D4995">
        <w:rPr>
          <w:lang w:val="es-ES_tradnl"/>
        </w:rPr>
        <w:t>suizos:</w:t>
      </w:r>
    </w:p>
    <w:p w:rsidR="002B1F1A" w:rsidRPr="002D4995" w:rsidRDefault="002B1F1A" w:rsidP="00E674C6">
      <w:pPr>
        <w:rPr>
          <w:rFonts w:eastAsiaTheme="minorHAnsi"/>
          <w:szCs w:val="22"/>
          <w:lang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2B1F1A" w:rsidRPr="002D4995" w:rsidTr="0068716A">
        <w:trPr>
          <w:gridBefore w:val="1"/>
          <w:wBefore w:w="4536" w:type="dxa"/>
          <w:trHeight w:val="202"/>
        </w:trPr>
        <w:tc>
          <w:tcPr>
            <w:tcW w:w="3948" w:type="dxa"/>
          </w:tcPr>
          <w:p w:rsidR="002B1F1A" w:rsidRPr="002D4995" w:rsidRDefault="008F3D6E" w:rsidP="0068716A">
            <w:pPr>
              <w:keepNext/>
              <w:keepLines/>
              <w:contextualSpacing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i/>
                <w:sz w:val="20"/>
                <w:lang w:eastAsia="en-US"/>
              </w:rPr>
              <w:t>Importe en francos suizos</w:t>
            </w:r>
          </w:p>
        </w:tc>
      </w:tr>
      <w:tr w:rsidR="002B1F1A" w:rsidRPr="002D4995" w:rsidTr="0068716A">
        <w:tc>
          <w:tcPr>
            <w:tcW w:w="4536" w:type="dxa"/>
          </w:tcPr>
          <w:p w:rsidR="002B1F1A" w:rsidRPr="002D4995" w:rsidRDefault="008F3D6E" w:rsidP="0068716A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Presupuesto aprobado por los Estados miembros en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 xml:space="preserve"> 2008 </w:t>
            </w:r>
          </w:p>
        </w:tc>
        <w:tc>
          <w:tcPr>
            <w:tcW w:w="3948" w:type="dxa"/>
          </w:tcPr>
          <w:p w:rsidR="002B1F1A" w:rsidRPr="002D4995" w:rsidRDefault="008F3D6E" w:rsidP="008F3D6E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7.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>600</w:t>
            </w:r>
            <w:r w:rsidRPr="002D4995">
              <w:rPr>
                <w:rFonts w:eastAsiaTheme="minorHAnsi"/>
                <w:b/>
                <w:sz w:val="20"/>
                <w:lang w:eastAsia="en-US"/>
              </w:rPr>
              <w:t>.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>000</w:t>
            </w:r>
          </w:p>
        </w:tc>
      </w:tr>
      <w:tr w:rsidR="002B1F1A" w:rsidRPr="002D4995" w:rsidTr="0068716A">
        <w:trPr>
          <w:trHeight w:val="357"/>
        </w:trPr>
        <w:tc>
          <w:tcPr>
            <w:tcW w:w="4536" w:type="dxa"/>
          </w:tcPr>
          <w:p w:rsidR="002B1F1A" w:rsidRPr="002D4995" w:rsidRDefault="008F3D6E" w:rsidP="0068716A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Participación del país anfitrión</w:t>
            </w:r>
          </w:p>
        </w:tc>
        <w:tc>
          <w:tcPr>
            <w:tcW w:w="3948" w:type="dxa"/>
          </w:tcPr>
          <w:p w:rsidR="002B1F1A" w:rsidRPr="002D4995" w:rsidRDefault="002B1F1A" w:rsidP="008F3D6E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5</w:t>
            </w:r>
            <w:r w:rsidR="008F3D6E" w:rsidRPr="002D4995">
              <w:rPr>
                <w:rFonts w:eastAsiaTheme="minorHAnsi"/>
                <w:b/>
                <w:sz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lang w:eastAsia="en-US"/>
              </w:rPr>
              <w:t>000</w:t>
            </w:r>
            <w:r w:rsidR="008F3D6E" w:rsidRPr="002D4995">
              <w:rPr>
                <w:rFonts w:eastAsiaTheme="minorHAnsi"/>
                <w:b/>
                <w:sz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lang w:eastAsia="en-US"/>
              </w:rPr>
              <w:t>000</w:t>
            </w:r>
          </w:p>
        </w:tc>
      </w:tr>
      <w:tr w:rsidR="002B1F1A" w:rsidRPr="002D4995" w:rsidTr="0068716A">
        <w:trPr>
          <w:trHeight w:val="421"/>
        </w:trPr>
        <w:tc>
          <w:tcPr>
            <w:tcW w:w="4536" w:type="dxa"/>
          </w:tcPr>
          <w:p w:rsidR="002B1F1A" w:rsidRPr="002D4995" w:rsidRDefault="008F3D6E" w:rsidP="0068716A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Presupuesto total disponible</w:t>
            </w:r>
          </w:p>
        </w:tc>
        <w:tc>
          <w:tcPr>
            <w:tcW w:w="3948" w:type="dxa"/>
          </w:tcPr>
          <w:p w:rsidR="002B1F1A" w:rsidRPr="002D4995" w:rsidRDefault="002B1F1A" w:rsidP="008F3D6E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12</w:t>
            </w:r>
            <w:r w:rsidR="008F3D6E" w:rsidRPr="002D4995">
              <w:rPr>
                <w:rFonts w:eastAsiaTheme="minorHAnsi"/>
                <w:b/>
                <w:sz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lang w:eastAsia="en-US"/>
              </w:rPr>
              <w:t>600</w:t>
            </w:r>
            <w:r w:rsidR="008F3D6E" w:rsidRPr="002D4995">
              <w:rPr>
                <w:rFonts w:eastAsiaTheme="minorHAnsi"/>
                <w:b/>
                <w:sz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lang w:eastAsia="en-US"/>
              </w:rPr>
              <w:t>000</w:t>
            </w:r>
          </w:p>
        </w:tc>
      </w:tr>
    </w:tbl>
    <w:p w:rsidR="002B1F1A" w:rsidRPr="002D4995" w:rsidRDefault="002B1F1A" w:rsidP="002B1F1A">
      <w:pPr>
        <w:keepNext/>
        <w:keepLines/>
        <w:rPr>
          <w:rFonts w:eastAsiaTheme="minorHAnsi"/>
          <w:b/>
          <w:sz w:val="20"/>
          <w:lang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2B1F1A" w:rsidRPr="002D4995" w:rsidTr="0068716A">
        <w:trPr>
          <w:trHeight w:val="287"/>
        </w:trPr>
        <w:tc>
          <w:tcPr>
            <w:tcW w:w="4536" w:type="dxa"/>
          </w:tcPr>
          <w:p w:rsidR="002B1F1A" w:rsidRPr="002D4995" w:rsidRDefault="008F3D6E" w:rsidP="0068716A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Estado de los compromisos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948" w:type="dxa"/>
          </w:tcPr>
          <w:p w:rsidR="002B1F1A" w:rsidRPr="002D4995" w:rsidRDefault="008F3D6E" w:rsidP="0068716A">
            <w:pPr>
              <w:keepNext/>
              <w:keepLines/>
              <w:ind w:left="11"/>
              <w:contextualSpacing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i/>
                <w:sz w:val="20"/>
                <w:lang w:eastAsia="en-US"/>
              </w:rPr>
              <w:t>Importe en francos suizos</w:t>
            </w:r>
          </w:p>
        </w:tc>
      </w:tr>
      <w:tr w:rsidR="002B1F1A" w:rsidRPr="002D4995" w:rsidTr="0068716A">
        <w:trPr>
          <w:trHeight w:val="307"/>
        </w:trPr>
        <w:tc>
          <w:tcPr>
            <w:tcW w:w="4536" w:type="dxa"/>
          </w:tcPr>
          <w:p w:rsidR="002B1F1A" w:rsidRPr="002D4995" w:rsidRDefault="008F3D6E" w:rsidP="0068716A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sz w:val="20"/>
                <w:lang w:eastAsia="en-US"/>
              </w:rPr>
              <w:t xml:space="preserve">Importe </w:t>
            </w:r>
            <w:r w:rsidR="002D4995" w:rsidRPr="002D4995">
              <w:rPr>
                <w:rFonts w:eastAsiaTheme="minorHAnsi"/>
                <w:sz w:val="20"/>
                <w:lang w:eastAsia="en-US"/>
              </w:rPr>
              <w:t>comprometido</w:t>
            </w:r>
            <w:r w:rsidRPr="002D4995">
              <w:rPr>
                <w:rFonts w:eastAsiaTheme="minorHAnsi"/>
                <w:sz w:val="20"/>
                <w:lang w:eastAsia="en-US"/>
              </w:rPr>
              <w:t xml:space="preserve"> por la </w:t>
            </w:r>
            <w:r w:rsidR="002B1F1A" w:rsidRPr="002D4995">
              <w:rPr>
                <w:rFonts w:eastAsiaTheme="minorHAnsi"/>
                <w:sz w:val="20"/>
                <w:lang w:eastAsia="en-US"/>
              </w:rPr>
              <w:t>O</w:t>
            </w:r>
            <w:r w:rsidRPr="002D4995">
              <w:rPr>
                <w:rFonts w:eastAsiaTheme="minorHAnsi"/>
                <w:sz w:val="20"/>
                <w:lang w:eastAsia="en-US"/>
              </w:rPr>
              <w:t>MPI</w:t>
            </w:r>
          </w:p>
        </w:tc>
        <w:tc>
          <w:tcPr>
            <w:tcW w:w="3948" w:type="dxa"/>
          </w:tcPr>
          <w:p w:rsidR="002B1F1A" w:rsidRPr="002D4995" w:rsidRDefault="008F3D6E" w:rsidP="008F3D6E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7.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>533</w:t>
            </w:r>
            <w:r w:rsidRPr="002D4995">
              <w:rPr>
                <w:rFonts w:eastAsiaTheme="minorHAnsi"/>
                <w:b/>
                <w:sz w:val="20"/>
                <w:lang w:eastAsia="en-US"/>
              </w:rPr>
              <w:t>.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>208</w:t>
            </w:r>
          </w:p>
        </w:tc>
      </w:tr>
      <w:tr w:rsidR="002B1F1A" w:rsidRPr="002D4995" w:rsidTr="0068716A">
        <w:trPr>
          <w:trHeight w:val="314"/>
        </w:trPr>
        <w:tc>
          <w:tcPr>
            <w:tcW w:w="4536" w:type="dxa"/>
          </w:tcPr>
          <w:p w:rsidR="002B1F1A" w:rsidRPr="002D4995" w:rsidRDefault="002D4995" w:rsidP="0068716A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highlight w:val="green"/>
                <w:lang w:eastAsia="en-US"/>
              </w:rPr>
            </w:pPr>
            <w:r w:rsidRPr="002D4995">
              <w:rPr>
                <w:rFonts w:eastAsiaTheme="minorHAnsi"/>
                <w:sz w:val="20"/>
                <w:lang w:eastAsia="en-US"/>
              </w:rPr>
              <w:t>Importe comprometido por el Estado anfitrión</w:t>
            </w:r>
          </w:p>
        </w:tc>
        <w:tc>
          <w:tcPr>
            <w:tcW w:w="3948" w:type="dxa"/>
          </w:tcPr>
          <w:p w:rsidR="002B1F1A" w:rsidRPr="002D4995" w:rsidRDefault="008F3D6E" w:rsidP="008F3D6E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highlight w:val="green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4.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>867</w:t>
            </w:r>
            <w:r w:rsidRPr="002D4995">
              <w:rPr>
                <w:rFonts w:eastAsiaTheme="minorHAnsi"/>
                <w:b/>
                <w:sz w:val="20"/>
                <w:lang w:eastAsia="en-US"/>
              </w:rPr>
              <w:t>.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>000</w:t>
            </w:r>
          </w:p>
        </w:tc>
      </w:tr>
      <w:tr w:rsidR="002B1F1A" w:rsidRPr="002D4995" w:rsidTr="0068716A">
        <w:trPr>
          <w:trHeight w:val="319"/>
        </w:trPr>
        <w:tc>
          <w:tcPr>
            <w:tcW w:w="4536" w:type="dxa"/>
          </w:tcPr>
          <w:p w:rsidR="002B1F1A" w:rsidRPr="002D4995" w:rsidRDefault="002D4995" w:rsidP="0068716A">
            <w:pPr>
              <w:keepNext/>
              <w:keepLines/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sz w:val="20"/>
                <w:lang w:eastAsia="en-US"/>
              </w:rPr>
              <w:t>Importe total comprometido</w:t>
            </w:r>
          </w:p>
        </w:tc>
        <w:tc>
          <w:tcPr>
            <w:tcW w:w="3948" w:type="dxa"/>
          </w:tcPr>
          <w:p w:rsidR="002B1F1A" w:rsidRPr="002D4995" w:rsidRDefault="002B1F1A" w:rsidP="008F3D6E">
            <w:pPr>
              <w:keepNext/>
              <w:keepLines/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12</w:t>
            </w:r>
            <w:r w:rsidR="008F3D6E"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400</w:t>
            </w:r>
            <w:r w:rsidR="008F3D6E"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208</w:t>
            </w:r>
          </w:p>
        </w:tc>
      </w:tr>
    </w:tbl>
    <w:p w:rsidR="002B1F1A" w:rsidRPr="002D4995" w:rsidRDefault="002B1F1A" w:rsidP="002B1F1A">
      <w:pPr>
        <w:jc w:val="right"/>
        <w:rPr>
          <w:rFonts w:eastAsiaTheme="minorHAnsi"/>
          <w:b/>
          <w:sz w:val="20"/>
          <w:lang w:eastAsia="en-US"/>
        </w:rPr>
      </w:pPr>
    </w:p>
    <w:tbl>
      <w:tblPr>
        <w:tblStyle w:val="TableGrid"/>
        <w:tblW w:w="8484" w:type="dxa"/>
        <w:tblInd w:w="534" w:type="dxa"/>
        <w:tblLook w:val="04A0" w:firstRow="1" w:lastRow="0" w:firstColumn="1" w:lastColumn="0" w:noHBand="0" w:noVBand="1"/>
      </w:tblPr>
      <w:tblGrid>
        <w:gridCol w:w="4536"/>
        <w:gridCol w:w="3948"/>
      </w:tblGrid>
      <w:tr w:rsidR="002B1F1A" w:rsidRPr="002D4995" w:rsidTr="0068716A">
        <w:trPr>
          <w:trHeight w:val="295"/>
        </w:trPr>
        <w:tc>
          <w:tcPr>
            <w:tcW w:w="4536" w:type="dxa"/>
          </w:tcPr>
          <w:p w:rsidR="002B1F1A" w:rsidRPr="002D4995" w:rsidRDefault="002D4995" w:rsidP="0068716A">
            <w:pPr>
              <w:ind w:left="33" w:right="34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Saldo de los compromisos</w:t>
            </w:r>
            <w:r w:rsidR="002B1F1A" w:rsidRPr="002D4995">
              <w:rPr>
                <w:rFonts w:eastAsiaTheme="minorHAnsi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948" w:type="dxa"/>
          </w:tcPr>
          <w:p w:rsidR="002B1F1A" w:rsidRPr="002D4995" w:rsidRDefault="008F3D6E" w:rsidP="0068716A">
            <w:pPr>
              <w:ind w:left="33"/>
              <w:contextualSpacing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i/>
                <w:sz w:val="20"/>
                <w:lang w:eastAsia="en-US"/>
              </w:rPr>
              <w:t>Importe en francos suizos</w:t>
            </w:r>
          </w:p>
        </w:tc>
      </w:tr>
      <w:tr w:rsidR="002B1F1A" w:rsidRPr="002D4995" w:rsidTr="0068716A">
        <w:trPr>
          <w:trHeight w:val="296"/>
        </w:trPr>
        <w:tc>
          <w:tcPr>
            <w:tcW w:w="4536" w:type="dxa"/>
          </w:tcPr>
          <w:p w:rsidR="002B1F1A" w:rsidRPr="002D4995" w:rsidRDefault="002D4995" w:rsidP="0068716A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sz w:val="20"/>
                <w:lang w:eastAsia="en-US"/>
              </w:rPr>
              <w:t>Saldo disponible de la OMPI</w:t>
            </w:r>
          </w:p>
        </w:tc>
        <w:tc>
          <w:tcPr>
            <w:tcW w:w="3948" w:type="dxa"/>
          </w:tcPr>
          <w:p w:rsidR="002B1F1A" w:rsidRPr="002D4995" w:rsidRDefault="002B1F1A" w:rsidP="008F3D6E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lang w:eastAsia="en-US"/>
              </w:rPr>
              <w:t>66</w:t>
            </w:r>
            <w:r w:rsidR="008F3D6E" w:rsidRPr="002D4995">
              <w:rPr>
                <w:rFonts w:eastAsiaTheme="minorHAnsi"/>
                <w:b/>
                <w:sz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lang w:eastAsia="en-US"/>
              </w:rPr>
              <w:t>792</w:t>
            </w:r>
          </w:p>
        </w:tc>
      </w:tr>
      <w:tr w:rsidR="002B1F1A" w:rsidRPr="002D4995" w:rsidTr="0068716A">
        <w:trPr>
          <w:trHeight w:val="257"/>
        </w:trPr>
        <w:tc>
          <w:tcPr>
            <w:tcW w:w="4536" w:type="dxa"/>
          </w:tcPr>
          <w:p w:rsidR="002B1F1A" w:rsidRPr="002D4995" w:rsidRDefault="002D4995" w:rsidP="0068716A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sz w:val="20"/>
                <w:lang w:eastAsia="en-US"/>
              </w:rPr>
              <w:t>Saldo disponible del Estado anfitrión</w:t>
            </w:r>
          </w:p>
        </w:tc>
        <w:tc>
          <w:tcPr>
            <w:tcW w:w="3948" w:type="dxa"/>
          </w:tcPr>
          <w:p w:rsidR="002B1F1A" w:rsidRPr="002D4995" w:rsidRDefault="002B1F1A" w:rsidP="008F3D6E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133</w:t>
            </w:r>
            <w:r w:rsidR="008F3D6E"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000</w:t>
            </w:r>
          </w:p>
        </w:tc>
      </w:tr>
      <w:tr w:rsidR="002B1F1A" w:rsidRPr="002D4995" w:rsidTr="0068716A">
        <w:trPr>
          <w:trHeight w:val="248"/>
        </w:trPr>
        <w:tc>
          <w:tcPr>
            <w:tcW w:w="4536" w:type="dxa"/>
          </w:tcPr>
          <w:p w:rsidR="002B1F1A" w:rsidRPr="002D4995" w:rsidRDefault="002D4995" w:rsidP="0068716A">
            <w:pPr>
              <w:ind w:left="33" w:right="34"/>
              <w:contextualSpacing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sz w:val="20"/>
                <w:lang w:eastAsia="en-US"/>
              </w:rPr>
              <w:t>Saldo total disponible</w:t>
            </w:r>
          </w:p>
        </w:tc>
        <w:tc>
          <w:tcPr>
            <w:tcW w:w="3948" w:type="dxa"/>
          </w:tcPr>
          <w:p w:rsidR="002B1F1A" w:rsidRPr="002D4995" w:rsidRDefault="002B1F1A" w:rsidP="008F3D6E">
            <w:pPr>
              <w:ind w:left="720"/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199</w:t>
            </w:r>
            <w:r w:rsidR="008F3D6E"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 w:rsidRPr="002D4995">
              <w:rPr>
                <w:rFonts w:eastAsiaTheme="minorHAnsi"/>
                <w:b/>
                <w:sz w:val="20"/>
                <w:szCs w:val="20"/>
                <w:lang w:eastAsia="en-US"/>
              </w:rPr>
              <w:t>792</w:t>
            </w:r>
          </w:p>
        </w:tc>
      </w:tr>
    </w:tbl>
    <w:p w:rsidR="002B1F1A" w:rsidRPr="002D4995" w:rsidRDefault="002B1F1A" w:rsidP="002B1F1A">
      <w:pPr>
        <w:ind w:left="5613"/>
        <w:rPr>
          <w:i/>
        </w:rPr>
      </w:pPr>
    </w:p>
    <w:p w:rsidR="009D279A" w:rsidRDefault="009D279A">
      <w:r>
        <w:br w:type="page"/>
      </w:r>
    </w:p>
    <w:p w:rsidR="002B1F1A" w:rsidRPr="002D4995" w:rsidRDefault="002D4995" w:rsidP="00E674C6">
      <w:pPr>
        <w:pStyle w:val="ListParagraph"/>
        <w:numPr>
          <w:ilvl w:val="0"/>
          <w:numId w:val="8"/>
        </w:numPr>
        <w:ind w:left="0" w:firstLine="0"/>
        <w:outlineLvl w:val="1"/>
        <w:rPr>
          <w:lang w:val="es-ES_tradnl"/>
        </w:rPr>
      </w:pPr>
      <w:r w:rsidRPr="002D4995">
        <w:rPr>
          <w:lang w:val="es-ES_tradnl"/>
        </w:rPr>
        <w:lastRenderedPageBreak/>
        <w:t>Se propone el siguiente párrafo de decisión</w:t>
      </w:r>
      <w:r w:rsidR="002B1F1A" w:rsidRPr="002D4995">
        <w:rPr>
          <w:lang w:val="es-ES_tradnl"/>
        </w:rPr>
        <w:t>.</w:t>
      </w:r>
    </w:p>
    <w:p w:rsidR="002B1F1A" w:rsidRPr="002D4995" w:rsidRDefault="002B1F1A" w:rsidP="002B1F1A">
      <w:pPr>
        <w:ind w:left="90"/>
        <w:outlineLvl w:val="1"/>
        <w:rPr>
          <w:i/>
        </w:rPr>
      </w:pPr>
    </w:p>
    <w:p w:rsidR="002B1F1A" w:rsidRPr="002D4995" w:rsidRDefault="002D4995" w:rsidP="002B1F1A">
      <w:pPr>
        <w:pStyle w:val="ListParagraph"/>
        <w:numPr>
          <w:ilvl w:val="0"/>
          <w:numId w:val="8"/>
        </w:numPr>
        <w:tabs>
          <w:tab w:val="left" w:pos="567"/>
        </w:tabs>
        <w:ind w:left="5533" w:firstLine="0"/>
        <w:outlineLvl w:val="1"/>
        <w:rPr>
          <w:i/>
          <w:lang w:val="es-ES_tradnl"/>
        </w:rPr>
      </w:pPr>
      <w:r w:rsidRPr="002D4995">
        <w:rPr>
          <w:i/>
          <w:lang w:val="es-ES_tradnl"/>
        </w:rPr>
        <w:t>El Comité del Programa y Presupuesto tomó nota del Informe sobre la marcha del proyecto para reforzar las normas de seguridad y vigilancia de los actuales edificios de la OMPI</w:t>
      </w:r>
      <w:r w:rsidR="002B1F1A" w:rsidRPr="002D4995">
        <w:rPr>
          <w:i/>
          <w:szCs w:val="22"/>
          <w:lang w:val="es-ES_tradnl"/>
        </w:rPr>
        <w:t xml:space="preserve"> (document</w:t>
      </w:r>
      <w:r w:rsidRPr="002D4995">
        <w:rPr>
          <w:i/>
          <w:szCs w:val="22"/>
          <w:lang w:val="es-ES_tradnl"/>
        </w:rPr>
        <w:t>o</w:t>
      </w:r>
      <w:r w:rsidR="002B1F1A" w:rsidRPr="002D4995">
        <w:rPr>
          <w:i/>
          <w:szCs w:val="22"/>
          <w:lang w:val="es-ES_tradnl"/>
        </w:rPr>
        <w:t xml:space="preserve"> WO/PBC/22/13).</w:t>
      </w:r>
    </w:p>
    <w:p w:rsidR="002B1F1A" w:rsidRPr="002D4995" w:rsidRDefault="002B1F1A" w:rsidP="002B1F1A">
      <w:pPr>
        <w:pStyle w:val="Endofdocument-Annex"/>
        <w:rPr>
          <w:lang w:val="es-ES_tradnl" w:eastAsia="en-US"/>
        </w:rPr>
      </w:pPr>
    </w:p>
    <w:p w:rsidR="002B1F1A" w:rsidRPr="002D4995" w:rsidRDefault="002B1F1A" w:rsidP="002B1F1A">
      <w:pPr>
        <w:pStyle w:val="Endofdocument-Annex"/>
        <w:rPr>
          <w:lang w:val="es-ES_tradnl" w:eastAsia="en-US"/>
        </w:rPr>
      </w:pPr>
    </w:p>
    <w:p w:rsidR="002B1F1A" w:rsidRPr="002D4995" w:rsidRDefault="002B1F1A" w:rsidP="002B1F1A">
      <w:pPr>
        <w:pStyle w:val="Endofdocument-Annex"/>
        <w:rPr>
          <w:lang w:val="es-ES_tradnl" w:eastAsia="en-US"/>
        </w:rPr>
      </w:pPr>
    </w:p>
    <w:p w:rsidR="002B1F1A" w:rsidRPr="002D4995" w:rsidRDefault="002B1F1A" w:rsidP="002B1F1A">
      <w:pPr>
        <w:pStyle w:val="Endofdocument-Annex"/>
        <w:rPr>
          <w:lang w:val="es-ES_tradnl"/>
        </w:rPr>
      </w:pPr>
      <w:r w:rsidRPr="002D4995">
        <w:rPr>
          <w:lang w:val="es-ES_tradnl"/>
        </w:rPr>
        <w:t>[</w:t>
      </w:r>
      <w:r w:rsidR="002D4995" w:rsidRPr="002D4995">
        <w:rPr>
          <w:lang w:val="es-ES_tradnl"/>
        </w:rPr>
        <w:t>Fin del documento</w:t>
      </w:r>
      <w:r w:rsidRPr="002D4995">
        <w:rPr>
          <w:lang w:val="es-ES_tradnl"/>
        </w:rPr>
        <w:t>]</w:t>
      </w:r>
    </w:p>
    <w:p w:rsidR="00152CEA" w:rsidRDefault="00152CEA" w:rsidP="002B1F1A"/>
    <w:sectPr w:rsidR="00152CEA" w:rsidSect="00332AF0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DD" w:rsidRDefault="00673FDD">
      <w:r>
        <w:separator/>
      </w:r>
    </w:p>
  </w:endnote>
  <w:endnote w:type="continuationSeparator" w:id="0">
    <w:p w:rsidR="00673FDD" w:rsidRPr="009D30E6" w:rsidRDefault="00673FD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73FDD" w:rsidRPr="007E663E" w:rsidRDefault="00673FD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73FDD" w:rsidRPr="007E663E" w:rsidRDefault="00673FD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DD" w:rsidRDefault="00673FDD">
      <w:r>
        <w:separator/>
      </w:r>
    </w:p>
  </w:footnote>
  <w:footnote w:type="continuationSeparator" w:id="0">
    <w:p w:rsidR="00673FDD" w:rsidRPr="009D30E6" w:rsidRDefault="00673FD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73FDD" w:rsidRPr="007E663E" w:rsidRDefault="00673FD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73FDD" w:rsidRPr="007E663E" w:rsidRDefault="00673FD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332AF0" w:rsidP="00477D6B">
    <w:pPr>
      <w:jc w:val="right"/>
    </w:pPr>
    <w:bookmarkStart w:id="6" w:name="Code2"/>
    <w:bookmarkEnd w:id="6"/>
    <w:r>
      <w:t>WO/PBC/22/13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62152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674F77"/>
    <w:multiLevelType w:val="hybridMultilevel"/>
    <w:tmpl w:val="571A0976"/>
    <w:lvl w:ilvl="0" w:tplc="8550DC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F805FA"/>
    <w:multiLevelType w:val="hybridMultilevel"/>
    <w:tmpl w:val="BFB4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E62D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F0"/>
    <w:rsid w:val="00010686"/>
    <w:rsid w:val="00052915"/>
    <w:rsid w:val="00080074"/>
    <w:rsid w:val="000D43BC"/>
    <w:rsid w:val="000E3BB3"/>
    <w:rsid w:val="000F5E56"/>
    <w:rsid w:val="001223B3"/>
    <w:rsid w:val="001362EE"/>
    <w:rsid w:val="00152CEA"/>
    <w:rsid w:val="00170D39"/>
    <w:rsid w:val="001832A6"/>
    <w:rsid w:val="001A6750"/>
    <w:rsid w:val="002133ED"/>
    <w:rsid w:val="00232C70"/>
    <w:rsid w:val="002634C4"/>
    <w:rsid w:val="002B1F1A"/>
    <w:rsid w:val="002D4995"/>
    <w:rsid w:val="002E0F47"/>
    <w:rsid w:val="002F4E68"/>
    <w:rsid w:val="00305B36"/>
    <w:rsid w:val="00306CE9"/>
    <w:rsid w:val="00332AF0"/>
    <w:rsid w:val="00354647"/>
    <w:rsid w:val="00377273"/>
    <w:rsid w:val="003845C1"/>
    <w:rsid w:val="00387287"/>
    <w:rsid w:val="003E48F1"/>
    <w:rsid w:val="003F347A"/>
    <w:rsid w:val="00423E3E"/>
    <w:rsid w:val="00427AF4"/>
    <w:rsid w:val="00434E95"/>
    <w:rsid w:val="0045231F"/>
    <w:rsid w:val="004647DA"/>
    <w:rsid w:val="00477808"/>
    <w:rsid w:val="00477D6B"/>
    <w:rsid w:val="004A6C37"/>
    <w:rsid w:val="004E297D"/>
    <w:rsid w:val="00507028"/>
    <w:rsid w:val="00512950"/>
    <w:rsid w:val="00521FA1"/>
    <w:rsid w:val="005332F0"/>
    <w:rsid w:val="0055013B"/>
    <w:rsid w:val="005523CA"/>
    <w:rsid w:val="00571B99"/>
    <w:rsid w:val="005839CD"/>
    <w:rsid w:val="00604EA5"/>
    <w:rsid w:val="00605827"/>
    <w:rsid w:val="00662152"/>
    <w:rsid w:val="00673FDD"/>
    <w:rsid w:val="00675021"/>
    <w:rsid w:val="006A06C6"/>
    <w:rsid w:val="007224C8"/>
    <w:rsid w:val="00794BE2"/>
    <w:rsid w:val="007B71FE"/>
    <w:rsid w:val="007D781E"/>
    <w:rsid w:val="007E663E"/>
    <w:rsid w:val="00815082"/>
    <w:rsid w:val="0083131E"/>
    <w:rsid w:val="0087615B"/>
    <w:rsid w:val="0088395E"/>
    <w:rsid w:val="008B2CC1"/>
    <w:rsid w:val="008C65EC"/>
    <w:rsid w:val="008D3830"/>
    <w:rsid w:val="008E6BD6"/>
    <w:rsid w:val="008F3D6E"/>
    <w:rsid w:val="0090731E"/>
    <w:rsid w:val="00921576"/>
    <w:rsid w:val="009322C4"/>
    <w:rsid w:val="00966A22"/>
    <w:rsid w:val="00972A7C"/>
    <w:rsid w:val="00972F03"/>
    <w:rsid w:val="00993866"/>
    <w:rsid w:val="009A0C8B"/>
    <w:rsid w:val="009B6241"/>
    <w:rsid w:val="009D279A"/>
    <w:rsid w:val="009E7C84"/>
    <w:rsid w:val="00A12177"/>
    <w:rsid w:val="00A14B2C"/>
    <w:rsid w:val="00A16FC0"/>
    <w:rsid w:val="00A32C9E"/>
    <w:rsid w:val="00A60459"/>
    <w:rsid w:val="00A83F4A"/>
    <w:rsid w:val="00AA4217"/>
    <w:rsid w:val="00AB050E"/>
    <w:rsid w:val="00AB613D"/>
    <w:rsid w:val="00AE7F20"/>
    <w:rsid w:val="00AF0AA7"/>
    <w:rsid w:val="00B16782"/>
    <w:rsid w:val="00B447F0"/>
    <w:rsid w:val="00B65A0A"/>
    <w:rsid w:val="00B67CDC"/>
    <w:rsid w:val="00B72D36"/>
    <w:rsid w:val="00B77AF0"/>
    <w:rsid w:val="00BC4164"/>
    <w:rsid w:val="00BD2DCC"/>
    <w:rsid w:val="00BD75F1"/>
    <w:rsid w:val="00BE1EA1"/>
    <w:rsid w:val="00C47C2B"/>
    <w:rsid w:val="00C502EE"/>
    <w:rsid w:val="00C667C3"/>
    <w:rsid w:val="00C90559"/>
    <w:rsid w:val="00CA2251"/>
    <w:rsid w:val="00CA3137"/>
    <w:rsid w:val="00D56C7C"/>
    <w:rsid w:val="00D71B4D"/>
    <w:rsid w:val="00D90289"/>
    <w:rsid w:val="00D92093"/>
    <w:rsid w:val="00D93D55"/>
    <w:rsid w:val="00D94D54"/>
    <w:rsid w:val="00DA7139"/>
    <w:rsid w:val="00DC4C60"/>
    <w:rsid w:val="00E0079A"/>
    <w:rsid w:val="00E444DA"/>
    <w:rsid w:val="00E45C84"/>
    <w:rsid w:val="00E504E5"/>
    <w:rsid w:val="00E51AB6"/>
    <w:rsid w:val="00E674C6"/>
    <w:rsid w:val="00EB7A3E"/>
    <w:rsid w:val="00EC401A"/>
    <w:rsid w:val="00EF530A"/>
    <w:rsid w:val="00EF6622"/>
    <w:rsid w:val="00F017B0"/>
    <w:rsid w:val="00F21D56"/>
    <w:rsid w:val="00F55408"/>
    <w:rsid w:val="00F64076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table" w:styleId="TableGrid">
    <w:name w:val="Table Grid"/>
    <w:basedOn w:val="TableNormal"/>
    <w:uiPriority w:val="59"/>
    <w:rsid w:val="002B1F1A"/>
    <w:rPr>
      <w:rFonts w:asciiTheme="minorHAnsi" w:eastAsiaTheme="minorHAnsi" w:hAnsiTheme="minorHAnsi" w:cstheme="minorBidi"/>
      <w:sz w:val="22"/>
      <w:szCs w:val="22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F1A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rsid w:val="00662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152"/>
    <w:rPr>
      <w:rFonts w:ascii="Tahoma" w:eastAsia="SimSun" w:hAnsi="Tahoma" w:cs="Tahoma"/>
      <w:sz w:val="16"/>
      <w:szCs w:val="16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table" w:styleId="TableGrid">
    <w:name w:val="Table Grid"/>
    <w:basedOn w:val="TableNormal"/>
    <w:uiPriority w:val="59"/>
    <w:rsid w:val="002B1F1A"/>
    <w:rPr>
      <w:rFonts w:asciiTheme="minorHAnsi" w:eastAsiaTheme="minorHAnsi" w:hAnsiTheme="minorHAnsi" w:cstheme="minorBidi"/>
      <w:sz w:val="22"/>
      <w:szCs w:val="22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F1A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rsid w:val="00662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15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22 (S)</Template>
  <TotalTime>1</TotalTime>
  <Pages>4</Pages>
  <Words>1222</Words>
  <Characters>6437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WO/PBC/22/13</dc:subject>
  <dc:creator>CEVALLOS DUQUE Nilo</dc:creator>
  <dc:description>LM_x000d_
07.08.14</dc:description>
  <cp:lastModifiedBy>DOYON Geneviève</cp:lastModifiedBy>
  <cp:revision>2</cp:revision>
  <cp:lastPrinted>2014-08-08T12:42:00Z</cp:lastPrinted>
  <dcterms:created xsi:type="dcterms:W3CDTF">2014-08-11T07:47:00Z</dcterms:created>
  <dcterms:modified xsi:type="dcterms:W3CDTF">2014-08-11T07:47:00Z</dcterms:modified>
</cp:coreProperties>
</file>