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56" w:rsidRPr="003E79DB" w:rsidRDefault="000F5E56" w:rsidP="0006587D">
      <w:pPr>
        <w:widowControl w:val="0"/>
        <w:rPr>
          <w:color w:val="000000" w:themeColor="text1"/>
        </w:rPr>
      </w:pPr>
    </w:p>
    <w:p w:rsidR="00A953E1" w:rsidRPr="003E79DB" w:rsidRDefault="00A953E1" w:rsidP="0006587D">
      <w:pPr>
        <w:widowControl w:val="0"/>
        <w:rPr>
          <w:color w:val="000000" w:themeColor="text1"/>
        </w:rPr>
      </w:pPr>
    </w:p>
    <w:p w:rsidR="005041FC" w:rsidRPr="003E79DB" w:rsidRDefault="00257A22" w:rsidP="0006587D">
      <w:pPr>
        <w:widowControl w:val="0"/>
        <w:rPr>
          <w:b/>
          <w:color w:val="000000" w:themeColor="text1"/>
        </w:rPr>
      </w:pPr>
      <w:r w:rsidRPr="003E79DB">
        <w:rPr>
          <w:b/>
          <w:color w:val="000000" w:themeColor="text1"/>
        </w:rPr>
        <w:t>Comité del Programa y Presupuesto</w:t>
      </w:r>
    </w:p>
    <w:p w:rsidR="005041FC" w:rsidRPr="00F704B6" w:rsidRDefault="00257A22" w:rsidP="0006587D">
      <w:pPr>
        <w:widowControl w:val="0"/>
        <w:rPr>
          <w:b/>
          <w:color w:val="000000" w:themeColor="text1"/>
        </w:rPr>
      </w:pPr>
      <w:r w:rsidRPr="00F704B6">
        <w:rPr>
          <w:b/>
          <w:color w:val="000000" w:themeColor="text1"/>
        </w:rPr>
        <w:t xml:space="preserve">Vigésima </w:t>
      </w:r>
      <w:r w:rsidR="00A508D6">
        <w:rPr>
          <w:b/>
          <w:color w:val="000000" w:themeColor="text1"/>
        </w:rPr>
        <w:t xml:space="preserve">primera </w:t>
      </w:r>
      <w:r w:rsidRPr="00F704B6">
        <w:rPr>
          <w:b/>
          <w:color w:val="000000" w:themeColor="text1"/>
        </w:rPr>
        <w:t>sesión</w:t>
      </w:r>
    </w:p>
    <w:p w:rsidR="0046427A" w:rsidRDefault="00257A22" w:rsidP="0046427A">
      <w:pPr>
        <w:widowControl w:val="0"/>
        <w:tabs>
          <w:tab w:val="left" w:pos="7371"/>
        </w:tabs>
        <w:rPr>
          <w:b/>
          <w:color w:val="000000" w:themeColor="text1"/>
        </w:rPr>
      </w:pPr>
      <w:r w:rsidRPr="00F704B6">
        <w:rPr>
          <w:b/>
          <w:color w:val="000000" w:themeColor="text1"/>
        </w:rPr>
        <w:t xml:space="preserve">Ginebra, </w:t>
      </w:r>
      <w:r w:rsidR="00A508D6">
        <w:rPr>
          <w:b/>
          <w:color w:val="000000" w:themeColor="text1"/>
        </w:rPr>
        <w:t xml:space="preserve">9 </w:t>
      </w:r>
      <w:r w:rsidR="00F704B6" w:rsidRPr="00F704B6">
        <w:rPr>
          <w:b/>
          <w:color w:val="000000" w:themeColor="text1"/>
        </w:rPr>
        <w:t>a 1</w:t>
      </w:r>
      <w:r w:rsidR="00A508D6">
        <w:rPr>
          <w:b/>
          <w:color w:val="000000" w:themeColor="text1"/>
        </w:rPr>
        <w:t>3 de septiembre</w:t>
      </w:r>
      <w:r w:rsidRPr="00F704B6">
        <w:rPr>
          <w:b/>
          <w:color w:val="000000" w:themeColor="text1"/>
        </w:rPr>
        <w:t xml:space="preserve"> de </w:t>
      </w:r>
      <w:r w:rsidR="005041FC" w:rsidRPr="00F704B6">
        <w:rPr>
          <w:b/>
          <w:color w:val="000000" w:themeColor="text1"/>
        </w:rPr>
        <w:t>2013</w:t>
      </w:r>
    </w:p>
    <w:p w:rsidR="0046427A" w:rsidRDefault="0046427A" w:rsidP="0046427A">
      <w:pPr>
        <w:widowControl w:val="0"/>
        <w:tabs>
          <w:tab w:val="left" w:pos="7371"/>
        </w:tabs>
        <w:rPr>
          <w:b/>
          <w:color w:val="000000" w:themeColor="text1"/>
        </w:rPr>
      </w:pPr>
    </w:p>
    <w:p w:rsidR="005041FC" w:rsidRPr="00F704B6" w:rsidRDefault="0046427A" w:rsidP="0046427A">
      <w:pPr>
        <w:widowControl w:val="0"/>
        <w:tabs>
          <w:tab w:val="left" w:pos="7371"/>
        </w:tabs>
        <w:rPr>
          <w:b/>
          <w:color w:val="000000" w:themeColor="text1"/>
        </w:rPr>
      </w:pPr>
      <w:r>
        <w:rPr>
          <w:b/>
          <w:color w:val="000000" w:themeColor="text1"/>
        </w:rPr>
        <w:tab/>
      </w:r>
      <w:r w:rsidR="00326F82">
        <w:rPr>
          <w:b/>
          <w:color w:val="000000" w:themeColor="text1"/>
        </w:rPr>
        <w:t>0</w:t>
      </w:r>
      <w:r w:rsidR="00A508D6">
        <w:rPr>
          <w:b/>
          <w:color w:val="000000" w:themeColor="text1"/>
        </w:rPr>
        <w:t>4.09.</w:t>
      </w:r>
      <w:r>
        <w:rPr>
          <w:b/>
          <w:color w:val="000000" w:themeColor="text1"/>
        </w:rPr>
        <w:t>2013</w:t>
      </w:r>
    </w:p>
    <w:p w:rsidR="005041FC" w:rsidRDefault="005041FC" w:rsidP="0006587D">
      <w:pPr>
        <w:widowControl w:val="0"/>
        <w:rPr>
          <w:rFonts w:ascii="Arial Bold" w:hAnsi="Arial Bold"/>
          <w:b/>
          <w:smallCaps/>
          <w:color w:val="000000" w:themeColor="text1"/>
          <w:u w:val="single"/>
        </w:rPr>
      </w:pPr>
    </w:p>
    <w:p w:rsidR="0046427A" w:rsidRPr="0006587D" w:rsidRDefault="0046427A" w:rsidP="0006587D">
      <w:pPr>
        <w:widowControl w:val="0"/>
        <w:rPr>
          <w:rFonts w:ascii="Arial Bold" w:hAnsi="Arial Bold"/>
          <w:b/>
          <w:smallCaps/>
          <w:color w:val="000000" w:themeColor="text1"/>
          <w:u w:val="single"/>
        </w:rPr>
      </w:pPr>
    </w:p>
    <w:p w:rsidR="005041FC" w:rsidRPr="00F704B6" w:rsidRDefault="000D0AD6" w:rsidP="0006587D">
      <w:pPr>
        <w:widowControl w:val="0"/>
        <w:rPr>
          <w:color w:val="000000" w:themeColor="text1"/>
          <w:sz w:val="28"/>
          <w:szCs w:val="28"/>
        </w:rPr>
      </w:pPr>
      <w:r w:rsidRPr="00F704B6">
        <w:rPr>
          <w:color w:val="000000" w:themeColor="text1"/>
          <w:sz w:val="28"/>
          <w:szCs w:val="28"/>
        </w:rPr>
        <w:t xml:space="preserve">Preguntas y respuestas:  </w:t>
      </w:r>
      <w:r w:rsidR="00A57E8D" w:rsidRPr="00F704B6">
        <w:rPr>
          <w:color w:val="000000" w:themeColor="text1"/>
          <w:sz w:val="28"/>
          <w:szCs w:val="28"/>
        </w:rPr>
        <w:t xml:space="preserve">propuesta </w:t>
      </w:r>
      <w:r w:rsidRPr="00F704B6">
        <w:rPr>
          <w:color w:val="000000" w:themeColor="text1"/>
          <w:sz w:val="28"/>
          <w:szCs w:val="28"/>
        </w:rPr>
        <w:t>de presupuesto por programas par</w:t>
      </w:r>
      <w:r w:rsidR="00F704B6" w:rsidRPr="00F704B6">
        <w:rPr>
          <w:color w:val="000000" w:themeColor="text1"/>
          <w:sz w:val="28"/>
          <w:szCs w:val="28"/>
        </w:rPr>
        <w:t>a 2</w:t>
      </w:r>
      <w:r w:rsidRPr="00F704B6">
        <w:rPr>
          <w:color w:val="000000" w:themeColor="text1"/>
          <w:sz w:val="28"/>
          <w:szCs w:val="28"/>
        </w:rPr>
        <w:t>014/15</w:t>
      </w:r>
    </w:p>
    <w:p w:rsidR="005041FC" w:rsidRPr="00F704B6" w:rsidRDefault="005041FC" w:rsidP="0006587D">
      <w:pPr>
        <w:widowControl w:val="0"/>
        <w:rPr>
          <w:rFonts w:ascii="Arial Bold" w:hAnsi="Arial Bold"/>
          <w:smallCaps/>
          <w:color w:val="000000" w:themeColor="text1"/>
          <w:u w:val="single"/>
        </w:rPr>
      </w:pPr>
    </w:p>
    <w:p w:rsidR="005041FC" w:rsidRPr="00F704B6" w:rsidRDefault="005041FC" w:rsidP="0006587D">
      <w:pPr>
        <w:widowControl w:val="0"/>
        <w:rPr>
          <w:rFonts w:ascii="Arial Bold" w:hAnsi="Arial Bold"/>
          <w:b/>
          <w:smallCaps/>
          <w:color w:val="000000" w:themeColor="text1"/>
          <w:u w:val="single"/>
        </w:rPr>
      </w:pPr>
    </w:p>
    <w:p w:rsidR="005041FC" w:rsidRPr="0006587D" w:rsidRDefault="00257A22" w:rsidP="0006587D">
      <w:pPr>
        <w:widowControl w:val="0"/>
        <w:rPr>
          <w:color w:val="000000" w:themeColor="text1"/>
          <w:szCs w:val="22"/>
        </w:rPr>
      </w:pPr>
      <w:r w:rsidRPr="0006587D">
        <w:rPr>
          <w:color w:val="000000" w:themeColor="text1"/>
          <w:szCs w:val="22"/>
        </w:rPr>
        <w:t>VISIÓN DE CONJUNTO DE LOS RESULTADOS</w:t>
      </w:r>
    </w:p>
    <w:p w:rsidR="005041FC" w:rsidRPr="00F704B6" w:rsidRDefault="005041FC" w:rsidP="0006587D">
      <w:pPr>
        <w:widowControl w:val="0"/>
        <w:rPr>
          <w:b/>
          <w:color w:val="000000" w:themeColor="text1"/>
        </w:rPr>
      </w:pPr>
    </w:p>
    <w:p w:rsidR="005041FC" w:rsidRPr="003E79DB" w:rsidRDefault="00257A22" w:rsidP="0006587D">
      <w:pPr>
        <w:pStyle w:val="ONUME"/>
        <w:widowControl w:val="0"/>
        <w:numPr>
          <w:ilvl w:val="0"/>
          <w:numId w:val="0"/>
        </w:numPr>
        <w:spacing w:after="0"/>
        <w:rPr>
          <w:b/>
          <w:color w:val="000000" w:themeColor="text1"/>
        </w:rPr>
      </w:pPr>
      <w:r w:rsidRPr="00F704B6">
        <w:rPr>
          <w:b/>
          <w:color w:val="000000" w:themeColor="text1"/>
        </w:rPr>
        <w:t>P</w:t>
      </w:r>
      <w:r w:rsidR="005041FC" w:rsidRPr="00F704B6">
        <w:rPr>
          <w:b/>
          <w:color w:val="000000" w:themeColor="text1"/>
        </w:rPr>
        <w:t xml:space="preserve">1: </w:t>
      </w:r>
      <w:r w:rsidRPr="00F704B6">
        <w:rPr>
          <w:b/>
          <w:color w:val="000000" w:themeColor="text1"/>
        </w:rPr>
        <w:t xml:space="preserve"> En el marco de resultados para</w:t>
      </w:r>
      <w:r w:rsidR="005041FC" w:rsidRPr="00F704B6">
        <w:rPr>
          <w:b/>
          <w:color w:val="000000" w:themeColor="text1"/>
        </w:rPr>
        <w:t xml:space="preserve"> </w:t>
      </w:r>
      <w:r w:rsidR="00A57E8D" w:rsidRPr="00F704B6">
        <w:rPr>
          <w:b/>
          <w:color w:val="000000" w:themeColor="text1"/>
        </w:rPr>
        <w:t>el bieni</w:t>
      </w:r>
      <w:r w:rsidR="00F704B6" w:rsidRPr="00F704B6">
        <w:rPr>
          <w:b/>
          <w:color w:val="000000" w:themeColor="text1"/>
        </w:rPr>
        <w:t>o 2</w:t>
      </w:r>
      <w:r w:rsidR="005041FC" w:rsidRPr="00F704B6">
        <w:rPr>
          <w:b/>
          <w:color w:val="000000" w:themeColor="text1"/>
        </w:rPr>
        <w:t xml:space="preserve">014/15 </w:t>
      </w:r>
      <w:r w:rsidRPr="00F704B6">
        <w:rPr>
          <w:b/>
          <w:color w:val="000000" w:themeColor="text1"/>
        </w:rPr>
        <w:t>se exponen </w:t>
      </w:r>
      <w:r w:rsidR="005041FC" w:rsidRPr="00F704B6">
        <w:rPr>
          <w:b/>
          <w:color w:val="000000" w:themeColor="text1"/>
        </w:rPr>
        <w:t xml:space="preserve">36 </w:t>
      </w:r>
      <w:r w:rsidRPr="00F704B6">
        <w:rPr>
          <w:b/>
          <w:color w:val="000000" w:themeColor="text1"/>
        </w:rPr>
        <w:t>resultados previstos</w:t>
      </w:r>
      <w:r w:rsidR="00A57E8D" w:rsidRPr="00F704B6">
        <w:rPr>
          <w:b/>
          <w:color w:val="000000" w:themeColor="text1"/>
        </w:rPr>
        <w:t xml:space="preserve"> que</w:t>
      </w:r>
      <w:r w:rsidRPr="00F704B6">
        <w:rPr>
          <w:b/>
          <w:color w:val="000000" w:themeColor="text1"/>
        </w:rPr>
        <w:t xml:space="preserve">, </w:t>
      </w:r>
      <w:r w:rsidR="00A57E8D" w:rsidRPr="00F704B6">
        <w:rPr>
          <w:b/>
          <w:color w:val="000000" w:themeColor="text1"/>
        </w:rPr>
        <w:t>si se comparan</w:t>
      </w:r>
      <w:r w:rsidRPr="00F704B6">
        <w:rPr>
          <w:b/>
          <w:color w:val="000000" w:themeColor="text1"/>
        </w:rPr>
        <w:t xml:space="preserve"> con los </w:t>
      </w:r>
      <w:r w:rsidR="005041FC" w:rsidRPr="00F704B6">
        <w:rPr>
          <w:b/>
          <w:color w:val="000000" w:themeColor="text1"/>
        </w:rPr>
        <w:t>60 result</w:t>
      </w:r>
      <w:r w:rsidRPr="00F704B6">
        <w:rPr>
          <w:b/>
          <w:color w:val="000000" w:themeColor="text1"/>
        </w:rPr>
        <w:t>ados de</w:t>
      </w:r>
      <w:r w:rsidR="00A57E8D" w:rsidRPr="00F704B6">
        <w:rPr>
          <w:b/>
          <w:color w:val="000000" w:themeColor="text1"/>
        </w:rPr>
        <w:t>l bieni</w:t>
      </w:r>
      <w:r w:rsidR="00F704B6" w:rsidRPr="00F704B6">
        <w:rPr>
          <w:b/>
          <w:color w:val="000000" w:themeColor="text1"/>
        </w:rPr>
        <w:t>o 2</w:t>
      </w:r>
      <w:r w:rsidR="005041FC" w:rsidRPr="00F704B6">
        <w:rPr>
          <w:b/>
          <w:color w:val="000000" w:themeColor="text1"/>
        </w:rPr>
        <w:t>012/13</w:t>
      </w:r>
      <w:r w:rsidR="00A57E8D" w:rsidRPr="00F704B6">
        <w:rPr>
          <w:b/>
          <w:color w:val="000000" w:themeColor="text1"/>
        </w:rPr>
        <w:t xml:space="preserve"> representan una</w:t>
      </w:r>
      <w:r w:rsidRPr="00F704B6">
        <w:rPr>
          <w:b/>
          <w:color w:val="000000" w:themeColor="text1"/>
        </w:rPr>
        <w:t xml:space="preserve"> disminución</w:t>
      </w:r>
      <w:r w:rsidR="00A57E8D" w:rsidRPr="00F704B6">
        <w:rPr>
          <w:b/>
          <w:color w:val="000000" w:themeColor="text1"/>
        </w:rPr>
        <w:t xml:space="preserve"> </w:t>
      </w:r>
      <w:r w:rsidR="00F945A5">
        <w:rPr>
          <w:b/>
          <w:color w:val="000000" w:themeColor="text1"/>
        </w:rPr>
        <w:t>lograda</w:t>
      </w:r>
      <w:r w:rsidR="00A57E8D" w:rsidRPr="00F704B6">
        <w:rPr>
          <w:b/>
          <w:color w:val="000000" w:themeColor="text1"/>
        </w:rPr>
        <w:t xml:space="preserve">, sin embargo, sin perder aspectos esenciales, </w:t>
      </w:r>
      <w:r w:rsidRPr="00F704B6">
        <w:rPr>
          <w:b/>
          <w:color w:val="000000" w:themeColor="text1"/>
        </w:rPr>
        <w:t xml:space="preserve">¿podría proporcionar más detalles </w:t>
      </w:r>
      <w:r w:rsidR="00A57E8D" w:rsidRPr="00F704B6">
        <w:rPr>
          <w:b/>
          <w:color w:val="000000" w:themeColor="text1"/>
        </w:rPr>
        <w:t>al respecto</w:t>
      </w:r>
      <w:r w:rsidR="005041FC" w:rsidRPr="00F704B6">
        <w:rPr>
          <w:b/>
          <w:color w:val="000000" w:themeColor="text1"/>
        </w:rPr>
        <w:t>?</w:t>
      </w:r>
    </w:p>
    <w:p w:rsidR="005041FC" w:rsidRPr="003E79DB" w:rsidRDefault="005041FC" w:rsidP="0006587D">
      <w:pPr>
        <w:pStyle w:val="ONUME"/>
        <w:widowControl w:val="0"/>
        <w:numPr>
          <w:ilvl w:val="0"/>
          <w:numId w:val="0"/>
        </w:numPr>
        <w:spacing w:after="0"/>
        <w:rPr>
          <w:b/>
          <w:color w:val="000000" w:themeColor="text1"/>
        </w:rPr>
      </w:pPr>
    </w:p>
    <w:p w:rsidR="005041FC" w:rsidRPr="003E79DB" w:rsidRDefault="00257A22" w:rsidP="0006587D">
      <w:pPr>
        <w:widowControl w:val="0"/>
        <w:rPr>
          <w:color w:val="000000" w:themeColor="text1"/>
        </w:rPr>
      </w:pPr>
      <w:r w:rsidRPr="003E79DB">
        <w:rPr>
          <w:b/>
          <w:color w:val="000000" w:themeColor="text1"/>
        </w:rPr>
        <w:t>R</w:t>
      </w:r>
      <w:r w:rsidR="005041FC" w:rsidRPr="003E79DB">
        <w:rPr>
          <w:b/>
          <w:color w:val="000000" w:themeColor="text1"/>
        </w:rPr>
        <w:t xml:space="preserve">1: </w:t>
      </w:r>
      <w:r w:rsidR="005041FC" w:rsidRPr="003E79DB">
        <w:rPr>
          <w:color w:val="000000" w:themeColor="text1"/>
        </w:rPr>
        <w:t xml:space="preserve"> </w:t>
      </w:r>
      <w:r w:rsidRPr="003E79DB">
        <w:rPr>
          <w:color w:val="000000" w:themeColor="text1"/>
        </w:rPr>
        <w:t xml:space="preserve">Se han vuelto a afinar y consolidar los resultados previstos para la </w:t>
      </w:r>
      <w:r w:rsidRPr="003E79DB">
        <w:rPr>
          <w:color w:val="000000" w:themeColor="text1"/>
          <w:lang w:eastAsia="fr-FR"/>
        </w:rPr>
        <w:t>Organización</w:t>
      </w:r>
      <w:r w:rsidRPr="003E79DB">
        <w:rPr>
          <w:color w:val="000000" w:themeColor="text1"/>
        </w:rPr>
        <w:t xml:space="preserve">, en comparación con el bienio 2012/13, para llevarlos a un nivel </w:t>
      </w:r>
      <w:r w:rsidR="00F562B5">
        <w:rPr>
          <w:color w:val="000000" w:themeColor="text1"/>
        </w:rPr>
        <w:t>congruente</w:t>
      </w:r>
      <w:r w:rsidRPr="003E79DB">
        <w:rPr>
          <w:color w:val="000000" w:themeColor="text1"/>
        </w:rPr>
        <w:t>, lo cual proporciona un mandato más claro y unas pautas más concretas para los programas que contribuyen a la consecución de esos resultados.  En consecuencia, se han fusionado los resultados similares, manteniendo los aspectos esenciales de cada uno de los resultados fusionados.</w:t>
      </w:r>
    </w:p>
    <w:p w:rsidR="005041FC" w:rsidRPr="003E79DB" w:rsidRDefault="005041FC" w:rsidP="0006587D">
      <w:pPr>
        <w:widowControl w:val="0"/>
        <w:rPr>
          <w:color w:val="000000" w:themeColor="text1"/>
        </w:rPr>
      </w:pPr>
    </w:p>
    <w:p w:rsidR="005041FC" w:rsidRPr="003E79DB" w:rsidRDefault="00257A22" w:rsidP="0006587D">
      <w:pPr>
        <w:pStyle w:val="ONUME"/>
        <w:widowControl w:val="0"/>
        <w:numPr>
          <w:ilvl w:val="0"/>
          <w:numId w:val="0"/>
        </w:numPr>
        <w:spacing w:after="0"/>
        <w:rPr>
          <w:b/>
          <w:color w:val="000000" w:themeColor="text1"/>
        </w:rPr>
      </w:pPr>
      <w:r w:rsidRPr="003E79DB">
        <w:rPr>
          <w:b/>
          <w:color w:val="000000" w:themeColor="text1"/>
        </w:rPr>
        <w:t>P</w:t>
      </w:r>
      <w:r w:rsidR="005041FC" w:rsidRPr="003E79DB">
        <w:rPr>
          <w:b/>
          <w:color w:val="000000" w:themeColor="text1"/>
        </w:rPr>
        <w:t xml:space="preserve">2:  </w:t>
      </w:r>
      <w:r w:rsidRPr="003E79DB">
        <w:rPr>
          <w:b/>
          <w:color w:val="000000" w:themeColor="text1"/>
        </w:rPr>
        <w:t>Sección </w:t>
      </w:r>
      <w:r w:rsidR="005041FC" w:rsidRPr="003E79DB">
        <w:rPr>
          <w:b/>
          <w:color w:val="000000" w:themeColor="text1"/>
        </w:rPr>
        <w:t xml:space="preserve">I </w:t>
      </w:r>
      <w:r w:rsidRPr="003E79DB">
        <w:rPr>
          <w:b/>
          <w:color w:val="000000" w:themeColor="text1"/>
        </w:rPr>
        <w:t>–</w:t>
      </w:r>
      <w:r w:rsidR="005041FC" w:rsidRPr="003E79DB">
        <w:rPr>
          <w:b/>
          <w:color w:val="000000" w:themeColor="text1"/>
        </w:rPr>
        <w:t xml:space="preserve"> </w:t>
      </w:r>
      <w:r w:rsidRPr="003E79DB">
        <w:rPr>
          <w:b/>
          <w:color w:val="000000" w:themeColor="text1"/>
        </w:rPr>
        <w:t>En la visión de conjunto de los resultados se declara que han seguido mejorándose los parámetros de evaluación.  En ese contexto, ¿podría explicar por qué algunos indicadores de rendimiento aún no tienen referencia de base</w:t>
      </w:r>
      <w:r w:rsidR="005041FC" w:rsidRPr="003E79DB">
        <w:rPr>
          <w:b/>
          <w:color w:val="000000" w:themeColor="text1"/>
        </w:rPr>
        <w:t>?</w:t>
      </w:r>
    </w:p>
    <w:p w:rsidR="005041FC" w:rsidRPr="003E79DB" w:rsidRDefault="005041FC" w:rsidP="0006587D">
      <w:pPr>
        <w:pStyle w:val="ONUME"/>
        <w:widowControl w:val="0"/>
        <w:numPr>
          <w:ilvl w:val="0"/>
          <w:numId w:val="0"/>
        </w:numPr>
        <w:spacing w:after="0"/>
        <w:rPr>
          <w:b/>
          <w:color w:val="000000" w:themeColor="text1"/>
        </w:rPr>
      </w:pPr>
    </w:p>
    <w:p w:rsidR="005041FC" w:rsidRPr="00F704B6" w:rsidRDefault="00257A22" w:rsidP="0006587D">
      <w:pPr>
        <w:widowControl w:val="0"/>
        <w:rPr>
          <w:color w:val="000000" w:themeColor="text1"/>
        </w:rPr>
      </w:pPr>
      <w:r w:rsidRPr="00F704B6">
        <w:rPr>
          <w:b/>
          <w:color w:val="000000" w:themeColor="text1"/>
        </w:rPr>
        <w:t>R</w:t>
      </w:r>
      <w:r w:rsidR="005041FC" w:rsidRPr="00F704B6">
        <w:rPr>
          <w:b/>
          <w:color w:val="000000" w:themeColor="text1"/>
        </w:rPr>
        <w:t>2:</w:t>
      </w:r>
      <w:r w:rsidR="005041FC" w:rsidRPr="00F704B6">
        <w:rPr>
          <w:color w:val="000000" w:themeColor="text1"/>
        </w:rPr>
        <w:t xml:space="preserve">  </w:t>
      </w:r>
      <w:r w:rsidRPr="00F704B6">
        <w:rPr>
          <w:color w:val="000000" w:themeColor="text1"/>
        </w:rPr>
        <w:t>Las referencias de base se refieren a la situación al final del bieni</w:t>
      </w:r>
      <w:r w:rsidR="00F704B6" w:rsidRPr="00F704B6">
        <w:rPr>
          <w:color w:val="000000" w:themeColor="text1"/>
        </w:rPr>
        <w:t>o 2</w:t>
      </w:r>
      <w:r w:rsidR="005041FC" w:rsidRPr="00F704B6">
        <w:rPr>
          <w:color w:val="000000" w:themeColor="text1"/>
        </w:rPr>
        <w:t xml:space="preserve">012/13, </w:t>
      </w:r>
      <w:r w:rsidRPr="00F704B6">
        <w:rPr>
          <w:color w:val="000000" w:themeColor="text1"/>
        </w:rPr>
        <w:t>es decir, el punto de partida del nuevo bienio.  Hay dos motivos por los que aún queda</w:t>
      </w:r>
      <w:r w:rsidR="00A57E8D" w:rsidRPr="00F704B6">
        <w:rPr>
          <w:color w:val="000000" w:themeColor="text1"/>
        </w:rPr>
        <w:t>n</w:t>
      </w:r>
      <w:r w:rsidRPr="00F704B6">
        <w:rPr>
          <w:color w:val="000000" w:themeColor="text1"/>
        </w:rPr>
        <w:t xml:space="preserve"> por establecer las referencias de base de algunos indicadores de rendimiento:  </w:t>
      </w:r>
      <w:r w:rsidR="005041FC" w:rsidRPr="00F704B6">
        <w:rPr>
          <w:color w:val="000000" w:themeColor="text1"/>
        </w:rPr>
        <w:t xml:space="preserve">1) </w:t>
      </w:r>
      <w:r w:rsidRPr="00F704B6">
        <w:rPr>
          <w:color w:val="000000" w:themeColor="text1"/>
        </w:rPr>
        <w:t>los datos de referencia estarán disponibles únicamente a finales de </w:t>
      </w:r>
      <w:r w:rsidR="005041FC" w:rsidRPr="00F704B6">
        <w:rPr>
          <w:color w:val="000000" w:themeColor="text1"/>
        </w:rPr>
        <w:t xml:space="preserve">2013;  </w:t>
      </w:r>
      <w:r w:rsidRPr="00F704B6">
        <w:rPr>
          <w:color w:val="000000" w:themeColor="text1"/>
        </w:rPr>
        <w:t>o </w:t>
      </w:r>
      <w:r w:rsidR="005041FC" w:rsidRPr="00F704B6">
        <w:rPr>
          <w:color w:val="000000" w:themeColor="text1"/>
        </w:rPr>
        <w:t xml:space="preserve">2) </w:t>
      </w:r>
      <w:r w:rsidRPr="00F704B6">
        <w:rPr>
          <w:color w:val="000000" w:themeColor="text1"/>
        </w:rPr>
        <w:t>el indicador es nuevo y, por lo tanto, los datos de referencia se recabarán únicamente a finales de </w:t>
      </w:r>
      <w:r w:rsidR="005041FC" w:rsidRPr="00F704B6">
        <w:rPr>
          <w:color w:val="000000" w:themeColor="text1"/>
        </w:rPr>
        <w:t>2013.</w:t>
      </w:r>
    </w:p>
    <w:p w:rsidR="005041FC" w:rsidRPr="00F704B6" w:rsidRDefault="005041FC" w:rsidP="0006587D">
      <w:pPr>
        <w:widowControl w:val="0"/>
        <w:rPr>
          <w:color w:val="000000" w:themeColor="text1"/>
        </w:rPr>
      </w:pPr>
    </w:p>
    <w:p w:rsidR="005041FC" w:rsidRPr="00F704B6" w:rsidRDefault="00257A22" w:rsidP="0006587D">
      <w:pPr>
        <w:pStyle w:val="ONUME"/>
        <w:widowControl w:val="0"/>
        <w:numPr>
          <w:ilvl w:val="0"/>
          <w:numId w:val="0"/>
        </w:numPr>
        <w:spacing w:after="0"/>
        <w:rPr>
          <w:b/>
          <w:color w:val="000000" w:themeColor="text1"/>
        </w:rPr>
      </w:pPr>
      <w:r w:rsidRPr="00F704B6">
        <w:rPr>
          <w:b/>
          <w:color w:val="000000" w:themeColor="text1"/>
        </w:rPr>
        <w:t>P</w:t>
      </w:r>
      <w:r w:rsidR="005041FC" w:rsidRPr="00F704B6">
        <w:rPr>
          <w:b/>
          <w:color w:val="000000" w:themeColor="text1"/>
        </w:rPr>
        <w:t xml:space="preserve">3:  </w:t>
      </w:r>
      <w:r w:rsidRPr="00F704B6">
        <w:rPr>
          <w:b/>
          <w:color w:val="000000" w:themeColor="text1"/>
        </w:rPr>
        <w:t xml:space="preserve">¿Se ha reforzado considerablemente el reconocimiento de los riesgos y las </w:t>
      </w:r>
      <w:r w:rsidR="00611D69" w:rsidRPr="00F704B6">
        <w:rPr>
          <w:b/>
          <w:color w:val="000000" w:themeColor="text1"/>
        </w:rPr>
        <w:t>estrategias</w:t>
      </w:r>
      <w:r w:rsidRPr="00F704B6">
        <w:rPr>
          <w:b/>
          <w:color w:val="000000" w:themeColor="text1"/>
        </w:rPr>
        <w:t xml:space="preserve"> de mitigación en el presupuesto por programas par</w:t>
      </w:r>
      <w:r w:rsidR="00F704B6" w:rsidRPr="00F704B6">
        <w:rPr>
          <w:b/>
          <w:color w:val="000000" w:themeColor="text1"/>
        </w:rPr>
        <w:t>a 2</w:t>
      </w:r>
      <w:r w:rsidR="005041FC" w:rsidRPr="00F704B6">
        <w:rPr>
          <w:b/>
          <w:color w:val="000000" w:themeColor="text1"/>
        </w:rPr>
        <w:t xml:space="preserve">014/15?  </w:t>
      </w:r>
      <w:r w:rsidRPr="00F704B6">
        <w:rPr>
          <w:b/>
          <w:color w:val="000000" w:themeColor="text1"/>
        </w:rPr>
        <w:t>¿</w:t>
      </w:r>
      <w:r w:rsidR="00A57E8D" w:rsidRPr="00F704B6">
        <w:rPr>
          <w:b/>
          <w:color w:val="000000" w:themeColor="text1"/>
        </w:rPr>
        <w:t>Podría</w:t>
      </w:r>
      <w:r w:rsidRPr="00F704B6">
        <w:rPr>
          <w:b/>
          <w:color w:val="000000" w:themeColor="text1"/>
        </w:rPr>
        <w:t xml:space="preserve"> explicar qué </w:t>
      </w:r>
      <w:r w:rsidR="00A57E8D" w:rsidRPr="00F704B6">
        <w:rPr>
          <w:b/>
          <w:color w:val="000000" w:themeColor="text1"/>
        </w:rPr>
        <w:t>impulso ha guiado esa</w:t>
      </w:r>
      <w:r w:rsidRPr="00F704B6">
        <w:rPr>
          <w:b/>
          <w:color w:val="000000" w:themeColor="text1"/>
        </w:rPr>
        <w:t xml:space="preserve"> mejora</w:t>
      </w:r>
      <w:r w:rsidR="005041FC" w:rsidRPr="00F704B6">
        <w:rPr>
          <w:b/>
          <w:color w:val="000000" w:themeColor="text1"/>
        </w:rPr>
        <w:t xml:space="preserve">? </w:t>
      </w:r>
    </w:p>
    <w:p w:rsidR="005041FC" w:rsidRPr="00F704B6" w:rsidRDefault="005041FC" w:rsidP="0006587D">
      <w:pPr>
        <w:pStyle w:val="ONUME"/>
        <w:widowControl w:val="0"/>
        <w:numPr>
          <w:ilvl w:val="0"/>
          <w:numId w:val="0"/>
        </w:numPr>
        <w:spacing w:after="0"/>
        <w:rPr>
          <w:b/>
          <w:color w:val="000000" w:themeColor="text1"/>
        </w:rPr>
      </w:pPr>
    </w:p>
    <w:p w:rsidR="005041FC" w:rsidRPr="00F704B6" w:rsidRDefault="00257A22" w:rsidP="0006587D">
      <w:pPr>
        <w:widowControl w:val="0"/>
        <w:rPr>
          <w:color w:val="000000" w:themeColor="text1"/>
        </w:rPr>
      </w:pPr>
      <w:r w:rsidRPr="00F704B6">
        <w:rPr>
          <w:b/>
          <w:color w:val="000000" w:themeColor="text1"/>
        </w:rPr>
        <w:t>R</w:t>
      </w:r>
      <w:r w:rsidR="005041FC" w:rsidRPr="00F704B6">
        <w:rPr>
          <w:b/>
          <w:color w:val="000000" w:themeColor="text1"/>
        </w:rPr>
        <w:t>3:</w:t>
      </w:r>
      <w:r w:rsidR="005041FC" w:rsidRPr="00F704B6">
        <w:rPr>
          <w:color w:val="000000" w:themeColor="text1"/>
        </w:rPr>
        <w:t xml:space="preserve">  </w:t>
      </w:r>
      <w:r w:rsidRPr="00F704B6">
        <w:rPr>
          <w:color w:val="000000" w:themeColor="text1"/>
        </w:rPr>
        <w:t>La iniciativa respecto de la gestión</w:t>
      </w:r>
      <w:r w:rsidR="00611D69" w:rsidRPr="00F704B6">
        <w:rPr>
          <w:color w:val="000000" w:themeColor="text1"/>
        </w:rPr>
        <w:t xml:space="preserve"> de los riesgos y los controles internos en el marco del Programa de </w:t>
      </w:r>
      <w:r w:rsidR="00A57E8D" w:rsidRPr="00F704B6">
        <w:rPr>
          <w:color w:val="000000" w:themeColor="text1"/>
        </w:rPr>
        <w:t xml:space="preserve">Alineación Estratégica </w:t>
      </w:r>
      <w:r w:rsidR="00611D69" w:rsidRPr="00F704B6">
        <w:rPr>
          <w:color w:val="000000" w:themeColor="text1"/>
        </w:rPr>
        <w:t xml:space="preserve">tiene por fin reforzar e integrar plenamente el reconocimiento de los riesgos y las estrategias de mitigación en la gestión del rendimiento del rendimiento en la </w:t>
      </w:r>
      <w:r w:rsidR="00611D69" w:rsidRPr="00F704B6">
        <w:rPr>
          <w:color w:val="000000" w:themeColor="text1"/>
          <w:lang w:eastAsia="fr-FR"/>
        </w:rPr>
        <w:t>Organización</w:t>
      </w:r>
      <w:r w:rsidR="00611D69" w:rsidRPr="00F704B6">
        <w:rPr>
          <w:color w:val="000000" w:themeColor="text1"/>
        </w:rPr>
        <w:t>, y ello incluye la planificación bienal.  Los órganos de supervisión de la OMPI han guiado ese proceso</w:t>
      </w:r>
      <w:r w:rsidR="005041FC" w:rsidRPr="00F704B6">
        <w:rPr>
          <w:color w:val="000000" w:themeColor="text1"/>
        </w:rPr>
        <w:t>.</w:t>
      </w:r>
    </w:p>
    <w:p w:rsidR="005041FC" w:rsidRPr="00E2772D" w:rsidRDefault="005041FC" w:rsidP="0006587D">
      <w:pPr>
        <w:widowControl w:val="0"/>
        <w:rPr>
          <w:b/>
          <w:color w:val="000000" w:themeColor="text1"/>
        </w:rPr>
      </w:pPr>
    </w:p>
    <w:p w:rsidR="000924C5" w:rsidRPr="000924C5" w:rsidRDefault="000924C5" w:rsidP="00E2772D">
      <w:pPr>
        <w:widowControl w:val="0"/>
        <w:rPr>
          <w:b/>
          <w:color w:val="000000" w:themeColor="text1"/>
        </w:rPr>
      </w:pPr>
      <w:r w:rsidRPr="000924C5">
        <w:rPr>
          <w:b/>
          <w:color w:val="000000" w:themeColor="text1"/>
        </w:rPr>
        <w:t>P4:  ¿Podría explicar en detalle el concepto de que la OMPI es una organización orientada a</w:t>
      </w:r>
      <w:r w:rsidR="002C3B8E">
        <w:rPr>
          <w:b/>
          <w:color w:val="000000" w:themeColor="text1"/>
        </w:rPr>
        <w:t xml:space="preserve"> </w:t>
      </w:r>
      <w:r w:rsidRPr="000924C5">
        <w:rPr>
          <w:b/>
          <w:color w:val="000000" w:themeColor="text1"/>
        </w:rPr>
        <w:t>l</w:t>
      </w:r>
      <w:r w:rsidR="002C3B8E">
        <w:rPr>
          <w:b/>
          <w:color w:val="000000" w:themeColor="text1"/>
        </w:rPr>
        <w:t>a prestación óptima de</w:t>
      </w:r>
      <w:r w:rsidRPr="000924C5">
        <w:rPr>
          <w:b/>
          <w:color w:val="000000" w:themeColor="text1"/>
        </w:rPr>
        <w:t xml:space="preserve"> servicio</w:t>
      </w:r>
      <w:r w:rsidR="002C3B8E">
        <w:rPr>
          <w:b/>
          <w:color w:val="000000" w:themeColor="text1"/>
        </w:rPr>
        <w:t>s</w:t>
      </w:r>
      <w:r w:rsidRPr="000924C5">
        <w:rPr>
          <w:b/>
          <w:color w:val="000000" w:themeColor="text1"/>
        </w:rPr>
        <w:t>?</w:t>
      </w:r>
    </w:p>
    <w:p w:rsidR="000924C5" w:rsidRPr="00E2772D" w:rsidRDefault="000924C5" w:rsidP="00E2772D">
      <w:pPr>
        <w:widowControl w:val="0"/>
        <w:rPr>
          <w:b/>
          <w:color w:val="000000" w:themeColor="text1"/>
        </w:rPr>
      </w:pPr>
    </w:p>
    <w:p w:rsidR="000924C5" w:rsidRDefault="000924C5" w:rsidP="00E2772D">
      <w:pPr>
        <w:widowControl w:val="0"/>
        <w:rPr>
          <w:color w:val="000000" w:themeColor="text1"/>
        </w:rPr>
      </w:pPr>
      <w:r w:rsidRPr="000924C5">
        <w:rPr>
          <w:b/>
          <w:color w:val="000000" w:themeColor="text1"/>
        </w:rPr>
        <w:t>R4:</w:t>
      </w:r>
      <w:r>
        <w:rPr>
          <w:color w:val="000000" w:themeColor="text1"/>
        </w:rPr>
        <w:t xml:space="preserve">  Se recuerda que el objetivo del Programa de Alineación Estratégica establecido por el </w:t>
      </w:r>
      <w:r w:rsidRPr="000924C5">
        <w:rPr>
          <w:color w:val="000000" w:themeColor="text1"/>
          <w:lang w:val="es-ES"/>
        </w:rPr>
        <w:t>Director General</w:t>
      </w:r>
      <w:r>
        <w:rPr>
          <w:color w:val="000000" w:themeColor="text1"/>
          <w:lang w:val="es-ES"/>
        </w:rPr>
        <w:t xml:space="preserve"> en </w:t>
      </w:r>
      <w:r w:rsidRPr="000924C5">
        <w:rPr>
          <w:color w:val="000000" w:themeColor="text1"/>
          <w:lang w:val="es-ES"/>
        </w:rPr>
        <w:t>2009</w:t>
      </w:r>
      <w:r>
        <w:rPr>
          <w:color w:val="000000" w:themeColor="text1"/>
          <w:lang w:val="es-ES"/>
        </w:rPr>
        <w:t xml:space="preserve"> </w:t>
      </w:r>
      <w:r w:rsidR="00E2772D">
        <w:rPr>
          <w:color w:val="000000" w:themeColor="text1"/>
          <w:lang w:val="es-ES"/>
        </w:rPr>
        <w:t>fue</w:t>
      </w:r>
      <w:r>
        <w:rPr>
          <w:color w:val="000000" w:themeColor="text1"/>
          <w:lang w:val="es-ES"/>
        </w:rPr>
        <w:t xml:space="preserve"> transformar a </w:t>
      </w:r>
      <w:r w:rsidRPr="000924C5">
        <w:rPr>
          <w:color w:val="000000" w:themeColor="text1"/>
          <w:lang w:val="es-ES"/>
        </w:rPr>
        <w:t>la OMPI</w:t>
      </w:r>
      <w:r>
        <w:rPr>
          <w:color w:val="000000" w:themeColor="text1"/>
          <w:lang w:val="es-ES"/>
        </w:rPr>
        <w:t xml:space="preserve"> en una </w:t>
      </w:r>
      <w:r w:rsidRPr="000924C5">
        <w:rPr>
          <w:color w:val="000000" w:themeColor="text1"/>
          <w:lang w:val="es-ES"/>
        </w:rPr>
        <w:t>organización</w:t>
      </w:r>
      <w:r>
        <w:rPr>
          <w:color w:val="000000" w:themeColor="text1"/>
          <w:lang w:val="es-ES"/>
        </w:rPr>
        <w:t xml:space="preserve"> más receptiva y eficiente, preparada para abanderar en todo el mundo las cuestiones de P.I. y alcanzar sus metas estratégicas.  El </w:t>
      </w:r>
      <w:r>
        <w:rPr>
          <w:color w:val="000000" w:themeColor="text1"/>
        </w:rPr>
        <w:t xml:space="preserve">Programa de Alineación Estratégica ha centrado el eje de la cultura y los valores de la </w:t>
      </w:r>
      <w:r w:rsidRPr="000924C5">
        <w:rPr>
          <w:color w:val="000000" w:themeColor="text1"/>
        </w:rPr>
        <w:t>Organización</w:t>
      </w:r>
      <w:r>
        <w:rPr>
          <w:color w:val="000000" w:themeColor="text1"/>
        </w:rPr>
        <w:t xml:space="preserve">, </w:t>
      </w:r>
      <w:r w:rsidR="00E2772D">
        <w:rPr>
          <w:color w:val="000000" w:themeColor="text1"/>
        </w:rPr>
        <w:t>dotándola de mayor</w:t>
      </w:r>
      <w:r>
        <w:rPr>
          <w:color w:val="000000" w:themeColor="text1"/>
        </w:rPr>
        <w:t xml:space="preserve"> eficiencia en sus distintos procesos y organizando mejor los programas, </w:t>
      </w:r>
      <w:r w:rsidR="00E2772D">
        <w:rPr>
          <w:color w:val="000000" w:themeColor="text1"/>
        </w:rPr>
        <w:t xml:space="preserve">las </w:t>
      </w:r>
      <w:r>
        <w:rPr>
          <w:color w:val="000000" w:themeColor="text1"/>
        </w:rPr>
        <w:t xml:space="preserve">estructuras y </w:t>
      </w:r>
      <w:r w:rsidR="00E2772D">
        <w:rPr>
          <w:color w:val="000000" w:themeColor="text1"/>
        </w:rPr>
        <w:t xml:space="preserve">los </w:t>
      </w:r>
      <w:r w:rsidRPr="000924C5">
        <w:rPr>
          <w:color w:val="000000" w:themeColor="text1"/>
        </w:rPr>
        <w:t xml:space="preserve">recursos </w:t>
      </w:r>
      <w:r>
        <w:rPr>
          <w:color w:val="000000" w:themeColor="text1"/>
        </w:rPr>
        <w:t xml:space="preserve">de las nueve </w:t>
      </w:r>
      <w:r w:rsidR="00E2772D">
        <w:rPr>
          <w:color w:val="000000" w:themeColor="text1"/>
        </w:rPr>
        <w:t>metas estratégicas</w:t>
      </w:r>
      <w:r>
        <w:rPr>
          <w:color w:val="000000" w:themeColor="text1"/>
        </w:rPr>
        <w:t>.</w:t>
      </w:r>
    </w:p>
    <w:p w:rsidR="000924C5" w:rsidRDefault="000924C5" w:rsidP="000924C5">
      <w:pPr>
        <w:widowControl w:val="0"/>
        <w:spacing w:line="480" w:lineRule="auto"/>
        <w:rPr>
          <w:color w:val="000000" w:themeColor="text1"/>
        </w:rPr>
      </w:pPr>
    </w:p>
    <w:p w:rsidR="000924C5" w:rsidRDefault="000924C5" w:rsidP="00E2772D">
      <w:pPr>
        <w:widowControl w:val="0"/>
        <w:rPr>
          <w:color w:val="000000" w:themeColor="text1"/>
          <w:lang w:val="es-ES"/>
        </w:rPr>
      </w:pPr>
      <w:r>
        <w:rPr>
          <w:color w:val="000000" w:themeColor="text1"/>
          <w:lang w:val="es-ES"/>
        </w:rPr>
        <w:lastRenderedPageBreak/>
        <w:t xml:space="preserve">La prestación óptima de servicios es una de las cuatro prioridades centrales de </w:t>
      </w:r>
      <w:r w:rsidRPr="000924C5">
        <w:rPr>
          <w:color w:val="000000" w:themeColor="text1"/>
          <w:lang w:val="es-ES"/>
        </w:rPr>
        <w:t>la OMPI</w:t>
      </w:r>
      <w:r>
        <w:rPr>
          <w:color w:val="000000" w:themeColor="text1"/>
          <w:lang w:val="es-ES"/>
        </w:rPr>
        <w:t xml:space="preserve"> y </w:t>
      </w:r>
      <w:r w:rsidR="00E2772D">
        <w:rPr>
          <w:color w:val="000000" w:themeColor="text1"/>
          <w:lang w:val="es-ES"/>
        </w:rPr>
        <w:t>conlleva</w:t>
      </w:r>
      <w:r>
        <w:rPr>
          <w:color w:val="000000" w:themeColor="text1"/>
          <w:lang w:val="es-ES"/>
        </w:rPr>
        <w:t xml:space="preserve"> aumentar la atención que se presta a los </w:t>
      </w:r>
      <w:r w:rsidRPr="000924C5">
        <w:rPr>
          <w:color w:val="000000" w:themeColor="text1"/>
          <w:lang w:val="es-ES"/>
        </w:rPr>
        <w:t>Estados miembros</w:t>
      </w:r>
      <w:r>
        <w:rPr>
          <w:color w:val="000000" w:themeColor="text1"/>
          <w:lang w:val="es-ES"/>
        </w:rPr>
        <w:t xml:space="preserve">, las partes interesadas y los clientes en todo el mundo, procurando que estén satisfechos con todos los servicios que presta </w:t>
      </w:r>
      <w:r w:rsidRPr="000924C5">
        <w:rPr>
          <w:color w:val="000000" w:themeColor="text1"/>
          <w:lang w:val="es-ES"/>
        </w:rPr>
        <w:t>la OMPI</w:t>
      </w:r>
      <w:r>
        <w:rPr>
          <w:color w:val="000000" w:themeColor="text1"/>
          <w:lang w:val="es-ES"/>
        </w:rPr>
        <w:t xml:space="preserve"> y ello incluye, </w:t>
      </w:r>
      <w:r w:rsidR="00E2772D">
        <w:rPr>
          <w:color w:val="000000" w:themeColor="text1"/>
          <w:lang w:val="es-ES"/>
        </w:rPr>
        <w:t>entre otras cosas</w:t>
      </w:r>
      <w:r>
        <w:rPr>
          <w:color w:val="000000" w:themeColor="text1"/>
          <w:lang w:val="es-ES"/>
        </w:rPr>
        <w:t xml:space="preserve">, los servicios prestados en el marco de los </w:t>
      </w:r>
      <w:r w:rsidRPr="000924C5">
        <w:rPr>
          <w:snapToGrid w:val="0"/>
          <w:color w:val="000000" w:themeColor="text1"/>
          <w:lang w:val="es-ES"/>
        </w:rPr>
        <w:t>sistema</w:t>
      </w:r>
      <w:r>
        <w:rPr>
          <w:snapToGrid w:val="0"/>
          <w:color w:val="000000" w:themeColor="text1"/>
          <w:lang w:val="es-ES"/>
        </w:rPr>
        <w:t xml:space="preserve">s </w:t>
      </w:r>
      <w:r w:rsidRPr="000924C5">
        <w:rPr>
          <w:snapToGrid w:val="0"/>
          <w:color w:val="000000" w:themeColor="text1"/>
          <w:lang w:val="es-ES"/>
        </w:rPr>
        <w:t>internacional</w:t>
      </w:r>
      <w:r>
        <w:rPr>
          <w:snapToGrid w:val="0"/>
          <w:color w:val="000000" w:themeColor="text1"/>
          <w:lang w:val="es-ES"/>
        </w:rPr>
        <w:t>es</w:t>
      </w:r>
      <w:r w:rsidRPr="000924C5">
        <w:rPr>
          <w:snapToGrid w:val="0"/>
          <w:color w:val="000000" w:themeColor="text1"/>
          <w:lang w:val="es-ES"/>
        </w:rPr>
        <w:t xml:space="preserve"> de</w:t>
      </w:r>
      <w:r>
        <w:rPr>
          <w:snapToGrid w:val="0"/>
          <w:color w:val="000000" w:themeColor="text1"/>
          <w:lang w:val="es-ES"/>
        </w:rPr>
        <w:t xml:space="preserve"> registro de </w:t>
      </w:r>
      <w:r w:rsidRPr="000924C5">
        <w:rPr>
          <w:snapToGrid w:val="0"/>
          <w:color w:val="000000" w:themeColor="text1"/>
          <w:lang w:val="es-ES"/>
        </w:rPr>
        <w:t>la OMPI</w:t>
      </w:r>
      <w:r>
        <w:rPr>
          <w:snapToGrid w:val="0"/>
          <w:color w:val="000000" w:themeColor="text1"/>
          <w:lang w:val="es-ES"/>
        </w:rPr>
        <w:t xml:space="preserve"> (</w:t>
      </w:r>
      <w:r w:rsidRPr="000924C5">
        <w:rPr>
          <w:snapToGrid w:val="0"/>
          <w:color w:val="000000" w:themeColor="text1"/>
          <w:lang w:val="es-ES"/>
        </w:rPr>
        <w:t>por ejemplo</w:t>
      </w:r>
      <w:r>
        <w:rPr>
          <w:snapToGrid w:val="0"/>
          <w:color w:val="000000" w:themeColor="text1"/>
          <w:lang w:val="es-ES"/>
        </w:rPr>
        <w:t xml:space="preserve">, los sistemas del PCT, de Madrid y de </w:t>
      </w:r>
      <w:r w:rsidRPr="000924C5">
        <w:rPr>
          <w:snapToGrid w:val="0"/>
          <w:color w:val="000000" w:themeColor="text1"/>
          <w:lang w:val="es-ES"/>
        </w:rPr>
        <w:t>La Haya</w:t>
      </w:r>
      <w:r>
        <w:rPr>
          <w:snapToGrid w:val="0"/>
          <w:color w:val="000000" w:themeColor="text1"/>
          <w:lang w:val="es-ES"/>
        </w:rPr>
        <w:t xml:space="preserve"> y el </w:t>
      </w:r>
      <w:r w:rsidRPr="000924C5">
        <w:rPr>
          <w:snapToGrid w:val="0"/>
          <w:color w:val="000000" w:themeColor="text1"/>
          <w:lang w:val="es-ES"/>
        </w:rPr>
        <w:t>Centro de Arbitraje y Mediación</w:t>
      </w:r>
      <w:r>
        <w:rPr>
          <w:snapToGrid w:val="0"/>
          <w:color w:val="000000" w:themeColor="text1"/>
          <w:lang w:val="es-ES"/>
        </w:rPr>
        <w:t xml:space="preserve"> de </w:t>
      </w:r>
      <w:r w:rsidRPr="000924C5">
        <w:rPr>
          <w:snapToGrid w:val="0"/>
          <w:color w:val="000000" w:themeColor="text1"/>
          <w:lang w:val="es-ES"/>
        </w:rPr>
        <w:t>la OMPI</w:t>
      </w:r>
      <w:r>
        <w:rPr>
          <w:snapToGrid w:val="0"/>
          <w:color w:val="000000" w:themeColor="text1"/>
          <w:lang w:val="es-ES"/>
        </w:rPr>
        <w:t>), la prestación de servicios orientados al desarrollo (</w:t>
      </w:r>
      <w:r w:rsidRPr="000924C5">
        <w:rPr>
          <w:snapToGrid w:val="0"/>
          <w:color w:val="000000" w:themeColor="text1"/>
          <w:lang w:val="es-ES"/>
        </w:rPr>
        <w:t>por ejemplo</w:t>
      </w:r>
      <w:r>
        <w:rPr>
          <w:snapToGrid w:val="0"/>
          <w:color w:val="000000" w:themeColor="text1"/>
          <w:lang w:val="es-ES"/>
        </w:rPr>
        <w:t xml:space="preserve">, estrategias </w:t>
      </w:r>
      <w:r w:rsidRPr="000924C5">
        <w:rPr>
          <w:snapToGrid w:val="0"/>
          <w:color w:val="000000" w:themeColor="text1"/>
          <w:lang w:val="es-ES"/>
        </w:rPr>
        <w:t>nacional</w:t>
      </w:r>
      <w:r>
        <w:rPr>
          <w:snapToGrid w:val="0"/>
          <w:color w:val="000000" w:themeColor="text1"/>
          <w:lang w:val="es-ES"/>
        </w:rPr>
        <w:t>es de P.I., formación y fortalecimiento de las capacidades, mejor</w:t>
      </w:r>
      <w:r w:rsidR="00E2772D">
        <w:rPr>
          <w:snapToGrid w:val="0"/>
          <w:color w:val="000000" w:themeColor="text1"/>
          <w:lang w:val="es-ES"/>
        </w:rPr>
        <w:t>a del</w:t>
      </w:r>
      <w:r>
        <w:rPr>
          <w:snapToGrid w:val="0"/>
          <w:color w:val="000000" w:themeColor="text1"/>
          <w:lang w:val="es-ES"/>
        </w:rPr>
        <w:t xml:space="preserve"> acceso a la información y los </w:t>
      </w:r>
      <w:r w:rsidRPr="000924C5">
        <w:rPr>
          <w:snapToGrid w:val="0"/>
          <w:color w:val="000000" w:themeColor="text1"/>
          <w:lang w:val="es-ES"/>
        </w:rPr>
        <w:t>conocimientos</w:t>
      </w:r>
      <w:r>
        <w:rPr>
          <w:snapToGrid w:val="0"/>
          <w:color w:val="000000" w:themeColor="text1"/>
          <w:lang w:val="es-ES"/>
        </w:rPr>
        <w:t xml:space="preserve"> sobre P.I. y su utilización, asesoramiento en </w:t>
      </w:r>
      <w:r w:rsidRPr="000924C5">
        <w:rPr>
          <w:snapToGrid w:val="0"/>
          <w:color w:val="000000" w:themeColor="text1"/>
          <w:lang w:val="es-ES"/>
        </w:rPr>
        <w:t xml:space="preserve">materia </w:t>
      </w:r>
      <w:r>
        <w:rPr>
          <w:snapToGrid w:val="0"/>
          <w:color w:val="000000" w:themeColor="text1"/>
          <w:lang w:val="es-ES"/>
        </w:rPr>
        <w:t xml:space="preserve">legislativa), los servicios </w:t>
      </w:r>
      <w:r w:rsidRPr="000924C5">
        <w:rPr>
          <w:snapToGrid w:val="0"/>
          <w:color w:val="000000" w:themeColor="text1"/>
          <w:lang w:val="es-ES"/>
        </w:rPr>
        <w:t>de</w:t>
      </w:r>
      <w:r>
        <w:rPr>
          <w:snapToGrid w:val="0"/>
          <w:color w:val="000000" w:themeColor="text1"/>
          <w:lang w:val="es-ES"/>
        </w:rPr>
        <w:t xml:space="preserve"> administración y gestión (</w:t>
      </w:r>
      <w:r w:rsidRPr="000924C5">
        <w:rPr>
          <w:snapToGrid w:val="0"/>
          <w:color w:val="000000" w:themeColor="text1"/>
          <w:lang w:val="es-ES"/>
        </w:rPr>
        <w:t>por ejemplo</w:t>
      </w:r>
      <w:r>
        <w:rPr>
          <w:snapToGrid w:val="0"/>
          <w:color w:val="000000" w:themeColor="text1"/>
          <w:lang w:val="es-ES"/>
        </w:rPr>
        <w:t xml:space="preserve">, servicios de </w:t>
      </w:r>
      <w:r w:rsidRPr="000924C5">
        <w:rPr>
          <w:snapToGrid w:val="0"/>
          <w:color w:val="000000" w:themeColor="text1"/>
          <w:lang w:val="es-ES"/>
        </w:rPr>
        <w:t>conferencia</w:t>
      </w:r>
      <w:r>
        <w:rPr>
          <w:snapToGrid w:val="0"/>
          <w:color w:val="000000" w:themeColor="text1"/>
          <w:lang w:val="es-ES"/>
        </w:rPr>
        <w:t xml:space="preserve"> y de traducción, servicios de seguridad)</w:t>
      </w:r>
      <w:r>
        <w:rPr>
          <w:color w:val="000000" w:themeColor="text1"/>
          <w:lang w:val="es-ES"/>
        </w:rPr>
        <w:t>.</w:t>
      </w:r>
    </w:p>
    <w:p w:rsidR="000924C5" w:rsidRDefault="000924C5" w:rsidP="00E2772D">
      <w:pPr>
        <w:widowControl w:val="0"/>
        <w:rPr>
          <w:color w:val="000000" w:themeColor="text1"/>
          <w:lang w:val="es-ES"/>
        </w:rPr>
      </w:pPr>
    </w:p>
    <w:p w:rsidR="000924C5" w:rsidRDefault="000924C5" w:rsidP="00E2772D">
      <w:pPr>
        <w:widowControl w:val="0"/>
        <w:rPr>
          <w:color w:val="000000" w:themeColor="text1"/>
          <w:lang w:val="es-ES"/>
        </w:rPr>
      </w:pPr>
      <w:r>
        <w:rPr>
          <w:color w:val="000000" w:themeColor="text1"/>
          <w:lang w:val="es-ES"/>
        </w:rPr>
        <w:t xml:space="preserve">La prestación óptima de servicios </w:t>
      </w:r>
      <w:r w:rsidR="00E2772D">
        <w:rPr>
          <w:color w:val="000000" w:themeColor="text1"/>
          <w:lang w:val="es-ES"/>
        </w:rPr>
        <w:t xml:space="preserve">refleja una actitud que </w:t>
      </w:r>
      <w:r>
        <w:rPr>
          <w:color w:val="000000" w:themeColor="text1"/>
          <w:lang w:val="es-ES"/>
        </w:rPr>
        <w:t xml:space="preserve">concierne a todo el personal, </w:t>
      </w:r>
      <w:r w:rsidR="00E2772D">
        <w:rPr>
          <w:color w:val="000000" w:themeColor="text1"/>
          <w:lang w:val="es-ES"/>
        </w:rPr>
        <w:t xml:space="preserve">tanto </w:t>
      </w:r>
      <w:r>
        <w:rPr>
          <w:color w:val="000000" w:themeColor="text1"/>
          <w:lang w:val="es-ES"/>
        </w:rPr>
        <w:t xml:space="preserve">cuando trata en el ámbito externo con todos los sectores interesados, y ello incluye los </w:t>
      </w:r>
      <w:r w:rsidRPr="000924C5">
        <w:rPr>
          <w:color w:val="000000" w:themeColor="text1"/>
          <w:lang w:val="es-ES"/>
        </w:rPr>
        <w:t>Estados miembros</w:t>
      </w:r>
      <w:r>
        <w:rPr>
          <w:color w:val="000000" w:themeColor="text1"/>
          <w:lang w:val="es-ES"/>
        </w:rPr>
        <w:t xml:space="preserve">, los sectores interesados en la P.I. a escala </w:t>
      </w:r>
      <w:r w:rsidRPr="000924C5">
        <w:rPr>
          <w:color w:val="000000" w:themeColor="text1"/>
          <w:lang w:val="es-ES"/>
        </w:rPr>
        <w:t>nacional</w:t>
      </w:r>
      <w:r>
        <w:rPr>
          <w:color w:val="000000" w:themeColor="text1"/>
          <w:lang w:val="es-ES"/>
        </w:rPr>
        <w:t xml:space="preserve"> o regional, las </w:t>
      </w:r>
      <w:r w:rsidRPr="000924C5">
        <w:rPr>
          <w:color w:val="000000" w:themeColor="text1"/>
          <w:lang w:val="es-ES"/>
        </w:rPr>
        <w:t>organizaciones intergubernamentales</w:t>
      </w:r>
      <w:r>
        <w:rPr>
          <w:color w:val="000000" w:themeColor="text1"/>
          <w:lang w:val="es-ES"/>
        </w:rPr>
        <w:t xml:space="preserve">, las ONG y los clientes, </w:t>
      </w:r>
      <w:r w:rsidR="00E2772D">
        <w:rPr>
          <w:color w:val="000000" w:themeColor="text1"/>
          <w:lang w:val="es-ES"/>
        </w:rPr>
        <w:t>com</w:t>
      </w:r>
      <w:r>
        <w:rPr>
          <w:color w:val="000000" w:themeColor="text1"/>
          <w:lang w:val="es-ES"/>
        </w:rPr>
        <w:t xml:space="preserve">o en el ámbito interno, </w:t>
      </w:r>
      <w:r w:rsidR="00E2772D">
        <w:rPr>
          <w:color w:val="000000" w:themeColor="text1"/>
          <w:lang w:val="es-ES"/>
        </w:rPr>
        <w:t xml:space="preserve">en el trato </w:t>
      </w:r>
      <w:r>
        <w:rPr>
          <w:color w:val="000000" w:themeColor="text1"/>
          <w:lang w:val="es-ES"/>
        </w:rPr>
        <w:t xml:space="preserve">con los colegas de la </w:t>
      </w:r>
      <w:r w:rsidRPr="000924C5">
        <w:rPr>
          <w:color w:val="000000" w:themeColor="text1"/>
          <w:lang w:val="es-ES"/>
        </w:rPr>
        <w:t>Secretaría</w:t>
      </w:r>
      <w:r>
        <w:rPr>
          <w:color w:val="000000" w:themeColor="text1"/>
          <w:lang w:val="es-ES"/>
        </w:rPr>
        <w:t>.</w:t>
      </w:r>
    </w:p>
    <w:p w:rsidR="000924C5" w:rsidRPr="00E2772D" w:rsidRDefault="000924C5" w:rsidP="00E2772D">
      <w:pPr>
        <w:widowControl w:val="0"/>
        <w:rPr>
          <w:snapToGrid w:val="0"/>
          <w:color w:val="000000" w:themeColor="text1"/>
          <w:lang w:val="es-ES"/>
        </w:rPr>
      </w:pPr>
    </w:p>
    <w:p w:rsidR="005041FC" w:rsidRPr="0006587D" w:rsidRDefault="00611D69" w:rsidP="0006587D">
      <w:pPr>
        <w:widowControl w:val="0"/>
        <w:rPr>
          <w:color w:val="000000" w:themeColor="text1"/>
          <w:szCs w:val="22"/>
        </w:rPr>
      </w:pPr>
      <w:r w:rsidRPr="00E2772D">
        <w:rPr>
          <w:snapToGrid w:val="0"/>
          <w:color w:val="000000" w:themeColor="text1"/>
          <w:lang w:val="es-ES"/>
        </w:rPr>
        <w:t>P</w:t>
      </w:r>
      <w:r w:rsidRPr="0006587D">
        <w:rPr>
          <w:color w:val="000000" w:themeColor="text1"/>
          <w:szCs w:val="22"/>
        </w:rPr>
        <w:t>ANORAMA FINANCIERO</w:t>
      </w:r>
    </w:p>
    <w:p w:rsidR="005041FC" w:rsidRPr="00F704B6" w:rsidRDefault="005041FC" w:rsidP="0006587D">
      <w:pPr>
        <w:widowControl w:val="0"/>
        <w:rPr>
          <w:rFonts w:ascii="Arial Bold" w:hAnsi="Arial Bold"/>
          <w:b/>
          <w:smallCaps/>
          <w:color w:val="000000" w:themeColor="text1"/>
          <w:sz w:val="24"/>
          <w:szCs w:val="24"/>
          <w:u w:val="single"/>
        </w:rPr>
      </w:pPr>
    </w:p>
    <w:p w:rsidR="005041FC" w:rsidRPr="003E79DB" w:rsidRDefault="00257A22" w:rsidP="0006587D">
      <w:pPr>
        <w:pStyle w:val="ONUME"/>
        <w:widowControl w:val="0"/>
        <w:numPr>
          <w:ilvl w:val="0"/>
          <w:numId w:val="0"/>
        </w:numPr>
        <w:spacing w:after="0"/>
        <w:rPr>
          <w:b/>
          <w:color w:val="000000" w:themeColor="text1"/>
        </w:rPr>
      </w:pPr>
      <w:r w:rsidRPr="00F704B6">
        <w:rPr>
          <w:b/>
          <w:bCs/>
          <w:color w:val="000000" w:themeColor="text1"/>
        </w:rPr>
        <w:t>P</w:t>
      </w:r>
      <w:r w:rsidR="005041FC" w:rsidRPr="00F704B6">
        <w:rPr>
          <w:b/>
          <w:bCs/>
          <w:color w:val="000000" w:themeColor="text1"/>
        </w:rPr>
        <w:t xml:space="preserve">1:  </w:t>
      </w:r>
      <w:r w:rsidR="00611D69" w:rsidRPr="00F704B6">
        <w:rPr>
          <w:b/>
          <w:color w:val="000000" w:themeColor="text1"/>
        </w:rPr>
        <w:t>En el Cuadro </w:t>
      </w:r>
      <w:r w:rsidR="005041FC" w:rsidRPr="00F704B6">
        <w:rPr>
          <w:b/>
          <w:color w:val="000000" w:themeColor="text1"/>
        </w:rPr>
        <w:t xml:space="preserve">3 </w:t>
      </w:r>
      <w:r w:rsidR="00611D69" w:rsidRPr="00F704B6">
        <w:rPr>
          <w:b/>
          <w:color w:val="000000" w:themeColor="text1"/>
        </w:rPr>
        <w:t>del documento del proyecto de presupuesto por programas se indica un aumento de</w:t>
      </w:r>
      <w:r w:rsidR="00F704B6" w:rsidRPr="00F704B6">
        <w:rPr>
          <w:b/>
          <w:color w:val="000000" w:themeColor="text1"/>
        </w:rPr>
        <w:t>l 4</w:t>
      </w:r>
      <w:r w:rsidR="00611D69" w:rsidRPr="00F704B6">
        <w:rPr>
          <w:b/>
          <w:color w:val="000000" w:themeColor="text1"/>
        </w:rPr>
        <w:t xml:space="preserve">% en los ingresos </w:t>
      </w:r>
      <w:r w:rsidR="00A57E8D" w:rsidRPr="00F704B6">
        <w:rPr>
          <w:b/>
          <w:color w:val="000000" w:themeColor="text1"/>
        </w:rPr>
        <w:t>procedentes de las</w:t>
      </w:r>
      <w:r w:rsidR="00611D69" w:rsidRPr="00F704B6">
        <w:rPr>
          <w:b/>
          <w:color w:val="000000" w:themeColor="text1"/>
        </w:rPr>
        <w:t xml:space="preserve"> tasas del </w:t>
      </w:r>
      <w:r w:rsidR="005041FC" w:rsidRPr="00F704B6">
        <w:rPr>
          <w:b/>
          <w:color w:val="000000" w:themeColor="text1"/>
        </w:rPr>
        <w:t>PCT</w:t>
      </w:r>
      <w:r w:rsidR="00611D69" w:rsidRPr="00F704B6">
        <w:rPr>
          <w:b/>
          <w:color w:val="000000" w:themeColor="text1"/>
        </w:rPr>
        <w:t xml:space="preserve">, mientras que en el Cuadro 4 se indica </w:t>
      </w:r>
      <w:r w:rsidR="00A57E8D" w:rsidRPr="00F704B6">
        <w:rPr>
          <w:b/>
          <w:color w:val="000000" w:themeColor="text1"/>
        </w:rPr>
        <w:t>una previsión de aumento</w:t>
      </w:r>
      <w:r w:rsidR="00611D69" w:rsidRPr="00F704B6">
        <w:rPr>
          <w:b/>
          <w:color w:val="000000" w:themeColor="text1"/>
        </w:rPr>
        <w:t xml:space="preserve"> </w:t>
      </w:r>
      <w:r w:rsidR="00A57E8D" w:rsidRPr="00F704B6">
        <w:rPr>
          <w:b/>
          <w:color w:val="000000" w:themeColor="text1"/>
        </w:rPr>
        <w:t xml:space="preserve">del 6,7% en </w:t>
      </w:r>
      <w:r w:rsidR="00611D69" w:rsidRPr="00F704B6">
        <w:rPr>
          <w:b/>
          <w:color w:val="000000" w:themeColor="text1"/>
        </w:rPr>
        <w:t>el nivel de solicitudes internacionales</w:t>
      </w:r>
      <w:r w:rsidR="005041FC" w:rsidRPr="00F704B6">
        <w:rPr>
          <w:b/>
          <w:color w:val="000000" w:themeColor="text1"/>
        </w:rPr>
        <w:t xml:space="preserve">.  </w:t>
      </w:r>
      <w:r w:rsidR="00611D69" w:rsidRPr="00F704B6">
        <w:rPr>
          <w:b/>
          <w:color w:val="000000" w:themeColor="text1"/>
        </w:rPr>
        <w:t>¿No deberían aumentar al mismo ritmo los ingresos y los niveles de registro?</w:t>
      </w:r>
    </w:p>
    <w:p w:rsidR="005041FC" w:rsidRPr="003E79DB" w:rsidRDefault="005041FC" w:rsidP="0006587D">
      <w:pPr>
        <w:pStyle w:val="ONUME"/>
        <w:widowControl w:val="0"/>
        <w:numPr>
          <w:ilvl w:val="0"/>
          <w:numId w:val="0"/>
        </w:numPr>
        <w:spacing w:after="0"/>
        <w:rPr>
          <w:b/>
          <w:bCs/>
          <w:color w:val="000000" w:themeColor="text1"/>
        </w:rPr>
      </w:pPr>
    </w:p>
    <w:p w:rsidR="005041FC" w:rsidRPr="003E79DB" w:rsidRDefault="00257A22" w:rsidP="0006587D">
      <w:pPr>
        <w:widowControl w:val="0"/>
        <w:rPr>
          <w:color w:val="000000" w:themeColor="text1"/>
        </w:rPr>
      </w:pPr>
      <w:r w:rsidRPr="003E79DB">
        <w:rPr>
          <w:b/>
          <w:bCs/>
          <w:color w:val="000000" w:themeColor="text1"/>
        </w:rPr>
        <w:t>R</w:t>
      </w:r>
      <w:r w:rsidR="005041FC" w:rsidRPr="003E79DB">
        <w:rPr>
          <w:b/>
          <w:bCs/>
          <w:color w:val="000000" w:themeColor="text1"/>
        </w:rPr>
        <w:t xml:space="preserve">1:  </w:t>
      </w:r>
      <w:r w:rsidR="00611D69" w:rsidRPr="003E79DB">
        <w:rPr>
          <w:color w:val="000000" w:themeColor="text1"/>
        </w:rPr>
        <w:t xml:space="preserve">El nivel de </w:t>
      </w:r>
      <w:r w:rsidR="00A57E8D" w:rsidRPr="003E79DB">
        <w:rPr>
          <w:color w:val="000000" w:themeColor="text1"/>
        </w:rPr>
        <w:t xml:space="preserve">los </w:t>
      </w:r>
      <w:r w:rsidR="00611D69" w:rsidRPr="003E79DB">
        <w:rPr>
          <w:color w:val="000000" w:themeColor="text1"/>
        </w:rPr>
        <w:t xml:space="preserve">ingresos </w:t>
      </w:r>
      <w:r w:rsidR="00A57E8D" w:rsidRPr="003E79DB">
        <w:rPr>
          <w:color w:val="000000" w:themeColor="text1"/>
        </w:rPr>
        <w:t>procedentes de las</w:t>
      </w:r>
      <w:r w:rsidR="00611D69" w:rsidRPr="003E79DB">
        <w:rPr>
          <w:color w:val="000000" w:themeColor="text1"/>
        </w:rPr>
        <w:t xml:space="preserve"> tasas generados como consecuencia de un aumento en los niveles de registro </w:t>
      </w:r>
      <w:r w:rsidR="00A57E8D" w:rsidRPr="003E79DB">
        <w:rPr>
          <w:color w:val="000000" w:themeColor="text1"/>
        </w:rPr>
        <w:t>variará</w:t>
      </w:r>
      <w:r w:rsidR="00611D69" w:rsidRPr="003E79DB">
        <w:rPr>
          <w:color w:val="000000" w:themeColor="text1"/>
        </w:rPr>
        <w:t xml:space="preserve"> en función de </w:t>
      </w:r>
      <w:r w:rsidR="00A57E8D" w:rsidRPr="003E79DB">
        <w:rPr>
          <w:color w:val="000000" w:themeColor="text1"/>
        </w:rPr>
        <w:t>distintos</w:t>
      </w:r>
      <w:r w:rsidR="00611D69" w:rsidRPr="003E79DB">
        <w:rPr>
          <w:color w:val="000000" w:themeColor="text1"/>
        </w:rPr>
        <w:t xml:space="preserve"> elementos, entre otros, cuándo y cómo se presenta</w:t>
      </w:r>
      <w:r w:rsidR="00A57E8D" w:rsidRPr="003E79DB">
        <w:rPr>
          <w:color w:val="000000" w:themeColor="text1"/>
        </w:rPr>
        <w:t>n</w:t>
      </w:r>
      <w:r w:rsidR="00611D69" w:rsidRPr="003E79DB">
        <w:rPr>
          <w:color w:val="000000" w:themeColor="text1"/>
        </w:rPr>
        <w:t xml:space="preserve"> la</w:t>
      </w:r>
      <w:r w:rsidR="00A57E8D" w:rsidRPr="003E79DB">
        <w:rPr>
          <w:color w:val="000000" w:themeColor="text1"/>
        </w:rPr>
        <w:t>s</w:t>
      </w:r>
      <w:r w:rsidR="00611D69" w:rsidRPr="003E79DB">
        <w:rPr>
          <w:color w:val="000000" w:themeColor="text1"/>
        </w:rPr>
        <w:t xml:space="preserve"> solicitud</w:t>
      </w:r>
      <w:r w:rsidR="00A57E8D" w:rsidRPr="003E79DB">
        <w:rPr>
          <w:color w:val="000000" w:themeColor="text1"/>
        </w:rPr>
        <w:t>es</w:t>
      </w:r>
      <w:r w:rsidR="00611D69" w:rsidRPr="003E79DB">
        <w:rPr>
          <w:color w:val="000000" w:themeColor="text1"/>
        </w:rPr>
        <w:t>, por</w:t>
      </w:r>
      <w:r w:rsidR="002C539B" w:rsidRPr="003E79DB">
        <w:rPr>
          <w:color w:val="000000" w:themeColor="text1"/>
        </w:rPr>
        <w:t>que</w:t>
      </w:r>
      <w:r w:rsidR="00611D69" w:rsidRPr="003E79DB">
        <w:rPr>
          <w:color w:val="000000" w:themeColor="text1"/>
        </w:rPr>
        <w:t xml:space="preserve"> varios elementos de las tasas pagadas dependen de ello.  En la previsión del nivel de ingresos se tienen en cuenta varios supuestos a ese respecto, y no es simplemente el resultado de la multiplicación del número previsto de solicitudes internacionales</w:t>
      </w:r>
      <w:r w:rsidR="00A57E8D" w:rsidRPr="003E79DB">
        <w:rPr>
          <w:color w:val="000000" w:themeColor="text1"/>
        </w:rPr>
        <w:t xml:space="preserve"> por</w:t>
      </w:r>
      <w:r w:rsidR="00611D69" w:rsidRPr="003E79DB">
        <w:rPr>
          <w:color w:val="000000" w:themeColor="text1"/>
        </w:rPr>
        <w:t xml:space="preserve"> las tasas.  </w:t>
      </w:r>
      <w:r w:rsidR="00A57E8D" w:rsidRPr="003E79DB">
        <w:rPr>
          <w:color w:val="000000" w:themeColor="text1"/>
        </w:rPr>
        <w:t>En</w:t>
      </w:r>
      <w:r w:rsidR="00611D69" w:rsidRPr="003E79DB">
        <w:rPr>
          <w:color w:val="000000" w:themeColor="text1"/>
        </w:rPr>
        <w:t xml:space="preserve"> el Anexo IV, Evolución de la demanda de los servicios del sistema del PCT, Madrid y La Haya a mediano plazo, figura una explicación detallada de los distintos elementos que se toman en consideración al proyectar los ingresos procedentes de tasas</w:t>
      </w:r>
      <w:r w:rsidR="005041FC" w:rsidRPr="003E79DB">
        <w:rPr>
          <w:color w:val="000000" w:themeColor="text1"/>
        </w:rPr>
        <w:t>.</w:t>
      </w:r>
    </w:p>
    <w:p w:rsidR="0099724A" w:rsidRPr="003E79DB" w:rsidRDefault="0099724A" w:rsidP="0006587D">
      <w:pPr>
        <w:widowControl w:val="0"/>
        <w:rPr>
          <w:b/>
          <w:bCs/>
          <w:color w:val="000000" w:themeColor="text1"/>
        </w:rPr>
      </w:pPr>
    </w:p>
    <w:p w:rsidR="0099724A" w:rsidRPr="003E79DB" w:rsidRDefault="0099724A" w:rsidP="0006587D">
      <w:pPr>
        <w:pStyle w:val="ONUME"/>
        <w:widowControl w:val="0"/>
        <w:numPr>
          <w:ilvl w:val="0"/>
          <w:numId w:val="0"/>
        </w:numPr>
        <w:spacing w:after="0"/>
        <w:rPr>
          <w:b/>
          <w:color w:val="000000" w:themeColor="text1"/>
        </w:rPr>
      </w:pPr>
      <w:r w:rsidRPr="003E79DB">
        <w:rPr>
          <w:b/>
          <w:bCs/>
          <w:color w:val="000000" w:themeColor="text1"/>
        </w:rPr>
        <w:t xml:space="preserve">P2:  </w:t>
      </w:r>
      <w:r w:rsidRPr="003E79DB">
        <w:rPr>
          <w:b/>
          <w:color w:val="000000" w:themeColor="text1"/>
        </w:rPr>
        <w:t>Tenga a bien indicar la estimación de los ingresos previstos en el corriente bienio, en comparación con lo previsto en el presupuesto por programas.</w:t>
      </w:r>
    </w:p>
    <w:p w:rsidR="0099724A" w:rsidRPr="003E79DB" w:rsidRDefault="0099724A" w:rsidP="0006587D">
      <w:pPr>
        <w:pStyle w:val="ONUME"/>
        <w:widowControl w:val="0"/>
        <w:numPr>
          <w:ilvl w:val="0"/>
          <w:numId w:val="0"/>
        </w:numPr>
        <w:spacing w:after="0"/>
        <w:rPr>
          <w:b/>
          <w:bCs/>
          <w:color w:val="000000" w:themeColor="text1"/>
        </w:rPr>
      </w:pPr>
    </w:p>
    <w:p w:rsidR="0099724A" w:rsidRPr="00F704B6" w:rsidRDefault="0099724A" w:rsidP="0006587D">
      <w:pPr>
        <w:widowControl w:val="0"/>
        <w:rPr>
          <w:color w:val="000000" w:themeColor="text1"/>
        </w:rPr>
      </w:pPr>
      <w:r w:rsidRPr="00F704B6">
        <w:rPr>
          <w:b/>
          <w:bCs/>
          <w:color w:val="000000" w:themeColor="text1"/>
        </w:rPr>
        <w:t>R2:</w:t>
      </w:r>
      <w:r w:rsidRPr="00F704B6">
        <w:rPr>
          <w:color w:val="000000" w:themeColor="text1"/>
        </w:rPr>
        <w:t xml:space="preserve">  En el Cuadro 3 del proyecto de presupuesto por programas figuran las estimaciones actualizadas de los ingresos para el corriente bienio.  La previsión inicial fue d</w:t>
      </w:r>
      <w:r w:rsidR="00F704B6" w:rsidRPr="00F704B6">
        <w:rPr>
          <w:color w:val="000000" w:themeColor="text1"/>
        </w:rPr>
        <w:t>e 6</w:t>
      </w:r>
      <w:r w:rsidRPr="00F704B6">
        <w:rPr>
          <w:color w:val="000000" w:themeColor="text1"/>
        </w:rPr>
        <w:t>47 millones de francos suizos y la estimación actual prevé ingresos por un total d</w:t>
      </w:r>
      <w:r w:rsidR="00F704B6" w:rsidRPr="00F704B6">
        <w:rPr>
          <w:color w:val="000000" w:themeColor="text1"/>
        </w:rPr>
        <w:t>e 6</w:t>
      </w:r>
      <w:r w:rsidRPr="00F704B6">
        <w:rPr>
          <w:color w:val="000000" w:themeColor="text1"/>
        </w:rPr>
        <w:t>83 millones de francos suizos.  En el Cuadr</w:t>
      </w:r>
      <w:r w:rsidR="00F704B6" w:rsidRPr="00F704B6">
        <w:rPr>
          <w:color w:val="000000" w:themeColor="text1"/>
        </w:rPr>
        <w:t>o 3</w:t>
      </w:r>
      <w:r w:rsidRPr="00F704B6">
        <w:rPr>
          <w:color w:val="000000" w:themeColor="text1"/>
        </w:rPr>
        <w:t xml:space="preserve"> también figura un panorama de las diferencias históricas entre las </w:t>
      </w:r>
      <w:r w:rsidR="00A57E8D" w:rsidRPr="00F704B6">
        <w:rPr>
          <w:color w:val="000000" w:themeColor="text1"/>
        </w:rPr>
        <w:t>previsiones</w:t>
      </w:r>
      <w:r w:rsidRPr="00F704B6">
        <w:rPr>
          <w:color w:val="000000" w:themeColor="text1"/>
        </w:rPr>
        <w:t xml:space="preserve"> de ingresos y los ingresos reales generados a lo largo de los bienios, y </w:t>
      </w:r>
      <w:r w:rsidR="00A57E8D" w:rsidRPr="00F704B6">
        <w:rPr>
          <w:color w:val="000000" w:themeColor="text1"/>
        </w:rPr>
        <w:t>de él se desprende</w:t>
      </w:r>
      <w:r w:rsidRPr="00F704B6">
        <w:rPr>
          <w:color w:val="000000" w:themeColor="text1"/>
        </w:rPr>
        <w:t xml:space="preserve"> que las cifras reales han superado en su mayo</w:t>
      </w:r>
      <w:r w:rsidR="00A57E8D" w:rsidRPr="00F704B6">
        <w:rPr>
          <w:color w:val="000000" w:themeColor="text1"/>
        </w:rPr>
        <w:t>ría</w:t>
      </w:r>
      <w:r w:rsidRPr="00F704B6">
        <w:rPr>
          <w:color w:val="000000" w:themeColor="text1"/>
        </w:rPr>
        <w:t xml:space="preserve"> las previsiones en los últimos once bienios.</w:t>
      </w:r>
    </w:p>
    <w:p w:rsidR="0099724A" w:rsidRPr="00F704B6" w:rsidRDefault="0099724A" w:rsidP="0006587D">
      <w:pPr>
        <w:widowControl w:val="0"/>
        <w:rPr>
          <w:b/>
          <w:bCs/>
          <w:color w:val="000000" w:themeColor="text1"/>
        </w:rPr>
      </w:pPr>
    </w:p>
    <w:p w:rsidR="0099724A" w:rsidRPr="003E79DB" w:rsidRDefault="0099724A" w:rsidP="0006587D">
      <w:pPr>
        <w:pStyle w:val="ONUME"/>
        <w:widowControl w:val="0"/>
        <w:numPr>
          <w:ilvl w:val="0"/>
          <w:numId w:val="0"/>
        </w:numPr>
        <w:spacing w:after="0"/>
        <w:rPr>
          <w:b/>
          <w:color w:val="000000" w:themeColor="text1"/>
        </w:rPr>
      </w:pPr>
      <w:r w:rsidRPr="00F704B6">
        <w:rPr>
          <w:b/>
          <w:bCs/>
          <w:color w:val="000000" w:themeColor="text1"/>
        </w:rPr>
        <w:t>P3:  ¿A qué se debe el aumento propuesto en los costos globales</w:t>
      </w:r>
      <w:r w:rsidR="00A57E8D" w:rsidRPr="00F704B6">
        <w:rPr>
          <w:b/>
          <w:bCs/>
          <w:color w:val="000000" w:themeColor="text1"/>
        </w:rPr>
        <w:t xml:space="preserve"> de personal y,</w:t>
      </w:r>
      <w:r w:rsidR="00A57E8D" w:rsidRPr="003E79DB">
        <w:rPr>
          <w:b/>
          <w:bCs/>
          <w:color w:val="000000" w:themeColor="text1"/>
        </w:rPr>
        <w:t xml:space="preserve"> concretamente, </w:t>
      </w:r>
      <w:r w:rsidRPr="003E79DB">
        <w:rPr>
          <w:b/>
          <w:bCs/>
          <w:color w:val="000000" w:themeColor="text1"/>
        </w:rPr>
        <w:t>el aumento en los costos relacionados con el seguro médico después de la separación del servicio</w:t>
      </w:r>
      <w:r w:rsidRPr="003E79DB">
        <w:rPr>
          <w:b/>
          <w:color w:val="000000" w:themeColor="text1"/>
        </w:rPr>
        <w:t>?</w:t>
      </w:r>
    </w:p>
    <w:p w:rsidR="0099724A" w:rsidRPr="003E79DB" w:rsidRDefault="0099724A" w:rsidP="0006587D">
      <w:pPr>
        <w:pStyle w:val="ONUME"/>
        <w:widowControl w:val="0"/>
        <w:numPr>
          <w:ilvl w:val="0"/>
          <w:numId w:val="0"/>
        </w:numPr>
        <w:spacing w:after="0"/>
        <w:rPr>
          <w:b/>
          <w:bCs/>
          <w:color w:val="000000" w:themeColor="text1"/>
        </w:rPr>
      </w:pPr>
    </w:p>
    <w:p w:rsidR="0099724A" w:rsidRPr="003E79DB" w:rsidRDefault="0099724A" w:rsidP="0006587D">
      <w:pPr>
        <w:widowControl w:val="0"/>
        <w:rPr>
          <w:color w:val="000000" w:themeColor="text1"/>
        </w:rPr>
      </w:pPr>
      <w:r w:rsidRPr="003E79DB">
        <w:rPr>
          <w:b/>
          <w:bCs/>
          <w:color w:val="000000" w:themeColor="text1"/>
        </w:rPr>
        <w:t xml:space="preserve">R3:  </w:t>
      </w:r>
      <w:r w:rsidRPr="003E79DB">
        <w:rPr>
          <w:color w:val="000000" w:themeColor="text1"/>
        </w:rPr>
        <w:t>En los párrafos 34 a 40 del proyecto de propuesta de presupuesto por programas figuran todos los detalles de los cambios relacionados con los costos de personal.  El aumento total en los costos de personal es de 36,3 millones de francos suizos, en comparación con el presupuesto de 2012/13 después de las transferencias, lo que representa un aumento del 8,8%.  Los dos elementos más significativos de ese aumento son:</w:t>
      </w:r>
    </w:p>
    <w:p w:rsidR="0099724A" w:rsidRPr="003E79DB" w:rsidRDefault="0099724A" w:rsidP="0006587D">
      <w:pPr>
        <w:widowControl w:val="0"/>
        <w:rPr>
          <w:b/>
          <w:bCs/>
          <w:color w:val="000000" w:themeColor="text1"/>
        </w:rPr>
      </w:pPr>
    </w:p>
    <w:p w:rsidR="0099724A" w:rsidRPr="00F704B6" w:rsidRDefault="00A57E8D" w:rsidP="0006587D">
      <w:pPr>
        <w:widowControl w:val="0"/>
        <w:numPr>
          <w:ilvl w:val="0"/>
          <w:numId w:val="8"/>
        </w:numPr>
        <w:tabs>
          <w:tab w:val="clear" w:pos="927"/>
        </w:tabs>
        <w:ind w:left="1134" w:hanging="567"/>
        <w:rPr>
          <w:color w:val="000000" w:themeColor="text1"/>
        </w:rPr>
      </w:pPr>
      <w:r w:rsidRPr="003E79DB">
        <w:rPr>
          <w:b/>
          <w:bCs/>
          <w:color w:val="000000" w:themeColor="text1"/>
        </w:rPr>
        <w:t xml:space="preserve">Nuevo cálculo de costos: </w:t>
      </w:r>
      <w:r w:rsidR="0099724A" w:rsidRPr="003E79DB">
        <w:rPr>
          <w:color w:val="000000" w:themeColor="text1"/>
        </w:rPr>
        <w:t xml:space="preserve"> refleja principalmente el incremento de escalón dentro del grado y </w:t>
      </w:r>
      <w:r w:rsidRPr="003E79DB">
        <w:rPr>
          <w:color w:val="000000" w:themeColor="text1"/>
        </w:rPr>
        <w:t xml:space="preserve">los </w:t>
      </w:r>
      <w:r w:rsidR="0099724A" w:rsidRPr="003E79DB">
        <w:rPr>
          <w:color w:val="000000" w:themeColor="text1"/>
        </w:rPr>
        <w:t xml:space="preserve">cambios en los niveles de remuneración pensionable, en sintonía con las escalas de sueldos de la </w:t>
      </w:r>
      <w:r w:rsidR="00D90533" w:rsidRPr="00B22A8B">
        <w:rPr>
          <w:bCs/>
          <w:color w:val="000000" w:themeColor="text1"/>
          <w:lang w:val="es-ES"/>
        </w:rPr>
        <w:t xml:space="preserve">Comisión de </w:t>
      </w:r>
      <w:r w:rsidR="00D90533">
        <w:rPr>
          <w:bCs/>
          <w:color w:val="000000" w:themeColor="text1"/>
          <w:lang w:val="es-ES"/>
        </w:rPr>
        <w:t xml:space="preserve">Administración Pública </w:t>
      </w:r>
      <w:r w:rsidR="00D90533" w:rsidRPr="00B22A8B">
        <w:rPr>
          <w:bCs/>
          <w:color w:val="000000" w:themeColor="text1"/>
          <w:lang w:val="es-ES"/>
        </w:rPr>
        <w:t>Internacional</w:t>
      </w:r>
      <w:r w:rsidR="00D90533" w:rsidRPr="003E79DB">
        <w:rPr>
          <w:color w:val="000000" w:themeColor="text1"/>
        </w:rPr>
        <w:t xml:space="preserve"> </w:t>
      </w:r>
      <w:r w:rsidR="00D90533">
        <w:rPr>
          <w:color w:val="000000" w:themeColor="text1"/>
        </w:rPr>
        <w:t>(</w:t>
      </w:r>
      <w:r w:rsidR="0099724A" w:rsidRPr="003E79DB">
        <w:rPr>
          <w:color w:val="000000" w:themeColor="text1"/>
        </w:rPr>
        <w:t>CAPI</w:t>
      </w:r>
      <w:r w:rsidR="00D90533">
        <w:rPr>
          <w:color w:val="000000" w:themeColor="text1"/>
        </w:rPr>
        <w:t>)</w:t>
      </w:r>
      <w:r w:rsidR="0099724A" w:rsidRPr="003E79DB">
        <w:rPr>
          <w:color w:val="000000" w:themeColor="text1"/>
        </w:rPr>
        <w:t xml:space="preserve">, así como </w:t>
      </w:r>
      <w:r w:rsidRPr="003E79DB">
        <w:rPr>
          <w:color w:val="000000" w:themeColor="text1"/>
        </w:rPr>
        <w:t xml:space="preserve">los </w:t>
      </w:r>
      <w:r w:rsidR="0099724A" w:rsidRPr="003E79DB">
        <w:rPr>
          <w:color w:val="000000" w:themeColor="text1"/>
        </w:rPr>
        <w:t>cambios en los costos comunes de personal (</w:t>
      </w:r>
      <w:r w:rsidR="0099724A" w:rsidRPr="003E79DB">
        <w:rPr>
          <w:bCs/>
          <w:snapToGrid w:val="0"/>
          <w:color w:val="000000" w:themeColor="text1"/>
        </w:rPr>
        <w:t>por ejemplo,</w:t>
      </w:r>
      <w:r w:rsidR="0099724A" w:rsidRPr="003E79DB">
        <w:rPr>
          <w:color w:val="000000" w:themeColor="text1"/>
        </w:rPr>
        <w:t xml:space="preserve"> subsidios de educación, prestaciones familiares, vacaciones en el país de origen, etc</w:t>
      </w:r>
      <w:r w:rsidRPr="003E79DB">
        <w:rPr>
          <w:color w:val="000000" w:themeColor="text1"/>
        </w:rPr>
        <w:t>étera</w:t>
      </w:r>
      <w:r w:rsidR="0099724A" w:rsidRPr="003E79DB">
        <w:rPr>
          <w:color w:val="000000" w:themeColor="text1"/>
        </w:rPr>
        <w:t xml:space="preserve">).  La incidencia del nuevo cálculo de costos representa un aumento neto de aproximadamente 13 millones de </w:t>
      </w:r>
      <w:r w:rsidR="0099724A" w:rsidRPr="00F704B6">
        <w:rPr>
          <w:color w:val="000000" w:themeColor="text1"/>
        </w:rPr>
        <w:t>francos suizos.</w:t>
      </w:r>
    </w:p>
    <w:p w:rsidR="0099724A" w:rsidRPr="00F704B6" w:rsidRDefault="0099724A" w:rsidP="0006587D">
      <w:pPr>
        <w:widowControl w:val="0"/>
        <w:rPr>
          <w:color w:val="000000" w:themeColor="text1"/>
        </w:rPr>
      </w:pPr>
    </w:p>
    <w:p w:rsidR="003E79DB" w:rsidRPr="00F704B6" w:rsidRDefault="0099724A" w:rsidP="0006587D">
      <w:pPr>
        <w:widowControl w:val="0"/>
        <w:numPr>
          <w:ilvl w:val="0"/>
          <w:numId w:val="8"/>
        </w:numPr>
        <w:tabs>
          <w:tab w:val="clear" w:pos="927"/>
        </w:tabs>
        <w:ind w:left="1134" w:hanging="567"/>
        <w:rPr>
          <w:color w:val="000000" w:themeColor="text1"/>
        </w:rPr>
      </w:pPr>
      <w:r w:rsidRPr="00F704B6">
        <w:rPr>
          <w:b/>
          <w:bCs/>
          <w:color w:val="000000" w:themeColor="text1"/>
        </w:rPr>
        <w:t>Seguro médico después de la separación del servicio</w:t>
      </w:r>
      <w:r w:rsidR="00A57E8D" w:rsidRPr="00F704B6">
        <w:rPr>
          <w:b/>
          <w:bCs/>
          <w:color w:val="000000" w:themeColor="text1"/>
        </w:rPr>
        <w:t xml:space="preserve">:  </w:t>
      </w:r>
      <w:r w:rsidRPr="00F704B6">
        <w:rPr>
          <w:color w:val="000000" w:themeColor="text1"/>
        </w:rPr>
        <w:t>cabe señalar que, como medida de corto plazo, en el presupuesto por programas del bieni</w:t>
      </w:r>
      <w:r w:rsidR="00F704B6" w:rsidRPr="00F704B6">
        <w:rPr>
          <w:color w:val="000000" w:themeColor="text1"/>
        </w:rPr>
        <w:t>o 2</w:t>
      </w:r>
      <w:r w:rsidRPr="00F704B6">
        <w:rPr>
          <w:color w:val="000000" w:themeColor="text1"/>
        </w:rPr>
        <w:t xml:space="preserve">012/13 se efectuó un ajuste a la baja en el porcentaje aplicado a los costos de los puestos para sufragar la partida de beneficios pagaderos a los empleados después del servicio, lo que incluye el seguro médico después de la separación del servicio, </w:t>
      </w:r>
      <w:r w:rsidR="00A57E8D" w:rsidRPr="00F704B6">
        <w:rPr>
          <w:color w:val="000000" w:themeColor="text1"/>
        </w:rPr>
        <w:t>que ha pasado</w:t>
      </w:r>
      <w:r w:rsidRPr="00F704B6">
        <w:rPr>
          <w:color w:val="000000" w:themeColor="text1"/>
        </w:rPr>
        <w:t xml:space="preserve"> del 6% al 2% (véase la publicación de la OMPI </w:t>
      </w:r>
      <w:r w:rsidR="003E79DB" w:rsidRPr="00F704B6">
        <w:rPr>
          <w:color w:val="000000" w:themeColor="text1"/>
        </w:rPr>
        <w:t>Nº </w:t>
      </w:r>
      <w:r w:rsidRPr="00F704B6">
        <w:rPr>
          <w:color w:val="000000" w:themeColor="text1"/>
        </w:rPr>
        <w:t xml:space="preserve">360S/PB1213, párrafo 26).  </w:t>
      </w:r>
      <w:r w:rsidR="004F055C" w:rsidRPr="00F704B6">
        <w:rPr>
          <w:color w:val="000000" w:themeColor="text1"/>
        </w:rPr>
        <w:t>Habida cuenta de</w:t>
      </w:r>
      <w:r w:rsidRPr="00F704B6">
        <w:rPr>
          <w:color w:val="000000" w:themeColor="text1"/>
        </w:rPr>
        <w:t xml:space="preserve"> que </w:t>
      </w:r>
      <w:r w:rsidR="004F055C" w:rsidRPr="00F704B6">
        <w:rPr>
          <w:color w:val="000000" w:themeColor="text1"/>
        </w:rPr>
        <w:t>un </w:t>
      </w:r>
      <w:r w:rsidRPr="00F704B6">
        <w:rPr>
          <w:color w:val="000000" w:themeColor="text1"/>
        </w:rPr>
        <w:t>1% representa aproximadamente 4 millones de francos suizos, el aumento en los costos para restablecer el 4% representa aproximadamente 16 millones de francos suizos</w:t>
      </w:r>
      <w:r w:rsidR="003E79DB" w:rsidRPr="00F704B6">
        <w:rPr>
          <w:color w:val="000000" w:themeColor="text1"/>
        </w:rPr>
        <w:t>.</w:t>
      </w:r>
    </w:p>
    <w:p w:rsidR="0099724A" w:rsidRPr="003E79DB" w:rsidRDefault="0099724A" w:rsidP="0006587D">
      <w:pPr>
        <w:widowControl w:val="0"/>
        <w:rPr>
          <w:color w:val="000000" w:themeColor="text1"/>
        </w:rPr>
      </w:pPr>
    </w:p>
    <w:p w:rsidR="0099724A" w:rsidRPr="003E79DB" w:rsidRDefault="0099724A" w:rsidP="0006587D">
      <w:pPr>
        <w:pStyle w:val="ONUME"/>
        <w:widowControl w:val="0"/>
        <w:numPr>
          <w:ilvl w:val="0"/>
          <w:numId w:val="0"/>
        </w:numPr>
        <w:spacing w:after="0"/>
        <w:rPr>
          <w:b/>
          <w:color w:val="000000" w:themeColor="text1"/>
        </w:rPr>
      </w:pPr>
      <w:r w:rsidRPr="003E79DB">
        <w:rPr>
          <w:b/>
          <w:bCs/>
          <w:color w:val="000000" w:themeColor="text1"/>
        </w:rPr>
        <w:t xml:space="preserve">P4:  ¿Ha preparado la OMPI </w:t>
      </w:r>
      <w:r w:rsidR="00F945A5">
        <w:rPr>
          <w:b/>
          <w:bCs/>
          <w:color w:val="000000" w:themeColor="text1"/>
        </w:rPr>
        <w:t xml:space="preserve">distintas </w:t>
      </w:r>
      <w:r w:rsidRPr="003E79DB">
        <w:rPr>
          <w:b/>
          <w:bCs/>
          <w:color w:val="000000" w:themeColor="text1"/>
        </w:rPr>
        <w:t>hipótesis de financiación a largo plazo para el seguro médico después de la separación del servicio</w:t>
      </w:r>
      <w:r w:rsidRPr="003E79DB">
        <w:rPr>
          <w:b/>
          <w:color w:val="000000" w:themeColor="text1"/>
        </w:rPr>
        <w:t>?  ¿Ha buscado la OMPI la</w:t>
      </w:r>
      <w:r w:rsidR="00D20D22" w:rsidRPr="003E79DB">
        <w:rPr>
          <w:b/>
          <w:color w:val="000000" w:themeColor="text1"/>
        </w:rPr>
        <w:t xml:space="preserve"> manera</w:t>
      </w:r>
      <w:r w:rsidRPr="003E79DB">
        <w:rPr>
          <w:b/>
          <w:color w:val="000000" w:themeColor="text1"/>
        </w:rPr>
        <w:t xml:space="preserve"> de limitar los importes que han de financiarse a largo plazo?</w:t>
      </w:r>
    </w:p>
    <w:p w:rsidR="0099724A" w:rsidRPr="003E79DB" w:rsidRDefault="0099724A" w:rsidP="0006587D">
      <w:pPr>
        <w:pStyle w:val="ONUME"/>
        <w:widowControl w:val="0"/>
        <w:numPr>
          <w:ilvl w:val="0"/>
          <w:numId w:val="0"/>
        </w:numPr>
        <w:spacing w:after="0"/>
        <w:rPr>
          <w:b/>
          <w:color w:val="000000" w:themeColor="text1"/>
        </w:rPr>
      </w:pPr>
    </w:p>
    <w:p w:rsidR="0099724A" w:rsidRPr="003E79DB" w:rsidRDefault="0099724A" w:rsidP="0006587D">
      <w:pPr>
        <w:pStyle w:val="ONUME"/>
        <w:widowControl w:val="0"/>
        <w:numPr>
          <w:ilvl w:val="0"/>
          <w:numId w:val="0"/>
        </w:numPr>
        <w:spacing w:after="0"/>
        <w:rPr>
          <w:color w:val="000000" w:themeColor="text1"/>
        </w:rPr>
      </w:pPr>
      <w:r w:rsidRPr="00F704B6">
        <w:rPr>
          <w:b/>
          <w:color w:val="000000" w:themeColor="text1"/>
        </w:rPr>
        <w:t>R4:</w:t>
      </w:r>
      <w:r w:rsidRPr="00F704B6">
        <w:rPr>
          <w:color w:val="000000" w:themeColor="text1"/>
        </w:rPr>
        <w:t xml:space="preserve">  En 2012, se presentó al PBC un documento que contiene distintas opciones </w:t>
      </w:r>
      <w:r w:rsidR="00D20D22" w:rsidRPr="00F704B6">
        <w:rPr>
          <w:color w:val="000000" w:themeColor="text1"/>
        </w:rPr>
        <w:t>relativas a</w:t>
      </w:r>
      <w:r w:rsidRPr="00F704B6">
        <w:rPr>
          <w:color w:val="000000" w:themeColor="text1"/>
        </w:rPr>
        <w:t xml:space="preserve"> la financiación del pasivo correspondiente al seguro médico después de la separación del servicio.  Varios delegados consideraron prematura la presentación del documento y prefirieron </w:t>
      </w:r>
      <w:r w:rsidRPr="00F704B6">
        <w:rPr>
          <w:b/>
          <w:bCs/>
          <w:color w:val="000000" w:themeColor="text1"/>
        </w:rPr>
        <w:t>esperar hasta ver qué medidas tomarían las Naciones Unidas con respecto a la misma</w:t>
      </w:r>
      <w:r w:rsidRPr="00F704B6">
        <w:rPr>
          <w:color w:val="000000" w:themeColor="text1"/>
        </w:rPr>
        <w:t xml:space="preserve"> cuestión</w:t>
      </w:r>
      <w:r w:rsidR="00F704B6" w:rsidRPr="00F704B6">
        <w:rPr>
          <w:color w:val="000000" w:themeColor="text1"/>
        </w:rPr>
        <w:t>.  E</w:t>
      </w:r>
      <w:r w:rsidRPr="00F704B6">
        <w:rPr>
          <w:color w:val="000000" w:themeColor="text1"/>
        </w:rPr>
        <w:t>ste año, el PBC recibirá un documento sobre el tema de la financiación a largo plazo de los beneficios de los empleados en el que se explica un</w:t>
      </w:r>
      <w:r w:rsidR="00D20D22" w:rsidRPr="00F704B6">
        <w:rPr>
          <w:color w:val="000000" w:themeColor="text1"/>
        </w:rPr>
        <w:t>a</w:t>
      </w:r>
      <w:r w:rsidRPr="00F704B6">
        <w:rPr>
          <w:color w:val="000000" w:themeColor="text1"/>
        </w:rPr>
        <w:t xml:space="preserve"> sencill</w:t>
      </w:r>
      <w:r w:rsidR="00D20D22" w:rsidRPr="00F704B6">
        <w:rPr>
          <w:color w:val="000000" w:themeColor="text1"/>
        </w:rPr>
        <w:t>a medida</w:t>
      </w:r>
      <w:r w:rsidRPr="00F704B6">
        <w:rPr>
          <w:color w:val="000000" w:themeColor="text1"/>
        </w:rPr>
        <w:t xml:space="preserve"> inicial que la OMPI propone tomar con respecto</w:t>
      </w:r>
      <w:r w:rsidRPr="003E79DB">
        <w:rPr>
          <w:color w:val="000000" w:themeColor="text1"/>
        </w:rPr>
        <w:t xml:space="preserve"> a la financiación de esos beneficios.  Durante el primer año del bienio la OMPI ha seguido de cerca las medidas tomadas no sólo en las Naciones Unidas, sino en varios organismos con respecto a ese pasivo de largo plazo y en el documento mencionado también se hace referencia a ello.</w:t>
      </w:r>
    </w:p>
    <w:p w:rsidR="0099724A" w:rsidRPr="003E79DB" w:rsidRDefault="0099724A" w:rsidP="0006587D">
      <w:pPr>
        <w:pStyle w:val="ONUME"/>
        <w:widowControl w:val="0"/>
        <w:numPr>
          <w:ilvl w:val="0"/>
          <w:numId w:val="0"/>
        </w:numPr>
        <w:spacing w:after="0"/>
        <w:rPr>
          <w:color w:val="000000" w:themeColor="text1"/>
        </w:rPr>
      </w:pPr>
    </w:p>
    <w:p w:rsidR="0099724A" w:rsidRPr="003E79DB" w:rsidRDefault="0099724A" w:rsidP="0006587D">
      <w:pPr>
        <w:pStyle w:val="ONUME"/>
        <w:widowControl w:val="0"/>
        <w:numPr>
          <w:ilvl w:val="0"/>
          <w:numId w:val="0"/>
        </w:numPr>
        <w:spacing w:after="0"/>
        <w:rPr>
          <w:b/>
          <w:color w:val="000000" w:themeColor="text1"/>
        </w:rPr>
      </w:pPr>
      <w:r w:rsidRPr="003E79DB">
        <w:rPr>
          <w:b/>
          <w:bCs/>
          <w:color w:val="000000" w:themeColor="text1"/>
        </w:rPr>
        <w:t>P5:  ¿Explique por qué hay un aumento de </w:t>
      </w:r>
      <w:r w:rsidRPr="003E79DB">
        <w:rPr>
          <w:b/>
          <w:color w:val="000000" w:themeColor="text1"/>
        </w:rPr>
        <w:t xml:space="preserve">96 puestos, </w:t>
      </w:r>
      <w:r w:rsidR="0097686B" w:rsidRPr="003E79DB">
        <w:rPr>
          <w:b/>
          <w:color w:val="000000" w:themeColor="text1"/>
        </w:rPr>
        <w:t>si bien</w:t>
      </w:r>
      <w:r w:rsidRPr="003E79DB">
        <w:rPr>
          <w:b/>
          <w:color w:val="000000" w:themeColor="text1"/>
        </w:rPr>
        <w:t xml:space="preserve"> en el prólogo del Director General se declara que “no se prevén nuevos puestos de trabajo y se mantiene el mismo número de empleados en nómina”.</w:t>
      </w:r>
    </w:p>
    <w:p w:rsidR="0099724A" w:rsidRPr="003E79DB" w:rsidRDefault="0099724A" w:rsidP="0006587D">
      <w:pPr>
        <w:pStyle w:val="ONUME"/>
        <w:widowControl w:val="0"/>
        <w:numPr>
          <w:ilvl w:val="0"/>
          <w:numId w:val="0"/>
        </w:numPr>
        <w:spacing w:after="0"/>
        <w:rPr>
          <w:b/>
          <w:bCs/>
          <w:color w:val="000000" w:themeColor="text1"/>
        </w:rPr>
      </w:pPr>
    </w:p>
    <w:p w:rsidR="0099724A" w:rsidRPr="00F704B6" w:rsidRDefault="0099724A" w:rsidP="0006587D">
      <w:pPr>
        <w:widowControl w:val="0"/>
        <w:rPr>
          <w:b/>
          <w:bCs/>
          <w:color w:val="000000" w:themeColor="text1"/>
        </w:rPr>
      </w:pPr>
      <w:r w:rsidRPr="003E79DB">
        <w:rPr>
          <w:b/>
          <w:bCs/>
          <w:color w:val="000000" w:themeColor="text1"/>
        </w:rPr>
        <w:t xml:space="preserve">R5:  </w:t>
      </w:r>
      <w:r w:rsidRPr="003E79DB">
        <w:rPr>
          <w:color w:val="000000" w:themeColor="text1"/>
        </w:rPr>
        <w:t xml:space="preserve">Los 96 puestos forman parte de los 156 aprobados en principio por los Estados miembros, en el contexto de la aprobación de la estrategia que ha de aplicarse con respecto al proceso de regularización, como también se indica en el párrafo 39 </w:t>
      </w:r>
      <w:r w:rsidR="003A6538" w:rsidRPr="003E79DB">
        <w:rPr>
          <w:color w:val="000000" w:themeColor="text1"/>
        </w:rPr>
        <w:t>del documento del</w:t>
      </w:r>
      <w:r w:rsidRPr="003E79DB">
        <w:rPr>
          <w:color w:val="000000" w:themeColor="text1"/>
        </w:rPr>
        <w:t xml:space="preserve"> proyecto de presupuesto por programas.  La utilización de esos puestos redundará en una reducción proporcional del personal temporero.  En consecuencia, no se prevén nuevos puestos, habida cuenta de que esos puestos ya han sido aprobados en principio</w:t>
      </w:r>
      <w:r w:rsidR="003A6538" w:rsidRPr="003E79DB">
        <w:rPr>
          <w:color w:val="000000" w:themeColor="text1"/>
        </w:rPr>
        <w:t>,</w:t>
      </w:r>
      <w:r w:rsidRPr="003E79DB">
        <w:rPr>
          <w:color w:val="000000" w:themeColor="text1"/>
        </w:rPr>
        <w:t xml:space="preserve"> y tampoco aumentará el número de empleados en nómina, sino que se producirá un traspaso del person</w:t>
      </w:r>
      <w:r w:rsidR="003A6538" w:rsidRPr="003E79DB">
        <w:rPr>
          <w:color w:val="000000" w:themeColor="text1"/>
        </w:rPr>
        <w:t xml:space="preserve">al temporero a </w:t>
      </w:r>
      <w:r w:rsidR="003A6538" w:rsidRPr="00F704B6">
        <w:rPr>
          <w:color w:val="000000" w:themeColor="text1"/>
        </w:rPr>
        <w:t xml:space="preserve">la categoría de </w:t>
      </w:r>
      <w:r w:rsidRPr="00F704B6">
        <w:rPr>
          <w:color w:val="000000" w:themeColor="text1"/>
        </w:rPr>
        <w:t>puesto</w:t>
      </w:r>
      <w:r w:rsidR="003A6538" w:rsidRPr="00F704B6">
        <w:rPr>
          <w:color w:val="000000" w:themeColor="text1"/>
        </w:rPr>
        <w:t>s</w:t>
      </w:r>
      <w:r w:rsidRPr="00F704B6">
        <w:rPr>
          <w:color w:val="000000" w:themeColor="text1"/>
        </w:rPr>
        <w:t xml:space="preserve">, </w:t>
      </w:r>
      <w:r w:rsidR="003A6538" w:rsidRPr="00F704B6">
        <w:rPr>
          <w:color w:val="000000" w:themeColor="text1"/>
        </w:rPr>
        <w:t>por</w:t>
      </w:r>
      <w:r w:rsidRPr="00F704B6">
        <w:rPr>
          <w:color w:val="000000" w:themeColor="text1"/>
        </w:rPr>
        <w:t xml:space="preserve"> un costo marginal.</w:t>
      </w:r>
    </w:p>
    <w:p w:rsidR="006E0E9B" w:rsidRPr="00F704B6" w:rsidRDefault="006E0E9B" w:rsidP="0006587D">
      <w:pPr>
        <w:widowControl w:val="0"/>
        <w:rPr>
          <w:bCs/>
          <w:color w:val="000000" w:themeColor="text1"/>
        </w:rPr>
      </w:pPr>
    </w:p>
    <w:p w:rsidR="00C00408" w:rsidRPr="00F704B6" w:rsidRDefault="00C00408" w:rsidP="0006587D">
      <w:pPr>
        <w:pStyle w:val="ONUME"/>
        <w:widowControl w:val="0"/>
        <w:numPr>
          <w:ilvl w:val="0"/>
          <w:numId w:val="0"/>
        </w:numPr>
        <w:spacing w:after="0"/>
        <w:rPr>
          <w:b/>
          <w:color w:val="000000" w:themeColor="text1"/>
        </w:rPr>
      </w:pPr>
      <w:r w:rsidRPr="00F704B6">
        <w:rPr>
          <w:b/>
          <w:bCs/>
          <w:color w:val="000000" w:themeColor="text1"/>
        </w:rPr>
        <w:t xml:space="preserve">P6:  </w:t>
      </w:r>
      <w:r w:rsidR="003A6538" w:rsidRPr="00F704B6">
        <w:rPr>
          <w:b/>
          <w:bCs/>
          <w:color w:val="000000" w:themeColor="text1"/>
        </w:rPr>
        <w:t>Resulta significativo e</w:t>
      </w:r>
      <w:r w:rsidRPr="00F704B6">
        <w:rPr>
          <w:b/>
          <w:bCs/>
          <w:color w:val="000000" w:themeColor="text1"/>
        </w:rPr>
        <w:t xml:space="preserve">l aumento </w:t>
      </w:r>
      <w:r w:rsidR="003A6538" w:rsidRPr="00F704B6">
        <w:rPr>
          <w:b/>
          <w:bCs/>
          <w:color w:val="000000" w:themeColor="text1"/>
        </w:rPr>
        <w:t>de</w:t>
      </w:r>
      <w:r w:rsidR="00F704B6" w:rsidRPr="00F704B6">
        <w:rPr>
          <w:b/>
          <w:bCs/>
          <w:color w:val="000000" w:themeColor="text1"/>
        </w:rPr>
        <w:t>l 8</w:t>
      </w:r>
      <w:r w:rsidR="003A6538" w:rsidRPr="00F704B6">
        <w:rPr>
          <w:b/>
          <w:bCs/>
          <w:color w:val="000000" w:themeColor="text1"/>
        </w:rPr>
        <w:t>,8% en los costos de personal</w:t>
      </w:r>
      <w:r w:rsidRPr="00F704B6">
        <w:rPr>
          <w:b/>
          <w:bCs/>
          <w:color w:val="000000" w:themeColor="text1"/>
        </w:rPr>
        <w:t>.  ¿Ha realizado la Secretaría algún análisis de eventuales medidas de contención de los costos de personal?</w:t>
      </w:r>
    </w:p>
    <w:p w:rsidR="00C00408" w:rsidRPr="00F704B6" w:rsidRDefault="00C00408" w:rsidP="0006587D">
      <w:pPr>
        <w:pStyle w:val="ONUME"/>
        <w:widowControl w:val="0"/>
        <w:numPr>
          <w:ilvl w:val="0"/>
          <w:numId w:val="0"/>
        </w:numPr>
        <w:spacing w:after="0"/>
        <w:rPr>
          <w:b/>
          <w:bCs/>
          <w:color w:val="000000" w:themeColor="text1"/>
        </w:rPr>
      </w:pPr>
    </w:p>
    <w:p w:rsidR="00C00408" w:rsidRPr="003E79DB" w:rsidRDefault="00C00408" w:rsidP="0006587D">
      <w:pPr>
        <w:widowControl w:val="0"/>
        <w:rPr>
          <w:color w:val="000000" w:themeColor="text1"/>
        </w:rPr>
      </w:pPr>
      <w:r w:rsidRPr="00F704B6">
        <w:rPr>
          <w:b/>
          <w:bCs/>
          <w:color w:val="000000" w:themeColor="text1"/>
        </w:rPr>
        <w:t xml:space="preserve">R6:  </w:t>
      </w:r>
      <w:r w:rsidRPr="00F704B6">
        <w:rPr>
          <w:color w:val="000000" w:themeColor="text1"/>
        </w:rPr>
        <w:t xml:space="preserve">El alcance de las medidas de contención de los costos de personal es limitado.  Una gestión financiera prudente exige que los costos de personal de la Organización queden reflejados de manera precisa y transparente, y que también se reconozcan, </w:t>
      </w:r>
      <w:r w:rsidR="003A6538" w:rsidRPr="00F704B6">
        <w:rPr>
          <w:color w:val="000000" w:themeColor="text1"/>
        </w:rPr>
        <w:t>contabilicen</w:t>
      </w:r>
      <w:r w:rsidRPr="00F704B6">
        <w:rPr>
          <w:color w:val="000000" w:themeColor="text1"/>
        </w:rPr>
        <w:t xml:space="preserve"> y prevean adecuadamente los pasivos futuros.  La Secretaría ha indicado que no se prevén </w:t>
      </w:r>
      <w:r w:rsidRPr="00F704B6">
        <w:rPr>
          <w:color w:val="000000" w:themeColor="text1"/>
        </w:rPr>
        <w:lastRenderedPageBreak/>
        <w:t>nuevos puestos para el próximo bienio y que podrán aplicarse todas las estrategias de trabajo y lograrse los resultados previstos sin prever aumentos en el número d</w:t>
      </w:r>
      <w:r w:rsidR="003E79DB" w:rsidRPr="00F704B6">
        <w:rPr>
          <w:color w:val="000000" w:themeColor="text1"/>
        </w:rPr>
        <w:t>e e</w:t>
      </w:r>
      <w:r w:rsidRPr="00F704B6">
        <w:rPr>
          <w:color w:val="000000" w:themeColor="text1"/>
        </w:rPr>
        <w:t xml:space="preserve">mpleados </w:t>
      </w:r>
      <w:r w:rsidR="003A6538" w:rsidRPr="00F704B6">
        <w:rPr>
          <w:color w:val="000000" w:themeColor="text1"/>
        </w:rPr>
        <w:t>en</w:t>
      </w:r>
      <w:r w:rsidRPr="00F704B6">
        <w:rPr>
          <w:color w:val="000000" w:themeColor="text1"/>
        </w:rPr>
        <w:t xml:space="preserve"> nómina.</w:t>
      </w:r>
    </w:p>
    <w:p w:rsidR="00C00408" w:rsidRPr="003E79DB" w:rsidRDefault="00C00408" w:rsidP="0006587D">
      <w:pPr>
        <w:widowControl w:val="0"/>
        <w:rPr>
          <w:color w:val="000000" w:themeColor="text1"/>
        </w:rPr>
      </w:pPr>
    </w:p>
    <w:p w:rsidR="00C00408" w:rsidRPr="00F704B6" w:rsidRDefault="00C00408" w:rsidP="0006587D">
      <w:pPr>
        <w:pStyle w:val="ONUME"/>
        <w:widowControl w:val="0"/>
        <w:numPr>
          <w:ilvl w:val="0"/>
          <w:numId w:val="0"/>
        </w:numPr>
        <w:spacing w:after="0"/>
        <w:rPr>
          <w:b/>
          <w:color w:val="000000" w:themeColor="text1"/>
        </w:rPr>
      </w:pPr>
      <w:r w:rsidRPr="00F704B6">
        <w:rPr>
          <w:b/>
          <w:bCs/>
          <w:color w:val="000000" w:themeColor="text1"/>
        </w:rPr>
        <w:t>P7:  Explique por qué se propone aumentar del 1,4%</w:t>
      </w:r>
      <w:r w:rsidRPr="00F704B6">
        <w:rPr>
          <w:b/>
          <w:color w:val="000000" w:themeColor="text1"/>
        </w:rPr>
        <w:t xml:space="preserve"> el costo del personal temporero </w:t>
      </w:r>
      <w:r w:rsidR="003A6538" w:rsidRPr="00F704B6">
        <w:rPr>
          <w:b/>
          <w:color w:val="000000" w:themeColor="text1"/>
        </w:rPr>
        <w:t>aunque se prevea</w:t>
      </w:r>
      <w:r w:rsidRPr="00F704B6">
        <w:rPr>
          <w:b/>
          <w:color w:val="000000" w:themeColor="text1"/>
        </w:rPr>
        <w:t xml:space="preserve"> seguir reduciendo el número de miembros del personal temporero</w:t>
      </w:r>
      <w:r w:rsidR="003A6538" w:rsidRPr="00F704B6">
        <w:rPr>
          <w:b/>
          <w:color w:val="000000" w:themeColor="text1"/>
        </w:rPr>
        <w:t>,</w:t>
      </w:r>
      <w:r w:rsidRPr="00F704B6">
        <w:rPr>
          <w:b/>
          <w:color w:val="000000" w:themeColor="text1"/>
        </w:rPr>
        <w:t xml:space="preserve"> de conformidad con el párraf</w:t>
      </w:r>
      <w:r w:rsidR="00F704B6" w:rsidRPr="00F704B6">
        <w:rPr>
          <w:b/>
          <w:color w:val="000000" w:themeColor="text1"/>
        </w:rPr>
        <w:t>o 3</w:t>
      </w:r>
      <w:r w:rsidRPr="00F704B6">
        <w:rPr>
          <w:b/>
          <w:color w:val="000000" w:themeColor="text1"/>
        </w:rPr>
        <w:t>9.</w:t>
      </w:r>
    </w:p>
    <w:p w:rsidR="00C00408" w:rsidRPr="00F704B6" w:rsidRDefault="00C00408" w:rsidP="0006587D">
      <w:pPr>
        <w:pStyle w:val="ONUME"/>
        <w:widowControl w:val="0"/>
        <w:numPr>
          <w:ilvl w:val="0"/>
          <w:numId w:val="0"/>
        </w:numPr>
        <w:spacing w:after="0"/>
        <w:rPr>
          <w:b/>
          <w:bCs/>
          <w:color w:val="000000" w:themeColor="text1"/>
        </w:rPr>
      </w:pPr>
    </w:p>
    <w:p w:rsidR="00C00408" w:rsidRPr="003E79DB" w:rsidRDefault="00C00408" w:rsidP="0006587D">
      <w:pPr>
        <w:widowControl w:val="0"/>
        <w:rPr>
          <w:snapToGrid w:val="0"/>
          <w:color w:val="000000" w:themeColor="text1"/>
        </w:rPr>
      </w:pPr>
      <w:r w:rsidRPr="00F704B6">
        <w:rPr>
          <w:b/>
          <w:bCs/>
          <w:color w:val="000000" w:themeColor="text1"/>
        </w:rPr>
        <w:t xml:space="preserve">R7:  </w:t>
      </w:r>
      <w:r w:rsidRPr="00F704B6">
        <w:rPr>
          <w:bCs/>
          <w:color w:val="000000" w:themeColor="text1"/>
        </w:rPr>
        <w:t>La Organización se ha esforzado y sigue esforzándose por completar el proceso de regularización que ha dado como resultado una reducción constante en el número de empleados con contratos de corta duración y empleados temporeros en los últimos cinco años (</w:t>
      </w:r>
      <w:r w:rsidR="003A6538" w:rsidRPr="00F704B6">
        <w:rPr>
          <w:bCs/>
          <w:color w:val="000000" w:themeColor="text1"/>
        </w:rPr>
        <w:t>a finales de </w:t>
      </w:r>
      <w:r w:rsidRPr="00F704B6">
        <w:rPr>
          <w:bCs/>
          <w:color w:val="000000" w:themeColor="text1"/>
        </w:rPr>
        <w:t xml:space="preserve">2008, </w:t>
      </w:r>
      <w:r w:rsidR="003A6538" w:rsidRPr="00F704B6">
        <w:rPr>
          <w:bCs/>
          <w:color w:val="000000" w:themeColor="text1"/>
        </w:rPr>
        <w:t xml:space="preserve">en la </w:t>
      </w:r>
      <w:r w:rsidR="003A6538" w:rsidRPr="00F704B6">
        <w:rPr>
          <w:bCs/>
          <w:color w:val="000000" w:themeColor="text1"/>
          <w:lang w:eastAsia="fr-FR"/>
        </w:rPr>
        <w:t>Organización</w:t>
      </w:r>
      <w:r w:rsidR="003A6538" w:rsidRPr="00F704B6">
        <w:rPr>
          <w:bCs/>
          <w:color w:val="000000" w:themeColor="text1"/>
        </w:rPr>
        <w:t xml:space="preserve">, </w:t>
      </w:r>
      <w:r w:rsidRPr="00F704B6">
        <w:rPr>
          <w:bCs/>
          <w:color w:val="000000" w:themeColor="text1"/>
        </w:rPr>
        <w:t>el número total de empleados con contratos de corta duración</w:t>
      </w:r>
      <w:r w:rsidR="0008665B" w:rsidRPr="00F704B6">
        <w:rPr>
          <w:bCs/>
          <w:color w:val="000000" w:themeColor="text1"/>
        </w:rPr>
        <w:t xml:space="preserve"> superaba apenas lo</w:t>
      </w:r>
      <w:r w:rsidR="00F704B6" w:rsidRPr="00F704B6">
        <w:rPr>
          <w:bCs/>
          <w:color w:val="000000" w:themeColor="text1"/>
        </w:rPr>
        <w:t>s 3</w:t>
      </w:r>
      <w:r w:rsidR="0008665B" w:rsidRPr="00F704B6">
        <w:rPr>
          <w:bCs/>
          <w:color w:val="000000" w:themeColor="text1"/>
        </w:rPr>
        <w:t>00, mientras que e</w:t>
      </w:r>
      <w:r w:rsidR="00F704B6" w:rsidRPr="00F704B6">
        <w:rPr>
          <w:bCs/>
          <w:color w:val="000000" w:themeColor="text1"/>
        </w:rPr>
        <w:t>n 2</w:t>
      </w:r>
      <w:r w:rsidR="0008665B" w:rsidRPr="00F704B6">
        <w:rPr>
          <w:bCs/>
          <w:color w:val="000000" w:themeColor="text1"/>
        </w:rPr>
        <w:t>012 ya estaba por debajo de lo</w:t>
      </w:r>
      <w:r w:rsidR="00F704B6" w:rsidRPr="00F704B6">
        <w:rPr>
          <w:bCs/>
          <w:color w:val="000000" w:themeColor="text1"/>
        </w:rPr>
        <w:t>s 2</w:t>
      </w:r>
      <w:r w:rsidR="0008665B" w:rsidRPr="00F704B6">
        <w:rPr>
          <w:bCs/>
          <w:color w:val="000000" w:themeColor="text1"/>
        </w:rPr>
        <w:t>00)</w:t>
      </w:r>
      <w:r w:rsidRPr="00F704B6">
        <w:rPr>
          <w:color w:val="000000" w:themeColor="text1"/>
        </w:rPr>
        <w:t>.</w:t>
      </w:r>
      <w:r w:rsidR="0008665B" w:rsidRPr="00F704B6">
        <w:rPr>
          <w:color w:val="000000" w:themeColor="text1"/>
        </w:rPr>
        <w:t xml:space="preserve">  Sin embargo, los costos </w:t>
      </w:r>
      <w:r w:rsidR="003A6538" w:rsidRPr="00F704B6">
        <w:rPr>
          <w:color w:val="000000" w:themeColor="text1"/>
        </w:rPr>
        <w:t>correspondientes al</w:t>
      </w:r>
      <w:r w:rsidR="0008665B" w:rsidRPr="00F704B6">
        <w:rPr>
          <w:color w:val="000000" w:themeColor="text1"/>
        </w:rPr>
        <w:t xml:space="preserve"> personal temporero, de manera similar </w:t>
      </w:r>
      <w:r w:rsidR="003A6538" w:rsidRPr="00F704B6">
        <w:rPr>
          <w:color w:val="000000" w:themeColor="text1"/>
        </w:rPr>
        <w:t>a los que corresponden a los miembros del</w:t>
      </w:r>
      <w:r w:rsidR="0008665B" w:rsidRPr="00F704B6">
        <w:rPr>
          <w:color w:val="000000" w:themeColor="text1"/>
        </w:rPr>
        <w:t xml:space="preserve"> personal </w:t>
      </w:r>
      <w:r w:rsidR="003A6538" w:rsidRPr="00F704B6">
        <w:rPr>
          <w:color w:val="000000" w:themeColor="text1"/>
        </w:rPr>
        <w:t>titulares de</w:t>
      </w:r>
      <w:r w:rsidR="0008665B" w:rsidRPr="00F704B6">
        <w:rPr>
          <w:color w:val="000000" w:themeColor="text1"/>
        </w:rPr>
        <w:t xml:space="preserve"> puestos, están sujetos a los aumentos </w:t>
      </w:r>
      <w:r w:rsidR="003A6538" w:rsidRPr="00F704B6">
        <w:rPr>
          <w:color w:val="000000" w:themeColor="text1"/>
        </w:rPr>
        <w:t>reglamentarios impuestos</w:t>
      </w:r>
      <w:r w:rsidR="0008665B" w:rsidRPr="00F704B6">
        <w:rPr>
          <w:color w:val="000000" w:themeColor="text1"/>
        </w:rPr>
        <w:t xml:space="preserve"> por la CAPI.  En consecuencia, </w:t>
      </w:r>
      <w:r w:rsidR="003A6538" w:rsidRPr="00F704B6">
        <w:rPr>
          <w:color w:val="000000" w:themeColor="text1"/>
        </w:rPr>
        <w:t>las plazas</w:t>
      </w:r>
      <w:r w:rsidR="0008665B" w:rsidRPr="00F704B6">
        <w:rPr>
          <w:color w:val="000000" w:themeColor="text1"/>
        </w:rPr>
        <w:t xml:space="preserve"> de trabajo del personal tempor</w:t>
      </w:r>
      <w:r w:rsidR="000B58F9" w:rsidRPr="00F704B6">
        <w:rPr>
          <w:color w:val="000000" w:themeColor="text1"/>
        </w:rPr>
        <w:t>ero, presupuestada</w:t>
      </w:r>
      <w:r w:rsidR="00800BBE" w:rsidRPr="00F704B6">
        <w:rPr>
          <w:color w:val="000000" w:themeColor="text1"/>
        </w:rPr>
        <w:t>s</w:t>
      </w:r>
      <w:r w:rsidR="000B58F9" w:rsidRPr="00F704B6">
        <w:rPr>
          <w:color w:val="000000" w:themeColor="text1"/>
        </w:rPr>
        <w:t xml:space="preserve"> como tales, se verán afectada</w:t>
      </w:r>
      <w:r w:rsidR="0008665B" w:rsidRPr="00F704B6">
        <w:rPr>
          <w:color w:val="000000" w:themeColor="text1"/>
        </w:rPr>
        <w:t xml:space="preserve">s por esos aumentos reglamentarios, </w:t>
      </w:r>
      <w:r w:rsidR="000B58F9" w:rsidRPr="00F704B6">
        <w:rPr>
          <w:color w:val="000000" w:themeColor="text1"/>
        </w:rPr>
        <w:t xml:space="preserve">con el consiguiente </w:t>
      </w:r>
      <w:r w:rsidR="0008665B" w:rsidRPr="00F704B6">
        <w:rPr>
          <w:color w:val="000000" w:themeColor="text1"/>
        </w:rPr>
        <w:t xml:space="preserve">aumento en el presupuesto propuesto, según se observa en el Cuadro 5 del documento del </w:t>
      </w:r>
      <w:r w:rsidR="0008665B" w:rsidRPr="00F704B6">
        <w:rPr>
          <w:snapToGrid w:val="0"/>
          <w:color w:val="000000" w:themeColor="text1"/>
        </w:rPr>
        <w:t>proyecto de presupuesto por programas.  Sin embargo, cabe observar que</w:t>
      </w:r>
      <w:r w:rsidR="0008665B" w:rsidRPr="003E79DB">
        <w:rPr>
          <w:snapToGrid w:val="0"/>
          <w:color w:val="000000" w:themeColor="text1"/>
        </w:rPr>
        <w:t xml:space="preserve"> se propone reservar una partida independiente para completar el proceso de regularización, según se describe en detalle en el párrafo 39 del documento del proyecto de presupuesto por programas.  La ejecución del proceso de regularización supondrá un </w:t>
      </w:r>
      <w:r w:rsidR="000B58F9" w:rsidRPr="003E79DB">
        <w:rPr>
          <w:snapToGrid w:val="0"/>
          <w:color w:val="000000" w:themeColor="text1"/>
        </w:rPr>
        <w:t>desplazamiento de los recursos, la</w:t>
      </w:r>
      <w:r w:rsidR="0008665B" w:rsidRPr="003E79DB">
        <w:rPr>
          <w:snapToGrid w:val="0"/>
          <w:color w:val="000000" w:themeColor="text1"/>
        </w:rPr>
        <w:t xml:space="preserve">s </w:t>
      </w:r>
      <w:r w:rsidR="000B58F9" w:rsidRPr="003E79DB">
        <w:rPr>
          <w:snapToGrid w:val="0"/>
          <w:color w:val="000000" w:themeColor="text1"/>
        </w:rPr>
        <w:t>plazas</w:t>
      </w:r>
      <w:r w:rsidR="0008665B" w:rsidRPr="003E79DB">
        <w:rPr>
          <w:snapToGrid w:val="0"/>
          <w:color w:val="000000" w:themeColor="text1"/>
        </w:rPr>
        <w:t xml:space="preserve"> de trabajo y las personas de la categoría “personal temporero” a la categoría “puestos” en el curso del bienio.</w:t>
      </w:r>
    </w:p>
    <w:p w:rsidR="0008665B" w:rsidRPr="003E79DB" w:rsidRDefault="0008665B" w:rsidP="0006587D">
      <w:pPr>
        <w:widowControl w:val="0"/>
        <w:rPr>
          <w:snapToGrid w:val="0"/>
          <w:color w:val="000000" w:themeColor="text1"/>
        </w:rPr>
      </w:pPr>
    </w:p>
    <w:p w:rsidR="0008665B" w:rsidRPr="003E79DB" w:rsidRDefault="0008665B" w:rsidP="0006587D">
      <w:pPr>
        <w:pStyle w:val="ONUME"/>
        <w:widowControl w:val="0"/>
        <w:numPr>
          <w:ilvl w:val="0"/>
          <w:numId w:val="0"/>
        </w:numPr>
        <w:spacing w:after="0"/>
        <w:rPr>
          <w:b/>
          <w:color w:val="000000" w:themeColor="text1"/>
        </w:rPr>
      </w:pPr>
      <w:r w:rsidRPr="003E79DB">
        <w:rPr>
          <w:b/>
          <w:bCs/>
          <w:color w:val="000000" w:themeColor="text1"/>
        </w:rPr>
        <w:t xml:space="preserve">P8:  En el </w:t>
      </w:r>
      <w:r w:rsidR="000B58F9" w:rsidRPr="003E79DB">
        <w:rPr>
          <w:b/>
          <w:bCs/>
          <w:color w:val="000000" w:themeColor="text1"/>
        </w:rPr>
        <w:t xml:space="preserve">Panorama Financiero </w:t>
      </w:r>
      <w:r w:rsidRPr="003E79DB">
        <w:rPr>
          <w:b/>
          <w:bCs/>
          <w:color w:val="000000" w:themeColor="text1"/>
        </w:rPr>
        <w:t>se hace referencia a un Plan maestro de mejoras de infraestructura, ¿podría proporcionar más detalles?</w:t>
      </w:r>
    </w:p>
    <w:p w:rsidR="0008665B" w:rsidRPr="003E79DB" w:rsidRDefault="0008665B" w:rsidP="0006587D">
      <w:pPr>
        <w:pStyle w:val="ONUME"/>
        <w:widowControl w:val="0"/>
        <w:numPr>
          <w:ilvl w:val="0"/>
          <w:numId w:val="0"/>
        </w:numPr>
        <w:spacing w:after="0"/>
        <w:rPr>
          <w:b/>
          <w:bCs/>
          <w:color w:val="000000" w:themeColor="text1"/>
        </w:rPr>
      </w:pPr>
    </w:p>
    <w:p w:rsidR="0008665B" w:rsidRPr="003E79DB" w:rsidRDefault="0008665B" w:rsidP="0006587D">
      <w:pPr>
        <w:widowControl w:val="0"/>
        <w:rPr>
          <w:snapToGrid w:val="0"/>
          <w:color w:val="000000" w:themeColor="text1"/>
        </w:rPr>
      </w:pPr>
      <w:r w:rsidRPr="003E79DB">
        <w:rPr>
          <w:b/>
          <w:bCs/>
          <w:color w:val="000000" w:themeColor="text1"/>
        </w:rPr>
        <w:t xml:space="preserve">R8:  </w:t>
      </w:r>
      <w:r w:rsidRPr="003E79DB">
        <w:rPr>
          <w:color w:val="000000" w:themeColor="text1"/>
        </w:rPr>
        <w:t xml:space="preserve">En el </w:t>
      </w:r>
      <w:r w:rsidR="000B58F9" w:rsidRPr="003E79DB">
        <w:rPr>
          <w:snapToGrid w:val="0"/>
          <w:color w:val="000000" w:themeColor="text1"/>
        </w:rPr>
        <w:t xml:space="preserve">Cuadro 2 del </w:t>
      </w:r>
      <w:r w:rsidRPr="003E79DB">
        <w:rPr>
          <w:snapToGrid w:val="0"/>
          <w:color w:val="000000" w:themeColor="text1"/>
        </w:rPr>
        <w:t xml:space="preserve">proyecto de presupuesto por programas se hace referencia a las reservas.  En ese </w:t>
      </w:r>
      <w:r w:rsidR="000B58F9" w:rsidRPr="003E79DB">
        <w:rPr>
          <w:snapToGrid w:val="0"/>
          <w:color w:val="000000" w:themeColor="text1"/>
        </w:rPr>
        <w:t>Cuadro</w:t>
      </w:r>
      <w:r w:rsidRPr="003E79DB">
        <w:rPr>
          <w:snapToGrid w:val="0"/>
          <w:color w:val="000000" w:themeColor="text1"/>
        </w:rPr>
        <w:t xml:space="preserve">, </w:t>
      </w:r>
      <w:r w:rsidR="000B58F9" w:rsidRPr="003E79DB">
        <w:rPr>
          <w:snapToGrid w:val="0"/>
          <w:color w:val="000000" w:themeColor="text1"/>
        </w:rPr>
        <w:t>al igual que</w:t>
      </w:r>
      <w:r w:rsidRPr="003E79DB">
        <w:rPr>
          <w:snapToGrid w:val="0"/>
          <w:color w:val="000000" w:themeColor="text1"/>
        </w:rPr>
        <w:t xml:space="preserve"> en propuestas anteriores de presupuesto bienal por programas, se prevé i) un panorama de los ingresos y los gastos por Unión que, por primera vez, también se ve complementado por los ajustes que cabe aplicar con arreglo a las IPSAS asignados a cada Unión;  y ii) la previsión de reservas por Unión, que se determina en sintonía con la política de reservas de la OMPI.</w:t>
      </w:r>
      <w:r w:rsidRPr="003E79DB">
        <w:rPr>
          <w:rStyle w:val="FootnoteReference"/>
          <w:snapToGrid w:val="0"/>
          <w:color w:val="000000" w:themeColor="text1"/>
        </w:rPr>
        <w:footnoteReference w:id="2"/>
      </w:r>
      <w:r w:rsidRPr="003E79DB">
        <w:rPr>
          <w:snapToGrid w:val="0"/>
          <w:color w:val="000000" w:themeColor="text1"/>
        </w:rPr>
        <w:t xml:space="preserve">  Además, en el párrafo 14 de la sección </w:t>
      </w:r>
      <w:r w:rsidR="000B58F9" w:rsidRPr="003E79DB">
        <w:rPr>
          <w:snapToGrid w:val="0"/>
          <w:color w:val="000000" w:themeColor="text1"/>
        </w:rPr>
        <w:t>correspondiente al</w:t>
      </w:r>
      <w:r w:rsidRPr="003E79DB">
        <w:rPr>
          <w:snapToGrid w:val="0"/>
          <w:color w:val="000000" w:themeColor="text1"/>
        </w:rPr>
        <w:t xml:space="preserve"> </w:t>
      </w:r>
      <w:r w:rsidR="000B58F9" w:rsidRPr="003E79DB">
        <w:rPr>
          <w:snapToGrid w:val="0"/>
          <w:color w:val="000000" w:themeColor="text1"/>
        </w:rPr>
        <w:t xml:space="preserve">Panorama Financiero </w:t>
      </w:r>
      <w:r w:rsidRPr="003E79DB">
        <w:rPr>
          <w:snapToGrid w:val="0"/>
          <w:color w:val="000000" w:themeColor="text1"/>
        </w:rPr>
        <w:t>del proyecto de presupuesto por programas también se hace referencia a las reservas, señalando que se propone financiar a partir de las reservas disponibles varios desembolsos e inversiones de capital, indicando que se presentará un documento indepen</w:t>
      </w:r>
      <w:r w:rsidR="000B58F9" w:rsidRPr="003E79DB">
        <w:rPr>
          <w:snapToGrid w:val="0"/>
          <w:color w:val="000000" w:themeColor="text1"/>
        </w:rPr>
        <w:t>diente sobre esas propuestas.  Mediante e</w:t>
      </w:r>
      <w:r w:rsidRPr="003E79DB">
        <w:rPr>
          <w:snapToGrid w:val="0"/>
          <w:color w:val="000000" w:themeColor="text1"/>
        </w:rPr>
        <w:t xml:space="preserve">sa referencia en el documento del proyecto de presupuesto por programas </w:t>
      </w:r>
      <w:r w:rsidR="000B58F9" w:rsidRPr="003E79DB">
        <w:rPr>
          <w:snapToGrid w:val="0"/>
          <w:color w:val="000000" w:themeColor="text1"/>
        </w:rPr>
        <w:t xml:space="preserve">se </w:t>
      </w:r>
      <w:r w:rsidRPr="003E79DB">
        <w:rPr>
          <w:snapToGrid w:val="0"/>
          <w:color w:val="000000" w:themeColor="text1"/>
        </w:rPr>
        <w:t xml:space="preserve">pretende reforzar la transparencia y destacar que las necesidades adicionales de financiación se </w:t>
      </w:r>
      <w:r w:rsidR="000B58F9" w:rsidRPr="003E79DB">
        <w:rPr>
          <w:snapToGrid w:val="0"/>
          <w:color w:val="000000" w:themeColor="text1"/>
        </w:rPr>
        <w:t>expondrán</w:t>
      </w:r>
      <w:r w:rsidRPr="003E79DB">
        <w:rPr>
          <w:snapToGrid w:val="0"/>
          <w:color w:val="000000" w:themeColor="text1"/>
        </w:rPr>
        <w:t xml:space="preserve"> en una propuesta aparte.  La propuesta sobre el uso de las reservas, presentada al PBC</w:t>
      </w:r>
      <w:r w:rsidR="00FB5D0F" w:rsidRPr="003E79DB">
        <w:rPr>
          <w:snapToGrid w:val="0"/>
          <w:color w:val="000000" w:themeColor="text1"/>
        </w:rPr>
        <w:t xml:space="preserve"> para su examen en el documento WO/PBC/20/5, se ha elaborado cumpliendo plenamente con la política de la Organización sobre el uso de reservas.</w:t>
      </w:r>
      <w:r w:rsidR="00FB5D0F" w:rsidRPr="003E79DB">
        <w:rPr>
          <w:rStyle w:val="FootnoteReference"/>
          <w:snapToGrid w:val="0"/>
          <w:color w:val="000000" w:themeColor="text1"/>
        </w:rPr>
        <w:footnoteReference w:id="3"/>
      </w:r>
    </w:p>
    <w:p w:rsidR="00FB5D0F" w:rsidRPr="003E79DB" w:rsidRDefault="00FB5D0F" w:rsidP="0006587D">
      <w:pPr>
        <w:widowControl w:val="0"/>
        <w:rPr>
          <w:snapToGrid w:val="0"/>
          <w:color w:val="000000" w:themeColor="text1"/>
        </w:rPr>
      </w:pPr>
    </w:p>
    <w:p w:rsidR="00FB5D0F" w:rsidRPr="00F704B6" w:rsidRDefault="00FB5D0F" w:rsidP="0006587D">
      <w:pPr>
        <w:widowControl w:val="0"/>
        <w:rPr>
          <w:b/>
          <w:snapToGrid w:val="0"/>
          <w:color w:val="000000" w:themeColor="text1"/>
        </w:rPr>
      </w:pPr>
      <w:r w:rsidRPr="00F704B6">
        <w:rPr>
          <w:b/>
          <w:snapToGrid w:val="0"/>
          <w:color w:val="000000" w:themeColor="text1"/>
        </w:rPr>
        <w:t>P9:  El total de la cuota de desarrollo parece haber disminuido en comparación con el bieni</w:t>
      </w:r>
      <w:r w:rsidR="00F704B6" w:rsidRPr="00F704B6">
        <w:rPr>
          <w:b/>
          <w:snapToGrid w:val="0"/>
          <w:color w:val="000000" w:themeColor="text1"/>
        </w:rPr>
        <w:t>o 2</w:t>
      </w:r>
      <w:r w:rsidRPr="00F704B6">
        <w:rPr>
          <w:b/>
          <w:snapToGrid w:val="0"/>
          <w:color w:val="000000" w:themeColor="text1"/>
        </w:rPr>
        <w:t>012/13, ¿puede explicar por qué?</w:t>
      </w:r>
    </w:p>
    <w:p w:rsidR="00FB5D0F" w:rsidRPr="00F704B6" w:rsidRDefault="00FB5D0F" w:rsidP="0006587D">
      <w:pPr>
        <w:widowControl w:val="0"/>
        <w:rPr>
          <w:b/>
          <w:snapToGrid w:val="0"/>
          <w:color w:val="000000" w:themeColor="text1"/>
        </w:rPr>
      </w:pPr>
    </w:p>
    <w:p w:rsidR="0008665B" w:rsidRPr="00F704B6" w:rsidRDefault="00FB5D0F" w:rsidP="0006587D">
      <w:pPr>
        <w:widowControl w:val="0"/>
        <w:rPr>
          <w:bCs/>
          <w:color w:val="000000" w:themeColor="text1"/>
        </w:rPr>
      </w:pPr>
      <w:r w:rsidRPr="00F704B6">
        <w:rPr>
          <w:b/>
          <w:bCs/>
          <w:color w:val="000000" w:themeColor="text1"/>
        </w:rPr>
        <w:t>R9:</w:t>
      </w:r>
      <w:r w:rsidRPr="00F704B6">
        <w:rPr>
          <w:bCs/>
          <w:color w:val="000000" w:themeColor="text1"/>
        </w:rPr>
        <w:t xml:space="preserve">  La cuota de desarrollo para el bieni</w:t>
      </w:r>
      <w:r w:rsidR="00F704B6" w:rsidRPr="00F704B6">
        <w:rPr>
          <w:bCs/>
          <w:color w:val="000000" w:themeColor="text1"/>
        </w:rPr>
        <w:t>o 2</w:t>
      </w:r>
      <w:r w:rsidRPr="00F704B6">
        <w:rPr>
          <w:bCs/>
          <w:color w:val="000000" w:themeColor="text1"/>
        </w:rPr>
        <w:t>014/15 (21,1%) debería compararse con la cuota de desarrollo del presupuesto d</w:t>
      </w:r>
      <w:r w:rsidR="00F704B6" w:rsidRPr="00F704B6">
        <w:rPr>
          <w:bCs/>
          <w:color w:val="000000" w:themeColor="text1"/>
        </w:rPr>
        <w:t>e 2</w:t>
      </w:r>
      <w:r w:rsidRPr="00F704B6">
        <w:rPr>
          <w:bCs/>
          <w:color w:val="000000" w:themeColor="text1"/>
        </w:rPr>
        <w:t>012/13 después de las transferencias (20,9%), que tiene debidamente en cuenta la reducción global en el gasto</w:t>
      </w:r>
      <w:r w:rsidR="000B58F9" w:rsidRPr="00F704B6">
        <w:rPr>
          <w:bCs/>
          <w:color w:val="000000" w:themeColor="text1"/>
        </w:rPr>
        <w:t>,</w:t>
      </w:r>
      <w:r w:rsidRPr="00F704B6">
        <w:rPr>
          <w:bCs/>
          <w:color w:val="000000" w:themeColor="text1"/>
        </w:rPr>
        <w:t xml:space="preserve"> d</w:t>
      </w:r>
      <w:r w:rsidR="00F704B6" w:rsidRPr="00F704B6">
        <w:rPr>
          <w:bCs/>
          <w:color w:val="000000" w:themeColor="text1"/>
        </w:rPr>
        <w:t>e 1</w:t>
      </w:r>
      <w:r w:rsidRPr="00F704B6">
        <w:rPr>
          <w:bCs/>
          <w:color w:val="000000" w:themeColor="text1"/>
        </w:rPr>
        <w:t>0,2 millones de francos suizos</w:t>
      </w:r>
      <w:r w:rsidR="000B58F9" w:rsidRPr="00F704B6">
        <w:rPr>
          <w:bCs/>
          <w:color w:val="000000" w:themeColor="text1"/>
        </w:rPr>
        <w:t>,</w:t>
      </w:r>
      <w:r w:rsidRPr="00F704B6">
        <w:rPr>
          <w:bCs/>
          <w:color w:val="000000" w:themeColor="text1"/>
        </w:rPr>
        <w:t xml:space="preserve"> para el bieni</w:t>
      </w:r>
      <w:r w:rsidR="00F704B6" w:rsidRPr="00F704B6">
        <w:rPr>
          <w:bCs/>
          <w:color w:val="000000" w:themeColor="text1"/>
        </w:rPr>
        <w:t>o 2</w:t>
      </w:r>
      <w:r w:rsidRPr="00F704B6">
        <w:rPr>
          <w:bCs/>
          <w:color w:val="000000" w:themeColor="text1"/>
        </w:rPr>
        <w:t xml:space="preserve">012/13 </w:t>
      </w:r>
      <w:r w:rsidR="000B58F9" w:rsidRPr="00F704B6">
        <w:rPr>
          <w:bCs/>
          <w:color w:val="000000" w:themeColor="text1"/>
        </w:rPr>
        <w:t>que resulta de</w:t>
      </w:r>
      <w:r w:rsidRPr="00F704B6">
        <w:rPr>
          <w:bCs/>
          <w:color w:val="000000" w:themeColor="text1"/>
        </w:rPr>
        <w:t xml:space="preserve"> la aplicación de medidas destinadas a fomentar la </w:t>
      </w:r>
      <w:r w:rsidRPr="00F704B6">
        <w:rPr>
          <w:bCs/>
          <w:color w:val="000000" w:themeColor="text1"/>
        </w:rPr>
        <w:lastRenderedPageBreak/>
        <w:t>eficacia en función de los costos.  Por lo tanto, la cuota de desarrollo para el bieni</w:t>
      </w:r>
      <w:r w:rsidR="00F704B6" w:rsidRPr="00F704B6">
        <w:rPr>
          <w:bCs/>
          <w:color w:val="000000" w:themeColor="text1"/>
        </w:rPr>
        <w:t>o 2</w:t>
      </w:r>
      <w:r w:rsidRPr="00F704B6">
        <w:rPr>
          <w:bCs/>
          <w:color w:val="000000" w:themeColor="text1"/>
        </w:rPr>
        <w:t>104/15 se ha mantenido estable en comparación con el bieni</w:t>
      </w:r>
      <w:r w:rsidR="00F704B6" w:rsidRPr="00F704B6">
        <w:rPr>
          <w:bCs/>
          <w:color w:val="000000" w:themeColor="text1"/>
        </w:rPr>
        <w:t>o 2</w:t>
      </w:r>
      <w:r w:rsidRPr="00F704B6">
        <w:rPr>
          <w:bCs/>
          <w:color w:val="000000" w:themeColor="text1"/>
        </w:rPr>
        <w:t>012/13.  En términos absolutos, los gastos destinados a desarrollo presentan un aumento de</w:t>
      </w:r>
      <w:r w:rsidR="00F704B6" w:rsidRPr="00F704B6">
        <w:rPr>
          <w:bCs/>
          <w:color w:val="000000" w:themeColor="text1"/>
        </w:rPr>
        <w:t>l 2</w:t>
      </w:r>
      <w:r w:rsidRPr="00F704B6">
        <w:rPr>
          <w:bCs/>
          <w:color w:val="000000" w:themeColor="text1"/>
        </w:rPr>
        <w:t>,8% en comparación con el bieni</w:t>
      </w:r>
      <w:r w:rsidR="00F704B6" w:rsidRPr="00F704B6">
        <w:rPr>
          <w:bCs/>
          <w:color w:val="000000" w:themeColor="text1"/>
        </w:rPr>
        <w:t>o 2</w:t>
      </w:r>
      <w:r w:rsidRPr="00F704B6">
        <w:rPr>
          <w:bCs/>
          <w:color w:val="000000" w:themeColor="text1"/>
        </w:rPr>
        <w:t>01</w:t>
      </w:r>
      <w:r w:rsidR="000B58F9" w:rsidRPr="00F704B6">
        <w:rPr>
          <w:bCs/>
          <w:color w:val="000000" w:themeColor="text1"/>
        </w:rPr>
        <w:t>4</w:t>
      </w:r>
      <w:r w:rsidRPr="00F704B6">
        <w:rPr>
          <w:bCs/>
          <w:color w:val="000000" w:themeColor="text1"/>
        </w:rPr>
        <w:t>/15</w:t>
      </w:r>
      <w:r w:rsidR="000B58F9" w:rsidRPr="00F704B6">
        <w:rPr>
          <w:bCs/>
          <w:color w:val="000000" w:themeColor="text1"/>
        </w:rPr>
        <w:t>.</w:t>
      </w:r>
    </w:p>
    <w:p w:rsidR="0008665B" w:rsidRPr="00F704B6" w:rsidRDefault="0008665B" w:rsidP="0006587D">
      <w:pPr>
        <w:widowControl w:val="0"/>
        <w:rPr>
          <w:bCs/>
          <w:color w:val="000000" w:themeColor="text1"/>
        </w:rPr>
      </w:pPr>
    </w:p>
    <w:p w:rsidR="00FB5D0F" w:rsidRPr="003E79DB" w:rsidRDefault="00FB5D0F" w:rsidP="0006587D">
      <w:pPr>
        <w:widowControl w:val="0"/>
        <w:rPr>
          <w:b/>
          <w:bCs/>
          <w:color w:val="000000" w:themeColor="text1"/>
        </w:rPr>
      </w:pPr>
      <w:r w:rsidRPr="00F704B6">
        <w:rPr>
          <w:b/>
          <w:bCs/>
          <w:color w:val="000000" w:themeColor="text1"/>
        </w:rPr>
        <w:t>P10:  ¿Cómo se han estimado los gastos destinados a desarrollo?</w:t>
      </w:r>
    </w:p>
    <w:p w:rsidR="00FB5D0F" w:rsidRPr="003E79DB" w:rsidRDefault="00FB5D0F" w:rsidP="0006587D">
      <w:pPr>
        <w:widowControl w:val="0"/>
        <w:rPr>
          <w:b/>
          <w:bCs/>
          <w:color w:val="000000" w:themeColor="text1"/>
        </w:rPr>
      </w:pPr>
    </w:p>
    <w:p w:rsidR="00FB5D0F" w:rsidRPr="00F704B6" w:rsidRDefault="00FB5D0F" w:rsidP="0006587D">
      <w:pPr>
        <w:widowControl w:val="0"/>
        <w:rPr>
          <w:bCs/>
          <w:color w:val="000000" w:themeColor="text1"/>
        </w:rPr>
      </w:pPr>
      <w:r w:rsidRPr="00F704B6">
        <w:rPr>
          <w:b/>
          <w:bCs/>
          <w:color w:val="000000" w:themeColor="text1"/>
        </w:rPr>
        <w:t>R10:</w:t>
      </w:r>
      <w:r w:rsidRPr="00F704B6">
        <w:rPr>
          <w:bCs/>
          <w:color w:val="000000" w:themeColor="text1"/>
        </w:rPr>
        <w:t xml:space="preserve">  La metodología aplicada a estimar la cuota de desarrollo en la propuesta de presupuesto por programas par</w:t>
      </w:r>
      <w:r w:rsidR="00F704B6" w:rsidRPr="00F704B6">
        <w:rPr>
          <w:bCs/>
          <w:color w:val="000000" w:themeColor="text1"/>
        </w:rPr>
        <w:t>a 2</w:t>
      </w:r>
      <w:r w:rsidRPr="00F704B6">
        <w:rPr>
          <w:bCs/>
          <w:color w:val="000000" w:themeColor="text1"/>
        </w:rPr>
        <w:t>014/15 está en total sintonía con la definición de gastos destinados a desarrollo y la metodología adoptada en el bieni</w:t>
      </w:r>
      <w:r w:rsidR="00F704B6" w:rsidRPr="00F704B6">
        <w:rPr>
          <w:bCs/>
          <w:color w:val="000000" w:themeColor="text1"/>
        </w:rPr>
        <w:t>o 2</w:t>
      </w:r>
      <w:r w:rsidRPr="00F704B6">
        <w:rPr>
          <w:bCs/>
          <w:color w:val="000000" w:themeColor="text1"/>
        </w:rPr>
        <w:t xml:space="preserve">012/13 (véanse los párrafos 52 </w:t>
      </w:r>
      <w:r w:rsidR="00F704B6" w:rsidRPr="00F704B6">
        <w:rPr>
          <w:bCs/>
          <w:color w:val="000000" w:themeColor="text1"/>
        </w:rPr>
        <w:t>y 5</w:t>
      </w:r>
      <w:r w:rsidRPr="00F704B6">
        <w:rPr>
          <w:bCs/>
          <w:color w:val="000000" w:themeColor="text1"/>
        </w:rPr>
        <w:t>3)</w:t>
      </w:r>
      <w:r w:rsidR="000B58F9" w:rsidRPr="00F704B6">
        <w:rPr>
          <w:bCs/>
          <w:color w:val="000000" w:themeColor="text1"/>
        </w:rPr>
        <w:t xml:space="preserve">, con las que </w:t>
      </w:r>
      <w:r w:rsidRPr="00F704B6">
        <w:rPr>
          <w:bCs/>
          <w:color w:val="000000" w:themeColor="text1"/>
        </w:rPr>
        <w:t xml:space="preserve">guarda </w:t>
      </w:r>
      <w:r w:rsidR="000B58F9" w:rsidRPr="00F704B6">
        <w:rPr>
          <w:bCs/>
          <w:color w:val="000000" w:themeColor="text1"/>
        </w:rPr>
        <w:t xml:space="preserve">asimismo </w:t>
      </w:r>
      <w:r w:rsidRPr="00F704B6">
        <w:rPr>
          <w:bCs/>
          <w:color w:val="000000" w:themeColor="text1"/>
        </w:rPr>
        <w:t>coherencia.</w:t>
      </w:r>
    </w:p>
    <w:p w:rsidR="00FB5D0F" w:rsidRPr="00F704B6" w:rsidRDefault="00FB5D0F" w:rsidP="0006587D">
      <w:pPr>
        <w:widowControl w:val="0"/>
        <w:rPr>
          <w:bCs/>
          <w:color w:val="000000" w:themeColor="text1"/>
        </w:rPr>
      </w:pPr>
    </w:p>
    <w:p w:rsidR="00FB5D0F" w:rsidRPr="00F704B6" w:rsidRDefault="000B58F9" w:rsidP="0006587D">
      <w:pPr>
        <w:widowControl w:val="0"/>
        <w:rPr>
          <w:b/>
          <w:bCs/>
          <w:color w:val="000000" w:themeColor="text1"/>
        </w:rPr>
      </w:pPr>
      <w:r w:rsidRPr="00F704B6">
        <w:rPr>
          <w:b/>
          <w:bCs/>
          <w:color w:val="000000" w:themeColor="text1"/>
        </w:rPr>
        <w:t>P11</w:t>
      </w:r>
      <w:r w:rsidR="00FB5D0F" w:rsidRPr="00F704B6">
        <w:rPr>
          <w:b/>
          <w:bCs/>
          <w:color w:val="000000" w:themeColor="text1"/>
        </w:rPr>
        <w:t>:  La propuesta contiene partidas para</w:t>
      </w:r>
      <w:r w:rsidR="007A4D0B" w:rsidRPr="00F704B6">
        <w:rPr>
          <w:b/>
          <w:bCs/>
          <w:color w:val="000000" w:themeColor="text1"/>
        </w:rPr>
        <w:t xml:space="preserve"> tres </w:t>
      </w:r>
      <w:r w:rsidR="007A4D0B" w:rsidRPr="00F704B6">
        <w:rPr>
          <w:b/>
          <w:bCs/>
          <w:snapToGrid w:val="0"/>
          <w:color w:val="000000" w:themeColor="text1"/>
        </w:rPr>
        <w:t xml:space="preserve">proyectos de la </w:t>
      </w:r>
      <w:r w:rsidR="007A4D0B" w:rsidRPr="00F704B6">
        <w:rPr>
          <w:b/>
          <w:bCs/>
          <w:snapToGrid w:val="0"/>
          <w:color w:val="000000" w:themeColor="text1"/>
          <w:szCs w:val="24"/>
        </w:rPr>
        <w:t>Agenda para el Desarrollo</w:t>
      </w:r>
      <w:r w:rsidR="007A4D0B" w:rsidRPr="00F704B6">
        <w:rPr>
          <w:b/>
          <w:bCs/>
          <w:snapToGrid w:val="0"/>
          <w:color w:val="000000" w:themeColor="text1"/>
        </w:rPr>
        <w:t>.  ¿Cuántos proyectos están actualmente en ejecución y cuántos queda</w:t>
      </w:r>
      <w:r w:rsidRPr="00F704B6">
        <w:rPr>
          <w:b/>
          <w:bCs/>
          <w:snapToGrid w:val="0"/>
          <w:color w:val="000000" w:themeColor="text1"/>
        </w:rPr>
        <w:t>n</w:t>
      </w:r>
      <w:r w:rsidR="007A4D0B" w:rsidRPr="00F704B6">
        <w:rPr>
          <w:b/>
          <w:bCs/>
          <w:snapToGrid w:val="0"/>
          <w:color w:val="000000" w:themeColor="text1"/>
        </w:rPr>
        <w:t xml:space="preserve"> por evaluar?</w:t>
      </w:r>
    </w:p>
    <w:p w:rsidR="00FB5D0F" w:rsidRPr="00F704B6" w:rsidRDefault="00FB5D0F" w:rsidP="0006587D">
      <w:pPr>
        <w:widowControl w:val="0"/>
        <w:rPr>
          <w:b/>
          <w:bCs/>
          <w:color w:val="000000" w:themeColor="text1"/>
        </w:rPr>
      </w:pPr>
    </w:p>
    <w:p w:rsidR="00FB5D0F" w:rsidRPr="00F704B6" w:rsidRDefault="00FB5D0F" w:rsidP="0006587D">
      <w:pPr>
        <w:widowControl w:val="0"/>
        <w:rPr>
          <w:bCs/>
          <w:snapToGrid w:val="0"/>
          <w:color w:val="000000" w:themeColor="text1"/>
        </w:rPr>
      </w:pPr>
      <w:r w:rsidRPr="00F704B6">
        <w:rPr>
          <w:b/>
          <w:bCs/>
          <w:color w:val="000000" w:themeColor="text1"/>
        </w:rPr>
        <w:t>R11:</w:t>
      </w:r>
      <w:r w:rsidRPr="00F704B6">
        <w:rPr>
          <w:bCs/>
          <w:color w:val="000000" w:themeColor="text1"/>
        </w:rPr>
        <w:t xml:space="preserve">  </w:t>
      </w:r>
      <w:r w:rsidR="007A4D0B" w:rsidRPr="00F704B6">
        <w:rPr>
          <w:bCs/>
          <w:color w:val="000000" w:themeColor="text1"/>
        </w:rPr>
        <w:t xml:space="preserve">Actualmente, </w:t>
      </w:r>
      <w:r w:rsidR="000B58F9" w:rsidRPr="00F704B6">
        <w:rPr>
          <w:bCs/>
          <w:color w:val="000000" w:themeColor="text1"/>
        </w:rPr>
        <w:t>ha</w:t>
      </w:r>
      <w:r w:rsidR="00F704B6" w:rsidRPr="00F704B6">
        <w:rPr>
          <w:bCs/>
          <w:color w:val="000000" w:themeColor="text1"/>
        </w:rPr>
        <w:t>y 1</w:t>
      </w:r>
      <w:r w:rsidR="007A4D0B" w:rsidRPr="00F704B6">
        <w:rPr>
          <w:bCs/>
          <w:color w:val="000000" w:themeColor="text1"/>
        </w:rPr>
        <w:t>5 </w:t>
      </w:r>
      <w:r w:rsidR="007A4D0B" w:rsidRPr="00F704B6">
        <w:rPr>
          <w:bCs/>
          <w:snapToGrid w:val="0"/>
          <w:color w:val="000000" w:themeColor="text1"/>
        </w:rPr>
        <w:t xml:space="preserve">proyectos de la </w:t>
      </w:r>
      <w:r w:rsidR="007A4D0B" w:rsidRPr="00F704B6">
        <w:rPr>
          <w:bCs/>
          <w:snapToGrid w:val="0"/>
          <w:color w:val="000000" w:themeColor="text1"/>
          <w:szCs w:val="24"/>
        </w:rPr>
        <w:t>Agenda para el Desarrollo</w:t>
      </w:r>
      <w:r w:rsidR="000B58F9" w:rsidRPr="00F704B6">
        <w:rPr>
          <w:bCs/>
          <w:color w:val="000000" w:themeColor="text1"/>
        </w:rPr>
        <w:t xml:space="preserve"> en ejecución</w:t>
      </w:r>
      <w:r w:rsidR="007A4D0B" w:rsidRPr="00F704B6">
        <w:rPr>
          <w:bCs/>
          <w:snapToGrid w:val="0"/>
          <w:color w:val="000000" w:themeColor="text1"/>
        </w:rPr>
        <w:t>, de los cuales se prevé completa</w:t>
      </w:r>
      <w:r w:rsidR="00F704B6" w:rsidRPr="00F704B6">
        <w:rPr>
          <w:bCs/>
          <w:snapToGrid w:val="0"/>
          <w:color w:val="000000" w:themeColor="text1"/>
        </w:rPr>
        <w:t>r 1</w:t>
      </w:r>
      <w:r w:rsidR="000B58F9" w:rsidRPr="00F704B6">
        <w:rPr>
          <w:bCs/>
          <w:snapToGrid w:val="0"/>
          <w:color w:val="000000" w:themeColor="text1"/>
        </w:rPr>
        <w:t xml:space="preserve">2 </w:t>
      </w:r>
      <w:r w:rsidR="007A4D0B" w:rsidRPr="00F704B6">
        <w:rPr>
          <w:bCs/>
          <w:snapToGrid w:val="0"/>
          <w:color w:val="000000" w:themeColor="text1"/>
        </w:rPr>
        <w:t>a finales d</w:t>
      </w:r>
      <w:r w:rsidR="00F704B6" w:rsidRPr="00F704B6">
        <w:rPr>
          <w:bCs/>
          <w:snapToGrid w:val="0"/>
          <w:color w:val="000000" w:themeColor="text1"/>
        </w:rPr>
        <w:t>e 2</w:t>
      </w:r>
      <w:r w:rsidR="007A4D0B" w:rsidRPr="00F704B6">
        <w:rPr>
          <w:bCs/>
          <w:snapToGrid w:val="0"/>
          <w:color w:val="000000" w:themeColor="text1"/>
        </w:rPr>
        <w:t>013.  Una vez completados, todos los proyectos serán objeto de una evaluación independiente.</w:t>
      </w:r>
    </w:p>
    <w:p w:rsidR="007A4D0B" w:rsidRPr="00F704B6" w:rsidRDefault="007A4D0B" w:rsidP="0006587D">
      <w:pPr>
        <w:widowControl w:val="0"/>
        <w:rPr>
          <w:bCs/>
          <w:snapToGrid w:val="0"/>
          <w:color w:val="000000" w:themeColor="text1"/>
        </w:rPr>
      </w:pPr>
    </w:p>
    <w:p w:rsidR="007A4D0B" w:rsidRPr="00F704B6" w:rsidRDefault="007A4D0B" w:rsidP="0006587D">
      <w:pPr>
        <w:widowControl w:val="0"/>
        <w:rPr>
          <w:b/>
          <w:bCs/>
          <w:color w:val="000000" w:themeColor="text1"/>
        </w:rPr>
      </w:pPr>
      <w:r w:rsidRPr="00F704B6">
        <w:rPr>
          <w:b/>
          <w:bCs/>
          <w:color w:val="000000" w:themeColor="text1"/>
        </w:rPr>
        <w:t xml:space="preserve">P12:  </w:t>
      </w:r>
      <w:r w:rsidRPr="00F704B6">
        <w:rPr>
          <w:b/>
          <w:bCs/>
          <w:snapToGrid w:val="0"/>
          <w:color w:val="000000" w:themeColor="text1"/>
        </w:rPr>
        <w:t xml:space="preserve">¿Hay referencias de base para </w:t>
      </w:r>
      <w:r w:rsidR="000B58F9" w:rsidRPr="00F704B6">
        <w:rPr>
          <w:b/>
          <w:bCs/>
          <w:snapToGrid w:val="0"/>
          <w:color w:val="000000" w:themeColor="text1"/>
        </w:rPr>
        <w:t xml:space="preserve">las mejoras de </w:t>
      </w:r>
      <w:r w:rsidRPr="00F704B6">
        <w:rPr>
          <w:b/>
          <w:bCs/>
          <w:snapToGrid w:val="0"/>
          <w:color w:val="000000" w:themeColor="text1"/>
        </w:rPr>
        <w:t>la eficacia en función de los costos en la propuesta de presupuesto por programas par</w:t>
      </w:r>
      <w:r w:rsidR="00F704B6" w:rsidRPr="00F704B6">
        <w:rPr>
          <w:b/>
          <w:bCs/>
          <w:snapToGrid w:val="0"/>
          <w:color w:val="000000" w:themeColor="text1"/>
        </w:rPr>
        <w:t>a 2</w:t>
      </w:r>
      <w:r w:rsidRPr="00F704B6">
        <w:rPr>
          <w:b/>
          <w:bCs/>
          <w:snapToGrid w:val="0"/>
          <w:color w:val="000000" w:themeColor="text1"/>
        </w:rPr>
        <w:t>014/15?</w:t>
      </w:r>
    </w:p>
    <w:p w:rsidR="007A4D0B" w:rsidRPr="00F704B6" w:rsidRDefault="007A4D0B" w:rsidP="0006587D">
      <w:pPr>
        <w:widowControl w:val="0"/>
        <w:rPr>
          <w:b/>
          <w:bCs/>
          <w:color w:val="000000" w:themeColor="text1"/>
        </w:rPr>
      </w:pPr>
    </w:p>
    <w:p w:rsidR="007A4D0B" w:rsidRPr="003E79DB" w:rsidRDefault="007A4D0B" w:rsidP="0006587D">
      <w:pPr>
        <w:widowControl w:val="0"/>
        <w:rPr>
          <w:bCs/>
          <w:color w:val="000000" w:themeColor="text1"/>
        </w:rPr>
      </w:pPr>
      <w:r w:rsidRPr="00F704B6">
        <w:rPr>
          <w:b/>
          <w:bCs/>
          <w:color w:val="000000" w:themeColor="text1"/>
        </w:rPr>
        <w:t>R12:</w:t>
      </w:r>
      <w:r w:rsidRPr="00F704B6">
        <w:rPr>
          <w:bCs/>
          <w:color w:val="000000" w:themeColor="text1"/>
        </w:rPr>
        <w:t xml:space="preserve">  Sí, las mejoras de la eficacia en función de los costos se han tenido plenamente en cuenta en las referencias de base utilizadas en la propuesta de presupuesto por programas.  Sin embargo, la Secretaría ha hecho </w:t>
      </w:r>
      <w:r w:rsidR="00F945A5">
        <w:rPr>
          <w:bCs/>
          <w:color w:val="000000" w:themeColor="text1"/>
        </w:rPr>
        <w:t xml:space="preserve">algo </w:t>
      </w:r>
      <w:r w:rsidRPr="00F704B6">
        <w:rPr>
          <w:bCs/>
          <w:color w:val="000000" w:themeColor="text1"/>
        </w:rPr>
        <w:t xml:space="preserve">más que tener simplemente en cuenta las mejoras ya logradas en la eficacia en función de los costos, y </w:t>
      </w:r>
      <w:r w:rsidR="000B58F9" w:rsidRPr="00F704B6">
        <w:rPr>
          <w:bCs/>
          <w:color w:val="000000" w:themeColor="text1"/>
        </w:rPr>
        <w:t>lleva adelante</w:t>
      </w:r>
      <w:r w:rsidRPr="00F704B6">
        <w:rPr>
          <w:bCs/>
          <w:color w:val="000000" w:themeColor="text1"/>
        </w:rPr>
        <w:t xml:space="preserve"> el empeño por asegurarse de que las actividades se financien de la manera más costoeficaz posible.  Un ejemplo de ello es la introducción de un instrumento para la reserva de billetes aéreos en Internet que</w:t>
      </w:r>
      <w:r w:rsidR="000B58F9" w:rsidRPr="00F704B6">
        <w:rPr>
          <w:bCs/>
          <w:color w:val="000000" w:themeColor="text1"/>
        </w:rPr>
        <w:t>,</w:t>
      </w:r>
      <w:r w:rsidRPr="00F704B6">
        <w:rPr>
          <w:bCs/>
          <w:color w:val="000000" w:themeColor="text1"/>
        </w:rPr>
        <w:t xml:space="preserve"> se prevé</w:t>
      </w:r>
      <w:r w:rsidR="000B58F9" w:rsidRPr="00F704B6">
        <w:rPr>
          <w:bCs/>
          <w:color w:val="000000" w:themeColor="text1"/>
        </w:rPr>
        <w:t>,</w:t>
      </w:r>
      <w:r w:rsidRPr="00F704B6">
        <w:rPr>
          <w:bCs/>
          <w:color w:val="000000" w:themeColor="text1"/>
        </w:rPr>
        <w:t xml:space="preserve"> generará ahorros en los gastos de viaje que oscilarán entre e</w:t>
      </w:r>
      <w:r w:rsidR="00F704B6" w:rsidRPr="00F704B6">
        <w:rPr>
          <w:bCs/>
          <w:color w:val="000000" w:themeColor="text1"/>
        </w:rPr>
        <w:t>l 8</w:t>
      </w:r>
      <w:r w:rsidRPr="00F704B6">
        <w:rPr>
          <w:bCs/>
          <w:color w:val="000000" w:themeColor="text1"/>
        </w:rPr>
        <w:t xml:space="preserve"> y e</w:t>
      </w:r>
      <w:r w:rsidR="00F704B6" w:rsidRPr="00F704B6">
        <w:rPr>
          <w:bCs/>
          <w:color w:val="000000" w:themeColor="text1"/>
        </w:rPr>
        <w:t>l 1</w:t>
      </w:r>
      <w:r w:rsidRPr="00F704B6">
        <w:rPr>
          <w:bCs/>
          <w:color w:val="000000" w:themeColor="text1"/>
        </w:rPr>
        <w:t>0%</w:t>
      </w:r>
      <w:r w:rsidR="00A05BE1" w:rsidRPr="00F704B6">
        <w:rPr>
          <w:bCs/>
          <w:color w:val="000000" w:themeColor="text1"/>
        </w:rPr>
        <w:t xml:space="preserve"> </w:t>
      </w:r>
      <w:r w:rsidR="00A05BE1" w:rsidRPr="00F704B6">
        <w:rPr>
          <w:bCs/>
          <w:color w:val="000000" w:themeColor="text1"/>
        </w:rPr>
        <w:noBreakHyphen/>
        <w:t xml:space="preserve">esa mejora </w:t>
      </w:r>
      <w:r w:rsidR="00F945A5">
        <w:rPr>
          <w:bCs/>
          <w:color w:val="000000" w:themeColor="text1"/>
        </w:rPr>
        <w:t>d</w:t>
      </w:r>
      <w:r w:rsidR="00A05BE1" w:rsidRPr="00F704B6">
        <w:rPr>
          <w:bCs/>
          <w:color w:val="000000" w:themeColor="text1"/>
        </w:rPr>
        <w:t>e la eficacia en función de los costos ya ha sido tenida en cuenta en la preparación de la propuesta de presupuesto por programas.  Se destaca que gracias a esos esfuerzos, se dio respuesta a la presión al alza ejercida por los gastos no relativos a personal (traducción del PCT, conferencias diplomáticas, continuidad de las actividades en materia de TIC, oficinas en el exterior, etcétera) dentro de una reducción global de</w:t>
      </w:r>
      <w:r w:rsidR="00F704B6" w:rsidRPr="00F704B6">
        <w:rPr>
          <w:bCs/>
          <w:color w:val="000000" w:themeColor="text1"/>
        </w:rPr>
        <w:t>l 4</w:t>
      </w:r>
      <w:r w:rsidR="00A05BE1" w:rsidRPr="00F704B6">
        <w:rPr>
          <w:bCs/>
          <w:color w:val="000000" w:themeColor="text1"/>
        </w:rPr>
        <w:t>,8% en la partida no destinada a personal que se propone para el bieni</w:t>
      </w:r>
      <w:r w:rsidR="00F704B6" w:rsidRPr="00F704B6">
        <w:rPr>
          <w:bCs/>
          <w:color w:val="000000" w:themeColor="text1"/>
        </w:rPr>
        <w:t>o 2</w:t>
      </w:r>
      <w:r w:rsidR="00A05BE1" w:rsidRPr="00F704B6">
        <w:rPr>
          <w:bCs/>
          <w:color w:val="000000" w:themeColor="text1"/>
        </w:rPr>
        <w:t>014/15.</w:t>
      </w:r>
    </w:p>
    <w:p w:rsidR="00A05BE1" w:rsidRDefault="00A05BE1" w:rsidP="0006587D">
      <w:pPr>
        <w:widowControl w:val="0"/>
        <w:rPr>
          <w:bCs/>
          <w:color w:val="000000" w:themeColor="text1"/>
        </w:rPr>
      </w:pPr>
    </w:p>
    <w:p w:rsidR="0006587D" w:rsidRPr="00B22A8B" w:rsidRDefault="00B22A8B" w:rsidP="00E2772D">
      <w:pPr>
        <w:widowControl w:val="0"/>
        <w:rPr>
          <w:b/>
          <w:bCs/>
          <w:color w:val="000000" w:themeColor="text1"/>
        </w:rPr>
      </w:pPr>
      <w:r w:rsidRPr="00B22A8B">
        <w:rPr>
          <w:b/>
          <w:bCs/>
          <w:color w:val="000000" w:themeColor="text1"/>
        </w:rPr>
        <w:t>P13:  Puesto que no hay aumento en los costos de sueldo neto de las N</w:t>
      </w:r>
      <w:r w:rsidR="00E2772D">
        <w:rPr>
          <w:b/>
          <w:bCs/>
          <w:color w:val="000000" w:themeColor="text1"/>
        </w:rPr>
        <w:t>aciones Unidas</w:t>
      </w:r>
      <w:r w:rsidRPr="00B22A8B">
        <w:rPr>
          <w:b/>
          <w:bCs/>
          <w:color w:val="000000" w:themeColor="text1"/>
        </w:rPr>
        <w:t>, ¿qué se incluye en el “nuevo cálculo de costos”, cuya incidencia asciende a 12,6 millones de francos suizos?</w:t>
      </w:r>
    </w:p>
    <w:p w:rsidR="00B22A8B" w:rsidRDefault="00B22A8B" w:rsidP="00E2772D">
      <w:pPr>
        <w:widowControl w:val="0"/>
        <w:rPr>
          <w:bCs/>
          <w:color w:val="000000" w:themeColor="text1"/>
        </w:rPr>
      </w:pPr>
    </w:p>
    <w:p w:rsidR="00B22A8B" w:rsidRDefault="00B22A8B" w:rsidP="00E2772D">
      <w:pPr>
        <w:widowControl w:val="0"/>
        <w:rPr>
          <w:bCs/>
          <w:color w:val="000000" w:themeColor="text1"/>
        </w:rPr>
      </w:pPr>
      <w:r w:rsidRPr="00E2772D">
        <w:rPr>
          <w:b/>
          <w:bCs/>
          <w:color w:val="000000" w:themeColor="text1"/>
        </w:rPr>
        <w:t>R13</w:t>
      </w:r>
      <w:r w:rsidRPr="00B22A8B">
        <w:rPr>
          <w:b/>
          <w:bCs/>
          <w:color w:val="000000" w:themeColor="text1"/>
        </w:rPr>
        <w:t>:</w:t>
      </w:r>
      <w:r>
        <w:rPr>
          <w:bCs/>
          <w:color w:val="000000" w:themeColor="text1"/>
        </w:rPr>
        <w:t xml:space="preserve">  Como se indica en el </w:t>
      </w:r>
      <w:r w:rsidRPr="00B22A8B">
        <w:rPr>
          <w:bCs/>
          <w:color w:val="000000" w:themeColor="text1"/>
        </w:rPr>
        <w:t>párrafo</w:t>
      </w:r>
      <w:r>
        <w:rPr>
          <w:bCs/>
          <w:color w:val="000000" w:themeColor="text1"/>
        </w:rPr>
        <w:t xml:space="preserve"> 35 del </w:t>
      </w:r>
      <w:r w:rsidRPr="00B22A8B">
        <w:rPr>
          <w:bCs/>
          <w:color w:val="000000" w:themeColor="text1"/>
        </w:rPr>
        <w:t>documento</w:t>
      </w:r>
      <w:r>
        <w:rPr>
          <w:bCs/>
          <w:color w:val="000000" w:themeColor="text1"/>
        </w:rPr>
        <w:t xml:space="preserve"> de la propuesta de </w:t>
      </w:r>
      <w:r w:rsidRPr="00B22A8B">
        <w:rPr>
          <w:bCs/>
          <w:color w:val="000000" w:themeColor="text1"/>
        </w:rPr>
        <w:t>presupuesto por programas</w:t>
      </w:r>
      <w:r>
        <w:rPr>
          <w:bCs/>
          <w:color w:val="000000" w:themeColor="text1"/>
        </w:rPr>
        <w:t xml:space="preserve">, en el nuevo cálculo de costos se tienen en cuenta todos los ajustes conocidos y aplicables previstos por </w:t>
      </w:r>
      <w:r w:rsidRPr="00B22A8B">
        <w:rPr>
          <w:bCs/>
          <w:color w:val="000000" w:themeColor="text1"/>
        </w:rPr>
        <w:t>la OMPI</w:t>
      </w:r>
      <w:r>
        <w:rPr>
          <w:bCs/>
          <w:color w:val="000000" w:themeColor="text1"/>
        </w:rPr>
        <w:t xml:space="preserve"> respecto de los costos de personal (tanto en los puestos como en las </w:t>
      </w:r>
      <w:r w:rsidR="00E2772D">
        <w:rPr>
          <w:bCs/>
          <w:color w:val="000000" w:themeColor="text1"/>
        </w:rPr>
        <w:t>plazas</w:t>
      </w:r>
      <w:r>
        <w:rPr>
          <w:bCs/>
          <w:color w:val="000000" w:themeColor="text1"/>
        </w:rPr>
        <w:t xml:space="preserve"> de trabajo temporales), incluyendo lo siguiente:</w:t>
      </w:r>
    </w:p>
    <w:p w:rsidR="00B22A8B" w:rsidRDefault="00B22A8B" w:rsidP="00E2772D">
      <w:pPr>
        <w:widowControl w:val="0"/>
        <w:rPr>
          <w:bCs/>
          <w:color w:val="000000" w:themeColor="text1"/>
        </w:rPr>
      </w:pPr>
    </w:p>
    <w:p w:rsidR="00B22A8B" w:rsidRPr="00E2772D" w:rsidRDefault="00B22A8B" w:rsidP="00E2772D">
      <w:pPr>
        <w:pStyle w:val="ListParagraph"/>
        <w:widowControl w:val="0"/>
        <w:numPr>
          <w:ilvl w:val="0"/>
          <w:numId w:val="15"/>
        </w:numPr>
        <w:rPr>
          <w:bCs/>
          <w:color w:val="000000" w:themeColor="text1"/>
        </w:rPr>
      </w:pPr>
      <w:r w:rsidRPr="00E2772D">
        <w:rPr>
          <w:bCs/>
          <w:color w:val="000000" w:themeColor="text1"/>
        </w:rPr>
        <w:t>los cambios reglamentarios que se imponen a todas las Organizaciones que aplican el régimen común de sueldos y prestaciones de las Naciones Unidas, establecido por la CAPI</w:t>
      </w:r>
      <w:r w:rsidRPr="00E2772D">
        <w:rPr>
          <w:bCs/>
          <w:color w:val="000000" w:themeColor="text1"/>
          <w:lang w:val="es-ES"/>
        </w:rPr>
        <w:t xml:space="preserve"> </w:t>
      </w:r>
      <w:r w:rsidRPr="00E2772D">
        <w:rPr>
          <w:bCs/>
          <w:color w:val="000000" w:themeColor="text1"/>
          <w:lang w:val="es-ES"/>
        </w:rPr>
        <w:noBreakHyphen/>
        <w:t>esos cambios se relacionan con el incremento de escalón dentro del grado y los cambios en los niveles de remuneración pensionable;</w:t>
      </w:r>
    </w:p>
    <w:p w:rsidR="00B22A8B" w:rsidRDefault="00B22A8B" w:rsidP="00E2772D">
      <w:pPr>
        <w:pStyle w:val="ListParagraph"/>
        <w:widowControl w:val="0"/>
        <w:numPr>
          <w:ilvl w:val="0"/>
          <w:numId w:val="13"/>
        </w:numPr>
        <w:rPr>
          <w:bCs/>
          <w:color w:val="000000" w:themeColor="text1"/>
        </w:rPr>
      </w:pPr>
      <w:r>
        <w:rPr>
          <w:bCs/>
          <w:color w:val="000000" w:themeColor="text1"/>
        </w:rPr>
        <w:t xml:space="preserve">los cambios introducidos en los costos comunes de personal relacionados con las modificaciones en la composición del personal de </w:t>
      </w:r>
      <w:r w:rsidRPr="00B22A8B">
        <w:rPr>
          <w:bCs/>
          <w:color w:val="000000" w:themeColor="text1"/>
        </w:rPr>
        <w:t>la OMPI</w:t>
      </w:r>
      <w:r>
        <w:rPr>
          <w:bCs/>
          <w:color w:val="000000" w:themeColor="text1"/>
        </w:rPr>
        <w:t xml:space="preserve"> (subsidio por familiares a cargo, subsidio de educación, etcétera);  y</w:t>
      </w:r>
    </w:p>
    <w:p w:rsidR="00B22A8B" w:rsidRPr="00832880" w:rsidRDefault="00B22A8B" w:rsidP="00832880">
      <w:pPr>
        <w:pStyle w:val="ListParagraph"/>
        <w:widowControl w:val="0"/>
        <w:numPr>
          <w:ilvl w:val="0"/>
          <w:numId w:val="13"/>
        </w:numPr>
        <w:rPr>
          <w:bCs/>
          <w:color w:val="000000" w:themeColor="text1"/>
        </w:rPr>
      </w:pPr>
      <w:r w:rsidRPr="00832880">
        <w:rPr>
          <w:bCs/>
          <w:color w:val="000000" w:themeColor="text1"/>
        </w:rPr>
        <w:t>la incidencia financiera bienal de las reclasificaciones realizadas en 2012/13.</w:t>
      </w:r>
    </w:p>
    <w:p w:rsidR="00832880" w:rsidRDefault="00832880">
      <w:pPr>
        <w:rPr>
          <w:b/>
          <w:bCs/>
          <w:color w:val="000000" w:themeColor="text1"/>
        </w:rPr>
      </w:pPr>
      <w:r>
        <w:rPr>
          <w:b/>
          <w:bCs/>
          <w:color w:val="000000" w:themeColor="text1"/>
        </w:rPr>
        <w:br w:type="page"/>
      </w:r>
    </w:p>
    <w:p w:rsidR="00B22A8B" w:rsidRPr="00B22A8B" w:rsidRDefault="00B22A8B" w:rsidP="00832880">
      <w:pPr>
        <w:widowControl w:val="0"/>
        <w:rPr>
          <w:b/>
          <w:bCs/>
          <w:color w:val="000000" w:themeColor="text1"/>
        </w:rPr>
      </w:pPr>
      <w:r w:rsidRPr="00B22A8B">
        <w:rPr>
          <w:b/>
          <w:bCs/>
          <w:color w:val="000000" w:themeColor="text1"/>
        </w:rPr>
        <w:lastRenderedPageBreak/>
        <w:t>P14:  Si</w:t>
      </w:r>
      <w:r w:rsidR="00E2772D">
        <w:rPr>
          <w:b/>
          <w:bCs/>
          <w:color w:val="000000" w:themeColor="text1"/>
        </w:rPr>
        <w:t xml:space="preserve"> </w:t>
      </w:r>
      <w:r w:rsidRPr="00B22A8B">
        <w:rPr>
          <w:b/>
          <w:bCs/>
          <w:color w:val="000000" w:themeColor="text1"/>
        </w:rPr>
        <w:t>los ingresos disminuye</w:t>
      </w:r>
      <w:r w:rsidR="00E2772D">
        <w:rPr>
          <w:b/>
          <w:bCs/>
          <w:color w:val="000000" w:themeColor="text1"/>
        </w:rPr>
        <w:t>ra</w:t>
      </w:r>
      <w:r w:rsidRPr="00B22A8B">
        <w:rPr>
          <w:b/>
          <w:bCs/>
          <w:color w:val="000000" w:themeColor="text1"/>
        </w:rPr>
        <w:t>n en el transcurso del bienio 2014/15, ¿qué elementos de gasto se recortar</w:t>
      </w:r>
      <w:r w:rsidR="00E2772D">
        <w:rPr>
          <w:b/>
          <w:bCs/>
          <w:color w:val="000000" w:themeColor="text1"/>
        </w:rPr>
        <w:t>ía</w:t>
      </w:r>
      <w:r w:rsidRPr="00B22A8B">
        <w:rPr>
          <w:b/>
          <w:bCs/>
          <w:color w:val="000000" w:themeColor="text1"/>
        </w:rPr>
        <w:t>n para atenerse al presupuesto?</w:t>
      </w:r>
    </w:p>
    <w:p w:rsidR="00B22A8B" w:rsidRDefault="00B22A8B" w:rsidP="00B22A8B">
      <w:pPr>
        <w:widowControl w:val="0"/>
        <w:spacing w:line="480" w:lineRule="auto"/>
        <w:rPr>
          <w:bCs/>
          <w:color w:val="000000" w:themeColor="text1"/>
        </w:rPr>
      </w:pPr>
    </w:p>
    <w:p w:rsidR="00B22A8B" w:rsidRPr="001E3721" w:rsidRDefault="00B22A8B" w:rsidP="00B22A8B">
      <w:pPr>
        <w:pStyle w:val="PlainText"/>
        <w:rPr>
          <w:rFonts w:ascii="Arial" w:hAnsi="Arial" w:cs="Arial"/>
          <w:lang w:val="es-ES_tradnl"/>
        </w:rPr>
      </w:pPr>
      <w:r w:rsidRPr="00B22A8B">
        <w:rPr>
          <w:rFonts w:ascii="Arial" w:hAnsi="Arial" w:cs="Arial"/>
          <w:b/>
          <w:bCs/>
          <w:lang w:val="es-ES_tradnl"/>
        </w:rPr>
        <w:t>R14:</w:t>
      </w:r>
      <w:r>
        <w:rPr>
          <w:rFonts w:ascii="Arial" w:hAnsi="Arial" w:cs="Arial"/>
          <w:bCs/>
          <w:lang w:val="es-ES_tradnl"/>
        </w:rPr>
        <w:t xml:space="preserve">  </w:t>
      </w:r>
      <w:r w:rsidRPr="001E3721">
        <w:rPr>
          <w:rFonts w:ascii="Arial" w:hAnsi="Arial" w:cs="Arial"/>
          <w:bCs/>
          <w:lang w:val="es-ES_tradnl"/>
        </w:rPr>
        <w:t>La Organización dispone de varios mecanismos mediante los cuales logra ajustar sus niveles de gasto si no se materializan los ingresos presupuestados:</w:t>
      </w:r>
    </w:p>
    <w:p w:rsidR="00B22A8B" w:rsidRPr="001E3721" w:rsidRDefault="00B22A8B" w:rsidP="00B22A8B">
      <w:pPr>
        <w:pStyle w:val="PlainText"/>
        <w:rPr>
          <w:rFonts w:ascii="Arial" w:hAnsi="Arial" w:cs="Arial"/>
          <w:lang w:val="es-ES_tradnl"/>
        </w:rPr>
      </w:pPr>
    </w:p>
    <w:p w:rsidR="00B22A8B" w:rsidRPr="001E3721" w:rsidRDefault="00B22A8B" w:rsidP="00B22A8B">
      <w:pPr>
        <w:pStyle w:val="PlainText"/>
        <w:numPr>
          <w:ilvl w:val="0"/>
          <w:numId w:val="14"/>
        </w:numPr>
        <w:rPr>
          <w:rFonts w:ascii="Arial" w:hAnsi="Arial" w:cs="Arial"/>
          <w:lang w:val="es-ES_tradnl"/>
        </w:rPr>
      </w:pPr>
      <w:r w:rsidRPr="001E3721">
        <w:rPr>
          <w:rFonts w:ascii="Arial" w:hAnsi="Arial" w:cs="Arial"/>
          <w:lang w:val="es-ES_tradnl"/>
        </w:rPr>
        <w:t xml:space="preserve">Las fórmulas de flexibilidad constituyen el mecanismo que permite introducir variaciones en los niveles de recursos financieros asignados a los sistemas mundiales de protección de la P.I. (sistemas del PCT, de Madrid y de La Haya) para reflejar las variaciones en el volumen global de las actividades de registro que no hayan sido presupuestadas.  Para más detalles, cabe remitirse al Apéndice D de la propuesta de presupuesto por programas para 2014/15. </w:t>
      </w:r>
    </w:p>
    <w:p w:rsidR="00B22A8B" w:rsidRPr="006863CC" w:rsidRDefault="00B22A8B" w:rsidP="00B22A8B">
      <w:pPr>
        <w:pStyle w:val="PlainText"/>
        <w:numPr>
          <w:ilvl w:val="0"/>
          <w:numId w:val="14"/>
        </w:numPr>
        <w:spacing w:before="120"/>
        <w:ind w:left="714" w:hanging="357"/>
        <w:rPr>
          <w:rFonts w:ascii="Arial" w:hAnsi="Arial" w:cs="Arial"/>
          <w:lang w:val="es-ES_tradnl"/>
        </w:rPr>
      </w:pPr>
      <w:r w:rsidRPr="001E3721">
        <w:rPr>
          <w:rFonts w:ascii="Arial" w:hAnsi="Arial" w:cs="Arial"/>
          <w:lang w:val="es-ES_tradnl"/>
        </w:rPr>
        <w:t>La Organización podrá ajustar la cuantía máxima de las consignaciones que sea prudente efectuar teniendo en cuenta el nivel probable de ingresos procedentes de las tasas y otros factores (según la regla 105.2).</w:t>
      </w:r>
    </w:p>
    <w:p w:rsidR="00B22A8B" w:rsidRPr="001E3721" w:rsidRDefault="00B22A8B" w:rsidP="00B22A8B">
      <w:pPr>
        <w:pStyle w:val="PlainText"/>
        <w:numPr>
          <w:ilvl w:val="0"/>
          <w:numId w:val="14"/>
        </w:numPr>
        <w:spacing w:before="120"/>
        <w:ind w:left="714" w:hanging="357"/>
        <w:rPr>
          <w:rFonts w:ascii="Arial" w:hAnsi="Arial" w:cs="Arial"/>
          <w:lang w:val="es-ES_tradnl"/>
        </w:rPr>
      </w:pPr>
      <w:r w:rsidRPr="001E3721">
        <w:rPr>
          <w:rFonts w:ascii="Arial" w:hAnsi="Arial" w:cs="Arial"/>
          <w:lang w:val="es-ES_tradnl"/>
        </w:rPr>
        <w:t>Con arreglo al artículo 5.5 del Reglamento Financiero de la OMPI, el Director General podrá efectuar transferencias de un programa a otro hasta determinado límite, cuando esas transferencias sean necesarias para asegurar el funcionamiento adecuado de los servicios.</w:t>
      </w:r>
    </w:p>
    <w:p w:rsidR="00B22A8B" w:rsidRPr="006863CC" w:rsidRDefault="00B22A8B" w:rsidP="00B22A8B">
      <w:pPr>
        <w:pStyle w:val="PlainText"/>
        <w:numPr>
          <w:ilvl w:val="0"/>
          <w:numId w:val="14"/>
        </w:numPr>
        <w:spacing w:before="120"/>
        <w:ind w:left="714" w:hanging="357"/>
        <w:rPr>
          <w:rFonts w:ascii="Arial" w:hAnsi="Arial" w:cs="Arial"/>
          <w:lang w:val="es-ES_tradnl"/>
        </w:rPr>
      </w:pPr>
      <w:r w:rsidRPr="001E3721">
        <w:rPr>
          <w:rFonts w:ascii="Arial" w:hAnsi="Arial" w:cs="Arial"/>
          <w:lang w:val="es-ES_tradnl"/>
        </w:rPr>
        <w:t>El Director General también podrá someter un presupuesto revisado a consideración de los Estados miembros.</w:t>
      </w:r>
    </w:p>
    <w:p w:rsidR="00B22A8B" w:rsidRPr="006863CC" w:rsidRDefault="00B22A8B" w:rsidP="00832880">
      <w:pPr>
        <w:pStyle w:val="PlainText"/>
        <w:rPr>
          <w:rFonts w:ascii="Arial" w:hAnsi="Arial" w:cs="Arial"/>
          <w:lang w:val="es-ES_tradnl"/>
        </w:rPr>
      </w:pPr>
    </w:p>
    <w:p w:rsidR="00B22A8B" w:rsidRPr="0008518D" w:rsidRDefault="00B22A8B" w:rsidP="00832880">
      <w:pPr>
        <w:widowControl w:val="0"/>
        <w:rPr>
          <w:b/>
          <w:bCs/>
          <w:snapToGrid w:val="0"/>
          <w:color w:val="000000" w:themeColor="text1"/>
        </w:rPr>
      </w:pPr>
      <w:r w:rsidRPr="0008518D">
        <w:rPr>
          <w:b/>
          <w:bCs/>
          <w:color w:val="000000" w:themeColor="text1"/>
        </w:rPr>
        <w:t>P15:  Explique el cambio en el r</w:t>
      </w:r>
      <w:r w:rsidR="00E2772D">
        <w:rPr>
          <w:b/>
          <w:bCs/>
          <w:color w:val="000000" w:themeColor="text1"/>
        </w:rPr>
        <w:t>ubro</w:t>
      </w:r>
      <w:r w:rsidRPr="0008518D">
        <w:rPr>
          <w:b/>
          <w:bCs/>
          <w:color w:val="000000" w:themeColor="text1"/>
        </w:rPr>
        <w:t xml:space="preserve"> “Sin consignar” entre el importe que figura en el presupuesto por programas original aprobado de 2012/13 (7,7 millones de francos suizos) y el importe que figura en el presupuesto después de las transferencias (26,3 millones de francos suizos), según se indica en el Cuadro 9 del </w:t>
      </w:r>
      <w:r w:rsidRPr="0008518D">
        <w:rPr>
          <w:b/>
          <w:bCs/>
          <w:snapToGrid w:val="0"/>
          <w:color w:val="000000" w:themeColor="text1"/>
        </w:rPr>
        <w:t xml:space="preserve">proyecto de propuesta de presupuesto por programas para 2014/15 y en el Cuadro 3 del documento del </w:t>
      </w:r>
      <w:r w:rsidR="00E2772D" w:rsidRPr="0008518D">
        <w:rPr>
          <w:b/>
          <w:bCs/>
          <w:snapToGrid w:val="0"/>
          <w:color w:val="000000" w:themeColor="text1"/>
        </w:rPr>
        <w:t xml:space="preserve">Panorama Financiero </w:t>
      </w:r>
      <w:r w:rsidRPr="0008518D">
        <w:rPr>
          <w:b/>
          <w:bCs/>
          <w:snapToGrid w:val="0"/>
          <w:color w:val="000000" w:themeColor="text1"/>
        </w:rPr>
        <w:t>(WO/PBC/</w:t>
      </w:r>
      <w:r w:rsidR="0008518D" w:rsidRPr="0008518D">
        <w:rPr>
          <w:b/>
          <w:bCs/>
          <w:snapToGrid w:val="0"/>
          <w:color w:val="000000" w:themeColor="text1"/>
        </w:rPr>
        <w:t>20/INF.1).</w:t>
      </w:r>
    </w:p>
    <w:p w:rsidR="0008518D" w:rsidRPr="00832880" w:rsidRDefault="0008518D" w:rsidP="00832880">
      <w:pPr>
        <w:widowControl w:val="0"/>
        <w:rPr>
          <w:b/>
          <w:bCs/>
          <w:snapToGrid w:val="0"/>
          <w:color w:val="000000" w:themeColor="text1"/>
        </w:rPr>
      </w:pPr>
    </w:p>
    <w:p w:rsidR="0008518D" w:rsidRDefault="0008518D" w:rsidP="00832880">
      <w:pPr>
        <w:widowControl w:val="0"/>
        <w:rPr>
          <w:bCs/>
          <w:snapToGrid w:val="0"/>
          <w:color w:val="000000" w:themeColor="text1"/>
        </w:rPr>
      </w:pPr>
      <w:r w:rsidRPr="0008518D">
        <w:rPr>
          <w:b/>
          <w:bCs/>
          <w:snapToGrid w:val="0"/>
          <w:color w:val="000000" w:themeColor="text1"/>
        </w:rPr>
        <w:t>R15:</w:t>
      </w:r>
      <w:r>
        <w:rPr>
          <w:bCs/>
          <w:snapToGrid w:val="0"/>
          <w:color w:val="000000" w:themeColor="text1"/>
        </w:rPr>
        <w:t xml:space="preserve">  Una parte importante del equilibrio de </w:t>
      </w:r>
      <w:r w:rsidRPr="0008518D">
        <w:rPr>
          <w:bCs/>
          <w:snapToGrid w:val="0"/>
          <w:color w:val="000000" w:themeColor="text1"/>
        </w:rPr>
        <w:t xml:space="preserve">recursos </w:t>
      </w:r>
      <w:r>
        <w:rPr>
          <w:bCs/>
          <w:snapToGrid w:val="0"/>
          <w:color w:val="000000" w:themeColor="text1"/>
        </w:rPr>
        <w:t>en el r</w:t>
      </w:r>
      <w:r w:rsidR="00E2772D">
        <w:rPr>
          <w:bCs/>
          <w:snapToGrid w:val="0"/>
          <w:color w:val="000000" w:themeColor="text1"/>
        </w:rPr>
        <w:t>ubro</w:t>
      </w:r>
      <w:r>
        <w:rPr>
          <w:bCs/>
          <w:snapToGrid w:val="0"/>
          <w:color w:val="000000" w:themeColor="text1"/>
        </w:rPr>
        <w:t xml:space="preserve"> Sin consignar es consecuencia de la aplicación de la decisión de los </w:t>
      </w:r>
      <w:r w:rsidRPr="0008518D">
        <w:rPr>
          <w:bCs/>
          <w:snapToGrid w:val="0"/>
          <w:color w:val="000000" w:themeColor="text1"/>
        </w:rPr>
        <w:t>Estados miembros</w:t>
      </w:r>
      <w:r>
        <w:rPr>
          <w:bCs/>
          <w:snapToGrid w:val="0"/>
          <w:color w:val="000000" w:themeColor="text1"/>
        </w:rPr>
        <w:t xml:space="preserve"> de reducir el gasto en </w:t>
      </w:r>
      <w:r w:rsidRPr="0008518D">
        <w:rPr>
          <w:bCs/>
          <w:snapToGrid w:val="0"/>
          <w:color w:val="000000" w:themeColor="text1"/>
        </w:rPr>
        <w:t>2012</w:t>
      </w:r>
      <w:r>
        <w:rPr>
          <w:bCs/>
          <w:snapToGrid w:val="0"/>
          <w:color w:val="000000" w:themeColor="text1"/>
        </w:rPr>
        <w:t xml:space="preserve">/13.  Se recuerda que los </w:t>
      </w:r>
      <w:r w:rsidRPr="0008518D">
        <w:rPr>
          <w:bCs/>
          <w:snapToGrid w:val="0"/>
          <w:color w:val="000000" w:themeColor="text1"/>
        </w:rPr>
        <w:t>Estados miembros</w:t>
      </w:r>
      <w:r>
        <w:rPr>
          <w:bCs/>
          <w:snapToGrid w:val="0"/>
          <w:color w:val="000000" w:themeColor="text1"/>
        </w:rPr>
        <w:t xml:space="preserve"> aprobaron el </w:t>
      </w:r>
      <w:r w:rsidRPr="0008518D">
        <w:rPr>
          <w:bCs/>
          <w:snapToGrid w:val="0"/>
          <w:color w:val="000000" w:themeColor="text1"/>
        </w:rPr>
        <w:t>presupuesto 2012</w:t>
      </w:r>
      <w:r>
        <w:rPr>
          <w:bCs/>
          <w:snapToGrid w:val="0"/>
          <w:color w:val="000000" w:themeColor="text1"/>
        </w:rPr>
        <w:t xml:space="preserve">/13 con sujeción a que la </w:t>
      </w:r>
      <w:r w:rsidRPr="0008518D">
        <w:rPr>
          <w:bCs/>
          <w:snapToGrid w:val="0"/>
          <w:color w:val="000000" w:themeColor="text1"/>
        </w:rPr>
        <w:t>Secretaría</w:t>
      </w:r>
      <w:r>
        <w:rPr>
          <w:bCs/>
          <w:snapToGrid w:val="0"/>
          <w:color w:val="000000" w:themeColor="text1"/>
        </w:rPr>
        <w:t xml:space="preserve"> h</w:t>
      </w:r>
      <w:r w:rsidR="00BD3FF8">
        <w:rPr>
          <w:bCs/>
          <w:snapToGrid w:val="0"/>
          <w:color w:val="000000" w:themeColor="text1"/>
        </w:rPr>
        <w:t>iciera</w:t>
      </w:r>
      <w:r>
        <w:rPr>
          <w:bCs/>
          <w:snapToGrid w:val="0"/>
          <w:color w:val="000000" w:themeColor="text1"/>
        </w:rPr>
        <w:t xml:space="preserve"> esfuerzos </w:t>
      </w:r>
      <w:r w:rsidRPr="0008518D">
        <w:rPr>
          <w:bCs/>
          <w:snapToGrid w:val="0"/>
          <w:color w:val="000000" w:themeColor="text1"/>
        </w:rPr>
        <w:t xml:space="preserve">por </w:t>
      </w:r>
      <w:r>
        <w:rPr>
          <w:bCs/>
          <w:snapToGrid w:val="0"/>
          <w:color w:val="000000" w:themeColor="text1"/>
        </w:rPr>
        <w:t xml:space="preserve">reducir gastos, aplicando medidas destinadas a fomentar la eficacia en función de los costos, por un importe de 10,2 millones de </w:t>
      </w:r>
      <w:r w:rsidRPr="0008518D">
        <w:rPr>
          <w:bCs/>
          <w:snapToGrid w:val="0"/>
          <w:color w:val="000000" w:themeColor="text1"/>
        </w:rPr>
        <w:t>francos suizos</w:t>
      </w:r>
      <w:r w:rsidR="00E2772D">
        <w:rPr>
          <w:bCs/>
          <w:snapToGrid w:val="0"/>
          <w:color w:val="000000" w:themeColor="text1"/>
        </w:rPr>
        <w:t>;  entre esas</w:t>
      </w:r>
      <w:r>
        <w:rPr>
          <w:bCs/>
          <w:snapToGrid w:val="0"/>
          <w:color w:val="000000" w:themeColor="text1"/>
        </w:rPr>
        <w:t xml:space="preserve"> distintas medidas</w:t>
      </w:r>
      <w:r w:rsidR="00E2772D">
        <w:rPr>
          <w:bCs/>
          <w:snapToGrid w:val="0"/>
          <w:color w:val="000000" w:themeColor="text1"/>
        </w:rPr>
        <w:t xml:space="preserve"> cabe señalar</w:t>
      </w:r>
      <w:r>
        <w:rPr>
          <w:bCs/>
          <w:snapToGrid w:val="0"/>
          <w:color w:val="000000" w:themeColor="text1"/>
        </w:rPr>
        <w:t xml:space="preserve">, </w:t>
      </w:r>
      <w:r w:rsidRPr="0008518D">
        <w:rPr>
          <w:bCs/>
          <w:snapToGrid w:val="0"/>
          <w:color w:val="000000" w:themeColor="text1"/>
        </w:rPr>
        <w:t>por ejemplo</w:t>
      </w:r>
      <w:r>
        <w:rPr>
          <w:bCs/>
          <w:snapToGrid w:val="0"/>
          <w:color w:val="000000" w:themeColor="text1"/>
        </w:rPr>
        <w:t xml:space="preserve">, las políticas en </w:t>
      </w:r>
      <w:r w:rsidRPr="0008518D">
        <w:rPr>
          <w:bCs/>
          <w:snapToGrid w:val="0"/>
          <w:color w:val="000000" w:themeColor="text1"/>
        </w:rPr>
        <w:t xml:space="preserve">materia de </w:t>
      </w:r>
      <w:r>
        <w:rPr>
          <w:bCs/>
          <w:snapToGrid w:val="0"/>
          <w:color w:val="000000" w:themeColor="text1"/>
        </w:rPr>
        <w:t xml:space="preserve">viajes del personal y de terceros, la gestión de locales, la reducción de los costos de personal gracias a la mejora del diseño orgánico, etcétera.  La </w:t>
      </w:r>
      <w:r w:rsidRPr="0008518D">
        <w:rPr>
          <w:bCs/>
          <w:snapToGrid w:val="0"/>
          <w:color w:val="000000" w:themeColor="text1"/>
        </w:rPr>
        <w:t>Secretaría</w:t>
      </w:r>
      <w:r>
        <w:rPr>
          <w:bCs/>
          <w:snapToGrid w:val="0"/>
          <w:color w:val="000000" w:themeColor="text1"/>
        </w:rPr>
        <w:t xml:space="preserve"> sigue realizando esfuerzos sostenidos para mejorar la eficiencia en función de los costos más allá de ese nivel, y el presupuesto después de las </w:t>
      </w:r>
      <w:r w:rsidRPr="0008518D">
        <w:rPr>
          <w:bCs/>
          <w:snapToGrid w:val="0"/>
          <w:color w:val="000000" w:themeColor="text1"/>
        </w:rPr>
        <w:t>transferencia</w:t>
      </w:r>
      <w:r>
        <w:rPr>
          <w:bCs/>
          <w:snapToGrid w:val="0"/>
          <w:color w:val="000000" w:themeColor="text1"/>
        </w:rPr>
        <w:t>s refleja la situación</w:t>
      </w:r>
      <w:r w:rsidRPr="0008518D">
        <w:rPr>
          <w:bCs/>
          <w:snapToGrid w:val="0"/>
          <w:color w:val="000000" w:themeColor="text1"/>
        </w:rPr>
        <w:t xml:space="preserve"> de </w:t>
      </w:r>
      <w:r>
        <w:rPr>
          <w:bCs/>
          <w:snapToGrid w:val="0"/>
          <w:color w:val="000000" w:themeColor="text1"/>
        </w:rPr>
        <w:t>la autorización de gastos o las consignaciones para los programas en un momento específico del bienio que, por lo tanto, puede ser objeto de modificaciones hasta el final del bienio.</w:t>
      </w:r>
    </w:p>
    <w:p w:rsidR="0008518D" w:rsidRPr="00832880" w:rsidRDefault="0008518D" w:rsidP="00832880">
      <w:pPr>
        <w:widowControl w:val="0"/>
        <w:rPr>
          <w:b/>
          <w:bCs/>
          <w:snapToGrid w:val="0"/>
          <w:color w:val="000000" w:themeColor="text1"/>
        </w:rPr>
      </w:pPr>
    </w:p>
    <w:p w:rsidR="0008518D" w:rsidRDefault="00E2772D" w:rsidP="00832880">
      <w:pPr>
        <w:widowControl w:val="0"/>
        <w:rPr>
          <w:bCs/>
          <w:snapToGrid w:val="0"/>
          <w:color w:val="000000" w:themeColor="text1"/>
        </w:rPr>
      </w:pPr>
      <w:r w:rsidRPr="00832880">
        <w:rPr>
          <w:bCs/>
          <w:snapToGrid w:val="0"/>
          <w:color w:val="000000" w:themeColor="text1"/>
        </w:rPr>
        <w:t xml:space="preserve">El </w:t>
      </w:r>
      <w:r>
        <w:rPr>
          <w:bCs/>
          <w:snapToGrid w:val="0"/>
          <w:color w:val="000000" w:themeColor="text1"/>
        </w:rPr>
        <w:t>rubro</w:t>
      </w:r>
      <w:r w:rsidR="0008518D">
        <w:rPr>
          <w:bCs/>
          <w:snapToGrid w:val="0"/>
          <w:color w:val="000000" w:themeColor="text1"/>
        </w:rPr>
        <w:t xml:space="preserve"> Sin consignar también incluye </w:t>
      </w:r>
      <w:r w:rsidR="0008518D" w:rsidRPr="0008518D">
        <w:rPr>
          <w:bCs/>
          <w:snapToGrid w:val="0"/>
          <w:color w:val="000000" w:themeColor="text1"/>
        </w:rPr>
        <w:t xml:space="preserve">recursos </w:t>
      </w:r>
      <w:r w:rsidR="0008518D">
        <w:rPr>
          <w:bCs/>
          <w:snapToGrid w:val="0"/>
          <w:color w:val="000000" w:themeColor="text1"/>
        </w:rPr>
        <w:t xml:space="preserve">relacionados con la regularización en curso de </w:t>
      </w:r>
      <w:r>
        <w:rPr>
          <w:bCs/>
          <w:snapToGrid w:val="0"/>
          <w:color w:val="000000" w:themeColor="text1"/>
        </w:rPr>
        <w:t xml:space="preserve">la situación de </w:t>
      </w:r>
      <w:r w:rsidR="0008518D">
        <w:rPr>
          <w:bCs/>
          <w:snapToGrid w:val="0"/>
          <w:color w:val="000000" w:themeColor="text1"/>
        </w:rPr>
        <w:t xml:space="preserve">los empleados con contratos de corta duración que llevan mucho tiempo al servicio de la </w:t>
      </w:r>
      <w:r w:rsidR="0008518D" w:rsidRPr="0008518D">
        <w:rPr>
          <w:bCs/>
          <w:snapToGrid w:val="0"/>
          <w:color w:val="000000" w:themeColor="text1"/>
        </w:rPr>
        <w:t>Organización</w:t>
      </w:r>
      <w:r w:rsidR="0008518D">
        <w:rPr>
          <w:bCs/>
          <w:snapToGrid w:val="0"/>
          <w:color w:val="000000" w:themeColor="text1"/>
        </w:rPr>
        <w:t xml:space="preserve">, así como las partidas destinadas a las reclasificaciones.  Se recuerda que en el presupuesto aprobado de </w:t>
      </w:r>
      <w:r w:rsidR="0008518D" w:rsidRPr="0008518D">
        <w:rPr>
          <w:bCs/>
          <w:snapToGrid w:val="0"/>
          <w:color w:val="000000" w:themeColor="text1"/>
        </w:rPr>
        <w:t>2012</w:t>
      </w:r>
      <w:r w:rsidR="0008518D">
        <w:rPr>
          <w:bCs/>
          <w:snapToGrid w:val="0"/>
          <w:color w:val="000000" w:themeColor="text1"/>
        </w:rPr>
        <w:t>/13 esas partidas se presupuestaron en el r</w:t>
      </w:r>
      <w:r>
        <w:rPr>
          <w:bCs/>
          <w:snapToGrid w:val="0"/>
          <w:color w:val="000000" w:themeColor="text1"/>
        </w:rPr>
        <w:t>ubro</w:t>
      </w:r>
      <w:r w:rsidR="0008518D">
        <w:rPr>
          <w:bCs/>
          <w:snapToGrid w:val="0"/>
          <w:color w:val="000000" w:themeColor="text1"/>
        </w:rPr>
        <w:t xml:space="preserve"> Sin consignar.</w:t>
      </w:r>
    </w:p>
    <w:p w:rsidR="0008518D" w:rsidRPr="00832880" w:rsidRDefault="0008518D" w:rsidP="00832880">
      <w:pPr>
        <w:widowControl w:val="0"/>
        <w:rPr>
          <w:b/>
          <w:bCs/>
          <w:snapToGrid w:val="0"/>
          <w:color w:val="000000" w:themeColor="text1"/>
        </w:rPr>
      </w:pPr>
    </w:p>
    <w:p w:rsidR="00832880" w:rsidRDefault="00832880">
      <w:pPr>
        <w:rPr>
          <w:bCs/>
          <w:snapToGrid w:val="0"/>
          <w:color w:val="000000" w:themeColor="text1"/>
        </w:rPr>
      </w:pPr>
      <w:r>
        <w:rPr>
          <w:bCs/>
          <w:snapToGrid w:val="0"/>
          <w:color w:val="000000" w:themeColor="text1"/>
        </w:rPr>
        <w:br w:type="page"/>
      </w:r>
    </w:p>
    <w:p w:rsidR="00A05BE1" w:rsidRPr="003E79DB" w:rsidRDefault="00A05BE1" w:rsidP="00832880">
      <w:pPr>
        <w:widowControl w:val="0"/>
        <w:rPr>
          <w:bCs/>
          <w:snapToGrid w:val="0"/>
          <w:color w:val="000000" w:themeColor="text1"/>
        </w:rPr>
      </w:pPr>
      <w:r w:rsidRPr="00832880">
        <w:rPr>
          <w:bCs/>
          <w:snapToGrid w:val="0"/>
          <w:color w:val="000000" w:themeColor="text1"/>
        </w:rPr>
        <w:lastRenderedPageBreak/>
        <w:t>M</w:t>
      </w:r>
      <w:r w:rsidRPr="003E79DB">
        <w:rPr>
          <w:bCs/>
          <w:snapToGrid w:val="0"/>
          <w:color w:val="000000" w:themeColor="text1"/>
        </w:rPr>
        <w:t>ETA ESTRATÉGICA I:  EVOLUCIÓN EQUILIBRADA DEL MARCO NORMATIVO INTERNACIONAL DE P.I.</w:t>
      </w:r>
    </w:p>
    <w:p w:rsidR="00A05BE1" w:rsidRPr="003E79DB" w:rsidRDefault="00A05BE1" w:rsidP="0006587D">
      <w:pPr>
        <w:widowControl w:val="0"/>
        <w:rPr>
          <w:bCs/>
          <w:snapToGrid w:val="0"/>
          <w:color w:val="000000" w:themeColor="text1"/>
        </w:rPr>
      </w:pPr>
    </w:p>
    <w:p w:rsidR="00A05BE1" w:rsidRPr="003E79DB" w:rsidRDefault="00A05BE1" w:rsidP="0006587D">
      <w:pPr>
        <w:widowControl w:val="0"/>
        <w:rPr>
          <w:b/>
          <w:bCs/>
          <w:color w:val="000000" w:themeColor="text1"/>
        </w:rPr>
      </w:pPr>
      <w:r w:rsidRPr="003E79DB">
        <w:rPr>
          <w:b/>
          <w:bCs/>
          <w:color w:val="000000" w:themeColor="text1"/>
        </w:rPr>
        <w:t xml:space="preserve">P1:  </w:t>
      </w:r>
      <w:r w:rsidRPr="003E79DB">
        <w:rPr>
          <w:b/>
          <w:bCs/>
          <w:snapToGrid w:val="0"/>
          <w:color w:val="000000" w:themeColor="text1"/>
        </w:rPr>
        <w:t>¿Cuánto se ha destinado a la financiación de conferencias diplomáticas?  ¿Financiará la OMPI la participación de todos sus Estados miembros en la Conferencia Diplomática para la adopción de un Arreglo de Lisboa revisado?</w:t>
      </w:r>
    </w:p>
    <w:p w:rsidR="00A05BE1" w:rsidRPr="003E79DB" w:rsidRDefault="00A05BE1" w:rsidP="0006587D">
      <w:pPr>
        <w:widowControl w:val="0"/>
        <w:rPr>
          <w:b/>
          <w:bCs/>
          <w:color w:val="000000" w:themeColor="text1"/>
        </w:rPr>
      </w:pPr>
    </w:p>
    <w:p w:rsidR="00A05BE1" w:rsidRPr="003E79DB" w:rsidRDefault="00A05BE1" w:rsidP="0006587D">
      <w:pPr>
        <w:widowControl w:val="0"/>
        <w:rPr>
          <w:bCs/>
          <w:snapToGrid w:val="0"/>
          <w:color w:val="000000" w:themeColor="text1"/>
        </w:rPr>
      </w:pPr>
      <w:r w:rsidRPr="003E79DB">
        <w:rPr>
          <w:b/>
          <w:bCs/>
          <w:color w:val="000000" w:themeColor="text1"/>
        </w:rPr>
        <w:t>R1:</w:t>
      </w:r>
      <w:r w:rsidRPr="003E79DB">
        <w:rPr>
          <w:bCs/>
          <w:color w:val="000000" w:themeColor="text1"/>
        </w:rPr>
        <w:t xml:space="preserve">  Como se observa en el párrafo 42 de la propuesta de </w:t>
      </w:r>
      <w:r w:rsidRPr="003E79DB">
        <w:rPr>
          <w:bCs/>
          <w:snapToGrid w:val="0"/>
          <w:color w:val="000000" w:themeColor="text1"/>
        </w:rPr>
        <w:t>proyecto de presupuesto por programas, con sujeción a la decisión de los Estados miembros, se han reservado las partidas siguientes para la eventual celebración de conferencias diplomáticas en el próximo bienio:</w:t>
      </w:r>
    </w:p>
    <w:p w:rsidR="00FB5D0F" w:rsidRPr="003E79DB" w:rsidRDefault="00FB5D0F" w:rsidP="0006587D">
      <w:pPr>
        <w:widowControl w:val="0"/>
        <w:rPr>
          <w:bCs/>
          <w:color w:val="000000" w:themeColor="text1"/>
        </w:rPr>
      </w:pPr>
    </w:p>
    <w:p w:rsidR="00FB5D0F" w:rsidRPr="003E79DB" w:rsidRDefault="000B58F9" w:rsidP="0006587D">
      <w:pPr>
        <w:pStyle w:val="ListParagraph"/>
        <w:widowControl w:val="0"/>
        <w:numPr>
          <w:ilvl w:val="0"/>
          <w:numId w:val="12"/>
        </w:numPr>
        <w:ind w:left="1134" w:hanging="567"/>
        <w:jc w:val="both"/>
        <w:rPr>
          <w:color w:val="000000" w:themeColor="text1"/>
          <w:szCs w:val="22"/>
        </w:rPr>
      </w:pPr>
      <w:r w:rsidRPr="003E79DB">
        <w:rPr>
          <w:color w:val="000000" w:themeColor="text1"/>
          <w:szCs w:val="22"/>
        </w:rPr>
        <w:t>en relación con</w:t>
      </w:r>
      <w:r w:rsidR="00FB5D0F" w:rsidRPr="003E79DB">
        <w:rPr>
          <w:color w:val="000000" w:themeColor="text1"/>
          <w:szCs w:val="22"/>
        </w:rPr>
        <w:t xml:space="preserve"> la adopción de un tratado sobre el Derecho de los diseños industriales, por un monto de aproximadamente 800.000 francos suizos (programa 2);</w:t>
      </w:r>
    </w:p>
    <w:p w:rsidR="00FB5D0F" w:rsidRPr="003E79DB" w:rsidRDefault="00FB5D0F" w:rsidP="0006587D">
      <w:pPr>
        <w:widowControl w:val="0"/>
        <w:tabs>
          <w:tab w:val="num" w:pos="1080"/>
        </w:tabs>
        <w:jc w:val="both"/>
        <w:rPr>
          <w:color w:val="000000" w:themeColor="text1"/>
          <w:szCs w:val="22"/>
        </w:rPr>
      </w:pPr>
    </w:p>
    <w:p w:rsidR="00FB5D0F" w:rsidRPr="003E79DB" w:rsidRDefault="00FB5D0F" w:rsidP="0006587D">
      <w:pPr>
        <w:pStyle w:val="ListParagraph"/>
        <w:widowControl w:val="0"/>
        <w:numPr>
          <w:ilvl w:val="0"/>
          <w:numId w:val="12"/>
        </w:numPr>
        <w:ind w:left="1134" w:hanging="567"/>
        <w:jc w:val="both"/>
        <w:rPr>
          <w:color w:val="000000" w:themeColor="text1"/>
          <w:szCs w:val="22"/>
        </w:rPr>
      </w:pPr>
      <w:r w:rsidRPr="003E79DB">
        <w:rPr>
          <w:color w:val="000000" w:themeColor="text1"/>
          <w:szCs w:val="22"/>
        </w:rPr>
        <w:t>en el ámbito de los conocimientos tradicionales, las expresiones culturales tradicionales y los recursos genéticos, por un monto de aproximadamente 800.000 francos suizos (programa 4);  y</w:t>
      </w:r>
    </w:p>
    <w:p w:rsidR="00FB5D0F" w:rsidRPr="003E79DB" w:rsidRDefault="00FB5D0F" w:rsidP="0006587D">
      <w:pPr>
        <w:widowControl w:val="0"/>
        <w:jc w:val="both"/>
        <w:rPr>
          <w:color w:val="000000" w:themeColor="text1"/>
          <w:szCs w:val="22"/>
        </w:rPr>
      </w:pPr>
    </w:p>
    <w:p w:rsidR="00FB5D0F" w:rsidRPr="003E79DB" w:rsidRDefault="00FB5D0F" w:rsidP="0006587D">
      <w:pPr>
        <w:pStyle w:val="ListParagraph"/>
        <w:widowControl w:val="0"/>
        <w:numPr>
          <w:ilvl w:val="0"/>
          <w:numId w:val="12"/>
        </w:numPr>
        <w:ind w:left="1134" w:hanging="567"/>
        <w:jc w:val="both"/>
        <w:rPr>
          <w:color w:val="000000" w:themeColor="text1"/>
          <w:szCs w:val="22"/>
        </w:rPr>
      </w:pPr>
      <w:r w:rsidRPr="003E79DB">
        <w:rPr>
          <w:color w:val="000000" w:themeColor="text1"/>
          <w:szCs w:val="22"/>
        </w:rPr>
        <w:t>para la adopción del Arreglo de Lisboa Revisado, con sujeción a la decisión de la Asamblea de Lisboa (programa 6), por un monto de aproximadamente 130.000 francos suizos.</w:t>
      </w:r>
    </w:p>
    <w:p w:rsidR="00FB5D0F" w:rsidRPr="003E79DB" w:rsidRDefault="00FB5D0F" w:rsidP="0006587D">
      <w:pPr>
        <w:widowControl w:val="0"/>
        <w:rPr>
          <w:bCs/>
          <w:color w:val="000000" w:themeColor="text1"/>
        </w:rPr>
      </w:pPr>
    </w:p>
    <w:p w:rsidR="00C00408" w:rsidRPr="003E79DB" w:rsidRDefault="000B58F9" w:rsidP="0006587D">
      <w:pPr>
        <w:widowControl w:val="0"/>
        <w:rPr>
          <w:bCs/>
          <w:color w:val="000000" w:themeColor="text1"/>
        </w:rPr>
      </w:pPr>
      <w:r w:rsidRPr="003E79DB">
        <w:rPr>
          <w:bCs/>
          <w:color w:val="000000" w:themeColor="text1"/>
        </w:rPr>
        <w:t>La partida</w:t>
      </w:r>
      <w:r w:rsidR="00A05BE1" w:rsidRPr="003E79DB">
        <w:rPr>
          <w:bCs/>
          <w:color w:val="000000" w:themeColor="text1"/>
        </w:rPr>
        <w:t xml:space="preserve"> reservada</w:t>
      </w:r>
      <w:r w:rsidRPr="003E79DB">
        <w:rPr>
          <w:bCs/>
          <w:color w:val="000000" w:themeColor="text1"/>
        </w:rPr>
        <w:t xml:space="preserve"> con miras a</w:t>
      </w:r>
      <w:r w:rsidR="00A05BE1" w:rsidRPr="003E79DB">
        <w:rPr>
          <w:bCs/>
          <w:color w:val="000000" w:themeColor="text1"/>
        </w:rPr>
        <w:t xml:space="preserve"> la eventual celebración de una Conferencia Diplomática para la adopción de un Arreglo de Lisboa revisado abarca la financiación de la participación de los Estados miembros parte en ese Arreglo.</w:t>
      </w:r>
    </w:p>
    <w:p w:rsidR="00A05BE1" w:rsidRPr="003E79DB" w:rsidRDefault="00A05BE1" w:rsidP="0006587D">
      <w:pPr>
        <w:widowControl w:val="0"/>
        <w:rPr>
          <w:bCs/>
          <w:color w:val="000000" w:themeColor="text1"/>
        </w:rPr>
      </w:pPr>
    </w:p>
    <w:p w:rsidR="00A05BE1" w:rsidRPr="003E79DB" w:rsidRDefault="00A05BE1" w:rsidP="0006587D">
      <w:pPr>
        <w:widowControl w:val="0"/>
        <w:rPr>
          <w:bCs/>
          <w:color w:val="000000" w:themeColor="text1"/>
        </w:rPr>
      </w:pPr>
      <w:r w:rsidRPr="003E79DB">
        <w:rPr>
          <w:b/>
          <w:bCs/>
          <w:color w:val="000000" w:themeColor="text1"/>
        </w:rPr>
        <w:t xml:space="preserve">P2:  En el caso de que se logre consenso respecto de otros temas, </w:t>
      </w:r>
      <w:r w:rsidRPr="003E79DB">
        <w:rPr>
          <w:b/>
          <w:bCs/>
          <w:snapToGrid w:val="0"/>
          <w:color w:val="000000" w:themeColor="text1"/>
        </w:rPr>
        <w:t>¿podrían incluirse conferencias diplomáticas adicionales?</w:t>
      </w:r>
    </w:p>
    <w:p w:rsidR="00A05BE1" w:rsidRPr="003E79DB" w:rsidRDefault="00A05BE1" w:rsidP="0006587D">
      <w:pPr>
        <w:widowControl w:val="0"/>
        <w:rPr>
          <w:bCs/>
          <w:color w:val="000000" w:themeColor="text1"/>
        </w:rPr>
      </w:pPr>
    </w:p>
    <w:p w:rsidR="00A05BE1" w:rsidRPr="00F704B6" w:rsidRDefault="00A05BE1" w:rsidP="0006587D">
      <w:pPr>
        <w:widowControl w:val="0"/>
        <w:rPr>
          <w:bCs/>
          <w:color w:val="000000" w:themeColor="text1"/>
        </w:rPr>
      </w:pPr>
      <w:r w:rsidRPr="003E79DB">
        <w:rPr>
          <w:b/>
          <w:bCs/>
          <w:color w:val="000000" w:themeColor="text1"/>
        </w:rPr>
        <w:t>R2:</w:t>
      </w:r>
      <w:r w:rsidRPr="003E79DB">
        <w:rPr>
          <w:bCs/>
          <w:color w:val="000000" w:themeColor="text1"/>
        </w:rPr>
        <w:t xml:space="preserve">  El consenso de los Estados miembros </w:t>
      </w:r>
      <w:r w:rsidR="006C25B8" w:rsidRPr="003E79DB">
        <w:rPr>
          <w:bCs/>
          <w:color w:val="000000" w:themeColor="text1"/>
        </w:rPr>
        <w:t xml:space="preserve">sobre la evolución equilibrada del marco normativo </w:t>
      </w:r>
      <w:r w:rsidR="006C25B8" w:rsidRPr="00F704B6">
        <w:rPr>
          <w:bCs/>
          <w:color w:val="000000" w:themeColor="text1"/>
        </w:rPr>
        <w:t>internacional de P.I. es una prioridad principal de la Organización.  De lograrse consenso en la esfera normativa respecto de otros temas, además de los previstos originalmente en el presupuesto por programas, y siempre y cuando las Asambleas</w:t>
      </w:r>
      <w:r w:rsidR="000B58F9" w:rsidRPr="00F704B6">
        <w:rPr>
          <w:bCs/>
          <w:color w:val="000000" w:themeColor="text1"/>
        </w:rPr>
        <w:t xml:space="preserve"> tomen una decisión en ese sentido</w:t>
      </w:r>
      <w:r w:rsidR="006C25B8" w:rsidRPr="00F704B6">
        <w:rPr>
          <w:bCs/>
          <w:color w:val="000000" w:themeColor="text1"/>
        </w:rPr>
        <w:t>, se</w:t>
      </w:r>
      <w:r w:rsidR="000B58F9" w:rsidRPr="00F704B6">
        <w:rPr>
          <w:bCs/>
          <w:color w:val="000000" w:themeColor="text1"/>
        </w:rPr>
        <w:t xml:space="preserve"> pondrán recursos a disposición</w:t>
      </w:r>
      <w:r w:rsidR="006C25B8" w:rsidRPr="00F704B6">
        <w:rPr>
          <w:bCs/>
          <w:color w:val="000000" w:themeColor="text1"/>
        </w:rPr>
        <w:t xml:space="preserve"> según sea necesario, tras una revisión de la utilización de </w:t>
      </w:r>
      <w:r w:rsidR="000B58F9" w:rsidRPr="00F704B6">
        <w:rPr>
          <w:bCs/>
          <w:color w:val="000000" w:themeColor="text1"/>
        </w:rPr>
        <w:t xml:space="preserve">los </w:t>
      </w:r>
      <w:r w:rsidR="006C25B8" w:rsidRPr="00F704B6">
        <w:rPr>
          <w:bCs/>
          <w:color w:val="000000" w:themeColor="text1"/>
        </w:rPr>
        <w:t>recursos.</w:t>
      </w:r>
    </w:p>
    <w:p w:rsidR="006C25B8" w:rsidRDefault="006C25B8" w:rsidP="0006587D">
      <w:pPr>
        <w:widowControl w:val="0"/>
        <w:rPr>
          <w:bCs/>
          <w:color w:val="000000" w:themeColor="text1"/>
        </w:rPr>
      </w:pPr>
    </w:p>
    <w:p w:rsidR="0006587D" w:rsidRPr="00F704B6" w:rsidRDefault="0006587D" w:rsidP="0006587D">
      <w:pPr>
        <w:widowControl w:val="0"/>
        <w:rPr>
          <w:bCs/>
          <w:color w:val="000000" w:themeColor="text1"/>
        </w:rPr>
      </w:pPr>
    </w:p>
    <w:p w:rsidR="006C25B8" w:rsidRPr="00F704B6" w:rsidRDefault="006C25B8" w:rsidP="0006587D">
      <w:pPr>
        <w:widowControl w:val="0"/>
        <w:rPr>
          <w:bCs/>
          <w:color w:val="000000" w:themeColor="text1"/>
        </w:rPr>
      </w:pPr>
      <w:r w:rsidRPr="00F704B6">
        <w:rPr>
          <w:bCs/>
          <w:color w:val="000000" w:themeColor="text1"/>
        </w:rPr>
        <w:t>META ESTRATÉGICA III:  FACILITAR EL USO DE LA P.I</w:t>
      </w:r>
      <w:r w:rsidR="00F704B6" w:rsidRPr="00F704B6">
        <w:rPr>
          <w:bCs/>
          <w:color w:val="000000" w:themeColor="text1"/>
        </w:rPr>
        <w:t>.  E</w:t>
      </w:r>
      <w:r w:rsidRPr="00F704B6">
        <w:rPr>
          <w:bCs/>
          <w:color w:val="000000" w:themeColor="text1"/>
        </w:rPr>
        <w:t>N ARAS DEL DESARROLLO</w:t>
      </w:r>
    </w:p>
    <w:p w:rsidR="006C25B8" w:rsidRPr="00F704B6" w:rsidRDefault="006C25B8" w:rsidP="0006587D">
      <w:pPr>
        <w:widowControl w:val="0"/>
        <w:rPr>
          <w:bCs/>
          <w:color w:val="000000" w:themeColor="text1"/>
        </w:rPr>
      </w:pPr>
    </w:p>
    <w:p w:rsidR="006C25B8" w:rsidRPr="00F704B6" w:rsidRDefault="006C25B8" w:rsidP="0006587D">
      <w:pPr>
        <w:widowControl w:val="0"/>
        <w:rPr>
          <w:b/>
          <w:bCs/>
          <w:color w:val="000000" w:themeColor="text1"/>
        </w:rPr>
      </w:pPr>
      <w:r w:rsidRPr="00F704B6">
        <w:rPr>
          <w:b/>
          <w:bCs/>
          <w:color w:val="000000" w:themeColor="text1"/>
        </w:rPr>
        <w:t xml:space="preserve">P1:  El número de resultados previstos en la </w:t>
      </w:r>
      <w:r w:rsidR="000B58F9" w:rsidRPr="00F704B6">
        <w:rPr>
          <w:b/>
          <w:bCs/>
          <w:color w:val="000000" w:themeColor="text1"/>
        </w:rPr>
        <w:t xml:space="preserve">meta </w:t>
      </w:r>
      <w:r w:rsidRPr="00F704B6">
        <w:rPr>
          <w:b/>
          <w:bCs/>
          <w:color w:val="000000" w:themeColor="text1"/>
        </w:rPr>
        <w:t>estratégica III ha disminuido;  ¿podría explicar por qué?</w:t>
      </w:r>
    </w:p>
    <w:p w:rsidR="006C25B8" w:rsidRPr="00F704B6" w:rsidRDefault="006C25B8" w:rsidP="0006587D">
      <w:pPr>
        <w:widowControl w:val="0"/>
        <w:rPr>
          <w:b/>
          <w:bCs/>
          <w:color w:val="000000" w:themeColor="text1"/>
        </w:rPr>
      </w:pPr>
    </w:p>
    <w:p w:rsidR="006C25B8" w:rsidRPr="003E79DB" w:rsidRDefault="006C25B8" w:rsidP="0006587D">
      <w:pPr>
        <w:widowControl w:val="0"/>
        <w:rPr>
          <w:bCs/>
          <w:color w:val="000000" w:themeColor="text1"/>
        </w:rPr>
      </w:pPr>
      <w:r w:rsidRPr="00F704B6">
        <w:rPr>
          <w:b/>
          <w:bCs/>
          <w:color w:val="000000" w:themeColor="text1"/>
        </w:rPr>
        <w:t>R1:</w:t>
      </w:r>
      <w:r w:rsidRPr="00F704B6">
        <w:rPr>
          <w:bCs/>
          <w:color w:val="000000" w:themeColor="text1"/>
        </w:rPr>
        <w:t xml:space="preserve">  Se han vuelto a afinar y consolidar los resultados previstos para la Organización, en comparación con el bieni</w:t>
      </w:r>
      <w:r w:rsidR="00F704B6" w:rsidRPr="00F704B6">
        <w:rPr>
          <w:bCs/>
          <w:color w:val="000000" w:themeColor="text1"/>
        </w:rPr>
        <w:t>o 2</w:t>
      </w:r>
      <w:r w:rsidRPr="00F704B6">
        <w:rPr>
          <w:bCs/>
          <w:color w:val="000000" w:themeColor="text1"/>
        </w:rPr>
        <w:t xml:space="preserve">012/13, para llevarlos a un nivel </w:t>
      </w:r>
      <w:r w:rsidR="00F562B5">
        <w:rPr>
          <w:bCs/>
          <w:color w:val="000000" w:themeColor="text1"/>
        </w:rPr>
        <w:t>congruente</w:t>
      </w:r>
      <w:r w:rsidRPr="00F704B6">
        <w:rPr>
          <w:bCs/>
          <w:color w:val="000000" w:themeColor="text1"/>
        </w:rPr>
        <w:t xml:space="preserve">.  Ello ha dado como resultado una disminución en el número de resultados previstos en la </w:t>
      </w:r>
      <w:r w:rsidR="000B58F9" w:rsidRPr="00F704B6">
        <w:rPr>
          <w:bCs/>
          <w:color w:val="000000" w:themeColor="text1"/>
        </w:rPr>
        <w:t>meta estratégica </w:t>
      </w:r>
      <w:r w:rsidRPr="00F704B6">
        <w:rPr>
          <w:bCs/>
          <w:color w:val="000000" w:themeColor="text1"/>
        </w:rPr>
        <w:t xml:space="preserve">III, así como en otras metas estratégicas, sin que se pierdan aspectos esenciales.  Un ejemplo </w:t>
      </w:r>
      <w:r w:rsidR="00F945A5">
        <w:rPr>
          <w:bCs/>
          <w:color w:val="000000" w:themeColor="text1"/>
        </w:rPr>
        <w:t xml:space="preserve">a ese respecto son </w:t>
      </w:r>
      <w:r w:rsidRPr="00F704B6">
        <w:rPr>
          <w:bCs/>
          <w:color w:val="000000" w:themeColor="text1"/>
        </w:rPr>
        <w:t xml:space="preserve">los resultados III.6 (Principios de la </w:t>
      </w:r>
      <w:r w:rsidRPr="00F704B6">
        <w:rPr>
          <w:bCs/>
          <w:color w:val="000000" w:themeColor="text1"/>
          <w:szCs w:val="24"/>
        </w:rPr>
        <w:t>Agenda para el Desarrollo</w:t>
      </w:r>
      <w:r w:rsidRPr="00F704B6">
        <w:rPr>
          <w:bCs/>
          <w:color w:val="000000" w:themeColor="text1"/>
        </w:rPr>
        <w:t xml:space="preserve">), III.7 (Eficacia en la planificación, aplicación y presentación de informes respecto de las recomendaciones de la </w:t>
      </w:r>
      <w:r w:rsidRPr="00F704B6">
        <w:rPr>
          <w:bCs/>
          <w:color w:val="000000" w:themeColor="text1"/>
          <w:szCs w:val="24"/>
        </w:rPr>
        <w:t>Agenda para el Desarrollo</w:t>
      </w:r>
      <w:r w:rsidRPr="00F704B6">
        <w:rPr>
          <w:bCs/>
          <w:color w:val="000000" w:themeColor="text1"/>
        </w:rPr>
        <w:t xml:space="preserve">) y III.8 (Mejor comprensión de la </w:t>
      </w:r>
      <w:r w:rsidRPr="00F704B6">
        <w:rPr>
          <w:bCs/>
          <w:color w:val="000000" w:themeColor="text1"/>
          <w:szCs w:val="24"/>
        </w:rPr>
        <w:t>Agenda para el Desarrollo</w:t>
      </w:r>
      <w:r w:rsidRPr="00F704B6">
        <w:rPr>
          <w:bCs/>
          <w:color w:val="000000" w:themeColor="text1"/>
        </w:rPr>
        <w:t>)</w:t>
      </w:r>
      <w:r w:rsidR="000B58F9" w:rsidRPr="00F704B6">
        <w:rPr>
          <w:bCs/>
          <w:color w:val="000000" w:themeColor="text1"/>
        </w:rPr>
        <w:t>,</w:t>
      </w:r>
      <w:r w:rsidRPr="00F704B6">
        <w:rPr>
          <w:bCs/>
          <w:color w:val="000000" w:themeColor="text1"/>
        </w:rPr>
        <w:t xml:space="preserve"> </w:t>
      </w:r>
      <w:r w:rsidR="000B58F9" w:rsidRPr="00F704B6">
        <w:rPr>
          <w:bCs/>
          <w:color w:val="000000" w:themeColor="text1"/>
        </w:rPr>
        <w:t xml:space="preserve">previstos </w:t>
      </w:r>
      <w:r w:rsidRPr="00F704B6">
        <w:rPr>
          <w:bCs/>
          <w:color w:val="000000" w:themeColor="text1"/>
        </w:rPr>
        <w:t>e</w:t>
      </w:r>
      <w:r w:rsidR="00F704B6" w:rsidRPr="00F704B6">
        <w:rPr>
          <w:bCs/>
          <w:color w:val="000000" w:themeColor="text1"/>
        </w:rPr>
        <w:t>n 2</w:t>
      </w:r>
      <w:r w:rsidRPr="00F704B6">
        <w:rPr>
          <w:bCs/>
          <w:color w:val="000000" w:themeColor="text1"/>
        </w:rPr>
        <w:t>012/13</w:t>
      </w:r>
      <w:r w:rsidR="000B58F9" w:rsidRPr="00F704B6">
        <w:rPr>
          <w:bCs/>
          <w:color w:val="000000" w:themeColor="text1"/>
        </w:rPr>
        <w:t>,</w:t>
      </w:r>
      <w:r w:rsidRPr="00F704B6">
        <w:rPr>
          <w:bCs/>
          <w:color w:val="000000" w:themeColor="text1"/>
        </w:rPr>
        <w:t xml:space="preserve"> </w:t>
      </w:r>
      <w:r w:rsidR="00F945A5">
        <w:rPr>
          <w:bCs/>
          <w:color w:val="000000" w:themeColor="text1"/>
        </w:rPr>
        <w:t xml:space="preserve">que se han consolidado </w:t>
      </w:r>
      <w:r w:rsidRPr="00F704B6">
        <w:rPr>
          <w:bCs/>
          <w:color w:val="000000" w:themeColor="text1"/>
        </w:rPr>
        <w:t xml:space="preserve">en </w:t>
      </w:r>
      <w:r w:rsidR="00F945A5">
        <w:rPr>
          <w:bCs/>
          <w:color w:val="000000" w:themeColor="text1"/>
        </w:rPr>
        <w:t xml:space="preserve">el </w:t>
      </w:r>
      <w:r w:rsidRPr="00F704B6">
        <w:rPr>
          <w:bCs/>
          <w:color w:val="000000" w:themeColor="text1"/>
        </w:rPr>
        <w:t>resultado previsto</w:t>
      </w:r>
      <w:r w:rsidR="00F945A5">
        <w:rPr>
          <w:bCs/>
          <w:color w:val="000000" w:themeColor="text1"/>
        </w:rPr>
        <w:t> </w:t>
      </w:r>
      <w:r w:rsidRPr="00F704B6">
        <w:rPr>
          <w:bCs/>
          <w:color w:val="000000" w:themeColor="text1"/>
        </w:rPr>
        <w:t>III.3</w:t>
      </w:r>
      <w:r w:rsidR="000B58F9" w:rsidRPr="00F704B6">
        <w:rPr>
          <w:bCs/>
          <w:color w:val="000000" w:themeColor="text1"/>
        </w:rPr>
        <w:t>,</w:t>
      </w:r>
      <w:r w:rsidRPr="00F704B6">
        <w:rPr>
          <w:bCs/>
          <w:color w:val="000000" w:themeColor="text1"/>
        </w:rPr>
        <w:t xml:space="preserve"> sobre la incorporación de las recomendaciones de la </w:t>
      </w:r>
      <w:r w:rsidRPr="00F704B6">
        <w:rPr>
          <w:bCs/>
          <w:color w:val="000000" w:themeColor="text1"/>
          <w:szCs w:val="24"/>
        </w:rPr>
        <w:t>Agenda para el Desarrollo</w:t>
      </w:r>
      <w:r w:rsidRPr="00F704B6">
        <w:rPr>
          <w:bCs/>
          <w:color w:val="000000" w:themeColor="text1"/>
        </w:rPr>
        <w:t xml:space="preserve"> en la labor de la OMPI.</w:t>
      </w:r>
    </w:p>
    <w:p w:rsidR="006C25B8" w:rsidRPr="003E79DB" w:rsidRDefault="006C25B8" w:rsidP="0006587D">
      <w:pPr>
        <w:widowControl w:val="0"/>
        <w:rPr>
          <w:bCs/>
          <w:color w:val="000000" w:themeColor="text1"/>
        </w:rPr>
      </w:pPr>
    </w:p>
    <w:p w:rsidR="006C25B8" w:rsidRPr="00F704B6" w:rsidRDefault="006C25B8" w:rsidP="0006587D">
      <w:pPr>
        <w:widowControl w:val="0"/>
        <w:rPr>
          <w:b/>
          <w:bCs/>
          <w:color w:val="000000" w:themeColor="text1"/>
        </w:rPr>
      </w:pPr>
      <w:r w:rsidRPr="00F704B6">
        <w:rPr>
          <w:b/>
          <w:bCs/>
          <w:color w:val="000000" w:themeColor="text1"/>
        </w:rPr>
        <w:t>P2:  ¿Cuáles son los recursos disponibles para cubrir las necesidades de las distintas regiones en el próximo bienio?</w:t>
      </w:r>
    </w:p>
    <w:p w:rsidR="006C25B8" w:rsidRPr="00F704B6" w:rsidRDefault="006C25B8" w:rsidP="0006587D">
      <w:pPr>
        <w:widowControl w:val="0"/>
        <w:rPr>
          <w:b/>
          <w:bCs/>
          <w:color w:val="000000" w:themeColor="text1"/>
        </w:rPr>
      </w:pPr>
    </w:p>
    <w:p w:rsidR="006C25B8" w:rsidRPr="003E79DB" w:rsidRDefault="006C25B8" w:rsidP="0006587D">
      <w:pPr>
        <w:widowControl w:val="0"/>
        <w:rPr>
          <w:bCs/>
          <w:color w:val="000000" w:themeColor="text1"/>
        </w:rPr>
      </w:pPr>
      <w:r w:rsidRPr="00F704B6">
        <w:rPr>
          <w:b/>
          <w:bCs/>
          <w:color w:val="000000" w:themeColor="text1"/>
        </w:rPr>
        <w:t>R2:</w:t>
      </w:r>
      <w:r w:rsidRPr="00F704B6">
        <w:rPr>
          <w:bCs/>
          <w:color w:val="000000" w:themeColor="text1"/>
        </w:rPr>
        <w:t xml:space="preserve">  El total de recursos destinados a lograr los resultados en las regiones está compuesto por:  a) los recursos disponibles para las oficinas regionales;  b) los recursos de los programas especializados destinados a actividades orientadas al desarrollo;  y c) los recursos del </w:t>
      </w:r>
      <w:r w:rsidR="00F562B5">
        <w:rPr>
          <w:bCs/>
          <w:color w:val="000000" w:themeColor="text1"/>
        </w:rPr>
        <w:t>programa</w:t>
      </w:r>
      <w:r w:rsidRPr="00F704B6">
        <w:rPr>
          <w:bCs/>
          <w:color w:val="000000" w:themeColor="text1"/>
        </w:rPr>
        <w:t> 11 (El Centro de formación de la OMPI).  El desarrollo se incorpora e</w:t>
      </w:r>
      <w:r w:rsidR="00F704B6" w:rsidRPr="00F704B6">
        <w:rPr>
          <w:bCs/>
          <w:color w:val="000000" w:themeColor="text1"/>
        </w:rPr>
        <w:t>n 2</w:t>
      </w:r>
      <w:r w:rsidRPr="00F704B6">
        <w:rPr>
          <w:bCs/>
          <w:color w:val="000000" w:themeColor="text1"/>
        </w:rPr>
        <w:t>6 del total d</w:t>
      </w:r>
      <w:r w:rsidR="00F704B6" w:rsidRPr="00F704B6">
        <w:rPr>
          <w:bCs/>
          <w:color w:val="000000" w:themeColor="text1"/>
        </w:rPr>
        <w:t>e 3</w:t>
      </w:r>
      <w:r w:rsidRPr="00F704B6">
        <w:rPr>
          <w:bCs/>
          <w:color w:val="000000" w:themeColor="text1"/>
        </w:rPr>
        <w:t>6 resultados previstos (página 16 de la propuesta de presupuesto por programas par</w:t>
      </w:r>
      <w:r w:rsidR="00F704B6" w:rsidRPr="00F704B6">
        <w:rPr>
          <w:bCs/>
          <w:color w:val="000000" w:themeColor="text1"/>
        </w:rPr>
        <w:t>a 2</w:t>
      </w:r>
      <w:r w:rsidRPr="00F704B6">
        <w:rPr>
          <w:bCs/>
          <w:color w:val="000000" w:themeColor="text1"/>
        </w:rPr>
        <w:t>014/15) y e</w:t>
      </w:r>
      <w:r w:rsidR="00F704B6" w:rsidRPr="00F704B6">
        <w:rPr>
          <w:bCs/>
          <w:color w:val="000000" w:themeColor="text1"/>
        </w:rPr>
        <w:t>n 2</w:t>
      </w:r>
      <w:r w:rsidRPr="00F704B6">
        <w:rPr>
          <w:bCs/>
          <w:color w:val="000000" w:themeColor="text1"/>
        </w:rPr>
        <w:t>3 programas (Cuadro 6, página 28 de la propuesta de presupuesto por programas par</w:t>
      </w:r>
      <w:r w:rsidR="00F704B6" w:rsidRPr="00F704B6">
        <w:rPr>
          <w:bCs/>
          <w:color w:val="000000" w:themeColor="text1"/>
        </w:rPr>
        <w:t>a 2</w:t>
      </w:r>
      <w:r w:rsidRPr="00F704B6">
        <w:rPr>
          <w:bCs/>
          <w:color w:val="000000" w:themeColor="text1"/>
        </w:rPr>
        <w:t>014/15).</w:t>
      </w:r>
    </w:p>
    <w:p w:rsidR="006C25B8" w:rsidRPr="003E79DB" w:rsidRDefault="006C25B8" w:rsidP="0006587D">
      <w:pPr>
        <w:widowControl w:val="0"/>
        <w:rPr>
          <w:bCs/>
          <w:color w:val="000000" w:themeColor="text1"/>
        </w:rPr>
      </w:pPr>
    </w:p>
    <w:p w:rsidR="006C25B8" w:rsidRPr="00F704B6" w:rsidRDefault="006C25B8" w:rsidP="0006587D">
      <w:pPr>
        <w:widowControl w:val="0"/>
        <w:rPr>
          <w:b/>
          <w:bCs/>
          <w:color w:val="000000" w:themeColor="text1"/>
        </w:rPr>
      </w:pPr>
      <w:r w:rsidRPr="00F704B6">
        <w:rPr>
          <w:b/>
          <w:bCs/>
          <w:color w:val="000000" w:themeColor="text1"/>
        </w:rPr>
        <w:t>P·</w:t>
      </w:r>
      <w:r w:rsidR="0006587D">
        <w:rPr>
          <w:b/>
          <w:bCs/>
          <w:color w:val="000000" w:themeColor="text1"/>
        </w:rPr>
        <w:t>3</w:t>
      </w:r>
      <w:r w:rsidRPr="00F704B6">
        <w:rPr>
          <w:b/>
          <w:bCs/>
          <w:color w:val="000000" w:themeColor="text1"/>
        </w:rPr>
        <w:t>:  ¿Cuál es la justificación de fondo en la que se basan las propuestas de integrar la labor destinada a las pymes en las oficinas regionales?  ¿Por qué no se consideran las pymes como los programas especializados que no forman parte de los programas 9 y 10?  ¿Supone ello una transferencia de recursos a las oficinas?</w:t>
      </w:r>
    </w:p>
    <w:p w:rsidR="006C25B8" w:rsidRPr="00F704B6" w:rsidRDefault="006C25B8" w:rsidP="0006587D">
      <w:pPr>
        <w:widowControl w:val="0"/>
        <w:rPr>
          <w:b/>
          <w:bCs/>
          <w:color w:val="000000" w:themeColor="text1"/>
        </w:rPr>
      </w:pPr>
    </w:p>
    <w:p w:rsidR="0008518D" w:rsidRDefault="006C25B8" w:rsidP="0006587D">
      <w:pPr>
        <w:widowControl w:val="0"/>
        <w:rPr>
          <w:bCs/>
          <w:snapToGrid w:val="0"/>
          <w:color w:val="000000" w:themeColor="text1"/>
        </w:rPr>
      </w:pPr>
      <w:r w:rsidRPr="00F704B6">
        <w:rPr>
          <w:b/>
          <w:bCs/>
          <w:color w:val="000000" w:themeColor="text1"/>
        </w:rPr>
        <w:t>R3:</w:t>
      </w:r>
      <w:r w:rsidRPr="00F704B6">
        <w:rPr>
          <w:bCs/>
          <w:color w:val="000000" w:themeColor="text1"/>
        </w:rPr>
        <w:t xml:space="preserve">  Las pymes constituyen </w:t>
      </w:r>
      <w:r w:rsidR="00D87550" w:rsidRPr="00F704B6">
        <w:rPr>
          <w:bCs/>
          <w:color w:val="000000" w:themeColor="text1"/>
        </w:rPr>
        <w:t>un grupo de sectores interesados muy importante y no una esfera especializada, como el PCT (</w:t>
      </w:r>
      <w:r w:rsidR="00F562B5">
        <w:rPr>
          <w:bCs/>
          <w:color w:val="000000" w:themeColor="text1"/>
        </w:rPr>
        <w:t>programa</w:t>
      </w:r>
      <w:r w:rsidR="00D87550" w:rsidRPr="00F704B6">
        <w:rPr>
          <w:bCs/>
          <w:color w:val="000000" w:themeColor="text1"/>
        </w:rPr>
        <w:t> 5), el sistema de Madrid (</w:t>
      </w:r>
      <w:r w:rsidR="00F562B5">
        <w:rPr>
          <w:bCs/>
          <w:color w:val="000000" w:themeColor="text1"/>
        </w:rPr>
        <w:t>programa</w:t>
      </w:r>
      <w:r w:rsidR="00D87550" w:rsidRPr="00F704B6">
        <w:rPr>
          <w:bCs/>
          <w:color w:val="000000" w:themeColor="text1"/>
        </w:rPr>
        <w:t> 6), el derecho de P.I</w:t>
      </w:r>
      <w:r w:rsidR="00F704B6" w:rsidRPr="00F704B6">
        <w:rPr>
          <w:bCs/>
          <w:color w:val="000000" w:themeColor="text1"/>
        </w:rPr>
        <w:t>. (</w:t>
      </w:r>
      <w:r w:rsidR="00F562B5">
        <w:rPr>
          <w:bCs/>
          <w:color w:val="000000" w:themeColor="text1"/>
        </w:rPr>
        <w:t>programa</w:t>
      </w:r>
      <w:r w:rsidR="00D87550" w:rsidRPr="00F704B6">
        <w:rPr>
          <w:bCs/>
          <w:color w:val="000000" w:themeColor="text1"/>
        </w:rPr>
        <w:t xml:space="preserve">s 1, 2, 3 </w:t>
      </w:r>
      <w:r w:rsidR="00F704B6" w:rsidRPr="00F704B6">
        <w:rPr>
          <w:bCs/>
          <w:color w:val="000000" w:themeColor="text1"/>
        </w:rPr>
        <w:t>y 4</w:t>
      </w:r>
      <w:r w:rsidR="00D87550" w:rsidRPr="00F704B6">
        <w:rPr>
          <w:bCs/>
          <w:color w:val="000000" w:themeColor="text1"/>
        </w:rPr>
        <w:t>) y las soluciones operativas para las oficinas de P.I</w:t>
      </w:r>
      <w:r w:rsidR="00F704B6" w:rsidRPr="00F704B6">
        <w:rPr>
          <w:bCs/>
          <w:color w:val="000000" w:themeColor="text1"/>
        </w:rPr>
        <w:t>. (</w:t>
      </w:r>
      <w:r w:rsidR="00F562B5">
        <w:rPr>
          <w:bCs/>
          <w:color w:val="000000" w:themeColor="text1"/>
        </w:rPr>
        <w:t>programa</w:t>
      </w:r>
      <w:r w:rsidR="00D87550" w:rsidRPr="00F704B6">
        <w:rPr>
          <w:bCs/>
          <w:color w:val="000000" w:themeColor="text1"/>
        </w:rPr>
        <w:t xml:space="preserve"> 15).  La labor relacionada con las pymes consiste en fomentar </w:t>
      </w:r>
      <w:r w:rsidR="000B58F9" w:rsidRPr="00F704B6">
        <w:rPr>
          <w:bCs/>
          <w:color w:val="000000" w:themeColor="text1"/>
        </w:rPr>
        <w:t>sus</w:t>
      </w:r>
      <w:r w:rsidR="00D87550" w:rsidRPr="00F704B6">
        <w:rPr>
          <w:bCs/>
          <w:color w:val="000000" w:themeColor="text1"/>
        </w:rPr>
        <w:t xml:space="preserve"> capacidades innovadoras y el uso </w:t>
      </w:r>
      <w:r w:rsidR="000B58F9" w:rsidRPr="00F704B6">
        <w:rPr>
          <w:bCs/>
          <w:color w:val="000000" w:themeColor="text1"/>
        </w:rPr>
        <w:t xml:space="preserve">que hacen </w:t>
      </w:r>
      <w:r w:rsidR="00D87550" w:rsidRPr="00F704B6">
        <w:rPr>
          <w:bCs/>
          <w:color w:val="000000" w:themeColor="text1"/>
        </w:rPr>
        <w:t xml:space="preserve">del </w:t>
      </w:r>
      <w:r w:rsidR="00D87550" w:rsidRPr="00F704B6">
        <w:rPr>
          <w:bCs/>
          <w:snapToGrid w:val="0"/>
          <w:color w:val="000000" w:themeColor="text1"/>
        </w:rPr>
        <w:t xml:space="preserve">sistema de P.I. para proteger sus activos de P.I.  La estrategia amplia que lleva a ese fin es el fortalecimiento de las capacidades </w:t>
      </w:r>
      <w:r w:rsidR="00D87550" w:rsidRPr="00F704B6">
        <w:rPr>
          <w:bCs/>
          <w:snapToGrid w:val="0"/>
          <w:color w:val="000000" w:themeColor="text1"/>
        </w:rPr>
        <w:noBreakHyphen/>
        <w:t>de lo cual la principal responsabilidad sigue recayendo en las oficinas regionales (</w:t>
      </w:r>
      <w:r w:rsidR="00F562B5">
        <w:rPr>
          <w:bCs/>
          <w:snapToGrid w:val="0"/>
          <w:color w:val="000000" w:themeColor="text1"/>
        </w:rPr>
        <w:t>programa</w:t>
      </w:r>
      <w:r w:rsidR="00D87550" w:rsidRPr="00F704B6">
        <w:rPr>
          <w:bCs/>
          <w:snapToGrid w:val="0"/>
          <w:color w:val="000000" w:themeColor="text1"/>
        </w:rPr>
        <w:t xml:space="preserve"> 9) y </w:t>
      </w:r>
      <w:r w:rsidR="000B58F9" w:rsidRPr="00F704B6">
        <w:rPr>
          <w:bCs/>
          <w:snapToGrid w:val="0"/>
          <w:color w:val="000000" w:themeColor="text1"/>
        </w:rPr>
        <w:t xml:space="preserve">en </w:t>
      </w:r>
      <w:r w:rsidR="00D87550" w:rsidRPr="00F704B6">
        <w:rPr>
          <w:bCs/>
          <w:snapToGrid w:val="0"/>
          <w:color w:val="000000" w:themeColor="text1"/>
        </w:rPr>
        <w:t xml:space="preserve">el </w:t>
      </w:r>
      <w:r w:rsidR="00F562B5">
        <w:rPr>
          <w:bCs/>
          <w:snapToGrid w:val="0"/>
          <w:color w:val="000000" w:themeColor="text1"/>
        </w:rPr>
        <w:t>programa</w:t>
      </w:r>
      <w:r w:rsidR="00D87550" w:rsidRPr="00F704B6">
        <w:rPr>
          <w:bCs/>
          <w:snapToGrid w:val="0"/>
          <w:color w:val="000000" w:themeColor="text1"/>
        </w:rPr>
        <w:t xml:space="preserve"> 10.  A la luz del profundo conocimiento que las oficinas regionales tienen de sus respectivas regiones, la incorporación de las actividades de fortalecimiento de las capacidades dirigidas a las pymes garantizará que las peculiaridades regionales de las pymes se atiendan con mayor eficacia y eficiencia y que se eliminen las superposiciones que se producen actualmente.  </w:t>
      </w:r>
    </w:p>
    <w:p w:rsidR="0008518D" w:rsidRPr="006863CC" w:rsidRDefault="0008518D" w:rsidP="00E2772D">
      <w:r w:rsidRPr="006863CC">
        <w:t xml:space="preserve">La Oficina del Director General Adjunto encargado del Sector de Desarrollo, en estrecha cooperación con la Sección de Coordinación para Países Desarrollados velará por la coherencia entre las Oficinas Regionales y el programa 10 y la elaboración continua de material </w:t>
      </w:r>
      <w:r>
        <w:t xml:space="preserve">y contenidos </w:t>
      </w:r>
      <w:r w:rsidR="00E2772D">
        <w:t>modernos.</w:t>
      </w:r>
    </w:p>
    <w:p w:rsidR="006C25B8" w:rsidRPr="003E79DB" w:rsidRDefault="00D87550" w:rsidP="0006587D">
      <w:pPr>
        <w:widowControl w:val="0"/>
        <w:rPr>
          <w:bCs/>
          <w:color w:val="000000" w:themeColor="text1"/>
        </w:rPr>
      </w:pPr>
      <w:r w:rsidRPr="00F704B6">
        <w:rPr>
          <w:bCs/>
          <w:snapToGrid w:val="0"/>
          <w:color w:val="000000" w:themeColor="text1"/>
        </w:rPr>
        <w:t xml:space="preserve">El nombramiento de coordinadores para las pymes en las oficinas regionales y el </w:t>
      </w:r>
      <w:r w:rsidR="00F562B5">
        <w:rPr>
          <w:bCs/>
          <w:snapToGrid w:val="0"/>
          <w:color w:val="000000" w:themeColor="text1"/>
        </w:rPr>
        <w:t>programa</w:t>
      </w:r>
      <w:r w:rsidRPr="003E79DB">
        <w:rPr>
          <w:bCs/>
          <w:snapToGrid w:val="0"/>
          <w:color w:val="000000" w:themeColor="text1"/>
        </w:rPr>
        <w:t xml:space="preserve"> 10 supone, de hecho, un aumento en </w:t>
      </w:r>
      <w:r w:rsidR="000B58F9" w:rsidRPr="003E79DB">
        <w:rPr>
          <w:bCs/>
          <w:snapToGrid w:val="0"/>
          <w:color w:val="000000" w:themeColor="text1"/>
        </w:rPr>
        <w:t xml:space="preserve">los </w:t>
      </w:r>
      <w:r w:rsidRPr="003E79DB">
        <w:rPr>
          <w:bCs/>
          <w:snapToGrid w:val="0"/>
          <w:color w:val="000000" w:themeColor="text1"/>
        </w:rPr>
        <w:t xml:space="preserve">recursos de personal en los programas conexos que cuenten con los conocimientos especializados necesarios para velar por que las características específicas regionales de las pymes </w:t>
      </w:r>
      <w:r w:rsidR="00F945A5">
        <w:rPr>
          <w:bCs/>
          <w:snapToGrid w:val="0"/>
          <w:color w:val="000000" w:themeColor="text1"/>
        </w:rPr>
        <w:t>estén</w:t>
      </w:r>
      <w:r w:rsidRPr="003E79DB">
        <w:rPr>
          <w:bCs/>
          <w:snapToGrid w:val="0"/>
          <w:color w:val="000000" w:themeColor="text1"/>
        </w:rPr>
        <w:t xml:space="preserve"> mejor</w:t>
      </w:r>
      <w:r w:rsidR="00F945A5">
        <w:rPr>
          <w:bCs/>
          <w:snapToGrid w:val="0"/>
          <w:color w:val="000000" w:themeColor="text1"/>
        </w:rPr>
        <w:t xml:space="preserve"> atendidas</w:t>
      </w:r>
      <w:r w:rsidRPr="003E79DB">
        <w:rPr>
          <w:bCs/>
          <w:snapToGrid w:val="0"/>
          <w:color w:val="000000" w:themeColor="text1"/>
        </w:rPr>
        <w:t>.</w:t>
      </w:r>
    </w:p>
    <w:p w:rsidR="00A05BE1" w:rsidRPr="003E79DB" w:rsidRDefault="00A05BE1" w:rsidP="0006587D">
      <w:pPr>
        <w:widowControl w:val="0"/>
        <w:rPr>
          <w:bCs/>
          <w:color w:val="000000" w:themeColor="text1"/>
        </w:rPr>
      </w:pPr>
    </w:p>
    <w:p w:rsidR="00A512C0" w:rsidRPr="003E79DB" w:rsidRDefault="00A512C0" w:rsidP="0006587D">
      <w:pPr>
        <w:widowControl w:val="0"/>
        <w:rPr>
          <w:b/>
          <w:bCs/>
          <w:color w:val="000000" w:themeColor="text1"/>
        </w:rPr>
      </w:pPr>
      <w:r w:rsidRPr="003E79DB">
        <w:rPr>
          <w:b/>
          <w:bCs/>
          <w:color w:val="000000" w:themeColor="text1"/>
        </w:rPr>
        <w:t xml:space="preserve">P4:  Los recursos propuestos para el Resultado Previsto III.1, “Estrategias y planes nacionales de innovación y de P.I. que estén en sintonía con los objetivos nacionales de desarrollo”, ¿incluyen recursos para </w:t>
      </w:r>
      <w:r w:rsidR="000B58F9" w:rsidRPr="003E79DB">
        <w:rPr>
          <w:b/>
          <w:bCs/>
          <w:color w:val="000000" w:themeColor="text1"/>
        </w:rPr>
        <w:t>aplicar las</w:t>
      </w:r>
      <w:r w:rsidRPr="003E79DB">
        <w:rPr>
          <w:b/>
          <w:bCs/>
          <w:color w:val="000000" w:themeColor="text1"/>
        </w:rPr>
        <w:t xml:space="preserve"> estrategias nacionales de P.I.</w:t>
      </w:r>
      <w:r w:rsidR="000B58F9" w:rsidRPr="003E79DB">
        <w:rPr>
          <w:b/>
          <w:bCs/>
          <w:color w:val="000000" w:themeColor="text1"/>
        </w:rPr>
        <w:t>,</w:t>
      </w:r>
      <w:r w:rsidRPr="003E79DB">
        <w:rPr>
          <w:b/>
          <w:bCs/>
          <w:color w:val="000000" w:themeColor="text1"/>
        </w:rPr>
        <w:t xml:space="preserve"> además de establecerla</w:t>
      </w:r>
      <w:r w:rsidR="000B58F9" w:rsidRPr="003E79DB">
        <w:rPr>
          <w:b/>
          <w:bCs/>
          <w:color w:val="000000" w:themeColor="text1"/>
        </w:rPr>
        <w:t>s</w:t>
      </w:r>
      <w:r w:rsidRPr="003E79DB">
        <w:rPr>
          <w:b/>
          <w:bCs/>
          <w:color w:val="000000" w:themeColor="text1"/>
        </w:rPr>
        <w:t>?</w:t>
      </w:r>
    </w:p>
    <w:p w:rsidR="00A512C0" w:rsidRPr="003E79DB" w:rsidRDefault="00A512C0" w:rsidP="0006587D">
      <w:pPr>
        <w:widowControl w:val="0"/>
        <w:rPr>
          <w:b/>
          <w:bCs/>
          <w:color w:val="000000" w:themeColor="text1"/>
        </w:rPr>
      </w:pPr>
    </w:p>
    <w:p w:rsidR="00A512C0" w:rsidRPr="003E79DB" w:rsidRDefault="00A512C0" w:rsidP="0006587D">
      <w:pPr>
        <w:widowControl w:val="0"/>
        <w:rPr>
          <w:bCs/>
          <w:color w:val="000000" w:themeColor="text1"/>
        </w:rPr>
      </w:pPr>
      <w:r w:rsidRPr="003E79DB">
        <w:rPr>
          <w:b/>
          <w:bCs/>
          <w:color w:val="000000" w:themeColor="text1"/>
        </w:rPr>
        <w:t>R4:</w:t>
      </w:r>
      <w:r w:rsidRPr="003E79DB">
        <w:rPr>
          <w:bCs/>
          <w:color w:val="000000" w:themeColor="text1"/>
        </w:rPr>
        <w:t xml:space="preserve">  Los recursos propuestos para el Resultado Previsto III.1 consisten en una estimación de recursos necesaria para lograr los indicadores siguientes en todas las regiones, en el bienio 2014/15:</w:t>
      </w:r>
    </w:p>
    <w:p w:rsidR="00A512C0" w:rsidRPr="003E79DB" w:rsidRDefault="00A512C0" w:rsidP="0006587D">
      <w:pPr>
        <w:widowControl w:val="0"/>
        <w:rPr>
          <w:bCs/>
          <w:color w:val="000000" w:themeColor="text1"/>
        </w:rPr>
      </w:pPr>
    </w:p>
    <w:p w:rsidR="0006587D" w:rsidRPr="0006587D" w:rsidRDefault="0006587D">
      <w:pPr>
        <w:rPr>
          <w:bCs/>
          <w:color w:val="000000" w:themeColor="text1"/>
          <w:szCs w:val="22"/>
        </w:rPr>
      </w:pPr>
      <w:r w:rsidRPr="0006587D">
        <w:rPr>
          <w:bCs/>
          <w:color w:val="000000" w:themeColor="text1"/>
          <w:szCs w:val="22"/>
        </w:rPr>
        <w:br w:type="page"/>
      </w:r>
    </w:p>
    <w:p w:rsidR="00A512C0" w:rsidRPr="0006587D" w:rsidRDefault="00A512C0" w:rsidP="0006587D">
      <w:pPr>
        <w:rPr>
          <w:i/>
          <w:color w:val="000000" w:themeColor="text1"/>
          <w:szCs w:val="22"/>
        </w:rPr>
      </w:pPr>
      <w:r w:rsidRPr="0006587D">
        <w:rPr>
          <w:bCs/>
          <w:i/>
          <w:color w:val="000000" w:themeColor="text1"/>
          <w:szCs w:val="22"/>
        </w:rPr>
        <w:lastRenderedPageBreak/>
        <w:t>Program</w:t>
      </w:r>
      <w:r w:rsidR="00F704B6" w:rsidRPr="0006587D">
        <w:rPr>
          <w:bCs/>
          <w:i/>
          <w:color w:val="000000" w:themeColor="text1"/>
          <w:szCs w:val="22"/>
        </w:rPr>
        <w:t>a 9</w:t>
      </w:r>
      <w:r w:rsidRPr="0006587D">
        <w:rPr>
          <w:bCs/>
          <w:i/>
          <w:color w:val="000000" w:themeColor="text1"/>
          <w:szCs w:val="22"/>
        </w:rPr>
        <w:t xml:space="preserve"> - Indicadores de rendimiento, referencia y objetivos para el resultado previsto III.1</w:t>
      </w:r>
    </w:p>
    <w:p w:rsidR="00A512C0" w:rsidRPr="003E79DB" w:rsidRDefault="00A512C0" w:rsidP="0006587D">
      <w:pPr>
        <w:rPr>
          <w:color w:val="000000" w:themeColor="text1"/>
        </w:rPr>
      </w:pPr>
    </w:p>
    <w:tbl>
      <w:tblPr>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0"/>
        <w:gridCol w:w="499"/>
        <w:gridCol w:w="2349"/>
        <w:gridCol w:w="752"/>
        <w:gridCol w:w="1424"/>
        <w:gridCol w:w="2119"/>
      </w:tblGrid>
      <w:tr w:rsidR="00A512C0" w:rsidRPr="003E79DB">
        <w:trPr>
          <w:cantSplit/>
          <w:trHeight w:val="425"/>
          <w:tblHeader/>
        </w:trPr>
        <w:tc>
          <w:tcPr>
            <w:tcW w:w="1237" w:type="pct"/>
            <w:tcBorders>
              <w:top w:val="single" w:sz="4" w:space="0" w:color="auto"/>
              <w:bottom w:val="single" w:sz="4" w:space="0" w:color="auto"/>
            </w:tcBorders>
            <w:shd w:val="clear" w:color="auto" w:fill="CCFFFF"/>
            <w:vAlign w:val="center"/>
          </w:tcPr>
          <w:p w:rsidR="00A512C0" w:rsidRPr="003E79DB" w:rsidRDefault="00A512C0" w:rsidP="0006587D">
            <w:pPr>
              <w:keepNext/>
              <w:keepLines/>
              <w:spacing w:after="120"/>
              <w:rPr>
                <w:b/>
                <w:bCs/>
                <w:sz w:val="18"/>
                <w:szCs w:val="18"/>
              </w:rPr>
            </w:pPr>
            <w:r w:rsidRPr="003E79DB">
              <w:rPr>
                <w:b/>
                <w:bCs/>
                <w:sz w:val="18"/>
                <w:szCs w:val="18"/>
              </w:rPr>
              <w:t>Indicadores de rendimiento</w:t>
            </w:r>
          </w:p>
        </w:tc>
        <w:tc>
          <w:tcPr>
            <w:tcW w:w="1500" w:type="pct"/>
            <w:gridSpan w:val="2"/>
            <w:tcBorders>
              <w:top w:val="single" w:sz="4" w:space="0" w:color="auto"/>
              <w:bottom w:val="single" w:sz="4" w:space="0" w:color="auto"/>
            </w:tcBorders>
            <w:shd w:val="clear" w:color="auto" w:fill="CCFFFF"/>
            <w:tcMar>
              <w:top w:w="110" w:type="dxa"/>
            </w:tcMar>
            <w:vAlign w:val="center"/>
          </w:tcPr>
          <w:p w:rsidR="00A512C0" w:rsidRPr="003E79DB" w:rsidRDefault="00A512C0" w:rsidP="0006587D">
            <w:pPr>
              <w:keepNext/>
              <w:keepLines/>
              <w:spacing w:after="120"/>
              <w:ind w:left="519"/>
              <w:rPr>
                <w:b/>
                <w:bCs/>
                <w:sz w:val="18"/>
                <w:szCs w:val="18"/>
              </w:rPr>
            </w:pPr>
            <w:r w:rsidRPr="003E79DB">
              <w:rPr>
                <w:b/>
                <w:bCs/>
                <w:sz w:val="18"/>
                <w:szCs w:val="18"/>
              </w:rPr>
              <w:t>Referencia</w:t>
            </w:r>
          </w:p>
        </w:tc>
        <w:tc>
          <w:tcPr>
            <w:tcW w:w="1146" w:type="pct"/>
            <w:gridSpan w:val="2"/>
            <w:tcBorders>
              <w:top w:val="single" w:sz="4" w:space="0" w:color="auto"/>
              <w:bottom w:val="single" w:sz="4" w:space="0" w:color="auto"/>
            </w:tcBorders>
            <w:shd w:val="clear" w:color="auto" w:fill="CCFFFF"/>
            <w:tcMar>
              <w:top w:w="110" w:type="dxa"/>
            </w:tcMar>
            <w:vAlign w:val="center"/>
          </w:tcPr>
          <w:p w:rsidR="00A512C0" w:rsidRPr="003E79DB" w:rsidRDefault="00A512C0" w:rsidP="0006587D">
            <w:pPr>
              <w:keepNext/>
              <w:keepLines/>
              <w:spacing w:after="120"/>
              <w:ind w:left="788" w:right="51"/>
              <w:rPr>
                <w:b/>
                <w:bCs/>
                <w:sz w:val="18"/>
                <w:szCs w:val="18"/>
              </w:rPr>
            </w:pPr>
            <w:r w:rsidRPr="003E79DB">
              <w:rPr>
                <w:b/>
                <w:bCs/>
                <w:sz w:val="18"/>
                <w:szCs w:val="18"/>
              </w:rPr>
              <w:t>Objetivos</w:t>
            </w:r>
          </w:p>
        </w:tc>
        <w:tc>
          <w:tcPr>
            <w:tcW w:w="1116" w:type="pct"/>
            <w:tcBorders>
              <w:top w:val="single" w:sz="4" w:space="0" w:color="auto"/>
              <w:bottom w:val="single" w:sz="4" w:space="0" w:color="auto"/>
            </w:tcBorders>
            <w:shd w:val="clear" w:color="auto" w:fill="CCFFFF"/>
            <w:tcMar>
              <w:top w:w="110" w:type="dxa"/>
            </w:tcMar>
            <w:vAlign w:val="center"/>
          </w:tcPr>
          <w:p w:rsidR="00A512C0" w:rsidRPr="003E79DB" w:rsidRDefault="00A512C0" w:rsidP="0006587D">
            <w:pPr>
              <w:keepNext/>
              <w:keepLines/>
              <w:spacing w:after="120"/>
              <w:ind w:right="51"/>
              <w:rPr>
                <w:b/>
                <w:bCs/>
                <w:sz w:val="18"/>
                <w:szCs w:val="18"/>
              </w:rPr>
            </w:pPr>
          </w:p>
        </w:tc>
      </w:tr>
      <w:tr w:rsidR="00A512C0" w:rsidRPr="003E79DB">
        <w:trPr>
          <w:cantSplit/>
          <w:trHeight w:val="2418"/>
        </w:trPr>
        <w:tc>
          <w:tcPr>
            <w:tcW w:w="1500" w:type="pct"/>
            <w:gridSpan w:val="2"/>
            <w:tcMar>
              <w:top w:w="113" w:type="dxa"/>
            </w:tcMar>
          </w:tcPr>
          <w:p w:rsidR="00A512C0" w:rsidRPr="003E79DB" w:rsidRDefault="00A512C0" w:rsidP="0006587D">
            <w:pPr>
              <w:keepNext/>
              <w:keepLines/>
              <w:rPr>
                <w:sz w:val="16"/>
                <w:szCs w:val="16"/>
              </w:rPr>
            </w:pPr>
            <w:r w:rsidRPr="003E79DB">
              <w:rPr>
                <w:sz w:val="16"/>
                <w:szCs w:val="16"/>
              </w:rPr>
              <w:t>Número de países que están en proceso de formular/adoptar estrategias o planes de desarrollo nacionales de P.I.</w:t>
            </w:r>
          </w:p>
        </w:tc>
        <w:tc>
          <w:tcPr>
            <w:tcW w:w="1633" w:type="pct"/>
            <w:gridSpan w:val="2"/>
            <w:shd w:val="clear" w:color="auto" w:fill="FFFFFF"/>
            <w:tcMar>
              <w:top w:w="113" w:type="dxa"/>
            </w:tcMar>
          </w:tcPr>
          <w:p w:rsidR="00A512C0" w:rsidRPr="003E79DB" w:rsidRDefault="000B58F9" w:rsidP="0006587D">
            <w:pPr>
              <w:keepNext/>
              <w:keepLines/>
              <w:rPr>
                <w:sz w:val="16"/>
                <w:szCs w:val="16"/>
                <w:lang w:bidi="th-TH"/>
              </w:rPr>
            </w:pPr>
            <w:r w:rsidRPr="003E79DB">
              <w:rPr>
                <w:sz w:val="16"/>
                <w:szCs w:val="16"/>
                <w:lang w:bidi="th-TH"/>
              </w:rPr>
              <w:t>África (12 en total)</w:t>
            </w:r>
          </w:p>
          <w:p w:rsidR="00A512C0" w:rsidRPr="003E79DB" w:rsidRDefault="000B58F9" w:rsidP="0006587D">
            <w:pPr>
              <w:keepNext/>
              <w:keepLines/>
              <w:rPr>
                <w:sz w:val="16"/>
                <w:szCs w:val="16"/>
                <w:lang w:bidi="th-TH"/>
              </w:rPr>
            </w:pPr>
            <w:r w:rsidRPr="003E79DB">
              <w:rPr>
                <w:sz w:val="16"/>
                <w:szCs w:val="16"/>
                <w:lang w:bidi="th-TH"/>
              </w:rPr>
              <w:t>Asia y el Pacífico (8)</w:t>
            </w:r>
          </w:p>
          <w:p w:rsidR="00A512C0" w:rsidRPr="003E79DB" w:rsidRDefault="00A512C0" w:rsidP="0006587D">
            <w:pPr>
              <w:keepNext/>
              <w:keepLines/>
              <w:rPr>
                <w:sz w:val="16"/>
                <w:szCs w:val="16"/>
                <w:lang w:bidi="th-TH"/>
              </w:rPr>
            </w:pPr>
            <w:r w:rsidRPr="003E79DB">
              <w:rPr>
                <w:sz w:val="16"/>
                <w:szCs w:val="16"/>
                <w:lang w:bidi="th-TH"/>
              </w:rPr>
              <w:t>Región de los Países Árabes (4)</w:t>
            </w:r>
          </w:p>
          <w:p w:rsidR="00A512C0" w:rsidRPr="003E79DB" w:rsidRDefault="000B58F9" w:rsidP="0006587D">
            <w:pPr>
              <w:keepNext/>
              <w:keepLines/>
              <w:rPr>
                <w:sz w:val="16"/>
                <w:szCs w:val="16"/>
                <w:lang w:bidi="th-TH"/>
              </w:rPr>
            </w:pPr>
            <w:r w:rsidRPr="003E79DB">
              <w:rPr>
                <w:sz w:val="16"/>
                <w:szCs w:val="16"/>
                <w:lang w:bidi="th-TH"/>
              </w:rPr>
              <w:t>América Latina y el Caribe (9)</w:t>
            </w:r>
          </w:p>
          <w:p w:rsidR="00A512C0" w:rsidRPr="003E79DB" w:rsidRDefault="00A512C0" w:rsidP="0006587D">
            <w:pPr>
              <w:keepNext/>
              <w:keepLines/>
              <w:rPr>
                <w:sz w:val="16"/>
                <w:szCs w:val="16"/>
                <w:lang w:bidi="th-TH"/>
              </w:rPr>
            </w:pPr>
          </w:p>
          <w:p w:rsidR="00A512C0" w:rsidRPr="003E79DB" w:rsidRDefault="00A512C0" w:rsidP="0006587D">
            <w:pPr>
              <w:keepNext/>
              <w:keepLines/>
              <w:rPr>
                <w:sz w:val="16"/>
                <w:szCs w:val="16"/>
                <w:lang w:bidi="th-TH"/>
              </w:rPr>
            </w:pPr>
            <w:r w:rsidRPr="003E79DB">
              <w:rPr>
                <w:sz w:val="16"/>
                <w:szCs w:val="16"/>
                <w:lang w:bidi="th-TH"/>
              </w:rPr>
              <w:t xml:space="preserve">5 PMA incluidos en el desglose regional precedente. </w:t>
            </w:r>
          </w:p>
        </w:tc>
        <w:tc>
          <w:tcPr>
            <w:tcW w:w="1866" w:type="pct"/>
            <w:gridSpan w:val="2"/>
            <w:tcMar>
              <w:top w:w="113" w:type="dxa"/>
            </w:tcMar>
          </w:tcPr>
          <w:p w:rsidR="00A512C0" w:rsidRPr="003E79DB" w:rsidRDefault="000B58F9" w:rsidP="0006587D">
            <w:pPr>
              <w:keepNext/>
              <w:keepLines/>
              <w:ind w:right="161"/>
              <w:rPr>
                <w:bCs/>
                <w:sz w:val="16"/>
                <w:szCs w:val="16"/>
              </w:rPr>
            </w:pPr>
            <w:r w:rsidRPr="003E79DB">
              <w:rPr>
                <w:bCs/>
                <w:sz w:val="16"/>
                <w:szCs w:val="16"/>
              </w:rPr>
              <w:t>África (18 en total)</w:t>
            </w:r>
          </w:p>
          <w:p w:rsidR="00A512C0" w:rsidRPr="003E79DB" w:rsidRDefault="00A512C0" w:rsidP="0006587D">
            <w:pPr>
              <w:keepNext/>
              <w:keepLines/>
              <w:ind w:right="161"/>
              <w:rPr>
                <w:bCs/>
                <w:sz w:val="16"/>
                <w:szCs w:val="16"/>
              </w:rPr>
            </w:pPr>
            <w:r w:rsidRPr="003E79DB">
              <w:rPr>
                <w:bCs/>
                <w:sz w:val="16"/>
                <w:szCs w:val="16"/>
              </w:rPr>
              <w:t>Asia y el Pacífico (13 en total)</w:t>
            </w:r>
          </w:p>
          <w:p w:rsidR="00A512C0" w:rsidRPr="003E79DB" w:rsidRDefault="00A512C0" w:rsidP="0006587D">
            <w:pPr>
              <w:keepNext/>
              <w:keepLines/>
              <w:ind w:right="161"/>
              <w:rPr>
                <w:bCs/>
                <w:sz w:val="16"/>
                <w:szCs w:val="16"/>
              </w:rPr>
            </w:pPr>
            <w:r w:rsidRPr="003E79DB">
              <w:rPr>
                <w:bCs/>
                <w:sz w:val="16"/>
                <w:szCs w:val="16"/>
              </w:rPr>
              <w:t>Región de los Países Árabes (7 en total)</w:t>
            </w:r>
          </w:p>
          <w:p w:rsidR="00A512C0" w:rsidRPr="003E79DB" w:rsidRDefault="00A512C0" w:rsidP="0006587D">
            <w:pPr>
              <w:keepNext/>
              <w:keepLines/>
              <w:ind w:right="161"/>
              <w:rPr>
                <w:bCs/>
                <w:sz w:val="16"/>
                <w:szCs w:val="16"/>
              </w:rPr>
            </w:pPr>
            <w:r w:rsidRPr="003E79DB">
              <w:rPr>
                <w:bCs/>
                <w:sz w:val="16"/>
                <w:szCs w:val="16"/>
              </w:rPr>
              <w:t>América Latina y el Caribe (13 en total)</w:t>
            </w:r>
          </w:p>
          <w:p w:rsidR="00A512C0" w:rsidRPr="003E79DB" w:rsidRDefault="00A512C0" w:rsidP="0006587D">
            <w:pPr>
              <w:keepNext/>
              <w:keepLines/>
              <w:rPr>
                <w:sz w:val="16"/>
                <w:szCs w:val="16"/>
                <w:lang w:bidi="th-TH"/>
              </w:rPr>
            </w:pPr>
            <w:r w:rsidRPr="003E79DB">
              <w:rPr>
                <w:sz w:val="16"/>
                <w:szCs w:val="16"/>
                <w:lang w:bidi="th-TH"/>
              </w:rPr>
              <w:t xml:space="preserve">10 PMA incluidos en el desglose regional precedente. </w:t>
            </w:r>
          </w:p>
        </w:tc>
      </w:tr>
      <w:tr w:rsidR="00A512C0" w:rsidRPr="003E79DB">
        <w:trPr>
          <w:cantSplit/>
          <w:trHeight w:val="2272"/>
        </w:trPr>
        <w:tc>
          <w:tcPr>
            <w:tcW w:w="1500" w:type="pct"/>
            <w:gridSpan w:val="2"/>
            <w:tcBorders>
              <w:bottom w:val="single" w:sz="4" w:space="0" w:color="auto"/>
            </w:tcBorders>
            <w:tcMar>
              <w:top w:w="113" w:type="dxa"/>
            </w:tcMar>
          </w:tcPr>
          <w:p w:rsidR="00A512C0" w:rsidRPr="003E79DB" w:rsidRDefault="00A512C0" w:rsidP="0006587D">
            <w:pPr>
              <w:rPr>
                <w:sz w:val="16"/>
                <w:szCs w:val="16"/>
              </w:rPr>
            </w:pPr>
            <w:r w:rsidRPr="003E79DB">
              <w:rPr>
                <w:sz w:val="16"/>
                <w:szCs w:val="16"/>
              </w:rPr>
              <w:t>Número de países que han adoptado o aplicado estrategias o planes de desarrollo nacionales de P.I.</w:t>
            </w:r>
          </w:p>
        </w:tc>
        <w:tc>
          <w:tcPr>
            <w:tcW w:w="1633" w:type="pct"/>
            <w:gridSpan w:val="2"/>
            <w:tcBorders>
              <w:bottom w:val="single" w:sz="4" w:space="0" w:color="auto"/>
            </w:tcBorders>
            <w:shd w:val="clear" w:color="auto" w:fill="FFFFFF"/>
            <w:tcMar>
              <w:top w:w="113" w:type="dxa"/>
            </w:tcMar>
          </w:tcPr>
          <w:p w:rsidR="00A512C0" w:rsidRPr="003E79DB" w:rsidRDefault="00BB6638" w:rsidP="0006587D">
            <w:pPr>
              <w:rPr>
                <w:sz w:val="16"/>
                <w:szCs w:val="16"/>
                <w:lang w:bidi="th-TH"/>
              </w:rPr>
            </w:pPr>
            <w:r w:rsidRPr="003E79DB">
              <w:rPr>
                <w:sz w:val="16"/>
                <w:szCs w:val="16"/>
                <w:lang w:bidi="th-TH"/>
              </w:rPr>
              <w:t>África (4)</w:t>
            </w:r>
          </w:p>
          <w:p w:rsidR="00A512C0" w:rsidRPr="003E79DB" w:rsidRDefault="00BB6638" w:rsidP="0006587D">
            <w:pPr>
              <w:rPr>
                <w:sz w:val="16"/>
                <w:szCs w:val="16"/>
                <w:lang w:bidi="th-TH"/>
              </w:rPr>
            </w:pPr>
            <w:r w:rsidRPr="003E79DB">
              <w:rPr>
                <w:sz w:val="16"/>
                <w:szCs w:val="16"/>
                <w:lang w:bidi="th-TH"/>
              </w:rPr>
              <w:t>Región de los Países Árabes (3)</w:t>
            </w:r>
          </w:p>
          <w:p w:rsidR="00A512C0" w:rsidRPr="003E79DB" w:rsidRDefault="00BB6638" w:rsidP="0006587D">
            <w:pPr>
              <w:rPr>
                <w:sz w:val="16"/>
                <w:szCs w:val="16"/>
                <w:lang w:bidi="th-TH"/>
              </w:rPr>
            </w:pPr>
            <w:r w:rsidRPr="003E79DB">
              <w:rPr>
                <w:sz w:val="16"/>
                <w:szCs w:val="16"/>
                <w:lang w:bidi="th-TH"/>
              </w:rPr>
              <w:t>Asia y el Pacífico (3)</w:t>
            </w:r>
          </w:p>
          <w:p w:rsidR="00A512C0" w:rsidRPr="003E79DB" w:rsidRDefault="00BB6638" w:rsidP="0006587D">
            <w:pPr>
              <w:rPr>
                <w:sz w:val="16"/>
                <w:szCs w:val="16"/>
                <w:lang w:bidi="th-TH"/>
              </w:rPr>
            </w:pPr>
            <w:r w:rsidRPr="003E79DB">
              <w:rPr>
                <w:sz w:val="16"/>
                <w:szCs w:val="16"/>
                <w:lang w:bidi="th-TH"/>
              </w:rPr>
              <w:t>América Latina y el Caribe (4)</w:t>
            </w:r>
          </w:p>
          <w:p w:rsidR="00A512C0" w:rsidRPr="003E79DB" w:rsidRDefault="00A512C0" w:rsidP="0006587D">
            <w:pPr>
              <w:rPr>
                <w:sz w:val="16"/>
                <w:szCs w:val="16"/>
                <w:lang w:bidi="th-TH"/>
              </w:rPr>
            </w:pPr>
            <w:r w:rsidRPr="003E79DB">
              <w:rPr>
                <w:sz w:val="16"/>
                <w:szCs w:val="16"/>
                <w:lang w:bidi="th-TH"/>
              </w:rPr>
              <w:t>5 PMA incluidos en el desglose regional precedente.</w:t>
            </w:r>
          </w:p>
        </w:tc>
        <w:tc>
          <w:tcPr>
            <w:tcW w:w="1866" w:type="pct"/>
            <w:gridSpan w:val="2"/>
            <w:tcBorders>
              <w:bottom w:val="single" w:sz="4" w:space="0" w:color="auto"/>
            </w:tcBorders>
            <w:tcMar>
              <w:top w:w="113" w:type="dxa"/>
            </w:tcMar>
          </w:tcPr>
          <w:p w:rsidR="00A512C0" w:rsidRPr="003E79DB" w:rsidRDefault="00BB6638" w:rsidP="0006587D">
            <w:pPr>
              <w:keepNext/>
              <w:keepLines/>
              <w:ind w:right="161"/>
              <w:rPr>
                <w:bCs/>
                <w:sz w:val="16"/>
                <w:szCs w:val="16"/>
              </w:rPr>
            </w:pPr>
            <w:r w:rsidRPr="003E79DB">
              <w:rPr>
                <w:bCs/>
                <w:sz w:val="16"/>
                <w:szCs w:val="16"/>
              </w:rPr>
              <w:t>África (6 en total)</w:t>
            </w:r>
          </w:p>
          <w:p w:rsidR="00A512C0" w:rsidRPr="003E79DB" w:rsidRDefault="00A512C0" w:rsidP="0006587D">
            <w:pPr>
              <w:keepNext/>
              <w:keepLines/>
              <w:ind w:right="161"/>
              <w:rPr>
                <w:bCs/>
                <w:sz w:val="16"/>
                <w:szCs w:val="16"/>
              </w:rPr>
            </w:pPr>
            <w:r w:rsidRPr="003E79DB">
              <w:rPr>
                <w:bCs/>
                <w:sz w:val="16"/>
                <w:szCs w:val="16"/>
              </w:rPr>
              <w:t>Región de los Países Árabes (6 en total)</w:t>
            </w:r>
          </w:p>
          <w:p w:rsidR="00A512C0" w:rsidRPr="003E79DB" w:rsidRDefault="00A512C0" w:rsidP="0006587D">
            <w:pPr>
              <w:keepNext/>
              <w:keepLines/>
              <w:ind w:right="161"/>
              <w:rPr>
                <w:bCs/>
                <w:sz w:val="16"/>
                <w:szCs w:val="16"/>
              </w:rPr>
            </w:pPr>
            <w:r w:rsidRPr="003E79DB">
              <w:rPr>
                <w:bCs/>
                <w:sz w:val="16"/>
                <w:szCs w:val="16"/>
              </w:rPr>
              <w:t>Asia y el Pacífico (7) en total</w:t>
            </w:r>
          </w:p>
          <w:p w:rsidR="00A512C0" w:rsidRPr="003E79DB" w:rsidRDefault="00BB6638" w:rsidP="0006587D">
            <w:pPr>
              <w:keepNext/>
              <w:keepLines/>
              <w:ind w:right="161"/>
              <w:rPr>
                <w:bCs/>
                <w:sz w:val="16"/>
                <w:szCs w:val="16"/>
              </w:rPr>
            </w:pPr>
            <w:r w:rsidRPr="003E79DB">
              <w:rPr>
                <w:bCs/>
                <w:sz w:val="16"/>
                <w:szCs w:val="16"/>
              </w:rPr>
              <w:t>América Latina y el Caribe (12)</w:t>
            </w:r>
          </w:p>
          <w:p w:rsidR="00A512C0" w:rsidRPr="003E79DB" w:rsidRDefault="00A512C0" w:rsidP="0006587D">
            <w:pPr>
              <w:keepNext/>
              <w:keepLines/>
              <w:ind w:right="161"/>
              <w:rPr>
                <w:bCs/>
                <w:sz w:val="16"/>
                <w:szCs w:val="16"/>
              </w:rPr>
            </w:pPr>
            <w:r w:rsidRPr="003E79DB">
              <w:rPr>
                <w:sz w:val="16"/>
                <w:szCs w:val="16"/>
                <w:lang w:bidi="th-TH"/>
              </w:rPr>
              <w:t>11 PMA incluidos en el desglose regional precedente.</w:t>
            </w:r>
          </w:p>
        </w:tc>
      </w:tr>
    </w:tbl>
    <w:p w:rsidR="00A512C0" w:rsidRPr="003E79DB" w:rsidRDefault="00A512C0" w:rsidP="0006587D">
      <w:pPr>
        <w:rPr>
          <w:color w:val="000000" w:themeColor="text1"/>
        </w:rPr>
      </w:pPr>
    </w:p>
    <w:p w:rsidR="00A512C0" w:rsidRPr="003E79DB" w:rsidRDefault="00A512C0" w:rsidP="0006587D">
      <w:pPr>
        <w:rPr>
          <w:color w:val="000000" w:themeColor="text1"/>
        </w:rPr>
      </w:pPr>
    </w:p>
    <w:p w:rsidR="00A512C0" w:rsidRPr="0006587D" w:rsidRDefault="00A512C0" w:rsidP="0006587D">
      <w:pPr>
        <w:rPr>
          <w:i/>
          <w:color w:val="000000" w:themeColor="text1"/>
          <w:szCs w:val="22"/>
        </w:rPr>
      </w:pPr>
      <w:r w:rsidRPr="0006587D">
        <w:rPr>
          <w:bCs/>
          <w:i/>
          <w:color w:val="000000" w:themeColor="text1"/>
          <w:szCs w:val="22"/>
        </w:rPr>
        <w:t>Program</w:t>
      </w:r>
      <w:r w:rsidR="00F704B6" w:rsidRPr="0006587D">
        <w:rPr>
          <w:bCs/>
          <w:i/>
          <w:color w:val="000000" w:themeColor="text1"/>
          <w:szCs w:val="22"/>
        </w:rPr>
        <w:t>a 1</w:t>
      </w:r>
      <w:r w:rsidRPr="0006587D">
        <w:rPr>
          <w:bCs/>
          <w:i/>
          <w:color w:val="000000" w:themeColor="text1"/>
          <w:szCs w:val="22"/>
        </w:rPr>
        <w:t>0 – Indicadores de rendimiento, referencia y objetivos para el resultado previsto III.1</w:t>
      </w:r>
    </w:p>
    <w:p w:rsidR="00A512C0" w:rsidRPr="00F704B6" w:rsidRDefault="00A512C0" w:rsidP="0006587D">
      <w:pPr>
        <w:rPr>
          <w:color w:val="000000" w:themeColor="text1"/>
        </w:rPr>
      </w:pPr>
    </w:p>
    <w:tbl>
      <w:tblPr>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5"/>
        <w:gridCol w:w="3118"/>
        <w:gridCol w:w="3400"/>
      </w:tblGrid>
      <w:tr w:rsidR="00A512C0" w:rsidRPr="00F704B6">
        <w:trPr>
          <w:cantSplit/>
          <w:trHeight w:val="425"/>
          <w:tblHeader/>
        </w:trPr>
        <w:tc>
          <w:tcPr>
            <w:tcW w:w="1567" w:type="pct"/>
            <w:tcBorders>
              <w:top w:val="single" w:sz="4" w:space="0" w:color="auto"/>
              <w:bottom w:val="single" w:sz="4" w:space="0" w:color="auto"/>
            </w:tcBorders>
            <w:shd w:val="clear" w:color="auto" w:fill="CCFFFF"/>
            <w:tcMar>
              <w:top w:w="110" w:type="dxa"/>
            </w:tcMar>
            <w:vAlign w:val="center"/>
          </w:tcPr>
          <w:p w:rsidR="00A512C0" w:rsidRPr="00F704B6" w:rsidRDefault="00A512C0" w:rsidP="0006587D">
            <w:pPr>
              <w:spacing w:after="120"/>
              <w:rPr>
                <w:b/>
                <w:bCs/>
                <w:color w:val="000000" w:themeColor="text1"/>
                <w:sz w:val="18"/>
                <w:szCs w:val="18"/>
              </w:rPr>
            </w:pPr>
            <w:r w:rsidRPr="00F704B6">
              <w:rPr>
                <w:b/>
                <w:bCs/>
                <w:color w:val="000000" w:themeColor="text1"/>
                <w:sz w:val="18"/>
                <w:szCs w:val="18"/>
              </w:rPr>
              <w:t>Indicadores de rendimiento</w:t>
            </w:r>
          </w:p>
        </w:tc>
        <w:tc>
          <w:tcPr>
            <w:tcW w:w="1642" w:type="pct"/>
            <w:tcBorders>
              <w:top w:val="single" w:sz="4" w:space="0" w:color="auto"/>
              <w:bottom w:val="single" w:sz="4" w:space="0" w:color="auto"/>
            </w:tcBorders>
            <w:shd w:val="clear" w:color="auto" w:fill="CCFFFF"/>
            <w:tcMar>
              <w:top w:w="110" w:type="dxa"/>
            </w:tcMar>
            <w:vAlign w:val="center"/>
          </w:tcPr>
          <w:p w:rsidR="00A512C0" w:rsidRPr="00F704B6" w:rsidRDefault="00A512C0" w:rsidP="0006587D">
            <w:pPr>
              <w:spacing w:after="120"/>
              <w:ind w:left="85"/>
              <w:rPr>
                <w:b/>
                <w:bCs/>
                <w:color w:val="000000" w:themeColor="text1"/>
                <w:sz w:val="18"/>
                <w:szCs w:val="18"/>
              </w:rPr>
            </w:pPr>
            <w:r w:rsidRPr="00F704B6">
              <w:rPr>
                <w:b/>
                <w:bCs/>
                <w:color w:val="000000" w:themeColor="text1"/>
                <w:sz w:val="18"/>
                <w:szCs w:val="18"/>
              </w:rPr>
              <w:t>Referencia</w:t>
            </w:r>
          </w:p>
        </w:tc>
        <w:tc>
          <w:tcPr>
            <w:tcW w:w="1791" w:type="pct"/>
            <w:tcBorders>
              <w:top w:val="single" w:sz="4" w:space="0" w:color="auto"/>
              <w:bottom w:val="single" w:sz="4" w:space="0" w:color="auto"/>
            </w:tcBorders>
            <w:shd w:val="clear" w:color="auto" w:fill="CCFFFF"/>
            <w:tcMar>
              <w:top w:w="110" w:type="dxa"/>
            </w:tcMar>
            <w:vAlign w:val="center"/>
          </w:tcPr>
          <w:p w:rsidR="00A512C0" w:rsidRPr="00F704B6" w:rsidRDefault="00A512C0" w:rsidP="0006587D">
            <w:pPr>
              <w:keepNext/>
              <w:keepLines/>
              <w:spacing w:after="120"/>
              <w:ind w:right="51"/>
              <w:rPr>
                <w:b/>
                <w:bCs/>
                <w:color w:val="000000" w:themeColor="text1"/>
                <w:sz w:val="18"/>
                <w:szCs w:val="18"/>
              </w:rPr>
            </w:pPr>
            <w:r w:rsidRPr="00F704B6">
              <w:rPr>
                <w:b/>
                <w:bCs/>
                <w:color w:val="000000" w:themeColor="text1"/>
                <w:sz w:val="18"/>
                <w:szCs w:val="18"/>
              </w:rPr>
              <w:t>Objetivos</w:t>
            </w:r>
          </w:p>
        </w:tc>
      </w:tr>
      <w:tr w:rsidR="00A512C0" w:rsidRPr="00F704B6">
        <w:trPr>
          <w:cantSplit/>
          <w:trHeight w:val="609"/>
        </w:trPr>
        <w:tc>
          <w:tcPr>
            <w:tcW w:w="1567" w:type="pct"/>
            <w:tcBorders>
              <w:bottom w:val="single" w:sz="4" w:space="0" w:color="auto"/>
            </w:tcBorders>
            <w:tcMar>
              <w:top w:w="113" w:type="dxa"/>
              <w:bottom w:w="85" w:type="dxa"/>
            </w:tcMar>
          </w:tcPr>
          <w:p w:rsidR="00A512C0" w:rsidRPr="00F704B6" w:rsidRDefault="00A512C0" w:rsidP="0006587D">
            <w:pPr>
              <w:rPr>
                <w:color w:val="000000" w:themeColor="text1"/>
                <w:sz w:val="16"/>
                <w:szCs w:val="16"/>
              </w:rPr>
            </w:pPr>
            <w:r w:rsidRPr="00F704B6">
              <w:rPr>
                <w:color w:val="000000" w:themeColor="text1"/>
                <w:sz w:val="16"/>
                <w:szCs w:val="16"/>
              </w:rPr>
              <w:t>Número de países que han elaborado estrategias/planes nacionales de P.I.</w:t>
            </w:r>
          </w:p>
        </w:tc>
        <w:tc>
          <w:tcPr>
            <w:tcW w:w="1642" w:type="pct"/>
            <w:tcBorders>
              <w:bottom w:val="single" w:sz="4" w:space="0" w:color="auto"/>
            </w:tcBorders>
            <w:shd w:val="clear" w:color="auto" w:fill="FFFFFF"/>
            <w:tcMar>
              <w:top w:w="113" w:type="dxa"/>
              <w:bottom w:w="85" w:type="dxa"/>
            </w:tcMar>
          </w:tcPr>
          <w:p w:rsidR="00A512C0" w:rsidRPr="00F704B6" w:rsidRDefault="00A512C0" w:rsidP="0006587D">
            <w:pPr>
              <w:rPr>
                <w:color w:val="000000" w:themeColor="text1"/>
                <w:sz w:val="16"/>
                <w:szCs w:val="16"/>
                <w:lang w:bidi="th-TH"/>
              </w:rPr>
            </w:pPr>
            <w:r w:rsidRPr="00F704B6">
              <w:rPr>
                <w:color w:val="000000" w:themeColor="text1"/>
                <w:sz w:val="16"/>
                <w:szCs w:val="16"/>
                <w:lang w:bidi="th-TH"/>
              </w:rPr>
              <w:t>14 (en total al final d</w:t>
            </w:r>
            <w:r w:rsidR="00F704B6" w:rsidRPr="00F704B6">
              <w:rPr>
                <w:color w:val="000000" w:themeColor="text1"/>
                <w:sz w:val="16"/>
                <w:szCs w:val="16"/>
                <w:lang w:bidi="th-TH"/>
              </w:rPr>
              <w:t>e 2</w:t>
            </w:r>
            <w:r w:rsidRPr="00F704B6">
              <w:rPr>
                <w:color w:val="000000" w:themeColor="text1"/>
                <w:sz w:val="16"/>
                <w:szCs w:val="16"/>
                <w:lang w:bidi="th-TH"/>
              </w:rPr>
              <w:t>013).</w:t>
            </w:r>
          </w:p>
        </w:tc>
        <w:tc>
          <w:tcPr>
            <w:tcW w:w="1791" w:type="pct"/>
            <w:tcBorders>
              <w:bottom w:val="single" w:sz="4" w:space="0" w:color="auto"/>
            </w:tcBorders>
            <w:tcMar>
              <w:top w:w="113" w:type="dxa"/>
              <w:bottom w:w="85" w:type="dxa"/>
            </w:tcMar>
          </w:tcPr>
          <w:p w:rsidR="00A512C0" w:rsidRPr="00F704B6" w:rsidRDefault="00A512C0" w:rsidP="0006587D">
            <w:pPr>
              <w:keepNext/>
              <w:keepLines/>
              <w:ind w:right="161"/>
              <w:rPr>
                <w:bCs/>
                <w:color w:val="000000" w:themeColor="text1"/>
                <w:sz w:val="16"/>
                <w:szCs w:val="16"/>
              </w:rPr>
            </w:pPr>
            <w:r w:rsidRPr="00F704B6">
              <w:rPr>
                <w:bCs/>
                <w:color w:val="000000" w:themeColor="text1"/>
                <w:sz w:val="16"/>
                <w:szCs w:val="16"/>
              </w:rPr>
              <w:t>Otros seis países.</w:t>
            </w:r>
          </w:p>
        </w:tc>
      </w:tr>
    </w:tbl>
    <w:p w:rsidR="00A512C0" w:rsidRPr="00F704B6" w:rsidRDefault="00A512C0" w:rsidP="0006587D">
      <w:pPr>
        <w:rPr>
          <w:color w:val="000000" w:themeColor="text1"/>
        </w:rPr>
      </w:pPr>
    </w:p>
    <w:p w:rsidR="00A512C0" w:rsidRPr="003E79DB" w:rsidRDefault="00A512C0" w:rsidP="0006587D">
      <w:pPr>
        <w:rPr>
          <w:color w:val="000000" w:themeColor="text1"/>
        </w:rPr>
      </w:pPr>
      <w:r w:rsidRPr="00F704B6">
        <w:rPr>
          <w:color w:val="000000" w:themeColor="text1"/>
        </w:rPr>
        <w:t>Las estrategias nacionales de P.I., una vez adoptadas, guían la elaboración de los planes nacionales que, entre otras cosas, perfilan las esferas en las que se aplicarán las estrategias con la asistencia de la OMPI.  Los recursos pertinentes relacionados con esa aplicación forman parte de la cuota de desarrollo de los resultados previstos en el marco de las metas estratégicas I a VIII.</w:t>
      </w:r>
    </w:p>
    <w:p w:rsidR="00A512C0" w:rsidRPr="003E79DB" w:rsidRDefault="00A512C0" w:rsidP="0006587D">
      <w:pPr>
        <w:widowControl w:val="0"/>
        <w:rPr>
          <w:bCs/>
          <w:color w:val="000000" w:themeColor="text1"/>
        </w:rPr>
      </w:pPr>
    </w:p>
    <w:p w:rsidR="00A512C0" w:rsidRPr="003E79DB" w:rsidRDefault="00A512C0" w:rsidP="0006587D">
      <w:pPr>
        <w:widowControl w:val="0"/>
        <w:rPr>
          <w:b/>
          <w:bCs/>
          <w:color w:val="000000" w:themeColor="text1"/>
        </w:rPr>
      </w:pPr>
      <w:r w:rsidRPr="003E79DB">
        <w:rPr>
          <w:b/>
          <w:bCs/>
          <w:color w:val="000000" w:themeColor="text1"/>
        </w:rPr>
        <w:t xml:space="preserve">P.5:  ¿Podría explicarse en mayor detalle la reorganización de la </w:t>
      </w:r>
      <w:r w:rsidRPr="003E79DB">
        <w:rPr>
          <w:b/>
          <w:bCs/>
          <w:color w:val="000000" w:themeColor="text1"/>
          <w:szCs w:val="22"/>
        </w:rPr>
        <w:t>Academia de la OMPI</w:t>
      </w:r>
      <w:r w:rsidRPr="003E79DB">
        <w:rPr>
          <w:b/>
          <w:bCs/>
          <w:color w:val="000000" w:themeColor="text1"/>
        </w:rPr>
        <w:t xml:space="preserve">?  ¿Cómo afectará los servicios </w:t>
      </w:r>
      <w:r w:rsidR="00BB6638" w:rsidRPr="003E79DB">
        <w:rPr>
          <w:b/>
          <w:bCs/>
          <w:color w:val="000000" w:themeColor="text1"/>
        </w:rPr>
        <w:t xml:space="preserve">que se prestan </w:t>
      </w:r>
      <w:r w:rsidRPr="003E79DB">
        <w:rPr>
          <w:b/>
          <w:bCs/>
          <w:color w:val="000000" w:themeColor="text1"/>
        </w:rPr>
        <w:t>a los Estados miembros?  ¿Tiene repercusiones en materia de recursos para las oficinas regionales?</w:t>
      </w:r>
    </w:p>
    <w:p w:rsidR="00A512C0" w:rsidRPr="003E79DB" w:rsidRDefault="00A512C0" w:rsidP="0006587D">
      <w:pPr>
        <w:widowControl w:val="0"/>
        <w:rPr>
          <w:b/>
          <w:bCs/>
          <w:color w:val="000000" w:themeColor="text1"/>
        </w:rPr>
      </w:pPr>
    </w:p>
    <w:p w:rsidR="00A512C0" w:rsidRPr="003E79DB" w:rsidRDefault="00A512C0" w:rsidP="0006587D">
      <w:pPr>
        <w:widowControl w:val="0"/>
        <w:rPr>
          <w:color w:val="000000" w:themeColor="text1"/>
        </w:rPr>
      </w:pPr>
      <w:r w:rsidRPr="003E79DB">
        <w:rPr>
          <w:b/>
          <w:bCs/>
          <w:color w:val="000000" w:themeColor="text1"/>
        </w:rPr>
        <w:t>R5:</w:t>
      </w:r>
      <w:r w:rsidRPr="003E79DB">
        <w:rPr>
          <w:bCs/>
          <w:color w:val="000000" w:themeColor="text1"/>
        </w:rPr>
        <w:t xml:space="preserve">  La Secretaría ha pedido asesoramiento acerca de la forma de mejorar los servicios que presta la </w:t>
      </w:r>
      <w:r w:rsidRPr="003E79DB">
        <w:rPr>
          <w:bCs/>
          <w:color w:val="000000" w:themeColor="text1"/>
          <w:szCs w:val="22"/>
        </w:rPr>
        <w:t>Academia de la OMPI</w:t>
      </w:r>
      <w:r w:rsidRPr="003E79DB">
        <w:rPr>
          <w:bCs/>
          <w:color w:val="000000" w:themeColor="text1"/>
        </w:rPr>
        <w:t xml:space="preserve">.  En el examen independiente de la gestión se recomendó que, con el fin de mejorar los beneficios para los países en desarrollo y los PMA (mejor prestación de servicios) y aprovechar al máximo el uso de los recursos, se determine un nicho estratégico para la realización de actividades de </w:t>
      </w:r>
      <w:r w:rsidR="003E79DB" w:rsidRPr="003E79DB">
        <w:rPr>
          <w:bCs/>
          <w:color w:val="000000" w:themeColor="text1"/>
        </w:rPr>
        <w:t>formación</w:t>
      </w:r>
      <w:r w:rsidRPr="003E79DB">
        <w:rPr>
          <w:bCs/>
          <w:color w:val="000000" w:themeColor="text1"/>
        </w:rPr>
        <w:t xml:space="preserve"> en el marco del Centro de formación de la OMPI, en estrecha cooperación con las oficinas regionales.  El Centro desempeñaría principalmente las cinco funciones siguientes:  </w:t>
      </w:r>
      <w:r w:rsidRPr="003E79DB">
        <w:rPr>
          <w:color w:val="000000" w:themeColor="text1"/>
        </w:rPr>
        <w:t xml:space="preserve">órgano ejecutor para la prestación directa de servicios de formación profesional;  catalizador de redes y asociaciones para ampliar la diversidad de las oportunidades de formación en los países y su repercusión;  centro propio de excelencia en la formación;  centro de información en Internet de acceso abierto sobre todas </w:t>
      </w:r>
      <w:r w:rsidRPr="003E79DB">
        <w:rPr>
          <w:color w:val="000000" w:themeColor="text1"/>
        </w:rPr>
        <w:lastRenderedPageBreak/>
        <w:t>las actividades, herramientas y servicios de formación de la OMPI;  y una plataforma que agrupe las redes virtuales de asociados, expertos y docentes en el ámbito de la formación en P.I. orientada al desarrollo.  Un producto importante en ese con</w:t>
      </w:r>
      <w:r w:rsidR="003E79DB" w:rsidRPr="003E79DB">
        <w:rPr>
          <w:color w:val="000000" w:themeColor="text1"/>
        </w:rPr>
        <w:t>texto será</w:t>
      </w:r>
      <w:r w:rsidRPr="003E79DB">
        <w:rPr>
          <w:color w:val="000000" w:themeColor="text1"/>
        </w:rPr>
        <w:t xml:space="preserve"> la elaboración de un catálogo de cursos de formación que impartiría el Centro de formación en estrecha coordinación con los programas especializados.</w:t>
      </w:r>
    </w:p>
    <w:p w:rsidR="00A512C0" w:rsidRPr="003E79DB" w:rsidRDefault="00A512C0" w:rsidP="0006587D">
      <w:pPr>
        <w:widowControl w:val="0"/>
        <w:rPr>
          <w:bCs/>
          <w:color w:val="000000" w:themeColor="text1"/>
        </w:rPr>
      </w:pPr>
    </w:p>
    <w:p w:rsidR="00A512C0" w:rsidRPr="003E79DB" w:rsidRDefault="00A512C0" w:rsidP="0006587D">
      <w:pPr>
        <w:widowControl w:val="0"/>
        <w:rPr>
          <w:bCs/>
          <w:color w:val="000000" w:themeColor="text1"/>
        </w:rPr>
      </w:pPr>
      <w:r w:rsidRPr="003E79DB">
        <w:rPr>
          <w:bCs/>
          <w:color w:val="000000" w:themeColor="text1"/>
        </w:rPr>
        <w:t>Las oficinas regionales (</w:t>
      </w:r>
      <w:r w:rsidR="00F562B5">
        <w:rPr>
          <w:bCs/>
          <w:color w:val="000000" w:themeColor="text1"/>
        </w:rPr>
        <w:t>programa</w:t>
      </w:r>
      <w:r w:rsidRPr="003E79DB">
        <w:rPr>
          <w:bCs/>
          <w:color w:val="000000" w:themeColor="text1"/>
        </w:rPr>
        <w:t xml:space="preserve"> 9) y el </w:t>
      </w:r>
      <w:r w:rsidR="00F562B5">
        <w:rPr>
          <w:bCs/>
          <w:color w:val="000000" w:themeColor="text1"/>
        </w:rPr>
        <w:t>programa</w:t>
      </w:r>
      <w:r w:rsidRPr="003E79DB">
        <w:rPr>
          <w:bCs/>
          <w:color w:val="000000" w:themeColor="text1"/>
        </w:rPr>
        <w:t> 10 seguirán manteniendo la responsabilidad principal en lo que atañe a la planificación, la coordinación o la realización de actividades de fortalecimiento de las capacidades para los países en desarrollo y los PMA con los recursos conexos (a saber, Resultados Previstos III.2 (Mejora de las capacidades en el ámbito de los recursos humanos) y III.4 Mecanismos y programas de cooperación)).</w:t>
      </w:r>
    </w:p>
    <w:p w:rsidR="0023449F" w:rsidRDefault="0023449F" w:rsidP="0006587D">
      <w:pPr>
        <w:widowControl w:val="0"/>
        <w:rPr>
          <w:bCs/>
          <w:color w:val="000000" w:themeColor="text1"/>
        </w:rPr>
      </w:pPr>
    </w:p>
    <w:p w:rsidR="0006587D" w:rsidRPr="003E79DB" w:rsidRDefault="0006587D" w:rsidP="0006587D">
      <w:pPr>
        <w:widowControl w:val="0"/>
        <w:rPr>
          <w:bCs/>
          <w:color w:val="000000" w:themeColor="text1"/>
        </w:rPr>
      </w:pPr>
    </w:p>
    <w:p w:rsidR="00A512C0" w:rsidRPr="003E79DB" w:rsidRDefault="00C4530C" w:rsidP="0006587D">
      <w:pPr>
        <w:widowControl w:val="0"/>
        <w:rPr>
          <w:bCs/>
          <w:color w:val="000000" w:themeColor="text1"/>
        </w:rPr>
      </w:pPr>
      <w:r w:rsidRPr="003E79DB">
        <w:rPr>
          <w:bCs/>
          <w:color w:val="000000" w:themeColor="text1"/>
        </w:rPr>
        <w:t>META ESTRATÉGICA IV:  COORDINACIÓN Y DESARROLLO DE LA INFRAESTRUCTURA MUNDIAL DE LA P.I.</w:t>
      </w:r>
    </w:p>
    <w:p w:rsidR="00C4530C" w:rsidRPr="003E79DB" w:rsidRDefault="00C4530C" w:rsidP="0006587D">
      <w:pPr>
        <w:widowControl w:val="0"/>
        <w:rPr>
          <w:bCs/>
          <w:color w:val="000000" w:themeColor="text1"/>
        </w:rPr>
      </w:pPr>
    </w:p>
    <w:p w:rsidR="00C4530C" w:rsidRPr="003E79DB" w:rsidRDefault="00C4530C" w:rsidP="0006587D">
      <w:pPr>
        <w:widowControl w:val="0"/>
        <w:rPr>
          <w:b/>
          <w:bCs/>
          <w:color w:val="000000" w:themeColor="text1"/>
        </w:rPr>
      </w:pPr>
      <w:r w:rsidRPr="003E79DB">
        <w:rPr>
          <w:b/>
          <w:bCs/>
          <w:color w:val="000000" w:themeColor="text1"/>
        </w:rPr>
        <w:t>P1:  ¿Qué países en desarrollo se benefician de WIPO CASE?</w:t>
      </w:r>
    </w:p>
    <w:p w:rsidR="00C4530C" w:rsidRPr="003E79DB" w:rsidRDefault="00C4530C" w:rsidP="0006587D">
      <w:pPr>
        <w:widowControl w:val="0"/>
        <w:rPr>
          <w:b/>
          <w:bCs/>
          <w:color w:val="000000" w:themeColor="text1"/>
        </w:rPr>
      </w:pPr>
    </w:p>
    <w:p w:rsidR="00C4530C" w:rsidRPr="00F704B6" w:rsidRDefault="00C4530C" w:rsidP="0006587D">
      <w:pPr>
        <w:widowControl w:val="0"/>
        <w:rPr>
          <w:bCs/>
          <w:snapToGrid w:val="0"/>
          <w:color w:val="000000" w:themeColor="text1"/>
        </w:rPr>
      </w:pPr>
      <w:r w:rsidRPr="003E79DB">
        <w:rPr>
          <w:b/>
          <w:bCs/>
          <w:color w:val="000000" w:themeColor="text1"/>
        </w:rPr>
        <w:t>R1:</w:t>
      </w:r>
      <w:r w:rsidRPr="003E79DB">
        <w:rPr>
          <w:bCs/>
          <w:color w:val="000000" w:themeColor="text1"/>
        </w:rPr>
        <w:t xml:space="preserve">  Actualmente, ningún país en desarrollo participa en el </w:t>
      </w:r>
      <w:r w:rsidRPr="003E79DB">
        <w:rPr>
          <w:bCs/>
          <w:snapToGrid w:val="0"/>
          <w:color w:val="000000" w:themeColor="text1"/>
        </w:rPr>
        <w:t xml:space="preserve">proyecto WIPO CASE.  El proyecto ha sido presentado a varios países en desarrollo de América Latina y Asia y está siendo considerado con interés.  Por lo general, las oficinas de P.I. de los países en desarrollo </w:t>
      </w:r>
      <w:r w:rsidR="003E79DB" w:rsidRPr="00F704B6">
        <w:rPr>
          <w:bCs/>
          <w:snapToGrid w:val="0"/>
          <w:color w:val="000000" w:themeColor="text1"/>
        </w:rPr>
        <w:t>procuran</w:t>
      </w:r>
      <w:r w:rsidRPr="00F704B6">
        <w:rPr>
          <w:bCs/>
          <w:snapToGrid w:val="0"/>
          <w:color w:val="000000" w:themeColor="text1"/>
        </w:rPr>
        <w:t xml:space="preserve"> tener acceso a los informes de búsqueda y examen de otras oficinas y WIPO CASE está ideado para facilitar ese proceso.</w:t>
      </w:r>
    </w:p>
    <w:p w:rsidR="00C4530C" w:rsidRPr="00F704B6" w:rsidRDefault="00C4530C" w:rsidP="0006587D">
      <w:pPr>
        <w:widowControl w:val="0"/>
        <w:rPr>
          <w:bCs/>
          <w:snapToGrid w:val="0"/>
          <w:color w:val="000000" w:themeColor="text1"/>
        </w:rPr>
      </w:pPr>
    </w:p>
    <w:p w:rsidR="00C4530C" w:rsidRPr="00F704B6" w:rsidRDefault="00C4530C" w:rsidP="0006587D">
      <w:pPr>
        <w:widowControl w:val="0"/>
        <w:rPr>
          <w:b/>
          <w:bCs/>
          <w:color w:val="000000" w:themeColor="text1"/>
        </w:rPr>
      </w:pPr>
      <w:r w:rsidRPr="00F704B6">
        <w:rPr>
          <w:b/>
          <w:bCs/>
          <w:color w:val="000000" w:themeColor="text1"/>
        </w:rPr>
        <w:t xml:space="preserve">P2:  En el </w:t>
      </w:r>
      <w:r w:rsidRPr="00F704B6">
        <w:rPr>
          <w:b/>
          <w:bCs/>
          <w:snapToGrid w:val="0"/>
          <w:color w:val="000000" w:themeColor="text1"/>
        </w:rPr>
        <w:t>proyecto de presupuesto por programas par</w:t>
      </w:r>
      <w:r w:rsidR="00F704B6" w:rsidRPr="00F704B6">
        <w:rPr>
          <w:b/>
          <w:bCs/>
          <w:snapToGrid w:val="0"/>
          <w:color w:val="000000" w:themeColor="text1"/>
        </w:rPr>
        <w:t>a 2</w:t>
      </w:r>
      <w:r w:rsidRPr="00F704B6">
        <w:rPr>
          <w:b/>
          <w:bCs/>
          <w:snapToGrid w:val="0"/>
          <w:color w:val="000000" w:themeColor="text1"/>
        </w:rPr>
        <w:t xml:space="preserve">014/15 se propone el fortalecimiento del programa de trabajo sobre el establecimiento de los CATI. </w:t>
      </w:r>
      <w:r w:rsidRPr="00F704B6">
        <w:rPr>
          <w:b/>
          <w:bCs/>
          <w:color w:val="000000" w:themeColor="text1"/>
        </w:rPr>
        <w:t xml:space="preserve"> ¿Supone ello una asignación de recursos adicionales </w:t>
      </w:r>
      <w:r w:rsidR="003E79DB" w:rsidRPr="00F704B6">
        <w:rPr>
          <w:b/>
          <w:bCs/>
          <w:color w:val="000000" w:themeColor="text1"/>
        </w:rPr>
        <w:t>al p</w:t>
      </w:r>
      <w:r w:rsidRPr="00F704B6">
        <w:rPr>
          <w:b/>
          <w:bCs/>
          <w:color w:val="000000" w:themeColor="text1"/>
        </w:rPr>
        <w:t>rograma 30?</w:t>
      </w:r>
    </w:p>
    <w:p w:rsidR="00C4530C" w:rsidRPr="00F704B6" w:rsidRDefault="00C4530C" w:rsidP="0006587D">
      <w:pPr>
        <w:widowControl w:val="0"/>
        <w:rPr>
          <w:b/>
          <w:bCs/>
          <w:color w:val="000000" w:themeColor="text1"/>
        </w:rPr>
      </w:pPr>
    </w:p>
    <w:p w:rsidR="00C4530C" w:rsidRPr="003E79DB" w:rsidRDefault="00C4530C" w:rsidP="0006587D">
      <w:pPr>
        <w:widowControl w:val="0"/>
        <w:rPr>
          <w:bCs/>
          <w:snapToGrid w:val="0"/>
          <w:color w:val="000000" w:themeColor="text1"/>
        </w:rPr>
      </w:pPr>
      <w:r w:rsidRPr="00F704B6">
        <w:rPr>
          <w:b/>
          <w:bCs/>
          <w:color w:val="000000" w:themeColor="text1"/>
        </w:rPr>
        <w:t>R2:</w:t>
      </w:r>
      <w:r w:rsidRPr="00F704B6">
        <w:rPr>
          <w:bCs/>
          <w:color w:val="000000" w:themeColor="text1"/>
        </w:rPr>
        <w:t xml:space="preserve">  En el </w:t>
      </w:r>
      <w:r w:rsidRPr="00F704B6">
        <w:rPr>
          <w:bCs/>
          <w:snapToGrid w:val="0"/>
          <w:color w:val="000000" w:themeColor="text1"/>
        </w:rPr>
        <w:t xml:space="preserve">proyecto de presupuesto por programas se propone incorporar la actual Fase II del proyecto de la </w:t>
      </w:r>
      <w:r w:rsidRPr="00F704B6">
        <w:rPr>
          <w:bCs/>
          <w:snapToGrid w:val="0"/>
          <w:color w:val="000000" w:themeColor="text1"/>
          <w:szCs w:val="24"/>
        </w:rPr>
        <w:t>Agenda para el Desarrollo</w:t>
      </w:r>
      <w:r w:rsidRPr="00F704B6">
        <w:rPr>
          <w:bCs/>
          <w:snapToGrid w:val="0"/>
          <w:color w:val="000000" w:themeColor="text1"/>
        </w:rPr>
        <w:t xml:space="preserve"> “Acceso a bases de datos especializadas” (tras la evaluación independiente de la Fase I del proyecto) en la labor ordinaria del </w:t>
      </w:r>
      <w:r w:rsidR="00F562B5">
        <w:rPr>
          <w:bCs/>
          <w:snapToGrid w:val="0"/>
          <w:color w:val="000000" w:themeColor="text1"/>
        </w:rPr>
        <w:t>programa</w:t>
      </w:r>
      <w:r w:rsidRPr="00F704B6">
        <w:rPr>
          <w:bCs/>
          <w:snapToGrid w:val="0"/>
          <w:color w:val="000000" w:themeColor="text1"/>
        </w:rPr>
        <w:t> 14 “Servicios de acceso a la información y a los conocimientos“, con una asignación total de recursos d</w:t>
      </w:r>
      <w:r w:rsidR="00F704B6" w:rsidRPr="00F704B6">
        <w:rPr>
          <w:bCs/>
          <w:snapToGrid w:val="0"/>
          <w:color w:val="000000" w:themeColor="text1"/>
        </w:rPr>
        <w:t>e 1</w:t>
      </w:r>
      <w:r w:rsidRPr="00F704B6">
        <w:rPr>
          <w:bCs/>
          <w:snapToGrid w:val="0"/>
          <w:color w:val="000000" w:themeColor="text1"/>
        </w:rPr>
        <w:t>,7 millones de francos suizos.  En el bieni</w:t>
      </w:r>
      <w:r w:rsidR="00F704B6" w:rsidRPr="00F704B6">
        <w:rPr>
          <w:bCs/>
          <w:snapToGrid w:val="0"/>
          <w:color w:val="000000" w:themeColor="text1"/>
        </w:rPr>
        <w:t>o 2</w:t>
      </w:r>
      <w:r w:rsidRPr="00F704B6">
        <w:rPr>
          <w:bCs/>
          <w:snapToGrid w:val="0"/>
          <w:color w:val="000000" w:themeColor="text1"/>
        </w:rPr>
        <w:t xml:space="preserve">014/15 se consolidará la intención de velar por la durabilidad a largo plazo de los CATI, aprovechando la experiencia adquirida y las conclusiones extraídas durante la ejecución del proyecto de la </w:t>
      </w:r>
      <w:r w:rsidRPr="00F704B6">
        <w:rPr>
          <w:bCs/>
          <w:snapToGrid w:val="0"/>
          <w:color w:val="000000" w:themeColor="text1"/>
          <w:szCs w:val="24"/>
        </w:rPr>
        <w:t>Agenda para el Desarrollo</w:t>
      </w:r>
      <w:r w:rsidRPr="00F704B6">
        <w:rPr>
          <w:bCs/>
          <w:snapToGrid w:val="0"/>
          <w:color w:val="000000" w:themeColor="text1"/>
        </w:rPr>
        <w:t>.</w:t>
      </w:r>
    </w:p>
    <w:p w:rsidR="00C4530C" w:rsidRDefault="00C4530C" w:rsidP="0006587D">
      <w:pPr>
        <w:widowControl w:val="0"/>
        <w:rPr>
          <w:bCs/>
          <w:snapToGrid w:val="0"/>
          <w:color w:val="000000" w:themeColor="text1"/>
        </w:rPr>
      </w:pPr>
    </w:p>
    <w:p w:rsidR="0006587D" w:rsidRPr="003E79DB" w:rsidRDefault="0006587D" w:rsidP="0006587D">
      <w:pPr>
        <w:widowControl w:val="0"/>
        <w:rPr>
          <w:bCs/>
          <w:snapToGrid w:val="0"/>
          <w:color w:val="000000" w:themeColor="text1"/>
        </w:rPr>
      </w:pPr>
    </w:p>
    <w:p w:rsidR="00C4530C" w:rsidRPr="003E79DB" w:rsidRDefault="00C4530C" w:rsidP="0006587D">
      <w:pPr>
        <w:widowControl w:val="0"/>
        <w:rPr>
          <w:bCs/>
          <w:snapToGrid w:val="0"/>
          <w:color w:val="000000" w:themeColor="text1"/>
        </w:rPr>
      </w:pPr>
      <w:r w:rsidRPr="003E79DB">
        <w:rPr>
          <w:bCs/>
          <w:snapToGrid w:val="0"/>
          <w:color w:val="000000" w:themeColor="text1"/>
        </w:rPr>
        <w:t>META ESTRATÉGICA VIII:  COMUNICACIÓN EFICAZ ENTRE LA OMPI, SUS ESTADOS MIEMBROS Y TODAS LAS PARTES INTERESADAS</w:t>
      </w:r>
    </w:p>
    <w:p w:rsidR="00C4530C" w:rsidRPr="003E79DB" w:rsidRDefault="00C4530C" w:rsidP="0006587D">
      <w:pPr>
        <w:widowControl w:val="0"/>
        <w:rPr>
          <w:bCs/>
          <w:color w:val="000000" w:themeColor="text1"/>
        </w:rPr>
      </w:pPr>
    </w:p>
    <w:p w:rsidR="00A512C0" w:rsidRPr="003E79DB" w:rsidRDefault="00C4530C" w:rsidP="0006587D">
      <w:pPr>
        <w:widowControl w:val="0"/>
        <w:rPr>
          <w:b/>
          <w:bCs/>
          <w:color w:val="000000" w:themeColor="text1"/>
        </w:rPr>
      </w:pPr>
      <w:r w:rsidRPr="003E79DB">
        <w:rPr>
          <w:b/>
          <w:bCs/>
          <w:color w:val="000000" w:themeColor="text1"/>
        </w:rPr>
        <w:t>P1:  ¿Podría dar más detalles sobre los fundamentos de la propuesta de establecer nuevas oficinas en el exterior?</w:t>
      </w:r>
    </w:p>
    <w:p w:rsidR="00C4530C" w:rsidRPr="003E79DB" w:rsidRDefault="00C4530C" w:rsidP="0006587D">
      <w:pPr>
        <w:widowControl w:val="0"/>
        <w:rPr>
          <w:b/>
          <w:bCs/>
          <w:color w:val="000000" w:themeColor="text1"/>
        </w:rPr>
      </w:pPr>
    </w:p>
    <w:p w:rsidR="00114C48" w:rsidRPr="003E79DB" w:rsidRDefault="00C4530C" w:rsidP="0006587D">
      <w:pPr>
        <w:widowControl w:val="0"/>
        <w:rPr>
          <w:color w:val="000000" w:themeColor="text1"/>
          <w:lang w:eastAsia="ja-JP"/>
        </w:rPr>
      </w:pPr>
      <w:r w:rsidRPr="003E79DB">
        <w:rPr>
          <w:b/>
          <w:bCs/>
          <w:color w:val="000000" w:themeColor="text1"/>
        </w:rPr>
        <w:t>R1:</w:t>
      </w:r>
      <w:r w:rsidRPr="003E79DB">
        <w:rPr>
          <w:bCs/>
          <w:color w:val="000000" w:themeColor="text1"/>
        </w:rPr>
        <w:t xml:space="preserve">  Las oficinas en el exterior desempeñan un papel cada vez más importante para </w:t>
      </w:r>
      <w:r w:rsidR="003E79DB" w:rsidRPr="003E79DB">
        <w:rPr>
          <w:bCs/>
          <w:color w:val="000000" w:themeColor="text1"/>
        </w:rPr>
        <w:t>la eficacia del suministro de</w:t>
      </w:r>
      <w:r w:rsidRPr="003E79DB">
        <w:rPr>
          <w:bCs/>
          <w:color w:val="000000" w:themeColor="text1"/>
        </w:rPr>
        <w:t xml:space="preserve"> productos y </w:t>
      </w:r>
      <w:r w:rsidR="003E79DB" w:rsidRPr="003E79DB">
        <w:rPr>
          <w:bCs/>
          <w:color w:val="000000" w:themeColor="text1"/>
        </w:rPr>
        <w:t xml:space="preserve">la prestación de </w:t>
      </w:r>
      <w:r w:rsidRPr="003E79DB">
        <w:rPr>
          <w:bCs/>
          <w:color w:val="000000" w:themeColor="text1"/>
        </w:rPr>
        <w:t xml:space="preserve">servicios </w:t>
      </w:r>
      <w:r w:rsidR="003E79DB" w:rsidRPr="003E79DB">
        <w:rPr>
          <w:bCs/>
          <w:color w:val="000000" w:themeColor="text1"/>
        </w:rPr>
        <w:t>por</w:t>
      </w:r>
      <w:r w:rsidRPr="003E79DB">
        <w:rPr>
          <w:bCs/>
          <w:color w:val="000000" w:themeColor="text1"/>
        </w:rPr>
        <w:t xml:space="preserve"> la OMPI a los Estados miembros y </w:t>
      </w:r>
      <w:r w:rsidRPr="00F704B6">
        <w:rPr>
          <w:bCs/>
          <w:color w:val="000000" w:themeColor="text1"/>
        </w:rPr>
        <w:t>demás partes interesadas</w:t>
      </w:r>
      <w:r w:rsidR="003E79DB" w:rsidRPr="00F704B6">
        <w:rPr>
          <w:bCs/>
          <w:color w:val="000000" w:themeColor="text1"/>
        </w:rPr>
        <w:t>, y ello incluye los servicios orientados al desarrollo</w:t>
      </w:r>
      <w:r w:rsidR="00F945A5">
        <w:rPr>
          <w:bCs/>
          <w:color w:val="000000" w:themeColor="text1"/>
        </w:rPr>
        <w:t>.  Dichas oficinas c</w:t>
      </w:r>
      <w:r w:rsidRPr="00F704B6">
        <w:rPr>
          <w:bCs/>
          <w:color w:val="000000" w:themeColor="text1"/>
        </w:rPr>
        <w:t xml:space="preserve">onstituyen una plataforma que presta servicios </w:t>
      </w:r>
      <w:r w:rsidR="00F562B5">
        <w:rPr>
          <w:bCs/>
          <w:color w:val="000000" w:themeColor="text1"/>
        </w:rPr>
        <w:t>congruentes</w:t>
      </w:r>
      <w:r w:rsidRPr="00F704B6">
        <w:rPr>
          <w:bCs/>
          <w:color w:val="000000" w:themeColor="text1"/>
        </w:rPr>
        <w:t xml:space="preserve"> co</w:t>
      </w:r>
      <w:r w:rsidR="003E79DB" w:rsidRPr="00F704B6">
        <w:rPr>
          <w:bCs/>
          <w:color w:val="000000" w:themeColor="text1"/>
        </w:rPr>
        <w:t>n m</w:t>
      </w:r>
      <w:r w:rsidRPr="00F704B6">
        <w:rPr>
          <w:bCs/>
          <w:color w:val="000000" w:themeColor="text1"/>
        </w:rPr>
        <w:t xml:space="preserve">ayor eficiencia y capacidad de respuesta, </w:t>
      </w:r>
      <w:r w:rsidR="003E79DB" w:rsidRPr="00F704B6">
        <w:rPr>
          <w:bCs/>
          <w:color w:val="000000" w:themeColor="text1"/>
        </w:rPr>
        <w:t xml:space="preserve">gracias a </w:t>
      </w:r>
      <w:r w:rsidRPr="00F704B6">
        <w:rPr>
          <w:bCs/>
          <w:color w:val="000000" w:themeColor="text1"/>
        </w:rPr>
        <w:t xml:space="preserve">una cooperación más estrecha con las partes interesadas y los beneficiarios.  </w:t>
      </w:r>
      <w:r w:rsidR="00114C48" w:rsidRPr="00F704B6">
        <w:rPr>
          <w:bCs/>
          <w:color w:val="000000" w:themeColor="text1"/>
        </w:rPr>
        <w:t xml:space="preserve">Para </w:t>
      </w:r>
      <w:r w:rsidR="003E79DB" w:rsidRPr="00F704B6">
        <w:rPr>
          <w:bCs/>
          <w:color w:val="000000" w:themeColor="text1"/>
        </w:rPr>
        <w:t>que</w:t>
      </w:r>
      <w:r w:rsidR="00114C48" w:rsidRPr="00F704B6">
        <w:rPr>
          <w:bCs/>
          <w:color w:val="000000" w:themeColor="text1"/>
        </w:rPr>
        <w:t xml:space="preserve"> la OMPI </w:t>
      </w:r>
      <w:r w:rsidR="003E79DB" w:rsidRPr="00F704B6">
        <w:rPr>
          <w:bCs/>
          <w:color w:val="000000" w:themeColor="text1"/>
        </w:rPr>
        <w:t xml:space="preserve">siga desarrollándose </w:t>
      </w:r>
      <w:r w:rsidR="00114C48" w:rsidRPr="00F704B6">
        <w:rPr>
          <w:bCs/>
          <w:color w:val="000000" w:themeColor="text1"/>
        </w:rPr>
        <w:t xml:space="preserve">como una verdadera organización mundial, se propone crear cinco nuevas oficinas en el exterior, en sintonía con los siguientes principios clave:  </w:t>
      </w:r>
      <w:r w:rsidR="00114C48" w:rsidRPr="00F704B6">
        <w:rPr>
          <w:color w:val="000000" w:themeColor="text1"/>
          <w:lang w:eastAsia="ja-JP"/>
        </w:rPr>
        <w:t>1) las oficinas en el exterior deben generar valor añadido y emprender actividades que puedan llevar a cabo más eficientemente que la sede de la Organización;  2) las oficinas en el exterior podrán desempeñar diferentes combinaciones de funciones según las prioridades y peculiaridades regionales;  3) una nueva oficina en el exterior sólo debe se</w:t>
      </w:r>
      <w:r w:rsidR="003E79DB" w:rsidRPr="00F704B6">
        <w:rPr>
          <w:color w:val="000000" w:themeColor="text1"/>
          <w:lang w:eastAsia="ja-JP"/>
        </w:rPr>
        <w:t>r e</w:t>
      </w:r>
      <w:r w:rsidR="00114C48" w:rsidRPr="00F704B6">
        <w:rPr>
          <w:color w:val="000000" w:themeColor="text1"/>
          <w:lang w:eastAsia="ja-JP"/>
        </w:rPr>
        <w:t xml:space="preserve">stablecida si ello resulta viable para la Organización desde el punto de vista financiero;  4) se </w:t>
      </w:r>
      <w:r w:rsidR="00114C48" w:rsidRPr="00F704B6">
        <w:rPr>
          <w:color w:val="000000" w:themeColor="text1"/>
          <w:lang w:eastAsia="ja-JP"/>
        </w:rPr>
        <w:lastRenderedPageBreak/>
        <w:t>adoptará un planteamiento gradual y prudente al determinar las funciones de las oficinas en el exterior y asignar los correspondientes recursos.</w:t>
      </w:r>
    </w:p>
    <w:p w:rsidR="00114C48" w:rsidRPr="003E79DB" w:rsidRDefault="00114C48" w:rsidP="0006587D">
      <w:pPr>
        <w:widowControl w:val="0"/>
        <w:rPr>
          <w:color w:val="000000" w:themeColor="text1"/>
        </w:rPr>
      </w:pPr>
    </w:p>
    <w:p w:rsidR="00114C48" w:rsidRPr="00F704B6" w:rsidRDefault="00F945A5" w:rsidP="0006587D">
      <w:pPr>
        <w:widowControl w:val="0"/>
        <w:rPr>
          <w:color w:val="000000" w:themeColor="text1"/>
        </w:rPr>
      </w:pPr>
      <w:r w:rsidRPr="00F704B6">
        <w:rPr>
          <w:color w:val="000000" w:themeColor="text1"/>
        </w:rPr>
        <w:t xml:space="preserve">Véase también </w:t>
      </w:r>
      <w:r w:rsidR="00114C48" w:rsidRPr="00F704B6">
        <w:rPr>
          <w:color w:val="000000" w:themeColor="text1"/>
        </w:rPr>
        <w:t>el prólogo del Director General, págin</w:t>
      </w:r>
      <w:r w:rsidR="00F704B6" w:rsidRPr="00F704B6">
        <w:rPr>
          <w:color w:val="000000" w:themeColor="text1"/>
        </w:rPr>
        <w:t>a 6</w:t>
      </w:r>
      <w:r w:rsidR="00114C48" w:rsidRPr="00F704B6">
        <w:rPr>
          <w:color w:val="000000" w:themeColor="text1"/>
        </w:rPr>
        <w:t>.</w:t>
      </w:r>
    </w:p>
    <w:p w:rsidR="00114C48" w:rsidRPr="00F704B6" w:rsidRDefault="00114C48" w:rsidP="0006587D">
      <w:pPr>
        <w:widowControl w:val="0"/>
        <w:rPr>
          <w:color w:val="000000" w:themeColor="text1"/>
        </w:rPr>
      </w:pPr>
    </w:p>
    <w:p w:rsidR="00114C48" w:rsidRPr="00F704B6" w:rsidRDefault="00114C48" w:rsidP="0006587D">
      <w:pPr>
        <w:pStyle w:val="ONUME"/>
        <w:widowControl w:val="0"/>
        <w:numPr>
          <w:ilvl w:val="0"/>
          <w:numId w:val="0"/>
        </w:numPr>
        <w:spacing w:after="0"/>
        <w:rPr>
          <w:b/>
          <w:color w:val="000000" w:themeColor="text1"/>
        </w:rPr>
      </w:pPr>
      <w:r w:rsidRPr="00F704B6">
        <w:rPr>
          <w:b/>
          <w:color w:val="000000" w:themeColor="text1"/>
        </w:rPr>
        <w:t xml:space="preserve">P2:  ¿Por qué el </w:t>
      </w:r>
      <w:r w:rsidR="00F562B5">
        <w:rPr>
          <w:b/>
          <w:color w:val="000000" w:themeColor="text1"/>
        </w:rPr>
        <w:t>programa</w:t>
      </w:r>
      <w:r w:rsidR="00F704B6" w:rsidRPr="00F704B6">
        <w:rPr>
          <w:b/>
          <w:color w:val="000000" w:themeColor="text1"/>
        </w:rPr>
        <w:t> 2</w:t>
      </w:r>
      <w:r w:rsidRPr="00F704B6">
        <w:rPr>
          <w:b/>
          <w:color w:val="000000" w:themeColor="text1"/>
        </w:rPr>
        <w:t xml:space="preserve">0 </w:t>
      </w:r>
      <w:r w:rsidR="00192DCC" w:rsidRPr="00F704B6">
        <w:rPr>
          <w:b/>
          <w:color w:val="000000" w:themeColor="text1"/>
        </w:rPr>
        <w:t>contiene</w:t>
      </w:r>
      <w:r w:rsidRPr="00F704B6">
        <w:rPr>
          <w:b/>
          <w:color w:val="000000" w:themeColor="text1"/>
        </w:rPr>
        <w:t xml:space="preserve"> el marco de resultados correspondiente a las oficinas en el exterior existentes, pero no a las nuevas oficinas propuestas?</w:t>
      </w:r>
    </w:p>
    <w:p w:rsidR="00114C48" w:rsidRPr="00F704B6" w:rsidRDefault="00114C48" w:rsidP="0006587D">
      <w:pPr>
        <w:pStyle w:val="ONUME"/>
        <w:widowControl w:val="0"/>
        <w:numPr>
          <w:ilvl w:val="0"/>
          <w:numId w:val="0"/>
        </w:numPr>
        <w:spacing w:after="0"/>
        <w:rPr>
          <w:b/>
          <w:color w:val="000000" w:themeColor="text1"/>
        </w:rPr>
      </w:pPr>
    </w:p>
    <w:p w:rsidR="00114C48" w:rsidRPr="003E79DB" w:rsidRDefault="00114C48" w:rsidP="0006587D">
      <w:pPr>
        <w:widowControl w:val="0"/>
        <w:rPr>
          <w:color w:val="000000" w:themeColor="text1"/>
        </w:rPr>
      </w:pPr>
      <w:r w:rsidRPr="00F704B6">
        <w:rPr>
          <w:b/>
          <w:color w:val="000000" w:themeColor="text1"/>
        </w:rPr>
        <w:t>R2:</w:t>
      </w:r>
      <w:r w:rsidRPr="00F704B6">
        <w:rPr>
          <w:color w:val="000000" w:themeColor="text1"/>
        </w:rPr>
        <w:t xml:space="preserve">  El marco de resultados correspondiente a las oficinas en el exterior existentes ha sido mejorado considerablemente en comparación con el bienio 2012</w:t>
      </w:r>
      <w:r w:rsidR="00A508D6">
        <w:rPr>
          <w:color w:val="000000" w:themeColor="text1"/>
        </w:rPr>
        <w:t>/1</w:t>
      </w:r>
      <w:r w:rsidRPr="00F704B6">
        <w:rPr>
          <w:color w:val="000000" w:themeColor="text1"/>
        </w:rPr>
        <w:t xml:space="preserve">3 y refleja claramente su mandato basado en las prioridades regionales.  </w:t>
      </w:r>
      <w:r w:rsidR="00A508D6">
        <w:rPr>
          <w:color w:val="000000" w:themeColor="text1"/>
        </w:rPr>
        <w:t>El marco de result</w:t>
      </w:r>
      <w:r w:rsidR="00016E37" w:rsidRPr="00F704B6">
        <w:rPr>
          <w:color w:val="000000" w:themeColor="text1"/>
        </w:rPr>
        <w:t>ados se ampliará para incluir las nuevas oficinas una vez que esté confirmada su ubicación geográfica y determinada la combinación de resultados previstos a los que contribuirían.</w:t>
      </w:r>
    </w:p>
    <w:p w:rsidR="00114C48" w:rsidRPr="003E79DB" w:rsidRDefault="00114C48" w:rsidP="0006587D">
      <w:pPr>
        <w:widowControl w:val="0"/>
        <w:rPr>
          <w:color w:val="000000" w:themeColor="text1"/>
        </w:rPr>
      </w:pPr>
    </w:p>
    <w:p w:rsidR="00114C48" w:rsidRPr="003E79DB" w:rsidRDefault="00E32183" w:rsidP="0006587D">
      <w:pPr>
        <w:pStyle w:val="ONUME"/>
        <w:widowControl w:val="0"/>
        <w:numPr>
          <w:ilvl w:val="0"/>
          <w:numId w:val="0"/>
        </w:numPr>
        <w:spacing w:after="0"/>
        <w:rPr>
          <w:b/>
          <w:color w:val="000000" w:themeColor="text1"/>
        </w:rPr>
      </w:pPr>
      <w:r w:rsidRPr="00F069C0">
        <w:rPr>
          <w:b/>
          <w:bCs/>
          <w:noProof/>
          <w:lang w:eastAsia="en-US"/>
        </w:rPr>
        <mc:AlternateContent>
          <mc:Choice Requires="wps">
            <w:drawing>
              <wp:anchor distT="0" distB="0" distL="114300" distR="114300" simplePos="0" relativeHeight="251659264" behindDoc="0" locked="0" layoutInCell="1" allowOverlap="1" wp14:anchorId="41EF5975" wp14:editId="1647C3DC">
                <wp:simplePos x="0" y="0"/>
                <wp:positionH relativeFrom="column">
                  <wp:posOffset>-865925</wp:posOffset>
                </wp:positionH>
                <wp:positionV relativeFrom="paragraph">
                  <wp:posOffset>67777</wp:posOffset>
                </wp:positionV>
                <wp:extent cx="862641" cy="27604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641" cy="276046"/>
                        </a:xfrm>
                        <a:prstGeom prst="rect">
                          <a:avLst/>
                        </a:prstGeom>
                        <a:solidFill>
                          <a:srgbClr val="FFFFFF"/>
                        </a:solidFill>
                        <a:ln w="9525">
                          <a:noFill/>
                          <a:miter lim="800000"/>
                          <a:headEnd/>
                          <a:tailEnd/>
                        </a:ln>
                      </wps:spPr>
                      <wps:txbx>
                        <w:txbxContent>
                          <w:p w:rsidR="001B01DE" w:rsidRPr="00E32183" w:rsidRDefault="001B01DE" w:rsidP="00E32183">
                            <w:pPr>
                              <w:rPr>
                                <w:b/>
                                <w:i/>
                                <w:color w:val="FF0000"/>
                                <w:sz w:val="16"/>
                                <w:szCs w:val="16"/>
                                <w:lang w:val="es-ES"/>
                              </w:rPr>
                            </w:pPr>
                            <w:r w:rsidRPr="00E32183">
                              <w:rPr>
                                <w:b/>
                                <w:i/>
                                <w:color w:val="FF0000"/>
                                <w:sz w:val="16"/>
                                <w:szCs w:val="16"/>
                                <w:lang w:val="es-ES"/>
                              </w:rPr>
                              <w:t>Actualizado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2pt;margin-top:5.35pt;width:67.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" stroked="f">
                <v:textbox>
                  <w:txbxContent>
                    <w:p w:rsidR="001B01DE" w:rsidRPr="00E32183" w:rsidRDefault="001B01DE" w:rsidP="00E32183">
                      <w:pPr>
                        <w:rPr>
                          <w:b/>
                          <w:i/>
                          <w:color w:val="FF0000"/>
                          <w:sz w:val="16"/>
                          <w:szCs w:val="16"/>
                          <w:lang w:val="es-ES"/>
                        </w:rPr>
                      </w:pPr>
                      <w:r w:rsidRPr="00E32183">
                        <w:rPr>
                          <w:b/>
                          <w:i/>
                          <w:color w:val="FF0000"/>
                          <w:sz w:val="16"/>
                          <w:szCs w:val="16"/>
                          <w:lang w:val="es-ES"/>
                        </w:rPr>
                        <w:t>Actualizado</w:t>
                      </w:r>
                    </w:p>
                  </w:txbxContent>
                </v:textbox>
              </v:shape>
            </w:pict>
          </mc:Fallback>
        </mc:AlternateContent>
      </w:r>
      <w:r w:rsidR="00114C48" w:rsidRPr="003E79DB">
        <w:rPr>
          <w:b/>
          <w:bCs/>
          <w:color w:val="000000" w:themeColor="text1"/>
        </w:rPr>
        <w:t>P3</w:t>
      </w:r>
      <w:proofErr w:type="gramStart"/>
      <w:r w:rsidR="00114C48" w:rsidRPr="003E79DB">
        <w:rPr>
          <w:b/>
          <w:bCs/>
          <w:color w:val="000000" w:themeColor="text1"/>
        </w:rPr>
        <w:t xml:space="preserve">:  </w:t>
      </w:r>
      <w:r w:rsidR="00016E37" w:rsidRPr="003E79DB">
        <w:rPr>
          <w:b/>
          <w:bCs/>
          <w:color w:val="000000" w:themeColor="text1"/>
        </w:rPr>
        <w:t>¿</w:t>
      </w:r>
      <w:proofErr w:type="gramEnd"/>
      <w:r w:rsidR="00016E37" w:rsidRPr="003E79DB">
        <w:rPr>
          <w:b/>
          <w:bCs/>
          <w:color w:val="000000" w:themeColor="text1"/>
        </w:rPr>
        <w:t xml:space="preserve">Cuál es el costo de establecer las nuevas oficinas que se propone abrir en el exterior?  ¿Cuáles son los costos de las oficinas en el exterior </w:t>
      </w:r>
      <w:r w:rsidR="003E79DB" w:rsidRPr="003E79DB">
        <w:rPr>
          <w:b/>
          <w:bCs/>
          <w:color w:val="000000" w:themeColor="text1"/>
        </w:rPr>
        <w:t xml:space="preserve">ya </w:t>
      </w:r>
      <w:r w:rsidR="00016E37" w:rsidRPr="003E79DB">
        <w:rPr>
          <w:b/>
          <w:bCs/>
          <w:color w:val="000000" w:themeColor="text1"/>
        </w:rPr>
        <w:t>existentes?</w:t>
      </w:r>
    </w:p>
    <w:p w:rsidR="00114C48" w:rsidRPr="003E79DB" w:rsidRDefault="00114C48" w:rsidP="0006587D">
      <w:pPr>
        <w:pStyle w:val="ONUME"/>
        <w:widowControl w:val="0"/>
        <w:numPr>
          <w:ilvl w:val="0"/>
          <w:numId w:val="0"/>
        </w:numPr>
        <w:spacing w:after="0"/>
        <w:rPr>
          <w:b/>
          <w:bCs/>
          <w:color w:val="000000" w:themeColor="text1"/>
        </w:rPr>
      </w:pPr>
    </w:p>
    <w:p w:rsidR="00114C48" w:rsidRPr="003E79DB" w:rsidRDefault="00114C48" w:rsidP="0006587D">
      <w:pPr>
        <w:widowControl w:val="0"/>
        <w:rPr>
          <w:color w:val="000000" w:themeColor="text1"/>
        </w:rPr>
      </w:pPr>
      <w:r w:rsidRPr="003E79DB">
        <w:rPr>
          <w:b/>
          <w:bCs/>
          <w:color w:val="000000" w:themeColor="text1"/>
        </w:rPr>
        <w:t xml:space="preserve">R3:  </w:t>
      </w:r>
      <w:r w:rsidR="00016E37" w:rsidRPr="003E79DB">
        <w:rPr>
          <w:color w:val="000000" w:themeColor="text1"/>
        </w:rPr>
        <w:t>En pro</w:t>
      </w:r>
      <w:r w:rsidR="00A508D6">
        <w:rPr>
          <w:color w:val="000000" w:themeColor="text1"/>
        </w:rPr>
        <w:t>medio, para las nuevas oficinas</w:t>
      </w:r>
      <w:r w:rsidR="00016E37" w:rsidRPr="003E79DB">
        <w:rPr>
          <w:color w:val="000000" w:themeColor="text1"/>
        </w:rPr>
        <w:t xml:space="preserve"> se han reservado aproximadamente </w:t>
      </w:r>
      <w:r w:rsidRPr="003E79DB">
        <w:rPr>
          <w:color w:val="000000" w:themeColor="text1"/>
        </w:rPr>
        <w:t>300</w:t>
      </w:r>
      <w:r w:rsidR="003E79DB" w:rsidRPr="003E79DB">
        <w:rPr>
          <w:color w:val="000000" w:themeColor="text1"/>
        </w:rPr>
        <w:t>.000</w:t>
      </w:r>
      <w:r w:rsidR="00016E37" w:rsidRPr="003E79DB">
        <w:rPr>
          <w:color w:val="000000" w:themeColor="text1"/>
        </w:rPr>
        <w:t xml:space="preserve"> francos suizos</w:t>
      </w:r>
      <w:r w:rsidRPr="003E79DB">
        <w:rPr>
          <w:color w:val="000000" w:themeColor="text1"/>
        </w:rPr>
        <w:t xml:space="preserve"> </w:t>
      </w:r>
      <w:r w:rsidR="00016E37" w:rsidRPr="003E79DB">
        <w:rPr>
          <w:color w:val="000000" w:themeColor="text1"/>
        </w:rPr>
        <w:t>para gastos no relativos a persona</w:t>
      </w:r>
      <w:r w:rsidR="003E79DB" w:rsidRPr="003E79DB">
        <w:rPr>
          <w:color w:val="000000" w:themeColor="text1"/>
        </w:rPr>
        <w:t>l</w:t>
      </w:r>
      <w:r w:rsidR="00A508D6">
        <w:rPr>
          <w:color w:val="000000" w:themeColor="text1"/>
        </w:rPr>
        <w:t xml:space="preserve"> en el bienio 2014/15</w:t>
      </w:r>
      <w:r w:rsidR="00016E37" w:rsidRPr="003E79DB">
        <w:rPr>
          <w:color w:val="000000" w:themeColor="text1"/>
        </w:rPr>
        <w:t>.  Sin embargo, los gastos reales por oficina dependen de lo siguiente:  </w:t>
      </w:r>
      <w:r w:rsidRPr="003E79DB">
        <w:rPr>
          <w:color w:val="000000" w:themeColor="text1"/>
        </w:rPr>
        <w:t>1) </w:t>
      </w:r>
      <w:r w:rsidR="00016E37" w:rsidRPr="003E79DB">
        <w:rPr>
          <w:color w:val="000000" w:themeColor="text1"/>
        </w:rPr>
        <w:t xml:space="preserve">los acuerdos y </w:t>
      </w:r>
      <w:r w:rsidR="003E79DB" w:rsidRPr="003E79DB">
        <w:rPr>
          <w:color w:val="000000" w:themeColor="text1"/>
        </w:rPr>
        <w:t>las cláusulas específico</w:t>
      </w:r>
      <w:r w:rsidR="00016E37" w:rsidRPr="003E79DB">
        <w:rPr>
          <w:color w:val="000000" w:themeColor="text1"/>
        </w:rPr>
        <w:t xml:space="preserve">s </w:t>
      </w:r>
      <w:r w:rsidR="00A508D6">
        <w:rPr>
          <w:color w:val="000000" w:themeColor="text1"/>
        </w:rPr>
        <w:t>que se concierten</w:t>
      </w:r>
      <w:r w:rsidR="00016E37" w:rsidRPr="003E79DB">
        <w:rPr>
          <w:color w:val="000000" w:themeColor="text1"/>
        </w:rPr>
        <w:t xml:space="preserve"> con los países anfitriones;  y </w:t>
      </w:r>
      <w:r w:rsidRPr="003E79DB">
        <w:rPr>
          <w:color w:val="000000" w:themeColor="text1"/>
        </w:rPr>
        <w:t xml:space="preserve">2) </w:t>
      </w:r>
      <w:r w:rsidR="00016E37" w:rsidRPr="003E79DB">
        <w:rPr>
          <w:color w:val="000000" w:themeColor="text1"/>
        </w:rPr>
        <w:t xml:space="preserve">el nivel de desarrollo de una oficina externa y los tipos de servicios que presta o </w:t>
      </w:r>
      <w:r w:rsidR="003E79DB" w:rsidRPr="003E79DB">
        <w:rPr>
          <w:color w:val="000000" w:themeColor="text1"/>
        </w:rPr>
        <w:t xml:space="preserve">de </w:t>
      </w:r>
      <w:r w:rsidR="00016E37" w:rsidRPr="003E79DB">
        <w:rPr>
          <w:color w:val="000000" w:themeColor="text1"/>
        </w:rPr>
        <w:t>productos que ofrece, lo que dificulta una comparación directa.  Cabe observar que no se prevé crear puestos para dotar de personal a las nuevas oficinas en el exterior</w:t>
      </w:r>
      <w:r w:rsidRPr="003E79DB">
        <w:rPr>
          <w:color w:val="000000" w:themeColor="text1"/>
        </w:rPr>
        <w:t>.</w:t>
      </w:r>
    </w:p>
    <w:p w:rsidR="00114C48" w:rsidRPr="003E79DB" w:rsidRDefault="00114C48" w:rsidP="0006587D">
      <w:pPr>
        <w:widowControl w:val="0"/>
        <w:rPr>
          <w:b/>
          <w:bCs/>
          <w:color w:val="000000" w:themeColor="text1"/>
        </w:rPr>
      </w:pPr>
    </w:p>
    <w:p w:rsidR="00114C48" w:rsidRDefault="00016E37" w:rsidP="0006587D">
      <w:pPr>
        <w:widowControl w:val="0"/>
        <w:rPr>
          <w:color w:val="000000" w:themeColor="text1"/>
        </w:rPr>
      </w:pPr>
      <w:r w:rsidRPr="003E79DB">
        <w:rPr>
          <w:color w:val="000000" w:themeColor="text1"/>
        </w:rPr>
        <w:t xml:space="preserve">En el cuadro siguiente </w:t>
      </w:r>
      <w:r w:rsidR="00A508D6">
        <w:rPr>
          <w:color w:val="000000" w:themeColor="text1"/>
        </w:rPr>
        <w:t>se ofrece una reseña de los costos estimados de las oficinas en el exterior que se proponen para el bienio 2014/15</w:t>
      </w:r>
      <w:proofErr w:type="gramStart"/>
      <w:r w:rsidR="00A508D6">
        <w:rPr>
          <w:color w:val="000000" w:themeColor="text1"/>
        </w:rPr>
        <w:t>,a</w:t>
      </w:r>
      <w:proofErr w:type="gramEnd"/>
      <w:r w:rsidR="00A508D6">
        <w:rPr>
          <w:color w:val="000000" w:themeColor="text1"/>
        </w:rPr>
        <w:t xml:space="preserve"> partir de los supuestos que figuran en la propuesta de presupuesto por programas para 2014/15 y, con respecto a los bienios 2016/17 y 2018/19, a partir de los supuestos que figuran en el documento WO/PBC/21/INF.1, párrafos 169 a 174.</w:t>
      </w:r>
      <w:r w:rsidR="00114C48" w:rsidRPr="003E79DB">
        <w:rPr>
          <w:color w:val="000000" w:themeColor="text1"/>
        </w:rPr>
        <w:t xml:space="preserve"> </w:t>
      </w:r>
    </w:p>
    <w:p w:rsidR="00EE4006" w:rsidRDefault="00EE4006" w:rsidP="0006587D">
      <w:pPr>
        <w:widowControl w:val="0"/>
        <w:rPr>
          <w:color w:val="000000" w:themeColor="text1"/>
        </w:rPr>
      </w:pPr>
    </w:p>
    <w:p w:rsidR="003059EA" w:rsidRPr="003E79DB" w:rsidRDefault="00EE4006" w:rsidP="0006587D">
      <w:pPr>
        <w:widowControl w:val="0"/>
        <w:rPr>
          <w:color w:val="000000" w:themeColor="text1"/>
        </w:rPr>
      </w:pPr>
      <w:r w:rsidRPr="00EE4006">
        <w:rPr>
          <w:noProof/>
          <w:lang w:val="en-US" w:eastAsia="en-US"/>
        </w:rPr>
        <w:drawing>
          <wp:inline distT="0" distB="0" distL="0" distR="0" wp14:anchorId="603DFD02" wp14:editId="4520278B">
            <wp:extent cx="5940425" cy="300859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008591"/>
                    </a:xfrm>
                    <a:prstGeom prst="rect">
                      <a:avLst/>
                    </a:prstGeom>
                    <a:noFill/>
                    <a:ln>
                      <a:noFill/>
                    </a:ln>
                  </pic:spPr>
                </pic:pic>
              </a:graphicData>
            </a:graphic>
          </wp:inline>
        </w:drawing>
      </w:r>
    </w:p>
    <w:p w:rsidR="00114C48" w:rsidRDefault="00114C48" w:rsidP="0006587D">
      <w:pPr>
        <w:widowControl w:val="0"/>
        <w:rPr>
          <w:color w:val="000000" w:themeColor="text1"/>
        </w:rPr>
      </w:pPr>
    </w:p>
    <w:p w:rsidR="003059EA" w:rsidRDefault="003059EA" w:rsidP="0006587D">
      <w:pPr>
        <w:widowControl w:val="0"/>
        <w:rPr>
          <w:color w:val="000000" w:themeColor="text1"/>
        </w:rPr>
      </w:pPr>
    </w:p>
    <w:p w:rsidR="003059EA" w:rsidRDefault="003059EA" w:rsidP="0006587D">
      <w:pPr>
        <w:widowControl w:val="0"/>
        <w:rPr>
          <w:color w:val="000000" w:themeColor="text1"/>
        </w:rPr>
      </w:pPr>
    </w:p>
    <w:p w:rsidR="003059EA" w:rsidRDefault="003059EA" w:rsidP="0006587D">
      <w:pPr>
        <w:widowControl w:val="0"/>
        <w:rPr>
          <w:color w:val="000000" w:themeColor="text1"/>
        </w:rPr>
      </w:pPr>
    </w:p>
    <w:p w:rsidR="003059EA" w:rsidRDefault="003059EA" w:rsidP="0006587D">
      <w:pPr>
        <w:widowControl w:val="0"/>
        <w:rPr>
          <w:color w:val="000000" w:themeColor="text1"/>
        </w:rPr>
      </w:pPr>
    </w:p>
    <w:p w:rsidR="003059EA" w:rsidRPr="003E79DB" w:rsidRDefault="003059EA" w:rsidP="0006587D">
      <w:pPr>
        <w:widowControl w:val="0"/>
        <w:rPr>
          <w:color w:val="000000" w:themeColor="text1"/>
        </w:rPr>
      </w:pPr>
    </w:p>
    <w:p w:rsidR="00016E37" w:rsidRPr="003E79DB" w:rsidRDefault="00EE4006" w:rsidP="0006587D">
      <w:pPr>
        <w:widowControl w:val="0"/>
        <w:rPr>
          <w:color w:val="000000" w:themeColor="text1"/>
        </w:rPr>
      </w:pPr>
      <w:r w:rsidRPr="00EE4006">
        <w:rPr>
          <w:noProof/>
          <w:lang w:val="en-US" w:eastAsia="en-US"/>
        </w:rPr>
        <w:drawing>
          <wp:inline distT="0" distB="0" distL="0" distR="0" wp14:anchorId="782BDF08" wp14:editId="46183210">
            <wp:extent cx="5940425" cy="2281923"/>
            <wp:effectExtent l="0" t="0" r="317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281923"/>
                    </a:xfrm>
                    <a:prstGeom prst="rect">
                      <a:avLst/>
                    </a:prstGeom>
                    <a:noFill/>
                    <a:ln>
                      <a:noFill/>
                    </a:ln>
                  </pic:spPr>
                </pic:pic>
              </a:graphicData>
            </a:graphic>
          </wp:inline>
        </w:drawing>
      </w:r>
    </w:p>
    <w:p w:rsidR="00114C48" w:rsidRDefault="00114C48" w:rsidP="0006587D">
      <w:pPr>
        <w:widowControl w:val="0"/>
        <w:rPr>
          <w:color w:val="000000" w:themeColor="text1"/>
        </w:rPr>
      </w:pPr>
    </w:p>
    <w:p w:rsidR="0006587D" w:rsidRDefault="0006587D" w:rsidP="0006587D">
      <w:pPr>
        <w:widowControl w:val="0"/>
        <w:rPr>
          <w:color w:val="000000" w:themeColor="text1"/>
        </w:rPr>
      </w:pPr>
    </w:p>
    <w:p w:rsidR="003059EA" w:rsidRDefault="00EE4006" w:rsidP="0006587D">
      <w:pPr>
        <w:widowControl w:val="0"/>
        <w:rPr>
          <w:color w:val="000000" w:themeColor="text1"/>
        </w:rPr>
      </w:pPr>
      <w:r w:rsidRPr="00EE4006">
        <w:rPr>
          <w:noProof/>
          <w:lang w:val="en-US" w:eastAsia="en-US"/>
        </w:rPr>
        <w:drawing>
          <wp:inline distT="0" distB="0" distL="0" distR="0" wp14:anchorId="6EB8CB8B" wp14:editId="42658803">
            <wp:extent cx="5940425" cy="1863539"/>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863539"/>
                    </a:xfrm>
                    <a:prstGeom prst="rect">
                      <a:avLst/>
                    </a:prstGeom>
                    <a:noFill/>
                    <a:ln>
                      <a:noFill/>
                    </a:ln>
                  </pic:spPr>
                </pic:pic>
              </a:graphicData>
            </a:graphic>
          </wp:inline>
        </w:drawing>
      </w:r>
    </w:p>
    <w:p w:rsidR="003059EA" w:rsidRDefault="003059EA" w:rsidP="0006587D">
      <w:pPr>
        <w:widowControl w:val="0"/>
        <w:rPr>
          <w:color w:val="000000" w:themeColor="text1"/>
        </w:rPr>
      </w:pPr>
    </w:p>
    <w:p w:rsidR="003059EA" w:rsidRDefault="003059EA" w:rsidP="0006587D">
      <w:pPr>
        <w:widowControl w:val="0"/>
        <w:rPr>
          <w:color w:val="000000" w:themeColor="text1"/>
        </w:rPr>
      </w:pPr>
    </w:p>
    <w:p w:rsidR="003059EA" w:rsidRPr="00EE4006" w:rsidRDefault="00EE4006" w:rsidP="0006587D">
      <w:pPr>
        <w:widowControl w:val="0"/>
        <w:rPr>
          <w:i/>
          <w:color w:val="000000" w:themeColor="text1"/>
          <w:sz w:val="16"/>
          <w:szCs w:val="16"/>
        </w:rPr>
      </w:pPr>
      <w:r w:rsidRPr="00EE4006">
        <w:rPr>
          <w:i/>
          <w:color w:val="000000" w:themeColor="text1"/>
          <w:sz w:val="16"/>
          <w:szCs w:val="16"/>
          <w:u w:val="single"/>
        </w:rPr>
        <w:t>Nota sobre los supuestos siguientes</w:t>
      </w:r>
      <w:r w:rsidRPr="00EE4006">
        <w:rPr>
          <w:i/>
          <w:color w:val="000000" w:themeColor="text1"/>
          <w:sz w:val="16"/>
          <w:szCs w:val="16"/>
        </w:rPr>
        <w:t>:</w:t>
      </w:r>
    </w:p>
    <w:p w:rsidR="003059EA" w:rsidRPr="00EE4006" w:rsidRDefault="00EE4006" w:rsidP="0006587D">
      <w:pPr>
        <w:widowControl w:val="0"/>
        <w:rPr>
          <w:i/>
          <w:color w:val="000000" w:themeColor="text1"/>
          <w:sz w:val="16"/>
          <w:szCs w:val="16"/>
        </w:rPr>
      </w:pPr>
      <w:r w:rsidRPr="00EE4006">
        <w:rPr>
          <w:i/>
          <w:color w:val="000000" w:themeColor="text1"/>
          <w:sz w:val="16"/>
          <w:szCs w:val="16"/>
        </w:rPr>
        <w:t>1. La dotación de personal a más largo plazo de las oficinas que se proponen en el exterior viene indicada sobre la base del párrafo</w:t>
      </w:r>
      <w:r w:rsidR="007559AB">
        <w:rPr>
          <w:i/>
          <w:color w:val="000000" w:themeColor="text1"/>
          <w:sz w:val="16"/>
          <w:szCs w:val="16"/>
        </w:rPr>
        <w:t> </w:t>
      </w:r>
      <w:r w:rsidRPr="00EE4006">
        <w:rPr>
          <w:i/>
          <w:color w:val="000000" w:themeColor="text1"/>
          <w:sz w:val="16"/>
          <w:szCs w:val="16"/>
        </w:rPr>
        <w:t>169 del documento WO/PBC/21/INF.1.</w:t>
      </w:r>
    </w:p>
    <w:p w:rsidR="00EE4006" w:rsidRPr="00EE4006" w:rsidRDefault="00EE4006" w:rsidP="0006587D">
      <w:pPr>
        <w:widowControl w:val="0"/>
        <w:rPr>
          <w:i/>
          <w:color w:val="000000" w:themeColor="text1"/>
          <w:sz w:val="16"/>
          <w:szCs w:val="16"/>
        </w:rPr>
      </w:pPr>
      <w:r w:rsidRPr="00EE4006">
        <w:rPr>
          <w:i/>
          <w:color w:val="000000" w:themeColor="text1"/>
          <w:sz w:val="16"/>
          <w:szCs w:val="16"/>
        </w:rPr>
        <w:t>2. La estructura de la dotación a más largo plazo consiste en 1 D1, 1 P5 y 1 G5 por cada oficina propuesta.</w:t>
      </w:r>
    </w:p>
    <w:p w:rsidR="00EE4006" w:rsidRDefault="00EE4006" w:rsidP="0006587D">
      <w:pPr>
        <w:widowControl w:val="0"/>
        <w:rPr>
          <w:i/>
          <w:color w:val="000000" w:themeColor="text1"/>
          <w:sz w:val="16"/>
          <w:szCs w:val="16"/>
        </w:rPr>
      </w:pPr>
      <w:r w:rsidRPr="00EE4006">
        <w:rPr>
          <w:i/>
          <w:color w:val="000000" w:themeColor="text1"/>
          <w:sz w:val="16"/>
          <w:szCs w:val="16"/>
        </w:rPr>
        <w:t xml:space="preserve">3. </w:t>
      </w:r>
      <w:r w:rsidR="007559AB">
        <w:rPr>
          <w:i/>
          <w:color w:val="000000" w:themeColor="text1"/>
          <w:sz w:val="16"/>
          <w:szCs w:val="16"/>
        </w:rPr>
        <w:t>Conforme al párrafo 171 del documento WO/PBC/21/INF.1, se espera que las instalaciones sean proporcionadas por cada gobierno anfitrión.</w:t>
      </w:r>
    </w:p>
    <w:p w:rsidR="007559AB" w:rsidRDefault="007559AB" w:rsidP="0006587D">
      <w:pPr>
        <w:widowControl w:val="0"/>
        <w:rPr>
          <w:i/>
          <w:color w:val="000000" w:themeColor="text1"/>
          <w:sz w:val="16"/>
          <w:szCs w:val="16"/>
        </w:rPr>
      </w:pPr>
      <w:r>
        <w:rPr>
          <w:i/>
          <w:color w:val="000000" w:themeColor="text1"/>
          <w:sz w:val="16"/>
          <w:szCs w:val="16"/>
        </w:rPr>
        <w:t>4. En los recursos de personal se han tenido en cuenta los aumentos reglamentarios de sueldo por antigüedad.</w:t>
      </w:r>
    </w:p>
    <w:p w:rsidR="007559AB" w:rsidRDefault="007559AB" w:rsidP="0006587D">
      <w:pPr>
        <w:widowControl w:val="0"/>
        <w:rPr>
          <w:i/>
          <w:color w:val="000000" w:themeColor="text1"/>
          <w:sz w:val="16"/>
          <w:szCs w:val="16"/>
        </w:rPr>
      </w:pPr>
    </w:p>
    <w:p w:rsidR="007559AB" w:rsidRDefault="007559AB" w:rsidP="0006587D">
      <w:pPr>
        <w:widowControl w:val="0"/>
        <w:rPr>
          <w:i/>
          <w:color w:val="000000" w:themeColor="text1"/>
          <w:sz w:val="16"/>
          <w:szCs w:val="16"/>
        </w:rPr>
      </w:pPr>
      <w:r>
        <w:rPr>
          <w:i/>
          <w:color w:val="000000" w:themeColor="text1"/>
          <w:sz w:val="16"/>
          <w:szCs w:val="16"/>
          <w:u w:val="single"/>
        </w:rPr>
        <w:t>Los supuestos y cifras anteriores pueden cambiar en función de lo siguiente</w:t>
      </w:r>
      <w:r>
        <w:rPr>
          <w:i/>
          <w:color w:val="000000" w:themeColor="text1"/>
          <w:sz w:val="16"/>
          <w:szCs w:val="16"/>
        </w:rPr>
        <w:t>:</w:t>
      </w:r>
    </w:p>
    <w:p w:rsidR="007559AB" w:rsidRDefault="007559AB" w:rsidP="0006587D">
      <w:pPr>
        <w:widowControl w:val="0"/>
        <w:rPr>
          <w:i/>
          <w:color w:val="000000" w:themeColor="text1"/>
          <w:sz w:val="16"/>
          <w:szCs w:val="16"/>
        </w:rPr>
      </w:pPr>
      <w:r>
        <w:rPr>
          <w:i/>
          <w:color w:val="000000" w:themeColor="text1"/>
          <w:sz w:val="16"/>
          <w:szCs w:val="16"/>
        </w:rPr>
        <w:t>1. La cuantía de las contribuciones de los países anfitriones.</w:t>
      </w:r>
    </w:p>
    <w:p w:rsidR="007559AB" w:rsidRDefault="007559AB" w:rsidP="0006587D">
      <w:pPr>
        <w:widowControl w:val="0"/>
        <w:rPr>
          <w:i/>
          <w:color w:val="000000" w:themeColor="text1"/>
          <w:sz w:val="16"/>
          <w:szCs w:val="16"/>
        </w:rPr>
      </w:pPr>
      <w:r>
        <w:rPr>
          <w:i/>
          <w:color w:val="000000" w:themeColor="text1"/>
          <w:sz w:val="16"/>
          <w:szCs w:val="16"/>
        </w:rPr>
        <w:t>2. La oferta y el volumen proyectado de los servicios que se presten.</w:t>
      </w:r>
    </w:p>
    <w:p w:rsidR="007559AB" w:rsidRPr="007559AB" w:rsidRDefault="007559AB" w:rsidP="0006587D">
      <w:pPr>
        <w:widowControl w:val="0"/>
        <w:rPr>
          <w:i/>
          <w:color w:val="000000" w:themeColor="text1"/>
          <w:sz w:val="16"/>
          <w:szCs w:val="16"/>
        </w:rPr>
      </w:pPr>
      <w:r>
        <w:rPr>
          <w:i/>
          <w:color w:val="000000" w:themeColor="text1"/>
          <w:sz w:val="16"/>
          <w:szCs w:val="16"/>
        </w:rPr>
        <w:t>3. La ubicación específica de la oficina en los casos en los que aún no haya sido fijada.</w:t>
      </w:r>
    </w:p>
    <w:p w:rsidR="003059EA" w:rsidRDefault="003059EA" w:rsidP="0006587D">
      <w:pPr>
        <w:widowControl w:val="0"/>
        <w:rPr>
          <w:color w:val="000000" w:themeColor="text1"/>
        </w:rPr>
      </w:pPr>
    </w:p>
    <w:p w:rsidR="006756AB" w:rsidRDefault="006756AB" w:rsidP="00832880">
      <w:pPr>
        <w:rPr>
          <w:bCs/>
        </w:rPr>
      </w:pPr>
      <w:r>
        <w:rPr>
          <w:bCs/>
        </w:rPr>
        <w:t>Las estimaciones para bienios futuros están basadas en la extrapolación de la información disponible y en la experiencia que hemos adquirido con la actual red de oficinas en el exterior.  La Secretaría propondrá los niveles de recursos de las oficinas en el exterior, tal como hace con todos los programas de la OMPI en relación con un bienio futuro, y los Estados miembros de la OMPI lo aprobarán por conducto del PBC.</w:t>
      </w:r>
    </w:p>
    <w:p w:rsidR="006756AB" w:rsidRDefault="006756AB" w:rsidP="00832880">
      <w:pPr>
        <w:rPr>
          <w:bCs/>
        </w:rPr>
      </w:pPr>
    </w:p>
    <w:p w:rsidR="006756AB" w:rsidRDefault="006756AB" w:rsidP="00832880">
      <w:pPr>
        <w:rPr>
          <w:bCs/>
        </w:rPr>
      </w:pPr>
      <w:r>
        <w:rPr>
          <w:bCs/>
        </w:rPr>
        <w:t xml:space="preserve">Las estimaciones para los bienios 16/17 y 18/19 parten de la base de que la dotación de personal de todas las nuevas oficinas (establecidas tras su aprobación por los Estados miembros) irá fortaleciéndose hasta alcanzar la meta de 1D, 1P y 1G en el marco del bienio siguiente.  En la práctica, el ritmo con el que se vayan abriendo oficinas y que estas vayan llegando a una situación “de crucero”, así como los costos conexos, irán variando en las diferentes oficinas en función de un número de factores entre los que cabe destacar, pero sin limitarse a ellos, 1) los acuerdos y las cláusulas específicas que se concierten con los países </w:t>
      </w:r>
      <w:r>
        <w:rPr>
          <w:bCs/>
        </w:rPr>
        <w:lastRenderedPageBreak/>
        <w:t>anfitriones</w:t>
      </w:r>
      <w:r w:rsidR="001B01DE">
        <w:rPr>
          <w:bCs/>
        </w:rPr>
        <w:t>;  2) el tipo y el volumen previsto de los servicios que vayan a prestar;  3) la ubicación específica de la oficina cuando aún no haya sido fijada.</w:t>
      </w:r>
    </w:p>
    <w:p w:rsidR="001B01DE" w:rsidRDefault="001B01DE" w:rsidP="00832880">
      <w:pPr>
        <w:rPr>
          <w:bCs/>
        </w:rPr>
      </w:pPr>
    </w:p>
    <w:p w:rsidR="001B01DE" w:rsidRDefault="001B01DE" w:rsidP="00832880">
      <w:pPr>
        <w:rPr>
          <w:bCs/>
        </w:rPr>
      </w:pPr>
      <w:r>
        <w:rPr>
          <w:bCs/>
        </w:rPr>
        <w:t>La asignación de los recursos humanos a las oficinas planificadas en el exterior se logrará mediante la redistribución de funcionarios o de puestos/plazas vacantes, es decir, que no se incrementará el número total de funcionarios en nómina a la hora de dotar de personal a esas oficinas.  Sin embargo, aún se desconocen las repercusiones que puedan tener ciertas iniciativas nuevas</w:t>
      </w:r>
      <w:r w:rsidR="00D03AD2">
        <w:rPr>
          <w:bCs/>
        </w:rPr>
        <w:t>,</w:t>
      </w:r>
      <w:r>
        <w:rPr>
          <w:bCs/>
        </w:rPr>
        <w:t xml:space="preserve"> como </w:t>
      </w:r>
      <w:r w:rsidR="00D03AD2">
        <w:rPr>
          <w:bCs/>
        </w:rPr>
        <w:t>la mejora del plan de continuidad de las operaciones centrales de la OMPI en los sectores del PCT, Madrid y La Haya, en el nivel requerido de recursos humanos.  Vale la pena repetir que esa incidencia no es directamente atribuible al costo de las oficinas en el exterior sino más bien a los programas pertinentes de la OMPI dedicados a prestar servicios de P.I. a escala mundial.</w:t>
      </w:r>
    </w:p>
    <w:p w:rsidR="00D03AD2" w:rsidRDefault="00D03AD2" w:rsidP="00832880">
      <w:pPr>
        <w:rPr>
          <w:bCs/>
        </w:rPr>
      </w:pPr>
    </w:p>
    <w:p w:rsidR="00D03AD2" w:rsidRDefault="00D03AD2" w:rsidP="00832880">
      <w:pPr>
        <w:rPr>
          <w:bCs/>
        </w:rPr>
      </w:pPr>
      <w:r>
        <w:rPr>
          <w:bCs/>
        </w:rPr>
        <w:t>Las oficinas en el exterior (existentes y nuevas) estarán regidas por el Marco de la OMPI de Gestión por Resultados, y por esa razón serán objeto de seguimiento y control del rendimiento al igual que todos los programas de la OMPI.  A tales efectos, en la propuesta de presupuesto por programas para 2014/15 se ha fortalecido considerablemente el marco de resultados de las oficinas en el exterior.  Se prepararán marcos similares para las oficinas planificadas en el exterior en función de las funciones y especificidades que tengan.</w:t>
      </w:r>
    </w:p>
    <w:p w:rsidR="00D03AD2" w:rsidRDefault="00D03AD2" w:rsidP="00832880">
      <w:pPr>
        <w:rPr>
          <w:bCs/>
        </w:rPr>
      </w:pPr>
    </w:p>
    <w:p w:rsidR="00D03AD2" w:rsidRPr="003E79DB" w:rsidRDefault="00D03AD2" w:rsidP="00D03AD2">
      <w:pPr>
        <w:widowControl w:val="0"/>
        <w:rPr>
          <w:color w:val="000000" w:themeColor="text1"/>
        </w:rPr>
      </w:pPr>
      <w:r w:rsidRPr="003E79DB">
        <w:rPr>
          <w:color w:val="000000" w:themeColor="text1"/>
        </w:rPr>
        <w:t xml:space="preserve">En el cuadro siguiente figura el desglose de recursos para las oficinas ya existentes en el exterior, presupuestados en el marco del programa 20: </w:t>
      </w:r>
    </w:p>
    <w:p w:rsidR="00D03AD2" w:rsidRPr="003E79DB" w:rsidRDefault="00D03AD2" w:rsidP="00D03AD2">
      <w:pPr>
        <w:widowControl w:val="0"/>
        <w:rPr>
          <w:color w:val="000000" w:themeColor="text1"/>
        </w:rPr>
      </w:pPr>
    </w:p>
    <w:p w:rsidR="00D03AD2" w:rsidRPr="003E79DB" w:rsidRDefault="00D03AD2" w:rsidP="00D03AD2">
      <w:pPr>
        <w:widowControl w:val="0"/>
        <w:rPr>
          <w:color w:val="000000" w:themeColor="text1"/>
        </w:rPr>
      </w:pPr>
      <w:r w:rsidRPr="003E79DB">
        <w:rPr>
          <w:noProof/>
          <w:color w:val="000000" w:themeColor="text1"/>
          <w:lang w:val="en-US" w:eastAsia="en-US"/>
        </w:rPr>
        <w:drawing>
          <wp:inline distT="0" distB="0" distL="0" distR="0" wp14:anchorId="7DC97EEB" wp14:editId="36170C09">
            <wp:extent cx="5940425" cy="190768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1907680"/>
                    </a:xfrm>
                    <a:prstGeom prst="rect">
                      <a:avLst/>
                    </a:prstGeom>
                    <a:noFill/>
                    <a:ln>
                      <a:noFill/>
                    </a:ln>
                  </pic:spPr>
                </pic:pic>
              </a:graphicData>
            </a:graphic>
          </wp:inline>
        </w:drawing>
      </w:r>
    </w:p>
    <w:p w:rsidR="00D03AD2" w:rsidRDefault="00D03AD2" w:rsidP="00D03AD2">
      <w:pPr>
        <w:widowControl w:val="0"/>
        <w:rPr>
          <w:color w:val="000000" w:themeColor="text1"/>
        </w:rPr>
      </w:pPr>
    </w:p>
    <w:p w:rsidR="006756AB" w:rsidRDefault="006756AB" w:rsidP="00832880">
      <w:pPr>
        <w:rPr>
          <w:bCs/>
        </w:rPr>
      </w:pPr>
      <w:bookmarkStart w:id="0" w:name="_GoBack"/>
      <w:bookmarkEnd w:id="0"/>
    </w:p>
    <w:p w:rsidR="0008518D" w:rsidRPr="007D6A86" w:rsidRDefault="0008518D" w:rsidP="00832880">
      <w:pPr>
        <w:rPr>
          <w:b/>
          <w:bCs/>
        </w:rPr>
      </w:pPr>
      <w:r w:rsidRPr="007D6A86">
        <w:rPr>
          <w:b/>
          <w:bCs/>
        </w:rPr>
        <w:t>P4</w:t>
      </w:r>
      <w:proofErr w:type="gramStart"/>
      <w:r w:rsidRPr="007D6A86">
        <w:rPr>
          <w:b/>
          <w:bCs/>
        </w:rPr>
        <w:t>:  Explique</w:t>
      </w:r>
      <w:proofErr w:type="gramEnd"/>
      <w:r w:rsidRPr="007D6A86">
        <w:rPr>
          <w:b/>
          <w:bCs/>
        </w:rPr>
        <w:t xml:space="preserve"> de dónde procede la financiación de las nuevas oficinas en </w:t>
      </w:r>
      <w:r>
        <w:rPr>
          <w:b/>
          <w:bCs/>
        </w:rPr>
        <w:t>la propuesta de</w:t>
      </w:r>
      <w:r w:rsidRPr="007D6A86">
        <w:rPr>
          <w:b/>
          <w:bCs/>
        </w:rPr>
        <w:t xml:space="preserve"> presupue</w:t>
      </w:r>
      <w:r w:rsidR="003059EA">
        <w:rPr>
          <w:b/>
          <w:bCs/>
        </w:rPr>
        <w:t>sto por programas para 2014/15.</w:t>
      </w:r>
    </w:p>
    <w:p w:rsidR="0008518D" w:rsidRPr="00832880" w:rsidRDefault="0008518D" w:rsidP="00832880">
      <w:pPr>
        <w:widowControl w:val="0"/>
        <w:rPr>
          <w:color w:val="000000" w:themeColor="text1"/>
        </w:rPr>
      </w:pPr>
    </w:p>
    <w:p w:rsidR="0008518D" w:rsidRPr="007D6A86" w:rsidRDefault="0008518D" w:rsidP="00832880">
      <w:pPr>
        <w:widowControl w:val="0"/>
      </w:pPr>
      <w:r w:rsidRPr="00832880">
        <w:rPr>
          <w:b/>
          <w:color w:val="000000" w:themeColor="text1"/>
        </w:rPr>
        <w:t>R</w:t>
      </w:r>
      <w:r w:rsidRPr="007D6A86">
        <w:rPr>
          <w:b/>
        </w:rPr>
        <w:t>4:</w:t>
      </w:r>
      <w:r w:rsidRPr="007D6A86">
        <w:t xml:space="preserve">  Tal como se indicó en la respuesta a la pregunta 12, </w:t>
      </w:r>
      <w:r w:rsidRPr="007D6A86">
        <w:rPr>
          <w:i/>
        </w:rPr>
        <w:t>supra</w:t>
      </w:r>
      <w:r w:rsidRPr="007D6A86">
        <w:t xml:space="preserve">, </w:t>
      </w:r>
      <w:r w:rsidRPr="007D6A86">
        <w:rPr>
          <w:bCs/>
          <w:color w:val="000000" w:themeColor="text1"/>
        </w:rPr>
        <w:t xml:space="preserve">las mejoras de la eficacia en función de los costos </w:t>
      </w:r>
      <w:r>
        <w:rPr>
          <w:bCs/>
          <w:color w:val="000000" w:themeColor="text1"/>
        </w:rPr>
        <w:t xml:space="preserve">logradas en el bienio </w:t>
      </w:r>
      <w:r w:rsidRPr="007D6A86">
        <w:t xml:space="preserve">2012/13 </w:t>
      </w:r>
      <w:r w:rsidRPr="007D6A86">
        <w:rPr>
          <w:bCs/>
          <w:color w:val="000000" w:themeColor="text1"/>
        </w:rPr>
        <w:t>se han tenido plenamente en cuenta en las referencias de base utilizadas en la propuesta de presupuesto por programas</w:t>
      </w:r>
      <w:r>
        <w:rPr>
          <w:bCs/>
          <w:color w:val="000000" w:themeColor="text1"/>
        </w:rPr>
        <w:t xml:space="preserve"> para</w:t>
      </w:r>
      <w:r>
        <w:t xml:space="preserve"> 2014/15.  </w:t>
      </w:r>
      <w:r w:rsidRPr="007D6A86">
        <w:t xml:space="preserve">Gracias al empeño continuo de la Secretaría por </w:t>
      </w:r>
      <w:r>
        <w:t>aumentar la</w:t>
      </w:r>
      <w:r w:rsidRPr="007D6A86">
        <w:t xml:space="preserve"> eficacia en función de los costos, ha sido posible </w:t>
      </w:r>
      <w:r>
        <w:t>hacer frente a varia</w:t>
      </w:r>
      <w:r w:rsidRPr="007D6A86">
        <w:t xml:space="preserve">s </w:t>
      </w:r>
      <w:r>
        <w:t xml:space="preserve">formas de </w:t>
      </w:r>
      <w:r w:rsidRPr="007D6A86">
        <w:t xml:space="preserve">presión al alza en los costos </w:t>
      </w:r>
      <w:r w:rsidR="00832880">
        <w:t>de</w:t>
      </w:r>
      <w:r w:rsidRPr="007D6A86">
        <w:t xml:space="preserve"> iniciativas</w:t>
      </w:r>
      <w:r w:rsidR="00832880">
        <w:t xml:space="preserve"> específicas</w:t>
      </w:r>
      <w:r w:rsidRPr="007D6A86">
        <w:t>, entre</w:t>
      </w:r>
      <w:r>
        <w:t xml:space="preserve"> otras</w:t>
      </w:r>
      <w:r w:rsidRPr="007D6A86">
        <w:t>, el establecimiento d</w:t>
      </w:r>
      <w:r>
        <w:t xml:space="preserve">e </w:t>
      </w:r>
      <w:r w:rsidR="00832880">
        <w:t xml:space="preserve">las </w:t>
      </w:r>
      <w:r>
        <w:t xml:space="preserve">nuevas oficinas en el exterior.  </w:t>
      </w:r>
      <w:r w:rsidRPr="007D6A86">
        <w:t xml:space="preserve">En consecuencia, no se prevé utilizar fondos adicionales con ese fin, más allá de lo que ha sido claramente </w:t>
      </w:r>
      <w:r w:rsidR="00832880">
        <w:t xml:space="preserve">expuesto para ser </w:t>
      </w:r>
      <w:r w:rsidRPr="007D6A86">
        <w:t>sometido a</w:t>
      </w:r>
      <w:r>
        <w:t>l examen y la</w:t>
      </w:r>
      <w:r w:rsidRPr="007D6A86">
        <w:t xml:space="preserve"> aprobación </w:t>
      </w:r>
      <w:r>
        <w:t xml:space="preserve">de </w:t>
      </w:r>
      <w:r w:rsidRPr="007D6A86">
        <w:t>los Estados miembros en el marco de la propuesta de presupuesto por programas para 2014/15.</w:t>
      </w:r>
    </w:p>
    <w:p w:rsidR="0008518D" w:rsidRDefault="0008518D" w:rsidP="0006587D">
      <w:pPr>
        <w:widowControl w:val="0"/>
        <w:rPr>
          <w:color w:val="000000" w:themeColor="text1"/>
          <w:szCs w:val="22"/>
        </w:rPr>
      </w:pPr>
    </w:p>
    <w:p w:rsidR="0008518D" w:rsidRDefault="0008518D" w:rsidP="0006587D">
      <w:pPr>
        <w:widowControl w:val="0"/>
        <w:rPr>
          <w:color w:val="000000" w:themeColor="text1"/>
          <w:szCs w:val="22"/>
        </w:rPr>
      </w:pPr>
    </w:p>
    <w:p w:rsidR="00832880" w:rsidRDefault="00832880">
      <w:pPr>
        <w:rPr>
          <w:color w:val="000000" w:themeColor="text1"/>
          <w:szCs w:val="22"/>
        </w:rPr>
      </w:pPr>
    </w:p>
    <w:p w:rsidR="00114C48" w:rsidRPr="0006587D" w:rsidRDefault="0049444F" w:rsidP="0006587D">
      <w:pPr>
        <w:widowControl w:val="0"/>
        <w:rPr>
          <w:color w:val="000000" w:themeColor="text1"/>
          <w:szCs w:val="22"/>
        </w:rPr>
      </w:pPr>
      <w:r w:rsidRPr="0006587D">
        <w:rPr>
          <w:color w:val="000000" w:themeColor="text1"/>
          <w:szCs w:val="22"/>
        </w:rPr>
        <w:t>META ESTRATÉGICA</w:t>
      </w:r>
      <w:r w:rsidR="00114C48" w:rsidRPr="0006587D">
        <w:rPr>
          <w:color w:val="000000" w:themeColor="text1"/>
          <w:szCs w:val="22"/>
        </w:rPr>
        <w:t xml:space="preserve"> IX:  </w:t>
      </w:r>
      <w:r w:rsidRPr="0006587D">
        <w:rPr>
          <w:color w:val="000000" w:themeColor="text1"/>
          <w:szCs w:val="22"/>
        </w:rPr>
        <w:t>APOYO ADMINISTRATIVO Y FINANCIERO EFICIENTE</w:t>
      </w:r>
    </w:p>
    <w:p w:rsidR="00114C48" w:rsidRPr="0006587D" w:rsidRDefault="00114C48" w:rsidP="0006587D">
      <w:pPr>
        <w:widowControl w:val="0"/>
        <w:rPr>
          <w:smallCaps/>
          <w:color w:val="000000" w:themeColor="text1"/>
          <w:szCs w:val="22"/>
          <w:u w:val="single"/>
        </w:rPr>
      </w:pPr>
    </w:p>
    <w:p w:rsidR="00114C48" w:rsidRPr="00F704B6" w:rsidRDefault="00114C48" w:rsidP="0006587D">
      <w:pPr>
        <w:pStyle w:val="ONUME"/>
        <w:widowControl w:val="0"/>
        <w:numPr>
          <w:ilvl w:val="0"/>
          <w:numId w:val="0"/>
        </w:numPr>
        <w:spacing w:after="0"/>
        <w:rPr>
          <w:b/>
          <w:color w:val="000000" w:themeColor="text1"/>
        </w:rPr>
      </w:pPr>
      <w:r w:rsidRPr="00F704B6">
        <w:rPr>
          <w:b/>
          <w:color w:val="000000" w:themeColor="text1"/>
        </w:rPr>
        <w:t xml:space="preserve">P1:  </w:t>
      </w:r>
      <w:r w:rsidR="0049444F" w:rsidRPr="00F704B6">
        <w:rPr>
          <w:b/>
          <w:color w:val="000000" w:themeColor="text1"/>
        </w:rPr>
        <w:t xml:space="preserve">Se ha anunciado que se presentará una nueva estrategia de la OMPI </w:t>
      </w:r>
      <w:r w:rsidR="003E79DB" w:rsidRPr="00F704B6">
        <w:rPr>
          <w:b/>
          <w:color w:val="000000" w:themeColor="text1"/>
        </w:rPr>
        <w:t>de</w:t>
      </w:r>
      <w:r w:rsidR="0049444F" w:rsidRPr="00F704B6">
        <w:rPr>
          <w:b/>
          <w:color w:val="000000" w:themeColor="text1"/>
        </w:rPr>
        <w:t xml:space="preserve"> recursos </w:t>
      </w:r>
      <w:r w:rsidR="0049444F" w:rsidRPr="00F704B6">
        <w:rPr>
          <w:b/>
          <w:color w:val="000000" w:themeColor="text1"/>
        </w:rPr>
        <w:lastRenderedPageBreak/>
        <w:t>humanos.  ¿Podría indicar cuándo se pondrá a disposición de los Estados miembros</w:t>
      </w:r>
      <w:r w:rsidRPr="00F704B6">
        <w:rPr>
          <w:b/>
          <w:color w:val="000000" w:themeColor="text1"/>
        </w:rPr>
        <w:t xml:space="preserve">?  </w:t>
      </w:r>
    </w:p>
    <w:p w:rsidR="00114C48" w:rsidRPr="00F704B6" w:rsidRDefault="00114C48" w:rsidP="0006587D">
      <w:pPr>
        <w:pStyle w:val="ONUME"/>
        <w:widowControl w:val="0"/>
        <w:numPr>
          <w:ilvl w:val="0"/>
          <w:numId w:val="0"/>
        </w:numPr>
        <w:spacing w:after="0"/>
        <w:rPr>
          <w:b/>
          <w:color w:val="000000" w:themeColor="text1"/>
        </w:rPr>
      </w:pPr>
    </w:p>
    <w:p w:rsidR="00114C48" w:rsidRPr="00F704B6" w:rsidRDefault="00114C48" w:rsidP="0006587D">
      <w:pPr>
        <w:widowControl w:val="0"/>
        <w:rPr>
          <w:color w:val="000000" w:themeColor="text1"/>
        </w:rPr>
      </w:pPr>
      <w:r w:rsidRPr="00F704B6">
        <w:rPr>
          <w:b/>
          <w:color w:val="000000" w:themeColor="text1"/>
        </w:rPr>
        <w:t>R1:</w:t>
      </w:r>
      <w:r w:rsidRPr="00F704B6">
        <w:rPr>
          <w:color w:val="000000" w:themeColor="text1"/>
        </w:rPr>
        <w:t xml:space="preserve"> </w:t>
      </w:r>
      <w:r w:rsidR="0049444F" w:rsidRPr="00F704B6">
        <w:rPr>
          <w:color w:val="000000" w:themeColor="text1"/>
        </w:rPr>
        <w:t xml:space="preserve"> La nueva estrategia de recursos humanos se presentará a l</w:t>
      </w:r>
      <w:r w:rsidR="00F704B6" w:rsidRPr="00F704B6">
        <w:rPr>
          <w:color w:val="000000" w:themeColor="text1"/>
        </w:rPr>
        <w:t>a 2</w:t>
      </w:r>
      <w:r w:rsidRPr="00F704B6">
        <w:rPr>
          <w:color w:val="000000" w:themeColor="text1"/>
        </w:rPr>
        <w:t>1</w:t>
      </w:r>
      <w:r w:rsidR="0049444F" w:rsidRPr="00F704B6">
        <w:rPr>
          <w:color w:val="000000" w:themeColor="text1"/>
          <w:vertAlign w:val="superscript"/>
        </w:rPr>
        <w:t>ª</w:t>
      </w:r>
      <w:r w:rsidRPr="00F704B6">
        <w:rPr>
          <w:color w:val="000000" w:themeColor="text1"/>
        </w:rPr>
        <w:t xml:space="preserve"> </w:t>
      </w:r>
      <w:r w:rsidR="0049444F" w:rsidRPr="00F704B6">
        <w:rPr>
          <w:color w:val="000000" w:themeColor="text1"/>
        </w:rPr>
        <w:t xml:space="preserve">sesión del </w:t>
      </w:r>
      <w:r w:rsidRPr="00F704B6">
        <w:rPr>
          <w:color w:val="000000" w:themeColor="text1"/>
        </w:rPr>
        <w:t>PBC</w:t>
      </w:r>
      <w:r w:rsidR="0049444F" w:rsidRPr="00F704B6">
        <w:rPr>
          <w:color w:val="000000" w:themeColor="text1"/>
        </w:rPr>
        <w:t>, en septiembre d</w:t>
      </w:r>
      <w:r w:rsidR="00F704B6" w:rsidRPr="00F704B6">
        <w:rPr>
          <w:color w:val="000000" w:themeColor="text1"/>
        </w:rPr>
        <w:t>e 2</w:t>
      </w:r>
      <w:r w:rsidRPr="00F704B6">
        <w:rPr>
          <w:color w:val="000000" w:themeColor="text1"/>
        </w:rPr>
        <w:t>013</w:t>
      </w:r>
      <w:r w:rsidR="0049444F" w:rsidRPr="00F704B6">
        <w:rPr>
          <w:color w:val="000000" w:themeColor="text1"/>
        </w:rPr>
        <w:t>, y al Comité de Coordinación de la OMPI</w:t>
      </w:r>
      <w:r w:rsidRPr="00F704B6">
        <w:rPr>
          <w:color w:val="000000" w:themeColor="text1"/>
        </w:rPr>
        <w:t>.</w:t>
      </w:r>
    </w:p>
    <w:p w:rsidR="00114C48" w:rsidRPr="00F704B6" w:rsidRDefault="00114C48" w:rsidP="0006587D">
      <w:pPr>
        <w:widowControl w:val="0"/>
        <w:rPr>
          <w:b/>
          <w:color w:val="000000" w:themeColor="text1"/>
        </w:rPr>
      </w:pPr>
    </w:p>
    <w:p w:rsidR="0049444F" w:rsidRPr="003E79DB" w:rsidRDefault="00114C48" w:rsidP="0006587D">
      <w:pPr>
        <w:pStyle w:val="ONUME"/>
        <w:widowControl w:val="0"/>
        <w:numPr>
          <w:ilvl w:val="0"/>
          <w:numId w:val="0"/>
        </w:numPr>
        <w:spacing w:after="0"/>
        <w:rPr>
          <w:b/>
          <w:color w:val="000000" w:themeColor="text1"/>
        </w:rPr>
      </w:pPr>
      <w:r w:rsidRPr="00F704B6">
        <w:rPr>
          <w:b/>
          <w:color w:val="000000" w:themeColor="text1"/>
        </w:rPr>
        <w:t xml:space="preserve">P2:  </w:t>
      </w:r>
      <w:r w:rsidR="0049444F" w:rsidRPr="00F704B6">
        <w:rPr>
          <w:b/>
          <w:color w:val="000000" w:themeColor="text1"/>
        </w:rPr>
        <w:t xml:space="preserve">En la descripción del </w:t>
      </w:r>
      <w:r w:rsidR="003E79DB" w:rsidRPr="00F704B6">
        <w:rPr>
          <w:b/>
          <w:color w:val="000000" w:themeColor="text1"/>
        </w:rPr>
        <w:t>program</w:t>
      </w:r>
      <w:r w:rsidR="00F704B6" w:rsidRPr="00F704B6">
        <w:rPr>
          <w:b/>
          <w:color w:val="000000" w:themeColor="text1"/>
        </w:rPr>
        <w:t>a 2</w:t>
      </w:r>
      <w:r w:rsidRPr="00F704B6">
        <w:rPr>
          <w:b/>
          <w:color w:val="000000" w:themeColor="text1"/>
        </w:rPr>
        <w:t xml:space="preserve">5 </w:t>
      </w:r>
      <w:r w:rsidR="0049444F" w:rsidRPr="00F704B6">
        <w:rPr>
          <w:b/>
          <w:color w:val="000000" w:themeColor="text1"/>
        </w:rPr>
        <w:t>se hace referencia a amplias subcontrataciones en el ámbito de las TI.  ¿Podría explicar en mayor detalle esa estrategia de subcontratación?</w:t>
      </w:r>
    </w:p>
    <w:p w:rsidR="0049444F" w:rsidRPr="003E79DB" w:rsidRDefault="0049444F" w:rsidP="0006587D">
      <w:pPr>
        <w:pStyle w:val="ONUME"/>
        <w:widowControl w:val="0"/>
        <w:numPr>
          <w:ilvl w:val="0"/>
          <w:numId w:val="0"/>
        </w:numPr>
        <w:spacing w:after="0"/>
        <w:rPr>
          <w:b/>
          <w:color w:val="000000" w:themeColor="text1"/>
        </w:rPr>
      </w:pPr>
    </w:p>
    <w:p w:rsidR="00114C48" w:rsidRPr="003E79DB" w:rsidRDefault="00114C48" w:rsidP="0006587D">
      <w:pPr>
        <w:widowControl w:val="0"/>
        <w:rPr>
          <w:color w:val="000000" w:themeColor="text1"/>
        </w:rPr>
      </w:pPr>
      <w:r w:rsidRPr="003E79DB">
        <w:rPr>
          <w:b/>
          <w:color w:val="000000" w:themeColor="text1"/>
        </w:rPr>
        <w:t>R2:</w:t>
      </w:r>
      <w:r w:rsidRPr="003E79DB">
        <w:rPr>
          <w:color w:val="000000" w:themeColor="text1"/>
        </w:rPr>
        <w:t xml:space="preserve">  </w:t>
      </w:r>
      <w:r w:rsidR="0049444F" w:rsidRPr="003E79DB">
        <w:rPr>
          <w:color w:val="000000" w:themeColor="text1"/>
        </w:rPr>
        <w:t xml:space="preserve">Es necesario </w:t>
      </w:r>
      <w:r w:rsidR="003E79DB" w:rsidRPr="003E79DB">
        <w:rPr>
          <w:color w:val="000000" w:themeColor="text1"/>
        </w:rPr>
        <w:t>lograr</w:t>
      </w:r>
      <w:r w:rsidR="0049444F" w:rsidRPr="003E79DB">
        <w:rPr>
          <w:color w:val="000000" w:themeColor="text1"/>
        </w:rPr>
        <w:t xml:space="preserve"> una combinación atinada</w:t>
      </w:r>
      <w:r w:rsidRPr="003E79DB">
        <w:rPr>
          <w:color w:val="000000" w:themeColor="text1"/>
        </w:rPr>
        <w:t xml:space="preserve"> </w:t>
      </w:r>
      <w:r w:rsidR="0049444F" w:rsidRPr="003E79DB">
        <w:rPr>
          <w:color w:val="000000" w:themeColor="text1"/>
        </w:rPr>
        <w:t xml:space="preserve">entre el </w:t>
      </w:r>
      <w:r w:rsidR="00192DCC" w:rsidRPr="003E79DB">
        <w:rPr>
          <w:color w:val="000000" w:themeColor="text1"/>
        </w:rPr>
        <w:t>trabajo</w:t>
      </w:r>
      <w:r w:rsidR="0049444F" w:rsidRPr="003E79DB">
        <w:rPr>
          <w:color w:val="000000" w:themeColor="text1"/>
        </w:rPr>
        <w:t xml:space="preserve"> que se realiza a nivel interno y la subcontratación, para encontrar la solución más costoeficaz.  Por lo general, en las fases de </w:t>
      </w:r>
      <w:r w:rsidR="00192DCC" w:rsidRPr="003E79DB">
        <w:rPr>
          <w:color w:val="000000" w:themeColor="text1"/>
        </w:rPr>
        <w:t>desarrollo</w:t>
      </w:r>
      <w:r w:rsidR="003E79DB" w:rsidRPr="003E79DB">
        <w:rPr>
          <w:color w:val="000000" w:themeColor="text1"/>
        </w:rPr>
        <w:t>, la subcontratación atañe a</w:t>
      </w:r>
      <w:r w:rsidR="0049444F" w:rsidRPr="003E79DB">
        <w:rPr>
          <w:color w:val="000000" w:themeColor="text1"/>
        </w:rPr>
        <w:t xml:space="preserve"> los conocimientos especializados.  Se realizan a nivel interno el diseño y la gestión de los proyectos de TI.  Los </w:t>
      </w:r>
      <w:r w:rsidR="00192DCC" w:rsidRPr="003E79DB">
        <w:rPr>
          <w:color w:val="000000" w:themeColor="text1"/>
        </w:rPr>
        <w:t>ejemplos</w:t>
      </w:r>
      <w:r w:rsidR="0049444F" w:rsidRPr="003E79DB">
        <w:rPr>
          <w:color w:val="000000" w:themeColor="text1"/>
        </w:rPr>
        <w:t xml:space="preserve"> de proyectos para los que se ha aplicado ese modelo son:  PRI,</w:t>
      </w:r>
      <w:r w:rsidR="003E79DB" w:rsidRPr="003E79DB">
        <w:rPr>
          <w:color w:val="000000" w:themeColor="text1"/>
        </w:rPr>
        <w:t xml:space="preserve"> TIGA</w:t>
      </w:r>
      <w:r w:rsidRPr="003E79DB">
        <w:rPr>
          <w:color w:val="000000" w:themeColor="text1"/>
        </w:rPr>
        <w:t>R, WIPO GREEN, WIPO Re:Search.</w:t>
      </w:r>
    </w:p>
    <w:p w:rsidR="00114C48" w:rsidRPr="003E79DB" w:rsidRDefault="00114C48" w:rsidP="0006587D">
      <w:pPr>
        <w:widowControl w:val="0"/>
        <w:rPr>
          <w:b/>
          <w:smallCaps/>
          <w:color w:val="000000" w:themeColor="text1"/>
          <w:sz w:val="24"/>
          <w:szCs w:val="24"/>
          <w:u w:val="single"/>
        </w:rPr>
      </w:pPr>
    </w:p>
    <w:p w:rsidR="00114C48" w:rsidRPr="003E79DB" w:rsidRDefault="00114C48" w:rsidP="0006587D">
      <w:pPr>
        <w:pStyle w:val="ONUME"/>
        <w:widowControl w:val="0"/>
        <w:numPr>
          <w:ilvl w:val="0"/>
          <w:numId w:val="0"/>
        </w:numPr>
        <w:spacing w:after="0"/>
        <w:rPr>
          <w:b/>
          <w:color w:val="000000" w:themeColor="text1"/>
        </w:rPr>
      </w:pPr>
      <w:r w:rsidRPr="003E79DB">
        <w:rPr>
          <w:b/>
          <w:bCs/>
          <w:color w:val="000000" w:themeColor="text1"/>
        </w:rPr>
        <w:t xml:space="preserve">P3:  </w:t>
      </w:r>
      <w:r w:rsidR="0049444F" w:rsidRPr="003E79DB">
        <w:rPr>
          <w:b/>
          <w:bCs/>
          <w:color w:val="000000" w:themeColor="text1"/>
        </w:rPr>
        <w:t>Confirme si las políticas de la OMPI en materia de viajes se han armonizado totalmente con las de las Naciones Unidas</w:t>
      </w:r>
      <w:r w:rsidRPr="003E79DB">
        <w:rPr>
          <w:b/>
          <w:color w:val="000000" w:themeColor="text1"/>
        </w:rPr>
        <w:t>.</w:t>
      </w:r>
    </w:p>
    <w:p w:rsidR="0049444F" w:rsidRPr="003E79DB" w:rsidRDefault="0049444F" w:rsidP="0006587D">
      <w:pPr>
        <w:pStyle w:val="ONUME"/>
        <w:widowControl w:val="0"/>
        <w:numPr>
          <w:ilvl w:val="0"/>
          <w:numId w:val="0"/>
        </w:numPr>
        <w:spacing w:after="0"/>
        <w:rPr>
          <w:b/>
          <w:bCs/>
          <w:color w:val="000000" w:themeColor="text1"/>
        </w:rPr>
      </w:pPr>
    </w:p>
    <w:p w:rsidR="0049444F" w:rsidRPr="003E79DB" w:rsidRDefault="00114C48" w:rsidP="0006587D">
      <w:pPr>
        <w:widowControl w:val="0"/>
        <w:rPr>
          <w:color w:val="000000" w:themeColor="text1"/>
        </w:rPr>
      </w:pPr>
      <w:r w:rsidRPr="003E79DB">
        <w:rPr>
          <w:b/>
          <w:bCs/>
          <w:color w:val="000000" w:themeColor="text1"/>
        </w:rPr>
        <w:t xml:space="preserve">R3:  </w:t>
      </w:r>
      <w:r w:rsidR="0049444F" w:rsidRPr="003E79DB">
        <w:rPr>
          <w:color w:val="000000" w:themeColor="text1"/>
        </w:rPr>
        <w:t>Las políticas oficiales de la OMPI en materia de viajes se han armonizado con las de las Naciones Unidas.  Entre los elementos de éstas cabe señalar lo siguientes:</w:t>
      </w:r>
    </w:p>
    <w:p w:rsidR="00114C48" w:rsidRPr="003E79DB" w:rsidRDefault="00114C48" w:rsidP="0006587D">
      <w:pPr>
        <w:widowControl w:val="0"/>
        <w:rPr>
          <w:b/>
          <w:bCs/>
          <w:color w:val="000000" w:themeColor="text1"/>
        </w:rPr>
      </w:pPr>
      <w:r w:rsidRPr="003E79DB">
        <w:rPr>
          <w:color w:val="000000" w:themeColor="text1"/>
        </w:rPr>
        <w:t xml:space="preserve"> </w:t>
      </w:r>
    </w:p>
    <w:p w:rsidR="00114C48" w:rsidRPr="003E79DB" w:rsidRDefault="0049444F" w:rsidP="0006587D">
      <w:pPr>
        <w:widowControl w:val="0"/>
        <w:numPr>
          <w:ilvl w:val="0"/>
          <w:numId w:val="9"/>
        </w:numPr>
        <w:tabs>
          <w:tab w:val="clear" w:pos="720"/>
        </w:tabs>
        <w:ind w:left="1134" w:hanging="567"/>
        <w:rPr>
          <w:color w:val="000000" w:themeColor="text1"/>
        </w:rPr>
      </w:pPr>
      <w:r w:rsidRPr="003E79DB">
        <w:rPr>
          <w:color w:val="000000" w:themeColor="text1"/>
        </w:rPr>
        <w:t>el viaje ha de realizarse según el itinerario y con el medio de transporte más directo</w:t>
      </w:r>
      <w:r w:rsidR="00F945A5">
        <w:rPr>
          <w:color w:val="000000" w:themeColor="text1"/>
        </w:rPr>
        <w:t>s</w:t>
      </w:r>
      <w:r w:rsidRPr="003E79DB">
        <w:rPr>
          <w:color w:val="000000" w:themeColor="text1"/>
        </w:rPr>
        <w:t xml:space="preserve"> y económicos</w:t>
      </w:r>
      <w:r w:rsidR="00114C48" w:rsidRPr="003E79DB">
        <w:rPr>
          <w:color w:val="000000" w:themeColor="text1"/>
        </w:rPr>
        <w:t>;</w:t>
      </w:r>
    </w:p>
    <w:p w:rsidR="0049444F" w:rsidRPr="003E79DB" w:rsidRDefault="0049444F" w:rsidP="0006587D">
      <w:pPr>
        <w:widowControl w:val="0"/>
        <w:rPr>
          <w:color w:val="000000" w:themeColor="text1"/>
        </w:rPr>
      </w:pPr>
    </w:p>
    <w:p w:rsidR="0049444F" w:rsidRPr="003E79DB" w:rsidRDefault="0049444F" w:rsidP="0006587D">
      <w:pPr>
        <w:widowControl w:val="0"/>
        <w:numPr>
          <w:ilvl w:val="0"/>
          <w:numId w:val="9"/>
        </w:numPr>
        <w:tabs>
          <w:tab w:val="clear" w:pos="720"/>
        </w:tabs>
        <w:ind w:left="1134" w:hanging="567"/>
        <w:rPr>
          <w:color w:val="000000" w:themeColor="text1"/>
        </w:rPr>
      </w:pPr>
      <w:r w:rsidRPr="003E79DB">
        <w:rPr>
          <w:color w:val="000000" w:themeColor="text1"/>
        </w:rPr>
        <w:t xml:space="preserve">si el viaje oficial se realiza en avión, </w:t>
      </w:r>
      <w:r w:rsidR="00114C48" w:rsidRPr="003E79DB">
        <w:rPr>
          <w:color w:val="000000" w:themeColor="text1"/>
        </w:rPr>
        <w:t xml:space="preserve">i) </w:t>
      </w:r>
      <w:r w:rsidRPr="003E79DB">
        <w:rPr>
          <w:color w:val="000000" w:themeColor="text1"/>
        </w:rPr>
        <w:t>cuando la duración del vuelo sea inferior a nueve horas, el viaje deberá realizarse en clase turista;  y ii) para los vuelos que duren más de nueve horas, se autoriza a realizar el viaje en clase ejecutiva;</w:t>
      </w:r>
    </w:p>
    <w:p w:rsidR="0049444F" w:rsidRPr="003E79DB" w:rsidRDefault="0049444F" w:rsidP="0006587D">
      <w:pPr>
        <w:pStyle w:val="ListParagraph"/>
        <w:ind w:left="0"/>
        <w:rPr>
          <w:color w:val="000000" w:themeColor="text1"/>
        </w:rPr>
      </w:pPr>
    </w:p>
    <w:p w:rsidR="00114C48" w:rsidRPr="003E79DB" w:rsidRDefault="0049444F" w:rsidP="0006587D">
      <w:pPr>
        <w:widowControl w:val="0"/>
        <w:numPr>
          <w:ilvl w:val="0"/>
          <w:numId w:val="9"/>
        </w:numPr>
        <w:tabs>
          <w:tab w:val="clear" w:pos="720"/>
        </w:tabs>
        <w:ind w:left="1134" w:hanging="567"/>
        <w:rPr>
          <w:color w:val="000000" w:themeColor="text1"/>
        </w:rPr>
      </w:pPr>
      <w:r w:rsidRPr="003E79DB">
        <w:rPr>
          <w:color w:val="000000" w:themeColor="text1"/>
        </w:rPr>
        <w:t>los pequeños gastos en que se incurra a la salida y la llegada de cada viaje oficial se pagarán como un impor</w:t>
      </w:r>
      <w:r w:rsidR="003E79DB" w:rsidRPr="003E79DB">
        <w:rPr>
          <w:color w:val="000000" w:themeColor="text1"/>
        </w:rPr>
        <w:t>te fi</w:t>
      </w:r>
      <w:r w:rsidRPr="003E79DB">
        <w:rPr>
          <w:color w:val="000000" w:themeColor="text1"/>
        </w:rPr>
        <w:t xml:space="preserve">jo;  </w:t>
      </w:r>
      <w:r w:rsidR="003E79DB" w:rsidRPr="003E79DB">
        <w:rPr>
          <w:color w:val="000000" w:themeColor="text1"/>
        </w:rPr>
        <w:t>ese tipo de gastos no se pagará</w:t>
      </w:r>
      <w:r w:rsidRPr="003E79DB">
        <w:rPr>
          <w:color w:val="000000" w:themeColor="text1"/>
        </w:rPr>
        <w:t xml:space="preserve"> respecto de </w:t>
      </w:r>
      <w:r w:rsidR="00114C48" w:rsidRPr="003E79DB">
        <w:rPr>
          <w:color w:val="000000" w:themeColor="text1"/>
        </w:rPr>
        <w:t xml:space="preserve">i) </w:t>
      </w:r>
      <w:r w:rsidRPr="003E79DB">
        <w:rPr>
          <w:color w:val="000000" w:themeColor="text1"/>
        </w:rPr>
        <w:t>una parada intermedia que no sea autorizada, o sea voluntaria;  o ii) una parada intermedia de menos de seis horas que no exija salir de la terminal o que tenga el exclusivo propósito de hacer un trasbordo para continuar el viaje</w:t>
      </w:r>
      <w:r w:rsidR="003E79DB" w:rsidRPr="003E79DB">
        <w:rPr>
          <w:color w:val="000000" w:themeColor="text1"/>
        </w:rPr>
        <w:t>;</w:t>
      </w:r>
    </w:p>
    <w:p w:rsidR="0049444F" w:rsidRPr="003E79DB" w:rsidRDefault="0049444F" w:rsidP="0006587D">
      <w:pPr>
        <w:pStyle w:val="ListParagraph"/>
        <w:rPr>
          <w:color w:val="000000" w:themeColor="text1"/>
        </w:rPr>
      </w:pPr>
    </w:p>
    <w:p w:rsidR="003E79DB" w:rsidRPr="003E79DB" w:rsidRDefault="0049444F" w:rsidP="0006587D">
      <w:pPr>
        <w:widowControl w:val="0"/>
        <w:numPr>
          <w:ilvl w:val="0"/>
          <w:numId w:val="9"/>
        </w:numPr>
        <w:tabs>
          <w:tab w:val="clear" w:pos="720"/>
        </w:tabs>
        <w:ind w:left="1134" w:hanging="567"/>
        <w:rPr>
          <w:color w:val="000000" w:themeColor="text1"/>
        </w:rPr>
      </w:pPr>
      <w:r w:rsidRPr="003E79DB">
        <w:rPr>
          <w:color w:val="000000" w:themeColor="text1"/>
        </w:rPr>
        <w:t>las dietas se determinan conforme a la escala establecida con ese fin por la Comisión de la Administración Pública Internacional</w:t>
      </w:r>
      <w:r w:rsidR="003E79DB" w:rsidRPr="003E79DB">
        <w:rPr>
          <w:color w:val="000000" w:themeColor="text1"/>
        </w:rPr>
        <w:t>.</w:t>
      </w:r>
    </w:p>
    <w:p w:rsidR="00114C48" w:rsidRPr="003E79DB" w:rsidRDefault="00114C48" w:rsidP="0006587D">
      <w:pPr>
        <w:widowControl w:val="0"/>
        <w:rPr>
          <w:b/>
          <w:bCs/>
          <w:color w:val="000000" w:themeColor="text1"/>
        </w:rPr>
      </w:pPr>
    </w:p>
    <w:p w:rsidR="00114C48" w:rsidRPr="003E79DB" w:rsidRDefault="00114C48" w:rsidP="0006587D">
      <w:pPr>
        <w:pStyle w:val="ONUME"/>
        <w:widowControl w:val="0"/>
        <w:numPr>
          <w:ilvl w:val="0"/>
          <w:numId w:val="0"/>
        </w:numPr>
        <w:spacing w:after="0"/>
        <w:rPr>
          <w:b/>
          <w:bCs/>
          <w:color w:val="000000" w:themeColor="text1"/>
        </w:rPr>
      </w:pPr>
      <w:r w:rsidRPr="003E79DB">
        <w:rPr>
          <w:b/>
          <w:bCs/>
          <w:color w:val="000000" w:themeColor="text1"/>
        </w:rPr>
        <w:t xml:space="preserve">P4:  </w:t>
      </w:r>
      <w:r w:rsidR="0049444F" w:rsidRPr="003E79DB">
        <w:rPr>
          <w:b/>
          <w:bCs/>
          <w:color w:val="000000" w:themeColor="text1"/>
        </w:rPr>
        <w:t xml:space="preserve">¿Todos los aumentos y disminuciones en los costos son consecuencia de cambios en </w:t>
      </w:r>
      <w:r w:rsidR="003E79DB" w:rsidRPr="003E79DB">
        <w:rPr>
          <w:b/>
          <w:bCs/>
          <w:color w:val="000000" w:themeColor="text1"/>
        </w:rPr>
        <w:t>el volumen</w:t>
      </w:r>
      <w:r w:rsidR="0049444F" w:rsidRPr="003E79DB">
        <w:rPr>
          <w:b/>
          <w:bCs/>
          <w:color w:val="000000" w:themeColor="text1"/>
        </w:rPr>
        <w:t xml:space="preserve"> de trabajo</w:t>
      </w:r>
      <w:r w:rsidRPr="003E79DB">
        <w:rPr>
          <w:b/>
          <w:bCs/>
          <w:color w:val="000000" w:themeColor="text1"/>
        </w:rPr>
        <w:t>?</w:t>
      </w:r>
      <w:r w:rsidR="0049444F" w:rsidRPr="003E79DB">
        <w:rPr>
          <w:b/>
          <w:bCs/>
          <w:color w:val="000000" w:themeColor="text1"/>
        </w:rPr>
        <w:t xml:space="preserve">  ¿Se ha realizado un análisis adecuado de los factores que determinan los costos?</w:t>
      </w:r>
    </w:p>
    <w:p w:rsidR="0049444F" w:rsidRPr="003E79DB" w:rsidRDefault="0049444F" w:rsidP="0006587D">
      <w:pPr>
        <w:pStyle w:val="ONUME"/>
        <w:widowControl w:val="0"/>
        <w:numPr>
          <w:ilvl w:val="0"/>
          <w:numId w:val="0"/>
        </w:numPr>
        <w:spacing w:after="0"/>
        <w:rPr>
          <w:b/>
          <w:bCs/>
          <w:color w:val="000000" w:themeColor="text1"/>
        </w:rPr>
      </w:pPr>
    </w:p>
    <w:p w:rsidR="00114C48" w:rsidRPr="003E79DB" w:rsidRDefault="00114C48" w:rsidP="0006587D">
      <w:pPr>
        <w:widowControl w:val="0"/>
        <w:rPr>
          <w:color w:val="000000" w:themeColor="text1"/>
        </w:rPr>
      </w:pPr>
      <w:r w:rsidRPr="003E79DB">
        <w:rPr>
          <w:b/>
          <w:bCs/>
          <w:color w:val="000000" w:themeColor="text1"/>
        </w:rPr>
        <w:t xml:space="preserve">R4:  </w:t>
      </w:r>
      <w:r w:rsidR="0049444F" w:rsidRPr="003E79DB">
        <w:rPr>
          <w:color w:val="000000" w:themeColor="text1"/>
        </w:rPr>
        <w:t xml:space="preserve">Los aumentos o disminuciones en los costos se deben </w:t>
      </w:r>
      <w:r w:rsidR="0023449F" w:rsidRPr="003E79DB">
        <w:rPr>
          <w:color w:val="000000" w:themeColor="text1"/>
        </w:rPr>
        <w:t>principalmente</w:t>
      </w:r>
      <w:r w:rsidR="0049444F" w:rsidRPr="003E79DB">
        <w:rPr>
          <w:color w:val="000000" w:themeColor="text1"/>
        </w:rPr>
        <w:t xml:space="preserve"> a uno de los dos factores siguientes</w:t>
      </w:r>
      <w:r w:rsidRPr="003E79DB">
        <w:rPr>
          <w:color w:val="000000" w:themeColor="text1"/>
        </w:rPr>
        <w:t>:</w:t>
      </w:r>
    </w:p>
    <w:p w:rsidR="00114C48" w:rsidRPr="003E79DB" w:rsidRDefault="00114C48" w:rsidP="0006587D">
      <w:pPr>
        <w:widowControl w:val="0"/>
        <w:rPr>
          <w:color w:val="000000" w:themeColor="text1"/>
        </w:rPr>
      </w:pPr>
    </w:p>
    <w:p w:rsidR="0023449F" w:rsidRPr="003E79DB" w:rsidRDefault="0023449F" w:rsidP="0006587D">
      <w:pPr>
        <w:widowControl w:val="0"/>
        <w:ind w:firstLine="567"/>
        <w:rPr>
          <w:color w:val="000000" w:themeColor="text1"/>
        </w:rPr>
      </w:pPr>
      <w:r w:rsidRPr="003E79DB">
        <w:rPr>
          <w:color w:val="000000" w:themeColor="text1"/>
        </w:rPr>
        <w:t>1)</w:t>
      </w:r>
      <w:r w:rsidRPr="003E79DB">
        <w:rPr>
          <w:color w:val="000000" w:themeColor="text1"/>
        </w:rPr>
        <w:tab/>
      </w:r>
      <w:r w:rsidR="003E79DB" w:rsidRPr="003E79DB">
        <w:rPr>
          <w:color w:val="000000" w:themeColor="text1"/>
        </w:rPr>
        <w:t xml:space="preserve">aumento </w:t>
      </w:r>
      <w:r w:rsidRPr="003E79DB">
        <w:rPr>
          <w:color w:val="000000" w:themeColor="text1"/>
        </w:rPr>
        <w:t xml:space="preserve">en el volumen de trabajo </w:t>
      </w:r>
      <w:r w:rsidR="003E79DB" w:rsidRPr="003E79DB">
        <w:rPr>
          <w:color w:val="000000" w:themeColor="text1"/>
        </w:rPr>
        <w:t>–</w:t>
      </w:r>
      <w:r w:rsidRPr="003E79DB">
        <w:rPr>
          <w:color w:val="000000" w:themeColor="text1"/>
        </w:rPr>
        <w:t>por ejemplo, en la traducción del</w:t>
      </w:r>
      <w:r w:rsidR="00114C48" w:rsidRPr="003E79DB">
        <w:rPr>
          <w:color w:val="000000" w:themeColor="text1"/>
        </w:rPr>
        <w:t xml:space="preserve"> </w:t>
      </w:r>
      <w:r w:rsidR="003E79DB" w:rsidRPr="003E79DB">
        <w:rPr>
          <w:color w:val="000000" w:themeColor="text1"/>
        </w:rPr>
        <w:t>PCT;</w:t>
      </w:r>
    </w:p>
    <w:p w:rsidR="0023449F" w:rsidRPr="003E79DB" w:rsidRDefault="0023449F" w:rsidP="0006587D">
      <w:pPr>
        <w:widowControl w:val="0"/>
        <w:ind w:firstLine="567"/>
        <w:rPr>
          <w:color w:val="000000" w:themeColor="text1"/>
        </w:rPr>
      </w:pPr>
    </w:p>
    <w:p w:rsidR="0023449F" w:rsidRPr="003E79DB" w:rsidRDefault="0023449F" w:rsidP="0006587D">
      <w:pPr>
        <w:widowControl w:val="0"/>
        <w:ind w:left="1134" w:hanging="567"/>
        <w:rPr>
          <w:color w:val="000000" w:themeColor="text1"/>
        </w:rPr>
      </w:pPr>
      <w:r w:rsidRPr="003E79DB">
        <w:rPr>
          <w:color w:val="000000" w:themeColor="text1"/>
        </w:rPr>
        <w:t>2)</w:t>
      </w:r>
      <w:r w:rsidRPr="003E79DB">
        <w:rPr>
          <w:color w:val="000000" w:themeColor="text1"/>
        </w:rPr>
        <w:tab/>
      </w:r>
      <w:r w:rsidR="003E79DB" w:rsidRPr="003E79DB">
        <w:rPr>
          <w:color w:val="000000" w:themeColor="text1"/>
        </w:rPr>
        <w:t>aumento</w:t>
      </w:r>
      <w:r w:rsidRPr="003E79DB">
        <w:rPr>
          <w:color w:val="000000" w:themeColor="text1"/>
        </w:rPr>
        <w:t>/d</w:t>
      </w:r>
      <w:r w:rsidR="003E79DB" w:rsidRPr="003E79DB">
        <w:rPr>
          <w:color w:val="000000" w:themeColor="text1"/>
        </w:rPr>
        <w:t>isminución del costo unitario –</w:t>
      </w:r>
      <w:r w:rsidRPr="003E79DB">
        <w:rPr>
          <w:color w:val="000000" w:themeColor="text1"/>
        </w:rPr>
        <w:t xml:space="preserve">por ejemplo, en los costos de personal y </w:t>
      </w:r>
      <w:r w:rsidR="00F945A5">
        <w:rPr>
          <w:color w:val="000000" w:themeColor="text1"/>
        </w:rPr>
        <w:t xml:space="preserve">las </w:t>
      </w:r>
      <w:r w:rsidRPr="003E79DB">
        <w:rPr>
          <w:color w:val="000000" w:themeColor="text1"/>
        </w:rPr>
        <w:t>disminuciones en el precio unitario gracia</w:t>
      </w:r>
      <w:r w:rsidR="003E79DB" w:rsidRPr="003E79DB">
        <w:rPr>
          <w:color w:val="000000" w:themeColor="text1"/>
        </w:rPr>
        <w:t>s</w:t>
      </w:r>
      <w:r w:rsidRPr="003E79DB">
        <w:rPr>
          <w:color w:val="000000" w:themeColor="text1"/>
        </w:rPr>
        <w:t xml:space="preserve"> a </w:t>
      </w:r>
      <w:r w:rsidR="003E79DB" w:rsidRPr="003E79DB">
        <w:rPr>
          <w:color w:val="000000" w:themeColor="text1"/>
        </w:rPr>
        <w:t>la negociación de los contratos</w:t>
      </w:r>
      <w:r w:rsidRPr="003E79DB">
        <w:rPr>
          <w:color w:val="000000" w:themeColor="text1"/>
        </w:rPr>
        <w:t>.</w:t>
      </w:r>
    </w:p>
    <w:p w:rsidR="00AF483D" w:rsidRDefault="00AF483D" w:rsidP="00AF483D">
      <w:pPr>
        <w:rPr>
          <w:color w:val="000000" w:themeColor="text1"/>
        </w:rPr>
      </w:pPr>
      <w:r>
        <w:rPr>
          <w:color w:val="000000" w:themeColor="text1"/>
        </w:rPr>
        <w:br w:type="page"/>
      </w:r>
    </w:p>
    <w:p w:rsidR="0023449F" w:rsidRPr="003E79DB" w:rsidRDefault="0023449F" w:rsidP="00AF483D">
      <w:pPr>
        <w:widowControl w:val="0"/>
        <w:rPr>
          <w:color w:val="000000" w:themeColor="text1"/>
        </w:rPr>
      </w:pPr>
    </w:p>
    <w:p w:rsidR="00114C48" w:rsidRPr="003E79DB" w:rsidRDefault="0023449F" w:rsidP="0006587D">
      <w:pPr>
        <w:widowControl w:val="0"/>
        <w:rPr>
          <w:color w:val="000000" w:themeColor="text1"/>
          <w:sz w:val="24"/>
          <w:szCs w:val="24"/>
        </w:rPr>
      </w:pPr>
      <w:r w:rsidRPr="003E79DB">
        <w:rPr>
          <w:color w:val="000000" w:themeColor="text1"/>
        </w:rPr>
        <w:t>Se ha realizado un amplio análisis de los factores que determinan los costos para algunas de las principales esferas de trabajo, por ejemplo, los sistemas del</w:t>
      </w:r>
      <w:r w:rsidR="00114C48" w:rsidRPr="003E79DB">
        <w:rPr>
          <w:color w:val="000000" w:themeColor="text1"/>
        </w:rPr>
        <w:t xml:space="preserve"> PCT, </w:t>
      </w:r>
      <w:r w:rsidRPr="003E79DB">
        <w:rPr>
          <w:color w:val="000000" w:themeColor="text1"/>
        </w:rPr>
        <w:t xml:space="preserve">de </w:t>
      </w:r>
      <w:r w:rsidR="00114C48" w:rsidRPr="003E79DB">
        <w:rPr>
          <w:color w:val="000000" w:themeColor="text1"/>
        </w:rPr>
        <w:t xml:space="preserve">Madrid </w:t>
      </w:r>
      <w:r w:rsidRPr="003E79DB">
        <w:rPr>
          <w:color w:val="000000" w:themeColor="text1"/>
        </w:rPr>
        <w:t>y de La Haya</w:t>
      </w:r>
      <w:r w:rsidR="00114C48" w:rsidRPr="003E79DB">
        <w:rPr>
          <w:color w:val="000000" w:themeColor="text1"/>
        </w:rPr>
        <w:t xml:space="preserve"> (</w:t>
      </w:r>
      <w:r w:rsidRPr="003E79DB">
        <w:rPr>
          <w:color w:val="000000" w:themeColor="text1"/>
        </w:rPr>
        <w:t>véanse los Anexos</w:t>
      </w:r>
      <w:r w:rsidR="00114C48" w:rsidRPr="003E79DB">
        <w:rPr>
          <w:color w:val="000000" w:themeColor="text1"/>
        </w:rPr>
        <w:t xml:space="preserve"> V, VI </w:t>
      </w:r>
      <w:r w:rsidRPr="003E79DB">
        <w:rPr>
          <w:color w:val="000000" w:themeColor="text1"/>
        </w:rPr>
        <w:t>y</w:t>
      </w:r>
      <w:r w:rsidR="00114C48" w:rsidRPr="003E79DB">
        <w:rPr>
          <w:color w:val="000000" w:themeColor="text1"/>
        </w:rPr>
        <w:t xml:space="preserve"> VII).  </w:t>
      </w:r>
      <w:r w:rsidRPr="003E79DB">
        <w:rPr>
          <w:color w:val="000000" w:themeColor="text1"/>
        </w:rPr>
        <w:t>Para otras esferas, los instrumentos de la PRI están afianzando o habilitando ese tipo de análisis.</w:t>
      </w:r>
    </w:p>
    <w:p w:rsidR="00114C48" w:rsidRPr="003E79DB" w:rsidRDefault="00114C48" w:rsidP="0006587D">
      <w:pPr>
        <w:widowControl w:val="0"/>
        <w:rPr>
          <w:color w:val="000000" w:themeColor="text1"/>
        </w:rPr>
      </w:pPr>
    </w:p>
    <w:p w:rsidR="00114C48" w:rsidRPr="003E79DB" w:rsidRDefault="00114C48" w:rsidP="0006587D">
      <w:pPr>
        <w:widowControl w:val="0"/>
        <w:rPr>
          <w:color w:val="000000" w:themeColor="text1"/>
        </w:rPr>
      </w:pPr>
    </w:p>
    <w:p w:rsidR="00114C48" w:rsidRPr="003E79DB" w:rsidRDefault="00114C48" w:rsidP="0006587D">
      <w:pPr>
        <w:widowControl w:val="0"/>
        <w:rPr>
          <w:color w:val="000000" w:themeColor="text1"/>
        </w:rPr>
      </w:pPr>
    </w:p>
    <w:p w:rsidR="00114C48" w:rsidRPr="003E79DB" w:rsidRDefault="0023449F" w:rsidP="0006587D">
      <w:pPr>
        <w:widowControl w:val="0"/>
        <w:ind w:left="5529"/>
        <w:rPr>
          <w:color w:val="000000" w:themeColor="text1"/>
        </w:rPr>
      </w:pPr>
      <w:r w:rsidRPr="003E79DB">
        <w:rPr>
          <w:color w:val="000000" w:themeColor="text1"/>
        </w:rPr>
        <w:t>[Fin del documento]</w:t>
      </w:r>
    </w:p>
    <w:p w:rsidR="00114C48" w:rsidRPr="003E79DB" w:rsidRDefault="00114C48" w:rsidP="0006587D">
      <w:pPr>
        <w:widowControl w:val="0"/>
        <w:rPr>
          <w:color w:val="000000" w:themeColor="text1"/>
        </w:rPr>
      </w:pPr>
    </w:p>
    <w:p w:rsidR="00114C48" w:rsidRPr="003E79DB" w:rsidRDefault="00114C48" w:rsidP="0006587D">
      <w:pPr>
        <w:widowControl w:val="0"/>
        <w:rPr>
          <w:bCs/>
          <w:color w:val="000000" w:themeColor="text1"/>
        </w:rPr>
      </w:pPr>
    </w:p>
    <w:sectPr w:rsidR="00114C48" w:rsidRPr="003E79DB" w:rsidSect="00AF483D">
      <w:headerReference w:type="default" r:id="rId13"/>
      <w:pgSz w:w="11907" w:h="16840" w:code="9"/>
      <w:pgMar w:top="567" w:right="1134" w:bottom="1560"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1DE" w:rsidRDefault="001B01DE">
      <w:r>
        <w:separator/>
      </w:r>
    </w:p>
  </w:endnote>
  <w:endnote w:type="continuationSeparator" w:id="0">
    <w:p w:rsidR="001B01DE" w:rsidRDefault="001B01DE" w:rsidP="00A326CA">
      <w:r>
        <w:separator/>
      </w:r>
    </w:p>
    <w:p w:rsidR="001B01DE" w:rsidRPr="0078064A" w:rsidRDefault="001B01DE" w:rsidP="0078064A">
      <w:pPr>
        <w:spacing w:after="60"/>
        <w:rPr>
          <w:sz w:val="17"/>
          <w:szCs w:val="17"/>
        </w:rPr>
      </w:pPr>
      <w:r>
        <w:rPr>
          <w:sz w:val="17"/>
        </w:rPr>
        <w:t>[Continuación de la nota de la página anterior]</w:t>
      </w:r>
    </w:p>
  </w:endnote>
  <w:endnote w:type="continuationNotice" w:id="1">
    <w:p w:rsidR="001B01DE" w:rsidRPr="0078064A" w:rsidRDefault="001B01DE"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1DE" w:rsidRDefault="001B01DE">
      <w:r>
        <w:separator/>
      </w:r>
    </w:p>
  </w:footnote>
  <w:footnote w:type="continuationSeparator" w:id="0">
    <w:p w:rsidR="001B01DE" w:rsidRDefault="001B01DE" w:rsidP="00A326CA">
      <w:r>
        <w:separator/>
      </w:r>
    </w:p>
    <w:p w:rsidR="001B01DE" w:rsidRPr="0078064A" w:rsidRDefault="001B01DE" w:rsidP="0078064A">
      <w:pPr>
        <w:spacing w:after="60"/>
        <w:rPr>
          <w:sz w:val="17"/>
          <w:szCs w:val="17"/>
        </w:rPr>
      </w:pPr>
      <w:r>
        <w:rPr>
          <w:sz w:val="17"/>
        </w:rPr>
        <w:t>[Continuación de la nota de la página anterior]</w:t>
      </w:r>
    </w:p>
  </w:footnote>
  <w:footnote w:type="continuationNotice" w:id="1">
    <w:p w:rsidR="001B01DE" w:rsidRPr="0078064A" w:rsidRDefault="001B01DE" w:rsidP="0078064A">
      <w:pPr>
        <w:spacing w:before="60"/>
        <w:jc w:val="right"/>
        <w:rPr>
          <w:sz w:val="17"/>
          <w:szCs w:val="17"/>
        </w:rPr>
      </w:pPr>
      <w:r w:rsidRPr="0078064A">
        <w:rPr>
          <w:sz w:val="17"/>
          <w:szCs w:val="17"/>
        </w:rPr>
        <w:t>[Sigue la nota en la página siguiente]</w:t>
      </w:r>
    </w:p>
  </w:footnote>
  <w:footnote w:id="2">
    <w:p w:rsidR="001B01DE" w:rsidRDefault="001B01DE">
      <w:pPr>
        <w:pStyle w:val="FootnoteText"/>
      </w:pPr>
      <w:r>
        <w:rPr>
          <w:rStyle w:val="FootnoteReference"/>
        </w:rPr>
        <w:footnoteRef/>
      </w:r>
      <w:r>
        <w:t xml:space="preserve"> </w:t>
      </w:r>
      <w:r>
        <w:tab/>
        <w:t>Véase el documento A/48/9 Rev. – Políticas sobre los fondos de reserva y principios aplicados en relación con el uso de las reservas.</w:t>
      </w:r>
    </w:p>
  </w:footnote>
  <w:footnote w:id="3">
    <w:p w:rsidR="001B01DE" w:rsidRDefault="001B01DE">
      <w:pPr>
        <w:pStyle w:val="FootnoteText"/>
      </w:pPr>
      <w:r>
        <w:rPr>
          <w:rStyle w:val="FootnoteReference"/>
        </w:rPr>
        <w:footnoteRef/>
      </w:r>
      <w:r>
        <w:t xml:space="preserve"> </w:t>
      </w:r>
      <w:r>
        <w:tab/>
        <w:t>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1DE" w:rsidRDefault="001B01DE" w:rsidP="00582AD5">
    <w:pPr>
      <w:pStyle w:val="Header"/>
      <w:jc w:val="right"/>
      <w:rPr>
        <w:lang w:val="fr-CH"/>
      </w:rPr>
    </w:pPr>
  </w:p>
  <w:p w:rsidR="001B01DE" w:rsidRDefault="001B01DE" w:rsidP="00582AD5">
    <w:pPr>
      <w:pStyle w:val="Header"/>
      <w:jc w:val="right"/>
      <w:rPr>
        <w:lang w:val="fr-CH"/>
      </w:rPr>
    </w:pPr>
    <w:r w:rsidRPr="00582AD5">
      <w:rPr>
        <w:lang w:val="es-ES"/>
      </w:rPr>
      <w:t>página</w:t>
    </w: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D03AD2">
      <w:rPr>
        <w:rStyle w:val="PageNumber"/>
        <w:noProof/>
      </w:rPr>
      <w:t>13</w:t>
    </w:r>
    <w:r>
      <w:rPr>
        <w:rStyle w:val="PageNumber"/>
      </w:rPr>
      <w:fldChar w:fldCharType="end"/>
    </w:r>
  </w:p>
  <w:p w:rsidR="001B01DE" w:rsidRPr="00582AD5" w:rsidRDefault="001B01DE" w:rsidP="00582AD5">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6AE1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CA1821"/>
    <w:multiLevelType w:val="hybridMultilevel"/>
    <w:tmpl w:val="8788CB2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2E81005"/>
    <w:multiLevelType w:val="hybridMultilevel"/>
    <w:tmpl w:val="AA003856"/>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B4733B"/>
    <w:multiLevelType w:val="hybridMultilevel"/>
    <w:tmpl w:val="B8C29B4C"/>
    <w:lvl w:ilvl="0" w:tplc="04090001">
      <w:start w:val="1"/>
      <w:numFmt w:val="bullet"/>
      <w:lvlText w:val=""/>
      <w:lvlJc w:val="left"/>
      <w:pPr>
        <w:tabs>
          <w:tab w:val="num" w:pos="927"/>
        </w:tabs>
        <w:ind w:left="927" w:hanging="360"/>
      </w:pPr>
      <w:rPr>
        <w:rFonts w:ascii="Symbol" w:hAnsi="Symbol"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7">
    <w:nsid w:val="245E7006"/>
    <w:multiLevelType w:val="hybridMultilevel"/>
    <w:tmpl w:val="FCB44B40"/>
    <w:lvl w:ilvl="0" w:tplc="75FA6534">
      <w:start w:val="1"/>
      <w:numFmt w:val="decimal"/>
      <w:lvlText w:val="%1."/>
      <w:lvlJc w:val="left"/>
      <w:pPr>
        <w:tabs>
          <w:tab w:val="num" w:pos="360"/>
        </w:tabs>
        <w:ind w:left="360" w:hanging="360"/>
      </w:pPr>
      <w:rPr>
        <w:rFonts w:cs="Times New Roman"/>
      </w:rPr>
    </w:lvl>
    <w:lvl w:ilvl="1" w:tplc="160E8812">
      <w:start w:val="1"/>
      <w:numFmt w:val="lowerLetter"/>
      <w:lvlText w:val="(%2)"/>
      <w:lvlJc w:val="left"/>
      <w:pPr>
        <w:tabs>
          <w:tab w:val="num" w:pos="1080"/>
        </w:tabs>
        <w:ind w:left="1080" w:hanging="360"/>
      </w:pPr>
      <w:rPr>
        <w:rFonts w:cs="Times New Roman" w:hint="default"/>
      </w:rPr>
    </w:lvl>
    <w:lvl w:ilvl="2" w:tplc="87E848DC">
      <w:start w:val="1"/>
      <w:numFmt w:val="lowerRoman"/>
      <w:lvlText w:val="(%3)"/>
      <w:lvlJc w:val="left"/>
      <w:pPr>
        <w:tabs>
          <w:tab w:val="num" w:pos="1790"/>
        </w:tabs>
        <w:ind w:left="1620"/>
      </w:pPr>
      <w:rPr>
        <w:rFonts w:cs="Times New Roman" w:hint="default"/>
      </w:rPr>
    </w:lvl>
    <w:lvl w:ilvl="3" w:tplc="87B6F5D8">
      <w:start w:val="1"/>
      <w:numFmt w:val="decimal"/>
      <w:lvlText w:val="(%4)"/>
      <w:lvlJc w:val="left"/>
      <w:pPr>
        <w:tabs>
          <w:tab w:val="num" w:pos="2520"/>
        </w:tabs>
        <w:ind w:left="2520" w:hanging="360"/>
      </w:pPr>
      <w:rPr>
        <w:rFonts w:cs="Times New Roman" w:hint="default"/>
      </w:rPr>
    </w:lvl>
    <w:lvl w:ilvl="4" w:tplc="04090003">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8">
    <w:nsid w:val="33004EED"/>
    <w:multiLevelType w:val="hybridMultilevel"/>
    <w:tmpl w:val="1E46E1B4"/>
    <w:lvl w:ilvl="0" w:tplc="3D7051C4">
      <w:start w:val="1"/>
      <w:numFmt w:val="decimal"/>
      <w:lvlText w:val="(%1)"/>
      <w:lvlJc w:val="left"/>
      <w:pPr>
        <w:ind w:left="1080" w:hanging="360"/>
      </w:pPr>
      <w:rPr>
        <w:rFonts w:cs="Times New Roman" w:hint="default"/>
        <w:lang w:val="es-E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34026F9"/>
    <w:multiLevelType w:val="hybridMultilevel"/>
    <w:tmpl w:val="76AE4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607501"/>
    <w:multiLevelType w:val="hybridMultilevel"/>
    <w:tmpl w:val="F3BAE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A192E69"/>
    <w:multiLevelType w:val="hybridMultilevel"/>
    <w:tmpl w:val="D734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301729"/>
    <w:multiLevelType w:val="hybridMultilevel"/>
    <w:tmpl w:val="67CE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11"/>
  </w:num>
  <w:num w:numId="5">
    <w:abstractNumId w:val="1"/>
  </w:num>
  <w:num w:numId="6">
    <w:abstractNumId w:val="5"/>
  </w:num>
  <w:num w:numId="7">
    <w:abstractNumId w:val="7"/>
  </w:num>
  <w:num w:numId="8">
    <w:abstractNumId w:val="6"/>
  </w:num>
  <w:num w:numId="9">
    <w:abstractNumId w:val="9"/>
  </w:num>
  <w:num w:numId="10">
    <w:abstractNumId w:val="8"/>
  </w:num>
  <w:num w:numId="11">
    <w:abstractNumId w:val="2"/>
  </w:num>
  <w:num w:numId="12">
    <w:abstractNumId w:val="3"/>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16E37"/>
    <w:rsid w:val="00064394"/>
    <w:rsid w:val="0006587D"/>
    <w:rsid w:val="00065A2B"/>
    <w:rsid w:val="00067581"/>
    <w:rsid w:val="0008518D"/>
    <w:rsid w:val="0008665B"/>
    <w:rsid w:val="000924C5"/>
    <w:rsid w:val="000B58F9"/>
    <w:rsid w:val="000B72E1"/>
    <w:rsid w:val="000D0AD6"/>
    <w:rsid w:val="000F5E56"/>
    <w:rsid w:val="00114C48"/>
    <w:rsid w:val="00163B16"/>
    <w:rsid w:val="00181F7F"/>
    <w:rsid w:val="00192DCC"/>
    <w:rsid w:val="001B01DE"/>
    <w:rsid w:val="0023449F"/>
    <w:rsid w:val="00257A22"/>
    <w:rsid w:val="00284C09"/>
    <w:rsid w:val="002C3B8E"/>
    <w:rsid w:val="002C539B"/>
    <w:rsid w:val="002F1F2F"/>
    <w:rsid w:val="003059EA"/>
    <w:rsid w:val="00312BB3"/>
    <w:rsid w:val="00326F82"/>
    <w:rsid w:val="003A6538"/>
    <w:rsid w:val="003B6CDA"/>
    <w:rsid w:val="003E79DB"/>
    <w:rsid w:val="003F1195"/>
    <w:rsid w:val="00405793"/>
    <w:rsid w:val="0046427A"/>
    <w:rsid w:val="0049444F"/>
    <w:rsid w:val="004F055C"/>
    <w:rsid w:val="005041FC"/>
    <w:rsid w:val="0050662A"/>
    <w:rsid w:val="00524649"/>
    <w:rsid w:val="00582AD5"/>
    <w:rsid w:val="005C6BE1"/>
    <w:rsid w:val="00611D69"/>
    <w:rsid w:val="006345D6"/>
    <w:rsid w:val="006756AB"/>
    <w:rsid w:val="006C25B8"/>
    <w:rsid w:val="006E0E9B"/>
    <w:rsid w:val="006F73A4"/>
    <w:rsid w:val="0074000C"/>
    <w:rsid w:val="007559AB"/>
    <w:rsid w:val="0078064A"/>
    <w:rsid w:val="007A4D0B"/>
    <w:rsid w:val="007B5CAC"/>
    <w:rsid w:val="007F0734"/>
    <w:rsid w:val="00800BBE"/>
    <w:rsid w:val="00832880"/>
    <w:rsid w:val="0097686B"/>
    <w:rsid w:val="0099724A"/>
    <w:rsid w:val="00A05BE1"/>
    <w:rsid w:val="00A2052B"/>
    <w:rsid w:val="00A326CA"/>
    <w:rsid w:val="00A508D6"/>
    <w:rsid w:val="00A512C0"/>
    <w:rsid w:val="00A57E8D"/>
    <w:rsid w:val="00A953E1"/>
    <w:rsid w:val="00AB7335"/>
    <w:rsid w:val="00AF1FBB"/>
    <w:rsid w:val="00AF47F3"/>
    <w:rsid w:val="00AF483D"/>
    <w:rsid w:val="00B22A8B"/>
    <w:rsid w:val="00BA52D1"/>
    <w:rsid w:val="00BB6638"/>
    <w:rsid w:val="00BD3FF8"/>
    <w:rsid w:val="00BE5C92"/>
    <w:rsid w:val="00C00408"/>
    <w:rsid w:val="00C31614"/>
    <w:rsid w:val="00C4530C"/>
    <w:rsid w:val="00C6506E"/>
    <w:rsid w:val="00D03AD2"/>
    <w:rsid w:val="00D05E9C"/>
    <w:rsid w:val="00D20D22"/>
    <w:rsid w:val="00D81028"/>
    <w:rsid w:val="00D87550"/>
    <w:rsid w:val="00D90533"/>
    <w:rsid w:val="00DC0518"/>
    <w:rsid w:val="00DE5C3A"/>
    <w:rsid w:val="00E23515"/>
    <w:rsid w:val="00E2772D"/>
    <w:rsid w:val="00E32183"/>
    <w:rsid w:val="00E638AE"/>
    <w:rsid w:val="00E74ACC"/>
    <w:rsid w:val="00ED55BA"/>
    <w:rsid w:val="00EE4006"/>
    <w:rsid w:val="00EF2514"/>
    <w:rsid w:val="00F562B5"/>
    <w:rsid w:val="00F704B6"/>
    <w:rsid w:val="00F945A5"/>
    <w:rsid w:val="00FB5D0F"/>
  </w:rsids>
  <m:mathPr>
    <m:mathFont m:val="Cambria Math"/>
    <m:brkBin m:val="before"/>
    <m:brkBinSub m:val="--"/>
    <m:smallFrac/>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link w:val="FootnoteTextChar"/>
    <w:uiPriority w:val="99"/>
    <w:semiHidden/>
    <w:rsid w:val="00BE5C92"/>
    <w:rPr>
      <w:sz w:val="18"/>
    </w:rPr>
  </w:style>
  <w:style w:type="paragraph" w:styleId="Header">
    <w:name w:val="header"/>
    <w:basedOn w:val="Normal"/>
    <w:semiHidden/>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basedOn w:val="DefaultParagraphFont"/>
    <w:link w:val="FootnoteText"/>
    <w:uiPriority w:val="99"/>
    <w:semiHidden/>
    <w:locked/>
    <w:rsid w:val="005041FC"/>
    <w:rPr>
      <w:rFonts w:ascii="Arial" w:eastAsia="SimSun" w:hAnsi="Arial" w:cs="Arial"/>
      <w:sz w:val="18"/>
      <w:lang w:val="es-ES_tradnl" w:eastAsia="zh-CN"/>
    </w:rPr>
  </w:style>
  <w:style w:type="character" w:styleId="FootnoteReference">
    <w:name w:val="footnote reference"/>
    <w:basedOn w:val="DefaultParagraphFont"/>
    <w:uiPriority w:val="99"/>
    <w:rsid w:val="005041FC"/>
    <w:rPr>
      <w:rFonts w:cs="Times New Roman"/>
      <w:vertAlign w:val="superscript"/>
    </w:rPr>
  </w:style>
  <w:style w:type="paragraph" w:customStyle="1" w:styleId="Char">
    <w:name w:val="Char 字元 字元"/>
    <w:basedOn w:val="Normal"/>
    <w:rsid w:val="00257A22"/>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C00408"/>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FB5D0F"/>
    <w:pPr>
      <w:ind w:left="720"/>
      <w:contextualSpacing/>
    </w:pPr>
  </w:style>
  <w:style w:type="paragraph" w:customStyle="1" w:styleId="Char1">
    <w:name w:val="Char 字元 字元"/>
    <w:basedOn w:val="Normal"/>
    <w:rsid w:val="006C25B8"/>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A512C0"/>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A2052B"/>
    <w:rPr>
      <w:rFonts w:ascii="Tahoma" w:hAnsi="Tahoma" w:cs="Tahoma"/>
      <w:sz w:val="16"/>
      <w:szCs w:val="16"/>
    </w:rPr>
  </w:style>
  <w:style w:type="character" w:customStyle="1" w:styleId="BalloonTextChar">
    <w:name w:val="Balloon Text Char"/>
    <w:basedOn w:val="DefaultParagraphFont"/>
    <w:link w:val="BalloonText"/>
    <w:rsid w:val="00A2052B"/>
    <w:rPr>
      <w:rFonts w:ascii="Tahoma" w:eastAsia="SimSun" w:hAnsi="Tahoma" w:cs="Tahoma"/>
      <w:sz w:val="16"/>
      <w:szCs w:val="16"/>
      <w:lang w:val="es-ES_tradnl" w:eastAsia="zh-CN"/>
    </w:rPr>
  </w:style>
  <w:style w:type="paragraph" w:customStyle="1" w:styleId="Char3">
    <w:name w:val="Char 字元 字元"/>
    <w:basedOn w:val="Normal"/>
    <w:rsid w:val="00114C48"/>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3A6538"/>
    <w:pPr>
      <w:spacing w:after="160" w:line="240" w:lineRule="exact"/>
    </w:pPr>
    <w:rPr>
      <w:rFonts w:ascii="Verdana" w:eastAsia="PMingLiU" w:hAnsi="Verdana" w:cs="Times New Roman"/>
      <w:sz w:val="20"/>
      <w:lang w:val="en-US" w:eastAsia="en-US"/>
    </w:rPr>
  </w:style>
  <w:style w:type="paragraph" w:customStyle="1" w:styleId="Char5">
    <w:name w:val="Char 字元 字元"/>
    <w:basedOn w:val="Normal"/>
    <w:rsid w:val="000924C5"/>
    <w:pPr>
      <w:spacing w:after="160" w:line="240" w:lineRule="exact"/>
    </w:pPr>
    <w:rPr>
      <w:rFonts w:ascii="Verdana" w:eastAsia="PMingLiU" w:hAnsi="Verdana" w:cs="Times New Roman"/>
      <w:sz w:val="20"/>
      <w:lang w:val="en-US" w:eastAsia="en-US"/>
    </w:rPr>
  </w:style>
  <w:style w:type="paragraph" w:styleId="PlainText">
    <w:name w:val="Plain Text"/>
    <w:basedOn w:val="Normal"/>
    <w:link w:val="PlainTextChar"/>
    <w:uiPriority w:val="99"/>
    <w:unhideWhenUsed/>
    <w:rsid w:val="00B22A8B"/>
    <w:rPr>
      <w:rFonts w:ascii="Courier New" w:eastAsiaTheme="minorHAnsi" w:hAnsi="Courier New" w:cs="Courier New"/>
      <w:szCs w:val="22"/>
      <w:lang w:val="en-US" w:eastAsia="en-US"/>
    </w:rPr>
  </w:style>
  <w:style w:type="character" w:customStyle="1" w:styleId="PlainTextChar">
    <w:name w:val="Plain Text Char"/>
    <w:basedOn w:val="DefaultParagraphFont"/>
    <w:link w:val="PlainText"/>
    <w:uiPriority w:val="99"/>
    <w:rsid w:val="00B22A8B"/>
    <w:rPr>
      <w:rFonts w:ascii="Courier New" w:eastAsiaTheme="minorHAnsi" w:hAnsi="Courier New" w:cs="Courier New"/>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link w:val="FootnoteTextChar"/>
    <w:uiPriority w:val="99"/>
    <w:semiHidden/>
    <w:rsid w:val="00BE5C92"/>
    <w:rPr>
      <w:sz w:val="18"/>
    </w:rPr>
  </w:style>
  <w:style w:type="paragraph" w:styleId="Header">
    <w:name w:val="header"/>
    <w:basedOn w:val="Normal"/>
    <w:semiHidden/>
    <w:rsid w:val="00BE5C92"/>
    <w:pPr>
      <w:tabs>
        <w:tab w:val="center" w:pos="4536"/>
        <w:tab w:val="right" w:pos="9072"/>
      </w:tabs>
    </w:pPr>
  </w:style>
  <w:style w:type="paragraph" w:styleId="ListNumber">
    <w:name w:val="List Number"/>
    <w:basedOn w:val="Normal"/>
    <w:semiHidden/>
    <w:rsid w:val="00BE5C92"/>
    <w:pPr>
      <w:numPr>
        <w:numId w:val="4"/>
      </w:numPr>
    </w:pPr>
  </w:style>
  <w:style w:type="paragraph" w:customStyle="1" w:styleId="ONUME">
    <w:name w:val="ONUM E"/>
    <w:basedOn w:val="BodyText"/>
    <w:rsid w:val="00BE5C92"/>
    <w:pPr>
      <w:numPr>
        <w:numId w:val="5"/>
      </w:numPr>
    </w:pPr>
  </w:style>
  <w:style w:type="paragraph" w:customStyle="1" w:styleId="ONUMFS">
    <w:name w:val="ONUM FS"/>
    <w:basedOn w:val="BodyText"/>
    <w:rsid w:val="00D05E9C"/>
    <w:pPr>
      <w:numPr>
        <w:numId w:val="6"/>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character" w:customStyle="1" w:styleId="FootnoteTextChar">
    <w:name w:val="Footnote Text Char"/>
    <w:basedOn w:val="DefaultParagraphFont"/>
    <w:link w:val="FootnoteText"/>
    <w:uiPriority w:val="99"/>
    <w:semiHidden/>
    <w:locked/>
    <w:rsid w:val="005041FC"/>
    <w:rPr>
      <w:rFonts w:ascii="Arial" w:eastAsia="SimSun" w:hAnsi="Arial" w:cs="Arial"/>
      <w:sz w:val="18"/>
      <w:lang w:val="es-ES_tradnl" w:eastAsia="zh-CN"/>
    </w:rPr>
  </w:style>
  <w:style w:type="character" w:styleId="FootnoteReference">
    <w:name w:val="footnote reference"/>
    <w:basedOn w:val="DefaultParagraphFont"/>
    <w:uiPriority w:val="99"/>
    <w:rsid w:val="005041FC"/>
    <w:rPr>
      <w:rFonts w:cs="Times New Roman"/>
      <w:vertAlign w:val="superscript"/>
    </w:rPr>
  </w:style>
  <w:style w:type="paragraph" w:customStyle="1" w:styleId="Char">
    <w:name w:val="Char 字元 字元"/>
    <w:basedOn w:val="Normal"/>
    <w:rsid w:val="00257A22"/>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C00408"/>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FB5D0F"/>
    <w:pPr>
      <w:ind w:left="720"/>
      <w:contextualSpacing/>
    </w:pPr>
  </w:style>
  <w:style w:type="paragraph" w:customStyle="1" w:styleId="Char1">
    <w:name w:val="Char 字元 字元"/>
    <w:basedOn w:val="Normal"/>
    <w:rsid w:val="006C25B8"/>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A512C0"/>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A2052B"/>
    <w:rPr>
      <w:rFonts w:ascii="Tahoma" w:hAnsi="Tahoma" w:cs="Tahoma"/>
      <w:sz w:val="16"/>
      <w:szCs w:val="16"/>
    </w:rPr>
  </w:style>
  <w:style w:type="character" w:customStyle="1" w:styleId="BalloonTextChar">
    <w:name w:val="Balloon Text Char"/>
    <w:basedOn w:val="DefaultParagraphFont"/>
    <w:link w:val="BalloonText"/>
    <w:rsid w:val="00A2052B"/>
    <w:rPr>
      <w:rFonts w:ascii="Tahoma" w:eastAsia="SimSun" w:hAnsi="Tahoma" w:cs="Tahoma"/>
      <w:sz w:val="16"/>
      <w:szCs w:val="16"/>
      <w:lang w:val="es-ES_tradnl" w:eastAsia="zh-CN"/>
    </w:rPr>
  </w:style>
  <w:style w:type="paragraph" w:customStyle="1" w:styleId="Char3">
    <w:name w:val="Char 字元 字元"/>
    <w:basedOn w:val="Normal"/>
    <w:rsid w:val="00114C48"/>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3A6538"/>
    <w:pPr>
      <w:spacing w:after="160" w:line="240" w:lineRule="exact"/>
    </w:pPr>
    <w:rPr>
      <w:rFonts w:ascii="Verdana" w:eastAsia="PMingLiU" w:hAnsi="Verdana" w:cs="Times New Roman"/>
      <w:sz w:val="20"/>
      <w:lang w:val="en-US" w:eastAsia="en-US"/>
    </w:rPr>
  </w:style>
  <w:style w:type="paragraph" w:customStyle="1" w:styleId="Char5">
    <w:name w:val="Char 字元 字元"/>
    <w:basedOn w:val="Normal"/>
    <w:rsid w:val="000924C5"/>
    <w:pPr>
      <w:spacing w:after="160" w:line="240" w:lineRule="exact"/>
    </w:pPr>
    <w:rPr>
      <w:rFonts w:ascii="Verdana" w:eastAsia="PMingLiU" w:hAnsi="Verdana" w:cs="Times New Roman"/>
      <w:sz w:val="20"/>
      <w:lang w:val="en-US" w:eastAsia="en-US"/>
    </w:rPr>
  </w:style>
  <w:style w:type="paragraph" w:styleId="PlainText">
    <w:name w:val="Plain Text"/>
    <w:basedOn w:val="Normal"/>
    <w:link w:val="PlainTextChar"/>
    <w:uiPriority w:val="99"/>
    <w:unhideWhenUsed/>
    <w:rsid w:val="00B22A8B"/>
    <w:rPr>
      <w:rFonts w:ascii="Courier New" w:eastAsiaTheme="minorHAnsi" w:hAnsi="Courier New" w:cs="Courier New"/>
      <w:szCs w:val="22"/>
      <w:lang w:val="en-US" w:eastAsia="en-US"/>
    </w:rPr>
  </w:style>
  <w:style w:type="character" w:customStyle="1" w:styleId="PlainTextChar">
    <w:name w:val="Plain Text Char"/>
    <w:basedOn w:val="DefaultParagraphFont"/>
    <w:link w:val="PlainText"/>
    <w:uiPriority w:val="99"/>
    <w:rsid w:val="00B22A8B"/>
    <w:rPr>
      <w:rFonts w:ascii="Courier New" w:eastAsiaTheme="minorHAnsi" w:hAnsi="Courier New" w:cs="Courier New"/>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C1E3-4F0D-4F7C-8700-E43D2CB7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6406</Words>
  <Characters>36519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Preguntas y respuestas:  propuesta de presupuesto por programas para 2014/15</vt:lpstr>
    </vt:vector>
  </TitlesOfParts>
  <Company>WIPO</Company>
  <LinksUpToDate>false</LinksUpToDate>
  <CharactersWithSpaces>42840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Preguntas y respuestas:  propuesta de presupuesto por programas para 2014/15</dc:title>
  <dc:creator>Mario Haller</dc:creator>
  <dc:description>LM/vz_x000d_
08.07.13</dc:description>
  <cp:lastModifiedBy>HALLER Mario</cp:lastModifiedBy>
  <cp:revision>7</cp:revision>
  <cp:lastPrinted>2013-07-08T09:51:00Z</cp:lastPrinted>
  <dcterms:created xsi:type="dcterms:W3CDTF">2013-09-06T13:47:00Z</dcterms:created>
  <dcterms:modified xsi:type="dcterms:W3CDTF">2013-09-09T11:49:00Z</dcterms:modified>
</cp:coreProperties>
</file>