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13.xml" ContentType="application/vnd.openxmlformats-officedocument.wordprocessingml.header+xml"/>
  <Override PartName="/word/footer6.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38.xml" ContentType="application/vnd.openxmlformats-officedocument.wordprocessingml.header+xml"/>
  <Override PartName="/word/footer9.xml" ContentType="application/vnd.openxmlformats-officedocument.wordprocessingml.footer+xml"/>
  <Override PartName="/word/header39.xml" ContentType="application/vnd.openxmlformats-officedocument.wordprocessingml.header+xml"/>
  <Override PartName="/word/footer10.xml" ContentType="application/vnd.openxmlformats-officedocument.wordprocessingml.footer+xml"/>
  <Override PartName="/word/header40.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41.xml" ContentType="application/vnd.openxmlformats-officedocument.wordprocessingml.header+xml"/>
  <Override PartName="/word/header42.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header43.xml" ContentType="application/vnd.openxmlformats-officedocument.wordprocessingml.header+xml"/>
  <Override PartName="/word/footer19.xml" ContentType="application/vnd.openxmlformats-officedocument.wordprocessingml.footer+xml"/>
  <Override PartName="/word/header44.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504E5" w:rsidRPr="008B2CC1" w:rsidTr="0088395E">
        <w:tc>
          <w:tcPr>
            <w:tcW w:w="4513" w:type="dxa"/>
            <w:tcBorders>
              <w:bottom w:val="single" w:sz="4" w:space="0" w:color="auto"/>
            </w:tcBorders>
            <w:tcMar>
              <w:bottom w:w="170" w:type="dxa"/>
            </w:tcMar>
          </w:tcPr>
          <w:p w:rsidR="00E504E5" w:rsidRPr="00872D10" w:rsidRDefault="00E504E5" w:rsidP="004A4009">
            <w:pPr>
              <w:rPr>
                <w:color w:val="0070C0"/>
              </w:rPr>
            </w:pPr>
          </w:p>
        </w:tc>
        <w:tc>
          <w:tcPr>
            <w:tcW w:w="4337" w:type="dxa"/>
            <w:tcBorders>
              <w:bottom w:val="single" w:sz="4" w:space="0" w:color="auto"/>
            </w:tcBorders>
            <w:tcMar>
              <w:left w:w="0" w:type="dxa"/>
              <w:right w:w="0" w:type="dxa"/>
            </w:tcMar>
          </w:tcPr>
          <w:p w:rsidR="00E504E5" w:rsidRPr="008B2CC1" w:rsidRDefault="00C40A11" w:rsidP="004A4009">
            <w:r>
              <w:rPr>
                <w:noProof/>
                <w:lang w:val="en-US" w:eastAsia="en-US"/>
              </w:rPr>
              <w:drawing>
                <wp:inline distT="0" distB="0" distL="0" distR="0">
                  <wp:extent cx="1856105" cy="1323975"/>
                  <wp:effectExtent l="0" t="0" r="0" b="9525"/>
                  <wp:docPr id="5" name="Picture 1" descr="Description: 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610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504E5" w:rsidRPr="008B2CC1" w:rsidRDefault="00E504E5" w:rsidP="004A4009">
            <w:pPr>
              <w:jc w:val="right"/>
            </w:pPr>
            <w:r>
              <w:rPr>
                <w:b/>
                <w:sz w:val="40"/>
                <w:szCs w:val="40"/>
              </w:rPr>
              <w:t>S</w:t>
            </w:r>
          </w:p>
        </w:tc>
      </w:tr>
      <w:tr w:rsidR="008B2CC1" w:rsidRPr="001832A6" w:rsidTr="00C40A11">
        <w:trPr>
          <w:trHeight w:val="203"/>
        </w:trPr>
        <w:tc>
          <w:tcPr>
            <w:tcW w:w="9356" w:type="dxa"/>
            <w:gridSpan w:val="3"/>
            <w:tcBorders>
              <w:top w:val="single" w:sz="4" w:space="0" w:color="auto"/>
            </w:tcBorders>
            <w:tcMar>
              <w:top w:w="170" w:type="dxa"/>
              <w:left w:w="0" w:type="dxa"/>
              <w:right w:w="0" w:type="dxa"/>
            </w:tcMar>
            <w:vAlign w:val="bottom"/>
          </w:tcPr>
          <w:p w:rsidR="008B2CC1" w:rsidRPr="0090731E" w:rsidRDefault="006B4103" w:rsidP="00C40A11">
            <w:pPr>
              <w:jc w:val="right"/>
              <w:rPr>
                <w:rFonts w:ascii="Arial Black" w:hAnsi="Arial Black"/>
                <w:caps/>
                <w:sz w:val="15"/>
              </w:rPr>
            </w:pPr>
            <w:r w:rsidRPr="006B4103">
              <w:rPr>
                <w:rFonts w:ascii="Arial Black" w:hAnsi="Arial Black"/>
                <w:caps/>
                <w:sz w:val="15"/>
              </w:rPr>
              <w:t>WO/PBC/2</w:t>
            </w:r>
            <w:r w:rsidR="00C40A11">
              <w:rPr>
                <w:rFonts w:ascii="Arial Black" w:hAnsi="Arial Black"/>
                <w:caps/>
                <w:sz w:val="15"/>
              </w:rPr>
              <w:t>1</w:t>
            </w:r>
            <w:r w:rsidRPr="006B4103">
              <w:rPr>
                <w:rFonts w:ascii="Arial Black" w:hAnsi="Arial Black"/>
                <w:caps/>
                <w:sz w:val="15"/>
              </w:rPr>
              <w:t>/</w:t>
            </w:r>
            <w:bookmarkStart w:id="0" w:name="Code"/>
            <w:bookmarkEnd w:id="0"/>
            <w:r w:rsidR="00C40A11">
              <w:rPr>
                <w:rFonts w:ascii="Arial Black" w:hAnsi="Arial Black"/>
                <w:caps/>
                <w:sz w:val="15"/>
              </w:rPr>
              <w:t>8</w:t>
            </w:r>
            <w:r w:rsidR="00952DEE">
              <w:rPr>
                <w:rFonts w:ascii="Arial Black" w:hAnsi="Arial Black"/>
                <w:caps/>
                <w:sz w:val="15"/>
              </w:rPr>
              <w:t xml:space="preserve"> </w:t>
            </w:r>
          </w:p>
        </w:tc>
      </w:tr>
      <w:tr w:rsidR="008B2CC1" w:rsidRPr="001832A6" w:rsidTr="00AB613D">
        <w:trPr>
          <w:trHeight w:hRule="exact" w:val="170"/>
        </w:trPr>
        <w:tc>
          <w:tcPr>
            <w:tcW w:w="9356" w:type="dxa"/>
            <w:gridSpan w:val="3"/>
            <w:noWrap/>
            <w:tcMar>
              <w:left w:w="0" w:type="dxa"/>
              <w:right w:w="0" w:type="dxa"/>
            </w:tcMar>
            <w:vAlign w:val="bottom"/>
          </w:tcPr>
          <w:p w:rsidR="008B2CC1" w:rsidRPr="0090731E" w:rsidRDefault="008B2CC1" w:rsidP="004A4009">
            <w:pPr>
              <w:jc w:val="right"/>
              <w:rPr>
                <w:rFonts w:ascii="Arial Black" w:hAnsi="Arial Black"/>
                <w:caps/>
                <w:sz w:val="15"/>
              </w:rPr>
            </w:pPr>
            <w:r w:rsidRPr="0090731E">
              <w:rPr>
                <w:rFonts w:ascii="Arial Black" w:hAnsi="Arial Black"/>
                <w:caps/>
                <w:sz w:val="15"/>
              </w:rPr>
              <w:t>ORIGINAL:</w:t>
            </w:r>
            <w:r w:rsidR="00F84474">
              <w:rPr>
                <w:rFonts w:ascii="Arial Black" w:hAnsi="Arial Black"/>
                <w:caps/>
                <w:sz w:val="15"/>
              </w:rPr>
              <w:t xml:space="preserve"> </w:t>
            </w:r>
            <w:r w:rsidRPr="0090731E">
              <w:rPr>
                <w:rFonts w:ascii="Arial Black" w:hAnsi="Arial Black"/>
                <w:caps/>
                <w:sz w:val="15"/>
              </w:rPr>
              <w:t xml:space="preserve"> </w:t>
            </w:r>
            <w:bookmarkStart w:id="1" w:name="Original"/>
            <w:bookmarkEnd w:id="1"/>
            <w:r w:rsidR="00A83B83">
              <w:rPr>
                <w:rFonts w:ascii="Arial Black" w:hAnsi="Arial Black"/>
                <w:caps/>
                <w:sz w:val="15"/>
              </w:rPr>
              <w:t>inglés</w:t>
            </w:r>
          </w:p>
        </w:tc>
      </w:tr>
      <w:tr w:rsidR="008B2CC1" w:rsidRPr="001832A6" w:rsidTr="00AB613D">
        <w:trPr>
          <w:trHeight w:hRule="exact" w:val="198"/>
        </w:trPr>
        <w:tc>
          <w:tcPr>
            <w:tcW w:w="9356" w:type="dxa"/>
            <w:gridSpan w:val="3"/>
            <w:tcMar>
              <w:left w:w="0" w:type="dxa"/>
              <w:right w:w="0" w:type="dxa"/>
            </w:tcMar>
            <w:vAlign w:val="bottom"/>
          </w:tcPr>
          <w:p w:rsidR="008B2CC1" w:rsidRPr="0090731E" w:rsidRDefault="00675021" w:rsidP="00C40A11">
            <w:pPr>
              <w:jc w:val="right"/>
              <w:rPr>
                <w:rFonts w:ascii="Arial Black" w:hAnsi="Arial Black"/>
                <w:caps/>
                <w:sz w:val="15"/>
              </w:rPr>
            </w:pPr>
            <w:r>
              <w:rPr>
                <w:rFonts w:ascii="Arial Black" w:hAnsi="Arial Black"/>
                <w:caps/>
                <w:sz w:val="15"/>
              </w:rPr>
              <w:t>fecha</w:t>
            </w:r>
            <w:r w:rsidR="008B2CC1" w:rsidRPr="0090731E">
              <w:rPr>
                <w:rFonts w:ascii="Arial Black" w:hAnsi="Arial Black"/>
                <w:caps/>
                <w:sz w:val="15"/>
              </w:rPr>
              <w:t>:</w:t>
            </w:r>
            <w:r w:rsidR="00F84474">
              <w:rPr>
                <w:rFonts w:ascii="Arial Black" w:hAnsi="Arial Black"/>
                <w:caps/>
                <w:sz w:val="15"/>
              </w:rPr>
              <w:t xml:space="preserve"> </w:t>
            </w:r>
            <w:r w:rsidR="008B2CC1" w:rsidRPr="0090731E">
              <w:rPr>
                <w:rFonts w:ascii="Arial Black" w:hAnsi="Arial Black"/>
                <w:caps/>
                <w:sz w:val="15"/>
              </w:rPr>
              <w:t xml:space="preserve"> </w:t>
            </w:r>
            <w:bookmarkStart w:id="2" w:name="Date"/>
            <w:bookmarkEnd w:id="2"/>
            <w:r w:rsidR="00B37E57">
              <w:rPr>
                <w:rFonts w:ascii="Arial Black" w:hAnsi="Arial Black"/>
                <w:caps/>
                <w:sz w:val="15"/>
              </w:rPr>
              <w:t>8</w:t>
            </w:r>
            <w:bookmarkStart w:id="3" w:name="_GoBack"/>
            <w:bookmarkEnd w:id="3"/>
            <w:r w:rsidR="00A83B83">
              <w:rPr>
                <w:rFonts w:ascii="Arial Black" w:hAnsi="Arial Black"/>
                <w:caps/>
                <w:sz w:val="15"/>
              </w:rPr>
              <w:t xml:space="preserve"> de a</w:t>
            </w:r>
            <w:r w:rsidR="00C40A11">
              <w:rPr>
                <w:rFonts w:ascii="Arial Black" w:hAnsi="Arial Black"/>
                <w:caps/>
                <w:sz w:val="15"/>
              </w:rPr>
              <w:t>gost</w:t>
            </w:r>
            <w:r w:rsidR="00A83B83">
              <w:rPr>
                <w:rFonts w:ascii="Arial Black" w:hAnsi="Arial Black"/>
                <w:caps/>
                <w:sz w:val="15"/>
              </w:rPr>
              <w:t>o de 2013</w:t>
            </w:r>
          </w:p>
        </w:tc>
      </w:tr>
    </w:tbl>
    <w:p w:rsidR="008B2CC1" w:rsidRPr="008B2CC1" w:rsidRDefault="008B2CC1" w:rsidP="004A4009"/>
    <w:p w:rsidR="008B2CC1" w:rsidRPr="008B2CC1" w:rsidRDefault="008B2CC1" w:rsidP="004A4009"/>
    <w:p w:rsidR="008B2CC1" w:rsidRPr="008B2CC1" w:rsidRDefault="008B2CC1" w:rsidP="004A4009"/>
    <w:p w:rsidR="008B2CC1" w:rsidRPr="008B2CC1" w:rsidRDefault="008B2CC1" w:rsidP="004A4009"/>
    <w:p w:rsidR="008B2CC1" w:rsidRPr="008B2CC1" w:rsidRDefault="008B2CC1" w:rsidP="004A4009"/>
    <w:p w:rsidR="006B4103" w:rsidRPr="003845C1" w:rsidRDefault="006B4103" w:rsidP="004A4009">
      <w:pPr>
        <w:rPr>
          <w:b/>
          <w:sz w:val="28"/>
          <w:szCs w:val="28"/>
        </w:rPr>
      </w:pPr>
      <w:r>
        <w:rPr>
          <w:b/>
          <w:sz w:val="28"/>
          <w:szCs w:val="28"/>
        </w:rPr>
        <w:t>Comité del Programa y Presupuesto</w:t>
      </w:r>
    </w:p>
    <w:p w:rsidR="003845C1" w:rsidRDefault="003845C1" w:rsidP="004A4009"/>
    <w:p w:rsidR="003845C1" w:rsidRDefault="003845C1" w:rsidP="004A4009"/>
    <w:p w:rsidR="006B4103" w:rsidRPr="003845C1" w:rsidRDefault="006B4103" w:rsidP="004A4009">
      <w:pPr>
        <w:rPr>
          <w:b/>
          <w:sz w:val="24"/>
          <w:szCs w:val="24"/>
        </w:rPr>
      </w:pPr>
      <w:r>
        <w:rPr>
          <w:b/>
          <w:sz w:val="24"/>
          <w:szCs w:val="24"/>
        </w:rPr>
        <w:t>Vigésima</w:t>
      </w:r>
      <w:r w:rsidRPr="00514A25">
        <w:rPr>
          <w:b/>
          <w:sz w:val="24"/>
          <w:szCs w:val="24"/>
        </w:rPr>
        <w:t xml:space="preserve"> </w:t>
      </w:r>
      <w:r w:rsidR="00C40A11">
        <w:rPr>
          <w:b/>
          <w:sz w:val="24"/>
          <w:szCs w:val="24"/>
        </w:rPr>
        <w:t xml:space="preserve">primera </w:t>
      </w:r>
      <w:r>
        <w:rPr>
          <w:b/>
          <w:sz w:val="24"/>
          <w:szCs w:val="24"/>
        </w:rPr>
        <w:t>sesión</w:t>
      </w:r>
    </w:p>
    <w:p w:rsidR="006B4103" w:rsidRPr="003845C1" w:rsidRDefault="006B4103" w:rsidP="004A4009">
      <w:pPr>
        <w:rPr>
          <w:b/>
          <w:sz w:val="24"/>
          <w:szCs w:val="24"/>
        </w:rPr>
      </w:pPr>
      <w:r w:rsidRPr="00514A25">
        <w:rPr>
          <w:b/>
          <w:sz w:val="24"/>
          <w:szCs w:val="24"/>
        </w:rPr>
        <w:t xml:space="preserve">Ginebra, </w:t>
      </w:r>
      <w:r w:rsidR="00C40A11">
        <w:rPr>
          <w:b/>
          <w:sz w:val="24"/>
          <w:szCs w:val="24"/>
        </w:rPr>
        <w:t>9</w:t>
      </w:r>
      <w:r>
        <w:rPr>
          <w:b/>
          <w:sz w:val="24"/>
          <w:szCs w:val="24"/>
        </w:rPr>
        <w:t xml:space="preserve"> a 1</w:t>
      </w:r>
      <w:r w:rsidR="00C40A11">
        <w:rPr>
          <w:b/>
          <w:sz w:val="24"/>
          <w:szCs w:val="24"/>
        </w:rPr>
        <w:t>3</w:t>
      </w:r>
      <w:r>
        <w:rPr>
          <w:b/>
          <w:sz w:val="24"/>
          <w:szCs w:val="24"/>
        </w:rPr>
        <w:t xml:space="preserve"> d</w:t>
      </w:r>
      <w:r w:rsidRPr="0017709F">
        <w:rPr>
          <w:b/>
          <w:sz w:val="24"/>
          <w:szCs w:val="24"/>
        </w:rPr>
        <w:t xml:space="preserve">e </w:t>
      </w:r>
      <w:r w:rsidR="00C40A11">
        <w:rPr>
          <w:b/>
          <w:bCs/>
          <w:sz w:val="24"/>
          <w:szCs w:val="24"/>
        </w:rPr>
        <w:t>septiembre</w:t>
      </w:r>
      <w:r w:rsidRPr="0017709F">
        <w:rPr>
          <w:b/>
          <w:sz w:val="24"/>
          <w:szCs w:val="24"/>
        </w:rPr>
        <w:t xml:space="preserve"> </w:t>
      </w:r>
      <w:r>
        <w:rPr>
          <w:b/>
          <w:sz w:val="24"/>
          <w:szCs w:val="24"/>
        </w:rPr>
        <w:t>de 2013</w:t>
      </w:r>
    </w:p>
    <w:p w:rsidR="008B2CC1" w:rsidRPr="008B2CC1" w:rsidRDefault="008B2CC1" w:rsidP="004A4009"/>
    <w:p w:rsidR="008B2CC1" w:rsidRPr="008B2CC1" w:rsidRDefault="008B2CC1" w:rsidP="004A4009"/>
    <w:p w:rsidR="008B2CC1" w:rsidRPr="008B2CC1" w:rsidRDefault="008B2CC1" w:rsidP="004A4009"/>
    <w:p w:rsidR="008B2CC1" w:rsidRPr="00DF7F45" w:rsidRDefault="00A83B83" w:rsidP="004A4009">
      <w:pPr>
        <w:rPr>
          <w:caps/>
          <w:sz w:val="24"/>
        </w:rPr>
      </w:pPr>
      <w:bookmarkStart w:id="4" w:name="TitleOfDoc"/>
      <w:bookmarkEnd w:id="4"/>
      <w:r w:rsidRPr="00DF7F45">
        <w:rPr>
          <w:caps/>
          <w:sz w:val="24"/>
        </w:rPr>
        <w:t>propuesta de presupuesto por programas para el bieni</w:t>
      </w:r>
      <w:r w:rsidR="00DF7F45" w:rsidRPr="00DF7F45">
        <w:rPr>
          <w:caps/>
          <w:sz w:val="24"/>
        </w:rPr>
        <w:t>o 2</w:t>
      </w:r>
      <w:r w:rsidRPr="00DF7F45">
        <w:rPr>
          <w:caps/>
          <w:sz w:val="24"/>
        </w:rPr>
        <w:t>014/15</w:t>
      </w:r>
    </w:p>
    <w:p w:rsidR="008B2CC1" w:rsidRPr="00DF7F45" w:rsidRDefault="008B2CC1" w:rsidP="004A4009"/>
    <w:p w:rsidR="008B2CC1" w:rsidRPr="00DF7F45" w:rsidRDefault="00A83B83" w:rsidP="004A4009">
      <w:pPr>
        <w:rPr>
          <w:i/>
        </w:rPr>
      </w:pPr>
      <w:bookmarkStart w:id="5" w:name="Prepared"/>
      <w:bookmarkEnd w:id="5"/>
      <w:r w:rsidRPr="00DF7F45">
        <w:rPr>
          <w:i/>
        </w:rPr>
        <w:t>pre</w:t>
      </w:r>
      <w:r w:rsidR="00CD41AE">
        <w:rPr>
          <w:i/>
        </w:rPr>
        <w:t>sentada por el Director General</w:t>
      </w:r>
    </w:p>
    <w:p w:rsidR="008B2CC1" w:rsidRPr="00DF7F45" w:rsidRDefault="008B2CC1" w:rsidP="004A4009"/>
    <w:p w:rsidR="000F5E56" w:rsidRPr="00DF7F45" w:rsidRDefault="000F5E56" w:rsidP="004A4009"/>
    <w:p w:rsidR="00F84474" w:rsidRPr="00DF7F45" w:rsidRDefault="00F84474" w:rsidP="004A4009"/>
    <w:p w:rsidR="00F84474" w:rsidRPr="00DF7F45" w:rsidRDefault="00F84474" w:rsidP="004A4009"/>
    <w:p w:rsidR="007A141E" w:rsidRDefault="00A83B83" w:rsidP="004A4009">
      <w:pPr>
        <w:pStyle w:val="ONUMFS"/>
      </w:pPr>
      <w:r w:rsidRPr="00DF7F45">
        <w:t xml:space="preserve">La </w:t>
      </w:r>
      <w:r w:rsidR="007A141E">
        <w:t>versión revisada</w:t>
      </w:r>
      <w:r w:rsidRPr="00DF7F45">
        <w:t xml:space="preserve"> de</w:t>
      </w:r>
      <w:r w:rsidR="007A141E">
        <w:t xml:space="preserve"> la propuesta de</w:t>
      </w:r>
      <w:r w:rsidRPr="00DF7F45">
        <w:t xml:space="preserve"> presupuesto por programas para el bieni</w:t>
      </w:r>
      <w:r w:rsidR="00DF7F45" w:rsidRPr="00DF7F45">
        <w:t>o 2</w:t>
      </w:r>
      <w:r w:rsidRPr="00DF7F45">
        <w:t>014/15</w:t>
      </w:r>
      <w:r w:rsidR="007A141E">
        <w:t>, que se</w:t>
      </w:r>
      <w:r w:rsidR="007A141E" w:rsidRPr="00DF7F45">
        <w:t xml:space="preserve"> adjunta</w:t>
      </w:r>
      <w:r w:rsidR="007A141E">
        <w:t>,</w:t>
      </w:r>
      <w:r w:rsidRPr="00DF7F45">
        <w:t xml:space="preserve"> se </w:t>
      </w:r>
      <w:r w:rsidR="003B22A3">
        <w:t>somete</w:t>
      </w:r>
      <w:r w:rsidRPr="00DF7F45">
        <w:t xml:space="preserve"> </w:t>
      </w:r>
      <w:r w:rsidR="00CA637E" w:rsidRPr="00DF7F45">
        <w:t xml:space="preserve">a </w:t>
      </w:r>
      <w:r w:rsidRPr="00DF7F45">
        <w:t xml:space="preserve">la presente sesión del Comité del Programa y Presupuesto (PBC) </w:t>
      </w:r>
      <w:r w:rsidR="007A141E">
        <w:t>conforme a lo debatido en la vigésima sesión del PBC y a las recomendaciones adoptadas en dicha sesión.</w:t>
      </w:r>
    </w:p>
    <w:p w:rsidR="007A141E" w:rsidRDefault="007A141E" w:rsidP="004A4009">
      <w:pPr>
        <w:pStyle w:val="ONUMFS"/>
      </w:pPr>
      <w:r>
        <w:t>En esa sesión, el PBC examinó el proyecto de propuesta de presupuesto por programas para el bienio 2014/15, programa por programa, y pidió a la Secretaría que:</w:t>
      </w:r>
    </w:p>
    <w:p w:rsidR="007A141E" w:rsidRDefault="007A141E" w:rsidP="007A141E">
      <w:pPr>
        <w:pStyle w:val="ONUMFS"/>
        <w:numPr>
          <w:ilvl w:val="0"/>
          <w:numId w:val="0"/>
        </w:numPr>
        <w:tabs>
          <w:tab w:val="left" w:pos="1701"/>
        </w:tabs>
        <w:ind w:left="1134"/>
      </w:pPr>
      <w:r>
        <w:t>“i)</w:t>
      </w:r>
      <w:r>
        <w:tab/>
        <w:t>refleje las modificaciones dimanantes de los debates mantenidos durante la sesión del PBC en el proyecto de presupuesto por programas para el bienio 2014/15;</w:t>
      </w:r>
    </w:p>
    <w:p w:rsidR="007A141E" w:rsidRDefault="007A141E" w:rsidP="007A141E">
      <w:pPr>
        <w:pStyle w:val="ONUMFS"/>
        <w:numPr>
          <w:ilvl w:val="0"/>
          <w:numId w:val="0"/>
        </w:numPr>
        <w:tabs>
          <w:tab w:val="left" w:pos="1701"/>
        </w:tabs>
        <w:ind w:left="1134"/>
      </w:pPr>
      <w:r>
        <w:t>ii)</w:t>
      </w:r>
      <w:r>
        <w:tab/>
        <w:t>tome en consideración todas las preocupaciones y preguntas planteadas por los Estados miembros respecto de las pymes y la innovación, y proporcione información adicional y una propuesta revisada, teniendo en cuenta las alternativas propuestas y los comentarios derivados de los debates mantenidos durante la sesión del PBC; y</w:t>
      </w:r>
    </w:p>
    <w:p w:rsidR="00152CEA" w:rsidRPr="00DF7F45" w:rsidRDefault="00A4707B" w:rsidP="00A4707B">
      <w:pPr>
        <w:pStyle w:val="ONUMFS"/>
        <w:numPr>
          <w:ilvl w:val="0"/>
          <w:numId w:val="0"/>
        </w:numPr>
        <w:tabs>
          <w:tab w:val="left" w:pos="1701"/>
        </w:tabs>
        <w:ind w:left="1134"/>
      </w:pPr>
      <w:r>
        <w:t>iii)</w:t>
      </w:r>
      <w:r>
        <w:tab/>
      </w:r>
      <w:r w:rsidR="007A141E">
        <w:t>en sintonía con lo anterior, presente una propuesta revisada de presupuesto por programas para el bienio 2014/15 para someterla a consideración del PBC en su vigésima primera sesión.</w:t>
      </w:r>
      <w:r>
        <w:t>”</w:t>
      </w:r>
    </w:p>
    <w:p w:rsidR="00A83B83" w:rsidRPr="00A4707B" w:rsidRDefault="00A4707B" w:rsidP="004A4009">
      <w:pPr>
        <w:pStyle w:val="ONUMFS"/>
      </w:pPr>
      <w:r>
        <w:rPr>
          <w:snapToGrid w:val="0"/>
          <w:szCs w:val="24"/>
        </w:rPr>
        <w:t>La</w:t>
      </w:r>
      <w:r w:rsidR="00A83B83" w:rsidRPr="00DF7F45">
        <w:rPr>
          <w:snapToGrid w:val="0"/>
          <w:szCs w:val="24"/>
        </w:rPr>
        <w:t xml:space="preserve"> propuesta </w:t>
      </w:r>
      <w:r>
        <w:rPr>
          <w:snapToGrid w:val="0"/>
          <w:szCs w:val="24"/>
        </w:rPr>
        <w:t xml:space="preserve">adjunta </w:t>
      </w:r>
      <w:r w:rsidR="00A83B83" w:rsidRPr="00DF7F45">
        <w:rPr>
          <w:snapToGrid w:val="0"/>
          <w:szCs w:val="24"/>
        </w:rPr>
        <w:t>de presupuesto por programas para el bieni</w:t>
      </w:r>
      <w:r w:rsidR="00DF7F45" w:rsidRPr="00DF7F45">
        <w:rPr>
          <w:snapToGrid w:val="0"/>
          <w:szCs w:val="24"/>
        </w:rPr>
        <w:t>o 2</w:t>
      </w:r>
      <w:r w:rsidR="00A83B83" w:rsidRPr="00DF7F45">
        <w:rPr>
          <w:snapToGrid w:val="0"/>
          <w:szCs w:val="24"/>
        </w:rPr>
        <w:t>014/15 ha</w:t>
      </w:r>
      <w:r w:rsidR="003B22A3">
        <w:rPr>
          <w:snapToGrid w:val="0"/>
          <w:szCs w:val="24"/>
        </w:rPr>
        <w:t xml:space="preserve"> sido</w:t>
      </w:r>
      <w:r w:rsidR="00A83B83" w:rsidRPr="00DF7F45">
        <w:rPr>
          <w:snapToGrid w:val="0"/>
          <w:szCs w:val="24"/>
        </w:rPr>
        <w:t xml:space="preserve"> </w:t>
      </w:r>
      <w:r>
        <w:rPr>
          <w:snapToGrid w:val="0"/>
          <w:szCs w:val="24"/>
        </w:rPr>
        <w:t>revisada en función de los comentarios y recomendaciones referidas anteriormente, y se someta a la presente sesión del PBC para examen.</w:t>
      </w:r>
    </w:p>
    <w:p w:rsidR="00A4707B" w:rsidRPr="00A4707B" w:rsidRDefault="00A4707B" w:rsidP="007D5833">
      <w:pPr>
        <w:pStyle w:val="ONUMFS"/>
        <w:keepNext/>
        <w:keepLines/>
        <w:tabs>
          <w:tab w:val="left" w:pos="6096"/>
        </w:tabs>
        <w:ind w:left="5533"/>
        <w:rPr>
          <w:i/>
        </w:rPr>
      </w:pPr>
      <w:r w:rsidRPr="00A4707B">
        <w:rPr>
          <w:i/>
        </w:rPr>
        <w:lastRenderedPageBreak/>
        <w:t>Se invita</w:t>
      </w:r>
      <w:r>
        <w:rPr>
          <w:i/>
        </w:rPr>
        <w:t xml:space="preserve"> al Comité del Programa y Presupuesto a recomendar</w:t>
      </w:r>
      <w:r w:rsidRPr="00A4707B">
        <w:rPr>
          <w:i/>
        </w:rPr>
        <w:t xml:space="preserve"> </w:t>
      </w:r>
      <w:r>
        <w:rPr>
          <w:i/>
        </w:rPr>
        <w:t>a</w:t>
      </w:r>
      <w:r w:rsidRPr="00A4707B">
        <w:rPr>
          <w:i/>
        </w:rPr>
        <w:t xml:space="preserve"> las Asambleas de los Estados miembros de la OMPI</w:t>
      </w:r>
      <w:r>
        <w:rPr>
          <w:i/>
        </w:rPr>
        <w:t xml:space="preserve"> y de las Uniones que la OMPI administra</w:t>
      </w:r>
      <w:r w:rsidRPr="00A4707B">
        <w:rPr>
          <w:i/>
        </w:rPr>
        <w:t xml:space="preserve">, en lo que a cada una le concierne, </w:t>
      </w:r>
      <w:r>
        <w:rPr>
          <w:i/>
        </w:rPr>
        <w:t>la aprobación de la propuesta adjunta de presupuesto por programas para el bienio 2014/15</w:t>
      </w:r>
      <w:r w:rsidRPr="00A4707B">
        <w:rPr>
          <w:i/>
        </w:rPr>
        <w:t>.</w:t>
      </w:r>
    </w:p>
    <w:p w:rsidR="00A4707B" w:rsidRDefault="00A4707B" w:rsidP="004A4009">
      <w:pPr>
        <w:pStyle w:val="Endofdocument"/>
        <w:rPr>
          <w:rFonts w:ascii="Arial" w:hAnsi="Arial" w:cs="Arial"/>
          <w:snapToGrid w:val="0"/>
          <w:sz w:val="22"/>
          <w:szCs w:val="22"/>
          <w:lang w:val="es-ES_tradnl"/>
        </w:rPr>
      </w:pPr>
    </w:p>
    <w:p w:rsidR="00A4707B" w:rsidRDefault="00A4707B" w:rsidP="004A4009">
      <w:pPr>
        <w:pStyle w:val="Endofdocument"/>
        <w:rPr>
          <w:rFonts w:ascii="Arial" w:hAnsi="Arial" w:cs="Arial"/>
          <w:snapToGrid w:val="0"/>
          <w:sz w:val="22"/>
          <w:szCs w:val="22"/>
          <w:lang w:val="es-ES_tradnl"/>
        </w:rPr>
      </w:pPr>
    </w:p>
    <w:p w:rsidR="007B2C29" w:rsidRPr="007D5833" w:rsidRDefault="00A4707B" w:rsidP="007D5833">
      <w:pPr>
        <w:pStyle w:val="Endofdocument"/>
        <w:rPr>
          <w:rFonts w:ascii="Arial" w:hAnsi="Arial" w:cs="Arial"/>
          <w:sz w:val="22"/>
          <w:szCs w:val="22"/>
          <w:lang w:val="es-ES"/>
        </w:rPr>
      </w:pPr>
      <w:r w:rsidRPr="007D5833">
        <w:rPr>
          <w:rFonts w:ascii="Arial" w:hAnsi="Arial" w:cs="Arial"/>
          <w:snapToGrid w:val="0"/>
          <w:sz w:val="22"/>
          <w:szCs w:val="22"/>
          <w:lang w:val="es-ES"/>
        </w:rPr>
        <w:t xml:space="preserve">[Sigue </w:t>
      </w:r>
      <w:r w:rsidR="007F000F" w:rsidRPr="007D5833">
        <w:rPr>
          <w:rFonts w:ascii="Arial" w:hAnsi="Arial" w:cs="Arial"/>
          <w:snapToGrid w:val="0"/>
          <w:sz w:val="22"/>
          <w:szCs w:val="22"/>
          <w:lang w:val="es-ES"/>
        </w:rPr>
        <w:t>l</w:t>
      </w:r>
      <w:r w:rsidRPr="007D5833">
        <w:rPr>
          <w:rFonts w:ascii="Arial" w:hAnsi="Arial" w:cs="Arial"/>
          <w:snapToGrid w:val="0"/>
          <w:sz w:val="22"/>
          <w:szCs w:val="22"/>
          <w:lang w:val="es-ES"/>
        </w:rPr>
        <w:t>a</w:t>
      </w:r>
      <w:r w:rsidR="007F000F" w:rsidRPr="007D5833">
        <w:rPr>
          <w:rFonts w:ascii="Arial" w:hAnsi="Arial" w:cs="Arial"/>
          <w:snapToGrid w:val="0"/>
          <w:sz w:val="22"/>
          <w:szCs w:val="22"/>
          <w:lang w:val="es-ES"/>
        </w:rPr>
        <w:t xml:space="preserve"> </w:t>
      </w:r>
      <w:r w:rsidRPr="007D5833">
        <w:rPr>
          <w:rFonts w:ascii="Arial" w:hAnsi="Arial" w:cs="Arial"/>
          <w:sz w:val="22"/>
          <w:szCs w:val="22"/>
          <w:lang w:val="es-ES"/>
        </w:rPr>
        <w:t>propuesta</w:t>
      </w:r>
      <w:r w:rsidR="007F000F" w:rsidRPr="007D5833">
        <w:rPr>
          <w:rFonts w:ascii="Arial" w:hAnsi="Arial" w:cs="Arial"/>
          <w:snapToGrid w:val="0"/>
          <w:sz w:val="22"/>
          <w:szCs w:val="22"/>
          <w:lang w:val="es-ES"/>
        </w:rPr>
        <w:t xml:space="preserve"> de presupuesto por programas para el bieni</w:t>
      </w:r>
      <w:r w:rsidR="00DF7F45" w:rsidRPr="007D5833">
        <w:rPr>
          <w:rFonts w:ascii="Arial" w:hAnsi="Arial" w:cs="Arial"/>
          <w:snapToGrid w:val="0"/>
          <w:sz w:val="22"/>
          <w:szCs w:val="22"/>
          <w:lang w:val="es-ES"/>
        </w:rPr>
        <w:t>o 2</w:t>
      </w:r>
      <w:r w:rsidR="007F000F" w:rsidRPr="007D5833">
        <w:rPr>
          <w:rFonts w:ascii="Arial" w:hAnsi="Arial" w:cs="Arial"/>
          <w:snapToGrid w:val="0"/>
          <w:sz w:val="22"/>
          <w:szCs w:val="22"/>
          <w:lang w:val="es-ES"/>
        </w:rPr>
        <w:t>014/15]</w:t>
      </w:r>
      <w:r w:rsidR="007B2C29" w:rsidRPr="007D5833">
        <w:rPr>
          <w:rFonts w:ascii="Arial" w:hAnsi="Arial" w:cs="Arial"/>
          <w:sz w:val="22"/>
          <w:szCs w:val="22"/>
          <w:lang w:val="es-ES"/>
        </w:rPr>
        <w:t xml:space="preserve"> </w:t>
      </w:r>
    </w:p>
    <w:p w:rsidR="007B2C29" w:rsidRPr="000B5834" w:rsidRDefault="007B2C29" w:rsidP="004A4009">
      <w:pPr>
        <w:rPr>
          <w:szCs w:val="22"/>
        </w:rPr>
      </w:pPr>
    </w:p>
    <w:p w:rsidR="007B2C29" w:rsidRDefault="007B2C29" w:rsidP="004A4009">
      <w:pPr>
        <w:jc w:val="center"/>
        <w:rPr>
          <w:szCs w:val="24"/>
        </w:rPr>
        <w:sectPr w:rsidR="007B2C29" w:rsidSect="007B2C29">
          <w:headerReference w:type="even" r:id="rId10"/>
          <w:headerReference w:type="default" r:id="rId11"/>
          <w:footerReference w:type="default" r:id="rId12"/>
          <w:pgSz w:w="11907" w:h="16840" w:code="9"/>
          <w:pgMar w:top="567" w:right="1418" w:bottom="964" w:left="1418" w:header="510" w:footer="851" w:gutter="0"/>
          <w:pgNumType w:fmt="lowerRoman" w:start="1"/>
          <w:cols w:space="720"/>
          <w:titlePg/>
        </w:sectPr>
      </w:pPr>
    </w:p>
    <w:p w:rsidR="007B2C29" w:rsidRDefault="007B2C29" w:rsidP="004A4009">
      <w:pPr>
        <w:jc w:val="center"/>
        <w:rPr>
          <w:szCs w:val="24"/>
        </w:rPr>
      </w:pPr>
    </w:p>
    <w:p w:rsidR="007B2C29" w:rsidRDefault="007B2C29" w:rsidP="004A4009">
      <w:pPr>
        <w:jc w:val="center"/>
        <w:rPr>
          <w:szCs w:val="24"/>
        </w:rPr>
      </w:pPr>
    </w:p>
    <w:p w:rsidR="007B2C29" w:rsidRDefault="007B2C29" w:rsidP="004A4009">
      <w:pPr>
        <w:jc w:val="center"/>
        <w:rPr>
          <w:szCs w:val="24"/>
        </w:rPr>
      </w:pPr>
    </w:p>
    <w:p w:rsidR="007B2C29" w:rsidRDefault="007B2C29" w:rsidP="004A4009">
      <w:pPr>
        <w:jc w:val="center"/>
        <w:rPr>
          <w:szCs w:val="24"/>
        </w:rPr>
      </w:pPr>
    </w:p>
    <w:p w:rsidR="007B2C29" w:rsidRDefault="007B2C29" w:rsidP="004A4009">
      <w:pPr>
        <w:jc w:val="center"/>
        <w:rPr>
          <w:szCs w:val="24"/>
        </w:rPr>
      </w:pPr>
    </w:p>
    <w:p w:rsidR="007B2C29" w:rsidRDefault="007B2C29" w:rsidP="004A4009">
      <w:pPr>
        <w:jc w:val="center"/>
        <w:rPr>
          <w:szCs w:val="24"/>
        </w:rPr>
      </w:pPr>
    </w:p>
    <w:p w:rsidR="007B2C29" w:rsidRDefault="007B2C29" w:rsidP="004A4009">
      <w:pPr>
        <w:jc w:val="center"/>
        <w:rPr>
          <w:szCs w:val="24"/>
        </w:rPr>
      </w:pPr>
    </w:p>
    <w:p w:rsidR="007B2C29" w:rsidRDefault="007B2C29" w:rsidP="004A4009">
      <w:pPr>
        <w:jc w:val="center"/>
        <w:rPr>
          <w:szCs w:val="24"/>
        </w:rPr>
      </w:pPr>
    </w:p>
    <w:p w:rsidR="007B2C29" w:rsidRDefault="007B2C29" w:rsidP="004A4009">
      <w:pPr>
        <w:jc w:val="center"/>
        <w:rPr>
          <w:szCs w:val="24"/>
        </w:rPr>
      </w:pPr>
    </w:p>
    <w:p w:rsidR="007B2C29" w:rsidRDefault="007B2C29" w:rsidP="004A4009">
      <w:pPr>
        <w:jc w:val="center"/>
        <w:rPr>
          <w:szCs w:val="24"/>
        </w:rPr>
      </w:pPr>
    </w:p>
    <w:p w:rsidR="007B2C29" w:rsidRDefault="007B2C29" w:rsidP="004A4009">
      <w:pPr>
        <w:jc w:val="center"/>
        <w:rPr>
          <w:szCs w:val="24"/>
        </w:rPr>
      </w:pPr>
    </w:p>
    <w:p w:rsidR="007B2C29" w:rsidRDefault="007B2C29" w:rsidP="004A4009">
      <w:pPr>
        <w:jc w:val="center"/>
        <w:rPr>
          <w:szCs w:val="24"/>
        </w:rPr>
      </w:pPr>
    </w:p>
    <w:p w:rsidR="007B2C29" w:rsidRDefault="007B2C29" w:rsidP="004A4009">
      <w:pPr>
        <w:jc w:val="center"/>
        <w:rPr>
          <w:szCs w:val="24"/>
        </w:rPr>
      </w:pPr>
    </w:p>
    <w:p w:rsidR="007B2C29" w:rsidRDefault="007B2C29" w:rsidP="004A4009">
      <w:pPr>
        <w:jc w:val="center"/>
        <w:rPr>
          <w:szCs w:val="24"/>
        </w:rPr>
      </w:pPr>
    </w:p>
    <w:p w:rsidR="007B2C29" w:rsidRDefault="007B2C29" w:rsidP="004A4009">
      <w:pPr>
        <w:jc w:val="center"/>
        <w:rPr>
          <w:szCs w:val="24"/>
        </w:rPr>
      </w:pPr>
    </w:p>
    <w:p w:rsidR="007B2C29" w:rsidRDefault="007B2C29" w:rsidP="004A4009">
      <w:pPr>
        <w:jc w:val="center"/>
        <w:rPr>
          <w:szCs w:val="24"/>
        </w:rPr>
      </w:pPr>
    </w:p>
    <w:p w:rsidR="007B2C29" w:rsidRPr="002C067E" w:rsidRDefault="00856ED4" w:rsidP="004A4009">
      <w:pPr>
        <w:jc w:val="center"/>
        <w:rPr>
          <w:b/>
          <w:bCs/>
          <w:sz w:val="24"/>
          <w:szCs w:val="24"/>
          <w:lang w:val="es-ES_tradnl"/>
        </w:rPr>
      </w:pPr>
      <w:r w:rsidRPr="002C067E">
        <w:rPr>
          <w:b/>
          <w:bCs/>
          <w:sz w:val="24"/>
          <w:szCs w:val="24"/>
          <w:lang w:val="es-ES_tradnl"/>
        </w:rPr>
        <w:t>PRO</w:t>
      </w:r>
      <w:r w:rsidR="00A4707B">
        <w:rPr>
          <w:b/>
          <w:bCs/>
          <w:sz w:val="24"/>
          <w:szCs w:val="24"/>
          <w:lang w:val="es-ES_tradnl"/>
        </w:rPr>
        <w:t>PUESTA</w:t>
      </w:r>
      <w:r w:rsidRPr="002C067E">
        <w:rPr>
          <w:b/>
          <w:bCs/>
          <w:sz w:val="24"/>
          <w:szCs w:val="24"/>
          <w:lang w:val="es-ES_tradnl"/>
        </w:rPr>
        <w:t xml:space="preserve"> DE PRESUPUESTO POR </w:t>
      </w:r>
      <w:r w:rsidR="007B2C29" w:rsidRPr="002C067E">
        <w:rPr>
          <w:b/>
          <w:bCs/>
          <w:sz w:val="24"/>
          <w:szCs w:val="24"/>
          <w:lang w:val="es-ES_tradnl"/>
        </w:rPr>
        <w:t>PROGRAM</w:t>
      </w:r>
      <w:r w:rsidRPr="002C067E">
        <w:rPr>
          <w:b/>
          <w:bCs/>
          <w:sz w:val="24"/>
          <w:szCs w:val="24"/>
          <w:lang w:val="es-ES_tradnl"/>
        </w:rPr>
        <w:t>AS PARA EL BIENI</w:t>
      </w:r>
      <w:r w:rsidR="00DF7F45" w:rsidRPr="002C067E">
        <w:rPr>
          <w:b/>
          <w:bCs/>
          <w:sz w:val="24"/>
          <w:szCs w:val="24"/>
          <w:lang w:val="es-ES_tradnl"/>
        </w:rPr>
        <w:t>O 2</w:t>
      </w:r>
      <w:r w:rsidR="007B2C29" w:rsidRPr="002C067E">
        <w:rPr>
          <w:b/>
          <w:bCs/>
          <w:sz w:val="24"/>
          <w:szCs w:val="24"/>
          <w:lang w:val="es-ES_tradnl"/>
        </w:rPr>
        <w:t>014/15</w:t>
      </w:r>
    </w:p>
    <w:p w:rsidR="007B2C29" w:rsidRPr="002C067E" w:rsidRDefault="007B2C29" w:rsidP="004A4009">
      <w:pPr>
        <w:jc w:val="center"/>
        <w:rPr>
          <w:b/>
          <w:bCs/>
          <w:szCs w:val="24"/>
          <w:lang w:val="es-ES_tradnl"/>
        </w:rPr>
      </w:pPr>
    </w:p>
    <w:p w:rsidR="007B2C29" w:rsidRPr="002C067E" w:rsidRDefault="007B2C29" w:rsidP="004A4009">
      <w:pPr>
        <w:ind w:left="5387"/>
        <w:rPr>
          <w:i/>
          <w:iCs/>
          <w:sz w:val="20"/>
          <w:lang w:val="es-ES_tradnl"/>
        </w:rPr>
      </w:pPr>
    </w:p>
    <w:p w:rsidR="007B2C29" w:rsidRPr="002C067E" w:rsidRDefault="007B2C29" w:rsidP="004A4009">
      <w:pPr>
        <w:jc w:val="center"/>
        <w:rPr>
          <w:i/>
          <w:iCs/>
          <w:szCs w:val="22"/>
          <w:lang w:val="es-ES_tradnl"/>
        </w:rPr>
        <w:sectPr w:rsidR="007B2C29" w:rsidRPr="002C067E" w:rsidSect="007B2C29">
          <w:pgSz w:w="11907" w:h="16840" w:code="9"/>
          <w:pgMar w:top="567" w:right="1418" w:bottom="964" w:left="1418" w:header="510" w:footer="851" w:gutter="0"/>
          <w:pgNumType w:fmt="lowerRoman" w:start="1"/>
          <w:cols w:space="720"/>
          <w:titlePg/>
        </w:sectPr>
      </w:pPr>
    </w:p>
    <w:p w:rsidR="007B2C29" w:rsidRPr="002C067E" w:rsidRDefault="007B2C29" w:rsidP="004A4009">
      <w:pPr>
        <w:jc w:val="center"/>
        <w:rPr>
          <w:sz w:val="28"/>
          <w:szCs w:val="28"/>
        </w:rPr>
      </w:pPr>
      <w:r w:rsidRPr="002C067E">
        <w:rPr>
          <w:sz w:val="28"/>
          <w:szCs w:val="28"/>
          <w:lang w:val="es-ES_tradnl"/>
        </w:rPr>
        <w:lastRenderedPageBreak/>
        <w:br w:type="page"/>
      </w:r>
      <w:r w:rsidR="00856ED4" w:rsidRPr="002C067E">
        <w:rPr>
          <w:sz w:val="28"/>
          <w:szCs w:val="28"/>
        </w:rPr>
        <w:lastRenderedPageBreak/>
        <w:t>ÍNDICE</w:t>
      </w:r>
    </w:p>
    <w:p w:rsidR="00C75E88" w:rsidRPr="00FE7D9C" w:rsidRDefault="007B2C29" w:rsidP="00406FE5">
      <w:pPr>
        <w:pStyle w:val="TOC1"/>
        <w:rPr>
          <w:rFonts w:ascii="Calibri" w:hAnsi="Calibri"/>
          <w:szCs w:val="22"/>
        </w:rPr>
      </w:pPr>
      <w:r w:rsidRPr="00D86816">
        <w:rPr>
          <w:rFonts w:cs="Arial"/>
        </w:rPr>
        <w:fldChar w:fldCharType="begin"/>
      </w:r>
      <w:r w:rsidRPr="00D86816">
        <w:rPr>
          <w:rFonts w:cs="Arial"/>
        </w:rPr>
        <w:instrText xml:space="preserve"> TOC \o "1-3" \h \z \u </w:instrText>
      </w:r>
      <w:r w:rsidRPr="00D86816">
        <w:rPr>
          <w:rFonts w:cs="Arial"/>
        </w:rPr>
        <w:fldChar w:fldCharType="separate"/>
      </w:r>
      <w:hyperlink w:anchor="_Toc358816674" w:history="1">
        <w:r w:rsidR="00C75E88" w:rsidRPr="00D86816">
          <w:rPr>
            <w:rStyle w:val="Hyperlink"/>
            <w:color w:val="auto"/>
          </w:rPr>
          <w:t>PRÓLOGO DEL DIRECTOR GENERAL</w:t>
        </w:r>
        <w:r w:rsidR="00C75E88" w:rsidRPr="00D86816">
          <w:rPr>
            <w:webHidden/>
          </w:rPr>
          <w:tab/>
        </w:r>
        <w:r w:rsidR="00C75E88" w:rsidRPr="00D86816">
          <w:rPr>
            <w:webHidden/>
          </w:rPr>
          <w:fldChar w:fldCharType="begin"/>
        </w:r>
        <w:r w:rsidR="00C75E88" w:rsidRPr="00D86816">
          <w:rPr>
            <w:webHidden/>
          </w:rPr>
          <w:instrText xml:space="preserve"> PAGEREF _Toc358816674 \h </w:instrText>
        </w:r>
        <w:r w:rsidR="00C75E88" w:rsidRPr="00D86816">
          <w:rPr>
            <w:webHidden/>
          </w:rPr>
        </w:r>
        <w:r w:rsidR="00C75E88" w:rsidRPr="00D86816">
          <w:rPr>
            <w:webHidden/>
          </w:rPr>
          <w:fldChar w:fldCharType="separate"/>
        </w:r>
        <w:r w:rsidR="00B37E57">
          <w:rPr>
            <w:webHidden/>
          </w:rPr>
          <w:t>5</w:t>
        </w:r>
        <w:r w:rsidR="00C75E88" w:rsidRPr="00D86816">
          <w:rPr>
            <w:webHidden/>
          </w:rPr>
          <w:fldChar w:fldCharType="end"/>
        </w:r>
      </w:hyperlink>
    </w:p>
    <w:p w:rsidR="00C75E88" w:rsidRPr="00FE7D9C" w:rsidRDefault="00B37E57" w:rsidP="00406FE5">
      <w:pPr>
        <w:pStyle w:val="TOC1"/>
        <w:rPr>
          <w:rFonts w:ascii="Calibri" w:hAnsi="Calibri"/>
          <w:szCs w:val="22"/>
        </w:rPr>
      </w:pPr>
      <w:hyperlink w:anchor="_Toc358816675" w:history="1">
        <w:r w:rsidR="00C75E88" w:rsidRPr="00D86816">
          <w:rPr>
            <w:rStyle w:val="Hyperlink"/>
            <w:color w:val="auto"/>
          </w:rPr>
          <w:t>I.</w:t>
        </w:r>
        <w:r w:rsidR="00C75E88" w:rsidRPr="00FE7D9C">
          <w:rPr>
            <w:rFonts w:ascii="Calibri" w:hAnsi="Calibri"/>
            <w:szCs w:val="22"/>
          </w:rPr>
          <w:tab/>
        </w:r>
        <w:r w:rsidR="00C75E88" w:rsidRPr="00D86816">
          <w:rPr>
            <w:rStyle w:val="Hyperlink"/>
            <w:color w:val="auto"/>
          </w:rPr>
          <w:t>VISIÓN DE CONJUNTO DE LOS RESULTADOS</w:t>
        </w:r>
        <w:r w:rsidR="00C75E88" w:rsidRPr="00D86816">
          <w:rPr>
            <w:webHidden/>
          </w:rPr>
          <w:tab/>
        </w:r>
        <w:r w:rsidR="00C75E88" w:rsidRPr="00D86816">
          <w:rPr>
            <w:webHidden/>
          </w:rPr>
          <w:fldChar w:fldCharType="begin"/>
        </w:r>
        <w:r w:rsidR="00C75E88" w:rsidRPr="00D86816">
          <w:rPr>
            <w:webHidden/>
          </w:rPr>
          <w:instrText xml:space="preserve"> PAGEREF _Toc358816675 \h </w:instrText>
        </w:r>
        <w:r w:rsidR="00C75E88" w:rsidRPr="00D86816">
          <w:rPr>
            <w:webHidden/>
          </w:rPr>
        </w:r>
        <w:r w:rsidR="00C75E88" w:rsidRPr="00D86816">
          <w:rPr>
            <w:webHidden/>
          </w:rPr>
          <w:fldChar w:fldCharType="separate"/>
        </w:r>
        <w:r>
          <w:rPr>
            <w:webHidden/>
          </w:rPr>
          <w:t>10</w:t>
        </w:r>
        <w:r w:rsidR="00C75E88" w:rsidRPr="00D86816">
          <w:rPr>
            <w:webHidden/>
          </w:rPr>
          <w:fldChar w:fldCharType="end"/>
        </w:r>
      </w:hyperlink>
    </w:p>
    <w:p w:rsidR="00C75E88" w:rsidRPr="00FE7D9C" w:rsidRDefault="00B37E57" w:rsidP="00406FE5">
      <w:pPr>
        <w:pStyle w:val="TOC1"/>
        <w:rPr>
          <w:rFonts w:ascii="Calibri" w:hAnsi="Calibri"/>
          <w:szCs w:val="22"/>
        </w:rPr>
      </w:pPr>
      <w:hyperlink w:anchor="_Toc358816676" w:history="1">
        <w:r w:rsidR="00C75E88" w:rsidRPr="00D86816">
          <w:rPr>
            <w:rStyle w:val="Hyperlink"/>
            <w:color w:val="auto"/>
          </w:rPr>
          <w:t>II.</w:t>
        </w:r>
        <w:r w:rsidR="00C75E88" w:rsidRPr="00FE7D9C">
          <w:rPr>
            <w:rFonts w:ascii="Calibri" w:hAnsi="Calibri"/>
            <w:szCs w:val="22"/>
          </w:rPr>
          <w:tab/>
        </w:r>
        <w:r w:rsidR="00C75E88" w:rsidRPr="00D86816">
          <w:rPr>
            <w:rStyle w:val="Hyperlink"/>
            <w:color w:val="auto"/>
          </w:rPr>
          <w:t>PANORAMA FINANCIERO</w:t>
        </w:r>
        <w:r w:rsidR="00C75E88" w:rsidRPr="00D86816">
          <w:rPr>
            <w:webHidden/>
          </w:rPr>
          <w:tab/>
        </w:r>
        <w:r w:rsidR="00C75E88" w:rsidRPr="00D86816">
          <w:rPr>
            <w:webHidden/>
          </w:rPr>
          <w:fldChar w:fldCharType="begin"/>
        </w:r>
        <w:r w:rsidR="00C75E88" w:rsidRPr="00D86816">
          <w:rPr>
            <w:webHidden/>
          </w:rPr>
          <w:instrText xml:space="preserve"> PAGEREF _Toc358816676 \h </w:instrText>
        </w:r>
        <w:r w:rsidR="00C75E88" w:rsidRPr="00D86816">
          <w:rPr>
            <w:webHidden/>
          </w:rPr>
        </w:r>
        <w:r w:rsidR="00C75E88" w:rsidRPr="00D86816">
          <w:rPr>
            <w:webHidden/>
          </w:rPr>
          <w:fldChar w:fldCharType="separate"/>
        </w:r>
        <w:r>
          <w:rPr>
            <w:webHidden/>
          </w:rPr>
          <w:t>17</w:t>
        </w:r>
        <w:r w:rsidR="00C75E88" w:rsidRPr="00D86816">
          <w:rPr>
            <w:webHidden/>
          </w:rPr>
          <w:fldChar w:fldCharType="end"/>
        </w:r>
      </w:hyperlink>
    </w:p>
    <w:p w:rsidR="00C75E88" w:rsidRPr="00FE7D9C" w:rsidRDefault="00B37E57" w:rsidP="005700FC">
      <w:pPr>
        <w:pStyle w:val="TOC2"/>
        <w:rPr>
          <w:rFonts w:ascii="Calibri" w:hAnsi="Calibri"/>
          <w:sz w:val="22"/>
          <w:szCs w:val="22"/>
        </w:rPr>
      </w:pPr>
      <w:hyperlink w:anchor="_Toc358816677" w:history="1">
        <w:r w:rsidR="00C75E88" w:rsidRPr="00D86816">
          <w:rPr>
            <w:rStyle w:val="Hyperlink"/>
            <w:color w:val="auto"/>
          </w:rPr>
          <w:t>INGRESOS</w:t>
        </w:r>
        <w:r w:rsidR="00C75E88" w:rsidRPr="00D86816">
          <w:rPr>
            <w:webHidden/>
          </w:rPr>
          <w:tab/>
        </w:r>
        <w:r w:rsidR="00406FE5" w:rsidRPr="00D86816">
          <w:rPr>
            <w:webHidden/>
          </w:rPr>
          <w:tab/>
        </w:r>
        <w:r w:rsidR="00406FE5" w:rsidRPr="00D86816">
          <w:rPr>
            <w:webHidden/>
          </w:rPr>
          <w:tab/>
        </w:r>
        <w:r w:rsidR="00C75E88" w:rsidRPr="00D86816">
          <w:rPr>
            <w:webHidden/>
          </w:rPr>
          <w:fldChar w:fldCharType="begin"/>
        </w:r>
        <w:r w:rsidR="00C75E88" w:rsidRPr="00D86816">
          <w:rPr>
            <w:webHidden/>
          </w:rPr>
          <w:instrText xml:space="preserve"> PAGEREF _Toc358816677 \h </w:instrText>
        </w:r>
        <w:r w:rsidR="00C75E88" w:rsidRPr="00D86816">
          <w:rPr>
            <w:webHidden/>
          </w:rPr>
        </w:r>
        <w:r w:rsidR="00C75E88" w:rsidRPr="00D86816">
          <w:rPr>
            <w:webHidden/>
          </w:rPr>
          <w:fldChar w:fldCharType="separate"/>
        </w:r>
        <w:r>
          <w:rPr>
            <w:webHidden/>
          </w:rPr>
          <w:t>18</w:t>
        </w:r>
        <w:r w:rsidR="00C75E88" w:rsidRPr="00D86816">
          <w:rPr>
            <w:webHidden/>
          </w:rPr>
          <w:fldChar w:fldCharType="end"/>
        </w:r>
      </w:hyperlink>
    </w:p>
    <w:p w:rsidR="00C75E88" w:rsidRPr="00FE7D9C" w:rsidRDefault="00B37E57" w:rsidP="005700FC">
      <w:pPr>
        <w:pStyle w:val="TOC2"/>
        <w:rPr>
          <w:rFonts w:ascii="Calibri" w:hAnsi="Calibri"/>
          <w:sz w:val="22"/>
          <w:szCs w:val="22"/>
        </w:rPr>
      </w:pPr>
      <w:hyperlink w:anchor="_Toc358816678" w:history="1">
        <w:r w:rsidR="00C75E88" w:rsidRPr="00D86816">
          <w:rPr>
            <w:rStyle w:val="Hyperlink"/>
            <w:color w:val="auto"/>
          </w:rPr>
          <w:t>GASTOS</w:t>
        </w:r>
        <w:r w:rsidR="00C75E88" w:rsidRPr="00D86816">
          <w:rPr>
            <w:webHidden/>
          </w:rPr>
          <w:tab/>
        </w:r>
        <w:r w:rsidR="00406FE5" w:rsidRPr="00D86816">
          <w:rPr>
            <w:webHidden/>
          </w:rPr>
          <w:tab/>
        </w:r>
        <w:r w:rsidR="00406FE5" w:rsidRPr="00D86816">
          <w:rPr>
            <w:webHidden/>
          </w:rPr>
          <w:tab/>
        </w:r>
        <w:r w:rsidR="00C75E88" w:rsidRPr="00D86816">
          <w:rPr>
            <w:webHidden/>
          </w:rPr>
          <w:fldChar w:fldCharType="begin"/>
        </w:r>
        <w:r w:rsidR="00C75E88" w:rsidRPr="00D86816">
          <w:rPr>
            <w:webHidden/>
          </w:rPr>
          <w:instrText xml:space="preserve"> PAGEREF _Toc358816678 \h </w:instrText>
        </w:r>
        <w:r w:rsidR="00C75E88" w:rsidRPr="00D86816">
          <w:rPr>
            <w:webHidden/>
          </w:rPr>
        </w:r>
        <w:r w:rsidR="00C75E88" w:rsidRPr="00D86816">
          <w:rPr>
            <w:webHidden/>
          </w:rPr>
          <w:fldChar w:fldCharType="separate"/>
        </w:r>
        <w:r>
          <w:rPr>
            <w:webHidden/>
          </w:rPr>
          <w:t>22</w:t>
        </w:r>
        <w:r w:rsidR="00C75E88" w:rsidRPr="00D86816">
          <w:rPr>
            <w:webHidden/>
          </w:rPr>
          <w:fldChar w:fldCharType="end"/>
        </w:r>
      </w:hyperlink>
    </w:p>
    <w:p w:rsidR="00C75E88" w:rsidRPr="00FE7D9C" w:rsidRDefault="00B37E57">
      <w:pPr>
        <w:pStyle w:val="TOC3"/>
        <w:rPr>
          <w:rFonts w:ascii="Calibri" w:hAnsi="Calibri"/>
          <w:sz w:val="22"/>
          <w:szCs w:val="22"/>
        </w:rPr>
      </w:pPr>
      <w:hyperlink w:anchor="_Toc358816679" w:history="1">
        <w:r w:rsidR="00C75E88" w:rsidRPr="00D86816">
          <w:rPr>
            <w:rStyle w:val="Hyperlink"/>
            <w:color w:val="auto"/>
            <w:lang w:val="es-ES_tradnl"/>
          </w:rPr>
          <w:t>GASTOS GLOBALES</w:t>
        </w:r>
        <w:r w:rsidR="00C75E88" w:rsidRPr="00D86816">
          <w:rPr>
            <w:webHidden/>
          </w:rPr>
          <w:tab/>
        </w:r>
        <w:r w:rsidR="00406FE5" w:rsidRPr="00D86816">
          <w:rPr>
            <w:webHidden/>
          </w:rPr>
          <w:tab/>
        </w:r>
        <w:r w:rsidR="00C75E88" w:rsidRPr="00D86816">
          <w:rPr>
            <w:webHidden/>
          </w:rPr>
          <w:fldChar w:fldCharType="begin"/>
        </w:r>
        <w:r w:rsidR="00C75E88" w:rsidRPr="00D86816">
          <w:rPr>
            <w:webHidden/>
          </w:rPr>
          <w:instrText xml:space="preserve"> PAGEREF _Toc358816679 \h </w:instrText>
        </w:r>
        <w:r w:rsidR="00C75E88" w:rsidRPr="00D86816">
          <w:rPr>
            <w:webHidden/>
          </w:rPr>
        </w:r>
        <w:r w:rsidR="00C75E88" w:rsidRPr="00D86816">
          <w:rPr>
            <w:webHidden/>
          </w:rPr>
          <w:fldChar w:fldCharType="separate"/>
        </w:r>
        <w:r>
          <w:rPr>
            <w:webHidden/>
          </w:rPr>
          <w:t>22</w:t>
        </w:r>
        <w:r w:rsidR="00C75E88" w:rsidRPr="00D86816">
          <w:rPr>
            <w:webHidden/>
          </w:rPr>
          <w:fldChar w:fldCharType="end"/>
        </w:r>
      </w:hyperlink>
    </w:p>
    <w:p w:rsidR="00C75E88" w:rsidRPr="00FE7D9C" w:rsidRDefault="00B37E57">
      <w:pPr>
        <w:pStyle w:val="TOC3"/>
        <w:rPr>
          <w:rFonts w:ascii="Calibri" w:hAnsi="Calibri"/>
          <w:sz w:val="22"/>
          <w:szCs w:val="22"/>
        </w:rPr>
      </w:pPr>
      <w:hyperlink w:anchor="_Toc358816680" w:history="1">
        <w:r w:rsidR="00C75E88" w:rsidRPr="00D86816">
          <w:rPr>
            <w:rStyle w:val="Hyperlink"/>
            <w:color w:val="auto"/>
            <w:lang w:val="es-ES_tradnl"/>
          </w:rPr>
          <w:t>GASTOS DE PERSONAL</w:t>
        </w:r>
        <w:r w:rsidR="00C75E88" w:rsidRPr="00D86816">
          <w:rPr>
            <w:webHidden/>
          </w:rPr>
          <w:tab/>
        </w:r>
        <w:r w:rsidR="00C75E88" w:rsidRPr="00D86816">
          <w:rPr>
            <w:webHidden/>
          </w:rPr>
          <w:fldChar w:fldCharType="begin"/>
        </w:r>
        <w:r w:rsidR="00C75E88" w:rsidRPr="00D86816">
          <w:rPr>
            <w:webHidden/>
          </w:rPr>
          <w:instrText xml:space="preserve"> PAGEREF _Toc358816680 \h </w:instrText>
        </w:r>
        <w:r w:rsidR="00C75E88" w:rsidRPr="00D86816">
          <w:rPr>
            <w:webHidden/>
          </w:rPr>
        </w:r>
        <w:r w:rsidR="00C75E88" w:rsidRPr="00D86816">
          <w:rPr>
            <w:webHidden/>
          </w:rPr>
          <w:fldChar w:fldCharType="separate"/>
        </w:r>
        <w:r>
          <w:rPr>
            <w:webHidden/>
          </w:rPr>
          <w:t>26</w:t>
        </w:r>
        <w:r w:rsidR="00C75E88" w:rsidRPr="00D86816">
          <w:rPr>
            <w:webHidden/>
          </w:rPr>
          <w:fldChar w:fldCharType="end"/>
        </w:r>
      </w:hyperlink>
    </w:p>
    <w:p w:rsidR="00C75E88" w:rsidRPr="00FE7D9C" w:rsidRDefault="00B37E57">
      <w:pPr>
        <w:pStyle w:val="TOC3"/>
        <w:rPr>
          <w:rFonts w:ascii="Calibri" w:hAnsi="Calibri"/>
          <w:sz w:val="22"/>
          <w:szCs w:val="22"/>
        </w:rPr>
      </w:pPr>
      <w:hyperlink w:anchor="_Toc358816681" w:history="1">
        <w:r w:rsidR="00C75E88" w:rsidRPr="00D86816">
          <w:rPr>
            <w:rStyle w:val="Hyperlink"/>
            <w:color w:val="auto"/>
            <w:lang w:val="es-ES_tradnl"/>
          </w:rPr>
          <w:t>GASTOS NO RELATIVOS AL PERSONAL</w:t>
        </w:r>
        <w:r w:rsidR="00C75E88" w:rsidRPr="00D86816">
          <w:rPr>
            <w:webHidden/>
          </w:rPr>
          <w:tab/>
        </w:r>
        <w:r w:rsidR="00C75E88" w:rsidRPr="00D86816">
          <w:rPr>
            <w:webHidden/>
          </w:rPr>
          <w:fldChar w:fldCharType="begin"/>
        </w:r>
        <w:r w:rsidR="00C75E88" w:rsidRPr="00D86816">
          <w:rPr>
            <w:webHidden/>
          </w:rPr>
          <w:instrText xml:space="preserve"> PAGEREF _Toc358816681 \h </w:instrText>
        </w:r>
        <w:r w:rsidR="00C75E88" w:rsidRPr="00D86816">
          <w:rPr>
            <w:webHidden/>
          </w:rPr>
        </w:r>
        <w:r w:rsidR="00C75E88" w:rsidRPr="00D86816">
          <w:rPr>
            <w:webHidden/>
          </w:rPr>
          <w:fldChar w:fldCharType="separate"/>
        </w:r>
        <w:r>
          <w:rPr>
            <w:webHidden/>
          </w:rPr>
          <w:t>27</w:t>
        </w:r>
        <w:r w:rsidR="00C75E88" w:rsidRPr="00D86816">
          <w:rPr>
            <w:webHidden/>
          </w:rPr>
          <w:fldChar w:fldCharType="end"/>
        </w:r>
      </w:hyperlink>
    </w:p>
    <w:p w:rsidR="00C75E88" w:rsidRPr="00FE7D9C" w:rsidRDefault="00B37E57">
      <w:pPr>
        <w:pStyle w:val="TOC3"/>
        <w:rPr>
          <w:rFonts w:ascii="Calibri" w:hAnsi="Calibri"/>
          <w:sz w:val="22"/>
          <w:szCs w:val="22"/>
        </w:rPr>
      </w:pPr>
      <w:hyperlink w:anchor="_Toc358816682" w:history="1">
        <w:r w:rsidR="00C75E88" w:rsidRPr="00D86816">
          <w:rPr>
            <w:rStyle w:val="Hyperlink"/>
            <w:color w:val="auto"/>
            <w:lang w:val="es-ES_tradnl"/>
          </w:rPr>
          <w:t>ACTIVIDADES DE DESARROLLO Y RECURSOS DE LA AGENDA PARA EL</w:t>
        </w:r>
        <w:r w:rsidR="00406FE5" w:rsidRPr="00D86816">
          <w:rPr>
            <w:rStyle w:val="Hyperlink"/>
            <w:color w:val="auto"/>
            <w:lang w:val="es-ES_tradnl"/>
          </w:rPr>
          <w:br/>
        </w:r>
        <w:r w:rsidR="00C75E88" w:rsidRPr="00D86816">
          <w:rPr>
            <w:rStyle w:val="Hyperlink"/>
            <w:color w:val="auto"/>
            <w:lang w:val="es-ES_tradnl"/>
          </w:rPr>
          <w:t>DESARROLLO</w:t>
        </w:r>
        <w:r w:rsidR="00406FE5" w:rsidRPr="00D86816">
          <w:rPr>
            <w:rStyle w:val="Hyperlink"/>
            <w:color w:val="auto"/>
            <w:lang w:val="es-ES_tradnl"/>
          </w:rPr>
          <w:tab/>
        </w:r>
        <w:r w:rsidR="00C75E88" w:rsidRPr="00D86816">
          <w:rPr>
            <w:webHidden/>
          </w:rPr>
          <w:tab/>
        </w:r>
        <w:r w:rsidR="00C75E88" w:rsidRPr="00D86816">
          <w:rPr>
            <w:webHidden/>
          </w:rPr>
          <w:fldChar w:fldCharType="begin"/>
        </w:r>
        <w:r w:rsidR="00C75E88" w:rsidRPr="00D86816">
          <w:rPr>
            <w:webHidden/>
          </w:rPr>
          <w:instrText xml:space="preserve"> PAGEREF _Toc358816682 \h </w:instrText>
        </w:r>
        <w:r w:rsidR="00C75E88" w:rsidRPr="00D86816">
          <w:rPr>
            <w:webHidden/>
          </w:rPr>
        </w:r>
        <w:r w:rsidR="00C75E88" w:rsidRPr="00D86816">
          <w:rPr>
            <w:webHidden/>
          </w:rPr>
          <w:fldChar w:fldCharType="separate"/>
        </w:r>
        <w:r>
          <w:rPr>
            <w:webHidden/>
          </w:rPr>
          <w:t>28</w:t>
        </w:r>
        <w:r w:rsidR="00C75E88" w:rsidRPr="00D86816">
          <w:rPr>
            <w:webHidden/>
          </w:rPr>
          <w:fldChar w:fldCharType="end"/>
        </w:r>
      </w:hyperlink>
    </w:p>
    <w:p w:rsidR="00C75E88" w:rsidRPr="00FE7D9C" w:rsidRDefault="00B37E57" w:rsidP="00406FE5">
      <w:pPr>
        <w:pStyle w:val="TOC1"/>
        <w:rPr>
          <w:rFonts w:ascii="Calibri" w:hAnsi="Calibri"/>
          <w:szCs w:val="22"/>
        </w:rPr>
      </w:pPr>
      <w:hyperlink w:anchor="_Toc358816683" w:history="1">
        <w:r w:rsidR="00C75E88" w:rsidRPr="00D86816">
          <w:rPr>
            <w:rStyle w:val="Hyperlink"/>
            <w:color w:val="auto"/>
          </w:rPr>
          <w:t>III.</w:t>
        </w:r>
        <w:r w:rsidR="00C75E88" w:rsidRPr="00FE7D9C">
          <w:rPr>
            <w:rFonts w:ascii="Calibri" w:hAnsi="Calibri"/>
            <w:szCs w:val="22"/>
          </w:rPr>
          <w:tab/>
        </w:r>
        <w:r w:rsidR="00C75E88" w:rsidRPr="00D86816">
          <w:rPr>
            <w:rStyle w:val="Hyperlink"/>
            <w:color w:val="auto"/>
          </w:rPr>
          <w:t>DESCRIPCIÓN DE LOS PROGRAMAS, POR META ESTRATÉGICA</w:t>
        </w:r>
        <w:r w:rsidR="00C75E88" w:rsidRPr="00D86816">
          <w:rPr>
            <w:webHidden/>
          </w:rPr>
          <w:tab/>
        </w:r>
        <w:r w:rsidR="00C75E88" w:rsidRPr="00D86816">
          <w:rPr>
            <w:webHidden/>
          </w:rPr>
          <w:fldChar w:fldCharType="begin"/>
        </w:r>
        <w:r w:rsidR="00C75E88" w:rsidRPr="00D86816">
          <w:rPr>
            <w:webHidden/>
          </w:rPr>
          <w:instrText xml:space="preserve"> PAGEREF _Toc358816683 \h </w:instrText>
        </w:r>
        <w:r w:rsidR="00C75E88" w:rsidRPr="00D86816">
          <w:rPr>
            <w:webHidden/>
          </w:rPr>
        </w:r>
        <w:r w:rsidR="00C75E88" w:rsidRPr="00D86816">
          <w:rPr>
            <w:webHidden/>
          </w:rPr>
          <w:fldChar w:fldCharType="separate"/>
        </w:r>
        <w:r>
          <w:rPr>
            <w:webHidden/>
          </w:rPr>
          <w:t>31</w:t>
        </w:r>
        <w:r w:rsidR="00C75E88" w:rsidRPr="00D86816">
          <w:rPr>
            <w:webHidden/>
          </w:rPr>
          <w:fldChar w:fldCharType="end"/>
        </w:r>
      </w:hyperlink>
    </w:p>
    <w:p w:rsidR="00C75E88" w:rsidRPr="00D86816" w:rsidRDefault="00B37E57" w:rsidP="005700FC">
      <w:pPr>
        <w:pStyle w:val="TOC2"/>
        <w:tabs>
          <w:tab w:val="clear" w:pos="2608"/>
          <w:tab w:val="left" w:pos="2778"/>
        </w:tabs>
        <w:rPr>
          <w:rStyle w:val="Hyperlink"/>
          <w:color w:val="auto"/>
        </w:rPr>
      </w:pPr>
      <w:hyperlink w:anchor="_Toc358816684" w:history="1">
        <w:r w:rsidR="005700FC" w:rsidRPr="00D86816">
          <w:rPr>
            <w:rStyle w:val="Hyperlink"/>
            <w:color w:val="auto"/>
          </w:rPr>
          <w:t>META ESTRATÉGICA I</w:t>
        </w:r>
        <w:r w:rsidR="005700FC" w:rsidRPr="00D86816">
          <w:rPr>
            <w:rStyle w:val="Hyperlink"/>
            <w:color w:val="auto"/>
          </w:rPr>
          <w:tab/>
        </w:r>
        <w:r w:rsidR="00406FE5" w:rsidRPr="00D86816">
          <w:rPr>
            <w:rStyle w:val="Hyperlink"/>
            <w:color w:val="auto"/>
          </w:rPr>
          <w:t>Evolución equilibrada del marco normativo internacional</w:t>
        </w:r>
        <w:r w:rsidR="001643BF" w:rsidRPr="00D86816">
          <w:rPr>
            <w:rStyle w:val="Hyperlink"/>
            <w:color w:val="auto"/>
          </w:rPr>
          <w:br/>
        </w:r>
        <w:r w:rsidR="001643BF" w:rsidRPr="00D86816">
          <w:rPr>
            <w:rStyle w:val="Hyperlink"/>
            <w:color w:val="auto"/>
          </w:rPr>
          <w:tab/>
        </w:r>
        <w:r w:rsidR="00406FE5" w:rsidRPr="00D86816">
          <w:rPr>
            <w:rStyle w:val="Hyperlink"/>
            <w:color w:val="auto"/>
          </w:rPr>
          <w:t>de P.I.</w:t>
        </w:r>
        <w:r w:rsidR="00C75E88" w:rsidRPr="00D86816">
          <w:rPr>
            <w:rStyle w:val="Hyperlink"/>
            <w:webHidden/>
            <w:color w:val="auto"/>
          </w:rPr>
          <w:tab/>
        </w:r>
        <w:r w:rsidR="00C75E88" w:rsidRPr="00D86816">
          <w:rPr>
            <w:rStyle w:val="Hyperlink"/>
            <w:webHidden/>
            <w:color w:val="auto"/>
          </w:rPr>
          <w:fldChar w:fldCharType="begin"/>
        </w:r>
        <w:r w:rsidR="00C75E88" w:rsidRPr="00D86816">
          <w:rPr>
            <w:rStyle w:val="Hyperlink"/>
            <w:webHidden/>
            <w:color w:val="auto"/>
          </w:rPr>
          <w:instrText xml:space="preserve"> PAGEREF _Toc358816684 \h </w:instrText>
        </w:r>
        <w:r w:rsidR="00C75E88" w:rsidRPr="00D86816">
          <w:rPr>
            <w:rStyle w:val="Hyperlink"/>
            <w:webHidden/>
            <w:color w:val="auto"/>
          </w:rPr>
        </w:r>
        <w:r w:rsidR="00C75E88" w:rsidRPr="00D86816">
          <w:rPr>
            <w:rStyle w:val="Hyperlink"/>
            <w:webHidden/>
            <w:color w:val="auto"/>
          </w:rPr>
          <w:fldChar w:fldCharType="separate"/>
        </w:r>
        <w:r>
          <w:rPr>
            <w:rStyle w:val="Hyperlink"/>
            <w:webHidden/>
            <w:color w:val="auto"/>
          </w:rPr>
          <w:t>32</w:t>
        </w:r>
        <w:r w:rsidR="00C75E88" w:rsidRPr="00D86816">
          <w:rPr>
            <w:rStyle w:val="Hyperlink"/>
            <w:webHidden/>
            <w:color w:val="auto"/>
          </w:rPr>
          <w:fldChar w:fldCharType="end"/>
        </w:r>
      </w:hyperlink>
    </w:p>
    <w:p w:rsidR="00C75E88" w:rsidRPr="00FE7D9C" w:rsidRDefault="00B37E57">
      <w:pPr>
        <w:pStyle w:val="TOC3"/>
        <w:rPr>
          <w:rFonts w:ascii="Calibri" w:hAnsi="Calibri"/>
          <w:sz w:val="22"/>
          <w:szCs w:val="22"/>
        </w:rPr>
      </w:pPr>
      <w:hyperlink w:anchor="_Toc358816685" w:history="1">
        <w:r w:rsidR="003C4D1D" w:rsidRPr="00D86816">
          <w:rPr>
            <w:rStyle w:val="Hyperlink"/>
            <w:iCs/>
            <w:color w:val="auto"/>
          </w:rPr>
          <w:t>Programa 1</w:t>
        </w:r>
        <w:r w:rsidR="003C4D1D" w:rsidRPr="00FE7D9C">
          <w:rPr>
            <w:rFonts w:ascii="Calibri" w:hAnsi="Calibri"/>
            <w:sz w:val="22"/>
            <w:szCs w:val="22"/>
          </w:rPr>
          <w:tab/>
        </w:r>
        <w:r w:rsidR="003C4D1D" w:rsidRPr="00D86816">
          <w:rPr>
            <w:rStyle w:val="Hyperlink"/>
            <w:iCs/>
            <w:color w:val="auto"/>
          </w:rPr>
          <w:t>Derecho de patentes</w:t>
        </w:r>
        <w:r w:rsidR="003C4D1D" w:rsidRPr="00D86816">
          <w:rPr>
            <w:webHidden/>
          </w:rPr>
          <w:tab/>
        </w:r>
        <w:r w:rsidR="00C75E88" w:rsidRPr="00D86816">
          <w:rPr>
            <w:webHidden/>
          </w:rPr>
          <w:fldChar w:fldCharType="begin"/>
        </w:r>
        <w:r w:rsidR="00C75E88" w:rsidRPr="00D86816">
          <w:rPr>
            <w:webHidden/>
          </w:rPr>
          <w:instrText xml:space="preserve"> PAGEREF _Toc358816685 \h </w:instrText>
        </w:r>
        <w:r w:rsidR="00C75E88" w:rsidRPr="00D86816">
          <w:rPr>
            <w:webHidden/>
          </w:rPr>
        </w:r>
        <w:r w:rsidR="00C75E88" w:rsidRPr="00D86816">
          <w:rPr>
            <w:webHidden/>
          </w:rPr>
          <w:fldChar w:fldCharType="separate"/>
        </w:r>
        <w:r>
          <w:rPr>
            <w:webHidden/>
          </w:rPr>
          <w:t>34</w:t>
        </w:r>
        <w:r w:rsidR="00C75E88" w:rsidRPr="00D86816">
          <w:rPr>
            <w:webHidden/>
          </w:rPr>
          <w:fldChar w:fldCharType="end"/>
        </w:r>
      </w:hyperlink>
    </w:p>
    <w:p w:rsidR="00C75E88" w:rsidRPr="00FE7D9C" w:rsidRDefault="00B37E57" w:rsidP="00C31618">
      <w:pPr>
        <w:pStyle w:val="TOC3"/>
        <w:ind w:left="2619" w:hanging="2052"/>
        <w:rPr>
          <w:rFonts w:ascii="Calibri" w:hAnsi="Calibri"/>
          <w:sz w:val="22"/>
          <w:szCs w:val="22"/>
        </w:rPr>
      </w:pPr>
      <w:hyperlink w:anchor="_Toc358816686" w:history="1">
        <w:r w:rsidR="003C4D1D" w:rsidRPr="00D86816">
          <w:rPr>
            <w:rStyle w:val="Hyperlink"/>
            <w:iCs/>
            <w:color w:val="auto"/>
          </w:rPr>
          <w:t>Programa 2</w:t>
        </w:r>
        <w:r w:rsidR="003C4D1D" w:rsidRPr="00FE7D9C">
          <w:rPr>
            <w:rFonts w:ascii="Calibri" w:hAnsi="Calibri"/>
            <w:sz w:val="22"/>
            <w:szCs w:val="22"/>
          </w:rPr>
          <w:tab/>
        </w:r>
        <w:r w:rsidR="003C4D1D" w:rsidRPr="00D86816">
          <w:rPr>
            <w:rStyle w:val="Hyperlink"/>
            <w:iCs/>
            <w:color w:val="auto"/>
          </w:rPr>
          <w:t>Marcas, diseños industriales e indicaciones geográficas</w:t>
        </w:r>
        <w:r w:rsidR="003C4D1D" w:rsidRPr="00D86816">
          <w:rPr>
            <w:webHidden/>
          </w:rPr>
          <w:tab/>
        </w:r>
        <w:r w:rsidR="00C75E88" w:rsidRPr="00D86816">
          <w:rPr>
            <w:webHidden/>
          </w:rPr>
          <w:fldChar w:fldCharType="begin"/>
        </w:r>
        <w:r w:rsidR="00C75E88" w:rsidRPr="00D86816">
          <w:rPr>
            <w:webHidden/>
          </w:rPr>
          <w:instrText xml:space="preserve"> PAGEREF _Toc358816686 \h </w:instrText>
        </w:r>
        <w:r w:rsidR="00C75E88" w:rsidRPr="00D86816">
          <w:rPr>
            <w:webHidden/>
          </w:rPr>
        </w:r>
        <w:r w:rsidR="00C75E88" w:rsidRPr="00D86816">
          <w:rPr>
            <w:webHidden/>
          </w:rPr>
          <w:fldChar w:fldCharType="separate"/>
        </w:r>
        <w:r>
          <w:rPr>
            <w:webHidden/>
          </w:rPr>
          <w:t>39</w:t>
        </w:r>
        <w:r w:rsidR="00C75E88" w:rsidRPr="00D86816">
          <w:rPr>
            <w:webHidden/>
          </w:rPr>
          <w:fldChar w:fldCharType="end"/>
        </w:r>
      </w:hyperlink>
    </w:p>
    <w:p w:rsidR="00C75E88" w:rsidRPr="00FE7D9C" w:rsidRDefault="00B37E57">
      <w:pPr>
        <w:pStyle w:val="TOC3"/>
        <w:rPr>
          <w:rFonts w:ascii="Calibri" w:hAnsi="Calibri"/>
          <w:sz w:val="22"/>
          <w:szCs w:val="22"/>
        </w:rPr>
      </w:pPr>
      <w:hyperlink w:anchor="_Toc358816687" w:history="1">
        <w:r w:rsidR="003C4D1D" w:rsidRPr="00D86816">
          <w:rPr>
            <w:rStyle w:val="Hyperlink"/>
            <w:iCs/>
            <w:color w:val="auto"/>
          </w:rPr>
          <w:t>Programa 3</w:t>
        </w:r>
        <w:r w:rsidR="003C4D1D" w:rsidRPr="00FE7D9C">
          <w:rPr>
            <w:rFonts w:ascii="Calibri" w:hAnsi="Calibri"/>
            <w:sz w:val="22"/>
            <w:szCs w:val="22"/>
          </w:rPr>
          <w:tab/>
        </w:r>
        <w:r w:rsidR="003C4D1D" w:rsidRPr="00D86816">
          <w:rPr>
            <w:rStyle w:val="Hyperlink"/>
            <w:iCs/>
            <w:color w:val="auto"/>
          </w:rPr>
          <w:t>Derecho de autor y derechos conexos</w:t>
        </w:r>
        <w:r w:rsidR="003C4D1D" w:rsidRPr="00D86816">
          <w:rPr>
            <w:webHidden/>
          </w:rPr>
          <w:tab/>
        </w:r>
        <w:r w:rsidR="00C75E88" w:rsidRPr="00D86816">
          <w:rPr>
            <w:webHidden/>
          </w:rPr>
          <w:fldChar w:fldCharType="begin"/>
        </w:r>
        <w:r w:rsidR="00C75E88" w:rsidRPr="00D86816">
          <w:rPr>
            <w:webHidden/>
          </w:rPr>
          <w:instrText xml:space="preserve"> PAGEREF _Toc358816687 \h </w:instrText>
        </w:r>
        <w:r w:rsidR="00C75E88" w:rsidRPr="00D86816">
          <w:rPr>
            <w:webHidden/>
          </w:rPr>
        </w:r>
        <w:r w:rsidR="00C75E88" w:rsidRPr="00D86816">
          <w:rPr>
            <w:webHidden/>
          </w:rPr>
          <w:fldChar w:fldCharType="separate"/>
        </w:r>
        <w:r>
          <w:rPr>
            <w:webHidden/>
          </w:rPr>
          <w:t>43</w:t>
        </w:r>
        <w:r w:rsidR="00C75E88" w:rsidRPr="00D86816">
          <w:rPr>
            <w:webHidden/>
          </w:rPr>
          <w:fldChar w:fldCharType="end"/>
        </w:r>
      </w:hyperlink>
    </w:p>
    <w:p w:rsidR="00C75E88" w:rsidRPr="00FE7D9C" w:rsidRDefault="00B37E57" w:rsidP="00C31618">
      <w:pPr>
        <w:pStyle w:val="TOC3"/>
        <w:ind w:left="2619" w:hanging="2052"/>
        <w:rPr>
          <w:rFonts w:ascii="Calibri" w:hAnsi="Calibri"/>
          <w:sz w:val="22"/>
          <w:szCs w:val="22"/>
        </w:rPr>
      </w:pPr>
      <w:hyperlink w:anchor="_Toc358816688" w:history="1">
        <w:r w:rsidR="003C4D1D" w:rsidRPr="00D86816">
          <w:rPr>
            <w:rStyle w:val="Hyperlink"/>
            <w:iCs/>
            <w:color w:val="auto"/>
          </w:rPr>
          <w:t>Programa 4</w:t>
        </w:r>
        <w:r w:rsidR="003C4D1D" w:rsidRPr="00FE7D9C">
          <w:rPr>
            <w:rFonts w:ascii="Calibri" w:hAnsi="Calibri"/>
            <w:sz w:val="22"/>
            <w:szCs w:val="22"/>
          </w:rPr>
          <w:tab/>
        </w:r>
        <w:r w:rsidR="003C4D1D" w:rsidRPr="00D86816">
          <w:rPr>
            <w:rStyle w:val="Hyperlink"/>
            <w:iCs/>
            <w:color w:val="auto"/>
          </w:rPr>
          <w:t>Conocimientos tradicionales, expresiones culturales tradicionales y recursos genéticos</w:t>
        </w:r>
        <w:r w:rsidR="003C4D1D" w:rsidRPr="00D86816">
          <w:rPr>
            <w:webHidden/>
          </w:rPr>
          <w:tab/>
        </w:r>
        <w:r w:rsidR="00C75E88" w:rsidRPr="00D86816">
          <w:rPr>
            <w:webHidden/>
          </w:rPr>
          <w:fldChar w:fldCharType="begin"/>
        </w:r>
        <w:r w:rsidR="00C75E88" w:rsidRPr="00D86816">
          <w:rPr>
            <w:webHidden/>
          </w:rPr>
          <w:instrText xml:space="preserve"> PAGEREF _Toc358816688 \h </w:instrText>
        </w:r>
        <w:r w:rsidR="00C75E88" w:rsidRPr="00D86816">
          <w:rPr>
            <w:webHidden/>
          </w:rPr>
        </w:r>
        <w:r w:rsidR="00C75E88" w:rsidRPr="00D86816">
          <w:rPr>
            <w:webHidden/>
          </w:rPr>
          <w:fldChar w:fldCharType="separate"/>
        </w:r>
        <w:r>
          <w:rPr>
            <w:webHidden/>
          </w:rPr>
          <w:t>50</w:t>
        </w:r>
        <w:r w:rsidR="00C75E88" w:rsidRPr="00D86816">
          <w:rPr>
            <w:webHidden/>
          </w:rPr>
          <w:fldChar w:fldCharType="end"/>
        </w:r>
      </w:hyperlink>
    </w:p>
    <w:p w:rsidR="00C75E88" w:rsidRPr="00D86816" w:rsidRDefault="00B37E57" w:rsidP="005700FC">
      <w:pPr>
        <w:pStyle w:val="TOC2"/>
        <w:tabs>
          <w:tab w:val="clear" w:pos="2608"/>
          <w:tab w:val="left" w:pos="2778"/>
        </w:tabs>
        <w:rPr>
          <w:rStyle w:val="Hyperlink"/>
          <w:color w:val="auto"/>
        </w:rPr>
      </w:pPr>
      <w:hyperlink w:anchor="_Toc358816689" w:history="1">
        <w:r w:rsidR="00C75E88" w:rsidRPr="00D86816">
          <w:rPr>
            <w:rStyle w:val="Hyperlink"/>
            <w:color w:val="auto"/>
          </w:rPr>
          <w:t>META ESTRATÉGICA</w:t>
        </w:r>
        <w:r w:rsidR="005700FC" w:rsidRPr="00D86816">
          <w:rPr>
            <w:rStyle w:val="Hyperlink"/>
            <w:color w:val="auto"/>
          </w:rPr>
          <w:t xml:space="preserve"> II</w:t>
        </w:r>
        <w:r w:rsidR="005700FC" w:rsidRPr="00D86816">
          <w:rPr>
            <w:rStyle w:val="Hyperlink"/>
            <w:color w:val="auto"/>
          </w:rPr>
          <w:tab/>
        </w:r>
        <w:r w:rsidR="00406FE5" w:rsidRPr="00D86816">
          <w:rPr>
            <w:rStyle w:val="Hyperlink"/>
            <w:color w:val="auto"/>
          </w:rPr>
          <w:t xml:space="preserve">Prestación de servicios mundiales de </w:t>
        </w:r>
        <w:r w:rsidR="00D86816" w:rsidRPr="00D86816">
          <w:rPr>
            <w:rStyle w:val="Hyperlink"/>
            <w:color w:val="auto"/>
          </w:rPr>
          <w:t>P.I.</w:t>
        </w:r>
        <w:r w:rsidR="00406FE5" w:rsidRPr="00D86816">
          <w:rPr>
            <w:rStyle w:val="Hyperlink"/>
            <w:color w:val="auto"/>
          </w:rPr>
          <w:t xml:space="preserve"> de calidad</w:t>
        </w:r>
        <w:r w:rsidR="00C75E88" w:rsidRPr="00D86816">
          <w:rPr>
            <w:rStyle w:val="Hyperlink"/>
            <w:webHidden/>
            <w:color w:val="auto"/>
          </w:rPr>
          <w:tab/>
        </w:r>
        <w:r w:rsidR="00C75E88" w:rsidRPr="00D86816">
          <w:rPr>
            <w:rStyle w:val="Hyperlink"/>
            <w:webHidden/>
            <w:color w:val="auto"/>
          </w:rPr>
          <w:fldChar w:fldCharType="begin"/>
        </w:r>
        <w:r w:rsidR="00C75E88" w:rsidRPr="00D86816">
          <w:rPr>
            <w:rStyle w:val="Hyperlink"/>
            <w:webHidden/>
            <w:color w:val="auto"/>
          </w:rPr>
          <w:instrText xml:space="preserve"> PAGEREF _Toc358816689 \h </w:instrText>
        </w:r>
        <w:r w:rsidR="00C75E88" w:rsidRPr="00D86816">
          <w:rPr>
            <w:rStyle w:val="Hyperlink"/>
            <w:webHidden/>
            <w:color w:val="auto"/>
          </w:rPr>
        </w:r>
        <w:r w:rsidR="00C75E88" w:rsidRPr="00D86816">
          <w:rPr>
            <w:rStyle w:val="Hyperlink"/>
            <w:webHidden/>
            <w:color w:val="auto"/>
          </w:rPr>
          <w:fldChar w:fldCharType="separate"/>
        </w:r>
        <w:r>
          <w:rPr>
            <w:rStyle w:val="Hyperlink"/>
            <w:webHidden/>
            <w:color w:val="auto"/>
          </w:rPr>
          <w:t>55</w:t>
        </w:r>
        <w:r w:rsidR="00C75E88" w:rsidRPr="00D86816">
          <w:rPr>
            <w:rStyle w:val="Hyperlink"/>
            <w:webHidden/>
            <w:color w:val="auto"/>
          </w:rPr>
          <w:fldChar w:fldCharType="end"/>
        </w:r>
      </w:hyperlink>
    </w:p>
    <w:p w:rsidR="00C75E88" w:rsidRPr="00FE7D9C" w:rsidRDefault="00B37E57">
      <w:pPr>
        <w:pStyle w:val="TOC3"/>
        <w:rPr>
          <w:rFonts w:ascii="Calibri" w:hAnsi="Calibri"/>
          <w:sz w:val="22"/>
          <w:szCs w:val="22"/>
        </w:rPr>
      </w:pPr>
      <w:hyperlink w:anchor="_Toc358816690" w:history="1">
        <w:r w:rsidR="003C4D1D" w:rsidRPr="00D86816">
          <w:rPr>
            <w:rStyle w:val="Hyperlink"/>
            <w:iCs/>
            <w:color w:val="auto"/>
          </w:rPr>
          <w:t>Programa 5</w:t>
        </w:r>
        <w:r w:rsidR="003C4D1D" w:rsidRPr="00FE7D9C">
          <w:rPr>
            <w:rFonts w:ascii="Calibri" w:hAnsi="Calibri"/>
            <w:sz w:val="22"/>
            <w:szCs w:val="22"/>
          </w:rPr>
          <w:tab/>
        </w:r>
        <w:r w:rsidR="003C4D1D" w:rsidRPr="00D86816">
          <w:rPr>
            <w:rStyle w:val="Hyperlink"/>
            <w:iCs/>
            <w:color w:val="auto"/>
          </w:rPr>
          <w:t>Sistema del PCT</w:t>
        </w:r>
        <w:r w:rsidR="003C4D1D" w:rsidRPr="00D86816">
          <w:rPr>
            <w:webHidden/>
          </w:rPr>
          <w:tab/>
        </w:r>
        <w:r w:rsidR="00C75E88" w:rsidRPr="00D86816">
          <w:rPr>
            <w:webHidden/>
          </w:rPr>
          <w:fldChar w:fldCharType="begin"/>
        </w:r>
        <w:r w:rsidR="00C75E88" w:rsidRPr="00D86816">
          <w:rPr>
            <w:webHidden/>
          </w:rPr>
          <w:instrText xml:space="preserve"> PAGEREF _Toc358816690 \h </w:instrText>
        </w:r>
        <w:r w:rsidR="00C75E88" w:rsidRPr="00D86816">
          <w:rPr>
            <w:webHidden/>
          </w:rPr>
        </w:r>
        <w:r w:rsidR="00C75E88" w:rsidRPr="00D86816">
          <w:rPr>
            <w:webHidden/>
          </w:rPr>
          <w:fldChar w:fldCharType="separate"/>
        </w:r>
        <w:r>
          <w:rPr>
            <w:webHidden/>
          </w:rPr>
          <w:t>59</w:t>
        </w:r>
        <w:r w:rsidR="00C75E88" w:rsidRPr="00D86816">
          <w:rPr>
            <w:webHidden/>
          </w:rPr>
          <w:fldChar w:fldCharType="end"/>
        </w:r>
      </w:hyperlink>
    </w:p>
    <w:p w:rsidR="00C75E88" w:rsidRPr="00FE7D9C" w:rsidRDefault="00B37E57">
      <w:pPr>
        <w:pStyle w:val="TOC3"/>
        <w:rPr>
          <w:rFonts w:ascii="Calibri" w:hAnsi="Calibri"/>
          <w:sz w:val="22"/>
          <w:szCs w:val="22"/>
        </w:rPr>
      </w:pPr>
      <w:hyperlink w:anchor="_Toc358816691" w:history="1">
        <w:r w:rsidR="003C4D1D" w:rsidRPr="00D86816">
          <w:rPr>
            <w:rStyle w:val="Hyperlink"/>
            <w:color w:val="auto"/>
            <w:lang w:val="es-ES"/>
          </w:rPr>
          <w:t>Programa 6</w:t>
        </w:r>
        <w:r w:rsidR="003C4D1D" w:rsidRPr="00FE7D9C">
          <w:rPr>
            <w:rFonts w:ascii="Calibri" w:hAnsi="Calibri"/>
            <w:sz w:val="22"/>
            <w:szCs w:val="22"/>
          </w:rPr>
          <w:tab/>
        </w:r>
        <w:r w:rsidR="003C4D1D" w:rsidRPr="00D86816">
          <w:rPr>
            <w:rStyle w:val="Hyperlink"/>
            <w:color w:val="auto"/>
            <w:lang w:val="es-ES"/>
          </w:rPr>
          <w:t>Sistemas de Madrid y de Lisboa</w:t>
        </w:r>
        <w:r w:rsidR="003C4D1D" w:rsidRPr="00D86816">
          <w:rPr>
            <w:webHidden/>
          </w:rPr>
          <w:tab/>
        </w:r>
        <w:r w:rsidR="00C75E88" w:rsidRPr="00D86816">
          <w:rPr>
            <w:webHidden/>
          </w:rPr>
          <w:fldChar w:fldCharType="begin"/>
        </w:r>
        <w:r w:rsidR="00C75E88" w:rsidRPr="00D86816">
          <w:rPr>
            <w:webHidden/>
          </w:rPr>
          <w:instrText xml:space="preserve"> PAGEREF _Toc358816691 \h </w:instrText>
        </w:r>
        <w:r w:rsidR="00C75E88" w:rsidRPr="00D86816">
          <w:rPr>
            <w:webHidden/>
          </w:rPr>
        </w:r>
        <w:r w:rsidR="00C75E88" w:rsidRPr="00D86816">
          <w:rPr>
            <w:webHidden/>
          </w:rPr>
          <w:fldChar w:fldCharType="separate"/>
        </w:r>
        <w:r>
          <w:rPr>
            <w:webHidden/>
          </w:rPr>
          <w:t>63</w:t>
        </w:r>
        <w:r w:rsidR="00C75E88" w:rsidRPr="00D86816">
          <w:rPr>
            <w:webHidden/>
          </w:rPr>
          <w:fldChar w:fldCharType="end"/>
        </w:r>
      </w:hyperlink>
    </w:p>
    <w:p w:rsidR="00C75E88" w:rsidRPr="00FE7D9C" w:rsidRDefault="00B37E57">
      <w:pPr>
        <w:pStyle w:val="TOC3"/>
        <w:rPr>
          <w:rFonts w:ascii="Calibri" w:hAnsi="Calibri"/>
          <w:sz w:val="22"/>
          <w:szCs w:val="22"/>
        </w:rPr>
      </w:pPr>
      <w:hyperlink w:anchor="_Toc358816692" w:history="1">
        <w:r w:rsidR="003C4D1D" w:rsidRPr="00D86816">
          <w:rPr>
            <w:rStyle w:val="Hyperlink"/>
            <w:iCs/>
            <w:color w:val="auto"/>
          </w:rPr>
          <w:t>Programa 31</w:t>
        </w:r>
        <w:r w:rsidR="003C4D1D" w:rsidRPr="00FE7D9C">
          <w:rPr>
            <w:rFonts w:ascii="Calibri" w:hAnsi="Calibri"/>
            <w:sz w:val="22"/>
            <w:szCs w:val="22"/>
          </w:rPr>
          <w:tab/>
        </w:r>
        <w:r w:rsidR="003C4D1D" w:rsidRPr="00D86816">
          <w:rPr>
            <w:rStyle w:val="Hyperlink"/>
            <w:iCs/>
            <w:color w:val="auto"/>
          </w:rPr>
          <w:t>Sistema de La Haya</w:t>
        </w:r>
        <w:r w:rsidR="003C4D1D" w:rsidRPr="00D86816">
          <w:rPr>
            <w:webHidden/>
          </w:rPr>
          <w:tab/>
        </w:r>
        <w:r w:rsidR="00C75E88" w:rsidRPr="00D86816">
          <w:rPr>
            <w:webHidden/>
          </w:rPr>
          <w:fldChar w:fldCharType="begin"/>
        </w:r>
        <w:r w:rsidR="00C75E88" w:rsidRPr="00D86816">
          <w:rPr>
            <w:webHidden/>
          </w:rPr>
          <w:instrText xml:space="preserve"> PAGEREF _Toc358816692 \h </w:instrText>
        </w:r>
        <w:r w:rsidR="00C75E88" w:rsidRPr="00D86816">
          <w:rPr>
            <w:webHidden/>
          </w:rPr>
        </w:r>
        <w:r w:rsidR="00C75E88" w:rsidRPr="00D86816">
          <w:rPr>
            <w:webHidden/>
          </w:rPr>
          <w:fldChar w:fldCharType="separate"/>
        </w:r>
        <w:r>
          <w:rPr>
            <w:webHidden/>
          </w:rPr>
          <w:t>69</w:t>
        </w:r>
        <w:r w:rsidR="00C75E88" w:rsidRPr="00D86816">
          <w:rPr>
            <w:webHidden/>
          </w:rPr>
          <w:fldChar w:fldCharType="end"/>
        </w:r>
      </w:hyperlink>
    </w:p>
    <w:p w:rsidR="00C75E88" w:rsidRPr="00FE7D9C" w:rsidRDefault="00B37E57">
      <w:pPr>
        <w:pStyle w:val="TOC3"/>
        <w:rPr>
          <w:rFonts w:ascii="Calibri" w:hAnsi="Calibri"/>
          <w:sz w:val="22"/>
          <w:szCs w:val="22"/>
        </w:rPr>
      </w:pPr>
      <w:hyperlink w:anchor="_Toc358816693" w:history="1">
        <w:r w:rsidR="003C4D1D" w:rsidRPr="00D86816">
          <w:rPr>
            <w:rStyle w:val="Hyperlink"/>
            <w:iCs/>
            <w:color w:val="auto"/>
          </w:rPr>
          <w:t>Programa 7</w:t>
        </w:r>
        <w:r w:rsidR="003C4D1D" w:rsidRPr="00FE7D9C">
          <w:rPr>
            <w:rFonts w:ascii="Calibri" w:hAnsi="Calibri"/>
            <w:sz w:val="22"/>
            <w:szCs w:val="22"/>
          </w:rPr>
          <w:tab/>
        </w:r>
        <w:r w:rsidR="003C4D1D" w:rsidRPr="00D86816">
          <w:rPr>
            <w:rStyle w:val="Hyperlink"/>
            <w:iCs/>
            <w:color w:val="auto"/>
          </w:rPr>
          <w:t>Centro de arbitraje y mediación de la OMPI</w:t>
        </w:r>
        <w:r w:rsidR="003C4D1D" w:rsidRPr="00D86816">
          <w:rPr>
            <w:webHidden/>
          </w:rPr>
          <w:tab/>
        </w:r>
        <w:r w:rsidR="00C75E88" w:rsidRPr="00D86816">
          <w:rPr>
            <w:webHidden/>
          </w:rPr>
          <w:fldChar w:fldCharType="begin"/>
        </w:r>
        <w:r w:rsidR="00C75E88" w:rsidRPr="00D86816">
          <w:rPr>
            <w:webHidden/>
          </w:rPr>
          <w:instrText xml:space="preserve"> PAGEREF _Toc358816693 \h </w:instrText>
        </w:r>
        <w:r w:rsidR="00C75E88" w:rsidRPr="00D86816">
          <w:rPr>
            <w:webHidden/>
          </w:rPr>
        </w:r>
        <w:r w:rsidR="00C75E88" w:rsidRPr="00D86816">
          <w:rPr>
            <w:webHidden/>
          </w:rPr>
          <w:fldChar w:fldCharType="separate"/>
        </w:r>
        <w:r>
          <w:rPr>
            <w:webHidden/>
          </w:rPr>
          <w:t>73</w:t>
        </w:r>
        <w:r w:rsidR="00C75E88" w:rsidRPr="00D86816">
          <w:rPr>
            <w:webHidden/>
          </w:rPr>
          <w:fldChar w:fldCharType="end"/>
        </w:r>
      </w:hyperlink>
    </w:p>
    <w:p w:rsidR="00C75E88" w:rsidRPr="00D86816" w:rsidRDefault="00B37E57" w:rsidP="005700FC">
      <w:pPr>
        <w:pStyle w:val="TOC2"/>
        <w:tabs>
          <w:tab w:val="clear" w:pos="2608"/>
          <w:tab w:val="left" w:pos="2778"/>
        </w:tabs>
        <w:rPr>
          <w:rStyle w:val="Hyperlink"/>
          <w:color w:val="auto"/>
        </w:rPr>
      </w:pPr>
      <w:hyperlink w:anchor="_Toc358816694" w:history="1">
        <w:r w:rsidR="005700FC" w:rsidRPr="00D86816">
          <w:rPr>
            <w:rStyle w:val="Hyperlink"/>
            <w:color w:val="auto"/>
          </w:rPr>
          <w:t>META ESTRATÉGICA III</w:t>
        </w:r>
        <w:r w:rsidR="005700FC" w:rsidRPr="00D86816">
          <w:rPr>
            <w:rStyle w:val="Hyperlink"/>
            <w:color w:val="auto"/>
          </w:rPr>
          <w:tab/>
        </w:r>
        <w:r w:rsidR="00406FE5" w:rsidRPr="00D86816">
          <w:rPr>
            <w:rStyle w:val="Hyperlink"/>
            <w:color w:val="auto"/>
          </w:rPr>
          <w:t>Facilitar el uso de la P.I. en aras del desarrollo</w:t>
        </w:r>
        <w:r w:rsidR="00C75E88" w:rsidRPr="00D86816">
          <w:rPr>
            <w:rStyle w:val="Hyperlink"/>
            <w:webHidden/>
            <w:color w:val="auto"/>
          </w:rPr>
          <w:tab/>
        </w:r>
        <w:r w:rsidR="00C75E88" w:rsidRPr="00D86816">
          <w:rPr>
            <w:rStyle w:val="Hyperlink"/>
            <w:webHidden/>
            <w:color w:val="auto"/>
          </w:rPr>
          <w:fldChar w:fldCharType="begin"/>
        </w:r>
        <w:r w:rsidR="00C75E88" w:rsidRPr="00D86816">
          <w:rPr>
            <w:rStyle w:val="Hyperlink"/>
            <w:webHidden/>
            <w:color w:val="auto"/>
          </w:rPr>
          <w:instrText xml:space="preserve"> PAGEREF _Toc358816694 \h </w:instrText>
        </w:r>
        <w:r w:rsidR="00C75E88" w:rsidRPr="00D86816">
          <w:rPr>
            <w:rStyle w:val="Hyperlink"/>
            <w:webHidden/>
            <w:color w:val="auto"/>
          </w:rPr>
        </w:r>
        <w:r w:rsidR="00C75E88" w:rsidRPr="00D86816">
          <w:rPr>
            <w:rStyle w:val="Hyperlink"/>
            <w:webHidden/>
            <w:color w:val="auto"/>
          </w:rPr>
          <w:fldChar w:fldCharType="separate"/>
        </w:r>
        <w:r>
          <w:rPr>
            <w:rStyle w:val="Hyperlink"/>
            <w:webHidden/>
            <w:color w:val="auto"/>
          </w:rPr>
          <w:t>78</w:t>
        </w:r>
        <w:r w:rsidR="00C75E88" w:rsidRPr="00D86816">
          <w:rPr>
            <w:rStyle w:val="Hyperlink"/>
            <w:webHidden/>
            <w:color w:val="auto"/>
          </w:rPr>
          <w:fldChar w:fldCharType="end"/>
        </w:r>
      </w:hyperlink>
    </w:p>
    <w:p w:rsidR="00C75E88" w:rsidRPr="00FE7D9C" w:rsidRDefault="00B37E57">
      <w:pPr>
        <w:pStyle w:val="TOC3"/>
        <w:rPr>
          <w:rFonts w:ascii="Calibri" w:hAnsi="Calibri"/>
          <w:sz w:val="22"/>
          <w:szCs w:val="22"/>
        </w:rPr>
      </w:pPr>
      <w:hyperlink w:anchor="_Toc358816695" w:history="1">
        <w:r w:rsidR="003C4D1D" w:rsidRPr="00D86816">
          <w:rPr>
            <w:rStyle w:val="Hyperlink"/>
            <w:iCs/>
            <w:color w:val="auto"/>
          </w:rPr>
          <w:t>Programa 8</w:t>
        </w:r>
        <w:r w:rsidR="003C4D1D" w:rsidRPr="00FE7D9C">
          <w:rPr>
            <w:rFonts w:ascii="Calibri" w:hAnsi="Calibri"/>
            <w:sz w:val="22"/>
            <w:szCs w:val="22"/>
          </w:rPr>
          <w:tab/>
        </w:r>
        <w:r w:rsidR="003C4D1D" w:rsidRPr="00D86816">
          <w:rPr>
            <w:rStyle w:val="Hyperlink"/>
            <w:iCs/>
            <w:color w:val="auto"/>
          </w:rPr>
          <w:t>Coordinación de la Agenda para el desarrollo</w:t>
        </w:r>
        <w:r w:rsidR="003C4D1D" w:rsidRPr="00D86816">
          <w:rPr>
            <w:webHidden/>
          </w:rPr>
          <w:tab/>
        </w:r>
        <w:r w:rsidR="00C75E88" w:rsidRPr="00D86816">
          <w:rPr>
            <w:webHidden/>
          </w:rPr>
          <w:fldChar w:fldCharType="begin"/>
        </w:r>
        <w:r w:rsidR="00C75E88" w:rsidRPr="00D86816">
          <w:rPr>
            <w:webHidden/>
          </w:rPr>
          <w:instrText xml:space="preserve"> PAGEREF _Toc358816695 \h </w:instrText>
        </w:r>
        <w:r w:rsidR="00C75E88" w:rsidRPr="00D86816">
          <w:rPr>
            <w:webHidden/>
          </w:rPr>
        </w:r>
        <w:r w:rsidR="00C75E88" w:rsidRPr="00D86816">
          <w:rPr>
            <w:webHidden/>
          </w:rPr>
          <w:fldChar w:fldCharType="separate"/>
        </w:r>
        <w:r>
          <w:rPr>
            <w:webHidden/>
          </w:rPr>
          <w:t>82</w:t>
        </w:r>
        <w:r w:rsidR="00C75E88" w:rsidRPr="00D86816">
          <w:rPr>
            <w:webHidden/>
          </w:rPr>
          <w:fldChar w:fldCharType="end"/>
        </w:r>
      </w:hyperlink>
    </w:p>
    <w:p w:rsidR="00C75E88" w:rsidRPr="00FE7D9C" w:rsidRDefault="00B37E57" w:rsidP="00C31618">
      <w:pPr>
        <w:pStyle w:val="TOC3"/>
        <w:ind w:left="2619" w:hanging="2052"/>
        <w:rPr>
          <w:rFonts w:ascii="Calibri" w:hAnsi="Calibri"/>
          <w:sz w:val="22"/>
          <w:szCs w:val="22"/>
        </w:rPr>
      </w:pPr>
      <w:hyperlink w:anchor="_Toc358816696" w:history="1">
        <w:r w:rsidR="003C4D1D" w:rsidRPr="00D86816">
          <w:rPr>
            <w:rStyle w:val="Hyperlink"/>
            <w:iCs/>
            <w:color w:val="auto"/>
          </w:rPr>
          <w:t>Programa 9</w:t>
        </w:r>
        <w:r w:rsidR="003C4D1D" w:rsidRPr="00FE7D9C">
          <w:rPr>
            <w:rFonts w:ascii="Calibri" w:hAnsi="Calibri"/>
            <w:sz w:val="22"/>
            <w:szCs w:val="22"/>
          </w:rPr>
          <w:tab/>
        </w:r>
        <w:r w:rsidR="003C4D1D" w:rsidRPr="00D86816">
          <w:rPr>
            <w:rStyle w:val="Hyperlink"/>
            <w:iCs/>
            <w:color w:val="auto"/>
          </w:rPr>
          <w:t>Países africanos, árabes, de América Latina y el Caribe, de Asia y el Pacífico y países menos adelantados</w:t>
        </w:r>
        <w:r w:rsidR="003C4D1D" w:rsidRPr="00D86816">
          <w:rPr>
            <w:webHidden/>
          </w:rPr>
          <w:tab/>
        </w:r>
        <w:r w:rsidR="00C75E88" w:rsidRPr="00D86816">
          <w:rPr>
            <w:webHidden/>
          </w:rPr>
          <w:fldChar w:fldCharType="begin"/>
        </w:r>
        <w:r w:rsidR="00C75E88" w:rsidRPr="00D86816">
          <w:rPr>
            <w:webHidden/>
          </w:rPr>
          <w:instrText xml:space="preserve"> PAGEREF _Toc358816696 \h </w:instrText>
        </w:r>
        <w:r w:rsidR="00C75E88" w:rsidRPr="00D86816">
          <w:rPr>
            <w:webHidden/>
          </w:rPr>
        </w:r>
        <w:r w:rsidR="00C75E88" w:rsidRPr="00D86816">
          <w:rPr>
            <w:webHidden/>
          </w:rPr>
          <w:fldChar w:fldCharType="separate"/>
        </w:r>
        <w:r>
          <w:rPr>
            <w:webHidden/>
          </w:rPr>
          <w:t>86</w:t>
        </w:r>
        <w:r w:rsidR="00C75E88" w:rsidRPr="00D86816">
          <w:rPr>
            <w:webHidden/>
          </w:rPr>
          <w:fldChar w:fldCharType="end"/>
        </w:r>
      </w:hyperlink>
    </w:p>
    <w:p w:rsidR="00C75E88" w:rsidRPr="00FE7D9C" w:rsidRDefault="00B37E57">
      <w:pPr>
        <w:pStyle w:val="TOC3"/>
        <w:rPr>
          <w:rFonts w:ascii="Calibri" w:hAnsi="Calibri"/>
          <w:sz w:val="22"/>
          <w:szCs w:val="22"/>
        </w:rPr>
      </w:pPr>
      <w:hyperlink w:anchor="_Toc358816697" w:history="1">
        <w:r w:rsidR="003C4D1D" w:rsidRPr="00D86816">
          <w:rPr>
            <w:rStyle w:val="Hyperlink"/>
            <w:color w:val="auto"/>
            <w:lang w:val="es-ES"/>
          </w:rPr>
          <w:t>Programa 10</w:t>
        </w:r>
        <w:r w:rsidR="003C4D1D" w:rsidRPr="00FE7D9C">
          <w:rPr>
            <w:rFonts w:ascii="Calibri" w:hAnsi="Calibri"/>
            <w:sz w:val="22"/>
            <w:szCs w:val="22"/>
          </w:rPr>
          <w:tab/>
        </w:r>
        <w:r w:rsidR="003C4D1D" w:rsidRPr="00D86816">
          <w:rPr>
            <w:rStyle w:val="Hyperlink"/>
            <w:color w:val="auto"/>
            <w:lang w:val="es-ES"/>
          </w:rPr>
          <w:t>Cooperación con determinados países de Europa y Asia</w:t>
        </w:r>
        <w:r w:rsidR="003C4D1D" w:rsidRPr="00D86816">
          <w:rPr>
            <w:webHidden/>
          </w:rPr>
          <w:tab/>
        </w:r>
        <w:r w:rsidR="00C75E88" w:rsidRPr="00D86816">
          <w:rPr>
            <w:webHidden/>
          </w:rPr>
          <w:fldChar w:fldCharType="begin"/>
        </w:r>
        <w:r w:rsidR="00C75E88" w:rsidRPr="00D86816">
          <w:rPr>
            <w:webHidden/>
          </w:rPr>
          <w:instrText xml:space="preserve"> PAGEREF _Toc358816697 \h </w:instrText>
        </w:r>
        <w:r w:rsidR="00C75E88" w:rsidRPr="00D86816">
          <w:rPr>
            <w:webHidden/>
          </w:rPr>
        </w:r>
        <w:r w:rsidR="00C75E88" w:rsidRPr="00D86816">
          <w:rPr>
            <w:webHidden/>
          </w:rPr>
          <w:fldChar w:fldCharType="separate"/>
        </w:r>
        <w:r>
          <w:rPr>
            <w:webHidden/>
          </w:rPr>
          <w:t>94</w:t>
        </w:r>
        <w:r w:rsidR="00C75E88" w:rsidRPr="00D86816">
          <w:rPr>
            <w:webHidden/>
          </w:rPr>
          <w:fldChar w:fldCharType="end"/>
        </w:r>
      </w:hyperlink>
    </w:p>
    <w:p w:rsidR="00C75E88" w:rsidRPr="00FE7D9C" w:rsidRDefault="00B37E57">
      <w:pPr>
        <w:pStyle w:val="TOC3"/>
        <w:rPr>
          <w:rFonts w:ascii="Calibri" w:hAnsi="Calibri"/>
          <w:sz w:val="22"/>
          <w:szCs w:val="22"/>
        </w:rPr>
      </w:pPr>
      <w:hyperlink w:anchor="_Toc358816698" w:history="1">
        <w:r w:rsidR="003C4D1D" w:rsidRPr="00D86816">
          <w:rPr>
            <w:rStyle w:val="Hyperlink"/>
            <w:iCs/>
            <w:color w:val="auto"/>
          </w:rPr>
          <w:t>Programa 11</w:t>
        </w:r>
        <w:r w:rsidR="003C4D1D" w:rsidRPr="00FE7D9C">
          <w:rPr>
            <w:rFonts w:ascii="Calibri" w:hAnsi="Calibri"/>
            <w:sz w:val="22"/>
            <w:szCs w:val="22"/>
          </w:rPr>
          <w:tab/>
        </w:r>
        <w:r w:rsidR="003C4D1D" w:rsidRPr="00D86816">
          <w:rPr>
            <w:rStyle w:val="Hyperlink"/>
            <w:iCs/>
            <w:color w:val="auto"/>
          </w:rPr>
          <w:t>El Centro de formación de la OMPI</w:t>
        </w:r>
        <w:r w:rsidR="003C4D1D" w:rsidRPr="00D86816">
          <w:rPr>
            <w:webHidden/>
          </w:rPr>
          <w:tab/>
        </w:r>
        <w:r w:rsidR="00C75E88" w:rsidRPr="00D86816">
          <w:rPr>
            <w:webHidden/>
          </w:rPr>
          <w:fldChar w:fldCharType="begin"/>
        </w:r>
        <w:r w:rsidR="00C75E88" w:rsidRPr="00D86816">
          <w:rPr>
            <w:webHidden/>
          </w:rPr>
          <w:instrText xml:space="preserve"> PAGEREF _Toc358816698 \h </w:instrText>
        </w:r>
        <w:r w:rsidR="00C75E88" w:rsidRPr="00D86816">
          <w:rPr>
            <w:webHidden/>
          </w:rPr>
        </w:r>
        <w:r w:rsidR="00C75E88" w:rsidRPr="00D86816">
          <w:rPr>
            <w:webHidden/>
          </w:rPr>
          <w:fldChar w:fldCharType="separate"/>
        </w:r>
        <w:r>
          <w:rPr>
            <w:webHidden/>
          </w:rPr>
          <w:t>100</w:t>
        </w:r>
        <w:r w:rsidR="00C75E88" w:rsidRPr="00D86816">
          <w:rPr>
            <w:webHidden/>
          </w:rPr>
          <w:fldChar w:fldCharType="end"/>
        </w:r>
      </w:hyperlink>
    </w:p>
    <w:p w:rsidR="00C75E88" w:rsidRPr="00D86816" w:rsidRDefault="00B37E57" w:rsidP="005700FC">
      <w:pPr>
        <w:pStyle w:val="TOC2"/>
        <w:tabs>
          <w:tab w:val="clear" w:pos="2608"/>
          <w:tab w:val="left" w:pos="2778"/>
        </w:tabs>
        <w:rPr>
          <w:rStyle w:val="Hyperlink"/>
          <w:color w:val="auto"/>
        </w:rPr>
      </w:pPr>
      <w:hyperlink w:anchor="_Toc358816699" w:history="1">
        <w:r w:rsidR="005700FC" w:rsidRPr="00D86816">
          <w:rPr>
            <w:rStyle w:val="Hyperlink"/>
            <w:color w:val="auto"/>
          </w:rPr>
          <w:t>META ESTRATÉGICA IV</w:t>
        </w:r>
        <w:r w:rsidR="005700FC" w:rsidRPr="00D86816">
          <w:rPr>
            <w:rStyle w:val="Hyperlink"/>
            <w:color w:val="auto"/>
          </w:rPr>
          <w:tab/>
        </w:r>
        <w:r w:rsidR="00406FE5" w:rsidRPr="00D86816">
          <w:rPr>
            <w:rStyle w:val="Hyperlink"/>
            <w:color w:val="auto"/>
          </w:rPr>
          <w:t>Coordinación y desarrollo de la infraestructura mundial de</w:t>
        </w:r>
        <w:r w:rsidR="001643BF" w:rsidRPr="00D86816">
          <w:rPr>
            <w:rStyle w:val="Hyperlink"/>
            <w:color w:val="auto"/>
          </w:rPr>
          <w:br/>
        </w:r>
        <w:r w:rsidR="001643BF" w:rsidRPr="00D86816">
          <w:rPr>
            <w:rStyle w:val="Hyperlink"/>
            <w:color w:val="auto"/>
          </w:rPr>
          <w:tab/>
        </w:r>
        <w:r w:rsidR="00406FE5" w:rsidRPr="00D86816">
          <w:rPr>
            <w:rStyle w:val="Hyperlink"/>
            <w:color w:val="auto"/>
          </w:rPr>
          <w:t xml:space="preserve">la </w:t>
        </w:r>
        <w:r w:rsidR="00C75E88" w:rsidRPr="00D86816">
          <w:rPr>
            <w:rStyle w:val="Hyperlink"/>
            <w:color w:val="auto"/>
          </w:rPr>
          <w:t>P.I.</w:t>
        </w:r>
        <w:r w:rsidR="00C75E88" w:rsidRPr="00D86816">
          <w:rPr>
            <w:rStyle w:val="Hyperlink"/>
            <w:webHidden/>
            <w:color w:val="auto"/>
          </w:rPr>
          <w:tab/>
        </w:r>
        <w:r w:rsidR="00C75E88" w:rsidRPr="00D86816">
          <w:rPr>
            <w:rStyle w:val="Hyperlink"/>
            <w:webHidden/>
            <w:color w:val="auto"/>
          </w:rPr>
          <w:fldChar w:fldCharType="begin"/>
        </w:r>
        <w:r w:rsidR="00C75E88" w:rsidRPr="00D86816">
          <w:rPr>
            <w:rStyle w:val="Hyperlink"/>
            <w:webHidden/>
            <w:color w:val="auto"/>
          </w:rPr>
          <w:instrText xml:space="preserve"> PAGEREF _Toc358816699 \h </w:instrText>
        </w:r>
        <w:r w:rsidR="00C75E88" w:rsidRPr="00D86816">
          <w:rPr>
            <w:rStyle w:val="Hyperlink"/>
            <w:webHidden/>
            <w:color w:val="auto"/>
          </w:rPr>
        </w:r>
        <w:r w:rsidR="00C75E88" w:rsidRPr="00D86816">
          <w:rPr>
            <w:rStyle w:val="Hyperlink"/>
            <w:webHidden/>
            <w:color w:val="auto"/>
          </w:rPr>
          <w:fldChar w:fldCharType="separate"/>
        </w:r>
        <w:r>
          <w:rPr>
            <w:rStyle w:val="Hyperlink"/>
            <w:webHidden/>
            <w:color w:val="auto"/>
          </w:rPr>
          <w:t>109</w:t>
        </w:r>
        <w:r w:rsidR="00C75E88" w:rsidRPr="00D86816">
          <w:rPr>
            <w:rStyle w:val="Hyperlink"/>
            <w:webHidden/>
            <w:color w:val="auto"/>
          </w:rPr>
          <w:fldChar w:fldCharType="end"/>
        </w:r>
      </w:hyperlink>
    </w:p>
    <w:p w:rsidR="00C75E88" w:rsidRPr="00FE7D9C" w:rsidRDefault="00B37E57" w:rsidP="00C31618">
      <w:pPr>
        <w:pStyle w:val="TOC3"/>
        <w:ind w:left="2619" w:hanging="2052"/>
        <w:rPr>
          <w:rFonts w:ascii="Calibri" w:hAnsi="Calibri"/>
          <w:sz w:val="22"/>
          <w:szCs w:val="22"/>
        </w:rPr>
      </w:pPr>
      <w:hyperlink w:anchor="_Toc358816700" w:history="1">
        <w:r w:rsidR="003C4D1D" w:rsidRPr="00D86816">
          <w:rPr>
            <w:rStyle w:val="Hyperlink"/>
            <w:iCs/>
            <w:color w:val="auto"/>
          </w:rPr>
          <w:t>Programa 12</w:t>
        </w:r>
        <w:r w:rsidR="003C4D1D" w:rsidRPr="00FE7D9C">
          <w:rPr>
            <w:rFonts w:ascii="Calibri" w:hAnsi="Calibri"/>
            <w:sz w:val="22"/>
            <w:szCs w:val="22"/>
          </w:rPr>
          <w:tab/>
        </w:r>
        <w:r w:rsidR="003C4D1D" w:rsidRPr="00D86816">
          <w:rPr>
            <w:rStyle w:val="Hyperlink"/>
            <w:iCs/>
            <w:color w:val="auto"/>
          </w:rPr>
          <w:t>Clasificaciones internacionales y normas técnicas de la OMPI</w:t>
        </w:r>
        <w:r w:rsidR="003C4D1D" w:rsidRPr="00D86816">
          <w:rPr>
            <w:webHidden/>
          </w:rPr>
          <w:tab/>
        </w:r>
        <w:r w:rsidR="00C75E88" w:rsidRPr="00D86816">
          <w:rPr>
            <w:webHidden/>
          </w:rPr>
          <w:fldChar w:fldCharType="begin"/>
        </w:r>
        <w:r w:rsidR="00C75E88" w:rsidRPr="00D86816">
          <w:rPr>
            <w:webHidden/>
          </w:rPr>
          <w:instrText xml:space="preserve"> PAGEREF _Toc358816700 \h </w:instrText>
        </w:r>
        <w:r w:rsidR="00C75E88" w:rsidRPr="00D86816">
          <w:rPr>
            <w:webHidden/>
          </w:rPr>
        </w:r>
        <w:r w:rsidR="00C75E88" w:rsidRPr="00D86816">
          <w:rPr>
            <w:webHidden/>
          </w:rPr>
          <w:fldChar w:fldCharType="separate"/>
        </w:r>
        <w:r>
          <w:rPr>
            <w:webHidden/>
          </w:rPr>
          <w:t>112</w:t>
        </w:r>
        <w:r w:rsidR="00C75E88" w:rsidRPr="00D86816">
          <w:rPr>
            <w:webHidden/>
          </w:rPr>
          <w:fldChar w:fldCharType="end"/>
        </w:r>
      </w:hyperlink>
    </w:p>
    <w:p w:rsidR="00C75E88" w:rsidRPr="00FE7D9C" w:rsidRDefault="00B37E57">
      <w:pPr>
        <w:pStyle w:val="TOC3"/>
        <w:rPr>
          <w:rFonts w:ascii="Calibri" w:hAnsi="Calibri"/>
          <w:sz w:val="22"/>
          <w:szCs w:val="22"/>
        </w:rPr>
      </w:pPr>
      <w:hyperlink w:anchor="_Toc358816701" w:history="1">
        <w:r w:rsidR="003C4D1D" w:rsidRPr="00D86816">
          <w:rPr>
            <w:rStyle w:val="Hyperlink"/>
            <w:iCs/>
            <w:color w:val="auto"/>
          </w:rPr>
          <w:t>Programa 13</w:t>
        </w:r>
        <w:r w:rsidR="003C4D1D" w:rsidRPr="00FE7D9C">
          <w:rPr>
            <w:rFonts w:ascii="Calibri" w:hAnsi="Calibri"/>
            <w:sz w:val="22"/>
            <w:szCs w:val="22"/>
          </w:rPr>
          <w:tab/>
        </w:r>
        <w:r w:rsidR="003C4D1D" w:rsidRPr="00D86816">
          <w:rPr>
            <w:rStyle w:val="Hyperlink"/>
            <w:iCs/>
            <w:color w:val="auto"/>
          </w:rPr>
          <w:t>Bases de datos mundiales</w:t>
        </w:r>
        <w:r w:rsidR="003C4D1D" w:rsidRPr="00D86816">
          <w:rPr>
            <w:webHidden/>
          </w:rPr>
          <w:tab/>
        </w:r>
        <w:r w:rsidR="00C75E88" w:rsidRPr="00D86816">
          <w:rPr>
            <w:webHidden/>
          </w:rPr>
          <w:fldChar w:fldCharType="begin"/>
        </w:r>
        <w:r w:rsidR="00C75E88" w:rsidRPr="00D86816">
          <w:rPr>
            <w:webHidden/>
          </w:rPr>
          <w:instrText xml:space="preserve"> PAGEREF _Toc358816701 \h </w:instrText>
        </w:r>
        <w:r w:rsidR="00C75E88" w:rsidRPr="00D86816">
          <w:rPr>
            <w:webHidden/>
          </w:rPr>
        </w:r>
        <w:r w:rsidR="00C75E88" w:rsidRPr="00D86816">
          <w:rPr>
            <w:webHidden/>
          </w:rPr>
          <w:fldChar w:fldCharType="separate"/>
        </w:r>
        <w:r>
          <w:rPr>
            <w:webHidden/>
          </w:rPr>
          <w:t>116</w:t>
        </w:r>
        <w:r w:rsidR="00C75E88" w:rsidRPr="00D86816">
          <w:rPr>
            <w:webHidden/>
          </w:rPr>
          <w:fldChar w:fldCharType="end"/>
        </w:r>
      </w:hyperlink>
    </w:p>
    <w:p w:rsidR="00C75E88" w:rsidRPr="00FE7D9C" w:rsidRDefault="00B37E57" w:rsidP="00C31618">
      <w:pPr>
        <w:pStyle w:val="TOC3"/>
        <w:ind w:left="2619" w:hanging="2052"/>
        <w:rPr>
          <w:rFonts w:ascii="Calibri" w:hAnsi="Calibri"/>
          <w:sz w:val="22"/>
          <w:szCs w:val="22"/>
        </w:rPr>
      </w:pPr>
      <w:hyperlink w:anchor="_Toc358816702" w:history="1">
        <w:r w:rsidR="003C4D1D" w:rsidRPr="00D86816">
          <w:rPr>
            <w:rStyle w:val="Hyperlink"/>
            <w:iCs/>
            <w:color w:val="auto"/>
          </w:rPr>
          <w:t>Programa 14</w:t>
        </w:r>
        <w:r w:rsidR="003C4D1D" w:rsidRPr="00FE7D9C">
          <w:rPr>
            <w:rFonts w:ascii="Calibri" w:hAnsi="Calibri"/>
            <w:sz w:val="22"/>
            <w:szCs w:val="22"/>
          </w:rPr>
          <w:tab/>
        </w:r>
        <w:r w:rsidR="003C4D1D" w:rsidRPr="00D86816">
          <w:rPr>
            <w:rStyle w:val="Hyperlink"/>
            <w:iCs/>
            <w:color w:val="auto"/>
          </w:rPr>
          <w:t>Servicios de acceso a la información y a los conocimientos</w:t>
        </w:r>
        <w:r w:rsidR="003C4D1D" w:rsidRPr="00D86816">
          <w:rPr>
            <w:webHidden/>
          </w:rPr>
          <w:tab/>
        </w:r>
        <w:r w:rsidR="00C75E88" w:rsidRPr="00D86816">
          <w:rPr>
            <w:webHidden/>
          </w:rPr>
          <w:fldChar w:fldCharType="begin"/>
        </w:r>
        <w:r w:rsidR="00C75E88" w:rsidRPr="00D86816">
          <w:rPr>
            <w:webHidden/>
          </w:rPr>
          <w:instrText xml:space="preserve"> PAGEREF _Toc358816702 \h </w:instrText>
        </w:r>
        <w:r w:rsidR="00C75E88" w:rsidRPr="00D86816">
          <w:rPr>
            <w:webHidden/>
          </w:rPr>
        </w:r>
        <w:r w:rsidR="00C75E88" w:rsidRPr="00D86816">
          <w:rPr>
            <w:webHidden/>
          </w:rPr>
          <w:fldChar w:fldCharType="separate"/>
        </w:r>
        <w:r>
          <w:rPr>
            <w:webHidden/>
          </w:rPr>
          <w:t>120</w:t>
        </w:r>
        <w:r w:rsidR="00C75E88" w:rsidRPr="00D86816">
          <w:rPr>
            <w:webHidden/>
          </w:rPr>
          <w:fldChar w:fldCharType="end"/>
        </w:r>
      </w:hyperlink>
    </w:p>
    <w:p w:rsidR="00C75E88" w:rsidRPr="00FE7D9C" w:rsidRDefault="00B37E57">
      <w:pPr>
        <w:pStyle w:val="TOC3"/>
        <w:rPr>
          <w:rFonts w:ascii="Calibri" w:hAnsi="Calibri"/>
          <w:sz w:val="22"/>
          <w:szCs w:val="22"/>
        </w:rPr>
      </w:pPr>
      <w:hyperlink w:anchor="_Toc358816703" w:history="1">
        <w:r w:rsidR="003C4D1D" w:rsidRPr="00D86816">
          <w:rPr>
            <w:rStyle w:val="Hyperlink"/>
            <w:iCs/>
            <w:color w:val="auto"/>
          </w:rPr>
          <w:t>Programa 15</w:t>
        </w:r>
        <w:r w:rsidR="003C4D1D" w:rsidRPr="00FE7D9C">
          <w:rPr>
            <w:rFonts w:ascii="Calibri" w:hAnsi="Calibri"/>
            <w:sz w:val="22"/>
            <w:szCs w:val="22"/>
          </w:rPr>
          <w:tab/>
        </w:r>
        <w:r w:rsidR="003C4D1D" w:rsidRPr="00D86816">
          <w:rPr>
            <w:rStyle w:val="Hyperlink"/>
            <w:iCs/>
            <w:color w:val="auto"/>
          </w:rPr>
          <w:t>Soluciones operativas para las oficinas de P.I.</w:t>
        </w:r>
        <w:r w:rsidR="003C4D1D" w:rsidRPr="00D86816">
          <w:rPr>
            <w:webHidden/>
          </w:rPr>
          <w:tab/>
        </w:r>
        <w:r w:rsidR="00C75E88" w:rsidRPr="00D86816">
          <w:rPr>
            <w:webHidden/>
          </w:rPr>
          <w:fldChar w:fldCharType="begin"/>
        </w:r>
        <w:r w:rsidR="00C75E88" w:rsidRPr="00D86816">
          <w:rPr>
            <w:webHidden/>
          </w:rPr>
          <w:instrText xml:space="preserve"> PAGEREF _Toc358816703 \h </w:instrText>
        </w:r>
        <w:r w:rsidR="00C75E88" w:rsidRPr="00D86816">
          <w:rPr>
            <w:webHidden/>
          </w:rPr>
        </w:r>
        <w:r w:rsidR="00C75E88" w:rsidRPr="00D86816">
          <w:rPr>
            <w:webHidden/>
          </w:rPr>
          <w:fldChar w:fldCharType="separate"/>
        </w:r>
        <w:r>
          <w:rPr>
            <w:webHidden/>
          </w:rPr>
          <w:t>125</w:t>
        </w:r>
        <w:r w:rsidR="00C75E88" w:rsidRPr="00D86816">
          <w:rPr>
            <w:webHidden/>
          </w:rPr>
          <w:fldChar w:fldCharType="end"/>
        </w:r>
      </w:hyperlink>
    </w:p>
    <w:p w:rsidR="00C75E88" w:rsidRPr="00D86816" w:rsidRDefault="00B37E57" w:rsidP="005700FC">
      <w:pPr>
        <w:pStyle w:val="TOC2"/>
        <w:tabs>
          <w:tab w:val="clear" w:pos="2608"/>
          <w:tab w:val="left" w:pos="2778"/>
        </w:tabs>
        <w:ind w:left="2778" w:hanging="2540"/>
        <w:rPr>
          <w:rStyle w:val="Hyperlink"/>
          <w:color w:val="auto"/>
        </w:rPr>
      </w:pPr>
      <w:hyperlink w:anchor="_Toc358816704" w:history="1">
        <w:r w:rsidR="005700FC" w:rsidRPr="00D86816">
          <w:rPr>
            <w:rStyle w:val="Hyperlink"/>
            <w:color w:val="auto"/>
          </w:rPr>
          <w:t>META ESTRATÉGICA V</w:t>
        </w:r>
        <w:r w:rsidR="005700FC" w:rsidRPr="00D86816">
          <w:rPr>
            <w:rStyle w:val="Hyperlink"/>
            <w:color w:val="auto"/>
          </w:rPr>
          <w:tab/>
        </w:r>
        <w:r w:rsidR="00C75E88" w:rsidRPr="00D86816">
          <w:rPr>
            <w:rStyle w:val="Hyperlink"/>
            <w:color w:val="auto"/>
          </w:rPr>
          <w:t>F</w:t>
        </w:r>
        <w:r w:rsidR="00406FE5" w:rsidRPr="00D86816">
          <w:rPr>
            <w:rStyle w:val="Hyperlink"/>
            <w:color w:val="auto"/>
          </w:rPr>
          <w:t>uente de referencia en el mundo de información y análisis en materia</w:t>
        </w:r>
        <w:r w:rsidR="00C75E88" w:rsidRPr="00D86816">
          <w:rPr>
            <w:rStyle w:val="Hyperlink"/>
            <w:color w:val="auto"/>
          </w:rPr>
          <w:t xml:space="preserve"> </w:t>
        </w:r>
        <w:r w:rsidR="00406FE5" w:rsidRPr="00D86816">
          <w:rPr>
            <w:rStyle w:val="Hyperlink"/>
            <w:color w:val="auto"/>
          </w:rPr>
          <w:t xml:space="preserve">de </w:t>
        </w:r>
        <w:r w:rsidR="00C75E88" w:rsidRPr="00D86816">
          <w:rPr>
            <w:rStyle w:val="Hyperlink"/>
            <w:color w:val="auto"/>
          </w:rPr>
          <w:t>P.I.</w:t>
        </w:r>
        <w:r w:rsidR="00C75E88" w:rsidRPr="00D86816">
          <w:rPr>
            <w:rStyle w:val="Hyperlink"/>
            <w:webHidden/>
            <w:color w:val="auto"/>
          </w:rPr>
          <w:tab/>
        </w:r>
        <w:r w:rsidR="00C75E88" w:rsidRPr="00D86816">
          <w:rPr>
            <w:rStyle w:val="Hyperlink"/>
            <w:webHidden/>
            <w:color w:val="auto"/>
          </w:rPr>
          <w:fldChar w:fldCharType="begin"/>
        </w:r>
        <w:r w:rsidR="00C75E88" w:rsidRPr="00D86816">
          <w:rPr>
            <w:rStyle w:val="Hyperlink"/>
            <w:webHidden/>
            <w:color w:val="auto"/>
          </w:rPr>
          <w:instrText xml:space="preserve"> PAGEREF _Toc358816704 \h </w:instrText>
        </w:r>
        <w:r w:rsidR="00C75E88" w:rsidRPr="00D86816">
          <w:rPr>
            <w:rStyle w:val="Hyperlink"/>
            <w:webHidden/>
            <w:color w:val="auto"/>
          </w:rPr>
        </w:r>
        <w:r w:rsidR="00C75E88" w:rsidRPr="00D86816">
          <w:rPr>
            <w:rStyle w:val="Hyperlink"/>
            <w:webHidden/>
            <w:color w:val="auto"/>
          </w:rPr>
          <w:fldChar w:fldCharType="separate"/>
        </w:r>
        <w:r>
          <w:rPr>
            <w:rStyle w:val="Hyperlink"/>
            <w:webHidden/>
            <w:color w:val="auto"/>
          </w:rPr>
          <w:t>130</w:t>
        </w:r>
        <w:r w:rsidR="00C75E88" w:rsidRPr="00D86816">
          <w:rPr>
            <w:rStyle w:val="Hyperlink"/>
            <w:webHidden/>
            <w:color w:val="auto"/>
          </w:rPr>
          <w:fldChar w:fldCharType="end"/>
        </w:r>
      </w:hyperlink>
    </w:p>
    <w:p w:rsidR="00C75E88" w:rsidRPr="00FE7D9C" w:rsidRDefault="00B37E57">
      <w:pPr>
        <w:pStyle w:val="TOC3"/>
        <w:rPr>
          <w:rFonts w:ascii="Calibri" w:hAnsi="Calibri"/>
          <w:sz w:val="22"/>
          <w:szCs w:val="22"/>
        </w:rPr>
      </w:pPr>
      <w:hyperlink w:anchor="_Toc358816705" w:history="1">
        <w:r w:rsidR="003C4D1D" w:rsidRPr="00D86816">
          <w:rPr>
            <w:rStyle w:val="Hyperlink"/>
            <w:iCs/>
            <w:color w:val="auto"/>
          </w:rPr>
          <w:t>Programa 16</w:t>
        </w:r>
        <w:r w:rsidR="003C4D1D" w:rsidRPr="00FE7D9C">
          <w:rPr>
            <w:rFonts w:ascii="Calibri" w:hAnsi="Calibri"/>
            <w:sz w:val="22"/>
            <w:szCs w:val="22"/>
          </w:rPr>
          <w:tab/>
        </w:r>
        <w:r w:rsidR="003C4D1D" w:rsidRPr="00D86816">
          <w:rPr>
            <w:rStyle w:val="Hyperlink"/>
            <w:iCs/>
            <w:color w:val="auto"/>
          </w:rPr>
          <w:t>Economía y estadística</w:t>
        </w:r>
        <w:r w:rsidR="003C4D1D" w:rsidRPr="00D86816">
          <w:rPr>
            <w:webHidden/>
          </w:rPr>
          <w:tab/>
        </w:r>
        <w:r w:rsidR="00C75E88" w:rsidRPr="00D86816">
          <w:rPr>
            <w:webHidden/>
          </w:rPr>
          <w:fldChar w:fldCharType="begin"/>
        </w:r>
        <w:r w:rsidR="00C75E88" w:rsidRPr="00D86816">
          <w:rPr>
            <w:webHidden/>
          </w:rPr>
          <w:instrText xml:space="preserve"> PAGEREF _Toc358816705 \h </w:instrText>
        </w:r>
        <w:r w:rsidR="00C75E88" w:rsidRPr="00D86816">
          <w:rPr>
            <w:webHidden/>
          </w:rPr>
        </w:r>
        <w:r w:rsidR="00C75E88" w:rsidRPr="00D86816">
          <w:rPr>
            <w:webHidden/>
          </w:rPr>
          <w:fldChar w:fldCharType="separate"/>
        </w:r>
        <w:r>
          <w:rPr>
            <w:webHidden/>
          </w:rPr>
          <w:t>131</w:t>
        </w:r>
        <w:r w:rsidR="00C75E88" w:rsidRPr="00D86816">
          <w:rPr>
            <w:webHidden/>
          </w:rPr>
          <w:fldChar w:fldCharType="end"/>
        </w:r>
      </w:hyperlink>
    </w:p>
    <w:p w:rsidR="00C75E88" w:rsidRPr="00D86816" w:rsidRDefault="00B37E57" w:rsidP="005700FC">
      <w:pPr>
        <w:pStyle w:val="TOC2"/>
        <w:tabs>
          <w:tab w:val="clear" w:pos="2608"/>
          <w:tab w:val="left" w:pos="2778"/>
        </w:tabs>
        <w:rPr>
          <w:rStyle w:val="Hyperlink"/>
          <w:color w:val="auto"/>
        </w:rPr>
      </w:pPr>
      <w:hyperlink w:anchor="_Toc358816706" w:history="1">
        <w:r w:rsidR="005700FC" w:rsidRPr="00D86816">
          <w:rPr>
            <w:rStyle w:val="Hyperlink"/>
            <w:color w:val="auto"/>
          </w:rPr>
          <w:t>META ESTRATÉGICA VI</w:t>
        </w:r>
        <w:r w:rsidR="005700FC" w:rsidRPr="00D86816">
          <w:rPr>
            <w:rStyle w:val="Hyperlink"/>
            <w:color w:val="auto"/>
          </w:rPr>
          <w:tab/>
        </w:r>
        <w:r w:rsidR="00C75E88" w:rsidRPr="00D86816">
          <w:rPr>
            <w:rStyle w:val="Hyperlink"/>
            <w:color w:val="auto"/>
          </w:rPr>
          <w:t>C</w:t>
        </w:r>
        <w:r w:rsidR="00406FE5" w:rsidRPr="00D86816">
          <w:rPr>
            <w:rStyle w:val="Hyperlink"/>
            <w:color w:val="auto"/>
          </w:rPr>
          <w:t xml:space="preserve">ooperación internacional para cultivar el respeto por la </w:t>
        </w:r>
        <w:r w:rsidR="00C75E88" w:rsidRPr="00D86816">
          <w:rPr>
            <w:rStyle w:val="Hyperlink"/>
            <w:color w:val="auto"/>
          </w:rPr>
          <w:t>P.I.</w:t>
        </w:r>
        <w:r w:rsidR="00C75E88" w:rsidRPr="00D86816">
          <w:rPr>
            <w:rStyle w:val="Hyperlink"/>
            <w:webHidden/>
            <w:color w:val="auto"/>
          </w:rPr>
          <w:tab/>
        </w:r>
        <w:r w:rsidR="00C75E88" w:rsidRPr="00D86816">
          <w:rPr>
            <w:rStyle w:val="Hyperlink"/>
            <w:webHidden/>
            <w:color w:val="auto"/>
          </w:rPr>
          <w:fldChar w:fldCharType="begin"/>
        </w:r>
        <w:r w:rsidR="00C75E88" w:rsidRPr="00D86816">
          <w:rPr>
            <w:rStyle w:val="Hyperlink"/>
            <w:webHidden/>
            <w:color w:val="auto"/>
          </w:rPr>
          <w:instrText xml:space="preserve"> PAGEREF _Toc358816706 \h </w:instrText>
        </w:r>
        <w:r w:rsidR="00C75E88" w:rsidRPr="00D86816">
          <w:rPr>
            <w:rStyle w:val="Hyperlink"/>
            <w:webHidden/>
            <w:color w:val="auto"/>
          </w:rPr>
        </w:r>
        <w:r w:rsidR="00C75E88" w:rsidRPr="00D86816">
          <w:rPr>
            <w:rStyle w:val="Hyperlink"/>
            <w:webHidden/>
            <w:color w:val="auto"/>
          </w:rPr>
          <w:fldChar w:fldCharType="separate"/>
        </w:r>
        <w:r>
          <w:rPr>
            <w:rStyle w:val="Hyperlink"/>
            <w:webHidden/>
            <w:color w:val="auto"/>
          </w:rPr>
          <w:t>135</w:t>
        </w:r>
        <w:r w:rsidR="00C75E88" w:rsidRPr="00D86816">
          <w:rPr>
            <w:rStyle w:val="Hyperlink"/>
            <w:webHidden/>
            <w:color w:val="auto"/>
          </w:rPr>
          <w:fldChar w:fldCharType="end"/>
        </w:r>
      </w:hyperlink>
    </w:p>
    <w:p w:rsidR="00C75E88" w:rsidRPr="00FE7D9C" w:rsidRDefault="00B37E57">
      <w:pPr>
        <w:pStyle w:val="TOC3"/>
        <w:rPr>
          <w:rFonts w:ascii="Calibri" w:hAnsi="Calibri"/>
          <w:sz w:val="22"/>
          <w:szCs w:val="22"/>
        </w:rPr>
      </w:pPr>
      <w:hyperlink w:anchor="_Toc358816707" w:history="1">
        <w:r w:rsidR="003C4D1D" w:rsidRPr="00D86816">
          <w:rPr>
            <w:rStyle w:val="Hyperlink"/>
            <w:iCs/>
            <w:color w:val="auto"/>
          </w:rPr>
          <w:t>Programa 17</w:t>
        </w:r>
        <w:r w:rsidR="003C4D1D" w:rsidRPr="00FE7D9C">
          <w:rPr>
            <w:rFonts w:ascii="Calibri" w:hAnsi="Calibri"/>
            <w:sz w:val="22"/>
            <w:szCs w:val="22"/>
          </w:rPr>
          <w:tab/>
        </w:r>
        <w:r w:rsidR="003C4D1D" w:rsidRPr="00D86816">
          <w:rPr>
            <w:rStyle w:val="Hyperlink"/>
            <w:iCs/>
            <w:color w:val="auto"/>
          </w:rPr>
          <w:t>Cultivar el respeto por la P.I.</w:t>
        </w:r>
        <w:r w:rsidR="003C4D1D" w:rsidRPr="00D86816">
          <w:rPr>
            <w:webHidden/>
          </w:rPr>
          <w:tab/>
        </w:r>
        <w:r w:rsidR="00C75E88" w:rsidRPr="00D86816">
          <w:rPr>
            <w:webHidden/>
          </w:rPr>
          <w:fldChar w:fldCharType="begin"/>
        </w:r>
        <w:r w:rsidR="00C75E88" w:rsidRPr="00D86816">
          <w:rPr>
            <w:webHidden/>
          </w:rPr>
          <w:instrText xml:space="preserve"> PAGEREF _Toc358816707 \h </w:instrText>
        </w:r>
        <w:r w:rsidR="00C75E88" w:rsidRPr="00D86816">
          <w:rPr>
            <w:webHidden/>
          </w:rPr>
        </w:r>
        <w:r w:rsidR="00C75E88" w:rsidRPr="00D86816">
          <w:rPr>
            <w:webHidden/>
          </w:rPr>
          <w:fldChar w:fldCharType="separate"/>
        </w:r>
        <w:r>
          <w:rPr>
            <w:webHidden/>
          </w:rPr>
          <w:t>136</w:t>
        </w:r>
        <w:r w:rsidR="00C75E88" w:rsidRPr="00D86816">
          <w:rPr>
            <w:webHidden/>
          </w:rPr>
          <w:fldChar w:fldCharType="end"/>
        </w:r>
      </w:hyperlink>
    </w:p>
    <w:p w:rsidR="00C75E88" w:rsidRPr="00D86816" w:rsidRDefault="00B37E57" w:rsidP="005700FC">
      <w:pPr>
        <w:pStyle w:val="TOC2"/>
        <w:tabs>
          <w:tab w:val="clear" w:pos="2608"/>
          <w:tab w:val="left" w:pos="2778"/>
        </w:tabs>
        <w:ind w:left="2778" w:hanging="2540"/>
        <w:rPr>
          <w:rStyle w:val="Hyperlink"/>
          <w:color w:val="auto"/>
        </w:rPr>
      </w:pPr>
      <w:hyperlink w:anchor="_Toc358816708" w:history="1">
        <w:r w:rsidR="005700FC" w:rsidRPr="00D86816">
          <w:rPr>
            <w:rStyle w:val="Hyperlink"/>
            <w:color w:val="auto"/>
          </w:rPr>
          <w:t>META ESTRATÉGICA VII</w:t>
        </w:r>
        <w:r w:rsidR="005700FC" w:rsidRPr="00D86816">
          <w:rPr>
            <w:rStyle w:val="Hyperlink"/>
            <w:color w:val="auto"/>
          </w:rPr>
          <w:tab/>
        </w:r>
        <w:r w:rsidR="00C75E88" w:rsidRPr="00D86816">
          <w:rPr>
            <w:rStyle w:val="Hyperlink"/>
            <w:color w:val="auto"/>
          </w:rPr>
          <w:t>V</w:t>
        </w:r>
        <w:r w:rsidR="00406FE5" w:rsidRPr="00D86816">
          <w:rPr>
            <w:rStyle w:val="Hyperlink"/>
            <w:color w:val="auto"/>
          </w:rPr>
          <w:t>ínculos entre la</w:t>
        </w:r>
        <w:r w:rsidR="00C75E88" w:rsidRPr="00D86816">
          <w:rPr>
            <w:rStyle w:val="Hyperlink"/>
            <w:color w:val="auto"/>
          </w:rPr>
          <w:t xml:space="preserve"> P.I. </w:t>
        </w:r>
        <w:r w:rsidR="00406FE5" w:rsidRPr="00D86816">
          <w:rPr>
            <w:rStyle w:val="Hyperlink"/>
            <w:color w:val="auto"/>
          </w:rPr>
          <w:t>y los problemas mundiales de política pública</w:t>
        </w:r>
        <w:r w:rsidR="00C75E88" w:rsidRPr="00D86816">
          <w:rPr>
            <w:rStyle w:val="Hyperlink"/>
            <w:webHidden/>
            <w:color w:val="auto"/>
          </w:rPr>
          <w:tab/>
        </w:r>
        <w:r w:rsidR="00C75E88" w:rsidRPr="00D86816">
          <w:rPr>
            <w:rStyle w:val="Hyperlink"/>
            <w:webHidden/>
            <w:color w:val="auto"/>
          </w:rPr>
          <w:fldChar w:fldCharType="begin"/>
        </w:r>
        <w:r w:rsidR="00C75E88" w:rsidRPr="00D86816">
          <w:rPr>
            <w:rStyle w:val="Hyperlink"/>
            <w:webHidden/>
            <w:color w:val="auto"/>
          </w:rPr>
          <w:instrText xml:space="preserve"> PAGEREF _Toc358816708 \h </w:instrText>
        </w:r>
        <w:r w:rsidR="00C75E88" w:rsidRPr="00D86816">
          <w:rPr>
            <w:rStyle w:val="Hyperlink"/>
            <w:webHidden/>
            <w:color w:val="auto"/>
          </w:rPr>
        </w:r>
        <w:r w:rsidR="00C75E88" w:rsidRPr="00D86816">
          <w:rPr>
            <w:rStyle w:val="Hyperlink"/>
            <w:webHidden/>
            <w:color w:val="auto"/>
          </w:rPr>
          <w:fldChar w:fldCharType="separate"/>
        </w:r>
        <w:r>
          <w:rPr>
            <w:rStyle w:val="Hyperlink"/>
            <w:webHidden/>
            <w:color w:val="auto"/>
          </w:rPr>
          <w:t>141</w:t>
        </w:r>
        <w:r w:rsidR="00C75E88" w:rsidRPr="00D86816">
          <w:rPr>
            <w:rStyle w:val="Hyperlink"/>
            <w:webHidden/>
            <w:color w:val="auto"/>
          </w:rPr>
          <w:fldChar w:fldCharType="end"/>
        </w:r>
      </w:hyperlink>
    </w:p>
    <w:p w:rsidR="00C75E88" w:rsidRPr="00FE7D9C" w:rsidRDefault="00B37E57">
      <w:pPr>
        <w:pStyle w:val="TOC3"/>
        <w:rPr>
          <w:rFonts w:ascii="Calibri" w:hAnsi="Calibri"/>
          <w:sz w:val="22"/>
          <w:szCs w:val="22"/>
        </w:rPr>
      </w:pPr>
      <w:hyperlink w:anchor="_Toc358816709" w:history="1">
        <w:r w:rsidR="003C4D1D" w:rsidRPr="00D86816">
          <w:rPr>
            <w:rStyle w:val="Hyperlink"/>
            <w:color w:val="auto"/>
            <w:lang w:val="es-ES_tradnl"/>
          </w:rPr>
          <w:t>Programa 18</w:t>
        </w:r>
        <w:r w:rsidR="003C4D1D" w:rsidRPr="00FE7D9C">
          <w:rPr>
            <w:rFonts w:ascii="Calibri" w:hAnsi="Calibri"/>
            <w:sz w:val="22"/>
            <w:szCs w:val="22"/>
          </w:rPr>
          <w:tab/>
        </w:r>
        <w:r w:rsidR="003C4D1D" w:rsidRPr="00D86816">
          <w:rPr>
            <w:rStyle w:val="Hyperlink"/>
            <w:color w:val="auto"/>
            <w:lang w:val="es-ES_tradnl"/>
          </w:rPr>
          <w:t>La P.I. y los desafíos mundiales</w:t>
        </w:r>
        <w:r w:rsidR="003C4D1D" w:rsidRPr="00D86816">
          <w:rPr>
            <w:webHidden/>
          </w:rPr>
          <w:tab/>
        </w:r>
        <w:r w:rsidR="00C75E88" w:rsidRPr="00D86816">
          <w:rPr>
            <w:webHidden/>
          </w:rPr>
          <w:fldChar w:fldCharType="begin"/>
        </w:r>
        <w:r w:rsidR="00C75E88" w:rsidRPr="00D86816">
          <w:rPr>
            <w:webHidden/>
          </w:rPr>
          <w:instrText xml:space="preserve"> PAGEREF _Toc358816709 \h </w:instrText>
        </w:r>
        <w:r w:rsidR="00C75E88" w:rsidRPr="00D86816">
          <w:rPr>
            <w:webHidden/>
          </w:rPr>
        </w:r>
        <w:r w:rsidR="00C75E88" w:rsidRPr="00D86816">
          <w:rPr>
            <w:webHidden/>
          </w:rPr>
          <w:fldChar w:fldCharType="separate"/>
        </w:r>
        <w:r>
          <w:rPr>
            <w:webHidden/>
          </w:rPr>
          <w:t>143</w:t>
        </w:r>
        <w:r w:rsidR="00C75E88" w:rsidRPr="00D86816">
          <w:rPr>
            <w:webHidden/>
          </w:rPr>
          <w:fldChar w:fldCharType="end"/>
        </w:r>
      </w:hyperlink>
    </w:p>
    <w:p w:rsidR="00CC65A6" w:rsidRPr="00D86816" w:rsidRDefault="00CC65A6" w:rsidP="005700FC">
      <w:pPr>
        <w:pStyle w:val="TOC2"/>
        <w:tabs>
          <w:tab w:val="clear" w:pos="2608"/>
          <w:tab w:val="left" w:pos="2778"/>
        </w:tabs>
        <w:ind w:left="2778" w:hanging="2540"/>
        <w:rPr>
          <w:rStyle w:val="Hyperlink"/>
          <w:color w:val="auto"/>
        </w:rPr>
      </w:pPr>
    </w:p>
    <w:p w:rsidR="00C75E88" w:rsidRPr="00D86816" w:rsidRDefault="00B37E57" w:rsidP="005700FC">
      <w:pPr>
        <w:pStyle w:val="TOC2"/>
        <w:tabs>
          <w:tab w:val="clear" w:pos="2608"/>
          <w:tab w:val="left" w:pos="2778"/>
        </w:tabs>
        <w:ind w:left="2778" w:hanging="2540"/>
        <w:rPr>
          <w:rStyle w:val="Hyperlink"/>
          <w:color w:val="auto"/>
        </w:rPr>
      </w:pPr>
      <w:hyperlink w:anchor="_Toc358816710" w:history="1">
        <w:r w:rsidR="005700FC" w:rsidRPr="00D86816">
          <w:rPr>
            <w:rStyle w:val="Hyperlink"/>
            <w:color w:val="auto"/>
          </w:rPr>
          <w:t>META ESTRATÉGICA VIII</w:t>
        </w:r>
        <w:r w:rsidR="005700FC" w:rsidRPr="00D86816">
          <w:rPr>
            <w:rStyle w:val="Hyperlink"/>
            <w:color w:val="auto"/>
          </w:rPr>
          <w:tab/>
        </w:r>
        <w:r w:rsidR="00406FE5" w:rsidRPr="00D86816">
          <w:rPr>
            <w:rStyle w:val="Hyperlink"/>
            <w:color w:val="auto"/>
          </w:rPr>
          <w:t xml:space="preserve">Comunicación eficaz entre la </w:t>
        </w:r>
        <w:r w:rsidR="00C75E88" w:rsidRPr="00D86816">
          <w:rPr>
            <w:rStyle w:val="Hyperlink"/>
            <w:color w:val="auto"/>
          </w:rPr>
          <w:t xml:space="preserve">OMPI, </w:t>
        </w:r>
        <w:r w:rsidR="00406FE5" w:rsidRPr="00D86816">
          <w:rPr>
            <w:rStyle w:val="Hyperlink"/>
            <w:color w:val="auto"/>
          </w:rPr>
          <w:t>sus Estados miembros y todas las partes interesadas</w:t>
        </w:r>
        <w:r w:rsidR="00C75E88" w:rsidRPr="00D86816">
          <w:rPr>
            <w:rStyle w:val="Hyperlink"/>
            <w:webHidden/>
            <w:color w:val="auto"/>
          </w:rPr>
          <w:tab/>
        </w:r>
        <w:r w:rsidR="00C75E88" w:rsidRPr="00D86816">
          <w:rPr>
            <w:rStyle w:val="Hyperlink"/>
            <w:webHidden/>
            <w:color w:val="auto"/>
          </w:rPr>
          <w:fldChar w:fldCharType="begin"/>
        </w:r>
        <w:r w:rsidR="00C75E88" w:rsidRPr="00D86816">
          <w:rPr>
            <w:rStyle w:val="Hyperlink"/>
            <w:webHidden/>
            <w:color w:val="auto"/>
          </w:rPr>
          <w:instrText xml:space="preserve"> PAGEREF _Toc358816710 \h </w:instrText>
        </w:r>
        <w:r w:rsidR="00C75E88" w:rsidRPr="00D86816">
          <w:rPr>
            <w:rStyle w:val="Hyperlink"/>
            <w:webHidden/>
            <w:color w:val="auto"/>
          </w:rPr>
        </w:r>
        <w:r w:rsidR="00C75E88" w:rsidRPr="00D86816">
          <w:rPr>
            <w:rStyle w:val="Hyperlink"/>
            <w:webHidden/>
            <w:color w:val="auto"/>
          </w:rPr>
          <w:fldChar w:fldCharType="separate"/>
        </w:r>
        <w:r>
          <w:rPr>
            <w:rStyle w:val="Hyperlink"/>
            <w:webHidden/>
            <w:color w:val="auto"/>
          </w:rPr>
          <w:t>150</w:t>
        </w:r>
        <w:r w:rsidR="00C75E88" w:rsidRPr="00D86816">
          <w:rPr>
            <w:rStyle w:val="Hyperlink"/>
            <w:webHidden/>
            <w:color w:val="auto"/>
          </w:rPr>
          <w:fldChar w:fldCharType="end"/>
        </w:r>
      </w:hyperlink>
    </w:p>
    <w:p w:rsidR="00C75E88" w:rsidRPr="00FE7D9C" w:rsidRDefault="00B37E57">
      <w:pPr>
        <w:pStyle w:val="TOC3"/>
        <w:rPr>
          <w:rFonts w:ascii="Calibri" w:hAnsi="Calibri"/>
          <w:sz w:val="22"/>
          <w:szCs w:val="22"/>
        </w:rPr>
      </w:pPr>
      <w:hyperlink w:anchor="_Toc358816711" w:history="1">
        <w:r w:rsidR="003C4D1D" w:rsidRPr="00D86816">
          <w:rPr>
            <w:rStyle w:val="Hyperlink"/>
            <w:color w:val="auto"/>
            <w:lang w:val="es-ES_tradnl"/>
          </w:rPr>
          <w:t>Programa 19</w:t>
        </w:r>
        <w:r w:rsidR="003C4D1D" w:rsidRPr="00FE7D9C">
          <w:rPr>
            <w:rFonts w:ascii="Calibri" w:hAnsi="Calibri"/>
            <w:sz w:val="22"/>
            <w:szCs w:val="22"/>
          </w:rPr>
          <w:tab/>
        </w:r>
        <w:r w:rsidR="003C4D1D" w:rsidRPr="00D86816">
          <w:rPr>
            <w:rStyle w:val="Hyperlink"/>
            <w:color w:val="auto"/>
            <w:lang w:val="es-ES_tradnl"/>
          </w:rPr>
          <w:t>Comunicaciones</w:t>
        </w:r>
        <w:r w:rsidR="003C4D1D" w:rsidRPr="00D86816">
          <w:rPr>
            <w:webHidden/>
          </w:rPr>
          <w:tab/>
        </w:r>
        <w:r w:rsidR="00C75E88" w:rsidRPr="00D86816">
          <w:rPr>
            <w:webHidden/>
          </w:rPr>
          <w:fldChar w:fldCharType="begin"/>
        </w:r>
        <w:r w:rsidR="00C75E88" w:rsidRPr="00D86816">
          <w:rPr>
            <w:webHidden/>
          </w:rPr>
          <w:instrText xml:space="preserve"> PAGEREF _Toc358816711 \h </w:instrText>
        </w:r>
        <w:r w:rsidR="00C75E88" w:rsidRPr="00D86816">
          <w:rPr>
            <w:webHidden/>
          </w:rPr>
        </w:r>
        <w:r w:rsidR="00C75E88" w:rsidRPr="00D86816">
          <w:rPr>
            <w:webHidden/>
          </w:rPr>
          <w:fldChar w:fldCharType="separate"/>
        </w:r>
        <w:r>
          <w:rPr>
            <w:webHidden/>
          </w:rPr>
          <w:t>152</w:t>
        </w:r>
        <w:r w:rsidR="00C75E88" w:rsidRPr="00D86816">
          <w:rPr>
            <w:webHidden/>
          </w:rPr>
          <w:fldChar w:fldCharType="end"/>
        </w:r>
      </w:hyperlink>
    </w:p>
    <w:p w:rsidR="00C75E88" w:rsidRPr="00FE7D9C" w:rsidRDefault="00B37E57" w:rsidP="00406FE5">
      <w:pPr>
        <w:pStyle w:val="TOC3"/>
        <w:ind w:left="2619" w:hanging="2052"/>
        <w:rPr>
          <w:rFonts w:ascii="Calibri" w:hAnsi="Calibri"/>
          <w:sz w:val="22"/>
          <w:szCs w:val="22"/>
        </w:rPr>
      </w:pPr>
      <w:hyperlink w:anchor="_Toc358816712" w:history="1">
        <w:r w:rsidR="003C4D1D" w:rsidRPr="00D86816">
          <w:rPr>
            <w:rStyle w:val="Hyperlink"/>
            <w:color w:val="auto"/>
            <w:lang w:val="es-ES_tradnl"/>
          </w:rPr>
          <w:t>Programa 20</w:t>
        </w:r>
        <w:r w:rsidR="003C4D1D" w:rsidRPr="00FE7D9C">
          <w:rPr>
            <w:rFonts w:ascii="Calibri" w:hAnsi="Calibri"/>
            <w:sz w:val="22"/>
            <w:szCs w:val="22"/>
          </w:rPr>
          <w:tab/>
        </w:r>
        <w:r w:rsidR="003C4D1D" w:rsidRPr="00D86816">
          <w:rPr>
            <w:rStyle w:val="Hyperlink"/>
            <w:iCs/>
            <w:color w:val="auto"/>
          </w:rPr>
          <w:t>Relaciones</w:t>
        </w:r>
        <w:r w:rsidR="003C4D1D" w:rsidRPr="00D86816">
          <w:rPr>
            <w:rStyle w:val="Hyperlink"/>
            <w:color w:val="auto"/>
            <w:lang w:val="es-ES_tradnl"/>
          </w:rPr>
          <w:t xml:space="preserve"> exteriores, alianzas y oficinas en el exterior</w:t>
        </w:r>
        <w:r w:rsidR="003C4D1D" w:rsidRPr="00D86816">
          <w:rPr>
            <w:webHidden/>
          </w:rPr>
          <w:tab/>
        </w:r>
        <w:r w:rsidR="00C75E88" w:rsidRPr="00D86816">
          <w:rPr>
            <w:webHidden/>
          </w:rPr>
          <w:fldChar w:fldCharType="begin"/>
        </w:r>
        <w:r w:rsidR="00C75E88" w:rsidRPr="00D86816">
          <w:rPr>
            <w:webHidden/>
          </w:rPr>
          <w:instrText xml:space="preserve"> PAGEREF _Toc358816712 \h </w:instrText>
        </w:r>
        <w:r w:rsidR="00C75E88" w:rsidRPr="00D86816">
          <w:rPr>
            <w:webHidden/>
          </w:rPr>
        </w:r>
        <w:r w:rsidR="00C75E88" w:rsidRPr="00D86816">
          <w:rPr>
            <w:webHidden/>
          </w:rPr>
          <w:fldChar w:fldCharType="separate"/>
        </w:r>
        <w:r>
          <w:rPr>
            <w:webHidden/>
          </w:rPr>
          <w:t>158</w:t>
        </w:r>
        <w:r w:rsidR="00C75E88" w:rsidRPr="00D86816">
          <w:rPr>
            <w:webHidden/>
          </w:rPr>
          <w:fldChar w:fldCharType="end"/>
        </w:r>
      </w:hyperlink>
    </w:p>
    <w:p w:rsidR="00C75E88" w:rsidRPr="00D86816" w:rsidRDefault="00B37E57" w:rsidP="005700FC">
      <w:pPr>
        <w:pStyle w:val="TOC2"/>
        <w:tabs>
          <w:tab w:val="clear" w:pos="2608"/>
          <w:tab w:val="left" w:pos="2778"/>
        </w:tabs>
        <w:rPr>
          <w:rStyle w:val="Hyperlink"/>
          <w:color w:val="auto"/>
        </w:rPr>
      </w:pPr>
      <w:hyperlink w:anchor="_Toc358816713" w:history="1">
        <w:r w:rsidR="005700FC" w:rsidRPr="00D86816">
          <w:rPr>
            <w:rStyle w:val="Hyperlink"/>
            <w:color w:val="auto"/>
          </w:rPr>
          <w:t>META ESTRATÉGICA IX</w:t>
        </w:r>
        <w:r w:rsidR="005700FC" w:rsidRPr="00D86816">
          <w:rPr>
            <w:rStyle w:val="Hyperlink"/>
            <w:color w:val="auto"/>
          </w:rPr>
          <w:tab/>
        </w:r>
        <w:r w:rsidR="00406FE5" w:rsidRPr="00D86816">
          <w:rPr>
            <w:rStyle w:val="Hyperlink"/>
            <w:color w:val="auto"/>
          </w:rPr>
          <w:t>Apoyo administrativo y financiero eficiente</w:t>
        </w:r>
        <w:r w:rsidR="00C75E88" w:rsidRPr="00D86816">
          <w:rPr>
            <w:rStyle w:val="Hyperlink"/>
            <w:webHidden/>
            <w:color w:val="auto"/>
          </w:rPr>
          <w:tab/>
        </w:r>
        <w:r w:rsidR="00C75E88" w:rsidRPr="00D86816">
          <w:rPr>
            <w:rStyle w:val="Hyperlink"/>
            <w:webHidden/>
            <w:color w:val="auto"/>
          </w:rPr>
          <w:fldChar w:fldCharType="begin"/>
        </w:r>
        <w:r w:rsidR="00C75E88" w:rsidRPr="00D86816">
          <w:rPr>
            <w:rStyle w:val="Hyperlink"/>
            <w:webHidden/>
            <w:color w:val="auto"/>
          </w:rPr>
          <w:instrText xml:space="preserve"> PAGEREF _Toc358816713 \h </w:instrText>
        </w:r>
        <w:r w:rsidR="00C75E88" w:rsidRPr="00D86816">
          <w:rPr>
            <w:rStyle w:val="Hyperlink"/>
            <w:webHidden/>
            <w:color w:val="auto"/>
          </w:rPr>
        </w:r>
        <w:r w:rsidR="00C75E88" w:rsidRPr="00D86816">
          <w:rPr>
            <w:rStyle w:val="Hyperlink"/>
            <w:webHidden/>
            <w:color w:val="auto"/>
          </w:rPr>
          <w:fldChar w:fldCharType="separate"/>
        </w:r>
        <w:r>
          <w:rPr>
            <w:rStyle w:val="Hyperlink"/>
            <w:webHidden/>
            <w:color w:val="auto"/>
          </w:rPr>
          <w:t>168</w:t>
        </w:r>
        <w:r w:rsidR="00C75E88" w:rsidRPr="00D86816">
          <w:rPr>
            <w:rStyle w:val="Hyperlink"/>
            <w:webHidden/>
            <w:color w:val="auto"/>
          </w:rPr>
          <w:fldChar w:fldCharType="end"/>
        </w:r>
      </w:hyperlink>
    </w:p>
    <w:p w:rsidR="00C75E88" w:rsidRPr="00FE7D9C" w:rsidRDefault="00B37E57">
      <w:pPr>
        <w:pStyle w:val="TOC3"/>
        <w:rPr>
          <w:rFonts w:ascii="Calibri" w:hAnsi="Calibri"/>
          <w:sz w:val="22"/>
          <w:szCs w:val="22"/>
        </w:rPr>
      </w:pPr>
      <w:hyperlink w:anchor="_Toc358816714" w:history="1">
        <w:r w:rsidR="003C4D1D" w:rsidRPr="00D86816">
          <w:rPr>
            <w:rStyle w:val="Hyperlink"/>
            <w:color w:val="auto"/>
            <w:lang w:val="es-ES_tradnl"/>
          </w:rPr>
          <w:t>Programa 21</w:t>
        </w:r>
        <w:r w:rsidR="003C4D1D" w:rsidRPr="00FE7D9C">
          <w:rPr>
            <w:rFonts w:ascii="Calibri" w:hAnsi="Calibri"/>
            <w:sz w:val="22"/>
            <w:szCs w:val="22"/>
          </w:rPr>
          <w:tab/>
        </w:r>
        <w:r w:rsidR="003C4D1D" w:rsidRPr="00D86816">
          <w:rPr>
            <w:rStyle w:val="Hyperlink"/>
            <w:color w:val="auto"/>
            <w:lang w:val="es-ES_tradnl"/>
          </w:rPr>
          <w:t>Gestión ejecutiva</w:t>
        </w:r>
        <w:r w:rsidR="003C4D1D" w:rsidRPr="00D86816">
          <w:rPr>
            <w:webHidden/>
          </w:rPr>
          <w:tab/>
        </w:r>
        <w:r w:rsidR="00C75E88" w:rsidRPr="00D86816">
          <w:rPr>
            <w:webHidden/>
          </w:rPr>
          <w:fldChar w:fldCharType="begin"/>
        </w:r>
        <w:r w:rsidR="00C75E88" w:rsidRPr="00D86816">
          <w:rPr>
            <w:webHidden/>
          </w:rPr>
          <w:instrText xml:space="preserve"> PAGEREF _Toc358816714 \h </w:instrText>
        </w:r>
        <w:r w:rsidR="00C75E88" w:rsidRPr="00D86816">
          <w:rPr>
            <w:webHidden/>
          </w:rPr>
        </w:r>
        <w:r w:rsidR="00C75E88" w:rsidRPr="00D86816">
          <w:rPr>
            <w:webHidden/>
          </w:rPr>
          <w:fldChar w:fldCharType="separate"/>
        </w:r>
        <w:r>
          <w:rPr>
            <w:webHidden/>
          </w:rPr>
          <w:t>173</w:t>
        </w:r>
        <w:r w:rsidR="00C75E88" w:rsidRPr="00D86816">
          <w:rPr>
            <w:webHidden/>
          </w:rPr>
          <w:fldChar w:fldCharType="end"/>
        </w:r>
      </w:hyperlink>
    </w:p>
    <w:p w:rsidR="00C75E88" w:rsidRPr="00FE7D9C" w:rsidRDefault="00B37E57">
      <w:pPr>
        <w:pStyle w:val="TOC3"/>
        <w:rPr>
          <w:rFonts w:ascii="Calibri" w:hAnsi="Calibri"/>
          <w:sz w:val="22"/>
          <w:szCs w:val="22"/>
        </w:rPr>
      </w:pPr>
      <w:hyperlink w:anchor="_Toc358816715" w:history="1">
        <w:r w:rsidR="003C4D1D" w:rsidRPr="00D86816">
          <w:rPr>
            <w:rStyle w:val="Hyperlink"/>
            <w:color w:val="auto"/>
            <w:lang w:val="es-ES_tradnl"/>
          </w:rPr>
          <w:t>Programa 22</w:t>
        </w:r>
        <w:r w:rsidR="003C4D1D" w:rsidRPr="00FE7D9C">
          <w:rPr>
            <w:rFonts w:ascii="Calibri" w:hAnsi="Calibri"/>
            <w:sz w:val="22"/>
            <w:szCs w:val="22"/>
          </w:rPr>
          <w:tab/>
        </w:r>
        <w:r w:rsidR="003C4D1D" w:rsidRPr="00D86816">
          <w:rPr>
            <w:rStyle w:val="Hyperlink"/>
            <w:color w:val="auto"/>
            <w:lang w:val="es-ES_tradnl"/>
          </w:rPr>
          <w:t>Gestión de programas y recursos</w:t>
        </w:r>
        <w:r w:rsidR="003C4D1D" w:rsidRPr="00D86816">
          <w:rPr>
            <w:webHidden/>
          </w:rPr>
          <w:tab/>
        </w:r>
        <w:r w:rsidR="00C75E88" w:rsidRPr="00D86816">
          <w:rPr>
            <w:webHidden/>
          </w:rPr>
          <w:fldChar w:fldCharType="begin"/>
        </w:r>
        <w:r w:rsidR="00C75E88" w:rsidRPr="00D86816">
          <w:rPr>
            <w:webHidden/>
          </w:rPr>
          <w:instrText xml:space="preserve"> PAGEREF _Toc358816715 \h </w:instrText>
        </w:r>
        <w:r w:rsidR="00C75E88" w:rsidRPr="00D86816">
          <w:rPr>
            <w:webHidden/>
          </w:rPr>
        </w:r>
        <w:r w:rsidR="00C75E88" w:rsidRPr="00D86816">
          <w:rPr>
            <w:webHidden/>
          </w:rPr>
          <w:fldChar w:fldCharType="separate"/>
        </w:r>
        <w:r>
          <w:rPr>
            <w:webHidden/>
          </w:rPr>
          <w:t>179</w:t>
        </w:r>
        <w:r w:rsidR="00C75E88" w:rsidRPr="00D86816">
          <w:rPr>
            <w:webHidden/>
          </w:rPr>
          <w:fldChar w:fldCharType="end"/>
        </w:r>
      </w:hyperlink>
    </w:p>
    <w:p w:rsidR="00C75E88" w:rsidRPr="00FE7D9C" w:rsidRDefault="00B37E57">
      <w:pPr>
        <w:pStyle w:val="TOC3"/>
        <w:rPr>
          <w:rFonts w:ascii="Calibri" w:hAnsi="Calibri"/>
          <w:sz w:val="22"/>
          <w:szCs w:val="22"/>
        </w:rPr>
      </w:pPr>
      <w:hyperlink w:anchor="_Toc358816716" w:history="1">
        <w:r w:rsidR="003C4D1D" w:rsidRPr="00D86816">
          <w:rPr>
            <w:rStyle w:val="Hyperlink"/>
            <w:color w:val="auto"/>
            <w:lang w:val="es-ES_tradnl"/>
          </w:rPr>
          <w:t>Programa 23</w:t>
        </w:r>
        <w:r w:rsidR="003C4D1D" w:rsidRPr="00FE7D9C">
          <w:rPr>
            <w:rFonts w:ascii="Calibri" w:hAnsi="Calibri"/>
            <w:sz w:val="22"/>
            <w:szCs w:val="22"/>
          </w:rPr>
          <w:tab/>
        </w:r>
        <w:r w:rsidR="003C4D1D" w:rsidRPr="00D86816">
          <w:rPr>
            <w:rStyle w:val="Hyperlink"/>
            <w:color w:val="auto"/>
            <w:lang w:val="es-ES_tradnl"/>
          </w:rPr>
          <w:t>Gestión y desarrollo de los recursos humanos</w:t>
        </w:r>
        <w:r w:rsidR="003C4D1D" w:rsidRPr="00D86816">
          <w:rPr>
            <w:webHidden/>
          </w:rPr>
          <w:tab/>
        </w:r>
        <w:r w:rsidR="00C75E88" w:rsidRPr="00D86816">
          <w:rPr>
            <w:webHidden/>
          </w:rPr>
          <w:fldChar w:fldCharType="begin"/>
        </w:r>
        <w:r w:rsidR="00C75E88" w:rsidRPr="00D86816">
          <w:rPr>
            <w:webHidden/>
          </w:rPr>
          <w:instrText xml:space="preserve"> PAGEREF _Toc358816716 \h </w:instrText>
        </w:r>
        <w:r w:rsidR="00C75E88" w:rsidRPr="00D86816">
          <w:rPr>
            <w:webHidden/>
          </w:rPr>
        </w:r>
        <w:r w:rsidR="00C75E88" w:rsidRPr="00D86816">
          <w:rPr>
            <w:webHidden/>
          </w:rPr>
          <w:fldChar w:fldCharType="separate"/>
        </w:r>
        <w:r>
          <w:rPr>
            <w:webHidden/>
          </w:rPr>
          <w:t>184</w:t>
        </w:r>
        <w:r w:rsidR="00C75E88" w:rsidRPr="00D86816">
          <w:rPr>
            <w:webHidden/>
          </w:rPr>
          <w:fldChar w:fldCharType="end"/>
        </w:r>
      </w:hyperlink>
    </w:p>
    <w:p w:rsidR="00C75E88" w:rsidRPr="00FE7D9C" w:rsidRDefault="00B37E57">
      <w:pPr>
        <w:pStyle w:val="TOC3"/>
        <w:rPr>
          <w:rFonts w:ascii="Calibri" w:hAnsi="Calibri"/>
          <w:sz w:val="22"/>
          <w:szCs w:val="22"/>
        </w:rPr>
      </w:pPr>
      <w:hyperlink w:anchor="_Toc358816717" w:history="1">
        <w:r w:rsidR="003C4D1D" w:rsidRPr="00D86816">
          <w:rPr>
            <w:rStyle w:val="Hyperlink"/>
            <w:color w:val="auto"/>
            <w:lang w:val="es-ES_tradnl"/>
          </w:rPr>
          <w:t>Programa 24</w:t>
        </w:r>
        <w:r w:rsidR="003C4D1D" w:rsidRPr="00FE7D9C">
          <w:rPr>
            <w:rFonts w:ascii="Calibri" w:hAnsi="Calibri"/>
            <w:sz w:val="22"/>
            <w:szCs w:val="22"/>
          </w:rPr>
          <w:tab/>
        </w:r>
        <w:r w:rsidR="003C4D1D" w:rsidRPr="00D86816">
          <w:rPr>
            <w:rStyle w:val="Hyperlink"/>
            <w:color w:val="auto"/>
            <w:lang w:val="es-ES_tradnl"/>
          </w:rPr>
          <w:t>Servicios de apoyo generales</w:t>
        </w:r>
        <w:r w:rsidR="003C4D1D" w:rsidRPr="00D86816">
          <w:rPr>
            <w:webHidden/>
          </w:rPr>
          <w:tab/>
        </w:r>
        <w:r w:rsidR="00C75E88" w:rsidRPr="00D86816">
          <w:rPr>
            <w:webHidden/>
          </w:rPr>
          <w:fldChar w:fldCharType="begin"/>
        </w:r>
        <w:r w:rsidR="00C75E88" w:rsidRPr="00D86816">
          <w:rPr>
            <w:webHidden/>
          </w:rPr>
          <w:instrText xml:space="preserve"> PAGEREF _Toc358816717 \h </w:instrText>
        </w:r>
        <w:r w:rsidR="00C75E88" w:rsidRPr="00D86816">
          <w:rPr>
            <w:webHidden/>
          </w:rPr>
        </w:r>
        <w:r w:rsidR="00C75E88" w:rsidRPr="00D86816">
          <w:rPr>
            <w:webHidden/>
          </w:rPr>
          <w:fldChar w:fldCharType="separate"/>
        </w:r>
        <w:r>
          <w:rPr>
            <w:webHidden/>
          </w:rPr>
          <w:t>189</w:t>
        </w:r>
        <w:r w:rsidR="00C75E88" w:rsidRPr="00D86816">
          <w:rPr>
            <w:webHidden/>
          </w:rPr>
          <w:fldChar w:fldCharType="end"/>
        </w:r>
      </w:hyperlink>
    </w:p>
    <w:p w:rsidR="00C75E88" w:rsidRPr="00FE7D9C" w:rsidRDefault="00B37E57" w:rsidP="00406FE5">
      <w:pPr>
        <w:pStyle w:val="TOC3"/>
        <w:ind w:left="2619" w:hanging="2052"/>
        <w:rPr>
          <w:rFonts w:ascii="Calibri" w:hAnsi="Calibri"/>
          <w:sz w:val="22"/>
          <w:szCs w:val="22"/>
        </w:rPr>
      </w:pPr>
      <w:hyperlink w:anchor="_Toc358816718" w:history="1">
        <w:r w:rsidR="003C4D1D" w:rsidRPr="00D86816">
          <w:rPr>
            <w:rStyle w:val="Hyperlink"/>
            <w:color w:val="auto"/>
            <w:lang w:val="es-ES_tradnl"/>
          </w:rPr>
          <w:t xml:space="preserve">Programa 25 </w:t>
        </w:r>
        <w:r w:rsidR="003C4D1D" w:rsidRPr="00FE7D9C">
          <w:rPr>
            <w:rFonts w:ascii="Calibri" w:hAnsi="Calibri"/>
            <w:sz w:val="22"/>
            <w:szCs w:val="22"/>
          </w:rPr>
          <w:tab/>
        </w:r>
        <w:r w:rsidR="003C4D1D" w:rsidRPr="00D86816">
          <w:rPr>
            <w:rStyle w:val="Hyperlink"/>
            <w:color w:val="auto"/>
            <w:lang w:val="es-ES_tradnl"/>
          </w:rPr>
          <w:t xml:space="preserve">Tecnologías de la información y de las </w:t>
        </w:r>
        <w:r w:rsidR="003C4D1D" w:rsidRPr="00D86816">
          <w:rPr>
            <w:rStyle w:val="Hyperlink"/>
            <w:color w:val="auto"/>
            <w:lang w:val="es-ES_tradnl"/>
          </w:rPr>
          <w:br/>
          <w:t>comunicaciones</w:t>
        </w:r>
        <w:r w:rsidR="003C4D1D" w:rsidRPr="00D86816">
          <w:rPr>
            <w:webHidden/>
          </w:rPr>
          <w:tab/>
        </w:r>
        <w:r w:rsidR="00C75E88" w:rsidRPr="00D86816">
          <w:rPr>
            <w:webHidden/>
          </w:rPr>
          <w:fldChar w:fldCharType="begin"/>
        </w:r>
        <w:r w:rsidR="00C75E88" w:rsidRPr="00D86816">
          <w:rPr>
            <w:webHidden/>
          </w:rPr>
          <w:instrText xml:space="preserve"> PAGEREF _Toc358816718 \h </w:instrText>
        </w:r>
        <w:r w:rsidR="00C75E88" w:rsidRPr="00D86816">
          <w:rPr>
            <w:webHidden/>
          </w:rPr>
        </w:r>
        <w:r w:rsidR="00C75E88" w:rsidRPr="00D86816">
          <w:rPr>
            <w:webHidden/>
          </w:rPr>
          <w:fldChar w:fldCharType="separate"/>
        </w:r>
        <w:r>
          <w:rPr>
            <w:webHidden/>
          </w:rPr>
          <w:t>194</w:t>
        </w:r>
        <w:r w:rsidR="00C75E88" w:rsidRPr="00D86816">
          <w:rPr>
            <w:webHidden/>
          </w:rPr>
          <w:fldChar w:fldCharType="end"/>
        </w:r>
      </w:hyperlink>
    </w:p>
    <w:p w:rsidR="00C75E88" w:rsidRPr="00FE7D9C" w:rsidRDefault="00B37E57">
      <w:pPr>
        <w:pStyle w:val="TOC3"/>
        <w:rPr>
          <w:rFonts w:ascii="Calibri" w:hAnsi="Calibri"/>
          <w:sz w:val="22"/>
          <w:szCs w:val="22"/>
        </w:rPr>
      </w:pPr>
      <w:hyperlink w:anchor="_Toc358816719" w:history="1">
        <w:r w:rsidR="003C4D1D" w:rsidRPr="00D86816">
          <w:rPr>
            <w:rStyle w:val="Hyperlink"/>
            <w:color w:val="auto"/>
            <w:lang w:val="es-ES_tradnl"/>
          </w:rPr>
          <w:t>Programa 26</w:t>
        </w:r>
        <w:r w:rsidR="003C4D1D" w:rsidRPr="00FE7D9C">
          <w:rPr>
            <w:rFonts w:ascii="Calibri" w:hAnsi="Calibri"/>
            <w:sz w:val="22"/>
            <w:szCs w:val="22"/>
          </w:rPr>
          <w:tab/>
        </w:r>
        <w:r w:rsidR="003C4D1D" w:rsidRPr="00D86816">
          <w:rPr>
            <w:rStyle w:val="Hyperlink"/>
            <w:color w:val="auto"/>
            <w:lang w:val="es-ES_tradnl"/>
          </w:rPr>
          <w:t>Supervisión interna</w:t>
        </w:r>
        <w:r w:rsidR="003C4D1D" w:rsidRPr="00D86816">
          <w:rPr>
            <w:webHidden/>
          </w:rPr>
          <w:tab/>
        </w:r>
        <w:r w:rsidR="00C75E88" w:rsidRPr="00D86816">
          <w:rPr>
            <w:webHidden/>
          </w:rPr>
          <w:fldChar w:fldCharType="begin"/>
        </w:r>
        <w:r w:rsidR="00C75E88" w:rsidRPr="00D86816">
          <w:rPr>
            <w:webHidden/>
          </w:rPr>
          <w:instrText xml:space="preserve"> PAGEREF _Toc358816719 \h </w:instrText>
        </w:r>
        <w:r w:rsidR="00C75E88" w:rsidRPr="00D86816">
          <w:rPr>
            <w:webHidden/>
          </w:rPr>
        </w:r>
        <w:r w:rsidR="00C75E88" w:rsidRPr="00D86816">
          <w:rPr>
            <w:webHidden/>
          </w:rPr>
          <w:fldChar w:fldCharType="separate"/>
        </w:r>
        <w:r>
          <w:rPr>
            <w:webHidden/>
          </w:rPr>
          <w:t>199</w:t>
        </w:r>
        <w:r w:rsidR="00C75E88" w:rsidRPr="00D86816">
          <w:rPr>
            <w:webHidden/>
          </w:rPr>
          <w:fldChar w:fldCharType="end"/>
        </w:r>
      </w:hyperlink>
    </w:p>
    <w:p w:rsidR="00C75E88" w:rsidRPr="00FE7D9C" w:rsidRDefault="00B37E57">
      <w:pPr>
        <w:pStyle w:val="TOC3"/>
        <w:rPr>
          <w:rFonts w:ascii="Calibri" w:hAnsi="Calibri"/>
          <w:sz w:val="22"/>
          <w:szCs w:val="22"/>
        </w:rPr>
      </w:pPr>
      <w:hyperlink w:anchor="_Toc358816720" w:history="1">
        <w:r w:rsidR="003C4D1D" w:rsidRPr="00D86816">
          <w:rPr>
            <w:rStyle w:val="Hyperlink"/>
            <w:color w:val="auto"/>
            <w:lang w:val="es-ES_tradnl"/>
          </w:rPr>
          <w:t>Programa 27</w:t>
        </w:r>
        <w:r w:rsidR="003C4D1D" w:rsidRPr="00FE7D9C">
          <w:rPr>
            <w:rFonts w:ascii="Calibri" w:hAnsi="Calibri"/>
            <w:sz w:val="22"/>
            <w:szCs w:val="22"/>
          </w:rPr>
          <w:tab/>
        </w:r>
        <w:r w:rsidR="003C4D1D" w:rsidRPr="00D86816">
          <w:rPr>
            <w:rStyle w:val="Hyperlink"/>
            <w:color w:val="auto"/>
            <w:lang w:val="es-ES_tradnl"/>
          </w:rPr>
          <w:t>Servicios de conferencias y lingüísticos</w:t>
        </w:r>
        <w:r w:rsidR="003C4D1D" w:rsidRPr="00D86816">
          <w:rPr>
            <w:webHidden/>
          </w:rPr>
          <w:tab/>
        </w:r>
        <w:r w:rsidR="00C75E88" w:rsidRPr="00D86816">
          <w:rPr>
            <w:webHidden/>
          </w:rPr>
          <w:fldChar w:fldCharType="begin"/>
        </w:r>
        <w:r w:rsidR="00C75E88" w:rsidRPr="00D86816">
          <w:rPr>
            <w:webHidden/>
          </w:rPr>
          <w:instrText xml:space="preserve"> PAGEREF _Toc358816720 \h </w:instrText>
        </w:r>
        <w:r w:rsidR="00C75E88" w:rsidRPr="00D86816">
          <w:rPr>
            <w:webHidden/>
          </w:rPr>
        </w:r>
        <w:r w:rsidR="00C75E88" w:rsidRPr="00D86816">
          <w:rPr>
            <w:webHidden/>
          </w:rPr>
          <w:fldChar w:fldCharType="separate"/>
        </w:r>
        <w:r>
          <w:rPr>
            <w:webHidden/>
          </w:rPr>
          <w:t>203</w:t>
        </w:r>
        <w:r w:rsidR="00C75E88" w:rsidRPr="00D86816">
          <w:rPr>
            <w:webHidden/>
          </w:rPr>
          <w:fldChar w:fldCharType="end"/>
        </w:r>
      </w:hyperlink>
    </w:p>
    <w:p w:rsidR="00C75E88" w:rsidRPr="00FE7D9C" w:rsidRDefault="00B37E57">
      <w:pPr>
        <w:pStyle w:val="TOC3"/>
        <w:rPr>
          <w:rFonts w:ascii="Calibri" w:hAnsi="Calibri"/>
          <w:sz w:val="22"/>
          <w:szCs w:val="22"/>
        </w:rPr>
      </w:pPr>
      <w:hyperlink w:anchor="_Toc358816721" w:history="1">
        <w:r w:rsidR="003C4D1D" w:rsidRPr="00D86816">
          <w:rPr>
            <w:rStyle w:val="Hyperlink"/>
            <w:color w:val="auto"/>
            <w:lang w:val="es-ES_tradnl"/>
          </w:rPr>
          <w:t>Programa 28</w:t>
        </w:r>
        <w:r w:rsidR="003C4D1D" w:rsidRPr="00FE7D9C">
          <w:rPr>
            <w:rFonts w:ascii="Calibri" w:hAnsi="Calibri"/>
            <w:sz w:val="22"/>
            <w:szCs w:val="22"/>
          </w:rPr>
          <w:tab/>
        </w:r>
        <w:r w:rsidR="003C4D1D" w:rsidRPr="00D86816">
          <w:rPr>
            <w:rStyle w:val="Hyperlink"/>
            <w:color w:val="auto"/>
            <w:lang w:val="es-ES_tradnl"/>
          </w:rPr>
          <w:t>Seguridad</w:t>
        </w:r>
        <w:r w:rsidR="003C4D1D" w:rsidRPr="00D86816">
          <w:rPr>
            <w:webHidden/>
          </w:rPr>
          <w:tab/>
        </w:r>
        <w:r w:rsidR="00C75E88" w:rsidRPr="00D86816">
          <w:rPr>
            <w:webHidden/>
          </w:rPr>
          <w:fldChar w:fldCharType="begin"/>
        </w:r>
        <w:r w:rsidR="00C75E88" w:rsidRPr="00D86816">
          <w:rPr>
            <w:webHidden/>
          </w:rPr>
          <w:instrText xml:space="preserve"> PAGEREF _Toc358816721 \h </w:instrText>
        </w:r>
        <w:r w:rsidR="00C75E88" w:rsidRPr="00D86816">
          <w:rPr>
            <w:webHidden/>
          </w:rPr>
        </w:r>
        <w:r w:rsidR="00C75E88" w:rsidRPr="00D86816">
          <w:rPr>
            <w:webHidden/>
          </w:rPr>
          <w:fldChar w:fldCharType="separate"/>
        </w:r>
        <w:r>
          <w:rPr>
            <w:webHidden/>
          </w:rPr>
          <w:t>207</w:t>
        </w:r>
        <w:r w:rsidR="00C75E88" w:rsidRPr="00D86816">
          <w:rPr>
            <w:webHidden/>
          </w:rPr>
          <w:fldChar w:fldCharType="end"/>
        </w:r>
      </w:hyperlink>
    </w:p>
    <w:p w:rsidR="00C75E88" w:rsidRPr="00FE7D9C" w:rsidRDefault="00B37E57">
      <w:pPr>
        <w:pStyle w:val="TOC3"/>
        <w:rPr>
          <w:rFonts w:ascii="Calibri" w:hAnsi="Calibri"/>
          <w:sz w:val="22"/>
          <w:szCs w:val="22"/>
        </w:rPr>
      </w:pPr>
      <w:hyperlink w:anchor="_Toc358816722" w:history="1">
        <w:r w:rsidR="003C4D1D" w:rsidRPr="00D86816">
          <w:rPr>
            <w:rStyle w:val="Hyperlink"/>
            <w:color w:val="auto"/>
            <w:lang w:val="es-ES_tradnl"/>
          </w:rPr>
          <w:t>Programa 29</w:t>
        </w:r>
        <w:r w:rsidR="003C4D1D" w:rsidRPr="00FE7D9C">
          <w:rPr>
            <w:rFonts w:ascii="Calibri" w:hAnsi="Calibri"/>
            <w:sz w:val="22"/>
            <w:szCs w:val="22"/>
          </w:rPr>
          <w:tab/>
        </w:r>
        <w:r w:rsidR="003C4D1D" w:rsidRPr="00D86816">
          <w:rPr>
            <w:rStyle w:val="Hyperlink"/>
            <w:color w:val="auto"/>
            <w:lang w:val="es-ES_tradnl"/>
          </w:rPr>
          <w:t>Nueva sala de conferencias</w:t>
        </w:r>
        <w:r w:rsidR="003C4D1D" w:rsidRPr="00D86816">
          <w:rPr>
            <w:webHidden/>
          </w:rPr>
          <w:tab/>
        </w:r>
        <w:r w:rsidR="00C75E88" w:rsidRPr="00D86816">
          <w:rPr>
            <w:webHidden/>
          </w:rPr>
          <w:fldChar w:fldCharType="begin"/>
        </w:r>
        <w:r w:rsidR="00C75E88" w:rsidRPr="00D86816">
          <w:rPr>
            <w:webHidden/>
          </w:rPr>
          <w:instrText xml:space="preserve"> PAGEREF _Toc358816722 \h </w:instrText>
        </w:r>
        <w:r w:rsidR="00C75E88" w:rsidRPr="00D86816">
          <w:rPr>
            <w:webHidden/>
          </w:rPr>
        </w:r>
        <w:r w:rsidR="00C75E88" w:rsidRPr="00D86816">
          <w:rPr>
            <w:webHidden/>
          </w:rPr>
          <w:fldChar w:fldCharType="separate"/>
        </w:r>
        <w:r>
          <w:rPr>
            <w:webHidden/>
          </w:rPr>
          <w:t>210</w:t>
        </w:r>
        <w:r w:rsidR="00C75E88" w:rsidRPr="00D86816">
          <w:rPr>
            <w:webHidden/>
          </w:rPr>
          <w:fldChar w:fldCharType="end"/>
        </w:r>
      </w:hyperlink>
    </w:p>
    <w:p w:rsidR="00C75E88" w:rsidRPr="00FE7D9C" w:rsidRDefault="00B37E57" w:rsidP="00406FE5">
      <w:pPr>
        <w:pStyle w:val="TOC1"/>
        <w:rPr>
          <w:rFonts w:ascii="Calibri" w:hAnsi="Calibri"/>
          <w:szCs w:val="22"/>
        </w:rPr>
      </w:pPr>
      <w:hyperlink w:anchor="_Toc358816723" w:history="1">
        <w:r w:rsidR="00C75E88" w:rsidRPr="00D86816">
          <w:rPr>
            <w:rStyle w:val="Hyperlink"/>
            <w:color w:val="auto"/>
          </w:rPr>
          <w:t>IV.</w:t>
        </w:r>
        <w:r w:rsidR="00C75E88" w:rsidRPr="00FE7D9C">
          <w:rPr>
            <w:rFonts w:ascii="Calibri" w:hAnsi="Calibri"/>
            <w:szCs w:val="22"/>
          </w:rPr>
          <w:tab/>
        </w:r>
        <w:r w:rsidR="00C75E88" w:rsidRPr="00D86816">
          <w:rPr>
            <w:rStyle w:val="Hyperlink"/>
            <w:color w:val="auto"/>
          </w:rPr>
          <w:t>ANEXOS</w:t>
        </w:r>
        <w:r w:rsidR="00C75E88" w:rsidRPr="00D86816">
          <w:rPr>
            <w:webHidden/>
          </w:rPr>
          <w:tab/>
        </w:r>
        <w:r w:rsidR="00C75E88" w:rsidRPr="00D86816">
          <w:rPr>
            <w:webHidden/>
          </w:rPr>
          <w:fldChar w:fldCharType="begin"/>
        </w:r>
        <w:r w:rsidR="00C75E88" w:rsidRPr="00D86816">
          <w:rPr>
            <w:webHidden/>
          </w:rPr>
          <w:instrText xml:space="preserve"> PAGEREF _Toc358816723 \h </w:instrText>
        </w:r>
        <w:r w:rsidR="00C75E88" w:rsidRPr="00D86816">
          <w:rPr>
            <w:webHidden/>
          </w:rPr>
        </w:r>
        <w:r w:rsidR="00C75E88" w:rsidRPr="00D86816">
          <w:rPr>
            <w:webHidden/>
          </w:rPr>
          <w:fldChar w:fldCharType="separate"/>
        </w:r>
        <w:r>
          <w:rPr>
            <w:webHidden/>
          </w:rPr>
          <w:t>214</w:t>
        </w:r>
        <w:r w:rsidR="00C75E88" w:rsidRPr="00D86816">
          <w:rPr>
            <w:webHidden/>
          </w:rPr>
          <w:fldChar w:fldCharType="end"/>
        </w:r>
      </w:hyperlink>
    </w:p>
    <w:p w:rsidR="00C75E88" w:rsidRPr="00FE7D9C" w:rsidRDefault="00B37E57" w:rsidP="005700FC">
      <w:pPr>
        <w:pStyle w:val="TOC2"/>
        <w:rPr>
          <w:rFonts w:ascii="Calibri" w:hAnsi="Calibri"/>
          <w:sz w:val="22"/>
          <w:szCs w:val="22"/>
        </w:rPr>
      </w:pPr>
      <w:hyperlink w:anchor="_Toc358816724" w:history="1">
        <w:r w:rsidR="00C75E88" w:rsidRPr="00D86816">
          <w:rPr>
            <w:rStyle w:val="Hyperlink"/>
            <w:b w:val="0"/>
            <w:color w:val="auto"/>
          </w:rPr>
          <w:t>ANEXO I.</w:t>
        </w:r>
        <w:r w:rsidR="00C75E88" w:rsidRPr="00FE7D9C">
          <w:rPr>
            <w:rFonts w:ascii="Calibri" w:hAnsi="Calibri"/>
            <w:sz w:val="22"/>
            <w:szCs w:val="22"/>
          </w:rPr>
          <w:tab/>
        </w:r>
        <w:r w:rsidR="00C75E88" w:rsidRPr="00D86816">
          <w:rPr>
            <w:rStyle w:val="Hyperlink"/>
            <w:b w:val="0"/>
            <w:color w:val="auto"/>
          </w:rPr>
          <w:t>PRESUPUESTO 2012/2013 DESPUÉS DE LAS TRANSFERENCIAS, POR PROGRAMA</w:t>
        </w:r>
        <w:r w:rsidR="00C75E88" w:rsidRPr="00D86816">
          <w:rPr>
            <w:webHidden/>
          </w:rPr>
          <w:tab/>
        </w:r>
        <w:r w:rsidR="00C75E88" w:rsidRPr="00D86816">
          <w:rPr>
            <w:webHidden/>
          </w:rPr>
          <w:fldChar w:fldCharType="begin"/>
        </w:r>
        <w:r w:rsidR="00C75E88" w:rsidRPr="00D86816">
          <w:rPr>
            <w:webHidden/>
          </w:rPr>
          <w:instrText xml:space="preserve"> PAGEREF _Toc358816724 \h </w:instrText>
        </w:r>
        <w:r w:rsidR="00C75E88" w:rsidRPr="00D86816">
          <w:rPr>
            <w:webHidden/>
          </w:rPr>
        </w:r>
        <w:r w:rsidR="00C75E88" w:rsidRPr="00D86816">
          <w:rPr>
            <w:webHidden/>
          </w:rPr>
          <w:fldChar w:fldCharType="separate"/>
        </w:r>
        <w:r>
          <w:rPr>
            <w:webHidden/>
          </w:rPr>
          <w:t>215</w:t>
        </w:r>
        <w:r w:rsidR="00C75E88" w:rsidRPr="00D86816">
          <w:rPr>
            <w:webHidden/>
          </w:rPr>
          <w:fldChar w:fldCharType="end"/>
        </w:r>
      </w:hyperlink>
    </w:p>
    <w:p w:rsidR="00C75E88" w:rsidRPr="00FE7D9C" w:rsidRDefault="00B37E57" w:rsidP="005700FC">
      <w:pPr>
        <w:pStyle w:val="TOC2"/>
        <w:rPr>
          <w:rFonts w:ascii="Calibri" w:hAnsi="Calibri"/>
          <w:sz w:val="22"/>
          <w:szCs w:val="22"/>
        </w:rPr>
      </w:pPr>
      <w:hyperlink w:anchor="_Toc358816725" w:history="1">
        <w:r w:rsidR="00C75E88" w:rsidRPr="00D86816">
          <w:rPr>
            <w:rStyle w:val="Hyperlink"/>
            <w:b w:val="0"/>
            <w:color w:val="auto"/>
          </w:rPr>
          <w:t>ANEXO II.</w:t>
        </w:r>
        <w:r w:rsidR="00C75E88" w:rsidRPr="00FE7D9C">
          <w:rPr>
            <w:rFonts w:ascii="Calibri" w:hAnsi="Calibri"/>
            <w:sz w:val="22"/>
            <w:szCs w:val="22"/>
          </w:rPr>
          <w:tab/>
        </w:r>
        <w:r w:rsidR="00C75E88" w:rsidRPr="00D86816">
          <w:rPr>
            <w:rStyle w:val="Hyperlink"/>
            <w:b w:val="0"/>
            <w:color w:val="auto"/>
          </w:rPr>
          <w:t>RECURSOS PROPUESTOS PARA 2014/2015, POR PROGRAMA</w:t>
        </w:r>
        <w:r w:rsidR="00C75E88" w:rsidRPr="00D86816">
          <w:rPr>
            <w:webHidden/>
          </w:rPr>
          <w:tab/>
        </w:r>
        <w:r w:rsidR="00C75E88" w:rsidRPr="00D86816">
          <w:rPr>
            <w:webHidden/>
          </w:rPr>
          <w:fldChar w:fldCharType="begin"/>
        </w:r>
        <w:r w:rsidR="00C75E88" w:rsidRPr="00D86816">
          <w:rPr>
            <w:webHidden/>
          </w:rPr>
          <w:instrText xml:space="preserve"> PAGEREF _Toc358816725 \h </w:instrText>
        </w:r>
        <w:r w:rsidR="00C75E88" w:rsidRPr="00D86816">
          <w:rPr>
            <w:webHidden/>
          </w:rPr>
        </w:r>
        <w:r w:rsidR="00C75E88" w:rsidRPr="00D86816">
          <w:rPr>
            <w:webHidden/>
          </w:rPr>
          <w:fldChar w:fldCharType="separate"/>
        </w:r>
        <w:r>
          <w:rPr>
            <w:webHidden/>
          </w:rPr>
          <w:t>216</w:t>
        </w:r>
        <w:r w:rsidR="00C75E88" w:rsidRPr="00D86816">
          <w:rPr>
            <w:webHidden/>
          </w:rPr>
          <w:fldChar w:fldCharType="end"/>
        </w:r>
      </w:hyperlink>
    </w:p>
    <w:p w:rsidR="00C75E88" w:rsidRPr="00FE7D9C" w:rsidRDefault="00B37E57" w:rsidP="005700FC">
      <w:pPr>
        <w:pStyle w:val="TOC2"/>
        <w:rPr>
          <w:rFonts w:ascii="Calibri" w:hAnsi="Calibri"/>
          <w:sz w:val="22"/>
          <w:szCs w:val="22"/>
        </w:rPr>
      </w:pPr>
      <w:hyperlink w:anchor="_Toc358816726" w:history="1">
        <w:r w:rsidR="00C75E88" w:rsidRPr="00D86816">
          <w:rPr>
            <w:rStyle w:val="Hyperlink"/>
            <w:b w:val="0"/>
            <w:color w:val="auto"/>
          </w:rPr>
          <w:t>ANEXO III.</w:t>
        </w:r>
        <w:r w:rsidR="00C75E88" w:rsidRPr="00FE7D9C">
          <w:rPr>
            <w:rFonts w:ascii="Calibri" w:hAnsi="Calibri"/>
            <w:sz w:val="22"/>
            <w:szCs w:val="22"/>
          </w:rPr>
          <w:tab/>
        </w:r>
        <w:r w:rsidR="00C75E88" w:rsidRPr="00D86816">
          <w:rPr>
            <w:rStyle w:val="Hyperlink"/>
            <w:b w:val="0"/>
            <w:color w:val="auto"/>
          </w:rPr>
          <w:t>ASIGNACIÓN DE LOS INGRESOS PREVISTOS Y DE LOS GASTOS PRESUPUESTADOS, POR UNIÓN</w:t>
        </w:r>
        <w:r w:rsidR="00C75E88" w:rsidRPr="00D86816">
          <w:rPr>
            <w:webHidden/>
          </w:rPr>
          <w:tab/>
        </w:r>
        <w:r w:rsidR="00C75E88" w:rsidRPr="00D86816">
          <w:rPr>
            <w:webHidden/>
          </w:rPr>
          <w:fldChar w:fldCharType="begin"/>
        </w:r>
        <w:r w:rsidR="00C75E88" w:rsidRPr="00D86816">
          <w:rPr>
            <w:webHidden/>
          </w:rPr>
          <w:instrText xml:space="preserve"> PAGEREF _Toc358816726 \h </w:instrText>
        </w:r>
        <w:r w:rsidR="00C75E88" w:rsidRPr="00D86816">
          <w:rPr>
            <w:webHidden/>
          </w:rPr>
        </w:r>
        <w:r w:rsidR="00C75E88" w:rsidRPr="00D86816">
          <w:rPr>
            <w:webHidden/>
          </w:rPr>
          <w:fldChar w:fldCharType="separate"/>
        </w:r>
        <w:r>
          <w:rPr>
            <w:webHidden/>
          </w:rPr>
          <w:t>218</w:t>
        </w:r>
        <w:r w:rsidR="00C75E88" w:rsidRPr="00D86816">
          <w:rPr>
            <w:webHidden/>
          </w:rPr>
          <w:fldChar w:fldCharType="end"/>
        </w:r>
      </w:hyperlink>
    </w:p>
    <w:p w:rsidR="00C75E88" w:rsidRPr="00FE7D9C" w:rsidRDefault="00B37E57" w:rsidP="005700FC">
      <w:pPr>
        <w:pStyle w:val="TOC2"/>
        <w:rPr>
          <w:rFonts w:ascii="Calibri" w:hAnsi="Calibri"/>
          <w:sz w:val="22"/>
          <w:szCs w:val="22"/>
        </w:rPr>
      </w:pPr>
      <w:hyperlink w:anchor="_Toc358816727" w:history="1">
        <w:r w:rsidR="00C75E88" w:rsidRPr="00D86816">
          <w:rPr>
            <w:rStyle w:val="Hyperlink"/>
            <w:b w:val="0"/>
            <w:color w:val="auto"/>
          </w:rPr>
          <w:t>ANEXO IV.</w:t>
        </w:r>
        <w:r w:rsidR="00C75E88" w:rsidRPr="00FE7D9C">
          <w:rPr>
            <w:rFonts w:ascii="Calibri" w:hAnsi="Calibri"/>
            <w:sz w:val="22"/>
            <w:szCs w:val="22"/>
          </w:rPr>
          <w:tab/>
        </w:r>
        <w:r w:rsidR="00C75E88" w:rsidRPr="00D86816">
          <w:rPr>
            <w:rStyle w:val="Hyperlink"/>
            <w:b w:val="0"/>
            <w:color w:val="auto"/>
          </w:rPr>
          <w:t>EVOLUCIÓN DE LA DEMANDA DE LOS SERVICIOS DE LOS SISTEMAS DEL PCT, DE MADRID Y DE LA HAYA A MEDIANO PLAZO</w:t>
        </w:r>
        <w:r w:rsidR="00C75E88" w:rsidRPr="00D86816">
          <w:rPr>
            <w:webHidden/>
          </w:rPr>
          <w:tab/>
        </w:r>
        <w:r w:rsidR="00C75E88" w:rsidRPr="00D86816">
          <w:rPr>
            <w:webHidden/>
          </w:rPr>
          <w:fldChar w:fldCharType="begin"/>
        </w:r>
        <w:r w:rsidR="00C75E88" w:rsidRPr="00D86816">
          <w:rPr>
            <w:webHidden/>
          </w:rPr>
          <w:instrText xml:space="preserve"> PAGEREF _Toc358816727 \h </w:instrText>
        </w:r>
        <w:r w:rsidR="00C75E88" w:rsidRPr="00D86816">
          <w:rPr>
            <w:webHidden/>
          </w:rPr>
        </w:r>
        <w:r w:rsidR="00C75E88" w:rsidRPr="00D86816">
          <w:rPr>
            <w:webHidden/>
          </w:rPr>
          <w:fldChar w:fldCharType="separate"/>
        </w:r>
        <w:r>
          <w:rPr>
            <w:webHidden/>
          </w:rPr>
          <w:t>223</w:t>
        </w:r>
        <w:r w:rsidR="00C75E88" w:rsidRPr="00D86816">
          <w:rPr>
            <w:webHidden/>
          </w:rPr>
          <w:fldChar w:fldCharType="end"/>
        </w:r>
      </w:hyperlink>
    </w:p>
    <w:p w:rsidR="00C75E88" w:rsidRPr="00FE7D9C" w:rsidRDefault="00B37E57" w:rsidP="005700FC">
      <w:pPr>
        <w:pStyle w:val="TOC2"/>
        <w:rPr>
          <w:rFonts w:ascii="Calibri" w:hAnsi="Calibri"/>
          <w:sz w:val="22"/>
          <w:szCs w:val="22"/>
        </w:rPr>
      </w:pPr>
      <w:hyperlink w:anchor="_Toc358816728" w:history="1">
        <w:r w:rsidR="00C75E88" w:rsidRPr="00D86816">
          <w:rPr>
            <w:rStyle w:val="Hyperlink"/>
            <w:b w:val="0"/>
            <w:color w:val="auto"/>
          </w:rPr>
          <w:t>ANEXO V.</w:t>
        </w:r>
        <w:r w:rsidR="00C75E88" w:rsidRPr="00FE7D9C">
          <w:rPr>
            <w:rFonts w:ascii="Calibri" w:hAnsi="Calibri"/>
            <w:sz w:val="22"/>
            <w:szCs w:val="22"/>
          </w:rPr>
          <w:tab/>
        </w:r>
        <w:r w:rsidR="00C75E88" w:rsidRPr="00D86816">
          <w:rPr>
            <w:rStyle w:val="Hyperlink"/>
            <w:b w:val="0"/>
            <w:color w:val="auto"/>
          </w:rPr>
          <w:t>INDICADORES DE LAS OPERACIONES DEL PCT</w:t>
        </w:r>
        <w:r w:rsidR="00C75E88" w:rsidRPr="00D86816">
          <w:rPr>
            <w:webHidden/>
          </w:rPr>
          <w:tab/>
        </w:r>
        <w:r w:rsidR="00C75E88" w:rsidRPr="00D86816">
          <w:rPr>
            <w:webHidden/>
          </w:rPr>
          <w:fldChar w:fldCharType="begin"/>
        </w:r>
        <w:r w:rsidR="00C75E88" w:rsidRPr="00D86816">
          <w:rPr>
            <w:webHidden/>
          </w:rPr>
          <w:instrText xml:space="preserve"> PAGEREF _Toc358816728 \h </w:instrText>
        </w:r>
        <w:r w:rsidR="00C75E88" w:rsidRPr="00D86816">
          <w:rPr>
            <w:webHidden/>
          </w:rPr>
        </w:r>
        <w:r w:rsidR="00C75E88" w:rsidRPr="00D86816">
          <w:rPr>
            <w:webHidden/>
          </w:rPr>
          <w:fldChar w:fldCharType="separate"/>
        </w:r>
        <w:r>
          <w:rPr>
            <w:webHidden/>
          </w:rPr>
          <w:t>241</w:t>
        </w:r>
        <w:r w:rsidR="00C75E88" w:rsidRPr="00D86816">
          <w:rPr>
            <w:webHidden/>
          </w:rPr>
          <w:fldChar w:fldCharType="end"/>
        </w:r>
      </w:hyperlink>
    </w:p>
    <w:p w:rsidR="00C75E88" w:rsidRPr="00FE7D9C" w:rsidRDefault="00B37E57" w:rsidP="005700FC">
      <w:pPr>
        <w:pStyle w:val="TOC2"/>
        <w:rPr>
          <w:rFonts w:ascii="Calibri" w:hAnsi="Calibri"/>
          <w:sz w:val="22"/>
          <w:szCs w:val="22"/>
        </w:rPr>
      </w:pPr>
      <w:hyperlink w:anchor="_Toc358816729" w:history="1">
        <w:r w:rsidR="00C75E88" w:rsidRPr="00D86816">
          <w:rPr>
            <w:rStyle w:val="Hyperlink"/>
            <w:b w:val="0"/>
            <w:color w:val="auto"/>
          </w:rPr>
          <w:t>ANEXO VI.</w:t>
        </w:r>
        <w:r w:rsidR="00C75E88" w:rsidRPr="00FE7D9C">
          <w:rPr>
            <w:rFonts w:ascii="Calibri" w:hAnsi="Calibri"/>
            <w:sz w:val="22"/>
            <w:szCs w:val="22"/>
          </w:rPr>
          <w:tab/>
        </w:r>
        <w:r w:rsidR="00C75E88" w:rsidRPr="00D86816">
          <w:rPr>
            <w:rStyle w:val="Hyperlink"/>
            <w:b w:val="0"/>
            <w:color w:val="auto"/>
          </w:rPr>
          <w:t>INDICADORES DE LAS OPERACIONES DE LOS SISTEMAS DE MADRID Y DE LISBOA</w:t>
        </w:r>
        <w:r w:rsidR="005700FC" w:rsidRPr="00D86816">
          <w:rPr>
            <w:rStyle w:val="Hyperlink"/>
            <w:b w:val="0"/>
            <w:color w:val="auto"/>
          </w:rPr>
          <w:tab/>
        </w:r>
        <w:r w:rsidR="00C75E88" w:rsidRPr="00D86816">
          <w:rPr>
            <w:webHidden/>
          </w:rPr>
          <w:tab/>
        </w:r>
        <w:r w:rsidR="00C75E88" w:rsidRPr="00D86816">
          <w:rPr>
            <w:webHidden/>
          </w:rPr>
          <w:fldChar w:fldCharType="begin"/>
        </w:r>
        <w:r w:rsidR="00C75E88" w:rsidRPr="00D86816">
          <w:rPr>
            <w:webHidden/>
          </w:rPr>
          <w:instrText xml:space="preserve"> PAGEREF _Toc358816729 \h </w:instrText>
        </w:r>
        <w:r w:rsidR="00C75E88" w:rsidRPr="00D86816">
          <w:rPr>
            <w:webHidden/>
          </w:rPr>
        </w:r>
        <w:r w:rsidR="00C75E88" w:rsidRPr="00D86816">
          <w:rPr>
            <w:webHidden/>
          </w:rPr>
          <w:fldChar w:fldCharType="separate"/>
        </w:r>
        <w:r>
          <w:rPr>
            <w:webHidden/>
          </w:rPr>
          <w:t>251</w:t>
        </w:r>
        <w:r w:rsidR="00C75E88" w:rsidRPr="00D86816">
          <w:rPr>
            <w:webHidden/>
          </w:rPr>
          <w:fldChar w:fldCharType="end"/>
        </w:r>
      </w:hyperlink>
    </w:p>
    <w:p w:rsidR="00C75E88" w:rsidRPr="00FE7D9C" w:rsidRDefault="00B37E57" w:rsidP="005700FC">
      <w:pPr>
        <w:pStyle w:val="TOC2"/>
        <w:rPr>
          <w:rFonts w:ascii="Calibri" w:hAnsi="Calibri"/>
          <w:sz w:val="22"/>
          <w:szCs w:val="22"/>
        </w:rPr>
      </w:pPr>
      <w:hyperlink w:anchor="_Toc358816730" w:history="1">
        <w:r w:rsidR="00C75E88" w:rsidRPr="00D86816">
          <w:rPr>
            <w:rStyle w:val="Hyperlink"/>
            <w:b w:val="0"/>
            <w:color w:val="auto"/>
          </w:rPr>
          <w:t>ANEXO VII.</w:t>
        </w:r>
        <w:r w:rsidR="00C75E88" w:rsidRPr="00FE7D9C">
          <w:rPr>
            <w:rFonts w:ascii="Calibri" w:hAnsi="Calibri"/>
            <w:sz w:val="22"/>
            <w:szCs w:val="22"/>
          </w:rPr>
          <w:tab/>
        </w:r>
        <w:r w:rsidR="00C75E88" w:rsidRPr="00D86816">
          <w:rPr>
            <w:rStyle w:val="Hyperlink"/>
            <w:b w:val="0"/>
            <w:color w:val="auto"/>
          </w:rPr>
          <w:t>INDICADORES DE LAS OPERACIONES DEL SISTEMA DE LA HAYA</w:t>
        </w:r>
        <w:r w:rsidR="00C75E88" w:rsidRPr="00D86816">
          <w:rPr>
            <w:webHidden/>
          </w:rPr>
          <w:tab/>
        </w:r>
        <w:r w:rsidR="00C75E88" w:rsidRPr="00D86816">
          <w:rPr>
            <w:webHidden/>
          </w:rPr>
          <w:fldChar w:fldCharType="begin"/>
        </w:r>
        <w:r w:rsidR="00C75E88" w:rsidRPr="00D86816">
          <w:rPr>
            <w:webHidden/>
          </w:rPr>
          <w:instrText xml:space="preserve"> PAGEREF _Toc358816730 \h </w:instrText>
        </w:r>
        <w:r w:rsidR="00C75E88" w:rsidRPr="00D86816">
          <w:rPr>
            <w:webHidden/>
          </w:rPr>
        </w:r>
        <w:r w:rsidR="00C75E88" w:rsidRPr="00D86816">
          <w:rPr>
            <w:webHidden/>
          </w:rPr>
          <w:fldChar w:fldCharType="separate"/>
        </w:r>
        <w:r>
          <w:rPr>
            <w:webHidden/>
          </w:rPr>
          <w:t>259</w:t>
        </w:r>
        <w:r w:rsidR="00C75E88" w:rsidRPr="00D86816">
          <w:rPr>
            <w:webHidden/>
          </w:rPr>
          <w:fldChar w:fldCharType="end"/>
        </w:r>
      </w:hyperlink>
    </w:p>
    <w:p w:rsidR="00C75E88" w:rsidRPr="00FE7D9C" w:rsidRDefault="00B37E57" w:rsidP="005700FC">
      <w:pPr>
        <w:pStyle w:val="TOC2"/>
        <w:rPr>
          <w:rFonts w:ascii="Calibri" w:hAnsi="Calibri"/>
          <w:sz w:val="22"/>
          <w:szCs w:val="22"/>
        </w:rPr>
      </w:pPr>
      <w:hyperlink w:anchor="_Toc358816731" w:history="1">
        <w:r w:rsidR="00C75E88" w:rsidRPr="00D86816">
          <w:rPr>
            <w:rStyle w:val="Hyperlink"/>
            <w:b w:val="0"/>
            <w:color w:val="auto"/>
          </w:rPr>
          <w:t>ANEXO VIII.</w:t>
        </w:r>
        <w:r w:rsidR="00C75E88" w:rsidRPr="00FE7D9C">
          <w:rPr>
            <w:rFonts w:ascii="Calibri" w:hAnsi="Calibri"/>
            <w:sz w:val="22"/>
            <w:szCs w:val="22"/>
          </w:rPr>
          <w:tab/>
        </w:r>
        <w:r w:rsidR="00C75E88" w:rsidRPr="00D86816">
          <w:rPr>
            <w:rStyle w:val="Hyperlink"/>
            <w:b w:val="0"/>
            <w:color w:val="auto"/>
          </w:rPr>
          <w:t>RECURSOS DE FONDOS FIDUCIARIOS DISPONIBLES POTENCIALMENTE PARA SU UTILIZACIÓN</w:t>
        </w:r>
        <w:r w:rsidR="00C75E88" w:rsidRPr="00D86816">
          <w:rPr>
            <w:webHidden/>
          </w:rPr>
          <w:tab/>
        </w:r>
        <w:r w:rsidR="00C75E88" w:rsidRPr="00D86816">
          <w:rPr>
            <w:webHidden/>
          </w:rPr>
          <w:fldChar w:fldCharType="begin"/>
        </w:r>
        <w:r w:rsidR="00C75E88" w:rsidRPr="00D86816">
          <w:rPr>
            <w:webHidden/>
          </w:rPr>
          <w:instrText xml:space="preserve"> PAGEREF _Toc358816731 \h </w:instrText>
        </w:r>
        <w:r w:rsidR="00C75E88" w:rsidRPr="00D86816">
          <w:rPr>
            <w:webHidden/>
          </w:rPr>
        </w:r>
        <w:r w:rsidR="00C75E88" w:rsidRPr="00D86816">
          <w:rPr>
            <w:webHidden/>
          </w:rPr>
          <w:fldChar w:fldCharType="separate"/>
        </w:r>
        <w:r>
          <w:rPr>
            <w:webHidden/>
          </w:rPr>
          <w:t>266</w:t>
        </w:r>
        <w:r w:rsidR="00C75E88" w:rsidRPr="00D86816">
          <w:rPr>
            <w:webHidden/>
          </w:rPr>
          <w:fldChar w:fldCharType="end"/>
        </w:r>
      </w:hyperlink>
    </w:p>
    <w:p w:rsidR="00C75E88" w:rsidRPr="00FE7D9C" w:rsidRDefault="00B37E57" w:rsidP="005700FC">
      <w:pPr>
        <w:pStyle w:val="TOC2"/>
        <w:rPr>
          <w:rFonts w:ascii="Calibri" w:hAnsi="Calibri"/>
          <w:sz w:val="22"/>
          <w:szCs w:val="22"/>
        </w:rPr>
      </w:pPr>
      <w:hyperlink w:anchor="_Toc358816732" w:history="1">
        <w:r w:rsidR="00C75E88" w:rsidRPr="00D86816">
          <w:rPr>
            <w:rStyle w:val="Hyperlink"/>
            <w:b w:val="0"/>
            <w:color w:val="auto"/>
          </w:rPr>
          <w:t>ANEXO IX.</w:t>
        </w:r>
        <w:r w:rsidR="00C75E88" w:rsidRPr="00FE7D9C">
          <w:rPr>
            <w:rFonts w:ascii="Calibri" w:hAnsi="Calibri"/>
            <w:sz w:val="22"/>
            <w:szCs w:val="22"/>
          </w:rPr>
          <w:tab/>
        </w:r>
        <w:r w:rsidR="00C75E88" w:rsidRPr="00D86816">
          <w:rPr>
            <w:rStyle w:val="Hyperlink"/>
            <w:b w:val="0"/>
            <w:color w:val="auto"/>
          </w:rPr>
          <w:t>CUADROS DEL PRESUPUESTO ANUAL PARA LA PRESENTACIÓN DE INFORMES CONFORME A LAS IPSAS</w:t>
        </w:r>
        <w:r w:rsidR="00C75E88" w:rsidRPr="00D86816">
          <w:rPr>
            <w:webHidden/>
          </w:rPr>
          <w:tab/>
        </w:r>
        <w:r w:rsidR="00C75E88" w:rsidRPr="00D86816">
          <w:rPr>
            <w:webHidden/>
          </w:rPr>
          <w:fldChar w:fldCharType="begin"/>
        </w:r>
        <w:r w:rsidR="00C75E88" w:rsidRPr="00D86816">
          <w:rPr>
            <w:webHidden/>
          </w:rPr>
          <w:instrText xml:space="preserve"> PAGEREF _Toc358816732 \h </w:instrText>
        </w:r>
        <w:r w:rsidR="00C75E88" w:rsidRPr="00D86816">
          <w:rPr>
            <w:webHidden/>
          </w:rPr>
        </w:r>
        <w:r w:rsidR="00C75E88" w:rsidRPr="00D86816">
          <w:rPr>
            <w:webHidden/>
          </w:rPr>
          <w:fldChar w:fldCharType="separate"/>
        </w:r>
        <w:r>
          <w:rPr>
            <w:webHidden/>
          </w:rPr>
          <w:t>268</w:t>
        </w:r>
        <w:r w:rsidR="00C75E88" w:rsidRPr="00D86816">
          <w:rPr>
            <w:webHidden/>
          </w:rPr>
          <w:fldChar w:fldCharType="end"/>
        </w:r>
      </w:hyperlink>
    </w:p>
    <w:p w:rsidR="00C75E88" w:rsidRPr="00FE7D9C" w:rsidRDefault="00B37E57" w:rsidP="005700FC">
      <w:pPr>
        <w:pStyle w:val="TOC2"/>
        <w:rPr>
          <w:rFonts w:ascii="Calibri" w:hAnsi="Calibri"/>
          <w:sz w:val="22"/>
          <w:szCs w:val="22"/>
        </w:rPr>
      </w:pPr>
      <w:hyperlink w:anchor="_Toc358816733" w:history="1">
        <w:r w:rsidR="00C75E88" w:rsidRPr="00D86816">
          <w:rPr>
            <w:rStyle w:val="Hyperlink"/>
            <w:b w:val="0"/>
            <w:color w:val="auto"/>
          </w:rPr>
          <w:t>ANEXO X.</w:t>
        </w:r>
        <w:r w:rsidR="00C75E88" w:rsidRPr="00FE7D9C">
          <w:rPr>
            <w:rFonts w:ascii="Calibri" w:hAnsi="Calibri"/>
            <w:sz w:val="22"/>
            <w:szCs w:val="22"/>
          </w:rPr>
          <w:tab/>
        </w:r>
        <w:r w:rsidR="00C75E88" w:rsidRPr="00D86816">
          <w:rPr>
            <w:rStyle w:val="Hyperlink"/>
            <w:b w:val="0"/>
            <w:color w:val="auto"/>
          </w:rPr>
          <w:t>PRESUPUESTO PARA 2014/15 POR RESULTADO PREVISTO Y PROGRAMA</w:t>
        </w:r>
        <w:r w:rsidR="005700FC" w:rsidRPr="00D86816">
          <w:rPr>
            <w:rStyle w:val="Hyperlink"/>
            <w:b w:val="0"/>
            <w:color w:val="auto"/>
          </w:rPr>
          <w:tab/>
        </w:r>
        <w:r w:rsidR="005700FC" w:rsidRPr="00D86816">
          <w:rPr>
            <w:rStyle w:val="Hyperlink"/>
            <w:b w:val="0"/>
            <w:color w:val="auto"/>
          </w:rPr>
          <w:tab/>
        </w:r>
        <w:r w:rsidR="00C75E88" w:rsidRPr="00D86816">
          <w:rPr>
            <w:webHidden/>
          </w:rPr>
          <w:tab/>
        </w:r>
        <w:r w:rsidR="00C75E88" w:rsidRPr="00D86816">
          <w:rPr>
            <w:webHidden/>
          </w:rPr>
          <w:fldChar w:fldCharType="begin"/>
        </w:r>
        <w:r w:rsidR="00C75E88" w:rsidRPr="00D86816">
          <w:rPr>
            <w:webHidden/>
          </w:rPr>
          <w:instrText xml:space="preserve"> PAGEREF _Toc358816733 \h </w:instrText>
        </w:r>
        <w:r w:rsidR="00C75E88" w:rsidRPr="00D86816">
          <w:rPr>
            <w:webHidden/>
          </w:rPr>
        </w:r>
        <w:r w:rsidR="00C75E88" w:rsidRPr="00D86816">
          <w:rPr>
            <w:webHidden/>
          </w:rPr>
          <w:fldChar w:fldCharType="separate"/>
        </w:r>
        <w:r>
          <w:rPr>
            <w:webHidden/>
          </w:rPr>
          <w:t>270</w:t>
        </w:r>
        <w:r w:rsidR="00C75E88" w:rsidRPr="00D86816">
          <w:rPr>
            <w:webHidden/>
          </w:rPr>
          <w:fldChar w:fldCharType="end"/>
        </w:r>
      </w:hyperlink>
    </w:p>
    <w:p w:rsidR="00C75E88" w:rsidRPr="00FE7D9C" w:rsidRDefault="00B37E57" w:rsidP="005700FC">
      <w:pPr>
        <w:pStyle w:val="TOC2"/>
        <w:rPr>
          <w:rFonts w:ascii="Calibri" w:hAnsi="Calibri"/>
          <w:sz w:val="22"/>
          <w:szCs w:val="22"/>
        </w:rPr>
      </w:pPr>
      <w:hyperlink w:anchor="_Toc358816734" w:history="1">
        <w:r w:rsidR="00C75E88" w:rsidRPr="00D86816">
          <w:rPr>
            <w:rStyle w:val="Hyperlink"/>
            <w:b w:val="0"/>
            <w:color w:val="auto"/>
          </w:rPr>
          <w:t>ANEXO XI.</w:t>
        </w:r>
        <w:r w:rsidR="00C75E88" w:rsidRPr="00FE7D9C">
          <w:rPr>
            <w:rFonts w:ascii="Calibri" w:hAnsi="Calibri"/>
            <w:sz w:val="22"/>
            <w:szCs w:val="22"/>
          </w:rPr>
          <w:tab/>
        </w:r>
        <w:r w:rsidR="00C75E88" w:rsidRPr="00D86816">
          <w:rPr>
            <w:rStyle w:val="Hyperlink"/>
            <w:b w:val="0"/>
            <w:color w:val="auto"/>
          </w:rPr>
          <w:t>PRESUPUESTO PARA 2014/2015 POR RESULTADO PREVISTO</w:t>
        </w:r>
        <w:r w:rsidR="00C75E88" w:rsidRPr="00D86816">
          <w:rPr>
            <w:webHidden/>
          </w:rPr>
          <w:tab/>
        </w:r>
        <w:r w:rsidR="00C75E88" w:rsidRPr="00D86816">
          <w:rPr>
            <w:webHidden/>
          </w:rPr>
          <w:fldChar w:fldCharType="begin"/>
        </w:r>
        <w:r w:rsidR="00C75E88" w:rsidRPr="00D86816">
          <w:rPr>
            <w:webHidden/>
          </w:rPr>
          <w:instrText xml:space="preserve"> PAGEREF _Toc358816734 \h </w:instrText>
        </w:r>
        <w:r w:rsidR="00C75E88" w:rsidRPr="00D86816">
          <w:rPr>
            <w:webHidden/>
          </w:rPr>
        </w:r>
        <w:r w:rsidR="00C75E88" w:rsidRPr="00D86816">
          <w:rPr>
            <w:webHidden/>
          </w:rPr>
          <w:fldChar w:fldCharType="separate"/>
        </w:r>
        <w:r>
          <w:rPr>
            <w:webHidden/>
          </w:rPr>
          <w:t>272</w:t>
        </w:r>
        <w:r w:rsidR="00C75E88" w:rsidRPr="00D86816">
          <w:rPr>
            <w:webHidden/>
          </w:rPr>
          <w:fldChar w:fldCharType="end"/>
        </w:r>
      </w:hyperlink>
    </w:p>
    <w:p w:rsidR="00C75E88" w:rsidRPr="00FE7D9C" w:rsidRDefault="00B37E57" w:rsidP="005700FC">
      <w:pPr>
        <w:pStyle w:val="TOC2"/>
        <w:rPr>
          <w:rFonts w:ascii="Calibri" w:hAnsi="Calibri"/>
          <w:sz w:val="22"/>
          <w:szCs w:val="22"/>
        </w:rPr>
      </w:pPr>
      <w:hyperlink w:anchor="_Toc358816735" w:history="1">
        <w:r w:rsidR="00C75E88" w:rsidRPr="00D86816">
          <w:rPr>
            <w:rStyle w:val="Hyperlink"/>
            <w:b w:val="0"/>
            <w:color w:val="auto"/>
          </w:rPr>
          <w:t>ANEXO XII.</w:t>
        </w:r>
        <w:r w:rsidR="00C75E88" w:rsidRPr="00FE7D9C">
          <w:rPr>
            <w:rFonts w:ascii="Calibri" w:hAnsi="Calibri"/>
            <w:sz w:val="22"/>
            <w:szCs w:val="22"/>
          </w:rPr>
          <w:tab/>
        </w:r>
        <w:r w:rsidR="00C75E88" w:rsidRPr="00D86816">
          <w:rPr>
            <w:rStyle w:val="Hyperlink"/>
            <w:b w:val="0"/>
            <w:color w:val="auto"/>
          </w:rPr>
          <w:t>ORGANIGRAMA DE LA OMPI</w:t>
        </w:r>
        <w:r w:rsidR="00C75E88" w:rsidRPr="00D86816">
          <w:rPr>
            <w:webHidden/>
          </w:rPr>
          <w:tab/>
        </w:r>
        <w:r w:rsidR="00C75E88" w:rsidRPr="00D86816">
          <w:rPr>
            <w:webHidden/>
          </w:rPr>
          <w:fldChar w:fldCharType="begin"/>
        </w:r>
        <w:r w:rsidR="00C75E88" w:rsidRPr="00D86816">
          <w:rPr>
            <w:webHidden/>
          </w:rPr>
          <w:instrText xml:space="preserve"> PAGEREF _Toc358816735 \h </w:instrText>
        </w:r>
        <w:r w:rsidR="00C75E88" w:rsidRPr="00D86816">
          <w:rPr>
            <w:webHidden/>
          </w:rPr>
        </w:r>
        <w:r w:rsidR="00C75E88" w:rsidRPr="00D86816">
          <w:rPr>
            <w:webHidden/>
          </w:rPr>
          <w:fldChar w:fldCharType="separate"/>
        </w:r>
        <w:r>
          <w:rPr>
            <w:webHidden/>
          </w:rPr>
          <w:t>274</w:t>
        </w:r>
        <w:r w:rsidR="00C75E88" w:rsidRPr="00D86816">
          <w:rPr>
            <w:webHidden/>
          </w:rPr>
          <w:fldChar w:fldCharType="end"/>
        </w:r>
      </w:hyperlink>
    </w:p>
    <w:p w:rsidR="00C75E88" w:rsidRPr="00FE7D9C" w:rsidRDefault="00B37E57" w:rsidP="00406FE5">
      <w:pPr>
        <w:pStyle w:val="TOC1"/>
        <w:rPr>
          <w:rFonts w:ascii="Calibri" w:hAnsi="Calibri"/>
          <w:szCs w:val="22"/>
        </w:rPr>
      </w:pPr>
      <w:hyperlink w:anchor="_Toc358816736" w:history="1">
        <w:r w:rsidR="00C75E88" w:rsidRPr="00D86816">
          <w:rPr>
            <w:rStyle w:val="Hyperlink"/>
            <w:color w:val="auto"/>
          </w:rPr>
          <w:t>V.</w:t>
        </w:r>
        <w:r w:rsidR="00C75E88" w:rsidRPr="00FE7D9C">
          <w:rPr>
            <w:rFonts w:ascii="Calibri" w:hAnsi="Calibri"/>
            <w:szCs w:val="22"/>
          </w:rPr>
          <w:tab/>
        </w:r>
        <w:r w:rsidR="00C75E88" w:rsidRPr="00D86816">
          <w:rPr>
            <w:rStyle w:val="Hyperlink"/>
            <w:color w:val="auto"/>
          </w:rPr>
          <w:t>APÉNDICES</w:t>
        </w:r>
        <w:r w:rsidR="00C75E88" w:rsidRPr="00D86816">
          <w:rPr>
            <w:webHidden/>
          </w:rPr>
          <w:tab/>
        </w:r>
        <w:r w:rsidR="00C75E88" w:rsidRPr="00D86816">
          <w:rPr>
            <w:b w:val="0"/>
            <w:webHidden/>
          </w:rPr>
          <w:fldChar w:fldCharType="begin"/>
        </w:r>
        <w:r w:rsidR="00C75E88" w:rsidRPr="00D86816">
          <w:rPr>
            <w:b w:val="0"/>
            <w:webHidden/>
          </w:rPr>
          <w:instrText xml:space="preserve"> PAGEREF _Toc358816736 \h </w:instrText>
        </w:r>
        <w:r w:rsidR="00C75E88" w:rsidRPr="00D86816">
          <w:rPr>
            <w:b w:val="0"/>
            <w:webHidden/>
          </w:rPr>
        </w:r>
        <w:r w:rsidR="00C75E88" w:rsidRPr="00D86816">
          <w:rPr>
            <w:b w:val="0"/>
            <w:webHidden/>
          </w:rPr>
          <w:fldChar w:fldCharType="separate"/>
        </w:r>
        <w:r>
          <w:rPr>
            <w:b w:val="0"/>
            <w:webHidden/>
          </w:rPr>
          <w:t>275</w:t>
        </w:r>
        <w:r w:rsidR="00C75E88" w:rsidRPr="00D86816">
          <w:rPr>
            <w:b w:val="0"/>
            <w:webHidden/>
          </w:rPr>
          <w:fldChar w:fldCharType="end"/>
        </w:r>
      </w:hyperlink>
    </w:p>
    <w:p w:rsidR="00C75E88" w:rsidRPr="00FE7D9C" w:rsidRDefault="00B37E57" w:rsidP="005700FC">
      <w:pPr>
        <w:pStyle w:val="TOC2"/>
        <w:rPr>
          <w:rFonts w:ascii="Calibri" w:hAnsi="Calibri"/>
          <w:sz w:val="22"/>
          <w:szCs w:val="22"/>
        </w:rPr>
      </w:pPr>
      <w:hyperlink w:anchor="_Toc358816737" w:history="1">
        <w:r w:rsidR="00C75E88" w:rsidRPr="00D86816">
          <w:rPr>
            <w:rStyle w:val="Hyperlink"/>
            <w:b w:val="0"/>
            <w:color w:val="auto"/>
          </w:rPr>
          <w:t>APÉNDICE A</w:t>
        </w:r>
        <w:r w:rsidR="00406FE5" w:rsidRPr="00D86816">
          <w:rPr>
            <w:rStyle w:val="Hyperlink"/>
            <w:b w:val="0"/>
            <w:color w:val="auto"/>
          </w:rPr>
          <w:t xml:space="preserve">  </w:t>
        </w:r>
        <w:r w:rsidR="00C75E88" w:rsidRPr="00D86816">
          <w:rPr>
            <w:rStyle w:val="Hyperlink"/>
            <w:b w:val="0"/>
            <w:color w:val="auto"/>
          </w:rPr>
          <w:t xml:space="preserve"> CONTRIBUCIONES DE LOS ESTADOS MIEMBROS</w:t>
        </w:r>
        <w:r w:rsidR="00C75E88" w:rsidRPr="00D86816">
          <w:rPr>
            <w:webHidden/>
          </w:rPr>
          <w:tab/>
        </w:r>
        <w:r w:rsidR="00C75E88" w:rsidRPr="00D86816">
          <w:rPr>
            <w:webHidden/>
          </w:rPr>
          <w:fldChar w:fldCharType="begin"/>
        </w:r>
        <w:r w:rsidR="00C75E88" w:rsidRPr="00D86816">
          <w:rPr>
            <w:webHidden/>
          </w:rPr>
          <w:instrText xml:space="preserve"> PAGEREF _Toc358816737 \h </w:instrText>
        </w:r>
        <w:r w:rsidR="00C75E88" w:rsidRPr="00D86816">
          <w:rPr>
            <w:webHidden/>
          </w:rPr>
        </w:r>
        <w:r w:rsidR="00C75E88" w:rsidRPr="00D86816">
          <w:rPr>
            <w:webHidden/>
          </w:rPr>
          <w:fldChar w:fldCharType="separate"/>
        </w:r>
        <w:r>
          <w:rPr>
            <w:webHidden/>
          </w:rPr>
          <w:t>276</w:t>
        </w:r>
        <w:r w:rsidR="00C75E88" w:rsidRPr="00D86816">
          <w:rPr>
            <w:webHidden/>
          </w:rPr>
          <w:fldChar w:fldCharType="end"/>
        </w:r>
      </w:hyperlink>
    </w:p>
    <w:p w:rsidR="00C75E88" w:rsidRPr="00FE7D9C" w:rsidRDefault="00B37E57" w:rsidP="005700FC">
      <w:pPr>
        <w:pStyle w:val="TOC2"/>
        <w:rPr>
          <w:rFonts w:ascii="Calibri" w:hAnsi="Calibri"/>
          <w:sz w:val="22"/>
          <w:szCs w:val="22"/>
        </w:rPr>
      </w:pPr>
      <w:hyperlink w:anchor="_Toc358816738" w:history="1">
        <w:r w:rsidR="00C75E88" w:rsidRPr="00D86816">
          <w:rPr>
            <w:rStyle w:val="Hyperlink"/>
            <w:b w:val="0"/>
            <w:color w:val="auto"/>
          </w:rPr>
          <w:t>APÉNDICE B</w:t>
        </w:r>
        <w:r w:rsidR="00406FE5" w:rsidRPr="00D86816">
          <w:rPr>
            <w:rStyle w:val="Hyperlink"/>
            <w:b w:val="0"/>
            <w:color w:val="auto"/>
          </w:rPr>
          <w:t xml:space="preserve">  </w:t>
        </w:r>
        <w:r w:rsidR="00C75E88" w:rsidRPr="00D86816">
          <w:rPr>
            <w:rStyle w:val="Hyperlink"/>
            <w:b w:val="0"/>
            <w:color w:val="auto"/>
          </w:rPr>
          <w:t xml:space="preserve"> DEFINICIÓN DE LAS RÚBRICAS PRESUPUESTARIAS</w:t>
        </w:r>
        <w:r w:rsidR="00C75E88" w:rsidRPr="00D86816">
          <w:rPr>
            <w:webHidden/>
          </w:rPr>
          <w:tab/>
        </w:r>
        <w:r w:rsidR="00C75E88" w:rsidRPr="00D86816">
          <w:rPr>
            <w:webHidden/>
          </w:rPr>
          <w:fldChar w:fldCharType="begin"/>
        </w:r>
        <w:r w:rsidR="00C75E88" w:rsidRPr="00D86816">
          <w:rPr>
            <w:webHidden/>
          </w:rPr>
          <w:instrText xml:space="preserve"> PAGEREF _Toc358816738 \h </w:instrText>
        </w:r>
        <w:r w:rsidR="00C75E88" w:rsidRPr="00D86816">
          <w:rPr>
            <w:webHidden/>
          </w:rPr>
        </w:r>
        <w:r w:rsidR="00C75E88" w:rsidRPr="00D86816">
          <w:rPr>
            <w:webHidden/>
          </w:rPr>
          <w:fldChar w:fldCharType="separate"/>
        </w:r>
        <w:r>
          <w:rPr>
            <w:webHidden/>
          </w:rPr>
          <w:t>280</w:t>
        </w:r>
        <w:r w:rsidR="00C75E88" w:rsidRPr="00D86816">
          <w:rPr>
            <w:webHidden/>
          </w:rPr>
          <w:fldChar w:fldCharType="end"/>
        </w:r>
      </w:hyperlink>
    </w:p>
    <w:p w:rsidR="00C75E88" w:rsidRPr="00FE7D9C" w:rsidRDefault="00B37E57" w:rsidP="005700FC">
      <w:pPr>
        <w:pStyle w:val="TOC2"/>
        <w:rPr>
          <w:rFonts w:ascii="Calibri" w:hAnsi="Calibri"/>
          <w:sz w:val="22"/>
          <w:szCs w:val="22"/>
        </w:rPr>
      </w:pPr>
      <w:hyperlink w:anchor="_Toc358816739" w:history="1">
        <w:r w:rsidR="00C75E88" w:rsidRPr="00D86816">
          <w:rPr>
            <w:rStyle w:val="Hyperlink"/>
            <w:b w:val="0"/>
            <w:color w:val="auto"/>
          </w:rPr>
          <w:t>APÉNDICE C</w:t>
        </w:r>
        <w:r w:rsidR="00406FE5" w:rsidRPr="00D86816">
          <w:rPr>
            <w:rStyle w:val="Hyperlink"/>
            <w:b w:val="0"/>
            <w:color w:val="auto"/>
          </w:rPr>
          <w:t xml:space="preserve">  </w:t>
        </w:r>
        <w:r w:rsidR="00C75E88" w:rsidRPr="00D86816">
          <w:rPr>
            <w:rStyle w:val="Hyperlink"/>
            <w:b w:val="0"/>
            <w:color w:val="auto"/>
          </w:rPr>
          <w:t xml:space="preserve"> COSTOS ESTÁNDAR DE PERSONAL</w:t>
        </w:r>
        <w:r w:rsidR="00C75E88" w:rsidRPr="00D86816">
          <w:rPr>
            <w:webHidden/>
          </w:rPr>
          <w:tab/>
        </w:r>
        <w:r w:rsidR="00C75E88" w:rsidRPr="00D86816">
          <w:rPr>
            <w:webHidden/>
          </w:rPr>
          <w:fldChar w:fldCharType="begin"/>
        </w:r>
        <w:r w:rsidR="00C75E88" w:rsidRPr="00D86816">
          <w:rPr>
            <w:webHidden/>
          </w:rPr>
          <w:instrText xml:space="preserve"> PAGEREF _Toc358816739 \h </w:instrText>
        </w:r>
        <w:r w:rsidR="00C75E88" w:rsidRPr="00D86816">
          <w:rPr>
            <w:webHidden/>
          </w:rPr>
        </w:r>
        <w:r w:rsidR="00C75E88" w:rsidRPr="00D86816">
          <w:rPr>
            <w:webHidden/>
          </w:rPr>
          <w:fldChar w:fldCharType="separate"/>
        </w:r>
        <w:r>
          <w:rPr>
            <w:webHidden/>
          </w:rPr>
          <w:t>282</w:t>
        </w:r>
        <w:r w:rsidR="00C75E88" w:rsidRPr="00D86816">
          <w:rPr>
            <w:webHidden/>
          </w:rPr>
          <w:fldChar w:fldCharType="end"/>
        </w:r>
      </w:hyperlink>
    </w:p>
    <w:p w:rsidR="00C75E88" w:rsidRPr="00FE7D9C" w:rsidRDefault="00B37E57" w:rsidP="005700FC">
      <w:pPr>
        <w:pStyle w:val="TOC2"/>
        <w:rPr>
          <w:rFonts w:ascii="Calibri" w:hAnsi="Calibri"/>
          <w:sz w:val="22"/>
          <w:szCs w:val="22"/>
        </w:rPr>
      </w:pPr>
      <w:hyperlink w:anchor="_Toc358816740" w:history="1">
        <w:r w:rsidR="00C75E88" w:rsidRPr="00D86816">
          <w:rPr>
            <w:rStyle w:val="Hyperlink"/>
            <w:b w:val="0"/>
            <w:color w:val="auto"/>
          </w:rPr>
          <w:t>APÉNDICE D</w:t>
        </w:r>
        <w:r w:rsidR="00406FE5" w:rsidRPr="00D86816">
          <w:rPr>
            <w:rStyle w:val="Hyperlink"/>
            <w:b w:val="0"/>
            <w:color w:val="auto"/>
          </w:rPr>
          <w:t xml:space="preserve">  </w:t>
        </w:r>
        <w:r w:rsidR="00C75E88" w:rsidRPr="00D86816">
          <w:rPr>
            <w:rStyle w:val="Hyperlink"/>
            <w:b w:val="0"/>
            <w:color w:val="auto"/>
          </w:rPr>
          <w:t xml:space="preserve"> FÓRMULAS DE FLEXIBILIDAD</w:t>
        </w:r>
        <w:r w:rsidR="00C75E88" w:rsidRPr="00D86816">
          <w:rPr>
            <w:webHidden/>
          </w:rPr>
          <w:tab/>
        </w:r>
        <w:r w:rsidR="00C75E88" w:rsidRPr="00D86816">
          <w:rPr>
            <w:webHidden/>
          </w:rPr>
          <w:fldChar w:fldCharType="begin"/>
        </w:r>
        <w:r w:rsidR="00C75E88" w:rsidRPr="00D86816">
          <w:rPr>
            <w:webHidden/>
          </w:rPr>
          <w:instrText xml:space="preserve"> PAGEREF _Toc358816740 \h </w:instrText>
        </w:r>
        <w:r w:rsidR="00C75E88" w:rsidRPr="00D86816">
          <w:rPr>
            <w:webHidden/>
          </w:rPr>
        </w:r>
        <w:r w:rsidR="00C75E88" w:rsidRPr="00D86816">
          <w:rPr>
            <w:webHidden/>
          </w:rPr>
          <w:fldChar w:fldCharType="separate"/>
        </w:r>
        <w:r>
          <w:rPr>
            <w:webHidden/>
          </w:rPr>
          <w:t>284</w:t>
        </w:r>
        <w:r w:rsidR="00C75E88" w:rsidRPr="00D86816">
          <w:rPr>
            <w:webHidden/>
          </w:rPr>
          <w:fldChar w:fldCharType="end"/>
        </w:r>
      </w:hyperlink>
    </w:p>
    <w:p w:rsidR="00C75E88" w:rsidRPr="00FE7D9C" w:rsidRDefault="00B37E57" w:rsidP="005700FC">
      <w:pPr>
        <w:pStyle w:val="TOC2"/>
        <w:rPr>
          <w:rFonts w:ascii="Calibri" w:hAnsi="Calibri"/>
          <w:sz w:val="22"/>
          <w:szCs w:val="22"/>
        </w:rPr>
      </w:pPr>
      <w:hyperlink w:anchor="_Toc358816741" w:history="1">
        <w:r w:rsidR="00C75E88" w:rsidRPr="00D86816">
          <w:rPr>
            <w:rStyle w:val="Hyperlink"/>
            <w:b w:val="0"/>
            <w:color w:val="auto"/>
          </w:rPr>
          <w:t xml:space="preserve">APÉNDICE E </w:t>
        </w:r>
        <w:r w:rsidR="00406FE5" w:rsidRPr="00D86816">
          <w:rPr>
            <w:rStyle w:val="Hyperlink"/>
            <w:b w:val="0"/>
            <w:color w:val="auto"/>
          </w:rPr>
          <w:t xml:space="preserve">  </w:t>
        </w:r>
        <w:r w:rsidR="00C75E88" w:rsidRPr="00D86816">
          <w:rPr>
            <w:rStyle w:val="Hyperlink"/>
            <w:b w:val="0"/>
            <w:color w:val="auto"/>
          </w:rPr>
          <w:t>SIGLAS Y ABREVIATURAS EMPLEADAS EN EL PRESENTE DOCUMENTO</w:t>
        </w:r>
        <w:r w:rsidR="00C75E88" w:rsidRPr="00D86816">
          <w:rPr>
            <w:webHidden/>
          </w:rPr>
          <w:tab/>
        </w:r>
        <w:r w:rsidR="00C75E88" w:rsidRPr="00D86816">
          <w:rPr>
            <w:webHidden/>
          </w:rPr>
          <w:fldChar w:fldCharType="begin"/>
        </w:r>
        <w:r w:rsidR="00C75E88" w:rsidRPr="00D86816">
          <w:rPr>
            <w:webHidden/>
          </w:rPr>
          <w:instrText xml:space="preserve"> PAGEREF _Toc358816741 \h </w:instrText>
        </w:r>
        <w:r w:rsidR="00C75E88" w:rsidRPr="00D86816">
          <w:rPr>
            <w:webHidden/>
          </w:rPr>
        </w:r>
        <w:r w:rsidR="00C75E88" w:rsidRPr="00D86816">
          <w:rPr>
            <w:webHidden/>
          </w:rPr>
          <w:fldChar w:fldCharType="separate"/>
        </w:r>
        <w:r>
          <w:rPr>
            <w:webHidden/>
          </w:rPr>
          <w:t>285</w:t>
        </w:r>
        <w:r w:rsidR="00C75E88" w:rsidRPr="00D86816">
          <w:rPr>
            <w:webHidden/>
          </w:rPr>
          <w:fldChar w:fldCharType="end"/>
        </w:r>
      </w:hyperlink>
    </w:p>
    <w:p w:rsidR="007B2C29" w:rsidRPr="002C067E" w:rsidRDefault="007B2C29" w:rsidP="004A4009">
      <w:pPr>
        <w:pStyle w:val="StyleHeading214ptAuto"/>
        <w:spacing w:line="240" w:lineRule="auto"/>
        <w:rPr>
          <w:rFonts w:ascii="Arial" w:hAnsi="Arial"/>
          <w:sz w:val="16"/>
          <w:szCs w:val="16"/>
        </w:rPr>
      </w:pPr>
      <w:r w:rsidRPr="00D86816">
        <w:rPr>
          <w:b w:val="0"/>
          <w:szCs w:val="20"/>
        </w:rPr>
        <w:fldChar w:fldCharType="end"/>
      </w:r>
    </w:p>
    <w:p w:rsidR="007B2C29" w:rsidRPr="002C067E" w:rsidRDefault="007B2C29" w:rsidP="004A4009">
      <w:pPr>
        <w:pStyle w:val="Heading1"/>
        <w:keepNext w:val="0"/>
        <w:rPr>
          <w:szCs w:val="20"/>
        </w:rPr>
        <w:sectPr w:rsidR="007B2C29" w:rsidRPr="002C067E" w:rsidSect="007B2C29">
          <w:headerReference w:type="default" r:id="rId13"/>
          <w:footerReference w:type="even" r:id="rId14"/>
          <w:footerReference w:type="first" r:id="rId15"/>
          <w:pgSz w:w="11907" w:h="16840" w:code="9"/>
          <w:pgMar w:top="567" w:right="1418" w:bottom="964" w:left="1418" w:header="510" w:footer="851" w:gutter="0"/>
          <w:pgNumType w:fmt="lowerRoman"/>
          <w:cols w:space="720"/>
          <w:titlePg/>
        </w:sectPr>
      </w:pPr>
    </w:p>
    <w:p w:rsidR="00837AF9" w:rsidRPr="002C067E" w:rsidRDefault="00AA3230" w:rsidP="004A4009">
      <w:pPr>
        <w:pStyle w:val="Heading1"/>
        <w:keepNext w:val="0"/>
        <w:rPr>
          <w:sz w:val="26"/>
          <w:szCs w:val="26"/>
          <w:lang w:val="es-ES_tradnl" w:eastAsia="en-US"/>
        </w:rPr>
      </w:pPr>
      <w:bookmarkStart w:id="6" w:name="_Toc358816674"/>
      <w:r w:rsidRPr="002C067E">
        <w:rPr>
          <w:caps w:val="0"/>
          <w:sz w:val="26"/>
          <w:szCs w:val="26"/>
          <w:lang w:val="es-ES_tradnl" w:eastAsia="en-US"/>
        </w:rPr>
        <w:lastRenderedPageBreak/>
        <w:t>PRÓLOGO DEL DIRECTOR GENERAL</w:t>
      </w:r>
      <w:bookmarkEnd w:id="6"/>
    </w:p>
    <w:p w:rsidR="00837AF9" w:rsidRPr="002C067E" w:rsidRDefault="00837AF9" w:rsidP="004A4009">
      <w:pPr>
        <w:rPr>
          <w:sz w:val="20"/>
          <w:lang w:val="es-ES_tradnl" w:eastAsia="en-US"/>
        </w:rPr>
      </w:pPr>
    </w:p>
    <w:p w:rsidR="00837AF9" w:rsidRPr="002C067E" w:rsidRDefault="00837AF9" w:rsidP="004A4009">
      <w:pPr>
        <w:jc w:val="both"/>
        <w:rPr>
          <w:rFonts w:eastAsia="Times New Roman"/>
          <w:sz w:val="20"/>
          <w:lang w:val="es-ES_tradnl" w:eastAsia="en-US"/>
        </w:rPr>
      </w:pPr>
      <w:r w:rsidRPr="002C067E">
        <w:rPr>
          <w:rFonts w:eastAsia="Times New Roman"/>
          <w:sz w:val="20"/>
          <w:lang w:val="es-ES_tradnl" w:eastAsia="en-US"/>
        </w:rPr>
        <w:t>Al tiempo que planificamos el presupuesto por programas para el bienio 2014/15, la coyuntura económica es, por desgracia, similar a la que prevalecía en el momento de planificar el presupuesto por programas para el bienio en curso.  La economía mundial sigue registrando malos resultados.  Frágil es, además, la recuperación de un período prolongado de recesión y de crecimiento estancado o limitado, y poca es la visibilidad que se tiene.</w:t>
      </w:r>
    </w:p>
    <w:p w:rsidR="00837AF9" w:rsidRPr="002C067E" w:rsidRDefault="00837AF9" w:rsidP="004A4009">
      <w:pPr>
        <w:jc w:val="both"/>
        <w:rPr>
          <w:rFonts w:eastAsia="Times New Roman"/>
          <w:sz w:val="20"/>
          <w:lang w:val="es-ES_tradnl" w:eastAsia="en-US"/>
        </w:rPr>
      </w:pPr>
    </w:p>
    <w:p w:rsidR="00837AF9" w:rsidRPr="002C067E" w:rsidRDefault="00837AF9" w:rsidP="004A4009">
      <w:pPr>
        <w:jc w:val="both"/>
        <w:rPr>
          <w:rFonts w:eastAsia="Times New Roman"/>
          <w:sz w:val="20"/>
          <w:lang w:val="es-ES_tradnl" w:eastAsia="en-US"/>
        </w:rPr>
      </w:pPr>
      <w:r w:rsidRPr="002C067E">
        <w:rPr>
          <w:rFonts w:eastAsia="Times New Roman"/>
          <w:sz w:val="20"/>
          <w:lang w:val="es-ES_tradnl" w:eastAsia="en-US"/>
        </w:rPr>
        <w:t xml:space="preserve">No obstante, y a la sombra de esa recesión persistente, la demanda de títulos de propiedad intelectual (P.I.), que constituyen la base de los ingresos de la </w:t>
      </w:r>
      <w:r w:rsidRPr="002C067E">
        <w:rPr>
          <w:rFonts w:eastAsia="Times New Roman"/>
          <w:sz w:val="20"/>
          <w:lang w:val="es-ES_tradnl" w:eastAsia="fr-FR"/>
        </w:rPr>
        <w:t>Organización</w:t>
      </w:r>
      <w:r w:rsidRPr="002C067E">
        <w:rPr>
          <w:rFonts w:eastAsia="Times New Roman"/>
          <w:sz w:val="20"/>
          <w:lang w:val="es-ES_tradnl" w:eastAsia="en-US"/>
        </w:rPr>
        <w:t>, ha dejado atrás a la economía mundial y obtenido mejores resultados.  Tras haber disminuido en u</w:t>
      </w:r>
      <w:r w:rsidR="002C067E" w:rsidRPr="002C067E">
        <w:rPr>
          <w:rFonts w:eastAsia="Times New Roman"/>
          <w:sz w:val="20"/>
          <w:lang w:val="es-ES_tradnl" w:eastAsia="en-US"/>
        </w:rPr>
        <w:t>n 4</w:t>
      </w:r>
      <w:r w:rsidRPr="002C067E">
        <w:rPr>
          <w:rFonts w:eastAsia="Times New Roman"/>
          <w:sz w:val="20"/>
          <w:lang w:val="es-ES_tradnl" w:eastAsia="en-US"/>
        </w:rPr>
        <w:t>,8% e</w:t>
      </w:r>
      <w:r w:rsidR="002C067E" w:rsidRPr="002C067E">
        <w:rPr>
          <w:rFonts w:eastAsia="Times New Roman"/>
          <w:sz w:val="20"/>
          <w:lang w:val="es-ES_tradnl" w:eastAsia="en-US"/>
        </w:rPr>
        <w:t>n 2</w:t>
      </w:r>
      <w:r w:rsidRPr="002C067E">
        <w:rPr>
          <w:rFonts w:eastAsia="Times New Roman"/>
          <w:sz w:val="20"/>
          <w:lang w:val="es-ES_tradnl" w:eastAsia="en-US"/>
        </w:rPr>
        <w:t xml:space="preserve">009, las solicitudes internacionales de patente presentadas en virtud del Tratado de Cooperación en materia de Patentes (PCT), a las que cabe atribuir aproximadamente el 75% de los ingresos que obtiene la </w:t>
      </w:r>
      <w:r w:rsidRPr="002C067E">
        <w:rPr>
          <w:rFonts w:eastAsia="Times New Roman"/>
          <w:sz w:val="20"/>
          <w:lang w:val="es-ES_tradnl" w:eastAsia="fr-FR"/>
        </w:rPr>
        <w:t>Organización</w:t>
      </w:r>
      <w:r w:rsidRPr="002C067E">
        <w:rPr>
          <w:rFonts w:eastAsia="Times New Roman"/>
          <w:sz w:val="20"/>
          <w:lang w:val="es-ES_tradnl" w:eastAsia="en-US"/>
        </w:rPr>
        <w:t>, aumentaron en u</w:t>
      </w:r>
      <w:r w:rsidR="002C067E" w:rsidRPr="002C067E">
        <w:rPr>
          <w:rFonts w:eastAsia="Times New Roman"/>
          <w:sz w:val="20"/>
          <w:lang w:val="es-ES_tradnl" w:eastAsia="en-US"/>
        </w:rPr>
        <w:t>n 5</w:t>
      </w:r>
      <w:r w:rsidRPr="002C067E">
        <w:rPr>
          <w:rFonts w:eastAsia="Times New Roman"/>
          <w:sz w:val="20"/>
          <w:lang w:val="es-ES_tradnl" w:eastAsia="en-US"/>
        </w:rPr>
        <w:t>,7% e</w:t>
      </w:r>
      <w:r w:rsidR="002C067E" w:rsidRPr="002C067E">
        <w:rPr>
          <w:rFonts w:eastAsia="Times New Roman"/>
          <w:sz w:val="20"/>
          <w:lang w:val="es-ES_tradnl" w:eastAsia="en-US"/>
        </w:rPr>
        <w:t>n 2</w:t>
      </w:r>
      <w:r w:rsidRPr="002C067E">
        <w:rPr>
          <w:rFonts w:eastAsia="Times New Roman"/>
          <w:sz w:val="20"/>
          <w:lang w:val="es-ES_tradnl" w:eastAsia="en-US"/>
        </w:rPr>
        <w:t>010, en u</w:t>
      </w:r>
      <w:r w:rsidR="002C067E" w:rsidRPr="002C067E">
        <w:rPr>
          <w:rFonts w:eastAsia="Times New Roman"/>
          <w:sz w:val="20"/>
          <w:lang w:val="es-ES_tradnl" w:eastAsia="en-US"/>
        </w:rPr>
        <w:t>n 1</w:t>
      </w:r>
      <w:r w:rsidRPr="002C067E">
        <w:rPr>
          <w:rFonts w:eastAsia="Times New Roman"/>
          <w:sz w:val="20"/>
          <w:lang w:val="es-ES_tradnl" w:eastAsia="en-US"/>
        </w:rPr>
        <w:t>1,0% e</w:t>
      </w:r>
      <w:r w:rsidR="002C067E" w:rsidRPr="002C067E">
        <w:rPr>
          <w:rFonts w:eastAsia="Times New Roman"/>
          <w:sz w:val="20"/>
          <w:lang w:val="es-ES_tradnl" w:eastAsia="en-US"/>
        </w:rPr>
        <w:t>n 2</w:t>
      </w:r>
      <w:r w:rsidRPr="002C067E">
        <w:rPr>
          <w:rFonts w:eastAsia="Times New Roman"/>
          <w:sz w:val="20"/>
          <w:lang w:val="es-ES_tradnl" w:eastAsia="en-US"/>
        </w:rPr>
        <w:t>011, y en u</w:t>
      </w:r>
      <w:r w:rsidR="002C067E" w:rsidRPr="002C067E">
        <w:rPr>
          <w:rFonts w:eastAsia="Times New Roman"/>
          <w:sz w:val="20"/>
          <w:lang w:val="es-ES_tradnl" w:eastAsia="en-US"/>
        </w:rPr>
        <w:t>n 6</w:t>
      </w:r>
      <w:r w:rsidRPr="002C067E">
        <w:rPr>
          <w:rFonts w:eastAsia="Times New Roman"/>
          <w:sz w:val="20"/>
          <w:lang w:val="es-ES_tradnl" w:eastAsia="en-US"/>
        </w:rPr>
        <w:t>,3% e</w:t>
      </w:r>
      <w:r w:rsidR="002C067E" w:rsidRPr="002C067E">
        <w:rPr>
          <w:rFonts w:eastAsia="Times New Roman"/>
          <w:sz w:val="20"/>
          <w:lang w:val="es-ES_tradnl" w:eastAsia="en-US"/>
        </w:rPr>
        <w:t>n 2</w:t>
      </w:r>
      <w:r w:rsidRPr="002C067E">
        <w:rPr>
          <w:rFonts w:eastAsia="Times New Roman"/>
          <w:sz w:val="20"/>
          <w:lang w:val="es-ES_tradnl" w:eastAsia="en-US"/>
        </w:rPr>
        <w:t>012, y todo apunta a que aumentarán nuevamente en 2013.  Ese crecimiento es el resultado de varios factores, entre otros, el hecho de recurrir a la innovación como estrategia de crecimiento, al auge de la demanda en China, y a la mayor importancia que se atribuye a la protección internacional (protección en varios países) en el actual contexto, caracterizado por una competencia cada vez más mundializada.</w:t>
      </w:r>
    </w:p>
    <w:p w:rsidR="00837AF9" w:rsidRPr="002C067E" w:rsidRDefault="00837AF9" w:rsidP="004A4009">
      <w:pPr>
        <w:jc w:val="both"/>
        <w:rPr>
          <w:rFonts w:eastAsia="Times New Roman"/>
          <w:sz w:val="20"/>
          <w:lang w:val="es-ES_tradnl" w:eastAsia="en-US"/>
        </w:rPr>
      </w:pPr>
    </w:p>
    <w:p w:rsidR="00837AF9" w:rsidRPr="002C067E" w:rsidRDefault="00837AF9" w:rsidP="004A4009">
      <w:pPr>
        <w:jc w:val="both"/>
        <w:rPr>
          <w:rFonts w:eastAsia="Times New Roman"/>
          <w:sz w:val="20"/>
          <w:lang w:val="es-ES_tradnl" w:eastAsia="en-US"/>
        </w:rPr>
      </w:pPr>
      <w:r w:rsidRPr="002C067E">
        <w:rPr>
          <w:rFonts w:eastAsia="Times New Roman"/>
          <w:sz w:val="20"/>
          <w:lang w:val="es-ES_tradnl" w:eastAsia="en-US"/>
        </w:rPr>
        <w:t xml:space="preserve">Partiendo de esas estadísticas, y teniendo en cuenta, además, la expansión ininterrumpida de los demás sistemas mundiales de P.I. de la OMPI y el actual clima de tímida recuperación, hemos calculado que los ingresos de la </w:t>
      </w:r>
      <w:r w:rsidRPr="002C067E">
        <w:rPr>
          <w:rFonts w:eastAsia="Times New Roman"/>
          <w:sz w:val="20"/>
          <w:lang w:val="es-ES_tradnl" w:eastAsia="fr-FR"/>
        </w:rPr>
        <w:t>Organización</w:t>
      </w:r>
      <w:r w:rsidRPr="002C067E">
        <w:rPr>
          <w:rFonts w:eastAsia="Times New Roman"/>
          <w:sz w:val="20"/>
          <w:lang w:val="es-ES_tradnl" w:eastAsia="en-US"/>
        </w:rPr>
        <w:t xml:space="preserve"> aumentarán en u</w:t>
      </w:r>
      <w:r w:rsidR="002C067E" w:rsidRPr="002C067E">
        <w:rPr>
          <w:rFonts w:eastAsia="Times New Roman"/>
          <w:sz w:val="20"/>
          <w:lang w:val="es-ES_tradnl" w:eastAsia="en-US"/>
        </w:rPr>
        <w:t>n 4</w:t>
      </w:r>
      <w:r w:rsidRPr="002C067E">
        <w:rPr>
          <w:rFonts w:eastAsia="Times New Roman"/>
          <w:sz w:val="20"/>
          <w:lang w:val="es-ES_tradnl" w:eastAsia="en-US"/>
        </w:rPr>
        <w:t>,5% en el próximo bienio.  Huelga decir que ese aumento de los ingresos no entraña aumento alguno de las contribuciones de los Estados miembros, cuyo importe seguirá siendo el mismo, lo que representa un crecimiento nominal cero de dichas contribuciones.</w:t>
      </w:r>
    </w:p>
    <w:p w:rsidR="00837AF9" w:rsidRPr="002C067E" w:rsidRDefault="00837AF9" w:rsidP="004A4009">
      <w:pPr>
        <w:jc w:val="both"/>
        <w:rPr>
          <w:rFonts w:eastAsia="Times New Roman"/>
          <w:sz w:val="20"/>
          <w:lang w:val="es-ES_tradnl" w:eastAsia="en-US"/>
        </w:rPr>
      </w:pPr>
    </w:p>
    <w:p w:rsidR="00837AF9" w:rsidRPr="002C067E" w:rsidRDefault="00837AF9" w:rsidP="004A4009">
      <w:pPr>
        <w:jc w:val="both"/>
        <w:rPr>
          <w:rFonts w:eastAsia="Times New Roman"/>
          <w:sz w:val="20"/>
          <w:lang w:val="es-ES_tradnl" w:eastAsia="en-US"/>
        </w:rPr>
      </w:pPr>
      <w:r w:rsidRPr="002C067E">
        <w:rPr>
          <w:rFonts w:eastAsia="Times New Roman"/>
          <w:sz w:val="20"/>
          <w:lang w:val="es-ES_tradnl" w:eastAsia="en-US"/>
        </w:rPr>
        <w:t xml:space="preserve">Aun cuando aumenten los ingresos, existen grandes presiones de costos que entrañarán un nivel más elevado de gastos.  Entre dichos costos están los costos de personal, que se prevé aumenten en un 8,8%.  Uno de los principales componentes del aumento de los costos de personal es el importe previsto para pasivos a largo plazo conforme a las Normas Internacionales de Contabilidad del Sector Público (IPSAS), en particular, el seguro de salud </w:t>
      </w:r>
      <w:r w:rsidR="00F45EDF">
        <w:rPr>
          <w:rFonts w:eastAsia="Times New Roman"/>
          <w:sz w:val="20"/>
          <w:lang w:val="es-ES_tradnl" w:eastAsia="en-US"/>
        </w:rPr>
        <w:t>tras la separación</w:t>
      </w:r>
      <w:r w:rsidRPr="002C067E">
        <w:rPr>
          <w:rFonts w:eastAsia="Times New Roman"/>
          <w:sz w:val="20"/>
          <w:lang w:val="es-ES_tradnl" w:eastAsia="en-US"/>
        </w:rPr>
        <w:t xml:space="preserve"> </w:t>
      </w:r>
      <w:r w:rsidR="00F45EDF">
        <w:rPr>
          <w:rFonts w:eastAsia="Times New Roman"/>
          <w:sz w:val="20"/>
          <w:lang w:val="es-ES_tradnl" w:eastAsia="en-US"/>
        </w:rPr>
        <w:t>d</w:t>
      </w:r>
      <w:r w:rsidRPr="002C067E">
        <w:rPr>
          <w:rFonts w:eastAsia="Times New Roman"/>
          <w:sz w:val="20"/>
          <w:lang w:val="es-ES_tradnl" w:eastAsia="en-US"/>
        </w:rPr>
        <w:t>el servicio.  Además, el costo unitario de traducción en el servicio del PCT ha aumentado, dado que la demanda de traducción en idiomas asiáticos ha pasado a representar un porcentaje más elevado de la demanda global.</w:t>
      </w:r>
    </w:p>
    <w:p w:rsidR="00837AF9" w:rsidRPr="002C067E" w:rsidRDefault="00837AF9" w:rsidP="004A4009">
      <w:pPr>
        <w:jc w:val="both"/>
        <w:rPr>
          <w:rFonts w:eastAsia="Times New Roman"/>
          <w:sz w:val="20"/>
          <w:lang w:val="es-ES_tradnl" w:eastAsia="en-US"/>
        </w:rPr>
      </w:pPr>
    </w:p>
    <w:p w:rsidR="00837AF9" w:rsidRPr="002C067E" w:rsidRDefault="00837AF9" w:rsidP="004A4009">
      <w:pPr>
        <w:jc w:val="both"/>
        <w:rPr>
          <w:rFonts w:eastAsia="Times New Roman"/>
          <w:sz w:val="20"/>
          <w:lang w:val="es-ES_tradnl" w:eastAsia="en-US"/>
        </w:rPr>
      </w:pPr>
      <w:r w:rsidRPr="002C067E">
        <w:rPr>
          <w:rFonts w:eastAsia="Times New Roman"/>
          <w:sz w:val="20"/>
          <w:lang w:val="es-ES_tradnl" w:eastAsia="en-US"/>
        </w:rPr>
        <w:t xml:space="preserve">La </w:t>
      </w:r>
      <w:r w:rsidRPr="002C067E">
        <w:rPr>
          <w:rFonts w:eastAsia="Times New Roman"/>
          <w:sz w:val="20"/>
          <w:lang w:val="es-ES_tradnl" w:eastAsia="fr-FR"/>
        </w:rPr>
        <w:t>Organización</w:t>
      </w:r>
      <w:r w:rsidRPr="002C067E">
        <w:rPr>
          <w:rFonts w:eastAsia="Times New Roman"/>
          <w:sz w:val="20"/>
          <w:lang w:val="es-ES_tradnl" w:eastAsia="en-US"/>
        </w:rPr>
        <w:t xml:space="preserve"> depende hoy de las tecnologías de la información y la comunicación (TIC) para los servicios que presta en el marco de sus sistemas mundiales de P.I. y cada vez más en otros ámbitos como la enseñanza a distancia, los cursos de promoción y sensibilización que se imparten mediante seminarios en línea y el mantenimiento de los foros electrónicos para los Estados miembros creados por varios comités de la OMPI.  Otro imperativo en materia de costos es la inversión en TIC para la mejora de la prestación de servicios (por ejemplo, el sistema de presentación electrónica de solicitudes PCT) y para la asistencia a los países en desarrollo en la modernización de sus actividades (sistema informático para la automatización de la propiedad industrial (IPAS), y WIPOCOS, que es el sistema de tecnologías de la información de la OMPI para la gestión colectiva de obras), así como para garantizar la continuidad de las actividades, y para el plan de recuperación en casos de desastre y de seguridad en materia de tecnologías de la información.</w:t>
      </w:r>
    </w:p>
    <w:p w:rsidR="00837AF9" w:rsidRPr="002C067E" w:rsidRDefault="00837AF9" w:rsidP="004A4009">
      <w:pPr>
        <w:jc w:val="both"/>
        <w:rPr>
          <w:rFonts w:eastAsia="Times New Roman"/>
          <w:sz w:val="20"/>
          <w:lang w:val="es-ES_tradnl" w:eastAsia="en-US"/>
        </w:rPr>
      </w:pPr>
    </w:p>
    <w:p w:rsidR="00837AF9" w:rsidRPr="002C067E" w:rsidRDefault="00837AF9" w:rsidP="004A4009">
      <w:pPr>
        <w:jc w:val="both"/>
        <w:rPr>
          <w:rFonts w:eastAsia="Times New Roman"/>
          <w:sz w:val="20"/>
          <w:lang w:val="es-ES_tradnl" w:eastAsia="en-US"/>
        </w:rPr>
      </w:pPr>
      <w:r w:rsidRPr="002C067E">
        <w:rPr>
          <w:rFonts w:eastAsia="Times New Roman"/>
          <w:sz w:val="20"/>
          <w:lang w:val="es-ES_tradnl" w:eastAsia="en-US"/>
        </w:rPr>
        <w:t xml:space="preserve">Esos imperativos en materia de costos han puesto nuestro nivel previsto de gastos prácticamente al mismo nivel del importe de ingresos.  En términos generales, en la propuesta de presupuesto se prevé sólo un superávit muy pequeño (2.800.000 francos suizos).  En dicha propuesta no se prevén nuevos puestos de trabajo y se mantiene el mismo número de empleados en nómina.  A ese respecto, cabe señalar que, a pesar de que la demanda ha aumentado, gracias a la mejora de la productividad, la </w:t>
      </w:r>
      <w:r w:rsidRPr="002C067E">
        <w:rPr>
          <w:rFonts w:eastAsia="Times New Roman"/>
          <w:sz w:val="20"/>
          <w:lang w:val="es-ES_tradnl" w:eastAsia="fr-FR"/>
        </w:rPr>
        <w:t>Organización</w:t>
      </w:r>
      <w:r w:rsidRPr="002C067E">
        <w:rPr>
          <w:rFonts w:eastAsia="Times New Roman"/>
          <w:sz w:val="20"/>
          <w:lang w:val="es-ES_tradnl" w:eastAsia="en-US"/>
        </w:rPr>
        <w:t xml:space="preserve"> funciona hoy con un número de empleados en nómina menor que el de 2008.</w:t>
      </w:r>
    </w:p>
    <w:p w:rsidR="00837AF9" w:rsidRPr="002C067E" w:rsidRDefault="00837AF9" w:rsidP="004A4009">
      <w:pPr>
        <w:jc w:val="both"/>
        <w:rPr>
          <w:rFonts w:eastAsia="Times New Roman"/>
          <w:sz w:val="20"/>
          <w:lang w:val="es-ES_tradnl" w:eastAsia="en-US"/>
        </w:rPr>
      </w:pPr>
    </w:p>
    <w:p w:rsidR="00837AF9" w:rsidRPr="002C067E" w:rsidRDefault="00837AF9" w:rsidP="004A4009">
      <w:pPr>
        <w:jc w:val="both"/>
        <w:rPr>
          <w:rFonts w:eastAsia="Times New Roman"/>
          <w:sz w:val="20"/>
          <w:lang w:val="es-ES_tradnl" w:eastAsia="en-US"/>
        </w:rPr>
      </w:pPr>
      <w:r w:rsidRPr="002C067E">
        <w:rPr>
          <w:rFonts w:eastAsia="Times New Roman"/>
          <w:sz w:val="20"/>
          <w:lang w:val="es-ES_tradnl" w:eastAsia="en-US"/>
        </w:rPr>
        <w:t>El aumento continuo de la demanda en el ámbito de la P.I. refleja la importancia, e incluso la naturaleza fundamental, de los activos inmateriales y el capital intelectual en la economía contemporánea.  Esa importancia ha generado, a su vez, un entorno gubernamental y económico más complejo para la P.I.  A este respecto existen programas gubernamentales en los planos nacional, bilateral, plurilateral, regional y multilateral.  El ecosistema de la innovación (o cómo concebimos la innovación) es hoy más complejo y la naturaleza del mercado de obras creativas se ha transformado radicalmente y sigue siendo sumamente dinámica.</w:t>
      </w:r>
    </w:p>
    <w:p w:rsidR="00837AF9" w:rsidRPr="002C067E" w:rsidRDefault="00837AF9" w:rsidP="004A4009">
      <w:pPr>
        <w:jc w:val="both"/>
        <w:rPr>
          <w:rFonts w:eastAsia="Times New Roman"/>
          <w:sz w:val="20"/>
          <w:lang w:val="es-ES_tradnl" w:eastAsia="en-US"/>
        </w:rPr>
      </w:pPr>
    </w:p>
    <w:p w:rsidR="00837AF9" w:rsidRPr="002C067E" w:rsidRDefault="00837AF9" w:rsidP="004A4009">
      <w:pPr>
        <w:jc w:val="both"/>
        <w:rPr>
          <w:rFonts w:eastAsia="Times New Roman"/>
          <w:sz w:val="20"/>
          <w:lang w:val="es-ES_tradnl" w:eastAsia="en-US"/>
        </w:rPr>
      </w:pPr>
      <w:r w:rsidRPr="002C067E">
        <w:rPr>
          <w:rFonts w:eastAsia="Times New Roman"/>
          <w:sz w:val="20"/>
          <w:lang w:val="es-ES_tradnl" w:eastAsia="en-US"/>
        </w:rPr>
        <w:lastRenderedPageBreak/>
        <w:t xml:space="preserve">Esta complejidad creciente pone de relieve cuán importante es la trascendencia de la labor de la </w:t>
      </w:r>
      <w:r w:rsidRPr="002C067E">
        <w:rPr>
          <w:rFonts w:eastAsia="Times New Roman"/>
          <w:sz w:val="20"/>
          <w:lang w:val="es-ES_tradnl" w:eastAsia="fr-FR"/>
        </w:rPr>
        <w:t>Organización</w:t>
      </w:r>
      <w:r w:rsidRPr="002C067E">
        <w:rPr>
          <w:rFonts w:eastAsia="Times New Roman"/>
          <w:sz w:val="20"/>
          <w:lang w:val="es-ES_tradnl" w:eastAsia="en-US"/>
        </w:rPr>
        <w:t xml:space="preserve">.  Es obvio que la </w:t>
      </w:r>
      <w:r w:rsidRPr="002C067E">
        <w:rPr>
          <w:rFonts w:eastAsia="Times New Roman"/>
          <w:sz w:val="20"/>
          <w:lang w:val="es-ES_tradnl" w:eastAsia="fr-FR"/>
        </w:rPr>
        <w:t xml:space="preserve">OMPI </w:t>
      </w:r>
      <w:r w:rsidRPr="002C067E">
        <w:rPr>
          <w:rFonts w:eastAsia="Times New Roman"/>
          <w:sz w:val="20"/>
          <w:lang w:val="es-ES_tradnl" w:eastAsia="en-US"/>
        </w:rPr>
        <w:t xml:space="preserve">no puede hacer frente a todas las exigencias de un mundo tan complejo como el nuestro.  Tenemos la gran suerte de ser una </w:t>
      </w:r>
      <w:r w:rsidRPr="002C067E">
        <w:rPr>
          <w:rFonts w:eastAsia="Times New Roman"/>
          <w:sz w:val="20"/>
          <w:lang w:val="es-ES_tradnl" w:eastAsia="fr-FR"/>
        </w:rPr>
        <w:t>Organización</w:t>
      </w:r>
      <w:r w:rsidRPr="002C067E">
        <w:rPr>
          <w:rFonts w:eastAsia="Times New Roman"/>
          <w:sz w:val="20"/>
          <w:lang w:val="es-ES_tradnl" w:eastAsia="en-US"/>
        </w:rPr>
        <w:t xml:space="preserve"> bien dotada de recursos, pero el hecho de poder autofinanciar gran parte de nuestras actividades no quiere decir que la OMPI sea rica.  Son muchas y variadas las exigencias a las que tenemos que responder con los recursos de que disponemos.</w:t>
      </w:r>
    </w:p>
    <w:p w:rsidR="00837AF9" w:rsidRPr="002C067E" w:rsidRDefault="00837AF9" w:rsidP="004A4009">
      <w:pPr>
        <w:jc w:val="both"/>
        <w:rPr>
          <w:rFonts w:eastAsia="Times New Roman"/>
          <w:sz w:val="20"/>
          <w:lang w:val="es-ES_tradnl" w:eastAsia="en-US"/>
        </w:rPr>
      </w:pPr>
    </w:p>
    <w:p w:rsidR="00837AF9" w:rsidRPr="002C067E" w:rsidRDefault="00837AF9" w:rsidP="004A4009">
      <w:pPr>
        <w:jc w:val="both"/>
        <w:rPr>
          <w:rFonts w:eastAsia="Times New Roman"/>
          <w:sz w:val="20"/>
          <w:lang w:val="es-ES_tradnl" w:eastAsia="en-US"/>
        </w:rPr>
      </w:pPr>
      <w:r w:rsidRPr="002C067E">
        <w:rPr>
          <w:rFonts w:eastAsia="Times New Roman"/>
          <w:sz w:val="20"/>
          <w:lang w:val="es-ES_tradnl" w:eastAsia="en-US"/>
        </w:rPr>
        <w:t xml:space="preserve">A ese respecto, y a los fines de que nuestras actividades tengan la mayor repercusión posible, consideramos más importante que nunca que los programas y actividades de la </w:t>
      </w:r>
      <w:r w:rsidRPr="002C067E">
        <w:rPr>
          <w:rFonts w:eastAsia="Times New Roman"/>
          <w:sz w:val="20"/>
          <w:lang w:val="es-ES_tradnl" w:eastAsia="fr-FR"/>
        </w:rPr>
        <w:t>Organización</w:t>
      </w:r>
      <w:r w:rsidRPr="002C067E">
        <w:rPr>
          <w:rFonts w:eastAsia="Times New Roman"/>
          <w:sz w:val="20"/>
          <w:lang w:val="es-ES_tradnl" w:eastAsia="en-US"/>
        </w:rPr>
        <w:t xml:space="preserve"> estén orientados hacia el cumplimiento de sus metas estratégicas, en particular, la relativas a los sistemas mundiales de P.I., el marco jurídico mundial, la infraestructura mundial, la fuente de referencia en el mundo, y el desarrollo.  Se trata de esferas en las que la </w:t>
      </w:r>
      <w:r w:rsidRPr="002C067E">
        <w:rPr>
          <w:rFonts w:eastAsia="Times New Roman"/>
          <w:sz w:val="20"/>
          <w:lang w:val="es-ES_tradnl" w:eastAsia="fr-FR"/>
        </w:rPr>
        <w:t>Organización</w:t>
      </w:r>
      <w:r w:rsidRPr="002C067E">
        <w:rPr>
          <w:rFonts w:eastAsia="Times New Roman"/>
          <w:sz w:val="20"/>
          <w:lang w:val="es-ES_tradnl" w:eastAsia="en-US"/>
        </w:rPr>
        <w:t xml:space="preserve"> tiene una ventaja comparativa y en las que puede aportar una contribución distintiva en nuestro complejo mundo, en el que tantos actores intervienen.  El marco de resultados refleja ese empeño de afinar la orientación de las actividades y tener mayor repercusión.  El número de resultados previstos ha disminuido, pasando d</w:t>
      </w:r>
      <w:r w:rsidR="002C067E" w:rsidRPr="002C067E">
        <w:rPr>
          <w:rFonts w:eastAsia="Times New Roman"/>
          <w:sz w:val="20"/>
          <w:lang w:val="es-ES_tradnl" w:eastAsia="en-US"/>
        </w:rPr>
        <w:t>e 6</w:t>
      </w:r>
      <w:r w:rsidRPr="002C067E">
        <w:rPr>
          <w:rFonts w:eastAsia="Times New Roman"/>
          <w:sz w:val="20"/>
          <w:lang w:val="es-ES_tradnl" w:eastAsia="en-US"/>
        </w:rPr>
        <w:t xml:space="preserve">0 </w:t>
      </w:r>
      <w:r w:rsidR="002C067E" w:rsidRPr="002C067E">
        <w:rPr>
          <w:rFonts w:eastAsia="Times New Roman"/>
          <w:sz w:val="20"/>
          <w:lang w:val="es-ES_tradnl" w:eastAsia="en-US"/>
        </w:rPr>
        <w:t>a 3</w:t>
      </w:r>
      <w:r w:rsidR="007D5833">
        <w:rPr>
          <w:rFonts w:eastAsia="Times New Roman"/>
          <w:sz w:val="20"/>
          <w:lang w:val="es-ES_tradnl" w:eastAsia="en-US"/>
        </w:rPr>
        <w:t>8</w:t>
      </w:r>
      <w:r w:rsidRPr="002C067E">
        <w:rPr>
          <w:rFonts w:eastAsia="Times New Roman"/>
          <w:sz w:val="20"/>
          <w:lang w:val="es-ES_tradnl" w:eastAsia="en-US"/>
        </w:rPr>
        <w:t>.</w:t>
      </w:r>
    </w:p>
    <w:p w:rsidR="00837AF9" w:rsidRPr="002C067E" w:rsidRDefault="00837AF9" w:rsidP="004A4009">
      <w:pPr>
        <w:rPr>
          <w:sz w:val="20"/>
          <w:lang w:val="es-ES_tradnl"/>
        </w:rPr>
      </w:pPr>
    </w:p>
    <w:p w:rsidR="00837AF9" w:rsidRPr="002C067E" w:rsidRDefault="00837AF9" w:rsidP="004A4009">
      <w:pPr>
        <w:jc w:val="both"/>
        <w:rPr>
          <w:sz w:val="20"/>
          <w:lang w:val="es-ES_tradnl"/>
        </w:rPr>
      </w:pPr>
      <w:r w:rsidRPr="002C067E">
        <w:rPr>
          <w:sz w:val="20"/>
          <w:lang w:val="es-ES_tradnl"/>
        </w:rPr>
        <w:t xml:space="preserve">La Academia de la OMPI constituye un ejemplo específico de la prioridad que damos hoy a la orientación y la consolidación de las actividades.  Nos hemos esforzado por determinar con mayor precisión las ventajas comparativas que ofrece la Academia y por canalizar los recursos disponibles hacia actividades en las que se aprovechen esas ventajas.  En sintonía con esa nueva óptica, la Academia </w:t>
      </w:r>
      <w:r w:rsidR="009A71C5">
        <w:rPr>
          <w:sz w:val="20"/>
          <w:lang w:val="es-ES_tradnl"/>
        </w:rPr>
        <w:t>se</w:t>
      </w:r>
      <w:r w:rsidRPr="002C067E">
        <w:rPr>
          <w:sz w:val="20"/>
          <w:lang w:val="es-ES_tradnl"/>
        </w:rPr>
        <w:t xml:space="preserve">rá el centro especializado de la Organización en creación de capacidad de recursos humanos.  Como tal, </w:t>
      </w:r>
      <w:r w:rsidR="009A71C5">
        <w:rPr>
          <w:sz w:val="20"/>
          <w:lang w:val="es-ES_tradnl"/>
        </w:rPr>
        <w:t>la Academia</w:t>
      </w:r>
      <w:r w:rsidRPr="002C067E">
        <w:rPr>
          <w:sz w:val="20"/>
          <w:lang w:val="es-ES_tradnl"/>
        </w:rPr>
        <w:t xml:space="preserve"> colaborará estrechamente con las oficinas regionales y los programas especializados.  Otro ejemplo de la orientación y la consolidación de las actividades es la incorporación de </w:t>
      </w:r>
      <w:r w:rsidR="009A71C5">
        <w:rPr>
          <w:sz w:val="20"/>
          <w:lang w:val="es-ES_tradnl"/>
        </w:rPr>
        <w:t xml:space="preserve">la parte correspondiente a fortalecimiento de capacidades de </w:t>
      </w:r>
      <w:r w:rsidRPr="002C067E">
        <w:rPr>
          <w:sz w:val="20"/>
          <w:lang w:val="es-ES_tradnl"/>
        </w:rPr>
        <w:t>nuestro programa de pequeñas y medianas empresas (pymes) en las oficinas regionales</w:t>
      </w:r>
      <w:r w:rsidR="009A71C5">
        <w:rPr>
          <w:sz w:val="20"/>
          <w:lang w:val="es-ES_tradnl"/>
        </w:rPr>
        <w:t xml:space="preserve"> en la Sede</w:t>
      </w:r>
      <w:r w:rsidRPr="002C067E">
        <w:rPr>
          <w:sz w:val="20"/>
          <w:lang w:val="es-ES_tradnl"/>
        </w:rPr>
        <w:t>, en el sentido de que dichas oficinas contarán con un coordinador para las pymes y llevarán a cabo programas de actividades destinados a las pymes como parte de los servicios básicos que prestan.  Consideramos que con esa medida se evitará la duplicación de actividades y se garantizará una mayor coordinación y coherencia de nuestro programa general de creación de capacidad.</w:t>
      </w:r>
    </w:p>
    <w:p w:rsidR="00837AF9" w:rsidRPr="002C067E" w:rsidRDefault="00837AF9" w:rsidP="004A4009">
      <w:pPr>
        <w:jc w:val="both"/>
        <w:rPr>
          <w:sz w:val="20"/>
          <w:lang w:val="es-ES_tradnl"/>
        </w:rPr>
      </w:pPr>
    </w:p>
    <w:p w:rsidR="00837AF9" w:rsidRPr="002C067E" w:rsidRDefault="00837AF9" w:rsidP="004A4009">
      <w:pPr>
        <w:jc w:val="both"/>
        <w:rPr>
          <w:sz w:val="20"/>
          <w:lang w:val="es-ES_tradnl"/>
        </w:rPr>
      </w:pPr>
      <w:r w:rsidRPr="002C067E">
        <w:rPr>
          <w:sz w:val="20"/>
          <w:lang w:val="es-ES_tradnl"/>
        </w:rPr>
        <w:t>Debido a las presiones de costos y a los grandes cambios que se acusan en el mundo, hemos tenido que modificar nuestros métodos de trabajo.  A ese respecto, cabe citar tres ejemplos:</w:t>
      </w:r>
    </w:p>
    <w:p w:rsidR="00837AF9" w:rsidRPr="002C067E" w:rsidRDefault="00837AF9" w:rsidP="004A4009">
      <w:pPr>
        <w:jc w:val="both"/>
        <w:rPr>
          <w:sz w:val="20"/>
          <w:lang w:val="es-ES_tradnl"/>
        </w:rPr>
      </w:pPr>
    </w:p>
    <w:p w:rsidR="00837AF9" w:rsidRPr="002C067E" w:rsidRDefault="00837AF9" w:rsidP="004A4009">
      <w:pPr>
        <w:jc w:val="both"/>
        <w:rPr>
          <w:sz w:val="20"/>
          <w:lang w:val="es-ES_tradnl"/>
        </w:rPr>
      </w:pPr>
      <w:r w:rsidRPr="002C067E">
        <w:rPr>
          <w:sz w:val="20"/>
          <w:lang w:val="es-ES_tradnl"/>
        </w:rPr>
        <w:t xml:space="preserve">En primer lugar, la mayor importancia de la sostenibilidad de los productos y los servicios que ofrecemos.  Tenemos que velar por que dichos productos y servicios sean sostenibles, no sólo para la Organización sino para los beneficiarios de los mismos.  De ahí que, en última instancia, deban pasar a ser autónomos nuestros programas de centros de apoyo a la tecnología y la innovación (CATI), los sistemas IPAS y WIPOCOS, que de tanta popularidad gozan, así como los cursos de verano organizados conjuntamente con </w:t>
      </w:r>
      <w:r w:rsidR="009A71C5">
        <w:rPr>
          <w:sz w:val="20"/>
          <w:lang w:val="es-ES_tradnl"/>
        </w:rPr>
        <w:t>la Academia</w:t>
      </w:r>
      <w:r w:rsidRPr="002C067E">
        <w:rPr>
          <w:sz w:val="20"/>
          <w:lang w:val="es-ES_tradnl"/>
        </w:rPr>
        <w:t xml:space="preserve"> de la OMPI y las oficinas o instituciones nacionales.  Podrán así liberarse recursos que a su vez puedan utilizarse en otros países que todavía no se han beneficiado de esos programas (aun cuando la demanda en dichos países es elevada).</w:t>
      </w:r>
    </w:p>
    <w:p w:rsidR="00837AF9" w:rsidRPr="002C067E" w:rsidRDefault="00837AF9" w:rsidP="004A4009">
      <w:pPr>
        <w:jc w:val="both"/>
        <w:rPr>
          <w:sz w:val="20"/>
          <w:lang w:val="es-ES_tradnl"/>
        </w:rPr>
      </w:pPr>
    </w:p>
    <w:p w:rsidR="00837AF9" w:rsidRPr="002C067E" w:rsidRDefault="00837AF9" w:rsidP="004A4009">
      <w:pPr>
        <w:jc w:val="both"/>
        <w:rPr>
          <w:sz w:val="20"/>
          <w:lang w:val="es-ES_tradnl"/>
        </w:rPr>
      </w:pPr>
      <w:r w:rsidRPr="002C067E">
        <w:rPr>
          <w:sz w:val="20"/>
          <w:lang w:val="es-ES_tradnl"/>
        </w:rPr>
        <w:t>Otro ejemplo del cambio en nuestros métodos de trabajo es la externalización de servicios.  Utilizamos recursos externos, en lugar de internos, para la prestación de la mayor parte de nuestros servicios de traducción (tanto los servicios de traducción general como los servicios de traducción del PCT).  En la esfera de las TIC, cada vez procedemos más a realizar a nivel interno las actividades de I+D y de diseño y gestión de proyectos y a externalizar el desarrollo de programas informáticos.  Los costos de personal, la oportunidad que ofrecen los procedimientos de licitación mundiales y los rápidos cambios tecnológicos, con la consiguiente dificultad, cada vez mayor, de igualar a nivel interno los conocimientos especializados a los que se puede tener acceso a nivel externo, son los motores de ese cambio.  Nos mantenemos alertas en relación con las oportunidades que presenta la externalización, sin dejar de tener presente como es lógico, que el objetivo no es externalizar toda la Organización.</w:t>
      </w:r>
    </w:p>
    <w:p w:rsidR="00837AF9" w:rsidRPr="002C067E" w:rsidRDefault="00837AF9" w:rsidP="004A4009">
      <w:pPr>
        <w:jc w:val="both"/>
        <w:rPr>
          <w:sz w:val="20"/>
          <w:lang w:val="es-ES_tradnl"/>
        </w:rPr>
      </w:pPr>
    </w:p>
    <w:p w:rsidR="00837AF9" w:rsidRPr="002C067E" w:rsidRDefault="00837AF9" w:rsidP="004A4009">
      <w:pPr>
        <w:jc w:val="both"/>
        <w:rPr>
          <w:snapToGrid w:val="0"/>
          <w:sz w:val="20"/>
          <w:lang w:val="es-ES_tradnl"/>
        </w:rPr>
      </w:pPr>
      <w:r w:rsidRPr="002C067E">
        <w:rPr>
          <w:sz w:val="20"/>
          <w:lang w:val="es-ES_tradnl"/>
        </w:rPr>
        <w:t xml:space="preserve">El tercer ejemplo a ese respecto viene dado por las oficinas de la OMPI en el exterior.  Sobre ese tema se lleva hablando en la Organización tres años.  Hay mucha demanda de establecimiento de oficinas en el exterior y no tenemos bastante capacidad de respuesta.  Se han hecho valer muchas razones excelentes para abrir nuevas oficinas de la OMPI en el exterior, entre otras, que la Organización y sus servicios respondan más estrechamente a las necesidades de los Estados miembros, la expansión de los mercados de nuestros </w:t>
      </w:r>
      <w:r w:rsidRPr="002C067E">
        <w:rPr>
          <w:snapToGrid w:val="0"/>
          <w:sz w:val="20"/>
          <w:lang w:val="es-ES_tradnl"/>
        </w:rPr>
        <w:t xml:space="preserve">sistemas mundiales de P.I., la posibilidad de contar con una red de servicios que funcione 24 horas al día, la prestación de servicios de creación de capacidad sobre el terreno y hacer frente a los desafíos que suponen la continuidad de las actividades, la recuperación en caso de desastre, y la seguridad de las tecnologías de la información, así como la posibilidad de ofrecer el </w:t>
      </w:r>
      <w:r w:rsidRPr="002C067E">
        <w:rPr>
          <w:snapToGrid w:val="0"/>
          <w:sz w:val="20"/>
          <w:lang w:val="es-ES_tradnl"/>
        </w:rPr>
        <w:lastRenderedPageBreak/>
        <w:t xml:space="preserve">mismo nivel de eficacia en las actividades que se lleven a cabo en todas las partes del mundo.  Por otro lado, qué duda cabe que la Organización no puede tener tantas oficinas en el exterior como Estados miembros.  Antes bien, debe contar con una red limitada de oficinas en el exterior ubicadas estratégicamente.  Además, hay que tener presente que el establecimiento de oficinas en el exterior ha conllevado un </w:t>
      </w:r>
      <w:r w:rsidRPr="002C067E">
        <w:rPr>
          <w:i/>
          <w:snapToGrid w:val="0"/>
          <w:sz w:val="20"/>
          <w:lang w:val="es-ES_tradnl"/>
        </w:rPr>
        <w:t>cambio</w:t>
      </w:r>
      <w:r w:rsidRPr="002C067E">
        <w:rPr>
          <w:snapToGrid w:val="0"/>
          <w:sz w:val="20"/>
          <w:lang w:val="es-ES_tradnl"/>
        </w:rPr>
        <w:t xml:space="preserve"> en la prestación de los servicios y no la prestación de servicios </w:t>
      </w:r>
      <w:r w:rsidRPr="002C067E">
        <w:rPr>
          <w:i/>
          <w:snapToGrid w:val="0"/>
          <w:sz w:val="20"/>
          <w:lang w:val="es-ES_tradnl"/>
        </w:rPr>
        <w:t>nuevos</w:t>
      </w:r>
      <w:r w:rsidRPr="002C067E">
        <w:rPr>
          <w:snapToGrid w:val="0"/>
          <w:sz w:val="20"/>
          <w:lang w:val="es-ES_tradnl"/>
        </w:rPr>
        <w:t>.  De cara al bienio 2014/15 hemos propuesto establecer cinco nuevas oficinas al exterior, dos en África y una en China, una en la Federación de Rusia y una en los Estados Unidos de América.  Estaremos así prácticamente representados en todas las regiones.</w:t>
      </w:r>
    </w:p>
    <w:p w:rsidR="00837AF9" w:rsidRPr="002C067E" w:rsidRDefault="00837AF9" w:rsidP="004A4009">
      <w:pPr>
        <w:jc w:val="both"/>
        <w:rPr>
          <w:snapToGrid w:val="0"/>
          <w:sz w:val="20"/>
          <w:lang w:val="es-ES_tradnl"/>
        </w:rPr>
      </w:pPr>
    </w:p>
    <w:p w:rsidR="00837AF9" w:rsidRPr="002C067E" w:rsidRDefault="00837AF9" w:rsidP="004A4009">
      <w:pPr>
        <w:jc w:val="both"/>
        <w:rPr>
          <w:snapToGrid w:val="0"/>
          <w:sz w:val="20"/>
          <w:lang w:val="es-ES_tradnl"/>
        </w:rPr>
      </w:pPr>
      <w:r w:rsidRPr="002C067E">
        <w:rPr>
          <w:snapToGrid w:val="0"/>
          <w:sz w:val="20"/>
          <w:lang w:val="es-ES_tradnl"/>
        </w:rPr>
        <w:t>El cambio en el método de trabajo exige una cooperación mucho mayor en la Secretaría.  La externalización exige instaurar lazos de colaboración más estrechos entre el programa especializado de que se trate y los servicios administrativos, en particular, los de gestión de recursos humanos y compras.  Las oficinas en el exterior exigen responsabilidad ante más de una autoridad, por cuanto los funcionarios que trabajan en dichas oficinas tienen que informar de sus actividades a las autoridades de dichas oficinas y, en cuanto a la labor de fondo, a los administradores de los programas especializados de cuyos servicios se encargan.  Importantísimos en ese sentido son los progresos realizados en el marco del Programa de Alineación Estratégica, en particular, en relación con el valor “mancomunar esfuerzos”.</w:t>
      </w:r>
    </w:p>
    <w:p w:rsidR="00837AF9" w:rsidRPr="002C067E" w:rsidRDefault="00837AF9" w:rsidP="004A4009">
      <w:pPr>
        <w:jc w:val="both"/>
        <w:rPr>
          <w:snapToGrid w:val="0"/>
          <w:sz w:val="20"/>
          <w:lang w:val="es-ES_tradnl"/>
        </w:rPr>
      </w:pPr>
    </w:p>
    <w:p w:rsidR="00837AF9" w:rsidRPr="002C067E" w:rsidRDefault="00837AF9" w:rsidP="004A4009">
      <w:pPr>
        <w:jc w:val="both"/>
        <w:rPr>
          <w:snapToGrid w:val="0"/>
          <w:sz w:val="20"/>
          <w:lang w:val="es-ES_tradnl"/>
        </w:rPr>
      </w:pPr>
      <w:r w:rsidRPr="002C067E">
        <w:rPr>
          <w:snapToGrid w:val="0"/>
          <w:sz w:val="20"/>
          <w:lang w:val="es-ES_tradnl"/>
        </w:rPr>
        <w:t>En lo que respecta a la ejecución de los programas, cabe resaltar varias características principales en la propuesta de presupuesto por programas, a saber:</w:t>
      </w:r>
    </w:p>
    <w:p w:rsidR="00837AF9" w:rsidRPr="002C067E" w:rsidRDefault="00837AF9" w:rsidP="004A4009">
      <w:pPr>
        <w:jc w:val="both"/>
        <w:rPr>
          <w:snapToGrid w:val="0"/>
          <w:sz w:val="20"/>
          <w:lang w:val="es-ES_tradnl"/>
        </w:rPr>
      </w:pPr>
    </w:p>
    <w:p w:rsidR="00837AF9" w:rsidRPr="002C067E" w:rsidRDefault="00837AF9" w:rsidP="00E17471">
      <w:pPr>
        <w:pStyle w:val="ListParagraph"/>
        <w:numPr>
          <w:ilvl w:val="0"/>
          <w:numId w:val="6"/>
        </w:numPr>
        <w:spacing w:after="0" w:line="240" w:lineRule="auto"/>
        <w:ind w:left="567" w:firstLine="0"/>
        <w:jc w:val="both"/>
        <w:rPr>
          <w:rFonts w:ascii="Arial" w:hAnsi="Arial" w:cs="Arial"/>
          <w:sz w:val="20"/>
          <w:lang w:val="es-ES_tradnl"/>
        </w:rPr>
      </w:pPr>
      <w:r w:rsidRPr="002C067E">
        <w:rPr>
          <w:rFonts w:ascii="Arial" w:hAnsi="Arial" w:cs="Arial"/>
          <w:sz w:val="20"/>
          <w:lang w:val="es-ES_tradnl"/>
        </w:rPr>
        <w:t>La ampliación del servicio de presentación electrónica de solicitudes PCT</w:t>
      </w:r>
      <w:r w:rsidRPr="002C067E">
        <w:rPr>
          <w:rFonts w:ascii="Arial" w:hAnsi="Arial" w:cs="Arial"/>
          <w:snapToGrid w:val="0"/>
          <w:sz w:val="20"/>
          <w:lang w:val="es-ES_tradnl"/>
        </w:rPr>
        <w:t xml:space="preserve"> para dar cabida a una gama más amplia de funciones y grupos de usuarios, lo que redundará en una mayor productividad para la OMPI, las oficinas de P.I. y los solicitantes de patentes, y en un nivel más alto de calidad en la prestación de servicios.</w:t>
      </w:r>
    </w:p>
    <w:p w:rsidR="00837AF9" w:rsidRPr="002C067E" w:rsidRDefault="00837AF9" w:rsidP="004A4009">
      <w:pPr>
        <w:pStyle w:val="ListParagraph"/>
        <w:spacing w:after="0" w:line="240" w:lineRule="auto"/>
        <w:ind w:left="567"/>
        <w:jc w:val="both"/>
        <w:rPr>
          <w:rFonts w:ascii="Arial" w:hAnsi="Arial" w:cs="Arial"/>
          <w:sz w:val="20"/>
          <w:lang w:val="es-ES_tradnl"/>
        </w:rPr>
      </w:pPr>
    </w:p>
    <w:p w:rsidR="00837AF9" w:rsidRPr="002C067E" w:rsidRDefault="00837AF9" w:rsidP="00E17471">
      <w:pPr>
        <w:pStyle w:val="ListParagraph"/>
        <w:numPr>
          <w:ilvl w:val="0"/>
          <w:numId w:val="6"/>
        </w:numPr>
        <w:spacing w:after="0" w:line="240" w:lineRule="auto"/>
        <w:ind w:left="567" w:firstLine="0"/>
        <w:jc w:val="both"/>
        <w:rPr>
          <w:rFonts w:ascii="Arial" w:hAnsi="Arial" w:cs="Arial"/>
          <w:sz w:val="20"/>
          <w:lang w:val="es-ES_tradnl"/>
        </w:rPr>
      </w:pPr>
      <w:r w:rsidRPr="002C067E">
        <w:rPr>
          <w:rFonts w:ascii="Arial" w:hAnsi="Arial" w:cs="Arial"/>
          <w:snapToGrid w:val="0"/>
          <w:sz w:val="20"/>
          <w:lang w:val="es-ES_tradnl"/>
        </w:rPr>
        <w:t>La expansión prevista de la cobertura geográfica del sistema de Madrid, al que se prevé se adhieran varios países de América Latina y países miembros de la Asociación de Naciones del Asia Sudoriental (ASEAN), y del sistema de La Haya, acerca del cual han dado indicios positivos de intención de adherirse China, los Estados Unidos de América, la Federación de Rusia, el Japón, la República de Corea y los países de la ASEAN.</w:t>
      </w:r>
    </w:p>
    <w:p w:rsidR="00837AF9" w:rsidRPr="002C067E" w:rsidRDefault="00837AF9" w:rsidP="004A4009">
      <w:pPr>
        <w:pStyle w:val="ListParagraph"/>
        <w:spacing w:after="0" w:line="240" w:lineRule="auto"/>
        <w:ind w:left="567"/>
        <w:jc w:val="both"/>
        <w:rPr>
          <w:rFonts w:ascii="Arial" w:hAnsi="Arial" w:cs="Arial"/>
          <w:sz w:val="20"/>
          <w:lang w:val="es-ES_tradnl"/>
        </w:rPr>
      </w:pPr>
    </w:p>
    <w:p w:rsidR="00837AF9" w:rsidRPr="002C067E" w:rsidRDefault="00837AF9" w:rsidP="00E17471">
      <w:pPr>
        <w:pStyle w:val="ListParagraph"/>
        <w:numPr>
          <w:ilvl w:val="0"/>
          <w:numId w:val="6"/>
        </w:numPr>
        <w:spacing w:after="0" w:line="240" w:lineRule="auto"/>
        <w:ind w:left="567" w:firstLine="0"/>
        <w:jc w:val="both"/>
        <w:rPr>
          <w:rFonts w:ascii="Arial" w:hAnsi="Arial" w:cs="Arial"/>
          <w:sz w:val="20"/>
          <w:lang w:val="es-ES_tradnl"/>
        </w:rPr>
      </w:pPr>
      <w:r w:rsidRPr="002C067E">
        <w:rPr>
          <w:rFonts w:ascii="Arial" w:hAnsi="Arial" w:cs="Arial"/>
          <w:sz w:val="20"/>
          <w:lang w:val="es-ES_tradnl"/>
        </w:rPr>
        <w:t>El estado avanzado y la positiva finalización de varios proyectos normativos, en particular, en la esfera de la radiodifusión, los trámites relativos al Derecho de los diseños industriales, los conocimientos tradicionales, las expresiones culturales tradicionales y la propiedad intelectual en relación con los recursos genéticos, y la revisión del Arreglo de Lisboa relativo a la Protección de las Denominaciones de Origen y su Registro Internacional.</w:t>
      </w:r>
    </w:p>
    <w:p w:rsidR="00837AF9" w:rsidRPr="002C067E" w:rsidRDefault="00837AF9" w:rsidP="004A4009">
      <w:pPr>
        <w:pStyle w:val="ListParagraph"/>
        <w:spacing w:after="0" w:line="240" w:lineRule="auto"/>
        <w:ind w:left="567"/>
        <w:jc w:val="both"/>
        <w:rPr>
          <w:rFonts w:ascii="Arial" w:hAnsi="Arial" w:cs="Arial"/>
          <w:sz w:val="20"/>
          <w:lang w:val="es-ES_tradnl"/>
        </w:rPr>
      </w:pPr>
    </w:p>
    <w:p w:rsidR="00837AF9" w:rsidRPr="002C067E" w:rsidRDefault="00837AF9" w:rsidP="00E17471">
      <w:pPr>
        <w:pStyle w:val="ListParagraph"/>
        <w:numPr>
          <w:ilvl w:val="0"/>
          <w:numId w:val="6"/>
        </w:numPr>
        <w:spacing w:after="0" w:line="240" w:lineRule="auto"/>
        <w:ind w:left="567" w:firstLine="0"/>
        <w:jc w:val="both"/>
        <w:rPr>
          <w:rFonts w:ascii="Arial" w:hAnsi="Arial" w:cs="Arial"/>
          <w:sz w:val="20"/>
          <w:lang w:val="es-ES_tradnl"/>
        </w:rPr>
      </w:pPr>
      <w:r w:rsidRPr="002C067E">
        <w:rPr>
          <w:rFonts w:ascii="Arial" w:hAnsi="Arial" w:cs="Arial"/>
          <w:sz w:val="20"/>
          <w:lang w:val="es-ES_tradnl"/>
        </w:rPr>
        <w:t xml:space="preserve">Una sólida base para proseguir la labor de la plataforma de sectores interesados, creada en el marco del Comité Permanente de Derecho de Autor y Derechos Conexos (SCCR) para aumentar la disponibilidad práctica, en formato accesible, de obras ya publicadas, </w:t>
      </w:r>
      <w:r w:rsidR="009A71C5">
        <w:rPr>
          <w:rFonts w:ascii="Arial" w:hAnsi="Arial" w:cs="Arial"/>
          <w:sz w:val="20"/>
          <w:lang w:val="es-ES_tradnl"/>
        </w:rPr>
        <w:t xml:space="preserve">lo que constituye un </w:t>
      </w:r>
      <w:r w:rsidRPr="002C067E">
        <w:rPr>
          <w:rFonts w:ascii="Arial" w:hAnsi="Arial" w:cs="Arial"/>
          <w:sz w:val="20"/>
          <w:lang w:val="es-ES_tradnl"/>
        </w:rPr>
        <w:t xml:space="preserve">proyecto complementario al </w:t>
      </w:r>
      <w:r w:rsidR="009A71C5" w:rsidRPr="002C067E">
        <w:rPr>
          <w:rFonts w:ascii="Arial" w:hAnsi="Arial" w:cs="Arial"/>
          <w:sz w:val="20"/>
          <w:lang w:val="es-ES_tradnl"/>
        </w:rPr>
        <w:t xml:space="preserve">Tratado </w:t>
      </w:r>
      <w:r w:rsidRPr="002C067E">
        <w:rPr>
          <w:rFonts w:ascii="Arial" w:hAnsi="Arial" w:cs="Arial"/>
          <w:sz w:val="20"/>
          <w:lang w:val="es-ES_tradnl"/>
        </w:rPr>
        <w:t xml:space="preserve">de Marrakech, </w:t>
      </w:r>
      <w:r w:rsidR="009A71C5">
        <w:rPr>
          <w:rFonts w:ascii="Arial" w:hAnsi="Arial" w:cs="Arial"/>
          <w:sz w:val="20"/>
          <w:lang w:val="es-ES_tradnl"/>
        </w:rPr>
        <w:t>adoptado en junio de 2013</w:t>
      </w:r>
      <w:r w:rsidRPr="002C067E">
        <w:rPr>
          <w:rFonts w:ascii="Arial" w:hAnsi="Arial" w:cs="Arial"/>
          <w:sz w:val="20"/>
          <w:lang w:val="es-ES_tradnl"/>
        </w:rPr>
        <w:t>.</w:t>
      </w:r>
    </w:p>
    <w:p w:rsidR="00837AF9" w:rsidRPr="002C067E" w:rsidRDefault="00837AF9" w:rsidP="004A4009">
      <w:pPr>
        <w:pStyle w:val="ListParagraph"/>
        <w:spacing w:after="0" w:line="240" w:lineRule="auto"/>
        <w:ind w:left="567"/>
        <w:jc w:val="both"/>
        <w:rPr>
          <w:rFonts w:ascii="Arial" w:hAnsi="Arial" w:cs="Arial"/>
          <w:sz w:val="20"/>
          <w:lang w:val="es-ES_tradnl"/>
        </w:rPr>
      </w:pPr>
    </w:p>
    <w:p w:rsidR="00837AF9" w:rsidRPr="002C067E" w:rsidRDefault="00837AF9" w:rsidP="00E17471">
      <w:pPr>
        <w:pStyle w:val="ListParagraph"/>
        <w:numPr>
          <w:ilvl w:val="0"/>
          <w:numId w:val="6"/>
        </w:numPr>
        <w:spacing w:after="0" w:line="240" w:lineRule="auto"/>
        <w:ind w:left="567" w:firstLine="0"/>
        <w:jc w:val="both"/>
        <w:rPr>
          <w:rFonts w:ascii="Arial" w:hAnsi="Arial" w:cs="Arial"/>
          <w:sz w:val="20"/>
          <w:lang w:val="es-ES_tradnl"/>
        </w:rPr>
      </w:pPr>
      <w:r w:rsidRPr="002C067E">
        <w:rPr>
          <w:rFonts w:ascii="Arial" w:hAnsi="Arial" w:cs="Arial"/>
          <w:sz w:val="20"/>
          <w:lang w:val="es-ES_tradnl"/>
        </w:rPr>
        <w:t>Realizar progresos muy significativos en varios proyectos en la esfera de la infraestructura mundial, entre otros, el aumento del apoyo y la utilización de plataformas mundiales como el servicio de acceso digital a los documentos de prioridad y a la plataforma WIPO CASE (acceso centralizado a los resultados de búsquedas y exámenes);  la mejora de las funciones que se ofrecen como parte de los sistemas IPAS y WIPOCOS, y un mayor número de países que se benefician de estos últimos;  una ampliación del alcance y la funcionalidad de la base de datos PATENTSCOPE y de la base mundial de datos sobre marcas así como el inicio de la elaboración de una base de datos mundial sobre diseños industriales;  y una mayor participación en nuestros servicios de acceso a los conocimientos por conducto del proyecto CATI así como las bases de datos gratuitas de documentación científica e información tecnológica y de patentes que se ponen a disposición en colaboración con editoriales y proveedores comerciales de información;  y</w:t>
      </w:r>
    </w:p>
    <w:p w:rsidR="00837AF9" w:rsidRPr="002C067E" w:rsidRDefault="00837AF9" w:rsidP="004A4009">
      <w:pPr>
        <w:pStyle w:val="ListParagraph"/>
        <w:spacing w:after="0" w:line="240" w:lineRule="auto"/>
        <w:ind w:left="567"/>
        <w:jc w:val="both"/>
        <w:rPr>
          <w:rFonts w:ascii="Arial" w:hAnsi="Arial" w:cs="Arial"/>
          <w:sz w:val="20"/>
          <w:lang w:val="es-ES_tradnl"/>
        </w:rPr>
      </w:pPr>
    </w:p>
    <w:p w:rsidR="00837AF9" w:rsidRPr="002C067E" w:rsidRDefault="00837AF9" w:rsidP="00E17471">
      <w:pPr>
        <w:pStyle w:val="ListParagraph"/>
        <w:numPr>
          <w:ilvl w:val="0"/>
          <w:numId w:val="6"/>
        </w:numPr>
        <w:spacing w:after="0" w:line="240" w:lineRule="auto"/>
        <w:ind w:left="567" w:firstLine="0"/>
        <w:jc w:val="both"/>
        <w:rPr>
          <w:rFonts w:ascii="Arial" w:hAnsi="Arial" w:cs="Arial"/>
          <w:sz w:val="20"/>
          <w:lang w:val="es-ES_tradnl"/>
        </w:rPr>
      </w:pPr>
      <w:r w:rsidRPr="002C067E">
        <w:rPr>
          <w:rFonts w:ascii="Arial" w:hAnsi="Arial" w:cs="Arial"/>
          <w:sz w:val="20"/>
          <w:lang w:val="es-ES_tradnl"/>
        </w:rPr>
        <w:t>El suministro de una serie de programas de formación específicamente destinados a la creación de capacidad en recursos humanos, por conducto de</w:t>
      </w:r>
      <w:r w:rsidR="007D5833">
        <w:rPr>
          <w:rFonts w:ascii="Arial" w:hAnsi="Arial" w:cs="Arial"/>
          <w:sz w:val="20"/>
          <w:lang w:val="es-ES_tradnl"/>
        </w:rPr>
        <w:t xml:space="preserve"> </w:t>
      </w:r>
      <w:r w:rsidRPr="002C067E">
        <w:rPr>
          <w:rFonts w:ascii="Arial" w:hAnsi="Arial" w:cs="Arial"/>
          <w:sz w:val="20"/>
          <w:lang w:val="es-ES_tradnl"/>
        </w:rPr>
        <w:t>l</w:t>
      </w:r>
      <w:r w:rsidR="007D5833">
        <w:rPr>
          <w:rFonts w:ascii="Arial" w:hAnsi="Arial" w:cs="Arial"/>
          <w:sz w:val="20"/>
          <w:lang w:val="es-ES_tradnl"/>
        </w:rPr>
        <w:t>a</w:t>
      </w:r>
      <w:r w:rsidRPr="002C067E">
        <w:rPr>
          <w:rFonts w:ascii="Arial" w:hAnsi="Arial" w:cs="Arial"/>
          <w:sz w:val="20"/>
          <w:lang w:val="es-ES_tradnl"/>
        </w:rPr>
        <w:t xml:space="preserve"> </w:t>
      </w:r>
      <w:r w:rsidR="007D5833">
        <w:rPr>
          <w:rFonts w:ascii="Arial" w:hAnsi="Arial" w:cs="Arial"/>
          <w:sz w:val="20"/>
          <w:lang w:val="es-ES_tradnl"/>
        </w:rPr>
        <w:t>Academia</w:t>
      </w:r>
      <w:r w:rsidRPr="002C067E">
        <w:rPr>
          <w:rFonts w:ascii="Arial" w:hAnsi="Arial" w:cs="Arial"/>
          <w:sz w:val="20"/>
          <w:lang w:val="es-ES_tradnl"/>
        </w:rPr>
        <w:t xml:space="preserve"> de la OMPI.</w:t>
      </w:r>
    </w:p>
    <w:p w:rsidR="00837AF9" w:rsidRPr="002C067E" w:rsidRDefault="00837AF9" w:rsidP="004A4009">
      <w:pPr>
        <w:ind w:left="567"/>
        <w:rPr>
          <w:sz w:val="20"/>
          <w:lang w:val="es-ES_tradnl"/>
        </w:rPr>
      </w:pPr>
    </w:p>
    <w:p w:rsidR="00837AF9" w:rsidRPr="002C067E" w:rsidRDefault="00837AF9" w:rsidP="0013547A">
      <w:pPr>
        <w:keepLines/>
        <w:jc w:val="both"/>
        <w:rPr>
          <w:sz w:val="20"/>
          <w:lang w:val="es-ES_tradnl"/>
        </w:rPr>
      </w:pPr>
      <w:r w:rsidRPr="002C067E">
        <w:rPr>
          <w:sz w:val="20"/>
          <w:lang w:val="es-ES_tradnl"/>
        </w:rPr>
        <w:lastRenderedPageBreak/>
        <w:t xml:space="preserve">En el próximo bienio se consolidarán los beneficios derivados del Programa de Alineación Estratégica y finalizará la labor en torno al sistema de planificación de los recursos </w:t>
      </w:r>
      <w:r w:rsidR="00972AA7">
        <w:rPr>
          <w:sz w:val="20"/>
          <w:lang w:val="es-ES_tradnl"/>
        </w:rPr>
        <w:t>institucionales (P</w:t>
      </w:r>
      <w:r w:rsidRPr="002C067E">
        <w:rPr>
          <w:sz w:val="20"/>
          <w:lang w:val="es-ES_tradnl"/>
        </w:rPr>
        <w:t>R</w:t>
      </w:r>
      <w:r w:rsidR="00972AA7">
        <w:rPr>
          <w:sz w:val="20"/>
          <w:lang w:val="es-ES_tradnl"/>
        </w:rPr>
        <w:t>I</w:t>
      </w:r>
      <w:r w:rsidRPr="002C067E">
        <w:rPr>
          <w:sz w:val="20"/>
          <w:lang w:val="es-ES_tradnl"/>
        </w:rPr>
        <w:t>), con lo que la Organización estará en mejores condiciones de emprender las iniciativas señaladas en el párrafo anterior en relación con los programas.  Como siempre, la Organización sólo podrá cumplir verdaderamente sus objetivos y crear valor si dispone del compromiso y de la participación constantes de sus Estados miembros, con los que por fortuna hemos podido contar y a quienes deseo expresar nuestro profundo agradecimiento.</w:t>
      </w:r>
    </w:p>
    <w:p w:rsidR="00837AF9" w:rsidRPr="002C067E" w:rsidRDefault="00837AF9" w:rsidP="004A4009">
      <w:pPr>
        <w:jc w:val="both"/>
        <w:rPr>
          <w:sz w:val="20"/>
        </w:rPr>
      </w:pPr>
    </w:p>
    <w:p w:rsidR="00837AF9" w:rsidRPr="002C067E" w:rsidRDefault="00837AF9" w:rsidP="004A4009">
      <w:pPr>
        <w:tabs>
          <w:tab w:val="left" w:pos="6237"/>
        </w:tabs>
      </w:pPr>
    </w:p>
    <w:p w:rsidR="00837AF9" w:rsidRPr="002C067E" w:rsidRDefault="00837AF9" w:rsidP="004A4009">
      <w:pPr>
        <w:tabs>
          <w:tab w:val="left" w:pos="6237"/>
        </w:tabs>
        <w:rPr>
          <w:lang w:val="en"/>
        </w:rPr>
      </w:pPr>
      <w:r w:rsidRPr="002C067E">
        <w:tab/>
      </w:r>
      <w:r w:rsidR="00C40A11">
        <w:rPr>
          <w:noProof/>
          <w:lang w:val="en-US" w:eastAsia="en-US"/>
        </w:rPr>
        <w:drawing>
          <wp:inline distT="0" distB="0" distL="0" distR="0" wp14:anchorId="086BD34C" wp14:editId="2B95C3A2">
            <wp:extent cx="1597025" cy="504825"/>
            <wp:effectExtent l="0" t="0" r="0" b="9525"/>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97025" cy="504825"/>
                    </a:xfrm>
                    <a:prstGeom prst="rect">
                      <a:avLst/>
                    </a:prstGeom>
                    <a:noFill/>
                    <a:ln>
                      <a:noFill/>
                    </a:ln>
                  </pic:spPr>
                </pic:pic>
              </a:graphicData>
            </a:graphic>
          </wp:inline>
        </w:drawing>
      </w:r>
    </w:p>
    <w:p w:rsidR="00837AF9" w:rsidRPr="006658D1" w:rsidRDefault="00837AF9" w:rsidP="004A4009">
      <w:pPr>
        <w:tabs>
          <w:tab w:val="left" w:pos="6804"/>
        </w:tabs>
      </w:pPr>
      <w:r w:rsidRPr="002C067E">
        <w:rPr>
          <w:lang w:val="en"/>
        </w:rPr>
        <w:tab/>
      </w:r>
      <w:r w:rsidRPr="006658D1">
        <w:t>Francis Gurry</w:t>
      </w:r>
    </w:p>
    <w:p w:rsidR="0048420D" w:rsidRPr="006658D1" w:rsidRDefault="0048420D" w:rsidP="004A4009">
      <w:pPr>
        <w:tabs>
          <w:tab w:val="left" w:pos="6804"/>
        </w:tabs>
      </w:pPr>
    </w:p>
    <w:p w:rsidR="00837AF9" w:rsidRPr="00AA3230" w:rsidRDefault="00837AF9" w:rsidP="004A4009">
      <w:pPr>
        <w:tabs>
          <w:tab w:val="left" w:pos="6663"/>
        </w:tabs>
      </w:pPr>
      <w:r w:rsidRPr="006658D1">
        <w:tab/>
      </w:r>
      <w:r w:rsidRPr="00AA3230">
        <w:t>Director General</w:t>
      </w:r>
    </w:p>
    <w:p w:rsidR="00837AF9" w:rsidRPr="002C067E" w:rsidRDefault="00837AF9" w:rsidP="004A4009">
      <w:pPr>
        <w:tabs>
          <w:tab w:val="left" w:pos="6237"/>
        </w:tabs>
        <w:rPr>
          <w:lang w:val="es-ES_tradnl"/>
        </w:rPr>
      </w:pPr>
    </w:p>
    <w:p w:rsidR="00856ED4" w:rsidRPr="00AA3230" w:rsidRDefault="00856ED4" w:rsidP="004A4009">
      <w:pPr>
        <w:tabs>
          <w:tab w:val="left" w:pos="6237"/>
        </w:tabs>
      </w:pPr>
    </w:p>
    <w:p w:rsidR="007D5833" w:rsidRDefault="007B2C29" w:rsidP="007D5833">
      <w:pPr>
        <w:pStyle w:val="NormalWeb"/>
        <w:rPr>
          <w:sz w:val="20"/>
          <w:szCs w:val="20"/>
          <w:lang w:val="es-ES"/>
        </w:rPr>
        <w:sectPr w:rsidR="007D5833" w:rsidSect="0081102C">
          <w:headerReference w:type="even" r:id="rId17"/>
          <w:headerReference w:type="default" r:id="rId18"/>
          <w:pgSz w:w="11907" w:h="16840" w:code="9"/>
          <w:pgMar w:top="567" w:right="1247" w:bottom="964" w:left="1361" w:header="510" w:footer="851" w:gutter="0"/>
          <w:cols w:space="720"/>
          <w:docGrid w:linePitch="299"/>
        </w:sectPr>
      </w:pPr>
      <w:r w:rsidRPr="00AA3230">
        <w:rPr>
          <w:sz w:val="20"/>
          <w:szCs w:val="20"/>
          <w:lang w:val="es-ES"/>
        </w:rPr>
        <w:br w:type="page"/>
      </w:r>
    </w:p>
    <w:p w:rsidR="007B2C29" w:rsidRDefault="007B2C29" w:rsidP="007D5833">
      <w:pPr>
        <w:pStyle w:val="NormalWeb"/>
        <w:rPr>
          <w:sz w:val="20"/>
          <w:szCs w:val="20"/>
          <w:lang w:val="es-ES"/>
        </w:rPr>
      </w:pPr>
    </w:p>
    <w:p w:rsidR="007D5833" w:rsidRDefault="007D5833" w:rsidP="004A4009">
      <w:pPr>
        <w:pStyle w:val="NormalWeb"/>
        <w:rPr>
          <w:sz w:val="20"/>
          <w:szCs w:val="20"/>
          <w:lang w:val="es-ES"/>
        </w:rPr>
      </w:pPr>
    </w:p>
    <w:p w:rsidR="007D5833" w:rsidRDefault="007D5833" w:rsidP="004A4009">
      <w:pPr>
        <w:pStyle w:val="NormalWeb"/>
        <w:rPr>
          <w:sz w:val="20"/>
          <w:szCs w:val="20"/>
          <w:lang w:val="es-ES"/>
        </w:rPr>
      </w:pPr>
    </w:p>
    <w:p w:rsidR="007D5833" w:rsidRPr="00AA3230" w:rsidRDefault="007D5833" w:rsidP="004A4009">
      <w:pPr>
        <w:pStyle w:val="NormalWeb"/>
        <w:rPr>
          <w:sz w:val="20"/>
          <w:szCs w:val="20"/>
          <w:lang w:val="es-ES"/>
        </w:rPr>
        <w:sectPr w:rsidR="007D5833" w:rsidRPr="00AA3230" w:rsidSect="0081102C">
          <w:headerReference w:type="even" r:id="rId19"/>
          <w:pgSz w:w="11907" w:h="16840" w:code="9"/>
          <w:pgMar w:top="567" w:right="1247" w:bottom="964" w:left="1361" w:header="510" w:footer="851" w:gutter="0"/>
          <w:cols w:space="720"/>
          <w:docGrid w:linePitch="299"/>
        </w:sectPr>
      </w:pPr>
    </w:p>
    <w:p w:rsidR="007B2C29" w:rsidRPr="00085EE6" w:rsidRDefault="00AA3230" w:rsidP="004A4009">
      <w:pPr>
        <w:pStyle w:val="Heading1"/>
        <w:keepLines/>
        <w:rPr>
          <w:sz w:val="26"/>
          <w:szCs w:val="26"/>
          <w:lang w:val="es-ES_tradnl"/>
        </w:rPr>
      </w:pPr>
      <w:bookmarkStart w:id="7" w:name="_Toc358816675"/>
      <w:r w:rsidRPr="00085EE6">
        <w:rPr>
          <w:caps w:val="0"/>
          <w:sz w:val="26"/>
          <w:szCs w:val="26"/>
          <w:lang w:val="es-ES_tradnl"/>
        </w:rPr>
        <w:lastRenderedPageBreak/>
        <w:t>I.</w:t>
      </w:r>
      <w:r w:rsidRPr="00085EE6">
        <w:rPr>
          <w:caps w:val="0"/>
          <w:sz w:val="26"/>
          <w:szCs w:val="26"/>
          <w:lang w:val="es-ES_tradnl"/>
        </w:rPr>
        <w:tab/>
        <w:t>VISIÓN DE CONJUNTO DE LOS RESULTADOS</w:t>
      </w:r>
      <w:bookmarkEnd w:id="7"/>
    </w:p>
    <w:p w:rsidR="007B2C29" w:rsidRPr="002C067E" w:rsidRDefault="007B2C29" w:rsidP="006E3E3C">
      <w:pPr>
        <w:rPr>
          <w:sz w:val="20"/>
          <w:lang w:val="es-ES_tradnl"/>
        </w:rPr>
      </w:pPr>
    </w:p>
    <w:p w:rsidR="00FE239C" w:rsidRPr="002C067E" w:rsidRDefault="00FE239C" w:rsidP="006E3E3C">
      <w:pPr>
        <w:rPr>
          <w:sz w:val="20"/>
          <w:lang w:val="es-ES_tradnl"/>
        </w:rPr>
      </w:pPr>
    </w:p>
    <w:p w:rsidR="00B22442" w:rsidRPr="002C067E" w:rsidRDefault="00856ED4" w:rsidP="006E3E3C">
      <w:pPr>
        <w:numPr>
          <w:ilvl w:val="0"/>
          <w:numId w:val="4"/>
        </w:numPr>
        <w:tabs>
          <w:tab w:val="clear" w:pos="360"/>
          <w:tab w:val="num" w:pos="567"/>
          <w:tab w:val="left" w:pos="2160"/>
        </w:tabs>
        <w:ind w:left="0" w:firstLine="0"/>
        <w:jc w:val="both"/>
        <w:rPr>
          <w:sz w:val="20"/>
          <w:lang w:val="es-ES_tradnl"/>
        </w:rPr>
      </w:pPr>
      <w:r w:rsidRPr="002C067E">
        <w:rPr>
          <w:sz w:val="20"/>
          <w:lang w:val="es-ES_tradnl"/>
        </w:rPr>
        <w:t>En el presente presupues</w:t>
      </w:r>
      <w:r w:rsidR="00C0559B" w:rsidRPr="002C067E">
        <w:rPr>
          <w:sz w:val="20"/>
          <w:lang w:val="es-ES_tradnl"/>
        </w:rPr>
        <w:t>to por programas se expone la planificación</w:t>
      </w:r>
      <w:r w:rsidRPr="002C067E">
        <w:rPr>
          <w:sz w:val="20"/>
          <w:lang w:val="es-ES_tradnl"/>
        </w:rPr>
        <w:t xml:space="preserve"> para el bieni</w:t>
      </w:r>
      <w:r w:rsidR="00DF7F45" w:rsidRPr="002C067E">
        <w:rPr>
          <w:sz w:val="20"/>
          <w:lang w:val="es-ES_tradnl"/>
        </w:rPr>
        <w:t>o 2</w:t>
      </w:r>
      <w:r w:rsidR="007B2C29" w:rsidRPr="002C067E">
        <w:rPr>
          <w:sz w:val="20"/>
          <w:lang w:val="es-ES_tradnl"/>
        </w:rPr>
        <w:t>014/15</w:t>
      </w:r>
      <w:r w:rsidR="00C0559B" w:rsidRPr="002C067E">
        <w:rPr>
          <w:sz w:val="20"/>
          <w:lang w:val="es-ES_tradnl"/>
        </w:rPr>
        <w:t>, que obedece</w:t>
      </w:r>
      <w:r w:rsidRPr="002C067E">
        <w:rPr>
          <w:sz w:val="20"/>
          <w:lang w:val="es-ES_tradnl"/>
        </w:rPr>
        <w:t xml:space="preserve"> al contexto estratégico general del </w:t>
      </w:r>
      <w:r w:rsidR="00972AA7">
        <w:rPr>
          <w:sz w:val="20"/>
          <w:lang w:val="es-ES_tradnl"/>
        </w:rPr>
        <w:t>P</w:t>
      </w:r>
      <w:r w:rsidRPr="002C067E">
        <w:rPr>
          <w:sz w:val="20"/>
          <w:lang w:val="es-ES_tradnl"/>
        </w:rPr>
        <w:t xml:space="preserve">lan </w:t>
      </w:r>
      <w:r w:rsidR="00972AA7">
        <w:rPr>
          <w:sz w:val="20"/>
          <w:lang w:val="es-ES_tradnl"/>
        </w:rPr>
        <w:t>E</w:t>
      </w:r>
      <w:r w:rsidRPr="002C067E">
        <w:rPr>
          <w:sz w:val="20"/>
          <w:lang w:val="es-ES_tradnl"/>
        </w:rPr>
        <w:t xml:space="preserve">stratégico a </w:t>
      </w:r>
      <w:r w:rsidR="00972AA7">
        <w:rPr>
          <w:sz w:val="20"/>
          <w:lang w:val="es-ES_tradnl"/>
        </w:rPr>
        <w:t>M</w:t>
      </w:r>
      <w:r w:rsidRPr="002C067E">
        <w:rPr>
          <w:sz w:val="20"/>
          <w:lang w:val="es-ES_tradnl"/>
        </w:rPr>
        <w:t xml:space="preserve">ediano </w:t>
      </w:r>
      <w:r w:rsidR="00972AA7">
        <w:rPr>
          <w:sz w:val="20"/>
          <w:lang w:val="es-ES_tradnl"/>
        </w:rPr>
        <w:t>P</w:t>
      </w:r>
      <w:r w:rsidR="00C0559B" w:rsidRPr="002C067E">
        <w:rPr>
          <w:sz w:val="20"/>
          <w:lang w:val="es-ES_tradnl"/>
        </w:rPr>
        <w:t>lazo y se rige</w:t>
      </w:r>
      <w:r w:rsidRPr="002C067E">
        <w:rPr>
          <w:sz w:val="20"/>
          <w:lang w:val="es-ES_tradnl"/>
        </w:rPr>
        <w:t xml:space="preserve"> por las observaciones que han formulado los Estados miembros</w:t>
      </w:r>
      <w:r w:rsidR="00B22442" w:rsidRPr="002C067E">
        <w:rPr>
          <w:sz w:val="20"/>
          <w:lang w:val="es-ES_tradnl"/>
        </w:rPr>
        <w:t>.</w:t>
      </w:r>
    </w:p>
    <w:p w:rsidR="007B2C29" w:rsidRPr="002C067E" w:rsidRDefault="007B2C29" w:rsidP="006E3E3C">
      <w:pPr>
        <w:jc w:val="both"/>
        <w:rPr>
          <w:sz w:val="20"/>
          <w:lang w:val="es-ES_tradnl"/>
        </w:rPr>
      </w:pPr>
    </w:p>
    <w:p w:rsidR="007B2C29" w:rsidRPr="002C067E" w:rsidRDefault="00856ED4" w:rsidP="006E3E3C">
      <w:pPr>
        <w:numPr>
          <w:ilvl w:val="0"/>
          <w:numId w:val="4"/>
        </w:numPr>
        <w:tabs>
          <w:tab w:val="clear" w:pos="360"/>
          <w:tab w:val="left" w:pos="567"/>
        </w:tabs>
        <w:ind w:left="0" w:firstLine="0"/>
        <w:jc w:val="both"/>
        <w:rPr>
          <w:sz w:val="20"/>
          <w:lang w:val="es-ES_tradnl"/>
        </w:rPr>
      </w:pPr>
      <w:r w:rsidRPr="002C067E">
        <w:rPr>
          <w:sz w:val="20"/>
          <w:lang w:val="es-ES_tradnl"/>
        </w:rPr>
        <w:t xml:space="preserve">Sigue aumentando la demanda de </w:t>
      </w:r>
      <w:r w:rsidR="007B2C29" w:rsidRPr="002C067E">
        <w:rPr>
          <w:sz w:val="20"/>
          <w:lang w:val="es-ES_tradnl"/>
        </w:rPr>
        <w:t>product</w:t>
      </w:r>
      <w:r w:rsidRPr="002C067E">
        <w:rPr>
          <w:sz w:val="20"/>
          <w:lang w:val="es-ES_tradnl"/>
        </w:rPr>
        <w:t>o</w:t>
      </w:r>
      <w:r w:rsidR="007B2C29" w:rsidRPr="002C067E">
        <w:rPr>
          <w:sz w:val="20"/>
          <w:lang w:val="es-ES_tradnl"/>
        </w:rPr>
        <w:t xml:space="preserve">s </w:t>
      </w:r>
      <w:r w:rsidRPr="002C067E">
        <w:rPr>
          <w:sz w:val="20"/>
          <w:lang w:val="es-ES_tradnl"/>
        </w:rPr>
        <w:t xml:space="preserve">y </w:t>
      </w:r>
      <w:r w:rsidR="007B2C29" w:rsidRPr="002C067E">
        <w:rPr>
          <w:sz w:val="20"/>
          <w:lang w:val="es-ES_tradnl"/>
        </w:rPr>
        <w:t>servic</w:t>
      </w:r>
      <w:r w:rsidRPr="002C067E">
        <w:rPr>
          <w:sz w:val="20"/>
          <w:lang w:val="es-ES_tradnl"/>
        </w:rPr>
        <w:t>io</w:t>
      </w:r>
      <w:r w:rsidR="007B2C29" w:rsidRPr="002C067E">
        <w:rPr>
          <w:sz w:val="20"/>
          <w:lang w:val="es-ES_tradnl"/>
        </w:rPr>
        <w:t xml:space="preserve">s </w:t>
      </w:r>
      <w:r w:rsidRPr="002C067E">
        <w:rPr>
          <w:sz w:val="20"/>
          <w:lang w:val="es-ES_tradnl"/>
        </w:rPr>
        <w:t>de la Organización</w:t>
      </w:r>
      <w:r w:rsidR="007B2C29" w:rsidRPr="002C067E">
        <w:rPr>
          <w:sz w:val="20"/>
          <w:lang w:val="es-ES_tradnl"/>
        </w:rPr>
        <w:t xml:space="preserve">.  </w:t>
      </w:r>
      <w:r w:rsidRPr="002C067E">
        <w:rPr>
          <w:sz w:val="20"/>
          <w:lang w:val="es-ES_tradnl"/>
        </w:rPr>
        <w:t>Por lo tanto, en la propuesta actual se aspira a que los recursos de la Organización se sigan utilizando para obtener los resultados que mayor importancia revisten para los Estados miembros y demás partes interesadas</w:t>
      </w:r>
      <w:r w:rsidR="007B2C29" w:rsidRPr="002C067E">
        <w:rPr>
          <w:sz w:val="20"/>
          <w:lang w:val="es-ES_tradnl"/>
        </w:rPr>
        <w:t xml:space="preserve">.  </w:t>
      </w:r>
      <w:r w:rsidRPr="002C067E">
        <w:rPr>
          <w:sz w:val="20"/>
          <w:lang w:val="es-ES_tradnl"/>
        </w:rPr>
        <w:t>A ese respecto</w:t>
      </w:r>
      <w:r w:rsidR="007B2C29" w:rsidRPr="002C067E">
        <w:rPr>
          <w:sz w:val="20"/>
          <w:lang w:val="es-ES_tradnl"/>
        </w:rPr>
        <w:t xml:space="preserve">, </w:t>
      </w:r>
      <w:r w:rsidRPr="002C067E">
        <w:rPr>
          <w:sz w:val="20"/>
          <w:lang w:val="es-ES_tradnl"/>
        </w:rPr>
        <w:t>entre las prioridades del b</w:t>
      </w:r>
      <w:r w:rsidR="007B2C29" w:rsidRPr="002C067E">
        <w:rPr>
          <w:sz w:val="20"/>
          <w:lang w:val="es-ES_tradnl"/>
        </w:rPr>
        <w:t>i</w:t>
      </w:r>
      <w:r w:rsidRPr="002C067E">
        <w:rPr>
          <w:sz w:val="20"/>
          <w:lang w:val="es-ES_tradnl"/>
        </w:rPr>
        <w:t>e</w:t>
      </w:r>
      <w:r w:rsidR="007B2C29" w:rsidRPr="002C067E">
        <w:rPr>
          <w:sz w:val="20"/>
          <w:lang w:val="es-ES_tradnl"/>
        </w:rPr>
        <w:t>n</w:t>
      </w:r>
      <w:r w:rsidRPr="002C067E">
        <w:rPr>
          <w:sz w:val="20"/>
          <w:lang w:val="es-ES_tradnl"/>
        </w:rPr>
        <w:t>i</w:t>
      </w:r>
      <w:r w:rsidR="00DF7F45" w:rsidRPr="002C067E">
        <w:rPr>
          <w:sz w:val="20"/>
          <w:lang w:val="es-ES_tradnl"/>
        </w:rPr>
        <w:t>o 2</w:t>
      </w:r>
      <w:r w:rsidR="007B2C29" w:rsidRPr="002C067E">
        <w:rPr>
          <w:sz w:val="20"/>
          <w:lang w:val="es-ES_tradnl"/>
        </w:rPr>
        <w:t xml:space="preserve">014/15 </w:t>
      </w:r>
      <w:r w:rsidRPr="002C067E">
        <w:rPr>
          <w:sz w:val="20"/>
          <w:lang w:val="es-ES_tradnl"/>
        </w:rPr>
        <w:t>figuran las siguientes</w:t>
      </w:r>
      <w:r w:rsidR="007B2C29" w:rsidRPr="002C067E">
        <w:rPr>
          <w:sz w:val="20"/>
          <w:lang w:val="es-ES_tradnl"/>
        </w:rPr>
        <w:t>:</w:t>
      </w:r>
    </w:p>
    <w:p w:rsidR="007B2C29" w:rsidRPr="002C067E" w:rsidRDefault="007B2C29" w:rsidP="006E3E3C">
      <w:pPr>
        <w:ind w:left="720"/>
        <w:jc w:val="both"/>
        <w:rPr>
          <w:sz w:val="20"/>
          <w:lang w:val="es-ES_tradnl"/>
        </w:rPr>
      </w:pPr>
    </w:p>
    <w:p w:rsidR="007B2C29" w:rsidRPr="002C067E" w:rsidRDefault="008004E5" w:rsidP="006E3E3C">
      <w:pPr>
        <w:ind w:left="567"/>
        <w:jc w:val="both"/>
        <w:rPr>
          <w:sz w:val="20"/>
          <w:lang w:val="es-ES_tradnl"/>
        </w:rPr>
      </w:pPr>
      <w:r w:rsidRPr="002C067E">
        <w:rPr>
          <w:sz w:val="20"/>
          <w:lang w:val="es-ES_tradnl"/>
        </w:rPr>
        <w:t>i)</w:t>
      </w:r>
      <w:r w:rsidRPr="002C067E">
        <w:rPr>
          <w:sz w:val="20"/>
          <w:lang w:val="es-ES_tradnl"/>
        </w:rPr>
        <w:tab/>
      </w:r>
      <w:r w:rsidR="00725561" w:rsidRPr="002C067E">
        <w:rPr>
          <w:sz w:val="20"/>
          <w:lang w:val="es-ES_tradnl"/>
        </w:rPr>
        <w:t xml:space="preserve">Velar por </w:t>
      </w:r>
      <w:r w:rsidR="0059265D" w:rsidRPr="002C067E">
        <w:rPr>
          <w:sz w:val="20"/>
          <w:lang w:val="es-ES_tradnl"/>
        </w:rPr>
        <w:t xml:space="preserve">que se utilicen de manera </w:t>
      </w:r>
      <w:r w:rsidR="00725561" w:rsidRPr="002C067E">
        <w:rPr>
          <w:sz w:val="20"/>
          <w:lang w:val="es-ES_tradnl"/>
        </w:rPr>
        <w:t xml:space="preserve">más generalizada </w:t>
      </w:r>
      <w:r w:rsidR="0059265D" w:rsidRPr="002C067E">
        <w:rPr>
          <w:sz w:val="20"/>
          <w:lang w:val="es-ES_tradnl"/>
        </w:rPr>
        <w:t xml:space="preserve">y eficaz </w:t>
      </w:r>
      <w:r w:rsidR="00725561" w:rsidRPr="002C067E">
        <w:rPr>
          <w:sz w:val="20"/>
          <w:lang w:val="es-ES_tradnl"/>
        </w:rPr>
        <w:t xml:space="preserve">los </w:t>
      </w:r>
      <w:r w:rsidR="007B2C29" w:rsidRPr="002C067E">
        <w:rPr>
          <w:sz w:val="20"/>
          <w:lang w:val="es-ES_tradnl"/>
        </w:rPr>
        <w:t>servic</w:t>
      </w:r>
      <w:r w:rsidR="00725561" w:rsidRPr="002C067E">
        <w:rPr>
          <w:sz w:val="20"/>
          <w:lang w:val="es-ES_tradnl"/>
        </w:rPr>
        <w:t>io</w:t>
      </w:r>
      <w:r w:rsidR="007B2C29" w:rsidRPr="002C067E">
        <w:rPr>
          <w:sz w:val="20"/>
          <w:lang w:val="es-ES_tradnl"/>
        </w:rPr>
        <w:t xml:space="preserve">s </w:t>
      </w:r>
      <w:r w:rsidR="002C57B2" w:rsidRPr="002C067E">
        <w:rPr>
          <w:sz w:val="20"/>
          <w:lang w:val="es-ES_tradnl"/>
        </w:rPr>
        <w:t xml:space="preserve">que prestan los </w:t>
      </w:r>
      <w:r w:rsidR="002C57B2" w:rsidRPr="002C067E">
        <w:rPr>
          <w:snapToGrid w:val="0"/>
          <w:sz w:val="20"/>
          <w:lang w:val="es-ES_tradnl"/>
        </w:rPr>
        <w:t>sistemas mundiales de</w:t>
      </w:r>
      <w:r w:rsidR="002C57B2" w:rsidRPr="002C067E">
        <w:rPr>
          <w:sz w:val="20"/>
          <w:lang w:val="es-ES_tradnl"/>
        </w:rPr>
        <w:t xml:space="preserve"> </w:t>
      </w:r>
      <w:r w:rsidR="00CA637E" w:rsidRPr="002C067E">
        <w:rPr>
          <w:sz w:val="20"/>
          <w:lang w:val="es-ES_tradnl"/>
        </w:rPr>
        <w:t>registro</w:t>
      </w:r>
      <w:r w:rsidR="002C57B2" w:rsidRPr="002C067E">
        <w:rPr>
          <w:sz w:val="20"/>
          <w:lang w:val="es-ES_tradnl"/>
        </w:rPr>
        <w:t xml:space="preserve"> de la OMPI, </w:t>
      </w:r>
      <w:r w:rsidR="0082777F" w:rsidRPr="002C067E">
        <w:rPr>
          <w:sz w:val="20"/>
          <w:lang w:val="es-ES_tradnl"/>
        </w:rPr>
        <w:t>sobre todo</w:t>
      </w:r>
      <w:r w:rsidR="002C57B2" w:rsidRPr="002C067E">
        <w:rPr>
          <w:sz w:val="20"/>
          <w:lang w:val="es-ES_tradnl"/>
        </w:rPr>
        <w:t xml:space="preserve">, los </w:t>
      </w:r>
      <w:r w:rsidR="002C57B2" w:rsidRPr="002C067E">
        <w:rPr>
          <w:snapToGrid w:val="0"/>
          <w:sz w:val="20"/>
          <w:lang w:val="es-ES_tradnl"/>
        </w:rPr>
        <w:t xml:space="preserve">sistemas del PCT, </w:t>
      </w:r>
      <w:r w:rsidR="007B2C29" w:rsidRPr="002C067E">
        <w:rPr>
          <w:sz w:val="20"/>
          <w:lang w:val="es-ES_tradnl"/>
        </w:rPr>
        <w:t xml:space="preserve">Madrid </w:t>
      </w:r>
      <w:r w:rsidR="002C57B2" w:rsidRPr="002C067E">
        <w:rPr>
          <w:sz w:val="20"/>
          <w:lang w:val="es-ES_tradnl"/>
        </w:rPr>
        <w:t xml:space="preserve">y </w:t>
      </w:r>
      <w:r w:rsidR="002C57B2" w:rsidRPr="002C067E">
        <w:rPr>
          <w:sz w:val="20"/>
        </w:rPr>
        <w:t>La Haya</w:t>
      </w:r>
      <w:r w:rsidR="002C57B2" w:rsidRPr="002C067E">
        <w:rPr>
          <w:sz w:val="20"/>
          <w:lang w:val="es-ES_tradnl"/>
        </w:rPr>
        <w:t>, sigue siendo una prioridad fundamental de cara al bien</w:t>
      </w:r>
      <w:r w:rsidR="007B2C29" w:rsidRPr="002C067E">
        <w:rPr>
          <w:sz w:val="20"/>
          <w:lang w:val="es-ES_tradnl"/>
        </w:rPr>
        <w:t>i</w:t>
      </w:r>
      <w:r w:rsidR="00DF7F45" w:rsidRPr="002C067E">
        <w:rPr>
          <w:sz w:val="20"/>
          <w:lang w:val="es-ES_tradnl"/>
        </w:rPr>
        <w:t>o 2</w:t>
      </w:r>
      <w:r w:rsidR="007B2C29" w:rsidRPr="002C067E">
        <w:rPr>
          <w:sz w:val="20"/>
          <w:lang w:val="es-ES_tradnl"/>
        </w:rPr>
        <w:t>014/15</w:t>
      </w:r>
      <w:r w:rsidR="002C57B2" w:rsidRPr="002C067E">
        <w:rPr>
          <w:sz w:val="20"/>
          <w:lang w:val="es-ES_tradnl"/>
        </w:rPr>
        <w:t xml:space="preserve"> como cimiento principal de sostenibilidad financiera a largo plazo de la Organización</w:t>
      </w:r>
      <w:r w:rsidR="007B2C29" w:rsidRPr="002C067E">
        <w:rPr>
          <w:sz w:val="20"/>
          <w:lang w:val="es-ES_tradnl"/>
        </w:rPr>
        <w:t xml:space="preserve">.  </w:t>
      </w:r>
      <w:r w:rsidR="002C57B2" w:rsidRPr="002C067E">
        <w:rPr>
          <w:sz w:val="20"/>
          <w:lang w:val="es-ES_tradnl"/>
        </w:rPr>
        <w:t>Con ese fin habrá de responderse a los desafíos que plantea</w:t>
      </w:r>
      <w:r w:rsidR="002314A9" w:rsidRPr="002C067E">
        <w:rPr>
          <w:sz w:val="20"/>
          <w:lang w:val="es-ES_tradnl"/>
        </w:rPr>
        <w:t>n los cambios que se producen en</w:t>
      </w:r>
      <w:r w:rsidR="002C57B2" w:rsidRPr="002C067E">
        <w:rPr>
          <w:sz w:val="20"/>
          <w:lang w:val="es-ES_tradnl"/>
        </w:rPr>
        <w:t xml:space="preserve"> la </w:t>
      </w:r>
      <w:r w:rsidR="002314A9" w:rsidRPr="002C067E">
        <w:rPr>
          <w:sz w:val="20"/>
          <w:lang w:val="es-ES_tradnl"/>
        </w:rPr>
        <w:t>composición</w:t>
      </w:r>
      <w:r w:rsidR="007B2C29" w:rsidRPr="002C067E">
        <w:rPr>
          <w:sz w:val="20"/>
          <w:lang w:val="es-ES_tradnl"/>
        </w:rPr>
        <w:t xml:space="preserve"> </w:t>
      </w:r>
      <w:r w:rsidR="002C57B2" w:rsidRPr="002C067E">
        <w:rPr>
          <w:sz w:val="20"/>
          <w:lang w:val="es-ES_tradnl"/>
        </w:rPr>
        <w:t xml:space="preserve">geográfica </w:t>
      </w:r>
      <w:r w:rsidR="002314A9" w:rsidRPr="002C067E">
        <w:rPr>
          <w:sz w:val="20"/>
          <w:lang w:val="es-ES_tradnl"/>
        </w:rPr>
        <w:t xml:space="preserve">de los </w:t>
      </w:r>
      <w:r w:rsidR="00453111" w:rsidRPr="002C067E">
        <w:rPr>
          <w:sz w:val="20"/>
          <w:lang w:val="es-ES_tradnl"/>
        </w:rPr>
        <w:t xml:space="preserve">usuarios </w:t>
      </w:r>
      <w:r w:rsidR="002314A9" w:rsidRPr="002C067E">
        <w:rPr>
          <w:sz w:val="20"/>
          <w:lang w:val="es-ES_tradnl"/>
        </w:rPr>
        <w:t xml:space="preserve">de </w:t>
      </w:r>
      <w:r w:rsidR="002C57B2" w:rsidRPr="002C067E">
        <w:rPr>
          <w:sz w:val="20"/>
          <w:lang w:val="es-ES_tradnl"/>
        </w:rPr>
        <w:t xml:space="preserve">dichos </w:t>
      </w:r>
      <w:r w:rsidR="007B2C29" w:rsidRPr="002C067E">
        <w:rPr>
          <w:sz w:val="20"/>
          <w:lang w:val="es-ES_tradnl"/>
        </w:rPr>
        <w:t>servic</w:t>
      </w:r>
      <w:r w:rsidR="002C57B2" w:rsidRPr="002C067E">
        <w:rPr>
          <w:sz w:val="20"/>
          <w:lang w:val="es-ES_tradnl"/>
        </w:rPr>
        <w:t>io</w:t>
      </w:r>
      <w:r w:rsidR="007B2C29" w:rsidRPr="002C067E">
        <w:rPr>
          <w:sz w:val="20"/>
          <w:lang w:val="es-ES_tradnl"/>
        </w:rPr>
        <w:t>s</w:t>
      </w:r>
      <w:r w:rsidR="002C57B2" w:rsidRPr="002C067E">
        <w:rPr>
          <w:sz w:val="20"/>
          <w:lang w:val="es-ES_tradnl"/>
        </w:rPr>
        <w:t xml:space="preserve">, lo que entraña </w:t>
      </w:r>
      <w:r w:rsidR="007E1020" w:rsidRPr="002C067E">
        <w:rPr>
          <w:sz w:val="20"/>
          <w:lang w:val="es-ES_tradnl"/>
        </w:rPr>
        <w:t>igualmente</w:t>
      </w:r>
      <w:r w:rsidR="002C57B2" w:rsidRPr="002C067E">
        <w:rPr>
          <w:sz w:val="20"/>
          <w:lang w:val="es-ES_tradnl"/>
        </w:rPr>
        <w:t xml:space="preserve"> </w:t>
      </w:r>
      <w:r w:rsidR="00F3280F" w:rsidRPr="002C067E">
        <w:rPr>
          <w:sz w:val="20"/>
          <w:lang w:val="es-ES_tradnl"/>
        </w:rPr>
        <w:t>disponer de</w:t>
      </w:r>
      <w:r w:rsidR="002C57B2" w:rsidRPr="002C067E">
        <w:rPr>
          <w:sz w:val="20"/>
          <w:lang w:val="es-ES_tradnl"/>
        </w:rPr>
        <w:t xml:space="preserve"> las </w:t>
      </w:r>
      <w:r w:rsidR="0082777F" w:rsidRPr="002C067E">
        <w:rPr>
          <w:sz w:val="20"/>
          <w:lang w:val="es-ES_tradnl"/>
        </w:rPr>
        <w:t xml:space="preserve">correspondientes </w:t>
      </w:r>
      <w:r w:rsidR="002C57B2" w:rsidRPr="002C067E">
        <w:rPr>
          <w:sz w:val="20"/>
          <w:lang w:val="es-ES_tradnl"/>
        </w:rPr>
        <w:t>competencias lingüísticas</w:t>
      </w:r>
      <w:r w:rsidR="007B2C29" w:rsidRPr="002C067E">
        <w:rPr>
          <w:sz w:val="20"/>
          <w:lang w:val="es-ES_tradnl"/>
        </w:rPr>
        <w:t xml:space="preserve">.  </w:t>
      </w:r>
      <w:r w:rsidR="0082777F" w:rsidRPr="002C067E">
        <w:rPr>
          <w:sz w:val="20"/>
          <w:lang w:val="es-ES_tradnl"/>
        </w:rPr>
        <w:t>Asimismo, se verá mejorada l</w:t>
      </w:r>
      <w:r w:rsidR="002C57B2" w:rsidRPr="002C067E">
        <w:rPr>
          <w:sz w:val="20"/>
          <w:lang w:val="es-ES_tradnl"/>
        </w:rPr>
        <w:t xml:space="preserve">a eficacia operativa de los sistemas de registro con el continuo perfeccionamiento del entorno electrónico, especialmente </w:t>
      </w:r>
      <w:r w:rsidR="0082777F" w:rsidRPr="002C067E">
        <w:rPr>
          <w:sz w:val="20"/>
          <w:lang w:val="es-ES_tradnl"/>
        </w:rPr>
        <w:t>e</w:t>
      </w:r>
      <w:r w:rsidR="002C57B2" w:rsidRPr="002C067E">
        <w:rPr>
          <w:sz w:val="20"/>
          <w:lang w:val="es-ES_tradnl"/>
        </w:rPr>
        <w:t xml:space="preserve">l </w:t>
      </w:r>
      <w:r w:rsidR="0082777F" w:rsidRPr="002C067E">
        <w:rPr>
          <w:sz w:val="20"/>
          <w:lang w:val="es-ES_tradnl"/>
        </w:rPr>
        <w:t>e</w:t>
      </w:r>
      <w:r w:rsidR="0082777F" w:rsidRPr="002C067E">
        <w:rPr>
          <w:sz w:val="20"/>
          <w:lang w:val="es-ES_tradnl"/>
        </w:rPr>
        <w:noBreakHyphen/>
      </w:r>
      <w:r w:rsidR="007B2C29" w:rsidRPr="002C067E">
        <w:rPr>
          <w:sz w:val="20"/>
          <w:lang w:val="es-ES_tradnl"/>
        </w:rPr>
        <w:t xml:space="preserve">PCT </w:t>
      </w:r>
      <w:r w:rsidR="0082777F" w:rsidRPr="002C067E">
        <w:rPr>
          <w:sz w:val="20"/>
          <w:lang w:val="es-ES_tradnl"/>
        </w:rPr>
        <w:t xml:space="preserve">y </w:t>
      </w:r>
      <w:r w:rsidR="002C57B2" w:rsidRPr="002C067E">
        <w:rPr>
          <w:sz w:val="20"/>
          <w:lang w:val="es-ES_tradnl"/>
        </w:rPr>
        <w:t xml:space="preserve">la modernización del sistema de </w:t>
      </w:r>
      <w:r w:rsidR="007B2C29" w:rsidRPr="002C067E">
        <w:rPr>
          <w:sz w:val="20"/>
          <w:lang w:val="es-ES_tradnl"/>
        </w:rPr>
        <w:t>Madrid.</w:t>
      </w:r>
    </w:p>
    <w:p w:rsidR="007B2C29" w:rsidRPr="002C067E" w:rsidRDefault="007B2C29" w:rsidP="006E3E3C">
      <w:pPr>
        <w:ind w:left="567"/>
        <w:jc w:val="both"/>
        <w:rPr>
          <w:sz w:val="20"/>
          <w:lang w:val="es-ES_tradnl"/>
        </w:rPr>
      </w:pPr>
    </w:p>
    <w:p w:rsidR="007B2C29" w:rsidRPr="002C067E" w:rsidRDefault="008004E5" w:rsidP="006E3E3C">
      <w:pPr>
        <w:ind w:left="567"/>
        <w:jc w:val="both"/>
        <w:rPr>
          <w:sz w:val="20"/>
          <w:lang w:val="es-ES_tradnl"/>
        </w:rPr>
      </w:pPr>
      <w:r w:rsidRPr="002C067E">
        <w:rPr>
          <w:sz w:val="20"/>
          <w:lang w:val="es-ES_tradnl"/>
        </w:rPr>
        <w:t>ii)</w:t>
      </w:r>
      <w:r w:rsidRPr="002C067E">
        <w:rPr>
          <w:sz w:val="20"/>
          <w:lang w:val="es-ES_tradnl"/>
        </w:rPr>
        <w:tab/>
      </w:r>
      <w:r w:rsidR="002C57B2" w:rsidRPr="002C067E">
        <w:rPr>
          <w:sz w:val="20"/>
          <w:lang w:val="es-ES_tradnl"/>
        </w:rPr>
        <w:t xml:space="preserve">La Organización sigue obteniendo </w:t>
      </w:r>
      <w:r w:rsidR="0082777F" w:rsidRPr="002C067E">
        <w:rPr>
          <w:sz w:val="20"/>
          <w:lang w:val="es-ES_tradnl"/>
        </w:rPr>
        <w:t xml:space="preserve">aproximadamente </w:t>
      </w:r>
      <w:r w:rsidR="002C57B2" w:rsidRPr="002C067E">
        <w:rPr>
          <w:sz w:val="20"/>
          <w:lang w:val="es-ES_tradnl"/>
        </w:rPr>
        <w:t>e</w:t>
      </w:r>
      <w:r w:rsidR="00DF7F45" w:rsidRPr="002C067E">
        <w:rPr>
          <w:sz w:val="20"/>
          <w:lang w:val="es-ES_tradnl"/>
        </w:rPr>
        <w:t>l 7</w:t>
      </w:r>
      <w:r w:rsidR="007B2C29" w:rsidRPr="002C067E">
        <w:rPr>
          <w:sz w:val="20"/>
          <w:lang w:val="es-ES_tradnl"/>
        </w:rPr>
        <w:t xml:space="preserve">5% </w:t>
      </w:r>
      <w:r w:rsidR="002C57B2" w:rsidRPr="002C067E">
        <w:rPr>
          <w:sz w:val="20"/>
          <w:lang w:val="es-ES_tradnl"/>
        </w:rPr>
        <w:t>de sus ingresos de las tasas del PCT</w:t>
      </w:r>
      <w:r w:rsidR="007B2C29" w:rsidRPr="002C067E">
        <w:rPr>
          <w:sz w:val="20"/>
          <w:lang w:val="es-ES_tradnl"/>
        </w:rPr>
        <w:t xml:space="preserve">, </w:t>
      </w:r>
      <w:r w:rsidR="002C57B2" w:rsidRPr="002C067E">
        <w:rPr>
          <w:sz w:val="20"/>
          <w:lang w:val="es-ES_tradnl"/>
        </w:rPr>
        <w:t>lo que constituye un alto grado de dependencia de una única fuente de ingresos</w:t>
      </w:r>
      <w:r w:rsidR="007B2C29" w:rsidRPr="002C067E">
        <w:rPr>
          <w:sz w:val="20"/>
          <w:lang w:val="es-ES_tradnl"/>
        </w:rPr>
        <w:t xml:space="preserve">.  </w:t>
      </w:r>
      <w:r w:rsidR="002C57B2" w:rsidRPr="002C067E">
        <w:rPr>
          <w:sz w:val="20"/>
          <w:lang w:val="es-ES_tradnl"/>
        </w:rPr>
        <w:t>E</w:t>
      </w:r>
      <w:r w:rsidR="007B2C29" w:rsidRPr="002C067E">
        <w:rPr>
          <w:sz w:val="20"/>
          <w:lang w:val="es-ES_tradnl"/>
        </w:rPr>
        <w:t>n resp</w:t>
      </w:r>
      <w:r w:rsidR="002C57B2" w:rsidRPr="002C067E">
        <w:rPr>
          <w:sz w:val="20"/>
          <w:lang w:val="es-ES_tradnl"/>
        </w:rPr>
        <w:t>ue</w:t>
      </w:r>
      <w:r w:rsidR="007B2C29" w:rsidRPr="002C067E">
        <w:rPr>
          <w:sz w:val="20"/>
          <w:lang w:val="es-ES_tradnl"/>
        </w:rPr>
        <w:t>s</w:t>
      </w:r>
      <w:r w:rsidR="002C57B2" w:rsidRPr="002C067E">
        <w:rPr>
          <w:sz w:val="20"/>
          <w:lang w:val="es-ES_tradnl"/>
        </w:rPr>
        <w:t xml:space="preserve">ta a </w:t>
      </w:r>
      <w:r w:rsidR="007B2C29" w:rsidRPr="002C067E">
        <w:rPr>
          <w:sz w:val="20"/>
          <w:lang w:val="es-ES_tradnl"/>
        </w:rPr>
        <w:t>e</w:t>
      </w:r>
      <w:r w:rsidR="002C57B2" w:rsidRPr="002C067E">
        <w:rPr>
          <w:sz w:val="20"/>
          <w:lang w:val="es-ES_tradnl"/>
        </w:rPr>
        <w:t xml:space="preserve">ste riesgo estratégico, la Organización seguirá estudiando las posibilidades de mejorar la sostenibilidad financiera por medio de la ampliación de otras </w:t>
      </w:r>
      <w:r w:rsidR="00C8709B" w:rsidRPr="002C067E">
        <w:rPr>
          <w:sz w:val="20"/>
          <w:lang w:val="es-ES_tradnl"/>
        </w:rPr>
        <w:t>fuentes de ingresos</w:t>
      </w:r>
      <w:r w:rsidR="007B2C29" w:rsidRPr="002C067E">
        <w:rPr>
          <w:sz w:val="20"/>
          <w:lang w:val="es-ES_tradnl"/>
        </w:rPr>
        <w:t>.</w:t>
      </w:r>
    </w:p>
    <w:p w:rsidR="007B2C29" w:rsidRPr="002C067E" w:rsidRDefault="007B2C29" w:rsidP="006E3E3C">
      <w:pPr>
        <w:jc w:val="both"/>
        <w:rPr>
          <w:sz w:val="20"/>
          <w:lang w:val="es-ES_tradnl"/>
        </w:rPr>
      </w:pPr>
    </w:p>
    <w:p w:rsidR="007B2C29" w:rsidRPr="002C067E" w:rsidRDefault="008004E5" w:rsidP="006E3E3C">
      <w:pPr>
        <w:ind w:left="567"/>
        <w:jc w:val="both"/>
        <w:rPr>
          <w:sz w:val="20"/>
          <w:lang w:val="es-ES_tradnl"/>
        </w:rPr>
      </w:pPr>
      <w:r w:rsidRPr="002C067E">
        <w:rPr>
          <w:sz w:val="20"/>
          <w:lang w:val="es-ES_tradnl"/>
        </w:rPr>
        <w:t>iii)</w:t>
      </w:r>
      <w:r w:rsidRPr="002C067E">
        <w:rPr>
          <w:sz w:val="20"/>
          <w:lang w:val="es-ES_tradnl"/>
        </w:rPr>
        <w:tab/>
      </w:r>
      <w:r w:rsidR="00C8709B" w:rsidRPr="002C067E">
        <w:rPr>
          <w:sz w:val="20"/>
          <w:lang w:val="es-ES_tradnl"/>
        </w:rPr>
        <w:t>Una de las prioridades principales e</w:t>
      </w:r>
      <w:r w:rsidR="00DF7F45" w:rsidRPr="002C067E">
        <w:rPr>
          <w:sz w:val="20"/>
          <w:lang w:val="es-ES_tradnl"/>
        </w:rPr>
        <w:t>n 2</w:t>
      </w:r>
      <w:r w:rsidR="007B2C29" w:rsidRPr="002C067E">
        <w:rPr>
          <w:sz w:val="20"/>
          <w:lang w:val="es-ES_tradnl"/>
        </w:rPr>
        <w:t>014/15</w:t>
      </w:r>
      <w:r w:rsidR="00C8709B" w:rsidRPr="002C067E">
        <w:rPr>
          <w:sz w:val="20"/>
          <w:lang w:val="es-ES_tradnl"/>
        </w:rPr>
        <w:t xml:space="preserve"> seguirá siendo fomentar una mayor cooperación y </w:t>
      </w:r>
      <w:r w:rsidR="007D5833">
        <w:rPr>
          <w:sz w:val="20"/>
          <w:lang w:val="es-ES_tradnl"/>
        </w:rPr>
        <w:t>acuerdo</w:t>
      </w:r>
      <w:r w:rsidR="00C8709B" w:rsidRPr="002C067E">
        <w:rPr>
          <w:sz w:val="20"/>
          <w:lang w:val="es-ES_tradnl"/>
        </w:rPr>
        <w:t xml:space="preserve"> entre los Estados miembros acerca del desarrollo de un marco normativo internacio</w:t>
      </w:r>
      <w:r w:rsidR="007E1020" w:rsidRPr="002C067E">
        <w:rPr>
          <w:sz w:val="20"/>
          <w:lang w:val="es-ES_tradnl"/>
        </w:rPr>
        <w:t>nal equilibrado de P.I.</w:t>
      </w:r>
      <w:r w:rsidR="007B2C29" w:rsidRPr="002C067E">
        <w:rPr>
          <w:sz w:val="20"/>
          <w:lang w:val="es-ES_tradnl"/>
        </w:rPr>
        <w:t xml:space="preserve">: </w:t>
      </w:r>
    </w:p>
    <w:p w:rsidR="007B2C29" w:rsidRPr="002C067E" w:rsidRDefault="007B2C29" w:rsidP="006E3E3C">
      <w:pPr>
        <w:jc w:val="both"/>
        <w:rPr>
          <w:sz w:val="20"/>
          <w:lang w:val="es-ES_tradnl"/>
        </w:rPr>
      </w:pPr>
    </w:p>
    <w:p w:rsidR="007B2C29" w:rsidRPr="002C067E" w:rsidRDefault="00C8709B" w:rsidP="006E3E3C">
      <w:pPr>
        <w:numPr>
          <w:ilvl w:val="0"/>
          <w:numId w:val="5"/>
        </w:numPr>
        <w:tabs>
          <w:tab w:val="clear" w:pos="927"/>
          <w:tab w:val="num" w:pos="1701"/>
        </w:tabs>
        <w:ind w:left="1701" w:hanging="567"/>
        <w:jc w:val="both"/>
        <w:rPr>
          <w:sz w:val="20"/>
          <w:lang w:val="es-ES_tradnl"/>
        </w:rPr>
      </w:pPr>
      <w:r w:rsidRPr="002C067E">
        <w:rPr>
          <w:sz w:val="20"/>
          <w:lang w:val="es-ES_tradnl"/>
        </w:rPr>
        <w:t>La OMPI se esforzará por avan</w:t>
      </w:r>
      <w:r w:rsidR="0082777F" w:rsidRPr="002C067E">
        <w:rPr>
          <w:sz w:val="20"/>
          <w:lang w:val="es-ES_tradnl"/>
        </w:rPr>
        <w:t>zar</w:t>
      </w:r>
      <w:r w:rsidRPr="002C067E">
        <w:rPr>
          <w:sz w:val="20"/>
          <w:lang w:val="es-ES_tradnl"/>
        </w:rPr>
        <w:t xml:space="preserve"> en el establecimiento de un marco jurídico internacional equilibrado en el ámbito de las marcas y los </w:t>
      </w:r>
      <w:r w:rsidR="0082777F" w:rsidRPr="002C067E">
        <w:rPr>
          <w:sz w:val="20"/>
          <w:lang w:val="es-ES_tradnl"/>
        </w:rPr>
        <w:t xml:space="preserve">diseños </w:t>
      </w:r>
      <w:r w:rsidRPr="002C067E">
        <w:rPr>
          <w:sz w:val="20"/>
        </w:rPr>
        <w:t>industriales</w:t>
      </w:r>
      <w:r w:rsidRPr="002C067E">
        <w:rPr>
          <w:sz w:val="20"/>
          <w:lang w:val="es-ES_tradnl"/>
        </w:rPr>
        <w:t xml:space="preserve"> que sea propicio para la innovación y el crecimiento económico, especialmente en lo que atañe a un </w:t>
      </w:r>
      <w:r w:rsidRPr="002C067E">
        <w:rPr>
          <w:sz w:val="20"/>
        </w:rPr>
        <w:t>tratado</w:t>
      </w:r>
      <w:r w:rsidRPr="002C067E">
        <w:rPr>
          <w:sz w:val="20"/>
          <w:lang w:val="es-ES_tradnl"/>
        </w:rPr>
        <w:t xml:space="preserve"> internacional para </w:t>
      </w:r>
      <w:r w:rsidR="00221AD8" w:rsidRPr="002C067E">
        <w:rPr>
          <w:sz w:val="20"/>
          <w:lang w:val="es-ES_tradnl"/>
        </w:rPr>
        <w:t xml:space="preserve">facilitar </w:t>
      </w:r>
      <w:r w:rsidRPr="002C067E">
        <w:rPr>
          <w:sz w:val="20"/>
          <w:lang w:val="es-ES_tradnl"/>
        </w:rPr>
        <w:t xml:space="preserve">los procedimientos de registro de los </w:t>
      </w:r>
      <w:r w:rsidRPr="002C067E">
        <w:rPr>
          <w:sz w:val="20"/>
        </w:rPr>
        <w:t>di</w:t>
      </w:r>
      <w:r w:rsidR="0082777F" w:rsidRPr="002C067E">
        <w:rPr>
          <w:sz w:val="20"/>
        </w:rPr>
        <w:t>s</w:t>
      </w:r>
      <w:r w:rsidRPr="002C067E">
        <w:rPr>
          <w:sz w:val="20"/>
        </w:rPr>
        <w:t>e</w:t>
      </w:r>
      <w:r w:rsidR="0082777F" w:rsidRPr="002C067E">
        <w:rPr>
          <w:sz w:val="20"/>
        </w:rPr>
        <w:t>ñ</w:t>
      </w:r>
      <w:r w:rsidRPr="002C067E">
        <w:rPr>
          <w:sz w:val="20"/>
        </w:rPr>
        <w:t>os industriales</w:t>
      </w:r>
      <w:r w:rsidR="007B2C29" w:rsidRPr="002C067E">
        <w:rPr>
          <w:sz w:val="20"/>
          <w:lang w:val="es-ES_tradnl"/>
        </w:rPr>
        <w:t>.</w:t>
      </w:r>
      <w:r w:rsidRPr="002C067E">
        <w:rPr>
          <w:sz w:val="20"/>
          <w:lang w:val="es-ES_tradnl"/>
        </w:rPr>
        <w:t xml:space="preserve">  A reserva de la decisión de la Asamblea General de la OMPI, esta labor dará como resultado la celebración </w:t>
      </w:r>
      <w:r w:rsidR="00221AD8" w:rsidRPr="002C067E">
        <w:rPr>
          <w:sz w:val="20"/>
        </w:rPr>
        <w:t>durante el bienio</w:t>
      </w:r>
      <w:r w:rsidR="00221AD8" w:rsidRPr="002C067E">
        <w:rPr>
          <w:sz w:val="20"/>
          <w:lang w:val="es-ES_tradnl"/>
        </w:rPr>
        <w:t xml:space="preserve"> </w:t>
      </w:r>
      <w:r w:rsidRPr="002C067E">
        <w:rPr>
          <w:sz w:val="20"/>
          <w:lang w:val="es-ES_tradnl"/>
        </w:rPr>
        <w:t xml:space="preserve">de una Conferencia Diplomática para la adopción de un </w:t>
      </w:r>
      <w:r w:rsidR="00ED68AB">
        <w:rPr>
          <w:sz w:val="20"/>
        </w:rPr>
        <w:t>tratado sobre el D</w:t>
      </w:r>
      <w:r w:rsidRPr="002C067E">
        <w:rPr>
          <w:sz w:val="20"/>
        </w:rPr>
        <w:t xml:space="preserve">erecho de los diseños </w:t>
      </w:r>
      <w:r w:rsidR="0082777F" w:rsidRPr="002C067E">
        <w:rPr>
          <w:sz w:val="20"/>
        </w:rPr>
        <w:t>industriales</w:t>
      </w:r>
      <w:r w:rsidRPr="002C067E">
        <w:rPr>
          <w:sz w:val="20"/>
        </w:rPr>
        <w:t>.</w:t>
      </w:r>
    </w:p>
    <w:p w:rsidR="007B2C29" w:rsidRPr="002C067E" w:rsidRDefault="007B2C29" w:rsidP="006E3E3C">
      <w:pPr>
        <w:ind w:left="1134"/>
        <w:jc w:val="both"/>
        <w:rPr>
          <w:sz w:val="20"/>
          <w:lang w:val="es-ES_tradnl"/>
        </w:rPr>
      </w:pPr>
    </w:p>
    <w:p w:rsidR="00B22442" w:rsidRPr="002C067E" w:rsidRDefault="00C8709B" w:rsidP="006E3E3C">
      <w:pPr>
        <w:numPr>
          <w:ilvl w:val="0"/>
          <w:numId w:val="5"/>
        </w:numPr>
        <w:tabs>
          <w:tab w:val="clear" w:pos="927"/>
          <w:tab w:val="num" w:pos="1701"/>
        </w:tabs>
        <w:ind w:left="1701" w:hanging="567"/>
        <w:jc w:val="both"/>
        <w:rPr>
          <w:sz w:val="20"/>
          <w:lang w:val="es-ES_tradnl"/>
        </w:rPr>
      </w:pPr>
      <w:r w:rsidRPr="002C067E">
        <w:rPr>
          <w:sz w:val="20"/>
          <w:lang w:val="es-ES_tradnl"/>
        </w:rPr>
        <w:t>Los avances e</w:t>
      </w:r>
      <w:r w:rsidR="007B2C29" w:rsidRPr="002C067E">
        <w:rPr>
          <w:sz w:val="20"/>
          <w:lang w:val="es-ES_tradnl"/>
        </w:rPr>
        <w:t>n</w:t>
      </w:r>
      <w:r w:rsidRPr="002C067E">
        <w:rPr>
          <w:sz w:val="20"/>
          <w:lang w:val="es-ES_tradnl"/>
        </w:rPr>
        <w:t xml:space="preserve"> la agenda normativa sobre derecho de autor y </w:t>
      </w:r>
      <w:r w:rsidRPr="002C067E">
        <w:rPr>
          <w:snapToGrid w:val="0"/>
          <w:sz w:val="20"/>
        </w:rPr>
        <w:t>derechos conexos</w:t>
      </w:r>
      <w:r w:rsidR="007B2C29" w:rsidRPr="002C067E">
        <w:rPr>
          <w:sz w:val="20"/>
          <w:lang w:val="es-ES_tradnl"/>
        </w:rPr>
        <w:t xml:space="preserve"> </w:t>
      </w:r>
      <w:r w:rsidRPr="002C067E">
        <w:rPr>
          <w:sz w:val="20"/>
          <w:lang w:val="es-ES_tradnl"/>
        </w:rPr>
        <w:t>se centrarán en facilitar la labor relativa a la propuesta d</w:t>
      </w:r>
      <w:r w:rsidR="007B2C29" w:rsidRPr="002C067E">
        <w:rPr>
          <w:sz w:val="20"/>
          <w:lang w:val="es-ES_tradnl"/>
        </w:rPr>
        <w:t>e</w:t>
      </w:r>
      <w:r w:rsidRPr="002C067E">
        <w:rPr>
          <w:sz w:val="20"/>
          <w:lang w:val="es-ES_tradnl"/>
        </w:rPr>
        <w:t xml:space="preserve"> </w:t>
      </w:r>
      <w:r w:rsidRPr="002C067E">
        <w:rPr>
          <w:sz w:val="20"/>
        </w:rPr>
        <w:t>tratado</w:t>
      </w:r>
      <w:r w:rsidRPr="002C067E">
        <w:rPr>
          <w:sz w:val="20"/>
          <w:lang w:val="es-ES_tradnl"/>
        </w:rPr>
        <w:t xml:space="preserve"> sobre </w:t>
      </w:r>
      <w:r w:rsidR="0082777F" w:rsidRPr="002C067E">
        <w:rPr>
          <w:sz w:val="20"/>
          <w:lang w:val="es-ES_tradnl"/>
        </w:rPr>
        <w:t xml:space="preserve">los organismos de </w:t>
      </w:r>
      <w:r w:rsidRPr="002C067E">
        <w:rPr>
          <w:sz w:val="20"/>
          <w:lang w:val="es-ES_tradnl"/>
        </w:rPr>
        <w:t xml:space="preserve">radiodifusión y a los debates </w:t>
      </w:r>
      <w:r w:rsidR="0082777F" w:rsidRPr="002C067E">
        <w:rPr>
          <w:sz w:val="20"/>
          <w:lang w:val="es-ES_tradnl"/>
        </w:rPr>
        <w:t>sobr</w:t>
      </w:r>
      <w:r w:rsidRPr="002C067E">
        <w:rPr>
          <w:sz w:val="20"/>
          <w:lang w:val="es-ES_tradnl"/>
        </w:rPr>
        <w:t xml:space="preserve">e normas de derecho de autor </w:t>
      </w:r>
      <w:r w:rsidR="00B41953" w:rsidRPr="002C067E">
        <w:rPr>
          <w:sz w:val="20"/>
          <w:lang w:val="es-ES_tradnl"/>
        </w:rPr>
        <w:t>en relación con</w:t>
      </w:r>
      <w:r w:rsidRPr="002C067E">
        <w:rPr>
          <w:sz w:val="20"/>
          <w:lang w:val="es-ES_tradnl"/>
        </w:rPr>
        <w:t xml:space="preserve"> otras </w:t>
      </w:r>
      <w:r w:rsidRPr="002C067E">
        <w:rPr>
          <w:sz w:val="20"/>
          <w:szCs w:val="24"/>
        </w:rPr>
        <w:t>excepciones y limitaciones</w:t>
      </w:r>
      <w:r w:rsidRPr="002C067E">
        <w:rPr>
          <w:sz w:val="20"/>
          <w:lang w:val="es-ES_tradnl"/>
        </w:rPr>
        <w:t xml:space="preserve"> que tiene</w:t>
      </w:r>
      <w:r w:rsidR="0082777F" w:rsidRPr="002C067E">
        <w:rPr>
          <w:sz w:val="20"/>
          <w:lang w:val="es-ES_tradnl"/>
        </w:rPr>
        <w:t>n</w:t>
      </w:r>
      <w:r w:rsidRPr="002C067E">
        <w:rPr>
          <w:sz w:val="20"/>
          <w:lang w:val="es-ES_tradnl"/>
        </w:rPr>
        <w:t xml:space="preserve"> lugar actualmente en el</w:t>
      </w:r>
      <w:r w:rsidR="007B2C29" w:rsidRPr="002C067E">
        <w:rPr>
          <w:sz w:val="20"/>
          <w:lang w:val="es-ES_tradnl"/>
        </w:rPr>
        <w:t xml:space="preserve"> SCCR</w:t>
      </w:r>
      <w:r w:rsidR="00B22442" w:rsidRPr="002C067E">
        <w:rPr>
          <w:sz w:val="20"/>
          <w:lang w:val="es-ES_tradnl"/>
        </w:rPr>
        <w:t>.</w:t>
      </w:r>
    </w:p>
    <w:p w:rsidR="007B2C29" w:rsidRPr="002C067E" w:rsidRDefault="007B2C29" w:rsidP="006E3E3C">
      <w:pPr>
        <w:jc w:val="both"/>
        <w:rPr>
          <w:sz w:val="20"/>
          <w:lang w:val="es-ES_tradnl"/>
        </w:rPr>
      </w:pPr>
    </w:p>
    <w:p w:rsidR="007B2C29" w:rsidRPr="002C067E" w:rsidRDefault="0082081C" w:rsidP="006E3E3C">
      <w:pPr>
        <w:numPr>
          <w:ilvl w:val="0"/>
          <w:numId w:val="5"/>
        </w:numPr>
        <w:tabs>
          <w:tab w:val="clear" w:pos="927"/>
          <w:tab w:val="num" w:pos="1701"/>
        </w:tabs>
        <w:ind w:left="1701" w:hanging="567"/>
        <w:jc w:val="both"/>
        <w:rPr>
          <w:sz w:val="20"/>
          <w:lang w:val="es-ES_tradnl"/>
        </w:rPr>
      </w:pPr>
      <w:r w:rsidRPr="002C067E">
        <w:rPr>
          <w:bCs/>
          <w:sz w:val="20"/>
          <w:lang w:val="es-ES_tradnl"/>
        </w:rPr>
        <w:t xml:space="preserve">Con arreglo al mandato del Comité Intergubernamental sobre Propiedad Intelectual y Recursos Genéticos, Conocimientos Tradicionales y Folclore (CIG), la Secretaría se centrará en proporcionar un entorno propicio para las negociaciones específicas entre los Estados miembros </w:t>
      </w:r>
      <w:r w:rsidR="00AD4865" w:rsidRPr="002C067E">
        <w:rPr>
          <w:bCs/>
          <w:sz w:val="20"/>
          <w:lang w:val="es-ES_tradnl"/>
        </w:rPr>
        <w:t>y otros participantes en el CIG</w:t>
      </w:r>
      <w:r w:rsidRPr="002C067E">
        <w:rPr>
          <w:bCs/>
          <w:sz w:val="20"/>
          <w:lang w:val="es-ES_tradnl"/>
        </w:rPr>
        <w:t xml:space="preserve"> que dé lugar a </w:t>
      </w:r>
      <w:r w:rsidR="008D1FC9" w:rsidRPr="002C067E">
        <w:rPr>
          <w:bCs/>
          <w:sz w:val="20"/>
          <w:lang w:val="es-ES_tradnl"/>
        </w:rPr>
        <w:t>interpretaciones</w:t>
      </w:r>
      <w:r w:rsidRPr="002C067E">
        <w:rPr>
          <w:bCs/>
          <w:sz w:val="20"/>
          <w:lang w:val="es-ES_tradnl"/>
        </w:rPr>
        <w:t xml:space="preserve"> comunes y a la convergencia de opiniones y, posteriormente, </w:t>
      </w:r>
      <w:r w:rsidR="0082777F" w:rsidRPr="002C067E">
        <w:rPr>
          <w:bCs/>
          <w:sz w:val="20"/>
          <w:lang w:val="es-ES_tradnl"/>
        </w:rPr>
        <w:t xml:space="preserve">a </w:t>
      </w:r>
      <w:r w:rsidRPr="002C067E">
        <w:rPr>
          <w:bCs/>
          <w:sz w:val="20"/>
          <w:lang w:val="es-ES_tradnl"/>
        </w:rPr>
        <w:t>la adopción de uno o varios instrumentos jurídicos internacionales.</w:t>
      </w:r>
    </w:p>
    <w:p w:rsidR="007B2C29" w:rsidRPr="002C067E" w:rsidRDefault="007B2C29" w:rsidP="006E3E3C">
      <w:pPr>
        <w:ind w:left="1134"/>
        <w:jc w:val="both"/>
        <w:rPr>
          <w:sz w:val="20"/>
          <w:lang w:val="es-ES_tradnl"/>
        </w:rPr>
      </w:pPr>
    </w:p>
    <w:p w:rsidR="00B22442" w:rsidRPr="002C067E" w:rsidRDefault="0082081C" w:rsidP="006E3E3C">
      <w:pPr>
        <w:numPr>
          <w:ilvl w:val="0"/>
          <w:numId w:val="5"/>
        </w:numPr>
        <w:tabs>
          <w:tab w:val="clear" w:pos="927"/>
          <w:tab w:val="num" w:pos="1701"/>
        </w:tabs>
        <w:ind w:left="1701" w:hanging="567"/>
        <w:jc w:val="both"/>
        <w:rPr>
          <w:color w:val="000000"/>
          <w:sz w:val="20"/>
          <w:lang w:val="es-ES_tradnl"/>
        </w:rPr>
      </w:pPr>
      <w:r w:rsidRPr="002C067E">
        <w:rPr>
          <w:sz w:val="20"/>
          <w:lang w:val="es-ES_tradnl"/>
        </w:rPr>
        <w:t xml:space="preserve">Tras los avances realizados en la revisión del </w:t>
      </w:r>
      <w:r w:rsidRPr="002C067E">
        <w:rPr>
          <w:sz w:val="20"/>
        </w:rPr>
        <w:t>Arreglo de Lisboa</w:t>
      </w:r>
      <w:r w:rsidRPr="002C067E">
        <w:rPr>
          <w:sz w:val="20"/>
          <w:lang w:val="es-ES_tradnl"/>
        </w:rPr>
        <w:t xml:space="preserve"> con el fin de modernizar el sistema de Lisboa, el Grupo de Trabajo sobre el Desarrollo del </w:t>
      </w:r>
      <w:r w:rsidR="0082777F" w:rsidRPr="002C067E">
        <w:rPr>
          <w:sz w:val="20"/>
          <w:lang w:val="es-ES_tradnl"/>
        </w:rPr>
        <w:t>S</w:t>
      </w:r>
      <w:r w:rsidRPr="002C067E">
        <w:rPr>
          <w:sz w:val="20"/>
          <w:lang w:val="es-ES_tradnl"/>
        </w:rPr>
        <w:t>istema de Lisboa ha acordado que se efectúe una recomendación a la Asamblea de la Unión de Lisboa a</w:t>
      </w:r>
      <w:r w:rsidR="0082777F" w:rsidRPr="002C067E">
        <w:rPr>
          <w:sz w:val="20"/>
          <w:lang w:val="es-ES_tradnl"/>
        </w:rPr>
        <w:t xml:space="preserve"> fin de</w:t>
      </w:r>
      <w:r w:rsidRPr="002C067E">
        <w:rPr>
          <w:sz w:val="20"/>
          <w:lang w:val="es-ES_tradnl"/>
        </w:rPr>
        <w:t xml:space="preserve"> que convoque una Conferencia Diplomática para la adopción de un </w:t>
      </w:r>
      <w:r w:rsidRPr="002C067E">
        <w:rPr>
          <w:sz w:val="20"/>
        </w:rPr>
        <w:t>Arreglo de Lisboa</w:t>
      </w:r>
      <w:r w:rsidRPr="002C067E">
        <w:rPr>
          <w:sz w:val="20"/>
          <w:lang w:val="es-ES_tradnl"/>
        </w:rPr>
        <w:t xml:space="preserve"> revisado e</w:t>
      </w:r>
      <w:r w:rsidR="00DF7F45" w:rsidRPr="002C067E">
        <w:rPr>
          <w:sz w:val="20"/>
          <w:lang w:val="es-ES_tradnl"/>
        </w:rPr>
        <w:t>n 2</w:t>
      </w:r>
      <w:r w:rsidRPr="002C067E">
        <w:rPr>
          <w:sz w:val="20"/>
          <w:lang w:val="es-ES_tradnl"/>
        </w:rPr>
        <w:t xml:space="preserve">015, dejándose en manos de un </w:t>
      </w:r>
      <w:r w:rsidR="0082777F" w:rsidRPr="002C067E">
        <w:rPr>
          <w:sz w:val="20"/>
          <w:lang w:val="es-ES_tradnl"/>
        </w:rPr>
        <w:lastRenderedPageBreak/>
        <w:t>c</w:t>
      </w:r>
      <w:r w:rsidRPr="002C067E">
        <w:rPr>
          <w:sz w:val="20"/>
          <w:lang w:val="es-ES_tradnl"/>
        </w:rPr>
        <w:t xml:space="preserve">omité </w:t>
      </w:r>
      <w:r w:rsidR="0082777F" w:rsidRPr="002C067E">
        <w:rPr>
          <w:sz w:val="20"/>
          <w:lang w:val="es-ES_tradnl"/>
        </w:rPr>
        <w:t>p</w:t>
      </w:r>
      <w:r w:rsidRPr="002C067E">
        <w:rPr>
          <w:sz w:val="20"/>
          <w:lang w:val="es-ES_tradnl"/>
        </w:rPr>
        <w:t>reparatori</w:t>
      </w:r>
      <w:r w:rsidR="00B22442" w:rsidRPr="002C067E">
        <w:rPr>
          <w:sz w:val="20"/>
          <w:lang w:val="es-ES_tradnl"/>
        </w:rPr>
        <w:t>o l</w:t>
      </w:r>
      <w:r w:rsidRPr="002C067E">
        <w:rPr>
          <w:sz w:val="20"/>
          <w:lang w:val="es-ES_tradnl"/>
        </w:rPr>
        <w:t xml:space="preserve">a decisión </w:t>
      </w:r>
      <w:r w:rsidR="00E53CFB" w:rsidRPr="002C067E">
        <w:rPr>
          <w:sz w:val="20"/>
          <w:lang w:val="es-ES_tradnl"/>
        </w:rPr>
        <w:t>sobre</w:t>
      </w:r>
      <w:r w:rsidRPr="002C067E">
        <w:rPr>
          <w:sz w:val="20"/>
          <w:lang w:val="es-ES_tradnl"/>
        </w:rPr>
        <w:t xml:space="preserve"> las fechas y el lugar exactos de dicha Conferencia</w:t>
      </w:r>
      <w:r w:rsidR="00B22442" w:rsidRPr="002C067E">
        <w:rPr>
          <w:color w:val="000000"/>
          <w:sz w:val="20"/>
          <w:lang w:val="es-ES_tradnl"/>
        </w:rPr>
        <w:t>.</w:t>
      </w:r>
    </w:p>
    <w:p w:rsidR="007B2C29" w:rsidRPr="002C067E" w:rsidRDefault="007B2C29" w:rsidP="006E3E3C">
      <w:pPr>
        <w:jc w:val="both"/>
        <w:rPr>
          <w:sz w:val="20"/>
          <w:lang w:val="es-ES_tradnl"/>
        </w:rPr>
      </w:pPr>
    </w:p>
    <w:p w:rsidR="00B22442" w:rsidRPr="002C067E" w:rsidRDefault="0082081C" w:rsidP="006E3E3C">
      <w:pPr>
        <w:numPr>
          <w:ilvl w:val="0"/>
          <w:numId w:val="5"/>
        </w:numPr>
        <w:tabs>
          <w:tab w:val="clear" w:pos="927"/>
          <w:tab w:val="num" w:pos="1701"/>
        </w:tabs>
        <w:ind w:left="1701" w:hanging="567"/>
        <w:jc w:val="both"/>
        <w:rPr>
          <w:sz w:val="20"/>
          <w:lang w:val="es-ES_tradnl"/>
        </w:rPr>
      </w:pPr>
      <w:r w:rsidRPr="002C067E">
        <w:rPr>
          <w:sz w:val="20"/>
          <w:lang w:val="es-ES_tradnl"/>
        </w:rPr>
        <w:t xml:space="preserve">En la propuesta de presupuesto por programas se ha </w:t>
      </w:r>
      <w:r w:rsidR="00A012F4" w:rsidRPr="002C067E">
        <w:rPr>
          <w:sz w:val="20"/>
          <w:lang w:val="es-ES_tradnl"/>
        </w:rPr>
        <w:t>a</w:t>
      </w:r>
      <w:r w:rsidRPr="002C067E">
        <w:rPr>
          <w:sz w:val="20"/>
          <w:lang w:val="es-ES_tradnl"/>
        </w:rPr>
        <w:t>signado una p</w:t>
      </w:r>
      <w:r w:rsidR="00A012F4" w:rsidRPr="002C067E">
        <w:rPr>
          <w:sz w:val="20"/>
          <w:lang w:val="es-ES_tradnl"/>
        </w:rPr>
        <w:t>a</w:t>
      </w:r>
      <w:r w:rsidRPr="002C067E">
        <w:rPr>
          <w:sz w:val="20"/>
          <w:lang w:val="es-ES_tradnl"/>
        </w:rPr>
        <w:t>r</w:t>
      </w:r>
      <w:r w:rsidR="00A012F4" w:rsidRPr="002C067E">
        <w:rPr>
          <w:sz w:val="20"/>
          <w:lang w:val="es-ES_tradnl"/>
        </w:rPr>
        <w:t>t</w:t>
      </w:r>
      <w:r w:rsidRPr="002C067E">
        <w:rPr>
          <w:sz w:val="20"/>
          <w:lang w:val="es-ES_tradnl"/>
        </w:rPr>
        <w:t>i</w:t>
      </w:r>
      <w:r w:rsidR="00A012F4" w:rsidRPr="002C067E">
        <w:rPr>
          <w:sz w:val="20"/>
          <w:lang w:val="es-ES_tradnl"/>
        </w:rPr>
        <w:t>da</w:t>
      </w:r>
      <w:r w:rsidRPr="002C067E">
        <w:rPr>
          <w:sz w:val="20"/>
          <w:lang w:val="es-ES_tradnl"/>
        </w:rPr>
        <w:t xml:space="preserve"> para </w:t>
      </w:r>
      <w:r w:rsidR="00A012F4" w:rsidRPr="002C067E">
        <w:rPr>
          <w:sz w:val="20"/>
          <w:lang w:val="es-ES_tradnl"/>
        </w:rPr>
        <w:t xml:space="preserve">la posible celebración de </w:t>
      </w:r>
      <w:r w:rsidRPr="002C067E">
        <w:rPr>
          <w:sz w:val="20"/>
          <w:lang w:val="es-ES_tradnl"/>
        </w:rPr>
        <w:t>conferencias diplomáticas en caso de que los Estados miembros</w:t>
      </w:r>
      <w:r w:rsidR="00A012F4" w:rsidRPr="002C067E">
        <w:rPr>
          <w:sz w:val="20"/>
          <w:lang w:val="es-ES_tradnl"/>
        </w:rPr>
        <w:t xml:space="preserve"> decidan convocar ese tipo de conferencias</w:t>
      </w:r>
      <w:r w:rsidRPr="002C067E">
        <w:rPr>
          <w:sz w:val="20"/>
          <w:lang w:val="es-ES_tradnl"/>
        </w:rPr>
        <w:t xml:space="preserve"> en el bieni</w:t>
      </w:r>
      <w:r w:rsidR="00DF7F45" w:rsidRPr="002C067E">
        <w:rPr>
          <w:sz w:val="20"/>
          <w:lang w:val="es-ES_tradnl"/>
        </w:rPr>
        <w:t>o 2</w:t>
      </w:r>
      <w:r w:rsidR="007B2C29" w:rsidRPr="002C067E">
        <w:rPr>
          <w:sz w:val="20"/>
          <w:lang w:val="es-ES_tradnl"/>
        </w:rPr>
        <w:t>014/15</w:t>
      </w:r>
      <w:r w:rsidR="00B22442" w:rsidRPr="002C067E">
        <w:rPr>
          <w:sz w:val="20"/>
          <w:lang w:val="es-ES_tradnl"/>
        </w:rPr>
        <w:t>.</w:t>
      </w:r>
    </w:p>
    <w:p w:rsidR="007B2C29" w:rsidRPr="002C067E" w:rsidRDefault="007B2C29" w:rsidP="006E3E3C">
      <w:pPr>
        <w:jc w:val="both"/>
        <w:rPr>
          <w:sz w:val="20"/>
          <w:lang w:val="es-ES_tradnl"/>
        </w:rPr>
      </w:pPr>
    </w:p>
    <w:p w:rsidR="007B2C29" w:rsidRPr="002C067E" w:rsidRDefault="008004E5" w:rsidP="006E3E3C">
      <w:pPr>
        <w:ind w:left="567"/>
        <w:jc w:val="both"/>
        <w:rPr>
          <w:sz w:val="20"/>
          <w:lang w:val="es-ES_tradnl"/>
        </w:rPr>
      </w:pPr>
      <w:r w:rsidRPr="002C067E">
        <w:rPr>
          <w:sz w:val="20"/>
          <w:lang w:val="es-ES_tradnl"/>
        </w:rPr>
        <w:t>iv)</w:t>
      </w:r>
      <w:r w:rsidRPr="002C067E">
        <w:rPr>
          <w:sz w:val="20"/>
          <w:lang w:val="es-ES_tradnl"/>
        </w:rPr>
        <w:tab/>
      </w:r>
      <w:r w:rsidR="0082081C" w:rsidRPr="002C067E">
        <w:rPr>
          <w:sz w:val="20"/>
          <w:lang w:val="es-ES_tradnl"/>
        </w:rPr>
        <w:t>Mejora</w:t>
      </w:r>
      <w:r w:rsidR="00A012F4" w:rsidRPr="002C067E">
        <w:rPr>
          <w:sz w:val="20"/>
          <w:lang w:val="es-ES_tradnl"/>
        </w:rPr>
        <w:t>r</w:t>
      </w:r>
      <w:r w:rsidR="0082081C" w:rsidRPr="002C067E">
        <w:rPr>
          <w:sz w:val="20"/>
          <w:lang w:val="es-ES_tradnl"/>
        </w:rPr>
        <w:t xml:space="preserve"> el acceso a la información sobre P.I. y su utilización por las instituciones </w:t>
      </w:r>
      <w:r w:rsidR="00A012F4" w:rsidRPr="002C067E">
        <w:rPr>
          <w:sz w:val="20"/>
          <w:lang w:val="es-ES_tradnl"/>
        </w:rPr>
        <w:t xml:space="preserve">de </w:t>
      </w:r>
      <w:r w:rsidR="0082081C" w:rsidRPr="002C067E">
        <w:rPr>
          <w:sz w:val="20"/>
          <w:lang w:val="es-ES_tradnl"/>
        </w:rPr>
        <w:t>P.I. y el público, para fomentar la innovación y la creatividad</w:t>
      </w:r>
      <w:r w:rsidR="007B2C29" w:rsidRPr="002C067E">
        <w:rPr>
          <w:sz w:val="20"/>
          <w:lang w:val="es-ES_tradnl"/>
        </w:rPr>
        <w:t xml:space="preserve">.  </w:t>
      </w:r>
      <w:r w:rsidR="0082081C" w:rsidRPr="002C067E">
        <w:rPr>
          <w:sz w:val="20"/>
          <w:lang w:val="es-ES_tradnl"/>
        </w:rPr>
        <w:t>En primer lugar</w:t>
      </w:r>
      <w:r w:rsidR="007B2C29" w:rsidRPr="002C067E">
        <w:rPr>
          <w:sz w:val="20"/>
          <w:lang w:val="es-ES_tradnl"/>
        </w:rPr>
        <w:t xml:space="preserve">, </w:t>
      </w:r>
      <w:r w:rsidR="00DC488B" w:rsidRPr="002C067E">
        <w:rPr>
          <w:sz w:val="20"/>
          <w:lang w:val="es-ES_tradnl"/>
        </w:rPr>
        <w:t xml:space="preserve">la OMPI seguirá ampliando </w:t>
      </w:r>
      <w:r w:rsidR="00791712" w:rsidRPr="002C067E">
        <w:rPr>
          <w:color w:val="000000"/>
          <w:sz w:val="20"/>
          <w:lang w:val="es-ES_tradnl"/>
        </w:rPr>
        <w:t xml:space="preserve">la cobertura geográfica de las colecciones </w:t>
      </w:r>
      <w:r w:rsidR="00791712" w:rsidRPr="002C067E">
        <w:rPr>
          <w:color w:val="000000"/>
          <w:sz w:val="20"/>
        </w:rPr>
        <w:t>nacional</w:t>
      </w:r>
      <w:r w:rsidR="00791712" w:rsidRPr="002C067E">
        <w:rPr>
          <w:color w:val="000000"/>
          <w:sz w:val="20"/>
          <w:lang w:val="es-ES_tradnl"/>
        </w:rPr>
        <w:t xml:space="preserve">es </w:t>
      </w:r>
      <w:r w:rsidR="00791712" w:rsidRPr="002C067E">
        <w:rPr>
          <w:sz w:val="20"/>
          <w:lang w:val="es-ES_tradnl"/>
        </w:rPr>
        <w:t xml:space="preserve">que figuran en </w:t>
      </w:r>
      <w:r w:rsidR="00DC488B" w:rsidRPr="002C067E">
        <w:rPr>
          <w:sz w:val="20"/>
          <w:lang w:val="es-ES_tradnl"/>
        </w:rPr>
        <w:t xml:space="preserve">las bases de datos </w:t>
      </w:r>
      <w:r w:rsidR="006C1CA3" w:rsidRPr="002C067E">
        <w:rPr>
          <w:sz w:val="20"/>
          <w:lang w:val="es-ES_tradnl"/>
        </w:rPr>
        <w:t xml:space="preserve">mundiales </w:t>
      </w:r>
      <w:r w:rsidR="00DC488B" w:rsidRPr="002C067E">
        <w:rPr>
          <w:color w:val="000000"/>
          <w:sz w:val="20"/>
          <w:lang w:val="es-ES_tradnl"/>
        </w:rPr>
        <w:t>y mejora</w:t>
      </w:r>
      <w:r w:rsidR="00A012F4" w:rsidRPr="002C067E">
        <w:rPr>
          <w:color w:val="000000"/>
          <w:sz w:val="20"/>
          <w:lang w:val="es-ES_tradnl"/>
        </w:rPr>
        <w:t>ndo</w:t>
      </w:r>
      <w:r w:rsidR="00DC488B" w:rsidRPr="002C067E">
        <w:rPr>
          <w:color w:val="000000"/>
          <w:sz w:val="20"/>
          <w:lang w:val="es-ES_tradnl"/>
        </w:rPr>
        <w:t xml:space="preserve"> la calidad de los datos en colaboración con las </w:t>
      </w:r>
      <w:r w:rsidR="00DC488B" w:rsidRPr="002C067E">
        <w:rPr>
          <w:color w:val="000000"/>
          <w:sz w:val="20"/>
        </w:rPr>
        <w:t>oficina</w:t>
      </w:r>
      <w:r w:rsidR="00DC488B" w:rsidRPr="002C067E">
        <w:rPr>
          <w:color w:val="000000"/>
          <w:sz w:val="20"/>
          <w:lang w:val="es-ES_tradnl"/>
        </w:rPr>
        <w:t xml:space="preserve">s de P.I. </w:t>
      </w:r>
      <w:r w:rsidR="007B2C29" w:rsidRPr="002C067E">
        <w:rPr>
          <w:color w:val="000000"/>
          <w:sz w:val="20"/>
          <w:lang w:val="es-ES_tradnl"/>
        </w:rPr>
        <w:t>in</w:t>
      </w:r>
      <w:r w:rsidR="00DC488B" w:rsidRPr="002C067E">
        <w:rPr>
          <w:color w:val="000000"/>
          <w:sz w:val="20"/>
          <w:lang w:val="es-ES_tradnl"/>
        </w:rPr>
        <w:t>teresadas</w:t>
      </w:r>
      <w:r w:rsidR="007B2C29" w:rsidRPr="002C067E">
        <w:rPr>
          <w:color w:val="000000"/>
          <w:sz w:val="20"/>
          <w:lang w:val="es-ES_tradnl"/>
        </w:rPr>
        <w:t xml:space="preserve">.  </w:t>
      </w:r>
      <w:r w:rsidR="00DC488B" w:rsidRPr="002C067E">
        <w:rPr>
          <w:color w:val="000000"/>
          <w:sz w:val="20"/>
          <w:lang w:val="es-ES_tradnl"/>
        </w:rPr>
        <w:t xml:space="preserve">Esto conllevará la creación de una base de datos </w:t>
      </w:r>
      <w:r w:rsidR="004C17A7" w:rsidRPr="002C067E">
        <w:rPr>
          <w:color w:val="000000"/>
          <w:sz w:val="20"/>
          <w:lang w:val="es-ES_tradnl"/>
        </w:rPr>
        <w:t xml:space="preserve">mundial </w:t>
      </w:r>
      <w:r w:rsidR="00DC488B" w:rsidRPr="002C067E">
        <w:rPr>
          <w:color w:val="000000"/>
          <w:sz w:val="20"/>
          <w:lang w:val="es-ES_tradnl"/>
        </w:rPr>
        <w:t>sobre dis</w:t>
      </w:r>
      <w:r w:rsidR="00B97FDA" w:rsidRPr="002C067E">
        <w:rPr>
          <w:color w:val="000000"/>
          <w:sz w:val="20"/>
          <w:lang w:val="es-ES_tradnl"/>
        </w:rPr>
        <w:t>eños para completar los datos correspondientes a</w:t>
      </w:r>
      <w:r w:rsidR="00DC488B" w:rsidRPr="002C067E">
        <w:rPr>
          <w:color w:val="000000"/>
          <w:sz w:val="20"/>
          <w:lang w:val="es-ES_tradnl"/>
        </w:rPr>
        <w:t xml:space="preserve"> </w:t>
      </w:r>
      <w:r w:rsidR="00A012F4" w:rsidRPr="002C067E">
        <w:rPr>
          <w:color w:val="000000"/>
          <w:sz w:val="20"/>
          <w:lang w:val="es-ES_tradnl"/>
        </w:rPr>
        <w:t xml:space="preserve">los principales tipos de </w:t>
      </w:r>
      <w:r w:rsidR="00DC488B" w:rsidRPr="002C067E">
        <w:rPr>
          <w:color w:val="000000"/>
          <w:sz w:val="20"/>
          <w:lang w:val="es-ES_tradnl"/>
        </w:rPr>
        <w:t>propiedad industrial</w:t>
      </w:r>
      <w:r w:rsidR="007B2C29" w:rsidRPr="002C067E">
        <w:rPr>
          <w:sz w:val="20"/>
          <w:lang w:val="es-ES_tradnl"/>
        </w:rPr>
        <w:t>.</w:t>
      </w:r>
      <w:r w:rsidR="007B2C29" w:rsidRPr="002C067E">
        <w:rPr>
          <w:color w:val="000000"/>
          <w:sz w:val="20"/>
          <w:lang w:val="es-ES_tradnl"/>
        </w:rPr>
        <w:t xml:space="preserve"> </w:t>
      </w:r>
      <w:r w:rsidR="007B2C29" w:rsidRPr="002C067E">
        <w:rPr>
          <w:sz w:val="20"/>
          <w:lang w:val="es-ES_tradnl"/>
        </w:rPr>
        <w:t xml:space="preserve"> </w:t>
      </w:r>
      <w:r w:rsidR="00DC488B" w:rsidRPr="002C067E">
        <w:rPr>
          <w:sz w:val="20"/>
          <w:lang w:val="es-ES_tradnl"/>
        </w:rPr>
        <w:t xml:space="preserve">En segundo lugar, se fomentará el acceso a los conocimientos </w:t>
      </w:r>
      <w:r w:rsidR="00A012F4" w:rsidRPr="002C067E">
        <w:rPr>
          <w:sz w:val="20"/>
          <w:lang w:val="es-ES_tradnl"/>
        </w:rPr>
        <w:t>d</w:t>
      </w:r>
      <w:r w:rsidR="00DC488B" w:rsidRPr="002C067E">
        <w:rPr>
          <w:sz w:val="20"/>
          <w:lang w:val="es-ES_tradnl"/>
        </w:rPr>
        <w:t>e P.I. medi</w:t>
      </w:r>
      <w:r w:rsidR="00A012F4" w:rsidRPr="002C067E">
        <w:rPr>
          <w:sz w:val="20"/>
          <w:lang w:val="es-ES_tradnl"/>
        </w:rPr>
        <w:t>ante</w:t>
      </w:r>
      <w:r w:rsidR="00DC488B" w:rsidRPr="002C067E">
        <w:rPr>
          <w:sz w:val="20"/>
          <w:lang w:val="es-ES_tradnl"/>
        </w:rPr>
        <w:t xml:space="preserve"> la creación de redes de centros de apoyo a la tecnología y la innovación (CATI) incorporando en todos los niveles el </w:t>
      </w:r>
      <w:r w:rsidR="00DC488B" w:rsidRPr="002C067E">
        <w:rPr>
          <w:snapToGrid w:val="0"/>
          <w:sz w:val="20"/>
          <w:lang w:val="es-ES_tradnl"/>
        </w:rPr>
        <w:t xml:space="preserve">proyecto </w:t>
      </w:r>
      <w:r w:rsidR="008A1F3F" w:rsidRPr="002C067E">
        <w:rPr>
          <w:snapToGrid w:val="0"/>
          <w:sz w:val="20"/>
          <w:lang w:val="es-ES_tradnl"/>
        </w:rPr>
        <w:t xml:space="preserve">ya finalizado </w:t>
      </w:r>
      <w:r w:rsidR="00DC488B" w:rsidRPr="002C067E">
        <w:rPr>
          <w:snapToGrid w:val="0"/>
          <w:sz w:val="20"/>
          <w:lang w:val="es-ES_tradnl"/>
        </w:rPr>
        <w:t xml:space="preserve">de la </w:t>
      </w:r>
      <w:r w:rsidR="00DC488B" w:rsidRPr="002C067E">
        <w:rPr>
          <w:snapToGrid w:val="0"/>
          <w:sz w:val="20"/>
          <w:szCs w:val="24"/>
          <w:lang w:val="es-ES_tradnl"/>
        </w:rPr>
        <w:t>Agenda para el Desarrollo</w:t>
      </w:r>
      <w:r w:rsidR="00DC488B" w:rsidRPr="002C067E">
        <w:rPr>
          <w:snapToGrid w:val="0"/>
          <w:sz w:val="20"/>
          <w:lang w:val="es-ES_tradnl"/>
        </w:rPr>
        <w:t xml:space="preserve"> </w:t>
      </w:r>
      <w:r w:rsidR="008A1F3F" w:rsidRPr="002C067E">
        <w:rPr>
          <w:snapToGrid w:val="0"/>
          <w:sz w:val="20"/>
          <w:lang w:val="es-ES_tradnl"/>
        </w:rPr>
        <w:t xml:space="preserve">que estaba </w:t>
      </w:r>
      <w:r w:rsidR="00DC488B" w:rsidRPr="002C067E">
        <w:rPr>
          <w:snapToGrid w:val="0"/>
          <w:sz w:val="20"/>
          <w:lang w:val="es-ES_tradnl"/>
        </w:rPr>
        <w:t xml:space="preserve">dividido en </w:t>
      </w:r>
      <w:r w:rsidR="004C17A7" w:rsidRPr="002C067E">
        <w:rPr>
          <w:snapToGrid w:val="0"/>
          <w:sz w:val="20"/>
          <w:lang w:val="es-ES_tradnl"/>
        </w:rPr>
        <w:t>dos fases.  En tercer lugar, se fortalecerá</w:t>
      </w:r>
      <w:r w:rsidR="00DC488B" w:rsidRPr="002C067E">
        <w:rPr>
          <w:snapToGrid w:val="0"/>
          <w:sz w:val="20"/>
          <w:lang w:val="es-ES_tradnl"/>
        </w:rPr>
        <w:t xml:space="preserve"> la infraestructura técnica de las </w:t>
      </w:r>
      <w:r w:rsidR="00DC488B" w:rsidRPr="002C067E">
        <w:rPr>
          <w:snapToGrid w:val="0"/>
          <w:sz w:val="20"/>
        </w:rPr>
        <w:t>oficinas de P.I. mediante un modelo de asistencia técnica revisado, centrado en la consecución de resultados sostenibles en cada uno de los países, y en el que la OMPI pasará a desempeñar cada vez más una función de proveedor de servicios.  Una nueva estrategia del bieni</w:t>
      </w:r>
      <w:r w:rsidR="00DF7F45" w:rsidRPr="002C067E">
        <w:rPr>
          <w:snapToGrid w:val="0"/>
          <w:sz w:val="20"/>
        </w:rPr>
        <w:t>o 2</w:t>
      </w:r>
      <w:r w:rsidR="00DC488B" w:rsidRPr="002C067E">
        <w:rPr>
          <w:snapToGrid w:val="0"/>
          <w:sz w:val="20"/>
        </w:rPr>
        <w:t>014/15 será la aplicación de las capacidades y los conocimientos acumulados en la Organi</w:t>
      </w:r>
      <w:r w:rsidR="00890022">
        <w:rPr>
          <w:snapToGrid w:val="0"/>
          <w:sz w:val="20"/>
        </w:rPr>
        <w:t xml:space="preserve">zación a las actividades de los organismos </w:t>
      </w:r>
      <w:r w:rsidR="00DC488B" w:rsidRPr="002C067E">
        <w:rPr>
          <w:snapToGrid w:val="0"/>
          <w:sz w:val="20"/>
        </w:rPr>
        <w:t xml:space="preserve">de gestión colectiva.  El modelo </w:t>
      </w:r>
      <w:r w:rsidR="00A012F4" w:rsidRPr="002C067E">
        <w:rPr>
          <w:snapToGrid w:val="0"/>
          <w:sz w:val="20"/>
        </w:rPr>
        <w:t xml:space="preserve">típico </w:t>
      </w:r>
      <w:r w:rsidR="00DC488B" w:rsidRPr="002C067E">
        <w:rPr>
          <w:snapToGrid w:val="0"/>
          <w:sz w:val="20"/>
        </w:rPr>
        <w:t xml:space="preserve">para la ejecución de proyectos y actividades sobre infraestructura </w:t>
      </w:r>
      <w:r w:rsidR="0046626C" w:rsidRPr="002C067E">
        <w:rPr>
          <w:snapToGrid w:val="0"/>
          <w:sz w:val="20"/>
        </w:rPr>
        <w:t>de cara</w:t>
      </w:r>
      <w:r w:rsidR="00DC488B" w:rsidRPr="002C067E">
        <w:rPr>
          <w:snapToGrid w:val="0"/>
          <w:sz w:val="20"/>
        </w:rPr>
        <w:t xml:space="preserve"> al exterior que contribuyan a la meta estratégica IV consistirá en </w:t>
      </w:r>
      <w:r w:rsidR="00D94614" w:rsidRPr="002C067E">
        <w:rPr>
          <w:snapToGrid w:val="0"/>
          <w:sz w:val="20"/>
        </w:rPr>
        <w:t>que los programas especializados ejer</w:t>
      </w:r>
      <w:r w:rsidR="00A012F4" w:rsidRPr="002C067E">
        <w:rPr>
          <w:snapToGrid w:val="0"/>
          <w:sz w:val="20"/>
        </w:rPr>
        <w:t>za</w:t>
      </w:r>
      <w:r w:rsidR="00D94614" w:rsidRPr="002C067E">
        <w:rPr>
          <w:snapToGrid w:val="0"/>
          <w:sz w:val="20"/>
        </w:rPr>
        <w:t>n el liderazgo en la ejecución y los programas relacionados con</w:t>
      </w:r>
      <w:r w:rsidR="0094681F" w:rsidRPr="002C067E">
        <w:rPr>
          <w:snapToGrid w:val="0"/>
          <w:sz w:val="20"/>
        </w:rPr>
        <w:t xml:space="preserve"> la infraestructura mundial se</w:t>
      </w:r>
      <w:r w:rsidR="00D94614" w:rsidRPr="002C067E">
        <w:rPr>
          <w:snapToGrid w:val="0"/>
          <w:sz w:val="20"/>
        </w:rPr>
        <w:t xml:space="preserve"> </w:t>
      </w:r>
      <w:r w:rsidR="0094681F" w:rsidRPr="002C067E">
        <w:rPr>
          <w:snapToGrid w:val="0"/>
          <w:sz w:val="20"/>
        </w:rPr>
        <w:t>responsabilicen</w:t>
      </w:r>
      <w:r w:rsidR="00DC488B" w:rsidRPr="002C067E">
        <w:rPr>
          <w:snapToGrid w:val="0"/>
          <w:sz w:val="20"/>
        </w:rPr>
        <w:t xml:space="preserve"> de </w:t>
      </w:r>
      <w:r w:rsidR="00D94614" w:rsidRPr="002C067E">
        <w:rPr>
          <w:snapToGrid w:val="0"/>
          <w:sz w:val="20"/>
        </w:rPr>
        <w:t xml:space="preserve">desarrollar y aplicar los </w:t>
      </w:r>
      <w:r w:rsidR="001C1C98" w:rsidRPr="002C067E">
        <w:rPr>
          <w:snapToGrid w:val="0"/>
          <w:sz w:val="20"/>
        </w:rPr>
        <w:t xml:space="preserve">correspondientes aspectos </w:t>
      </w:r>
      <w:r w:rsidR="00D94614" w:rsidRPr="002C067E">
        <w:rPr>
          <w:snapToGrid w:val="0"/>
          <w:sz w:val="20"/>
        </w:rPr>
        <w:t xml:space="preserve">técnicos de </w:t>
      </w:r>
      <w:r w:rsidR="001C1C98" w:rsidRPr="002C067E">
        <w:rPr>
          <w:snapToGrid w:val="0"/>
          <w:sz w:val="20"/>
        </w:rPr>
        <w:t>T.I.</w:t>
      </w:r>
    </w:p>
    <w:p w:rsidR="007B2C29" w:rsidRPr="002C067E" w:rsidRDefault="007B2C29" w:rsidP="006E3E3C">
      <w:pPr>
        <w:ind w:left="567"/>
        <w:jc w:val="both"/>
        <w:rPr>
          <w:sz w:val="20"/>
          <w:lang w:val="es-ES_tradnl"/>
        </w:rPr>
      </w:pPr>
    </w:p>
    <w:p w:rsidR="007B2C29" w:rsidRPr="002C067E" w:rsidRDefault="0075512A" w:rsidP="006E3E3C">
      <w:pPr>
        <w:ind w:left="567"/>
        <w:jc w:val="both"/>
        <w:rPr>
          <w:sz w:val="20"/>
          <w:lang w:val="es-ES_tradnl"/>
        </w:rPr>
      </w:pPr>
      <w:r w:rsidRPr="002C067E">
        <w:rPr>
          <w:sz w:val="20"/>
          <w:lang w:val="es-ES_tradnl"/>
        </w:rPr>
        <w:t>v)</w:t>
      </w:r>
      <w:r w:rsidRPr="002C067E">
        <w:rPr>
          <w:sz w:val="20"/>
          <w:lang w:val="es-ES_tradnl"/>
        </w:rPr>
        <w:tab/>
      </w:r>
      <w:r w:rsidR="002166E8" w:rsidRPr="002C067E">
        <w:rPr>
          <w:sz w:val="20"/>
          <w:lang w:val="es-ES_tradnl"/>
        </w:rPr>
        <w:t>A</w:t>
      </w:r>
      <w:r w:rsidR="00D94614" w:rsidRPr="002C067E">
        <w:rPr>
          <w:sz w:val="20"/>
          <w:lang w:val="es-ES_tradnl"/>
        </w:rPr>
        <w:t xml:space="preserve">ctividades más </w:t>
      </w:r>
      <w:r w:rsidR="007B2C29" w:rsidRPr="002C067E">
        <w:rPr>
          <w:sz w:val="20"/>
          <w:lang w:val="es-ES_tradnl"/>
        </w:rPr>
        <w:t>coordinad</w:t>
      </w:r>
      <w:r w:rsidR="00D94614" w:rsidRPr="002C067E">
        <w:rPr>
          <w:sz w:val="20"/>
          <w:lang w:val="es-ES_tradnl"/>
        </w:rPr>
        <w:t xml:space="preserve">as y específicas de fortalecimiento de la capacidad de recursos humanos en los países en desarrollo, los países menos adelantados (PMA) y los países con economías en transición para utilizar eficazmente la P.I. al servicio del desarrollo bajo el liderazgo de los </w:t>
      </w:r>
      <w:r w:rsidR="002166E8" w:rsidRPr="002C067E">
        <w:rPr>
          <w:sz w:val="20"/>
          <w:lang w:val="es-ES_tradnl"/>
        </w:rPr>
        <w:t>programa</w:t>
      </w:r>
      <w:r w:rsidR="00DF7F45" w:rsidRPr="002C067E">
        <w:rPr>
          <w:sz w:val="20"/>
          <w:lang w:val="es-ES_tradnl"/>
        </w:rPr>
        <w:t>s 9</w:t>
      </w:r>
      <w:r w:rsidR="007B2C29" w:rsidRPr="002C067E">
        <w:rPr>
          <w:sz w:val="20"/>
          <w:lang w:val="es-ES_tradnl"/>
        </w:rPr>
        <w:t xml:space="preserve"> </w:t>
      </w:r>
      <w:r w:rsidR="00D94614" w:rsidRPr="002C067E">
        <w:rPr>
          <w:sz w:val="20"/>
          <w:lang w:val="es-ES_tradnl"/>
        </w:rPr>
        <w:t>y </w:t>
      </w:r>
      <w:r w:rsidR="007B2C29" w:rsidRPr="002C067E">
        <w:rPr>
          <w:sz w:val="20"/>
          <w:lang w:val="es-ES_tradnl"/>
        </w:rPr>
        <w:t xml:space="preserve">10.  </w:t>
      </w:r>
      <w:r w:rsidR="00D94614" w:rsidRPr="002C067E">
        <w:rPr>
          <w:sz w:val="20"/>
          <w:lang w:val="es-ES_tradnl"/>
        </w:rPr>
        <w:t xml:space="preserve">Las reuniones </w:t>
      </w:r>
      <w:r w:rsidR="002F5DF4" w:rsidRPr="002C067E">
        <w:rPr>
          <w:sz w:val="20"/>
          <w:lang w:val="es-ES_tradnl"/>
        </w:rPr>
        <w:t xml:space="preserve">y actividades se planificarán teniendo en cuenta en qué medida contribuyen de manera tangible a la consecución de los </w:t>
      </w:r>
      <w:r w:rsidR="007B2C29" w:rsidRPr="002C067E">
        <w:rPr>
          <w:sz w:val="20"/>
          <w:lang w:val="es-ES_tradnl"/>
        </w:rPr>
        <w:t>result</w:t>
      </w:r>
      <w:r w:rsidR="002F5DF4" w:rsidRPr="002C067E">
        <w:rPr>
          <w:sz w:val="20"/>
          <w:lang w:val="es-ES_tradnl"/>
        </w:rPr>
        <w:t>ado</w:t>
      </w:r>
      <w:r w:rsidR="007B2C29" w:rsidRPr="002C067E">
        <w:rPr>
          <w:sz w:val="20"/>
          <w:lang w:val="es-ES_tradnl"/>
        </w:rPr>
        <w:t xml:space="preserve">s </w:t>
      </w:r>
      <w:r w:rsidR="00436256">
        <w:rPr>
          <w:sz w:val="20"/>
          <w:lang w:val="es-ES_tradnl"/>
        </w:rPr>
        <w:t>previstos</w:t>
      </w:r>
      <w:r w:rsidR="007B2C29" w:rsidRPr="002C067E">
        <w:rPr>
          <w:sz w:val="20"/>
          <w:lang w:val="es-ES_tradnl"/>
        </w:rPr>
        <w:t xml:space="preserve">.  </w:t>
      </w:r>
      <w:r w:rsidR="002F5DF4" w:rsidRPr="002C067E">
        <w:rPr>
          <w:sz w:val="20"/>
          <w:lang w:val="es-ES_tradnl"/>
        </w:rPr>
        <w:t>A fin de velar por que se tengan en cuenta las características específicas de las pequeñas y medianas empresas (pymes) en concordancia con las estrategias y p</w:t>
      </w:r>
      <w:r w:rsidR="007B2C29" w:rsidRPr="002C067E">
        <w:rPr>
          <w:sz w:val="20"/>
          <w:lang w:val="es-ES_tradnl"/>
        </w:rPr>
        <w:t>lan</w:t>
      </w:r>
      <w:r w:rsidR="002F5DF4" w:rsidRPr="002C067E">
        <w:rPr>
          <w:sz w:val="20"/>
          <w:lang w:val="es-ES_tradnl"/>
        </w:rPr>
        <w:t>e</w:t>
      </w:r>
      <w:r w:rsidR="007B2C29" w:rsidRPr="002C067E">
        <w:rPr>
          <w:sz w:val="20"/>
          <w:lang w:val="es-ES_tradnl"/>
        </w:rPr>
        <w:t>s</w:t>
      </w:r>
      <w:r w:rsidR="002F5DF4" w:rsidRPr="002C067E">
        <w:rPr>
          <w:sz w:val="20"/>
          <w:lang w:val="es-ES_tradnl"/>
        </w:rPr>
        <w:t xml:space="preserve"> </w:t>
      </w:r>
      <w:r w:rsidR="002F5DF4" w:rsidRPr="002C067E">
        <w:rPr>
          <w:sz w:val="20"/>
        </w:rPr>
        <w:t>nacional</w:t>
      </w:r>
      <w:r w:rsidR="002F5DF4" w:rsidRPr="002C067E">
        <w:rPr>
          <w:sz w:val="20"/>
          <w:lang w:val="es-ES_tradnl"/>
        </w:rPr>
        <w:t>es de P.I.</w:t>
      </w:r>
      <w:r w:rsidR="007B2C29" w:rsidRPr="002C067E">
        <w:rPr>
          <w:sz w:val="20"/>
          <w:lang w:val="es-ES_tradnl"/>
        </w:rPr>
        <w:t xml:space="preserve">, </w:t>
      </w:r>
      <w:r w:rsidR="002011AF" w:rsidRPr="002C067E">
        <w:rPr>
          <w:sz w:val="20"/>
          <w:lang w:val="es-ES_tradnl"/>
        </w:rPr>
        <w:t xml:space="preserve">se fortalecerán </w:t>
      </w:r>
      <w:r w:rsidR="002166E8" w:rsidRPr="002C067E">
        <w:rPr>
          <w:sz w:val="20"/>
          <w:lang w:val="es-ES_tradnl"/>
        </w:rPr>
        <w:t xml:space="preserve">las </w:t>
      </w:r>
      <w:r w:rsidR="002F5DF4" w:rsidRPr="002C067E">
        <w:rPr>
          <w:sz w:val="20"/>
        </w:rPr>
        <w:t>Oficina</w:t>
      </w:r>
      <w:r w:rsidR="002F5DF4" w:rsidRPr="002C067E">
        <w:rPr>
          <w:sz w:val="20"/>
          <w:lang w:val="es-ES_tradnl"/>
        </w:rPr>
        <w:t xml:space="preserve">s </w:t>
      </w:r>
      <w:r w:rsidR="007B2C29" w:rsidRPr="002C067E">
        <w:rPr>
          <w:sz w:val="20"/>
          <w:lang w:val="es-ES_tradnl"/>
        </w:rPr>
        <w:t>Regional</w:t>
      </w:r>
      <w:r w:rsidR="002F5DF4" w:rsidRPr="002C067E">
        <w:rPr>
          <w:sz w:val="20"/>
          <w:lang w:val="es-ES_tradnl"/>
        </w:rPr>
        <w:t xml:space="preserve">es y </w:t>
      </w:r>
      <w:r w:rsidR="002166E8" w:rsidRPr="002C067E">
        <w:rPr>
          <w:sz w:val="20"/>
          <w:lang w:val="es-ES_tradnl"/>
        </w:rPr>
        <w:t xml:space="preserve">el Programa </w:t>
      </w:r>
      <w:r w:rsidR="002F5DF4" w:rsidRPr="002C067E">
        <w:rPr>
          <w:sz w:val="20"/>
          <w:lang w:val="es-ES_tradnl"/>
        </w:rPr>
        <w:t xml:space="preserve">de </w:t>
      </w:r>
      <w:r w:rsidR="007B2C29" w:rsidRPr="002C067E">
        <w:rPr>
          <w:sz w:val="20"/>
          <w:lang w:val="es-ES_tradnl"/>
        </w:rPr>
        <w:t>Coopera</w:t>
      </w:r>
      <w:r w:rsidR="002F5DF4" w:rsidRPr="002C067E">
        <w:rPr>
          <w:sz w:val="20"/>
          <w:lang w:val="es-ES_tradnl"/>
        </w:rPr>
        <w:t>c</w:t>
      </w:r>
      <w:r w:rsidR="007B2C29" w:rsidRPr="002C067E">
        <w:rPr>
          <w:sz w:val="20"/>
          <w:lang w:val="es-ES_tradnl"/>
        </w:rPr>
        <w:t>i</w:t>
      </w:r>
      <w:r w:rsidR="002F5DF4" w:rsidRPr="002C067E">
        <w:rPr>
          <w:sz w:val="20"/>
          <w:lang w:val="es-ES_tradnl"/>
        </w:rPr>
        <w:t>ó</w:t>
      </w:r>
      <w:r w:rsidR="007B2C29" w:rsidRPr="002C067E">
        <w:rPr>
          <w:sz w:val="20"/>
          <w:lang w:val="es-ES_tradnl"/>
        </w:rPr>
        <w:t xml:space="preserve">n </w:t>
      </w:r>
      <w:r w:rsidR="002F5DF4" w:rsidRPr="002C067E">
        <w:rPr>
          <w:sz w:val="20"/>
          <w:lang w:val="es-ES_tradnl"/>
        </w:rPr>
        <w:t xml:space="preserve">con </w:t>
      </w:r>
      <w:r w:rsidR="002166E8" w:rsidRPr="002C067E">
        <w:rPr>
          <w:sz w:val="20"/>
          <w:lang w:val="es-ES_tradnl"/>
        </w:rPr>
        <w:t xml:space="preserve">determinados países </w:t>
      </w:r>
      <w:r w:rsidR="002F5DF4" w:rsidRPr="002C067E">
        <w:rPr>
          <w:sz w:val="20"/>
          <w:lang w:val="es-ES_tradnl"/>
        </w:rPr>
        <w:t>de Europa y</w:t>
      </w:r>
      <w:r w:rsidR="007B2C29" w:rsidRPr="002C067E">
        <w:rPr>
          <w:sz w:val="20"/>
          <w:lang w:val="es-ES_tradnl"/>
        </w:rPr>
        <w:t xml:space="preserve"> Asia </w:t>
      </w:r>
      <w:r w:rsidR="00A145C9" w:rsidRPr="002C067E">
        <w:rPr>
          <w:sz w:val="20"/>
          <w:lang w:val="es-ES_tradnl"/>
        </w:rPr>
        <w:t>mediante la incorporación de</w:t>
      </w:r>
      <w:r w:rsidR="002011AF" w:rsidRPr="002C067E">
        <w:rPr>
          <w:sz w:val="20"/>
          <w:lang w:val="es-ES_tradnl"/>
        </w:rPr>
        <w:t xml:space="preserve"> </w:t>
      </w:r>
      <w:r w:rsidR="002F5DF4" w:rsidRPr="002C067E">
        <w:rPr>
          <w:sz w:val="20"/>
          <w:lang w:val="es-ES_tradnl"/>
        </w:rPr>
        <w:t>un coordinador dedicado a las pymes</w:t>
      </w:r>
      <w:r w:rsidR="007B2C29" w:rsidRPr="002C067E">
        <w:rPr>
          <w:sz w:val="20"/>
          <w:lang w:val="es-ES_tradnl"/>
        </w:rPr>
        <w:t xml:space="preserve">.  </w:t>
      </w:r>
      <w:r w:rsidR="002F5DF4" w:rsidRPr="002C067E">
        <w:rPr>
          <w:sz w:val="20"/>
          <w:lang w:val="es-ES_tradnl"/>
        </w:rPr>
        <w:t xml:space="preserve">Asimismo, se fortalecerán las capacidades de la Organización para responder más adecuadamente a las características específicas de los PMA, de conformidad con los resultados </w:t>
      </w:r>
      <w:r w:rsidR="00B97FDA" w:rsidRPr="002C067E">
        <w:rPr>
          <w:sz w:val="20"/>
          <w:lang w:val="es-ES_tradnl"/>
        </w:rPr>
        <w:t>previstos</w:t>
      </w:r>
      <w:r w:rsidR="002166E8" w:rsidRPr="002C067E">
        <w:rPr>
          <w:sz w:val="20"/>
          <w:lang w:val="es-ES_tradnl"/>
        </w:rPr>
        <w:t xml:space="preserve"> </w:t>
      </w:r>
      <w:r w:rsidR="002F5DF4" w:rsidRPr="002C067E">
        <w:rPr>
          <w:sz w:val="20"/>
          <w:lang w:val="es-ES_tradnl"/>
        </w:rPr>
        <w:t xml:space="preserve">en el </w:t>
      </w:r>
      <w:r w:rsidR="002166E8" w:rsidRPr="002C067E">
        <w:rPr>
          <w:sz w:val="20"/>
          <w:lang w:val="es-ES_tradnl"/>
        </w:rPr>
        <w:t xml:space="preserve">Programa </w:t>
      </w:r>
      <w:r w:rsidR="002F5DF4" w:rsidRPr="002C067E">
        <w:rPr>
          <w:sz w:val="20"/>
          <w:lang w:val="es-ES_tradnl"/>
        </w:rPr>
        <w:t>de Acción de Estam</w:t>
      </w:r>
      <w:r w:rsidR="00E70262" w:rsidRPr="002C067E">
        <w:rPr>
          <w:sz w:val="20"/>
          <w:lang w:val="es-ES_tradnl"/>
        </w:rPr>
        <w:t>bul</w:t>
      </w:r>
      <w:r w:rsidR="00B97FDA" w:rsidRPr="002C067E">
        <w:rPr>
          <w:sz w:val="20"/>
          <w:lang w:val="es-ES_tradnl"/>
        </w:rPr>
        <w:t xml:space="preserve"> que resulten pertinentes para la OMPI</w:t>
      </w:r>
      <w:r w:rsidR="00E70262" w:rsidRPr="002C067E">
        <w:rPr>
          <w:sz w:val="20"/>
          <w:lang w:val="es-ES_tradnl"/>
        </w:rPr>
        <w:t>.</w:t>
      </w:r>
    </w:p>
    <w:p w:rsidR="007B2C29" w:rsidRPr="002C067E" w:rsidRDefault="007B2C29" w:rsidP="006E3E3C">
      <w:pPr>
        <w:jc w:val="both"/>
        <w:rPr>
          <w:sz w:val="20"/>
          <w:lang w:val="es-ES_tradnl"/>
        </w:rPr>
      </w:pPr>
    </w:p>
    <w:p w:rsidR="007B2C29" w:rsidRDefault="0075512A" w:rsidP="006E3E3C">
      <w:pPr>
        <w:ind w:left="567"/>
        <w:jc w:val="both"/>
        <w:rPr>
          <w:sz w:val="20"/>
          <w:lang w:val="es-ES_tradnl"/>
        </w:rPr>
      </w:pPr>
      <w:r w:rsidRPr="002C067E">
        <w:rPr>
          <w:sz w:val="20"/>
          <w:lang w:val="es-ES_tradnl"/>
        </w:rPr>
        <w:t>vi)</w:t>
      </w:r>
      <w:r w:rsidRPr="002C067E">
        <w:rPr>
          <w:sz w:val="20"/>
          <w:lang w:val="es-ES_tradnl"/>
        </w:rPr>
        <w:tab/>
      </w:r>
      <w:r w:rsidR="002F5DF4" w:rsidRPr="002C067E">
        <w:rPr>
          <w:sz w:val="20"/>
          <w:lang w:val="es-ES_tradnl"/>
        </w:rPr>
        <w:t xml:space="preserve">A fin de </w:t>
      </w:r>
      <w:r w:rsidRPr="002C067E">
        <w:rPr>
          <w:sz w:val="20"/>
          <w:lang w:val="es-ES_tradnl"/>
        </w:rPr>
        <w:t xml:space="preserve">lograr una planificación y ejecución más integrada de las actividades de formación y desarrollo de capacidades de la OMPI, fomentar la calidad y la rentabilidad, </w:t>
      </w:r>
      <w:r w:rsidR="00B97FDA" w:rsidRPr="002C067E">
        <w:rPr>
          <w:sz w:val="20"/>
          <w:lang w:val="es-ES_tradnl"/>
        </w:rPr>
        <w:t xml:space="preserve">se llevará a cabo la renovación estratégica de </w:t>
      </w:r>
      <w:r w:rsidRPr="002C067E">
        <w:rPr>
          <w:sz w:val="20"/>
          <w:lang w:val="es-ES_tradnl"/>
        </w:rPr>
        <w:t xml:space="preserve">la </w:t>
      </w:r>
      <w:r w:rsidRPr="002C067E">
        <w:rPr>
          <w:sz w:val="20"/>
          <w:szCs w:val="22"/>
        </w:rPr>
        <w:t>Academia de la OMPI</w:t>
      </w:r>
      <w:r w:rsidRPr="002C067E">
        <w:rPr>
          <w:sz w:val="20"/>
          <w:lang w:val="es-ES_tradnl"/>
        </w:rPr>
        <w:t xml:space="preserve"> con el fin de </w:t>
      </w:r>
      <w:r w:rsidR="00E70262" w:rsidRPr="002C067E">
        <w:rPr>
          <w:sz w:val="20"/>
          <w:lang w:val="es-ES_tradnl"/>
        </w:rPr>
        <w:t xml:space="preserve">consolidar </w:t>
      </w:r>
      <w:r w:rsidRPr="002C067E">
        <w:rPr>
          <w:sz w:val="20"/>
          <w:lang w:val="es-ES_tradnl"/>
        </w:rPr>
        <w:t xml:space="preserve">el nicho estratégico </w:t>
      </w:r>
      <w:r w:rsidR="00E70262" w:rsidRPr="002C067E">
        <w:rPr>
          <w:sz w:val="20"/>
          <w:lang w:val="es-ES_tradnl"/>
        </w:rPr>
        <w:t xml:space="preserve">de </w:t>
      </w:r>
      <w:r w:rsidRPr="002C067E">
        <w:rPr>
          <w:sz w:val="20"/>
          <w:lang w:val="es-ES_tradnl"/>
        </w:rPr>
        <w:t xml:space="preserve">la </w:t>
      </w:r>
      <w:r w:rsidR="00B97FDA" w:rsidRPr="002C067E">
        <w:rPr>
          <w:sz w:val="20"/>
          <w:lang w:val="es-ES_tradnl"/>
        </w:rPr>
        <w:t xml:space="preserve">Organización </w:t>
      </w:r>
      <w:r w:rsidR="00E70262" w:rsidRPr="002C067E">
        <w:rPr>
          <w:sz w:val="20"/>
          <w:lang w:val="es-ES_tradnl"/>
        </w:rPr>
        <w:t xml:space="preserve">en </w:t>
      </w:r>
      <w:r w:rsidRPr="002C067E">
        <w:rPr>
          <w:sz w:val="20"/>
          <w:lang w:val="es-ES_tradnl"/>
        </w:rPr>
        <w:t xml:space="preserve">las actividades de formación y fortalecimiento de capacidades.  Durante el bienio se emprenderán </w:t>
      </w:r>
      <w:r w:rsidR="00E70262" w:rsidRPr="002C067E">
        <w:rPr>
          <w:sz w:val="20"/>
          <w:lang w:val="es-ES_tradnl"/>
        </w:rPr>
        <w:t xml:space="preserve">iniciativas </w:t>
      </w:r>
      <w:r w:rsidRPr="002C067E">
        <w:rPr>
          <w:sz w:val="20"/>
          <w:lang w:val="es-ES_tradnl"/>
        </w:rPr>
        <w:t>para examinar y reagrupar gradualmente esas actividades en una única dependencia operativa con arreglo a los principios siguientes:</w:t>
      </w:r>
    </w:p>
    <w:p w:rsidR="00A1004B" w:rsidRDefault="00A1004B" w:rsidP="006E3E3C">
      <w:pPr>
        <w:ind w:left="567"/>
        <w:jc w:val="both"/>
        <w:rPr>
          <w:sz w:val="20"/>
          <w:lang w:val="es-ES_tradnl"/>
        </w:rPr>
      </w:pPr>
    </w:p>
    <w:p w:rsidR="00FE239C" w:rsidRPr="002C067E" w:rsidRDefault="0075512A" w:rsidP="006E3E3C">
      <w:pPr>
        <w:ind w:left="1701" w:hanging="624"/>
        <w:jc w:val="both"/>
        <w:rPr>
          <w:sz w:val="20"/>
          <w:lang w:val="es-ES_tradnl"/>
        </w:rPr>
      </w:pPr>
      <w:r w:rsidRPr="002C067E">
        <w:rPr>
          <w:sz w:val="20"/>
          <w:lang w:val="es-ES_tradnl"/>
        </w:rPr>
        <w:t>a</w:t>
      </w:r>
      <w:r w:rsidR="008004E5" w:rsidRPr="002C067E">
        <w:rPr>
          <w:sz w:val="20"/>
          <w:lang w:val="es-ES_tradnl"/>
        </w:rPr>
        <w:t>)</w:t>
      </w:r>
      <w:r w:rsidR="008004E5" w:rsidRPr="002C067E">
        <w:rPr>
          <w:sz w:val="20"/>
          <w:lang w:val="es-ES_tradnl"/>
        </w:rPr>
        <w:tab/>
      </w:r>
      <w:r w:rsidRPr="002C067E">
        <w:rPr>
          <w:sz w:val="20"/>
          <w:lang w:val="es-ES_tradnl"/>
        </w:rPr>
        <w:t>u</w:t>
      </w:r>
      <w:r w:rsidR="007B2C29" w:rsidRPr="002C067E">
        <w:rPr>
          <w:sz w:val="20"/>
          <w:lang w:val="es-ES_tradnl"/>
        </w:rPr>
        <w:t xml:space="preserve">n </w:t>
      </w:r>
      <w:r w:rsidRPr="002C067E">
        <w:rPr>
          <w:sz w:val="20"/>
          <w:lang w:val="es-ES_tradnl"/>
        </w:rPr>
        <w:t xml:space="preserve">órgano ejecutor para la prestación directa de servicios de formación </w:t>
      </w:r>
      <w:r w:rsidR="007B2C29" w:rsidRPr="002C067E">
        <w:rPr>
          <w:sz w:val="20"/>
          <w:lang w:val="es-ES_tradnl"/>
        </w:rPr>
        <w:t xml:space="preserve">profesional;  </w:t>
      </w:r>
    </w:p>
    <w:p w:rsidR="00FE239C" w:rsidRPr="002C067E" w:rsidRDefault="00FE239C" w:rsidP="006E3E3C">
      <w:pPr>
        <w:ind w:left="1701" w:hanging="624"/>
        <w:jc w:val="both"/>
        <w:rPr>
          <w:sz w:val="20"/>
          <w:lang w:val="es-ES_tradnl"/>
        </w:rPr>
      </w:pPr>
    </w:p>
    <w:p w:rsidR="007B2C29" w:rsidRPr="002C067E" w:rsidRDefault="008004E5" w:rsidP="006E3E3C">
      <w:pPr>
        <w:ind w:left="1701" w:hanging="624"/>
        <w:jc w:val="both"/>
        <w:rPr>
          <w:sz w:val="20"/>
          <w:lang w:val="es-ES_tradnl"/>
        </w:rPr>
      </w:pPr>
      <w:r w:rsidRPr="002C067E">
        <w:rPr>
          <w:sz w:val="20"/>
          <w:lang w:val="es-ES_tradnl"/>
        </w:rPr>
        <w:t>b)</w:t>
      </w:r>
      <w:r w:rsidRPr="002C067E">
        <w:rPr>
          <w:sz w:val="20"/>
          <w:lang w:val="es-ES_tradnl"/>
        </w:rPr>
        <w:tab/>
      </w:r>
      <w:r w:rsidR="0075512A" w:rsidRPr="002C067E">
        <w:rPr>
          <w:sz w:val="20"/>
          <w:lang w:val="es-ES_tradnl"/>
        </w:rPr>
        <w:t xml:space="preserve">un catalizador de redes </w:t>
      </w:r>
      <w:r w:rsidR="00A1004B">
        <w:rPr>
          <w:sz w:val="20"/>
          <w:lang w:val="es-ES_tradnl"/>
        </w:rPr>
        <w:t>y asociaciones para ampliar la diversidad</w:t>
      </w:r>
      <w:r w:rsidR="0075512A" w:rsidRPr="002C067E">
        <w:rPr>
          <w:sz w:val="20"/>
          <w:lang w:val="es-ES_tradnl"/>
        </w:rPr>
        <w:t xml:space="preserve"> de las oportunidades de formación en los países</w:t>
      </w:r>
      <w:r w:rsidR="00E70262" w:rsidRPr="002C067E">
        <w:rPr>
          <w:sz w:val="20"/>
          <w:lang w:val="es-ES_tradnl"/>
        </w:rPr>
        <w:t xml:space="preserve"> y su repercusión</w:t>
      </w:r>
      <w:r w:rsidR="007B2C29" w:rsidRPr="002C067E">
        <w:rPr>
          <w:sz w:val="20"/>
          <w:lang w:val="es-ES_tradnl"/>
        </w:rPr>
        <w:t xml:space="preserve">; </w:t>
      </w:r>
    </w:p>
    <w:p w:rsidR="00FE239C" w:rsidRPr="002C067E" w:rsidRDefault="00FE239C" w:rsidP="006E3E3C">
      <w:pPr>
        <w:ind w:left="1701" w:hanging="624"/>
        <w:jc w:val="both"/>
        <w:rPr>
          <w:sz w:val="20"/>
          <w:lang w:val="es-ES_tradnl"/>
        </w:rPr>
      </w:pPr>
    </w:p>
    <w:p w:rsidR="007B2C29" w:rsidRPr="002C067E" w:rsidRDefault="008004E5" w:rsidP="006E3E3C">
      <w:pPr>
        <w:ind w:left="1701" w:hanging="624"/>
        <w:jc w:val="both"/>
        <w:rPr>
          <w:sz w:val="20"/>
          <w:lang w:val="es-ES_tradnl"/>
        </w:rPr>
      </w:pPr>
      <w:r w:rsidRPr="002C067E">
        <w:rPr>
          <w:sz w:val="20"/>
          <w:lang w:val="es-ES_tradnl"/>
        </w:rPr>
        <w:t>c)</w:t>
      </w:r>
      <w:r w:rsidRPr="002C067E">
        <w:rPr>
          <w:sz w:val="20"/>
          <w:lang w:val="es-ES_tradnl"/>
        </w:rPr>
        <w:tab/>
      </w:r>
      <w:r w:rsidR="0075512A" w:rsidRPr="002C067E">
        <w:rPr>
          <w:sz w:val="20"/>
          <w:lang w:val="es-ES_tradnl"/>
        </w:rPr>
        <w:t>un centro propio de excelencia en la formación</w:t>
      </w:r>
      <w:r w:rsidR="007B2C29" w:rsidRPr="002C067E">
        <w:rPr>
          <w:sz w:val="20"/>
          <w:lang w:val="es-ES_tradnl"/>
        </w:rPr>
        <w:t xml:space="preserve">;  </w:t>
      </w:r>
    </w:p>
    <w:p w:rsidR="00FE239C" w:rsidRPr="002C067E" w:rsidRDefault="00FE239C" w:rsidP="006E3E3C">
      <w:pPr>
        <w:ind w:left="1701" w:hanging="624"/>
        <w:jc w:val="both"/>
        <w:rPr>
          <w:sz w:val="20"/>
          <w:lang w:val="es-ES_tradnl"/>
        </w:rPr>
      </w:pPr>
    </w:p>
    <w:p w:rsidR="007B2C29" w:rsidRPr="002C067E" w:rsidRDefault="008004E5" w:rsidP="006E3E3C">
      <w:pPr>
        <w:ind w:left="1701" w:hanging="624"/>
        <w:jc w:val="both"/>
        <w:rPr>
          <w:sz w:val="20"/>
          <w:lang w:val="es-ES_tradnl"/>
        </w:rPr>
      </w:pPr>
      <w:r w:rsidRPr="002C067E">
        <w:rPr>
          <w:sz w:val="20"/>
          <w:lang w:val="es-ES_tradnl"/>
        </w:rPr>
        <w:t>d)</w:t>
      </w:r>
      <w:r w:rsidRPr="002C067E">
        <w:rPr>
          <w:sz w:val="20"/>
          <w:lang w:val="es-ES_tradnl"/>
        </w:rPr>
        <w:tab/>
      </w:r>
      <w:r w:rsidR="0075512A" w:rsidRPr="002C067E">
        <w:rPr>
          <w:sz w:val="20"/>
          <w:lang w:val="es-ES_tradnl"/>
        </w:rPr>
        <w:t xml:space="preserve">un centro de información en Internet de acceso abierto sobre todas las actividades, </w:t>
      </w:r>
      <w:r w:rsidR="00A1004B">
        <w:rPr>
          <w:sz w:val="20"/>
          <w:lang w:val="es-ES_tradnl"/>
        </w:rPr>
        <w:t>herramientas</w:t>
      </w:r>
      <w:r w:rsidR="0075512A" w:rsidRPr="002C067E">
        <w:rPr>
          <w:sz w:val="20"/>
          <w:lang w:val="es-ES_tradnl"/>
        </w:rPr>
        <w:t xml:space="preserve"> y </w:t>
      </w:r>
      <w:r w:rsidR="007B2C29" w:rsidRPr="002C067E">
        <w:rPr>
          <w:sz w:val="20"/>
          <w:lang w:val="es-ES_tradnl"/>
        </w:rPr>
        <w:t>servic</w:t>
      </w:r>
      <w:r w:rsidR="0075512A" w:rsidRPr="002C067E">
        <w:rPr>
          <w:sz w:val="20"/>
          <w:lang w:val="es-ES_tradnl"/>
        </w:rPr>
        <w:t>io</w:t>
      </w:r>
      <w:r w:rsidR="007B2C29" w:rsidRPr="002C067E">
        <w:rPr>
          <w:sz w:val="20"/>
          <w:lang w:val="es-ES_tradnl"/>
        </w:rPr>
        <w:t>s</w:t>
      </w:r>
      <w:r w:rsidR="0075512A" w:rsidRPr="002C067E">
        <w:rPr>
          <w:sz w:val="20"/>
          <w:lang w:val="es-ES_tradnl"/>
        </w:rPr>
        <w:t xml:space="preserve"> de formación de la OMPI;  y</w:t>
      </w:r>
    </w:p>
    <w:p w:rsidR="00FE239C" w:rsidRPr="002C067E" w:rsidRDefault="00FE239C" w:rsidP="006E3E3C">
      <w:pPr>
        <w:ind w:left="1701" w:hanging="624"/>
        <w:jc w:val="both"/>
        <w:rPr>
          <w:sz w:val="20"/>
          <w:lang w:val="es-ES_tradnl"/>
        </w:rPr>
      </w:pPr>
    </w:p>
    <w:p w:rsidR="00B22442" w:rsidRPr="002C067E" w:rsidRDefault="008004E5" w:rsidP="006E3E3C">
      <w:pPr>
        <w:ind w:left="1701" w:hanging="624"/>
        <w:jc w:val="both"/>
        <w:rPr>
          <w:sz w:val="20"/>
          <w:lang w:val="es-ES_tradnl"/>
        </w:rPr>
      </w:pPr>
      <w:r w:rsidRPr="002C067E">
        <w:rPr>
          <w:sz w:val="20"/>
          <w:lang w:val="es-ES_tradnl"/>
        </w:rPr>
        <w:t>e)</w:t>
      </w:r>
      <w:r w:rsidRPr="002C067E">
        <w:rPr>
          <w:sz w:val="20"/>
          <w:lang w:val="es-ES_tradnl"/>
        </w:rPr>
        <w:tab/>
      </w:r>
      <w:r w:rsidR="00E70262" w:rsidRPr="002C067E">
        <w:rPr>
          <w:sz w:val="20"/>
          <w:lang w:val="es-ES_tradnl"/>
        </w:rPr>
        <w:t xml:space="preserve">una plataforma </w:t>
      </w:r>
      <w:r w:rsidR="0075512A" w:rsidRPr="002C067E">
        <w:rPr>
          <w:sz w:val="20"/>
          <w:lang w:val="es-ES_tradnl"/>
        </w:rPr>
        <w:t>que agrupe las redes virtuales de asociados, expertos y docentes en el ámbito de la formación en P.I. orientada al desarrollo</w:t>
      </w:r>
      <w:r w:rsidR="00B22442" w:rsidRPr="002C067E">
        <w:rPr>
          <w:sz w:val="20"/>
          <w:lang w:val="es-ES_tradnl"/>
        </w:rPr>
        <w:t>.</w:t>
      </w:r>
    </w:p>
    <w:p w:rsidR="007B2C29" w:rsidRPr="002C067E" w:rsidRDefault="007B2C29" w:rsidP="006E3E3C">
      <w:pPr>
        <w:jc w:val="both"/>
        <w:rPr>
          <w:sz w:val="20"/>
          <w:lang w:val="es-ES_tradnl"/>
        </w:rPr>
      </w:pPr>
    </w:p>
    <w:p w:rsidR="007B2C29" w:rsidRPr="002C067E" w:rsidRDefault="008004E5" w:rsidP="006E3E3C">
      <w:pPr>
        <w:ind w:left="567"/>
        <w:jc w:val="both"/>
        <w:rPr>
          <w:sz w:val="20"/>
          <w:lang w:val="es-ES_tradnl"/>
        </w:rPr>
      </w:pPr>
      <w:r w:rsidRPr="002C067E">
        <w:rPr>
          <w:sz w:val="20"/>
          <w:lang w:val="es-ES_tradnl"/>
        </w:rPr>
        <w:t>vii)</w:t>
      </w:r>
      <w:r w:rsidRPr="002C067E">
        <w:rPr>
          <w:sz w:val="20"/>
          <w:lang w:val="es-ES_tradnl"/>
        </w:rPr>
        <w:tab/>
        <w:t xml:space="preserve">Con </w:t>
      </w:r>
      <w:r w:rsidR="002E023E" w:rsidRPr="002C067E">
        <w:rPr>
          <w:sz w:val="20"/>
          <w:lang w:val="es-ES_tradnl"/>
        </w:rPr>
        <w:t xml:space="preserve">arreglo a </w:t>
      </w:r>
      <w:r w:rsidRPr="002C067E">
        <w:rPr>
          <w:sz w:val="20"/>
          <w:lang w:val="es-ES_tradnl"/>
        </w:rPr>
        <w:t xml:space="preserve">los principios rectores consistentes en la obtención de valor añadido y la prestación más eficaz y eficiente de resultados </w:t>
      </w:r>
      <w:r w:rsidR="00E70262" w:rsidRPr="002C067E">
        <w:rPr>
          <w:sz w:val="20"/>
          <w:lang w:val="es-ES_tradnl"/>
        </w:rPr>
        <w:t xml:space="preserve">aprovechando </w:t>
      </w:r>
      <w:r w:rsidRPr="002C067E">
        <w:rPr>
          <w:sz w:val="20"/>
          <w:lang w:val="es-ES_tradnl"/>
        </w:rPr>
        <w:t>la</w:t>
      </w:r>
      <w:r w:rsidR="00E70262" w:rsidRPr="002C067E">
        <w:rPr>
          <w:sz w:val="20"/>
          <w:lang w:val="es-ES_tradnl"/>
        </w:rPr>
        <w:t>s</w:t>
      </w:r>
      <w:r w:rsidRPr="002C067E">
        <w:rPr>
          <w:sz w:val="20"/>
          <w:lang w:val="es-ES_tradnl"/>
        </w:rPr>
        <w:t xml:space="preserve"> ventaja</w:t>
      </w:r>
      <w:r w:rsidR="00E70262" w:rsidRPr="002C067E">
        <w:rPr>
          <w:sz w:val="20"/>
          <w:lang w:val="es-ES_tradnl"/>
        </w:rPr>
        <w:t>s</w:t>
      </w:r>
      <w:r w:rsidRPr="002C067E">
        <w:rPr>
          <w:sz w:val="20"/>
          <w:lang w:val="es-ES_tradnl"/>
        </w:rPr>
        <w:t xml:space="preserve"> que otorga la proximidad geográfica de los destinatarios</w:t>
      </w:r>
      <w:r w:rsidR="00E70262" w:rsidRPr="002C067E">
        <w:rPr>
          <w:sz w:val="20"/>
          <w:lang w:val="es-ES_tradnl"/>
        </w:rPr>
        <w:t xml:space="preserve"> de los servicios</w:t>
      </w:r>
      <w:r w:rsidRPr="002C067E">
        <w:rPr>
          <w:sz w:val="20"/>
          <w:lang w:val="es-ES_tradnl"/>
        </w:rPr>
        <w:t xml:space="preserve">, las </w:t>
      </w:r>
      <w:r w:rsidR="002E023E" w:rsidRPr="002C067E">
        <w:rPr>
          <w:sz w:val="20"/>
          <w:lang w:val="es-ES_tradnl"/>
        </w:rPr>
        <w:t xml:space="preserve">nuevas </w:t>
      </w:r>
      <w:r w:rsidRPr="002C067E">
        <w:rPr>
          <w:sz w:val="20"/>
        </w:rPr>
        <w:t>oficina</w:t>
      </w:r>
      <w:r w:rsidRPr="002C067E">
        <w:rPr>
          <w:sz w:val="20"/>
          <w:lang w:val="es-ES_tradnl"/>
        </w:rPr>
        <w:t xml:space="preserve">s </w:t>
      </w:r>
      <w:r w:rsidR="002E023E" w:rsidRPr="002C067E">
        <w:rPr>
          <w:sz w:val="20"/>
          <w:lang w:val="es-ES_tradnl"/>
        </w:rPr>
        <w:t xml:space="preserve">propuestas </w:t>
      </w:r>
      <w:r w:rsidRPr="002C067E">
        <w:rPr>
          <w:sz w:val="20"/>
          <w:lang w:val="es-ES_tradnl"/>
        </w:rPr>
        <w:t xml:space="preserve">y las </w:t>
      </w:r>
      <w:r w:rsidR="00DC75EB" w:rsidRPr="002C067E">
        <w:rPr>
          <w:sz w:val="20"/>
          <w:lang w:val="es-ES_tradnl"/>
        </w:rPr>
        <w:t xml:space="preserve">oficinas </w:t>
      </w:r>
      <w:r w:rsidR="002E023E" w:rsidRPr="002C067E">
        <w:rPr>
          <w:sz w:val="20"/>
          <w:lang w:val="es-ES_tradnl"/>
        </w:rPr>
        <w:t xml:space="preserve">ya existentes </w:t>
      </w:r>
      <w:r w:rsidR="00DC75EB" w:rsidRPr="002C067E">
        <w:rPr>
          <w:sz w:val="20"/>
          <w:lang w:val="es-ES_tradnl"/>
        </w:rPr>
        <w:t xml:space="preserve">en el exterior </w:t>
      </w:r>
      <w:r w:rsidRPr="002C067E">
        <w:rPr>
          <w:sz w:val="20"/>
          <w:lang w:val="es-ES_tradnl"/>
        </w:rPr>
        <w:t xml:space="preserve">se </w:t>
      </w:r>
      <w:r w:rsidR="00E70262" w:rsidRPr="002C067E">
        <w:rPr>
          <w:sz w:val="20"/>
          <w:lang w:val="es-ES_tradnl"/>
        </w:rPr>
        <w:t xml:space="preserve">dedicarán </w:t>
      </w:r>
      <w:r w:rsidRPr="002C067E">
        <w:rPr>
          <w:sz w:val="20"/>
          <w:lang w:val="es-ES_tradnl"/>
        </w:rPr>
        <w:t xml:space="preserve">especialmente </w:t>
      </w:r>
      <w:r w:rsidR="00E70262" w:rsidRPr="002C067E">
        <w:rPr>
          <w:sz w:val="20"/>
          <w:lang w:val="es-ES_tradnl"/>
        </w:rPr>
        <w:t xml:space="preserve">a </w:t>
      </w:r>
      <w:r w:rsidR="002E023E" w:rsidRPr="002C067E">
        <w:rPr>
          <w:sz w:val="20"/>
          <w:lang w:val="es-ES_tradnl"/>
        </w:rPr>
        <w:t>prestar</w:t>
      </w:r>
      <w:r w:rsidRPr="002C067E">
        <w:rPr>
          <w:sz w:val="20"/>
          <w:lang w:val="es-ES_tradnl"/>
        </w:rPr>
        <w:t xml:space="preserve"> </w:t>
      </w:r>
      <w:r w:rsidR="00A50989" w:rsidRPr="002C067E">
        <w:rPr>
          <w:sz w:val="20"/>
          <w:lang w:val="es-ES_tradnl"/>
        </w:rPr>
        <w:t>servicios de apoyo a los servicios mundiales de P.I. de la OMPI</w:t>
      </w:r>
      <w:r w:rsidRPr="002C067E">
        <w:rPr>
          <w:sz w:val="20"/>
          <w:lang w:val="es-ES_tradnl"/>
        </w:rPr>
        <w:t xml:space="preserve"> </w:t>
      </w:r>
      <w:r w:rsidR="007B2C29" w:rsidRPr="002C067E">
        <w:rPr>
          <w:sz w:val="20"/>
          <w:lang w:val="es-ES_tradnl"/>
        </w:rPr>
        <w:t>(</w:t>
      </w:r>
      <w:r w:rsidR="00E70262" w:rsidRPr="002C067E">
        <w:rPr>
          <w:sz w:val="20"/>
          <w:lang w:val="es-ES_tradnl"/>
        </w:rPr>
        <w:t xml:space="preserve">meta estratégica </w:t>
      </w:r>
      <w:r w:rsidR="007B2C29" w:rsidRPr="002C067E">
        <w:rPr>
          <w:sz w:val="20"/>
          <w:lang w:val="es-ES_tradnl"/>
        </w:rPr>
        <w:t xml:space="preserve">II), </w:t>
      </w:r>
      <w:r w:rsidR="002E023E" w:rsidRPr="002C067E">
        <w:rPr>
          <w:sz w:val="20"/>
          <w:lang w:val="es-ES_tradnl"/>
        </w:rPr>
        <w:t>facilitar</w:t>
      </w:r>
      <w:r w:rsidR="00A50989" w:rsidRPr="002C067E">
        <w:rPr>
          <w:sz w:val="20"/>
          <w:lang w:val="es-ES_tradnl"/>
        </w:rPr>
        <w:t xml:space="preserve"> el uso de la P.I. al servicio del desarrollo (</w:t>
      </w:r>
      <w:r w:rsidR="00E70262" w:rsidRPr="002C067E">
        <w:rPr>
          <w:sz w:val="20"/>
          <w:lang w:val="es-ES_tradnl"/>
        </w:rPr>
        <w:t xml:space="preserve">meta estratégica </w:t>
      </w:r>
      <w:r w:rsidR="002E023E" w:rsidRPr="002C067E">
        <w:rPr>
          <w:sz w:val="20"/>
          <w:lang w:val="es-ES_tradnl"/>
        </w:rPr>
        <w:t>III), fomentar</w:t>
      </w:r>
      <w:r w:rsidR="00A50989" w:rsidRPr="002C067E">
        <w:rPr>
          <w:sz w:val="20"/>
          <w:lang w:val="es-ES_tradnl"/>
        </w:rPr>
        <w:t xml:space="preserve"> la </w:t>
      </w:r>
      <w:r w:rsidR="007B2C29" w:rsidRPr="002C067E">
        <w:rPr>
          <w:sz w:val="20"/>
          <w:lang w:val="es-ES_tradnl"/>
        </w:rPr>
        <w:t>infra</w:t>
      </w:r>
      <w:r w:rsidR="00A50989" w:rsidRPr="002C067E">
        <w:rPr>
          <w:sz w:val="20"/>
          <w:lang w:val="es-ES_tradnl"/>
        </w:rPr>
        <w:t>e</w:t>
      </w:r>
      <w:r w:rsidR="007B2C29" w:rsidRPr="002C067E">
        <w:rPr>
          <w:sz w:val="20"/>
          <w:lang w:val="es-ES_tradnl"/>
        </w:rPr>
        <w:t>structur</w:t>
      </w:r>
      <w:r w:rsidR="00A50989" w:rsidRPr="002C067E">
        <w:rPr>
          <w:sz w:val="20"/>
          <w:lang w:val="es-ES_tradnl"/>
        </w:rPr>
        <w:t>a mundial d</w:t>
      </w:r>
      <w:r w:rsidR="007B2C29" w:rsidRPr="002C067E">
        <w:rPr>
          <w:sz w:val="20"/>
          <w:lang w:val="es-ES_tradnl"/>
        </w:rPr>
        <w:t xml:space="preserve">e </w:t>
      </w:r>
      <w:r w:rsidR="00A50989" w:rsidRPr="002C067E">
        <w:rPr>
          <w:sz w:val="20"/>
          <w:lang w:val="es-ES_tradnl"/>
        </w:rPr>
        <w:t>P.I</w:t>
      </w:r>
      <w:r w:rsidR="007471DC">
        <w:rPr>
          <w:sz w:val="20"/>
          <w:lang w:val="es-ES_tradnl"/>
        </w:rPr>
        <w:t xml:space="preserve">. </w:t>
      </w:r>
      <w:r w:rsidR="00DF7F45" w:rsidRPr="002C067E">
        <w:rPr>
          <w:sz w:val="20"/>
          <w:lang w:val="es-ES_tradnl"/>
        </w:rPr>
        <w:t>(</w:t>
      </w:r>
      <w:r w:rsidR="00E70262" w:rsidRPr="002C067E">
        <w:rPr>
          <w:sz w:val="20"/>
          <w:lang w:val="es-ES_tradnl"/>
        </w:rPr>
        <w:t xml:space="preserve">meta estratégica </w:t>
      </w:r>
      <w:r w:rsidR="00A50989" w:rsidRPr="002C067E">
        <w:rPr>
          <w:sz w:val="20"/>
          <w:lang w:val="es-ES_tradnl"/>
        </w:rPr>
        <w:t xml:space="preserve">IV) y </w:t>
      </w:r>
      <w:r w:rsidR="002E023E" w:rsidRPr="002C067E">
        <w:rPr>
          <w:sz w:val="20"/>
          <w:lang w:val="es-ES_tradnl"/>
        </w:rPr>
        <w:t xml:space="preserve">lograr </w:t>
      </w:r>
      <w:r w:rsidR="00A50989" w:rsidRPr="002C067E">
        <w:rPr>
          <w:sz w:val="20"/>
          <w:lang w:val="es-ES_tradnl"/>
        </w:rPr>
        <w:t>una comunicación más eficaz con el público en general y los sectores interesados de cada país y región respectivos (</w:t>
      </w:r>
      <w:r w:rsidR="00E70262" w:rsidRPr="002C067E">
        <w:rPr>
          <w:sz w:val="20"/>
          <w:lang w:val="es-ES_tradnl"/>
        </w:rPr>
        <w:t xml:space="preserve">meta estratégica </w:t>
      </w:r>
      <w:r w:rsidR="00A50989" w:rsidRPr="002C067E">
        <w:rPr>
          <w:sz w:val="20"/>
          <w:lang w:val="es-ES_tradnl"/>
        </w:rPr>
        <w:t>VIII).</w:t>
      </w:r>
    </w:p>
    <w:p w:rsidR="007B2C29" w:rsidRPr="002C067E" w:rsidRDefault="007B2C29" w:rsidP="006E3E3C">
      <w:pPr>
        <w:ind w:left="567"/>
        <w:jc w:val="both"/>
        <w:rPr>
          <w:sz w:val="20"/>
          <w:lang w:val="es-ES_tradnl"/>
        </w:rPr>
      </w:pPr>
    </w:p>
    <w:p w:rsidR="00B22442" w:rsidRPr="002C067E" w:rsidRDefault="00A50989" w:rsidP="006E3E3C">
      <w:pPr>
        <w:ind w:left="567"/>
        <w:jc w:val="both"/>
        <w:rPr>
          <w:sz w:val="20"/>
          <w:lang w:val="es-ES_tradnl"/>
        </w:rPr>
      </w:pPr>
      <w:r w:rsidRPr="002C067E">
        <w:rPr>
          <w:sz w:val="20"/>
          <w:lang w:val="es-ES_tradnl"/>
        </w:rPr>
        <w:t>viii)</w:t>
      </w:r>
      <w:r w:rsidRPr="002C067E">
        <w:rPr>
          <w:sz w:val="20"/>
          <w:lang w:val="es-ES_tradnl"/>
        </w:rPr>
        <w:tab/>
        <w:t xml:space="preserve">Fortalecer la </w:t>
      </w:r>
      <w:r w:rsidR="0023208C" w:rsidRPr="002C067E">
        <w:rPr>
          <w:sz w:val="20"/>
          <w:lang w:val="es-ES_tradnl"/>
        </w:rPr>
        <w:t>imagen institucional de la OMPI y</w:t>
      </w:r>
      <w:r w:rsidRPr="002C067E">
        <w:rPr>
          <w:sz w:val="20"/>
          <w:lang w:val="es-ES_tradnl"/>
        </w:rPr>
        <w:t xml:space="preserve"> fomentar la calidad, la prestación de servicios y el acceso a los contenidos que produce la Organización, entre otros medios, a través del sitio web, serán prioridades esenciales durante el bienio.  La OMPI </w:t>
      </w:r>
      <w:r w:rsidR="00325C26" w:rsidRPr="002C067E">
        <w:rPr>
          <w:sz w:val="20"/>
          <w:lang w:val="es-ES_tradnl"/>
        </w:rPr>
        <w:t xml:space="preserve">debe comprender mejor las necesidades y expectativas de sus numerosas partes interesadas y seguir basándose en los fundamentos establecidos en el bienio anterior con el fin de fomentar una cultura orientada a los servicios respaldada por una </w:t>
      </w:r>
      <w:r w:rsidR="007B2C29" w:rsidRPr="002C067E">
        <w:rPr>
          <w:sz w:val="20"/>
          <w:lang w:val="es-ES_tradnl"/>
        </w:rPr>
        <w:t>infra</w:t>
      </w:r>
      <w:r w:rsidR="00325C26" w:rsidRPr="002C067E">
        <w:rPr>
          <w:sz w:val="20"/>
          <w:lang w:val="es-ES_tradnl"/>
        </w:rPr>
        <w:t>estructura técnica</w:t>
      </w:r>
      <w:r w:rsidR="00FD20B2" w:rsidRPr="002C067E">
        <w:rPr>
          <w:sz w:val="20"/>
          <w:lang w:val="es-ES_tradnl"/>
        </w:rPr>
        <w:t xml:space="preserve"> de mayor calidad</w:t>
      </w:r>
      <w:r w:rsidR="00B22442" w:rsidRPr="002C067E">
        <w:rPr>
          <w:sz w:val="20"/>
          <w:lang w:val="es-ES_tradnl"/>
        </w:rPr>
        <w:t>.</w:t>
      </w:r>
    </w:p>
    <w:p w:rsidR="007B2C29" w:rsidRPr="002C067E" w:rsidRDefault="007B2C29" w:rsidP="006E3E3C">
      <w:pPr>
        <w:jc w:val="both"/>
        <w:rPr>
          <w:sz w:val="20"/>
          <w:lang w:val="es-ES_tradnl"/>
        </w:rPr>
      </w:pPr>
    </w:p>
    <w:p w:rsidR="007B2C29" w:rsidRPr="002C067E" w:rsidRDefault="00325C26" w:rsidP="006E3E3C">
      <w:pPr>
        <w:ind w:left="567"/>
        <w:jc w:val="both"/>
        <w:rPr>
          <w:sz w:val="20"/>
          <w:szCs w:val="18"/>
          <w:lang w:val="es-ES_tradnl"/>
        </w:rPr>
      </w:pPr>
      <w:r w:rsidRPr="002C067E">
        <w:rPr>
          <w:sz w:val="20"/>
          <w:lang w:val="es-ES_tradnl"/>
        </w:rPr>
        <w:t>ix)</w:t>
      </w:r>
      <w:r w:rsidRPr="002C067E">
        <w:rPr>
          <w:sz w:val="20"/>
          <w:lang w:val="es-ES_tradnl"/>
        </w:rPr>
        <w:tab/>
      </w:r>
      <w:r w:rsidR="00FD20B2" w:rsidRPr="002C067E">
        <w:rPr>
          <w:sz w:val="20"/>
          <w:lang w:val="es-ES_tradnl"/>
        </w:rPr>
        <w:t xml:space="preserve">En el marco de la meta estratégica IX </w:t>
      </w:r>
      <w:r w:rsidR="001508AD" w:rsidRPr="002C067E">
        <w:rPr>
          <w:sz w:val="20"/>
          <w:lang w:val="es-ES_tradnl"/>
        </w:rPr>
        <w:t>p</w:t>
      </w:r>
      <w:r w:rsidRPr="002C067E">
        <w:rPr>
          <w:sz w:val="20"/>
          <w:lang w:val="es-ES_tradnl"/>
        </w:rPr>
        <w:t>roseguirán los esfuerzos para prestar servicios efectivos y eficaces</w:t>
      </w:r>
      <w:r w:rsidR="00DC3386" w:rsidRPr="002C067E">
        <w:rPr>
          <w:sz w:val="20"/>
          <w:lang w:val="es-ES_tradnl"/>
        </w:rPr>
        <w:t>,</w:t>
      </w:r>
      <w:r w:rsidRPr="002C067E">
        <w:rPr>
          <w:sz w:val="20"/>
          <w:lang w:val="es-ES_tradnl"/>
        </w:rPr>
        <w:t xml:space="preserve"> orientados a responder a las necesidades de los usuarios, </w:t>
      </w:r>
      <w:r w:rsidR="0023208C" w:rsidRPr="002C067E">
        <w:rPr>
          <w:sz w:val="20"/>
          <w:lang w:val="es-ES_tradnl"/>
        </w:rPr>
        <w:t xml:space="preserve">ya sean </w:t>
      </w:r>
      <w:r w:rsidRPr="002C067E">
        <w:rPr>
          <w:sz w:val="20"/>
          <w:lang w:val="es-ES_tradnl"/>
        </w:rPr>
        <w:t xml:space="preserve">las partes interesadas </w:t>
      </w:r>
      <w:r w:rsidR="0023208C" w:rsidRPr="002C067E">
        <w:rPr>
          <w:sz w:val="20"/>
          <w:lang w:val="es-ES_tradnl"/>
        </w:rPr>
        <w:t xml:space="preserve">de fuera de </w:t>
      </w:r>
      <w:r w:rsidRPr="002C067E">
        <w:rPr>
          <w:sz w:val="20"/>
          <w:lang w:val="es-ES_tradnl"/>
        </w:rPr>
        <w:t xml:space="preserve">la Organización </w:t>
      </w:r>
      <w:r w:rsidR="00E74A02" w:rsidRPr="002C067E">
        <w:rPr>
          <w:sz w:val="20"/>
          <w:lang w:val="es-ES_tradnl"/>
        </w:rPr>
        <w:t>o</w:t>
      </w:r>
      <w:r w:rsidR="0023208C" w:rsidRPr="002C067E">
        <w:rPr>
          <w:sz w:val="20"/>
          <w:lang w:val="es-ES_tradnl"/>
        </w:rPr>
        <w:t xml:space="preserve"> </w:t>
      </w:r>
      <w:r w:rsidRPr="002C067E">
        <w:rPr>
          <w:sz w:val="20"/>
          <w:lang w:val="es-ES_tradnl"/>
        </w:rPr>
        <w:t xml:space="preserve">los usuarios internos.  </w:t>
      </w:r>
      <w:r w:rsidR="00FD20B2" w:rsidRPr="002C067E">
        <w:rPr>
          <w:sz w:val="20"/>
          <w:lang w:val="es-ES_tradnl"/>
        </w:rPr>
        <w:t xml:space="preserve">Tras </w:t>
      </w:r>
      <w:r w:rsidRPr="002C067E">
        <w:rPr>
          <w:sz w:val="20"/>
          <w:lang w:val="es-ES_tradnl"/>
        </w:rPr>
        <w:t>la revisión exhaustiva del Estatuto y Reglamento del Personal que tuvo lugar e</w:t>
      </w:r>
      <w:r w:rsidR="00DF7F45" w:rsidRPr="002C067E">
        <w:rPr>
          <w:sz w:val="20"/>
          <w:lang w:val="es-ES_tradnl"/>
        </w:rPr>
        <w:t>n 2</w:t>
      </w:r>
      <w:r w:rsidRPr="002C067E">
        <w:rPr>
          <w:sz w:val="20"/>
          <w:lang w:val="es-ES_tradnl"/>
        </w:rPr>
        <w:t>012, se seguirán efe</w:t>
      </w:r>
      <w:r w:rsidR="00FD20B2" w:rsidRPr="002C067E">
        <w:rPr>
          <w:sz w:val="20"/>
          <w:lang w:val="es-ES_tradnl"/>
        </w:rPr>
        <w:t>ctuando ajustes en dicha reglamentación</w:t>
      </w:r>
      <w:r w:rsidRPr="002C067E">
        <w:rPr>
          <w:sz w:val="20"/>
          <w:lang w:val="es-ES_tradnl"/>
        </w:rPr>
        <w:t>, cuando proceda, a fin de velar por que exista un marco reglamentario claro, moderno y actualizado, e</w:t>
      </w:r>
      <w:r w:rsidR="00FD20B2" w:rsidRPr="002C067E">
        <w:rPr>
          <w:sz w:val="20"/>
          <w:lang w:val="es-ES_tradnl"/>
        </w:rPr>
        <w:t>n concordancia con la práctica imperante</w:t>
      </w:r>
      <w:r w:rsidRPr="002C067E">
        <w:rPr>
          <w:sz w:val="20"/>
          <w:lang w:val="es-ES_tradnl"/>
        </w:rPr>
        <w:t xml:space="preserve"> en el </w:t>
      </w:r>
      <w:r w:rsidRPr="002C067E">
        <w:rPr>
          <w:snapToGrid w:val="0"/>
          <w:sz w:val="20"/>
          <w:lang w:val="es-ES_tradnl"/>
        </w:rPr>
        <w:t>sistema común de las NN.UU</w:t>
      </w:r>
      <w:r w:rsidR="007B2C29" w:rsidRPr="002C067E">
        <w:rPr>
          <w:sz w:val="20"/>
          <w:szCs w:val="18"/>
          <w:lang w:val="es-ES_tradnl"/>
        </w:rPr>
        <w:t>.</w:t>
      </w:r>
      <w:r w:rsidRPr="002C067E">
        <w:rPr>
          <w:sz w:val="20"/>
          <w:szCs w:val="18"/>
          <w:lang w:val="es-ES_tradnl"/>
        </w:rPr>
        <w:t xml:space="preserve">  La estructura y el perfil del personal de la Organización </w:t>
      </w:r>
      <w:r w:rsidR="00440952" w:rsidRPr="002C067E">
        <w:rPr>
          <w:sz w:val="20"/>
          <w:szCs w:val="18"/>
          <w:lang w:val="es-ES_tradnl"/>
        </w:rPr>
        <w:t>con</w:t>
      </w:r>
      <w:r w:rsidR="005614FF" w:rsidRPr="002C067E">
        <w:rPr>
          <w:sz w:val="20"/>
          <w:szCs w:val="18"/>
          <w:lang w:val="es-ES_tradnl"/>
        </w:rPr>
        <w:t>lleva</w:t>
      </w:r>
      <w:r w:rsidR="00440952" w:rsidRPr="002C067E">
        <w:rPr>
          <w:sz w:val="20"/>
          <w:szCs w:val="18"/>
          <w:lang w:val="es-ES_tradnl"/>
        </w:rPr>
        <w:t>n</w:t>
      </w:r>
      <w:r w:rsidR="005614FF" w:rsidRPr="002C067E">
        <w:rPr>
          <w:sz w:val="20"/>
          <w:szCs w:val="18"/>
          <w:lang w:val="es-ES_tradnl"/>
        </w:rPr>
        <w:t xml:space="preserve"> </w:t>
      </w:r>
      <w:r w:rsidRPr="002C067E">
        <w:rPr>
          <w:sz w:val="20"/>
          <w:szCs w:val="18"/>
          <w:lang w:val="es-ES_tradnl"/>
        </w:rPr>
        <w:t xml:space="preserve">el riesgo de que las necesidades </w:t>
      </w:r>
      <w:r w:rsidR="00440952" w:rsidRPr="002C067E">
        <w:rPr>
          <w:sz w:val="20"/>
          <w:szCs w:val="18"/>
          <w:lang w:val="es-ES_tradnl"/>
        </w:rPr>
        <w:t xml:space="preserve">evolucionen con tal rapidez que </w:t>
      </w:r>
      <w:r w:rsidR="00281871">
        <w:rPr>
          <w:sz w:val="20"/>
          <w:szCs w:val="18"/>
          <w:lang w:val="es-ES_tradnl"/>
        </w:rPr>
        <w:t xml:space="preserve">se produzcan desajustes entre </w:t>
      </w:r>
      <w:r w:rsidRPr="002C067E">
        <w:rPr>
          <w:sz w:val="20"/>
          <w:szCs w:val="18"/>
          <w:lang w:val="es-ES_tradnl"/>
        </w:rPr>
        <w:t xml:space="preserve">las capacidades del personal </w:t>
      </w:r>
      <w:r w:rsidR="00281871">
        <w:rPr>
          <w:sz w:val="20"/>
          <w:szCs w:val="18"/>
          <w:lang w:val="es-ES_tradnl"/>
        </w:rPr>
        <w:t xml:space="preserve">y </w:t>
      </w:r>
      <w:r w:rsidRPr="002C067E">
        <w:rPr>
          <w:sz w:val="20"/>
          <w:szCs w:val="18"/>
          <w:lang w:val="es-ES_tradnl"/>
        </w:rPr>
        <w:t xml:space="preserve">las nuevas demandas.  Por lo tanto, entre las prioridades correspondientes a los recursos humanos durante el bienio figurará la alineación de las capacidades, el equilibrio entre los géneros a todos los niveles, la diversidad geográfica, la duración del proceso de contratación, y políticas claras alineadas con las necesidades operativas y la práctica </w:t>
      </w:r>
      <w:r w:rsidR="00FD20B2" w:rsidRPr="002C067E">
        <w:rPr>
          <w:sz w:val="20"/>
          <w:szCs w:val="18"/>
          <w:lang w:val="es-ES_tradnl"/>
        </w:rPr>
        <w:t xml:space="preserve">imperante </w:t>
      </w:r>
      <w:r w:rsidRPr="002C067E">
        <w:rPr>
          <w:sz w:val="20"/>
          <w:szCs w:val="18"/>
          <w:lang w:val="es-ES_tradnl"/>
        </w:rPr>
        <w:t xml:space="preserve">en el </w:t>
      </w:r>
      <w:r w:rsidRPr="002C067E">
        <w:rPr>
          <w:snapToGrid w:val="0"/>
          <w:sz w:val="20"/>
          <w:szCs w:val="18"/>
          <w:lang w:val="es-ES_tradnl"/>
        </w:rPr>
        <w:t>sistema común de las NN.UU.  Se fomentará la inversión en el perfeccionamiento del personal haciendo hincapié en las necesidades de formación esenciales a nivel colectivo e individual para velar por el logro eficaz de los resultados previstos en la Organización.</w:t>
      </w:r>
    </w:p>
    <w:p w:rsidR="007B2C29" w:rsidRPr="002C067E" w:rsidRDefault="007B2C29" w:rsidP="006E3E3C">
      <w:pPr>
        <w:jc w:val="both"/>
        <w:rPr>
          <w:sz w:val="20"/>
          <w:lang w:val="es-ES_tradnl"/>
        </w:rPr>
      </w:pPr>
    </w:p>
    <w:p w:rsidR="00B22442" w:rsidRPr="002C067E" w:rsidRDefault="001F5E74" w:rsidP="006E3E3C">
      <w:pPr>
        <w:ind w:left="567"/>
        <w:jc w:val="both"/>
        <w:rPr>
          <w:sz w:val="20"/>
          <w:lang w:val="es-ES_tradnl"/>
        </w:rPr>
      </w:pPr>
      <w:r w:rsidRPr="002C067E">
        <w:rPr>
          <w:sz w:val="20"/>
          <w:lang w:val="es-ES_tradnl"/>
        </w:rPr>
        <w:t>x)</w:t>
      </w:r>
      <w:r w:rsidRPr="002C067E">
        <w:rPr>
          <w:sz w:val="20"/>
          <w:lang w:val="es-ES_tradnl"/>
        </w:rPr>
        <w:tab/>
        <w:t>E</w:t>
      </w:r>
      <w:r w:rsidR="007B2C29" w:rsidRPr="002C067E">
        <w:rPr>
          <w:sz w:val="20"/>
          <w:lang w:val="es-ES_tradnl"/>
        </w:rPr>
        <w:t>n e</w:t>
      </w:r>
      <w:r w:rsidRPr="002C067E">
        <w:rPr>
          <w:sz w:val="20"/>
          <w:lang w:val="es-ES_tradnl"/>
        </w:rPr>
        <w:t>l bienio siguiente, la Secretaría trabajará para aplicar plenamente la Política Lingüística de la OMPI</w:t>
      </w:r>
      <w:r w:rsidR="007B2C29" w:rsidRPr="002C067E">
        <w:rPr>
          <w:sz w:val="20"/>
          <w:lang w:val="es-ES_tradnl"/>
        </w:rPr>
        <w:t>, inclui</w:t>
      </w:r>
      <w:r w:rsidRPr="002C067E">
        <w:rPr>
          <w:sz w:val="20"/>
          <w:lang w:val="es-ES_tradnl"/>
        </w:rPr>
        <w:t>dos los aspectos relativos a la cobertura de idiomas y la longitud de los</w:t>
      </w:r>
      <w:r w:rsidR="007B2C29" w:rsidRPr="002C067E">
        <w:rPr>
          <w:sz w:val="20"/>
          <w:lang w:val="es-ES_tradnl"/>
        </w:rPr>
        <w:t xml:space="preserve"> document</w:t>
      </w:r>
      <w:r w:rsidRPr="002C067E">
        <w:rPr>
          <w:sz w:val="20"/>
          <w:lang w:val="es-ES_tradnl"/>
        </w:rPr>
        <w:t>o</w:t>
      </w:r>
      <w:r w:rsidR="007B2C29" w:rsidRPr="002C067E">
        <w:rPr>
          <w:sz w:val="20"/>
          <w:lang w:val="es-ES_tradnl"/>
        </w:rPr>
        <w:t>s</w:t>
      </w:r>
      <w:r w:rsidR="00B22442" w:rsidRPr="002C067E">
        <w:rPr>
          <w:sz w:val="20"/>
          <w:lang w:val="es-ES_tradnl"/>
        </w:rPr>
        <w:t>.</w:t>
      </w:r>
    </w:p>
    <w:p w:rsidR="007B2C29" w:rsidRPr="002C067E" w:rsidRDefault="007B2C29" w:rsidP="006E3E3C">
      <w:pPr>
        <w:jc w:val="both"/>
        <w:rPr>
          <w:sz w:val="20"/>
          <w:lang w:val="es-ES_tradnl"/>
        </w:rPr>
      </w:pPr>
    </w:p>
    <w:p w:rsidR="007B2C29" w:rsidRPr="002C067E" w:rsidRDefault="001F5E74" w:rsidP="006E3E3C">
      <w:pPr>
        <w:ind w:left="567"/>
        <w:jc w:val="both"/>
        <w:rPr>
          <w:sz w:val="20"/>
          <w:lang w:val="es-ES_tradnl"/>
        </w:rPr>
      </w:pPr>
      <w:r w:rsidRPr="002C067E">
        <w:rPr>
          <w:sz w:val="20"/>
          <w:lang w:val="es-ES_tradnl"/>
        </w:rPr>
        <w:t>xi)</w:t>
      </w:r>
      <w:r w:rsidRPr="002C067E">
        <w:rPr>
          <w:sz w:val="20"/>
          <w:lang w:val="es-ES_tradnl"/>
        </w:rPr>
        <w:tab/>
        <w:t xml:space="preserve">Seguirá siendo una prioridad esencial el constante fortalecimiento de la gestión del rendimiento </w:t>
      </w:r>
      <w:r w:rsidR="005621B3" w:rsidRPr="002C067E">
        <w:rPr>
          <w:sz w:val="20"/>
          <w:lang w:val="es-ES_tradnl"/>
        </w:rPr>
        <w:t xml:space="preserve">en </w:t>
      </w:r>
      <w:r w:rsidRPr="002C067E">
        <w:rPr>
          <w:sz w:val="20"/>
          <w:lang w:val="es-ES_tradnl"/>
        </w:rPr>
        <w:t>la Organización</w:t>
      </w:r>
      <w:r w:rsidR="007B2C29" w:rsidRPr="002C067E">
        <w:rPr>
          <w:sz w:val="20"/>
          <w:lang w:val="es-ES_tradnl"/>
        </w:rPr>
        <w:t xml:space="preserve">.  </w:t>
      </w:r>
      <w:r w:rsidRPr="002C067E">
        <w:rPr>
          <w:sz w:val="20"/>
          <w:lang w:val="es-ES_tradnl"/>
        </w:rPr>
        <w:t>El bi</w:t>
      </w:r>
      <w:r w:rsidR="007B2C29" w:rsidRPr="002C067E">
        <w:rPr>
          <w:sz w:val="20"/>
          <w:lang w:val="es-ES_tradnl"/>
        </w:rPr>
        <w:t>e</w:t>
      </w:r>
      <w:r w:rsidRPr="002C067E">
        <w:rPr>
          <w:sz w:val="20"/>
          <w:lang w:val="es-ES_tradnl"/>
        </w:rPr>
        <w:t>ni</w:t>
      </w:r>
      <w:r w:rsidR="00DF7F45" w:rsidRPr="002C067E">
        <w:rPr>
          <w:sz w:val="20"/>
          <w:lang w:val="es-ES_tradnl"/>
        </w:rPr>
        <w:t>o 2</w:t>
      </w:r>
      <w:r w:rsidR="007B2C29" w:rsidRPr="002C067E">
        <w:rPr>
          <w:sz w:val="20"/>
          <w:lang w:val="es-ES_tradnl"/>
        </w:rPr>
        <w:t xml:space="preserve">014/15 </w:t>
      </w:r>
      <w:r w:rsidRPr="002C067E">
        <w:rPr>
          <w:sz w:val="20"/>
          <w:lang w:val="es-ES_tradnl"/>
        </w:rPr>
        <w:t xml:space="preserve">se centrará en velar por que se fortalezcan los procedimientos de supervisión y evaluación de la ejecución de los </w:t>
      </w:r>
      <w:r w:rsidR="005621B3" w:rsidRPr="002C067E">
        <w:rPr>
          <w:sz w:val="20"/>
          <w:lang w:val="es-ES_tradnl"/>
        </w:rPr>
        <w:t xml:space="preserve">programas </w:t>
      </w:r>
      <w:r w:rsidRPr="002C067E">
        <w:rPr>
          <w:sz w:val="20"/>
          <w:lang w:val="es-ES_tradnl"/>
        </w:rPr>
        <w:t xml:space="preserve">a fin de </w:t>
      </w:r>
      <w:r w:rsidR="005621B3" w:rsidRPr="002C067E">
        <w:rPr>
          <w:sz w:val="20"/>
          <w:lang w:val="es-ES_tradnl"/>
        </w:rPr>
        <w:t xml:space="preserve">difundir </w:t>
      </w:r>
      <w:r w:rsidRPr="002C067E">
        <w:rPr>
          <w:sz w:val="20"/>
          <w:lang w:val="es-ES_tradnl"/>
        </w:rPr>
        <w:t xml:space="preserve">y </w:t>
      </w:r>
      <w:r w:rsidR="005621B3" w:rsidRPr="002C067E">
        <w:rPr>
          <w:sz w:val="20"/>
          <w:lang w:val="es-ES_tradnl"/>
        </w:rPr>
        <w:t xml:space="preserve">comprender más adecuadamente la evolución de los mecanismos que se aplican </w:t>
      </w:r>
      <w:r w:rsidRPr="002C067E">
        <w:rPr>
          <w:sz w:val="20"/>
          <w:lang w:val="es-ES_tradnl"/>
        </w:rPr>
        <w:t xml:space="preserve">para seguir mejorando </w:t>
      </w:r>
      <w:r w:rsidR="0054408D" w:rsidRPr="002C067E">
        <w:rPr>
          <w:sz w:val="20"/>
          <w:lang w:val="es-ES_tradnl"/>
        </w:rPr>
        <w:t>dicha</w:t>
      </w:r>
      <w:r w:rsidRPr="002C067E">
        <w:rPr>
          <w:sz w:val="20"/>
          <w:lang w:val="es-ES_tradnl"/>
        </w:rPr>
        <w:t xml:space="preserve"> ejecución</w:t>
      </w:r>
      <w:r w:rsidR="007B2C29" w:rsidRPr="002C067E">
        <w:rPr>
          <w:sz w:val="20"/>
          <w:lang w:val="es-ES_tradnl"/>
        </w:rPr>
        <w:t xml:space="preserve">.  </w:t>
      </w:r>
      <w:r w:rsidRPr="002C067E">
        <w:rPr>
          <w:sz w:val="20"/>
          <w:lang w:val="es-ES_tradnl"/>
        </w:rPr>
        <w:t>El despliegue</w:t>
      </w:r>
      <w:r w:rsidR="00B67A9E" w:rsidRPr="002C067E">
        <w:rPr>
          <w:sz w:val="20"/>
          <w:lang w:val="es-ES_tradnl"/>
        </w:rPr>
        <w:t xml:space="preserve"> de las funciones principales del </w:t>
      </w:r>
      <w:r w:rsidR="00B67A9E" w:rsidRPr="002C067E">
        <w:rPr>
          <w:snapToGrid w:val="0"/>
          <w:sz w:val="20"/>
          <w:lang w:val="es-ES_tradnl"/>
        </w:rPr>
        <w:t xml:space="preserve">sistema de planificación de </w:t>
      </w:r>
      <w:r w:rsidR="00890022">
        <w:rPr>
          <w:snapToGrid w:val="0"/>
          <w:sz w:val="20"/>
          <w:lang w:val="es-ES_tradnl"/>
        </w:rPr>
        <w:t xml:space="preserve">los </w:t>
      </w:r>
      <w:r w:rsidR="00B67A9E" w:rsidRPr="002C067E">
        <w:rPr>
          <w:snapToGrid w:val="0"/>
          <w:sz w:val="20"/>
          <w:lang w:val="es-ES_tradnl"/>
        </w:rPr>
        <w:t xml:space="preserve">recursos </w:t>
      </w:r>
      <w:r w:rsidR="00890022">
        <w:rPr>
          <w:snapToGrid w:val="0"/>
          <w:sz w:val="20"/>
          <w:lang w:val="es-ES_tradnl"/>
        </w:rPr>
        <w:t xml:space="preserve">institucionales </w:t>
      </w:r>
      <w:r w:rsidR="005621B3" w:rsidRPr="002C067E">
        <w:rPr>
          <w:snapToGrid w:val="0"/>
          <w:sz w:val="20"/>
          <w:lang w:val="es-ES_tradnl"/>
        </w:rPr>
        <w:t>(PR</w:t>
      </w:r>
      <w:r w:rsidR="00890022">
        <w:rPr>
          <w:snapToGrid w:val="0"/>
          <w:sz w:val="20"/>
          <w:lang w:val="es-ES_tradnl"/>
        </w:rPr>
        <w:t>I</w:t>
      </w:r>
      <w:r w:rsidR="005621B3" w:rsidRPr="002C067E">
        <w:rPr>
          <w:snapToGrid w:val="0"/>
          <w:sz w:val="20"/>
          <w:lang w:val="es-ES_tradnl"/>
        </w:rPr>
        <w:t xml:space="preserve">) </w:t>
      </w:r>
      <w:r w:rsidR="00B67A9E" w:rsidRPr="002C067E">
        <w:rPr>
          <w:snapToGrid w:val="0"/>
          <w:sz w:val="20"/>
          <w:lang w:val="es-ES_tradnl"/>
        </w:rPr>
        <w:t>y la plena integración de los recursos humanos y financieros</w:t>
      </w:r>
      <w:r w:rsidR="007B2C29" w:rsidRPr="002C067E">
        <w:rPr>
          <w:sz w:val="20"/>
          <w:lang w:val="es-ES_tradnl"/>
        </w:rPr>
        <w:t xml:space="preserve"> </w:t>
      </w:r>
      <w:r w:rsidR="00B67A9E" w:rsidRPr="002C067E">
        <w:rPr>
          <w:sz w:val="20"/>
          <w:lang w:val="es-ES_tradnl"/>
        </w:rPr>
        <w:t xml:space="preserve">de la OMPI y los </w:t>
      </w:r>
      <w:r w:rsidR="00B67A9E" w:rsidRPr="002C067E">
        <w:rPr>
          <w:snapToGrid w:val="0"/>
          <w:sz w:val="20"/>
          <w:lang w:val="es-ES_tradnl"/>
        </w:rPr>
        <w:t xml:space="preserve">sistemas de gestión por resultados serán esenciales para desarrollar sistemas compatibles </w:t>
      </w:r>
      <w:r w:rsidR="005621B3" w:rsidRPr="002C067E">
        <w:rPr>
          <w:snapToGrid w:val="0"/>
          <w:sz w:val="20"/>
          <w:lang w:val="es-ES_tradnl"/>
        </w:rPr>
        <w:t xml:space="preserve">que </w:t>
      </w:r>
      <w:r w:rsidR="00B67A9E" w:rsidRPr="002C067E">
        <w:rPr>
          <w:snapToGrid w:val="0"/>
          <w:sz w:val="20"/>
          <w:lang w:val="es-ES_tradnl"/>
        </w:rPr>
        <w:t>se respalden mutuamente con el fin de integrar la planificación, el seguimiento y la presentación de informes tanto en el ámbito financiero como programático.</w:t>
      </w:r>
    </w:p>
    <w:p w:rsidR="007B2C29" w:rsidRPr="002C067E" w:rsidRDefault="007B2C29" w:rsidP="006E3E3C">
      <w:pPr>
        <w:jc w:val="both"/>
        <w:rPr>
          <w:bCs/>
          <w:sz w:val="20"/>
          <w:lang w:val="es-ES_tradnl"/>
        </w:rPr>
      </w:pPr>
    </w:p>
    <w:p w:rsidR="007B2C29" w:rsidRPr="002C067E" w:rsidRDefault="00B67A9E" w:rsidP="006E3E3C">
      <w:pPr>
        <w:ind w:left="567"/>
        <w:jc w:val="both"/>
        <w:rPr>
          <w:sz w:val="20"/>
          <w:lang w:val="es-ES_tradnl"/>
        </w:rPr>
      </w:pPr>
      <w:r w:rsidRPr="002C067E">
        <w:rPr>
          <w:bCs/>
          <w:sz w:val="20"/>
          <w:lang w:val="es-ES_tradnl"/>
        </w:rPr>
        <w:t>xii)</w:t>
      </w:r>
      <w:r w:rsidRPr="002C067E">
        <w:rPr>
          <w:bCs/>
          <w:sz w:val="20"/>
          <w:lang w:val="es-ES_tradnl"/>
        </w:rPr>
        <w:tab/>
        <w:t xml:space="preserve">Las </w:t>
      </w:r>
      <w:r w:rsidRPr="002C067E">
        <w:rPr>
          <w:sz w:val="20"/>
          <w:lang w:val="es-ES_tradnl"/>
        </w:rPr>
        <w:t xml:space="preserve">nueve </w:t>
      </w:r>
      <w:r w:rsidR="005621B3" w:rsidRPr="002C067E">
        <w:rPr>
          <w:sz w:val="20"/>
          <w:lang w:val="es-ES_tradnl"/>
        </w:rPr>
        <w:t xml:space="preserve">metas estratégicas </w:t>
      </w:r>
      <w:r w:rsidRPr="002C067E">
        <w:rPr>
          <w:sz w:val="20"/>
          <w:lang w:val="es-ES_tradnl"/>
        </w:rPr>
        <w:t xml:space="preserve">de la OMPI dependen en gran medida de </w:t>
      </w:r>
      <w:r w:rsidR="005621B3" w:rsidRPr="002C067E">
        <w:rPr>
          <w:sz w:val="20"/>
          <w:lang w:val="es-ES_tradnl"/>
        </w:rPr>
        <w:t xml:space="preserve">contar con </w:t>
      </w:r>
      <w:r w:rsidRPr="002C067E">
        <w:rPr>
          <w:sz w:val="20"/>
          <w:lang w:val="es-ES_tradnl"/>
        </w:rPr>
        <w:t xml:space="preserve">una infraestructura y unos servicios fiables y eficaces de TIC para la ejecución de los programas.  A medida que aumenta </w:t>
      </w:r>
      <w:r w:rsidR="00413FD5" w:rsidRPr="002C067E">
        <w:rPr>
          <w:sz w:val="20"/>
          <w:lang w:val="es-ES_tradnl"/>
        </w:rPr>
        <w:t>su</w:t>
      </w:r>
      <w:r w:rsidRPr="002C067E">
        <w:rPr>
          <w:sz w:val="20"/>
          <w:lang w:val="es-ES_tradnl"/>
        </w:rPr>
        <w:t xml:space="preserve"> importancia, </w:t>
      </w:r>
      <w:r w:rsidR="005621B3" w:rsidRPr="002C067E">
        <w:rPr>
          <w:sz w:val="20"/>
          <w:lang w:val="es-ES_tradnl"/>
        </w:rPr>
        <w:t xml:space="preserve">crecen </w:t>
      </w:r>
      <w:r w:rsidRPr="002C067E">
        <w:rPr>
          <w:sz w:val="20"/>
          <w:lang w:val="es-ES_tradnl"/>
        </w:rPr>
        <w:t xml:space="preserve">las expectativas y </w:t>
      </w:r>
      <w:r w:rsidR="005621B3" w:rsidRPr="002C067E">
        <w:rPr>
          <w:sz w:val="20"/>
          <w:lang w:val="es-ES_tradnl"/>
        </w:rPr>
        <w:t xml:space="preserve">se amplía </w:t>
      </w:r>
      <w:r w:rsidRPr="002C067E">
        <w:rPr>
          <w:sz w:val="20"/>
          <w:lang w:val="es-ES_tradnl"/>
        </w:rPr>
        <w:t xml:space="preserve">la responsabilidad.  Los usuarios mundiales esperan que los servicios de TIC de la OMPI respondan más adecuadamente a sus necesidades, y sean cada vez más fiables, accesibles y seguros ante </w:t>
      </w:r>
      <w:r w:rsidR="00A633B6" w:rsidRPr="002C067E">
        <w:rPr>
          <w:sz w:val="20"/>
          <w:lang w:val="es-ES_tradnl"/>
        </w:rPr>
        <w:t xml:space="preserve">los </w:t>
      </w:r>
      <w:r w:rsidRPr="002C067E">
        <w:rPr>
          <w:sz w:val="20"/>
          <w:lang w:val="es-ES_tradnl"/>
        </w:rPr>
        <w:t xml:space="preserve">desastres naturales y </w:t>
      </w:r>
      <w:r w:rsidR="00A633B6" w:rsidRPr="002C067E">
        <w:rPr>
          <w:sz w:val="20"/>
          <w:lang w:val="es-ES_tradnl"/>
        </w:rPr>
        <w:t xml:space="preserve">los </w:t>
      </w:r>
      <w:r w:rsidRPr="002C067E">
        <w:rPr>
          <w:sz w:val="20"/>
          <w:lang w:val="es-ES_tradnl"/>
        </w:rPr>
        <w:t>humanos</w:t>
      </w:r>
      <w:r w:rsidR="00A633B6" w:rsidRPr="002C067E">
        <w:rPr>
          <w:sz w:val="20"/>
          <w:lang w:val="es-ES_tradnl"/>
        </w:rPr>
        <w:t>,</w:t>
      </w:r>
      <w:r w:rsidRPr="002C067E">
        <w:rPr>
          <w:sz w:val="20"/>
          <w:lang w:val="es-ES_tradnl"/>
        </w:rPr>
        <w:t xml:space="preserve"> como los ciberataques.  Por lo tanto, la seguridad de la información reclama la máxima prioridad y seguirá fortaleciéndose a lo largo del siguiente bienio.  Se garantizará una mayor accesibilidad </w:t>
      </w:r>
      <w:r w:rsidR="0054408D" w:rsidRPr="002C067E">
        <w:rPr>
          <w:sz w:val="20"/>
          <w:lang w:val="es-ES_tradnl"/>
        </w:rPr>
        <w:t xml:space="preserve">aplicando </w:t>
      </w:r>
      <w:r w:rsidRPr="002C067E">
        <w:rPr>
          <w:sz w:val="20"/>
          <w:lang w:val="es-ES_tradnl"/>
        </w:rPr>
        <w:t>medidas de conmutación por error, recuperación y redundancia.</w:t>
      </w:r>
    </w:p>
    <w:p w:rsidR="007B2C29" w:rsidRPr="002C067E" w:rsidRDefault="007B2C29" w:rsidP="006E3E3C">
      <w:pPr>
        <w:ind w:left="567"/>
        <w:jc w:val="both"/>
        <w:rPr>
          <w:sz w:val="20"/>
          <w:lang w:val="es-ES_tradnl"/>
        </w:rPr>
      </w:pPr>
    </w:p>
    <w:p w:rsidR="007B2C29" w:rsidRPr="002C067E" w:rsidRDefault="00B67A9E" w:rsidP="006E3E3C">
      <w:pPr>
        <w:numPr>
          <w:ilvl w:val="0"/>
          <w:numId w:val="4"/>
        </w:numPr>
        <w:tabs>
          <w:tab w:val="clear" w:pos="360"/>
          <w:tab w:val="num" w:pos="0"/>
        </w:tabs>
        <w:ind w:left="0" w:firstLine="0"/>
        <w:jc w:val="both"/>
        <w:rPr>
          <w:sz w:val="20"/>
          <w:lang w:val="es-ES_tradnl"/>
        </w:rPr>
      </w:pPr>
      <w:r w:rsidRPr="002C067E">
        <w:rPr>
          <w:sz w:val="20"/>
          <w:lang w:val="es-ES_tradnl"/>
        </w:rPr>
        <w:t>El desarrollo sigue siendo una prioridad en el bienio 2014/15 e</w:t>
      </w:r>
      <w:r w:rsidR="007B2C29" w:rsidRPr="002C067E">
        <w:rPr>
          <w:sz w:val="20"/>
          <w:lang w:val="es-ES_tradnl"/>
        </w:rPr>
        <w:t xml:space="preserve">n </w:t>
      </w:r>
      <w:r w:rsidRPr="002C067E">
        <w:rPr>
          <w:sz w:val="20"/>
          <w:lang w:val="es-ES_tradnl"/>
        </w:rPr>
        <w:t xml:space="preserve">concordancia con el </w:t>
      </w:r>
      <w:r w:rsidR="00972AA7">
        <w:rPr>
          <w:sz w:val="20"/>
          <w:lang w:val="es-ES_tradnl"/>
        </w:rPr>
        <w:t>P</w:t>
      </w:r>
      <w:r w:rsidR="00C018D2" w:rsidRPr="002C067E">
        <w:rPr>
          <w:sz w:val="20"/>
          <w:lang w:val="es-ES_tradnl"/>
        </w:rPr>
        <w:t xml:space="preserve">lan </w:t>
      </w:r>
      <w:r w:rsidR="00972AA7">
        <w:rPr>
          <w:sz w:val="20"/>
          <w:lang w:val="es-ES_tradnl"/>
        </w:rPr>
        <w:t>E</w:t>
      </w:r>
      <w:r w:rsidR="00C018D2" w:rsidRPr="002C067E">
        <w:rPr>
          <w:sz w:val="20"/>
          <w:lang w:val="es-ES_tradnl"/>
        </w:rPr>
        <w:t xml:space="preserve">stratégico a </w:t>
      </w:r>
      <w:r w:rsidR="00972AA7">
        <w:rPr>
          <w:sz w:val="20"/>
          <w:lang w:val="es-ES_tradnl"/>
        </w:rPr>
        <w:t>M</w:t>
      </w:r>
      <w:r w:rsidR="00C018D2" w:rsidRPr="002C067E">
        <w:rPr>
          <w:sz w:val="20"/>
          <w:lang w:val="es-ES_tradnl"/>
        </w:rPr>
        <w:t xml:space="preserve">ediano </w:t>
      </w:r>
      <w:r w:rsidR="00972AA7">
        <w:rPr>
          <w:sz w:val="20"/>
          <w:lang w:val="es-ES_tradnl"/>
        </w:rPr>
        <w:t>P</w:t>
      </w:r>
      <w:r w:rsidR="00C018D2" w:rsidRPr="002C067E">
        <w:rPr>
          <w:sz w:val="20"/>
          <w:lang w:val="es-ES_tradnl"/>
        </w:rPr>
        <w:t xml:space="preserve">lazo </w:t>
      </w:r>
      <w:r w:rsidRPr="002C067E">
        <w:rPr>
          <w:sz w:val="20"/>
          <w:lang w:val="es-ES_tradnl"/>
        </w:rPr>
        <w:t>y las expectativas de los Estados miembros</w:t>
      </w:r>
      <w:r w:rsidR="007B2C29" w:rsidRPr="002C067E">
        <w:rPr>
          <w:sz w:val="20"/>
          <w:lang w:val="es-ES_tradnl"/>
        </w:rPr>
        <w:t xml:space="preserve">. </w:t>
      </w:r>
      <w:r w:rsidRPr="002C067E">
        <w:rPr>
          <w:sz w:val="20"/>
          <w:lang w:val="es-ES_tradnl"/>
        </w:rPr>
        <w:t xml:space="preserve"> Esto queda reflejado en la cuota </w:t>
      </w:r>
      <w:r w:rsidR="00FE7E73">
        <w:rPr>
          <w:sz w:val="20"/>
          <w:lang w:val="es-ES_tradnl"/>
        </w:rPr>
        <w:t xml:space="preserve">asignada a actividades para el desarrollo </w:t>
      </w:r>
      <w:r w:rsidRPr="002C067E">
        <w:rPr>
          <w:sz w:val="20"/>
          <w:lang w:val="es-ES_tradnl"/>
        </w:rPr>
        <w:t xml:space="preserve">establecida para el siguiente bienio </w:t>
      </w:r>
      <w:r w:rsidR="007B2C29" w:rsidRPr="002C067E">
        <w:rPr>
          <w:sz w:val="20"/>
          <w:lang w:val="es-ES_tradnl"/>
        </w:rPr>
        <w:t>(</w:t>
      </w:r>
      <w:r w:rsidRPr="002C067E">
        <w:rPr>
          <w:sz w:val="20"/>
          <w:lang w:val="es-ES_tradnl"/>
        </w:rPr>
        <w:t xml:space="preserve">Sinopsis del </w:t>
      </w:r>
      <w:r w:rsidRPr="002C067E">
        <w:rPr>
          <w:sz w:val="20"/>
          <w:lang w:val="es-ES_tradnl"/>
        </w:rPr>
        <w:lastRenderedPageBreak/>
        <w:t>marco de resultados y Cuadro</w:t>
      </w:r>
      <w:r w:rsidR="00140657">
        <w:rPr>
          <w:sz w:val="20"/>
          <w:lang w:val="es-ES_tradnl"/>
        </w:rPr>
        <w:t xml:space="preserve"> </w:t>
      </w:r>
      <w:r w:rsidR="007B2C29" w:rsidRPr="002C067E">
        <w:rPr>
          <w:sz w:val="20"/>
          <w:lang w:val="es-ES_tradnl"/>
        </w:rPr>
        <w:t xml:space="preserve">8) </w:t>
      </w:r>
      <w:r w:rsidR="0083398F" w:rsidRPr="002C067E">
        <w:rPr>
          <w:sz w:val="20"/>
          <w:lang w:val="es-ES_tradnl"/>
        </w:rPr>
        <w:t>y en el</w:t>
      </w:r>
      <w:r w:rsidRPr="002C067E">
        <w:rPr>
          <w:sz w:val="20"/>
          <w:lang w:val="es-ES_tradnl"/>
        </w:rPr>
        <w:t xml:space="preserve"> aumento absoluto de</w:t>
      </w:r>
      <w:r w:rsidR="00140657">
        <w:rPr>
          <w:sz w:val="20"/>
          <w:lang w:val="es-ES_tradnl"/>
        </w:rPr>
        <w:t xml:space="preserve">l </w:t>
      </w:r>
      <w:r w:rsidR="00751475">
        <w:rPr>
          <w:sz w:val="20"/>
          <w:lang w:val="es-ES_tradnl"/>
        </w:rPr>
        <w:t>3</w:t>
      </w:r>
      <w:r w:rsidRPr="002C067E">
        <w:rPr>
          <w:sz w:val="20"/>
          <w:lang w:val="es-ES_tradnl"/>
        </w:rPr>
        <w:t>,</w:t>
      </w:r>
      <w:r w:rsidR="00751475">
        <w:rPr>
          <w:sz w:val="20"/>
          <w:lang w:val="es-ES_tradnl"/>
        </w:rPr>
        <w:t>5</w:t>
      </w:r>
      <w:r w:rsidRPr="002C067E">
        <w:rPr>
          <w:sz w:val="20"/>
          <w:lang w:val="es-ES_tradnl"/>
        </w:rPr>
        <w:t xml:space="preserve">% en </w:t>
      </w:r>
      <w:r w:rsidR="00C018D2" w:rsidRPr="002C067E">
        <w:rPr>
          <w:sz w:val="20"/>
          <w:lang w:val="es-ES_tradnl"/>
        </w:rPr>
        <w:t xml:space="preserve">los </w:t>
      </w:r>
      <w:r w:rsidRPr="002C067E">
        <w:rPr>
          <w:sz w:val="20"/>
          <w:lang w:val="es-ES_tradnl"/>
        </w:rPr>
        <w:t>gastos destinados a desarrol</w:t>
      </w:r>
      <w:r w:rsidR="00140657">
        <w:rPr>
          <w:sz w:val="20"/>
          <w:lang w:val="es-ES_tradnl"/>
        </w:rPr>
        <w:t xml:space="preserve">lo en comparación con el bienio </w:t>
      </w:r>
      <w:r w:rsidRPr="002C067E">
        <w:rPr>
          <w:sz w:val="20"/>
          <w:lang w:val="es-ES_tradnl"/>
        </w:rPr>
        <w:t>2012/13.</w:t>
      </w:r>
    </w:p>
    <w:p w:rsidR="007B2C29" w:rsidRPr="002C067E" w:rsidRDefault="007B2C29" w:rsidP="006E3E3C">
      <w:pPr>
        <w:jc w:val="both"/>
        <w:rPr>
          <w:sz w:val="20"/>
          <w:lang w:val="es-ES_tradnl"/>
        </w:rPr>
      </w:pPr>
    </w:p>
    <w:p w:rsidR="007B2C29" w:rsidRPr="002C067E" w:rsidRDefault="009665B1" w:rsidP="006E3E3C">
      <w:pPr>
        <w:numPr>
          <w:ilvl w:val="0"/>
          <w:numId w:val="4"/>
        </w:numPr>
        <w:tabs>
          <w:tab w:val="clear" w:pos="360"/>
          <w:tab w:val="num" w:pos="0"/>
        </w:tabs>
        <w:ind w:left="0" w:firstLine="0"/>
        <w:jc w:val="both"/>
        <w:rPr>
          <w:sz w:val="20"/>
          <w:lang w:val="es-ES_tradnl"/>
        </w:rPr>
      </w:pPr>
      <w:r w:rsidRPr="002C067E">
        <w:rPr>
          <w:sz w:val="20"/>
          <w:lang w:val="es-ES_tradnl"/>
        </w:rPr>
        <w:t>La incorporación de la dimensión de desarrollo en todas las metas estratégicas y en todos los pr</w:t>
      </w:r>
      <w:r w:rsidR="00F03303">
        <w:rPr>
          <w:sz w:val="20"/>
          <w:lang w:val="es-ES_tradnl"/>
        </w:rPr>
        <w:t>ogramas pertinentes de la Organización</w:t>
      </w:r>
      <w:r w:rsidRPr="002C067E">
        <w:rPr>
          <w:sz w:val="20"/>
          <w:lang w:val="es-ES_tradnl"/>
        </w:rPr>
        <w:t xml:space="preserve">, en concordancia con las recomendaciones de la </w:t>
      </w:r>
      <w:r w:rsidR="007B2C29" w:rsidRPr="002C067E">
        <w:rPr>
          <w:sz w:val="20"/>
          <w:lang w:val="es-ES_tradnl"/>
        </w:rPr>
        <w:t xml:space="preserve">Agenda </w:t>
      </w:r>
      <w:r w:rsidRPr="002C067E">
        <w:rPr>
          <w:sz w:val="20"/>
          <w:lang w:val="es-ES_tradnl"/>
        </w:rPr>
        <w:t>para el Desarrollo</w:t>
      </w:r>
      <w:r w:rsidR="005C62E7">
        <w:rPr>
          <w:sz w:val="20"/>
          <w:lang w:val="es-ES_tradnl"/>
        </w:rPr>
        <w:t xml:space="preserve"> (A.D.)</w:t>
      </w:r>
      <w:r w:rsidR="002A5635" w:rsidRPr="002C067E">
        <w:rPr>
          <w:sz w:val="20"/>
          <w:lang w:val="es-ES_tradnl"/>
        </w:rPr>
        <w:t>,</w:t>
      </w:r>
      <w:r w:rsidRPr="002C067E">
        <w:rPr>
          <w:sz w:val="20"/>
          <w:lang w:val="es-ES_tradnl"/>
        </w:rPr>
        <w:t xml:space="preserve"> sigue estando reflejada en el marco de resultados consolidado par</w:t>
      </w:r>
      <w:r w:rsidR="00140657">
        <w:rPr>
          <w:sz w:val="20"/>
          <w:lang w:val="es-ES_tradnl"/>
        </w:rPr>
        <w:t xml:space="preserve">a </w:t>
      </w:r>
      <w:r w:rsidR="00DF7F45" w:rsidRPr="002C067E">
        <w:rPr>
          <w:sz w:val="20"/>
          <w:lang w:val="es-ES_tradnl"/>
        </w:rPr>
        <w:t>2</w:t>
      </w:r>
      <w:r w:rsidR="007B2C29" w:rsidRPr="002C067E">
        <w:rPr>
          <w:sz w:val="20"/>
          <w:lang w:val="es-ES_tradnl"/>
        </w:rPr>
        <w:t>014/15 (</w:t>
      </w:r>
      <w:r w:rsidRPr="002C067E">
        <w:rPr>
          <w:sz w:val="20"/>
          <w:lang w:val="es-ES_tradnl"/>
        </w:rPr>
        <w:t>Sinopsis del marco de r</w:t>
      </w:r>
      <w:r w:rsidR="007B2C29" w:rsidRPr="002C067E">
        <w:rPr>
          <w:sz w:val="20"/>
          <w:lang w:val="es-ES_tradnl"/>
        </w:rPr>
        <w:t>esult</w:t>
      </w:r>
      <w:r w:rsidRPr="002C067E">
        <w:rPr>
          <w:sz w:val="20"/>
          <w:lang w:val="es-ES_tradnl"/>
        </w:rPr>
        <w:t>ado</w:t>
      </w:r>
      <w:r w:rsidR="007B2C29" w:rsidRPr="002C067E">
        <w:rPr>
          <w:sz w:val="20"/>
          <w:lang w:val="es-ES_tradnl"/>
        </w:rPr>
        <w:t xml:space="preserve">s: </w:t>
      </w:r>
      <w:r w:rsidRPr="002C067E">
        <w:rPr>
          <w:sz w:val="20"/>
          <w:lang w:val="es-ES_tradnl"/>
        </w:rPr>
        <w:t xml:space="preserve"> véa</w:t>
      </w:r>
      <w:r w:rsidR="007B2C29" w:rsidRPr="002C067E">
        <w:rPr>
          <w:sz w:val="20"/>
          <w:lang w:val="es-ES_tradnl"/>
        </w:rPr>
        <w:t xml:space="preserve">se </w:t>
      </w:r>
      <w:r w:rsidRPr="002C067E">
        <w:rPr>
          <w:sz w:val="20"/>
          <w:lang w:val="es-ES_tradnl"/>
        </w:rPr>
        <w:t xml:space="preserve">la cuota presupuestaria </w:t>
      </w:r>
      <w:r w:rsidR="007D0F57">
        <w:rPr>
          <w:sz w:val="20"/>
          <w:lang w:val="es-ES_tradnl"/>
        </w:rPr>
        <w:t>asignada a actividades para el</w:t>
      </w:r>
      <w:r w:rsidRPr="002C067E">
        <w:rPr>
          <w:sz w:val="20"/>
          <w:lang w:val="es-ES_tradnl"/>
        </w:rPr>
        <w:t xml:space="preserve"> desarrollo, por </w:t>
      </w:r>
      <w:r w:rsidR="007B2C29" w:rsidRPr="002C067E">
        <w:rPr>
          <w:sz w:val="20"/>
          <w:lang w:val="es-ES_tradnl"/>
        </w:rPr>
        <w:t>result</w:t>
      </w:r>
      <w:r w:rsidRPr="002C067E">
        <w:rPr>
          <w:sz w:val="20"/>
          <w:lang w:val="es-ES_tradnl"/>
        </w:rPr>
        <w:t>ado</w:t>
      </w:r>
      <w:r w:rsidR="007B2C29" w:rsidRPr="002C067E">
        <w:rPr>
          <w:sz w:val="20"/>
          <w:lang w:val="es-ES_tradnl"/>
        </w:rPr>
        <w:t xml:space="preserve">).  </w:t>
      </w:r>
      <w:r w:rsidRPr="002C067E">
        <w:rPr>
          <w:sz w:val="20"/>
          <w:lang w:val="es-ES_tradnl"/>
        </w:rPr>
        <w:t xml:space="preserve">Por lo tanto, durante el bienio se seguirán incorporando las actividades de la OMPI relacionadas con a) el establecimiento de marcos normativos de P.I. en el plano </w:t>
      </w:r>
      <w:r w:rsidRPr="002C067E">
        <w:rPr>
          <w:sz w:val="20"/>
        </w:rPr>
        <w:t>nacional</w:t>
      </w:r>
      <w:r w:rsidR="000B3819" w:rsidRPr="002C067E">
        <w:rPr>
          <w:sz w:val="20"/>
          <w:lang w:val="es-ES_tradnl"/>
        </w:rPr>
        <w:t xml:space="preserve"> que fomenten la creatividad y la innovación</w:t>
      </w:r>
      <w:r w:rsidRPr="002C067E">
        <w:rPr>
          <w:sz w:val="20"/>
          <w:lang w:val="es-ES_tradnl"/>
        </w:rPr>
        <w:t xml:space="preserve"> </w:t>
      </w:r>
      <w:r w:rsidR="00D7676D" w:rsidRPr="002C067E">
        <w:rPr>
          <w:sz w:val="20"/>
          <w:lang w:val="es-ES_tradnl"/>
        </w:rPr>
        <w:t>y reflejen e</w:t>
      </w:r>
      <w:r w:rsidR="00B22442" w:rsidRPr="002C067E">
        <w:rPr>
          <w:sz w:val="20"/>
          <w:lang w:val="es-ES_tradnl"/>
        </w:rPr>
        <w:t>l n</w:t>
      </w:r>
      <w:r w:rsidR="00D7676D" w:rsidRPr="002C067E">
        <w:rPr>
          <w:sz w:val="20"/>
          <w:lang w:val="es-ES_tradnl"/>
        </w:rPr>
        <w:t xml:space="preserve">ivel de desarrollo de unos y otros Estados miembros de la OMPI;  y b) el fortalecimiento de la infraestructura institucional y técnica de las instituciones de P.I. en las </w:t>
      </w:r>
      <w:r w:rsidR="002B4187" w:rsidRPr="002C067E">
        <w:rPr>
          <w:sz w:val="20"/>
          <w:lang w:val="es-ES_tradnl"/>
        </w:rPr>
        <w:t xml:space="preserve">metas estratégicas </w:t>
      </w:r>
      <w:r w:rsidR="00D7676D" w:rsidRPr="002C067E">
        <w:rPr>
          <w:sz w:val="20"/>
          <w:lang w:val="es-ES_tradnl"/>
        </w:rPr>
        <w:t xml:space="preserve">sustantivas </w:t>
      </w:r>
      <w:r w:rsidR="007B2C29" w:rsidRPr="002C067E">
        <w:rPr>
          <w:bCs/>
          <w:color w:val="000000"/>
          <w:sz w:val="20"/>
          <w:lang w:val="es-ES_tradnl"/>
        </w:rPr>
        <w:t xml:space="preserve">I </w:t>
      </w:r>
      <w:r w:rsidR="00D7676D" w:rsidRPr="002C067E">
        <w:rPr>
          <w:bCs/>
          <w:color w:val="000000"/>
          <w:sz w:val="20"/>
          <w:lang w:val="es-ES_tradnl"/>
        </w:rPr>
        <w:t>y </w:t>
      </w:r>
      <w:r w:rsidR="007B2C29" w:rsidRPr="002C067E">
        <w:rPr>
          <w:bCs/>
          <w:color w:val="000000"/>
          <w:sz w:val="20"/>
          <w:lang w:val="es-ES_tradnl"/>
        </w:rPr>
        <w:t>IV, respectiv</w:t>
      </w:r>
      <w:r w:rsidR="00D7676D" w:rsidRPr="002C067E">
        <w:rPr>
          <w:bCs/>
          <w:color w:val="000000"/>
          <w:sz w:val="20"/>
          <w:lang w:val="es-ES_tradnl"/>
        </w:rPr>
        <w:t>ament</w:t>
      </w:r>
      <w:r w:rsidR="007B2C29" w:rsidRPr="002C067E">
        <w:rPr>
          <w:bCs/>
          <w:color w:val="000000"/>
          <w:sz w:val="20"/>
          <w:lang w:val="es-ES_tradnl"/>
        </w:rPr>
        <w:t xml:space="preserve">e, </w:t>
      </w:r>
      <w:r w:rsidR="00D7676D" w:rsidRPr="002C067E">
        <w:rPr>
          <w:bCs/>
          <w:color w:val="000000"/>
          <w:sz w:val="20"/>
          <w:lang w:val="es-ES_tradnl"/>
        </w:rPr>
        <w:t xml:space="preserve">y en los </w:t>
      </w:r>
      <w:r w:rsidR="005B1161" w:rsidRPr="002C067E">
        <w:rPr>
          <w:bCs/>
          <w:color w:val="000000"/>
          <w:sz w:val="20"/>
          <w:lang w:val="es-ES_tradnl"/>
        </w:rPr>
        <w:t xml:space="preserve">correspondientes </w:t>
      </w:r>
      <w:r w:rsidR="002B4187" w:rsidRPr="002C067E">
        <w:rPr>
          <w:bCs/>
          <w:color w:val="000000"/>
          <w:sz w:val="20"/>
          <w:lang w:val="es-ES_tradnl"/>
        </w:rPr>
        <w:t>programas especializado</w:t>
      </w:r>
      <w:r w:rsidR="002C067E" w:rsidRPr="002C067E">
        <w:rPr>
          <w:bCs/>
          <w:color w:val="000000"/>
          <w:sz w:val="20"/>
          <w:lang w:val="es-ES_tradnl"/>
        </w:rPr>
        <w:t>s 1</w:t>
      </w:r>
      <w:r w:rsidR="007B2C29" w:rsidRPr="002C067E">
        <w:rPr>
          <w:bCs/>
          <w:color w:val="000000"/>
          <w:sz w:val="20"/>
          <w:lang w:val="es-ES_tradnl"/>
        </w:rPr>
        <w:t xml:space="preserve">, 2, 3, 14 </w:t>
      </w:r>
      <w:r w:rsidR="00D7676D" w:rsidRPr="002C067E">
        <w:rPr>
          <w:bCs/>
          <w:color w:val="000000"/>
          <w:sz w:val="20"/>
          <w:lang w:val="es-ES_tradnl"/>
        </w:rPr>
        <w:t>y </w:t>
      </w:r>
      <w:r w:rsidR="007B2C29" w:rsidRPr="002C067E">
        <w:rPr>
          <w:bCs/>
          <w:color w:val="000000"/>
          <w:sz w:val="20"/>
          <w:lang w:val="es-ES_tradnl"/>
        </w:rPr>
        <w:t xml:space="preserve">15.  </w:t>
      </w:r>
      <w:r w:rsidR="004103E8" w:rsidRPr="002C067E">
        <w:rPr>
          <w:bCs/>
          <w:color w:val="000000"/>
          <w:sz w:val="20"/>
          <w:lang w:val="es-ES_tradnl"/>
        </w:rPr>
        <w:t>Esto dará lugar a que mejore</w:t>
      </w:r>
      <w:r w:rsidR="00D7676D" w:rsidRPr="002C067E">
        <w:rPr>
          <w:bCs/>
          <w:color w:val="000000"/>
          <w:sz w:val="20"/>
          <w:lang w:val="es-ES_tradnl"/>
        </w:rPr>
        <w:t xml:space="preserve"> la capacidad para ejecutar actividades orientadas al desarrollo en los </w:t>
      </w:r>
      <w:r w:rsidR="00D7676D" w:rsidRPr="002C067E">
        <w:rPr>
          <w:bCs/>
          <w:color w:val="000000"/>
          <w:sz w:val="20"/>
        </w:rPr>
        <w:t>países en desarrollo</w:t>
      </w:r>
      <w:r w:rsidR="00D7676D" w:rsidRPr="002C067E">
        <w:rPr>
          <w:bCs/>
          <w:color w:val="000000"/>
          <w:sz w:val="20"/>
          <w:lang w:val="es-ES_tradnl"/>
        </w:rPr>
        <w:t xml:space="preserve">, PMA y países con economías en transición, </w:t>
      </w:r>
      <w:r w:rsidR="00BC7369" w:rsidRPr="002C067E">
        <w:rPr>
          <w:bCs/>
          <w:color w:val="000000"/>
          <w:sz w:val="20"/>
          <w:lang w:val="es-ES_tradnl"/>
        </w:rPr>
        <w:t xml:space="preserve">desde el punto de vista de la eficacia, la eficiencia, la coordinación y la coherencia, </w:t>
      </w:r>
      <w:r w:rsidR="00D7676D" w:rsidRPr="002C067E">
        <w:rPr>
          <w:bCs/>
          <w:color w:val="000000"/>
          <w:sz w:val="20"/>
          <w:lang w:val="es-ES_tradnl"/>
        </w:rPr>
        <w:t>lo que en definitiva se traducirá en una mayor incidencia en el desarrollo sobre la base de los avances realizados e</w:t>
      </w:r>
      <w:r w:rsidR="007B2C29" w:rsidRPr="002C067E">
        <w:rPr>
          <w:bCs/>
          <w:color w:val="000000"/>
          <w:sz w:val="20"/>
          <w:lang w:val="es-ES_tradnl"/>
        </w:rPr>
        <w:t>n</w:t>
      </w:r>
      <w:r w:rsidR="00D7676D" w:rsidRPr="002C067E">
        <w:rPr>
          <w:bCs/>
          <w:color w:val="000000"/>
          <w:sz w:val="20"/>
          <w:lang w:val="es-ES_tradnl"/>
        </w:rPr>
        <w:t xml:space="preserve"> el bienio</w:t>
      </w:r>
      <w:r w:rsidR="00140657">
        <w:rPr>
          <w:bCs/>
          <w:color w:val="000000"/>
          <w:sz w:val="20"/>
          <w:lang w:val="es-ES_tradnl"/>
        </w:rPr>
        <w:t xml:space="preserve"> </w:t>
      </w:r>
      <w:r w:rsidR="007B2C29" w:rsidRPr="002C067E">
        <w:rPr>
          <w:bCs/>
          <w:color w:val="000000"/>
          <w:sz w:val="20"/>
          <w:lang w:val="es-ES_tradnl"/>
        </w:rPr>
        <w:t xml:space="preserve">2012/13.  </w:t>
      </w:r>
      <w:r w:rsidR="00D7676D" w:rsidRPr="002C067E">
        <w:rPr>
          <w:bCs/>
          <w:color w:val="000000"/>
          <w:sz w:val="20"/>
          <w:lang w:val="es-ES_tradnl"/>
        </w:rPr>
        <w:t xml:space="preserve">De ese modo, se fortalecerá el modelo establecido para ejecutar las actividades y, por una parte, los </w:t>
      </w:r>
      <w:r w:rsidR="00751475">
        <w:rPr>
          <w:bCs/>
          <w:color w:val="000000"/>
          <w:sz w:val="20"/>
          <w:lang w:val="es-ES_tradnl"/>
        </w:rPr>
        <w:t>programas</w:t>
      </w:r>
      <w:r w:rsidR="00D7676D" w:rsidRPr="002C067E">
        <w:rPr>
          <w:bCs/>
          <w:color w:val="000000"/>
          <w:sz w:val="20"/>
          <w:lang w:val="es-ES_tradnl"/>
        </w:rPr>
        <w:t xml:space="preserve"> especializados aportarán los conocimientos técnicos y sustantivos necesarios para la puesta en práctica de las actividades de desarrollo.  Por otra parte, las oficinas regionales y las divisiones para determinados países de </w:t>
      </w:r>
      <w:r w:rsidR="007B2C29" w:rsidRPr="002C067E">
        <w:rPr>
          <w:sz w:val="20"/>
          <w:lang w:val="es-ES_tradnl"/>
        </w:rPr>
        <w:t>Europ</w:t>
      </w:r>
      <w:r w:rsidR="00D7676D" w:rsidRPr="002C067E">
        <w:rPr>
          <w:sz w:val="20"/>
          <w:lang w:val="es-ES_tradnl"/>
        </w:rPr>
        <w:t>a</w:t>
      </w:r>
      <w:r w:rsidR="007B2C29" w:rsidRPr="002C067E">
        <w:rPr>
          <w:sz w:val="20"/>
          <w:lang w:val="es-ES_tradnl"/>
        </w:rPr>
        <w:t xml:space="preserve"> </w:t>
      </w:r>
      <w:r w:rsidR="00D7676D" w:rsidRPr="002C067E">
        <w:rPr>
          <w:sz w:val="20"/>
          <w:lang w:val="es-ES_tradnl"/>
        </w:rPr>
        <w:t xml:space="preserve">y </w:t>
      </w:r>
      <w:r w:rsidR="007B2C29" w:rsidRPr="002C067E">
        <w:rPr>
          <w:sz w:val="20"/>
          <w:lang w:val="es-ES_tradnl"/>
        </w:rPr>
        <w:t xml:space="preserve">Asia </w:t>
      </w:r>
      <w:r w:rsidR="00D7676D" w:rsidRPr="002C067E">
        <w:rPr>
          <w:sz w:val="20"/>
          <w:lang w:val="es-ES_tradnl"/>
        </w:rPr>
        <w:t xml:space="preserve">y para los PMA seguirán encargándose de la planificación y la programación en el plano </w:t>
      </w:r>
      <w:r w:rsidR="00D7676D" w:rsidRPr="002C067E">
        <w:rPr>
          <w:sz w:val="20"/>
        </w:rPr>
        <w:t>nacional</w:t>
      </w:r>
      <w:r w:rsidR="00D7676D" w:rsidRPr="002C067E">
        <w:rPr>
          <w:sz w:val="20"/>
          <w:lang w:val="es-ES_tradnl"/>
        </w:rPr>
        <w:t xml:space="preserve">, en estrecha cooperación con los países interesados, y se responsabilizarán de la coordinación general de las actividades que se hayan formulado en los planes </w:t>
      </w:r>
      <w:r w:rsidR="00D7676D" w:rsidRPr="002C067E">
        <w:rPr>
          <w:sz w:val="20"/>
        </w:rPr>
        <w:t>nacional</w:t>
      </w:r>
      <w:r w:rsidR="00D7676D" w:rsidRPr="002C067E">
        <w:rPr>
          <w:sz w:val="20"/>
          <w:lang w:val="es-ES_tradnl"/>
        </w:rPr>
        <w:t>es</w:t>
      </w:r>
      <w:r w:rsidR="005B1161" w:rsidRPr="002C067E">
        <w:rPr>
          <w:sz w:val="20"/>
          <w:lang w:val="es-ES_tradnl"/>
        </w:rPr>
        <w:t xml:space="preserve"> de cada país</w:t>
      </w:r>
      <w:r w:rsidR="007B2C29" w:rsidRPr="002C067E">
        <w:rPr>
          <w:sz w:val="20"/>
          <w:lang w:val="es-ES_tradnl"/>
        </w:rPr>
        <w:t>.</w:t>
      </w:r>
    </w:p>
    <w:p w:rsidR="007B2C29" w:rsidRPr="002C067E" w:rsidRDefault="007B2C29" w:rsidP="006E3E3C">
      <w:pPr>
        <w:jc w:val="both"/>
        <w:rPr>
          <w:sz w:val="20"/>
          <w:lang w:val="es-ES_tradnl"/>
        </w:rPr>
      </w:pPr>
    </w:p>
    <w:p w:rsidR="00B22442" w:rsidRPr="002C067E" w:rsidRDefault="00D7676D" w:rsidP="006E3E3C">
      <w:pPr>
        <w:numPr>
          <w:ilvl w:val="0"/>
          <w:numId w:val="4"/>
        </w:numPr>
        <w:tabs>
          <w:tab w:val="clear" w:pos="360"/>
          <w:tab w:val="num" w:pos="0"/>
        </w:tabs>
        <w:ind w:left="0" w:firstLine="0"/>
        <w:jc w:val="both"/>
        <w:rPr>
          <w:sz w:val="20"/>
          <w:lang w:val="es-ES_tradnl"/>
        </w:rPr>
      </w:pPr>
      <w:r w:rsidRPr="002C067E">
        <w:rPr>
          <w:sz w:val="20"/>
          <w:lang w:val="es-ES_tradnl"/>
        </w:rPr>
        <w:t xml:space="preserve">Las recomendaciones de la </w:t>
      </w:r>
      <w:r w:rsidRPr="002C067E">
        <w:rPr>
          <w:sz w:val="20"/>
          <w:szCs w:val="24"/>
          <w:lang w:val="es-ES_tradnl"/>
        </w:rPr>
        <w:t>Agenda para el Desarrollo</w:t>
      </w:r>
      <w:r w:rsidRPr="002C067E">
        <w:rPr>
          <w:sz w:val="20"/>
          <w:lang w:val="es-ES_tradnl"/>
        </w:rPr>
        <w:t xml:space="preserve"> siguen orientando las actividades de la OMPI</w:t>
      </w:r>
      <w:r w:rsidR="00751475">
        <w:rPr>
          <w:sz w:val="20"/>
          <w:lang w:val="es-ES_tradnl"/>
        </w:rPr>
        <w:t xml:space="preserve"> en el ámbito del desarrollo</w:t>
      </w:r>
      <w:r w:rsidRPr="002C067E">
        <w:rPr>
          <w:sz w:val="20"/>
          <w:lang w:val="es-ES_tradnl"/>
        </w:rPr>
        <w:t xml:space="preserve">.  Los vínculos existentes entre los programas y las recomendaciones de la </w:t>
      </w:r>
      <w:r w:rsidR="00B96879">
        <w:rPr>
          <w:sz w:val="20"/>
          <w:szCs w:val="24"/>
          <w:lang w:val="es-ES_tradnl"/>
        </w:rPr>
        <w:t xml:space="preserve">A.D. </w:t>
      </w:r>
      <w:r w:rsidRPr="002C067E">
        <w:rPr>
          <w:sz w:val="20"/>
          <w:lang w:val="es-ES_tradnl"/>
        </w:rPr>
        <w:t xml:space="preserve">se reflejan de forma detallada en cada reseña de programa.  Se han incorporado los </w:t>
      </w:r>
      <w:r w:rsidRPr="002C067E">
        <w:rPr>
          <w:snapToGrid w:val="0"/>
          <w:sz w:val="20"/>
          <w:lang w:val="es-ES_tradnl"/>
        </w:rPr>
        <w:t xml:space="preserve">proyectos de la </w:t>
      </w:r>
      <w:r w:rsidRPr="002C067E">
        <w:rPr>
          <w:snapToGrid w:val="0"/>
          <w:sz w:val="20"/>
          <w:szCs w:val="24"/>
          <w:lang w:val="es-ES_tradnl"/>
        </w:rPr>
        <w:t>Agenda para el Desarrollo</w:t>
      </w:r>
      <w:r w:rsidRPr="002C067E">
        <w:rPr>
          <w:snapToGrid w:val="0"/>
          <w:sz w:val="20"/>
          <w:lang w:val="es-ES_tradnl"/>
        </w:rPr>
        <w:t xml:space="preserve"> en lo que atañe al contenido y a los recursos de cada programa en concordancia con el proceso presupuestario </w:t>
      </w:r>
      <w:r w:rsidR="00987E05" w:rsidRPr="002C067E">
        <w:rPr>
          <w:snapToGrid w:val="0"/>
          <w:sz w:val="20"/>
          <w:lang w:val="es-ES_tradnl"/>
        </w:rPr>
        <w:t>aplicado a</w:t>
      </w:r>
      <w:r w:rsidRPr="002C067E">
        <w:rPr>
          <w:snapToGrid w:val="0"/>
          <w:sz w:val="20"/>
          <w:lang w:val="es-ES_tradnl"/>
        </w:rPr>
        <w:t xml:space="preserve"> los proyectos propuestos por el Comité de Desarrollo y Propiedad Intelectual</w:t>
      </w:r>
      <w:r w:rsidRPr="002C067E">
        <w:rPr>
          <w:sz w:val="20"/>
          <w:lang w:val="es-ES_tradnl"/>
        </w:rPr>
        <w:t xml:space="preserve"> </w:t>
      </w:r>
      <w:r w:rsidR="009C183C" w:rsidRPr="002C067E">
        <w:rPr>
          <w:sz w:val="20"/>
          <w:lang w:val="es-ES_tradnl"/>
        </w:rPr>
        <w:t>(</w:t>
      </w:r>
      <w:r w:rsidR="007B2C29" w:rsidRPr="002C067E">
        <w:rPr>
          <w:sz w:val="20"/>
          <w:lang w:val="es-ES_tradnl"/>
        </w:rPr>
        <w:t xml:space="preserve">CDIP) </w:t>
      </w:r>
      <w:r w:rsidRPr="002C067E">
        <w:rPr>
          <w:sz w:val="20"/>
          <w:lang w:val="es-ES_tradnl"/>
        </w:rPr>
        <w:t xml:space="preserve">para </w:t>
      </w:r>
      <w:r w:rsidR="00744E7E" w:rsidRPr="002C067E">
        <w:rPr>
          <w:sz w:val="20"/>
          <w:lang w:val="es-ES_tradnl"/>
        </w:rPr>
        <w:t xml:space="preserve">dar aplicación a </w:t>
      </w:r>
      <w:r w:rsidRPr="002C067E">
        <w:rPr>
          <w:sz w:val="20"/>
          <w:lang w:val="es-ES_tradnl"/>
        </w:rPr>
        <w:t xml:space="preserve">las recomendaciones de la </w:t>
      </w:r>
      <w:r w:rsidR="00B96879">
        <w:rPr>
          <w:sz w:val="20"/>
          <w:szCs w:val="24"/>
          <w:lang w:val="es-ES_tradnl"/>
        </w:rPr>
        <w:t>A.D.</w:t>
      </w:r>
      <w:r w:rsidRPr="002C067E">
        <w:rPr>
          <w:sz w:val="20"/>
          <w:lang w:val="es-ES_tradnl"/>
        </w:rPr>
        <w:t xml:space="preserve"> aprobadas por las Asambleas de la OMPI e</w:t>
      </w:r>
      <w:r w:rsidR="007B2C29" w:rsidRPr="002C067E">
        <w:rPr>
          <w:sz w:val="20"/>
          <w:lang w:val="es-ES_tradnl"/>
        </w:rPr>
        <w:t>n</w:t>
      </w:r>
      <w:r w:rsidR="00140657">
        <w:rPr>
          <w:sz w:val="20"/>
          <w:lang w:val="es-ES_tradnl"/>
        </w:rPr>
        <w:t xml:space="preserve"> </w:t>
      </w:r>
      <w:r w:rsidR="007B2C29" w:rsidRPr="002C067E">
        <w:rPr>
          <w:sz w:val="20"/>
          <w:lang w:val="es-ES_tradnl"/>
        </w:rPr>
        <w:t>2010</w:t>
      </w:r>
      <w:r w:rsidR="00DF7F45" w:rsidRPr="002C067E">
        <w:rPr>
          <w:sz w:val="20"/>
          <w:lang w:val="es-ES_tradnl"/>
        </w:rPr>
        <w:t>.</w:t>
      </w:r>
      <w:r w:rsidR="00DF7F45" w:rsidRPr="002C067E">
        <w:rPr>
          <w:rStyle w:val="FootnoteReference"/>
          <w:sz w:val="20"/>
        </w:rPr>
        <w:footnoteReference w:id="2"/>
      </w:r>
      <w:r w:rsidR="007B2C29" w:rsidRPr="002C067E">
        <w:rPr>
          <w:sz w:val="20"/>
          <w:lang w:val="es-ES_tradnl"/>
        </w:rPr>
        <w:t xml:space="preserve">  </w:t>
      </w:r>
      <w:r w:rsidR="000B4DFA" w:rsidRPr="002C067E">
        <w:rPr>
          <w:sz w:val="20"/>
          <w:lang w:val="es-ES_tradnl"/>
        </w:rPr>
        <w:t>A</w:t>
      </w:r>
      <w:r w:rsidR="005A3E11" w:rsidRPr="002C067E">
        <w:rPr>
          <w:sz w:val="20"/>
          <w:lang w:val="es-ES_tradnl"/>
        </w:rPr>
        <w:t>l a</w:t>
      </w:r>
      <w:r w:rsidR="000B4DFA" w:rsidRPr="002C067E">
        <w:rPr>
          <w:sz w:val="20"/>
          <w:lang w:val="es-ES_tradnl"/>
        </w:rPr>
        <w:t xml:space="preserve">plicar una metodología coherente de gestión y evaluación </w:t>
      </w:r>
      <w:r w:rsidR="006F3701" w:rsidRPr="002C067E">
        <w:rPr>
          <w:sz w:val="20"/>
          <w:lang w:val="es-ES_tradnl"/>
        </w:rPr>
        <w:t xml:space="preserve">de </w:t>
      </w:r>
      <w:r w:rsidR="000B4DFA" w:rsidRPr="002C067E">
        <w:rPr>
          <w:sz w:val="20"/>
          <w:lang w:val="es-ES_tradnl"/>
        </w:rPr>
        <w:t xml:space="preserve">los proyectos de la </w:t>
      </w:r>
      <w:r w:rsidR="00B96879">
        <w:rPr>
          <w:sz w:val="20"/>
          <w:szCs w:val="24"/>
          <w:lang w:val="es-ES_tradnl"/>
        </w:rPr>
        <w:t>A.D.</w:t>
      </w:r>
      <w:r w:rsidR="000B4DFA" w:rsidRPr="002C067E">
        <w:rPr>
          <w:sz w:val="20"/>
          <w:lang w:val="es-ES_tradnl"/>
        </w:rPr>
        <w:t xml:space="preserve"> </w:t>
      </w:r>
      <w:r w:rsidR="005A3E11" w:rsidRPr="002C067E">
        <w:rPr>
          <w:sz w:val="20"/>
          <w:lang w:val="es-ES_tradnl"/>
        </w:rPr>
        <w:t xml:space="preserve">se seguirá velando </w:t>
      </w:r>
      <w:r w:rsidR="000B4DFA" w:rsidRPr="002C067E">
        <w:rPr>
          <w:sz w:val="20"/>
          <w:lang w:val="es-ES_tradnl"/>
        </w:rPr>
        <w:t xml:space="preserve">por extraer las enseñanzas adecuadas de los proyectos antes de emprender </w:t>
      </w:r>
      <w:r w:rsidR="006F3701" w:rsidRPr="002C067E">
        <w:rPr>
          <w:sz w:val="20"/>
          <w:lang w:val="es-ES_tradnl"/>
        </w:rPr>
        <w:t xml:space="preserve">nuevas </w:t>
      </w:r>
      <w:r w:rsidR="005A3E11" w:rsidRPr="002C067E">
        <w:rPr>
          <w:sz w:val="20"/>
          <w:lang w:val="es-ES_tradnl"/>
        </w:rPr>
        <w:t xml:space="preserve">fases </w:t>
      </w:r>
      <w:r w:rsidR="000B4DFA" w:rsidRPr="002C067E">
        <w:rPr>
          <w:sz w:val="20"/>
          <w:lang w:val="es-ES_tradnl"/>
        </w:rPr>
        <w:t xml:space="preserve">de </w:t>
      </w:r>
      <w:r w:rsidR="006F3701" w:rsidRPr="002C067E">
        <w:rPr>
          <w:sz w:val="20"/>
          <w:lang w:val="es-ES_tradnl"/>
        </w:rPr>
        <w:t>ejecución</w:t>
      </w:r>
      <w:r w:rsidR="000B4DFA" w:rsidRPr="002C067E">
        <w:rPr>
          <w:sz w:val="20"/>
          <w:lang w:val="es-ES_tradnl"/>
        </w:rPr>
        <w:t>, previa aprobación del CDIP, o de incorporar actividades de proyectos en las actividades regulares de la Organización</w:t>
      </w:r>
      <w:r w:rsidR="00B22442" w:rsidRPr="002C067E">
        <w:rPr>
          <w:sz w:val="20"/>
          <w:lang w:val="es-ES_tradnl"/>
        </w:rPr>
        <w:t>.</w:t>
      </w:r>
    </w:p>
    <w:p w:rsidR="0056454F" w:rsidRPr="002C067E" w:rsidRDefault="0056454F" w:rsidP="006E3E3C">
      <w:pPr>
        <w:jc w:val="both"/>
        <w:rPr>
          <w:sz w:val="20"/>
          <w:lang w:val="es-ES_tradnl"/>
        </w:rPr>
      </w:pPr>
    </w:p>
    <w:p w:rsidR="00F97297" w:rsidRPr="002C067E" w:rsidRDefault="00F97297" w:rsidP="006E3E3C">
      <w:pPr>
        <w:numPr>
          <w:ilvl w:val="0"/>
          <w:numId w:val="4"/>
        </w:numPr>
        <w:tabs>
          <w:tab w:val="clear" w:pos="360"/>
          <w:tab w:val="num" w:pos="0"/>
        </w:tabs>
        <w:ind w:left="0" w:firstLine="0"/>
        <w:jc w:val="both"/>
        <w:rPr>
          <w:rFonts w:eastAsia="MS Mincho"/>
          <w:sz w:val="20"/>
          <w:lang w:bidi="th-TH"/>
        </w:rPr>
      </w:pPr>
      <w:r w:rsidRPr="002C067E">
        <w:rPr>
          <w:sz w:val="20"/>
        </w:rPr>
        <w:t xml:space="preserve">La OMPI seguirá prestando apoyo a la aplicación de la Declaración del Milenio.  Asimismo, fomentará su participación </w:t>
      </w:r>
      <w:r w:rsidR="004A44C4" w:rsidRPr="002C067E">
        <w:rPr>
          <w:sz w:val="20"/>
        </w:rPr>
        <w:t xml:space="preserve">junto </w:t>
      </w:r>
      <w:r w:rsidRPr="002C067E">
        <w:rPr>
          <w:sz w:val="20"/>
        </w:rPr>
        <w:t xml:space="preserve">con el sistema de las </w:t>
      </w:r>
      <w:r w:rsidR="004A44C4" w:rsidRPr="002C067E">
        <w:rPr>
          <w:sz w:val="20"/>
        </w:rPr>
        <w:t xml:space="preserve">NN.UU. </w:t>
      </w:r>
      <w:r w:rsidRPr="002C067E">
        <w:rPr>
          <w:sz w:val="20"/>
        </w:rPr>
        <w:t xml:space="preserve">y otras partes interesadas en el proceso de la </w:t>
      </w:r>
      <w:r w:rsidRPr="002C067E">
        <w:rPr>
          <w:sz w:val="20"/>
          <w:szCs w:val="24"/>
        </w:rPr>
        <w:t>Agenda para el Desarrollo</w:t>
      </w:r>
      <w:r w:rsidRPr="002C067E">
        <w:rPr>
          <w:sz w:val="20"/>
        </w:rPr>
        <w:t xml:space="preserve"> posterior a</w:t>
      </w:r>
      <w:r w:rsidR="00751475">
        <w:rPr>
          <w:sz w:val="20"/>
        </w:rPr>
        <w:t xml:space="preserve"> </w:t>
      </w:r>
      <w:r w:rsidRPr="002C067E">
        <w:rPr>
          <w:sz w:val="20"/>
        </w:rPr>
        <w:t>2015 a fin de velar por que el marco posterior a 2015 refleje apropiadamente la contribución que pueden efectuar la ciencia, la tecnología y la innovación al desarrollo sostenible.</w:t>
      </w:r>
    </w:p>
    <w:p w:rsidR="007B2C29" w:rsidRPr="002C067E" w:rsidRDefault="007B2C29" w:rsidP="006E3E3C">
      <w:pPr>
        <w:jc w:val="both"/>
        <w:rPr>
          <w:sz w:val="20"/>
        </w:rPr>
      </w:pPr>
    </w:p>
    <w:p w:rsidR="007B2C29" w:rsidRPr="002C067E" w:rsidRDefault="002A5635" w:rsidP="006E3E3C">
      <w:pPr>
        <w:numPr>
          <w:ilvl w:val="0"/>
          <w:numId w:val="4"/>
        </w:numPr>
        <w:tabs>
          <w:tab w:val="clear" w:pos="360"/>
          <w:tab w:val="num" w:pos="0"/>
        </w:tabs>
        <w:ind w:left="0" w:firstLine="0"/>
        <w:jc w:val="both"/>
        <w:rPr>
          <w:sz w:val="20"/>
        </w:rPr>
      </w:pPr>
      <w:r w:rsidRPr="002C067E">
        <w:rPr>
          <w:sz w:val="20"/>
        </w:rPr>
        <w:t>S</w:t>
      </w:r>
      <w:r w:rsidR="00F97297" w:rsidRPr="002C067E">
        <w:rPr>
          <w:sz w:val="20"/>
        </w:rPr>
        <w:t xml:space="preserve">e han vuelto a afinar y consolidar </w:t>
      </w:r>
      <w:r w:rsidRPr="002C067E">
        <w:rPr>
          <w:sz w:val="20"/>
        </w:rPr>
        <w:t xml:space="preserve">los resultados previstos a nivel de la </w:t>
      </w:r>
      <w:r w:rsidRPr="002C067E">
        <w:rPr>
          <w:sz w:val="20"/>
          <w:lang w:eastAsia="fr-FR"/>
        </w:rPr>
        <w:t>Organización</w:t>
      </w:r>
      <w:r w:rsidRPr="002C067E">
        <w:rPr>
          <w:sz w:val="20"/>
        </w:rPr>
        <w:t xml:space="preserve"> </w:t>
      </w:r>
      <w:r w:rsidR="00751475">
        <w:rPr>
          <w:sz w:val="20"/>
        </w:rPr>
        <w:t xml:space="preserve">en comparación con el bienio </w:t>
      </w:r>
      <w:r w:rsidR="007B2C29" w:rsidRPr="002C067E">
        <w:rPr>
          <w:sz w:val="20"/>
        </w:rPr>
        <w:t xml:space="preserve">2012/13. </w:t>
      </w:r>
      <w:r w:rsidR="00F97297" w:rsidRPr="002C067E">
        <w:rPr>
          <w:sz w:val="20"/>
        </w:rPr>
        <w:t xml:space="preserve"> E</w:t>
      </w:r>
      <w:r w:rsidR="004A44C4" w:rsidRPr="002C067E">
        <w:rPr>
          <w:sz w:val="20"/>
        </w:rPr>
        <w:t>n e</w:t>
      </w:r>
      <w:r w:rsidR="00751475">
        <w:rPr>
          <w:sz w:val="20"/>
        </w:rPr>
        <w:t xml:space="preserve">l marco de resultados para </w:t>
      </w:r>
      <w:r w:rsidR="007B2C29" w:rsidRPr="002C067E">
        <w:rPr>
          <w:sz w:val="20"/>
        </w:rPr>
        <w:t xml:space="preserve">2014/15 </w:t>
      </w:r>
      <w:r w:rsidR="004A44C4" w:rsidRPr="002C067E">
        <w:rPr>
          <w:sz w:val="20"/>
        </w:rPr>
        <w:t xml:space="preserve">se </w:t>
      </w:r>
      <w:r w:rsidR="00F97297" w:rsidRPr="002C067E">
        <w:rPr>
          <w:sz w:val="20"/>
        </w:rPr>
        <w:t>expone</w:t>
      </w:r>
      <w:r w:rsidR="004A44C4" w:rsidRPr="002C067E">
        <w:rPr>
          <w:sz w:val="20"/>
        </w:rPr>
        <w:t>n</w:t>
      </w:r>
      <w:r w:rsidR="00F97297" w:rsidRPr="002C067E">
        <w:rPr>
          <w:sz w:val="20"/>
        </w:rPr>
        <w:t> </w:t>
      </w:r>
      <w:r w:rsidR="007B2C29" w:rsidRPr="002C067E">
        <w:rPr>
          <w:sz w:val="20"/>
        </w:rPr>
        <w:t>3</w:t>
      </w:r>
      <w:r w:rsidR="0068453F">
        <w:rPr>
          <w:sz w:val="20"/>
        </w:rPr>
        <w:t>8</w:t>
      </w:r>
      <w:r w:rsidR="007B2C29" w:rsidRPr="002C067E">
        <w:rPr>
          <w:sz w:val="20"/>
        </w:rPr>
        <w:t xml:space="preserve"> </w:t>
      </w:r>
      <w:r w:rsidR="00F97297" w:rsidRPr="002C067E">
        <w:rPr>
          <w:sz w:val="20"/>
        </w:rPr>
        <w:t xml:space="preserve">resultados previstos en el seno de la </w:t>
      </w:r>
      <w:r w:rsidR="00F97297" w:rsidRPr="002C067E">
        <w:rPr>
          <w:sz w:val="20"/>
          <w:lang w:eastAsia="fr-FR"/>
        </w:rPr>
        <w:t>Organización</w:t>
      </w:r>
      <w:r w:rsidR="00F97297" w:rsidRPr="002C067E">
        <w:rPr>
          <w:sz w:val="20"/>
        </w:rPr>
        <w:t xml:space="preserve"> </w:t>
      </w:r>
      <w:r w:rsidR="004A44C4" w:rsidRPr="002C067E">
        <w:rPr>
          <w:sz w:val="20"/>
        </w:rPr>
        <w:t xml:space="preserve">de manera </w:t>
      </w:r>
      <w:r w:rsidR="001004B0" w:rsidRPr="002C067E">
        <w:rPr>
          <w:sz w:val="20"/>
        </w:rPr>
        <w:t>consistente</w:t>
      </w:r>
      <w:r w:rsidR="00C11DD4" w:rsidRPr="002C067E">
        <w:rPr>
          <w:sz w:val="20"/>
        </w:rPr>
        <w:t>, con lo</w:t>
      </w:r>
      <w:r w:rsidR="004A44C4" w:rsidRPr="002C067E">
        <w:rPr>
          <w:sz w:val="20"/>
        </w:rPr>
        <w:t xml:space="preserve"> </w:t>
      </w:r>
      <w:r w:rsidR="00F97297" w:rsidRPr="002C067E">
        <w:rPr>
          <w:sz w:val="20"/>
        </w:rPr>
        <w:t xml:space="preserve">que </w:t>
      </w:r>
      <w:r w:rsidR="00C11DD4" w:rsidRPr="002C067E">
        <w:rPr>
          <w:sz w:val="20"/>
        </w:rPr>
        <w:t>se proporciona</w:t>
      </w:r>
      <w:r w:rsidR="00F97297" w:rsidRPr="002C067E">
        <w:rPr>
          <w:sz w:val="20"/>
        </w:rPr>
        <w:t xml:space="preserve"> un mandato más claro y unas pautas más concretas a los programas que contribuyen a la consecución de esos resultados</w:t>
      </w:r>
      <w:r w:rsidR="007B2C29" w:rsidRPr="002C067E">
        <w:rPr>
          <w:sz w:val="20"/>
        </w:rPr>
        <w:t xml:space="preserve">.  </w:t>
      </w:r>
      <w:r w:rsidR="00F97297" w:rsidRPr="002C067E">
        <w:rPr>
          <w:sz w:val="20"/>
        </w:rPr>
        <w:t xml:space="preserve">La sinopsis del marco de resultados </w:t>
      </w:r>
      <w:r w:rsidR="001004B0" w:rsidRPr="002C067E">
        <w:rPr>
          <w:sz w:val="20"/>
        </w:rPr>
        <w:t xml:space="preserve">también </w:t>
      </w:r>
      <w:r w:rsidR="00F97297" w:rsidRPr="002C067E">
        <w:rPr>
          <w:sz w:val="20"/>
        </w:rPr>
        <w:t xml:space="preserve">aporta una perspectiva </w:t>
      </w:r>
      <w:r w:rsidR="004A44C4" w:rsidRPr="002C067E">
        <w:rPr>
          <w:sz w:val="20"/>
        </w:rPr>
        <w:t xml:space="preserve">del presupuesto </w:t>
      </w:r>
      <w:r w:rsidR="00F97297" w:rsidRPr="002C067E">
        <w:rPr>
          <w:sz w:val="20"/>
        </w:rPr>
        <w:t>para el bienio</w:t>
      </w:r>
      <w:r w:rsidR="00751475">
        <w:rPr>
          <w:sz w:val="20"/>
        </w:rPr>
        <w:t xml:space="preserve"> </w:t>
      </w:r>
      <w:r w:rsidR="007B2C29" w:rsidRPr="002C067E">
        <w:rPr>
          <w:sz w:val="20"/>
        </w:rPr>
        <w:t xml:space="preserve">2014/15 </w:t>
      </w:r>
      <w:r w:rsidR="00074276" w:rsidRPr="002C067E">
        <w:rPr>
          <w:sz w:val="20"/>
        </w:rPr>
        <w:t xml:space="preserve">basada en los resultados, </w:t>
      </w:r>
      <w:r w:rsidR="00F97297" w:rsidRPr="002C067E">
        <w:rPr>
          <w:sz w:val="20"/>
        </w:rPr>
        <w:t>así</w:t>
      </w:r>
      <w:r w:rsidR="007D0F57">
        <w:rPr>
          <w:sz w:val="20"/>
        </w:rPr>
        <w:t xml:space="preserve"> como información sobre el porcentaje de los recursos</w:t>
      </w:r>
      <w:r w:rsidR="00F97297" w:rsidRPr="002C067E">
        <w:rPr>
          <w:sz w:val="20"/>
        </w:rPr>
        <w:t xml:space="preserve"> </w:t>
      </w:r>
      <w:r w:rsidR="007D0F57">
        <w:rPr>
          <w:sz w:val="20"/>
        </w:rPr>
        <w:t>asignados</w:t>
      </w:r>
      <w:r w:rsidR="00F97297" w:rsidRPr="002C067E">
        <w:rPr>
          <w:sz w:val="20"/>
        </w:rPr>
        <w:t xml:space="preserve"> a</w:t>
      </w:r>
      <w:r w:rsidR="007D0F57">
        <w:rPr>
          <w:sz w:val="20"/>
        </w:rPr>
        <w:t xml:space="preserve"> actividades para e</w:t>
      </w:r>
      <w:r w:rsidR="00F97297" w:rsidRPr="002C067E">
        <w:rPr>
          <w:sz w:val="20"/>
        </w:rPr>
        <w:t xml:space="preserve">l desarrollo, por resultado.  Además, </w:t>
      </w:r>
      <w:r w:rsidR="005A3E11" w:rsidRPr="002C067E">
        <w:rPr>
          <w:sz w:val="20"/>
        </w:rPr>
        <w:t xml:space="preserve">en cada uno de los </w:t>
      </w:r>
      <w:r w:rsidR="00F97297" w:rsidRPr="002C067E">
        <w:rPr>
          <w:sz w:val="20"/>
        </w:rPr>
        <w:t>programa</w:t>
      </w:r>
      <w:r w:rsidR="005A3E11" w:rsidRPr="002C067E">
        <w:rPr>
          <w:sz w:val="20"/>
        </w:rPr>
        <w:t>s</w:t>
      </w:r>
      <w:r w:rsidR="00F97297" w:rsidRPr="002C067E">
        <w:rPr>
          <w:sz w:val="20"/>
        </w:rPr>
        <w:t xml:space="preserve"> </w:t>
      </w:r>
      <w:r w:rsidR="005A3E11" w:rsidRPr="002C067E">
        <w:rPr>
          <w:sz w:val="20"/>
        </w:rPr>
        <w:t xml:space="preserve">y </w:t>
      </w:r>
      <w:r w:rsidR="00F97297" w:rsidRPr="002C067E">
        <w:rPr>
          <w:sz w:val="20"/>
        </w:rPr>
        <w:t xml:space="preserve">en </w:t>
      </w:r>
      <w:r w:rsidR="00751475">
        <w:rPr>
          <w:sz w:val="20"/>
        </w:rPr>
        <w:t xml:space="preserve">el Anexo </w:t>
      </w:r>
      <w:r w:rsidR="00F97297" w:rsidRPr="002C067E">
        <w:rPr>
          <w:sz w:val="20"/>
        </w:rPr>
        <w:t>V</w:t>
      </w:r>
      <w:r w:rsidR="0068453F">
        <w:rPr>
          <w:sz w:val="20"/>
        </w:rPr>
        <w:t>III</w:t>
      </w:r>
      <w:r w:rsidR="00F97297" w:rsidRPr="002C067E">
        <w:rPr>
          <w:sz w:val="20"/>
        </w:rPr>
        <w:t xml:space="preserve"> figura un desglose de los recursos extrapresupuestarios </w:t>
      </w:r>
      <w:r w:rsidR="005A3E11" w:rsidRPr="002C067E">
        <w:rPr>
          <w:sz w:val="20"/>
        </w:rPr>
        <w:t>de que se podría disponer</w:t>
      </w:r>
      <w:r w:rsidR="00F97297" w:rsidRPr="002C067E">
        <w:rPr>
          <w:sz w:val="20"/>
        </w:rPr>
        <w:t xml:space="preserve"> en cada programa.</w:t>
      </w:r>
    </w:p>
    <w:p w:rsidR="007B2C29" w:rsidRPr="002C067E" w:rsidRDefault="007B2C29" w:rsidP="006E3E3C">
      <w:pPr>
        <w:jc w:val="both"/>
        <w:rPr>
          <w:bCs/>
          <w:color w:val="000000"/>
          <w:sz w:val="20"/>
        </w:rPr>
      </w:pPr>
    </w:p>
    <w:p w:rsidR="00F97297" w:rsidRPr="002C067E" w:rsidRDefault="00F97297" w:rsidP="00751475">
      <w:pPr>
        <w:numPr>
          <w:ilvl w:val="0"/>
          <w:numId w:val="4"/>
        </w:numPr>
        <w:tabs>
          <w:tab w:val="clear" w:pos="360"/>
          <w:tab w:val="num" w:pos="0"/>
        </w:tabs>
        <w:ind w:left="0" w:firstLine="0"/>
        <w:jc w:val="both"/>
        <w:rPr>
          <w:sz w:val="20"/>
        </w:rPr>
      </w:pPr>
      <w:r w:rsidRPr="002C067E">
        <w:rPr>
          <w:sz w:val="20"/>
        </w:rPr>
        <w:t xml:space="preserve">Se han efectuado otras mejoras en los </w:t>
      </w:r>
      <w:r w:rsidR="009C183C" w:rsidRPr="002C067E">
        <w:rPr>
          <w:sz w:val="20"/>
        </w:rPr>
        <w:t>parámetros</w:t>
      </w:r>
      <w:r w:rsidRPr="002C067E">
        <w:rPr>
          <w:sz w:val="20"/>
        </w:rPr>
        <w:t xml:space="preserve"> de </w:t>
      </w:r>
      <w:r w:rsidR="009C183C" w:rsidRPr="002C067E">
        <w:rPr>
          <w:sz w:val="20"/>
        </w:rPr>
        <w:t xml:space="preserve">evaluación, es decir, </w:t>
      </w:r>
      <w:r w:rsidR="00074276" w:rsidRPr="002C067E">
        <w:rPr>
          <w:sz w:val="20"/>
        </w:rPr>
        <w:t xml:space="preserve">los </w:t>
      </w:r>
      <w:r w:rsidR="009C183C" w:rsidRPr="002C067E">
        <w:rPr>
          <w:sz w:val="20"/>
        </w:rPr>
        <w:t xml:space="preserve">indicadores de rendimiento, </w:t>
      </w:r>
      <w:r w:rsidR="00074276" w:rsidRPr="002C067E">
        <w:rPr>
          <w:sz w:val="20"/>
        </w:rPr>
        <w:t xml:space="preserve">las </w:t>
      </w:r>
      <w:r w:rsidR="009C183C" w:rsidRPr="002C067E">
        <w:rPr>
          <w:sz w:val="20"/>
        </w:rPr>
        <w:t xml:space="preserve">referencias de base y </w:t>
      </w:r>
      <w:r w:rsidR="00074276" w:rsidRPr="002C067E">
        <w:rPr>
          <w:sz w:val="20"/>
        </w:rPr>
        <w:t xml:space="preserve">los </w:t>
      </w:r>
      <w:r w:rsidR="009C183C" w:rsidRPr="002C067E">
        <w:rPr>
          <w:sz w:val="20"/>
        </w:rPr>
        <w:t xml:space="preserve">objetivos en concordancia con las recomendaciones efectuadas en la validación independiente llevada a cabo por la </w:t>
      </w:r>
      <w:r w:rsidR="009C183C" w:rsidRPr="002C067E">
        <w:rPr>
          <w:sz w:val="20"/>
          <w:szCs w:val="24"/>
        </w:rPr>
        <w:t>División de Auditoría y Supervisión Internas</w:t>
      </w:r>
      <w:r w:rsidR="009C183C" w:rsidRPr="002C067E">
        <w:rPr>
          <w:sz w:val="20"/>
        </w:rPr>
        <w:t xml:space="preserve"> (DASI) y la petición de mejoras formulada por los Estados miembros con respecto al Informe sobre el rendimiento de los programas (PPR)</w:t>
      </w:r>
      <w:r w:rsidR="00074276" w:rsidRPr="002C067E">
        <w:rPr>
          <w:sz w:val="20"/>
        </w:rPr>
        <w:t>.</w:t>
      </w:r>
    </w:p>
    <w:p w:rsidR="00F97297" w:rsidRPr="002C067E" w:rsidRDefault="00F97297" w:rsidP="00751475">
      <w:pPr>
        <w:keepNext/>
        <w:keepLines/>
        <w:rPr>
          <w:sz w:val="20"/>
        </w:rPr>
      </w:pPr>
    </w:p>
    <w:p w:rsidR="007B2C29" w:rsidRPr="002C067E" w:rsidRDefault="009C183C" w:rsidP="00751475">
      <w:pPr>
        <w:keepNext/>
        <w:keepLines/>
        <w:numPr>
          <w:ilvl w:val="0"/>
          <w:numId w:val="4"/>
        </w:numPr>
        <w:tabs>
          <w:tab w:val="clear" w:pos="360"/>
          <w:tab w:val="num" w:pos="0"/>
        </w:tabs>
        <w:ind w:left="0" w:firstLine="0"/>
        <w:jc w:val="both"/>
        <w:rPr>
          <w:sz w:val="20"/>
        </w:rPr>
      </w:pPr>
      <w:r w:rsidRPr="002C067E">
        <w:rPr>
          <w:sz w:val="20"/>
        </w:rPr>
        <w:t xml:space="preserve">La aplicación de un procedimiento estructurado y periódico de gestión de los riesgos en toda la </w:t>
      </w:r>
      <w:r w:rsidRPr="002C067E">
        <w:rPr>
          <w:sz w:val="20"/>
          <w:lang w:eastAsia="fr-FR"/>
        </w:rPr>
        <w:t>Organización</w:t>
      </w:r>
      <w:r w:rsidRPr="002C067E">
        <w:rPr>
          <w:sz w:val="20"/>
        </w:rPr>
        <w:t xml:space="preserve"> ha dado lugar a </w:t>
      </w:r>
      <w:r w:rsidR="00074276" w:rsidRPr="002C067E">
        <w:rPr>
          <w:sz w:val="20"/>
        </w:rPr>
        <w:t>que mejore</w:t>
      </w:r>
      <w:r w:rsidRPr="002C067E">
        <w:rPr>
          <w:sz w:val="20"/>
        </w:rPr>
        <w:t xml:space="preserve"> la planificación y </w:t>
      </w:r>
      <w:r w:rsidR="00074276" w:rsidRPr="002C067E">
        <w:rPr>
          <w:sz w:val="20"/>
        </w:rPr>
        <w:t xml:space="preserve">se conozcan </w:t>
      </w:r>
      <w:r w:rsidRPr="002C067E">
        <w:rPr>
          <w:sz w:val="20"/>
        </w:rPr>
        <w:t>mejor las circunstancias que podrían obstaculizar el logro de los resultados previstos.  Actualmente todos los programas llevan a cabo evaluaciones de riesgos como parte de la planificación bienal y de los planes de trabajo anuales.  A lo largo del presente documento se exponen detalladamente a</w:t>
      </w:r>
      <w:r w:rsidR="00074276" w:rsidRPr="002C067E">
        <w:rPr>
          <w:sz w:val="20"/>
        </w:rPr>
        <w:t>l</w:t>
      </w:r>
      <w:r w:rsidRPr="002C067E">
        <w:rPr>
          <w:sz w:val="20"/>
        </w:rPr>
        <w:t xml:space="preserve"> final de cada reseña de programa los principales riesgos y estrategias </w:t>
      </w:r>
      <w:r w:rsidR="00074276" w:rsidRPr="002C067E">
        <w:rPr>
          <w:sz w:val="20"/>
        </w:rPr>
        <w:t xml:space="preserve">de mitigación </w:t>
      </w:r>
      <w:r w:rsidRPr="002C067E">
        <w:rPr>
          <w:sz w:val="20"/>
        </w:rPr>
        <w:t>para cada programa.</w:t>
      </w:r>
    </w:p>
    <w:p w:rsidR="007B2C29" w:rsidRPr="002C067E" w:rsidRDefault="007B2C29" w:rsidP="006E3E3C">
      <w:pPr>
        <w:jc w:val="both"/>
      </w:pPr>
    </w:p>
    <w:p w:rsidR="007B2C29" w:rsidRPr="002C067E" w:rsidRDefault="009C183C" w:rsidP="006E3E3C">
      <w:pPr>
        <w:numPr>
          <w:ilvl w:val="0"/>
          <w:numId w:val="4"/>
        </w:numPr>
        <w:tabs>
          <w:tab w:val="clear" w:pos="360"/>
          <w:tab w:val="num" w:pos="0"/>
        </w:tabs>
        <w:ind w:left="0" w:firstLine="0"/>
        <w:jc w:val="both"/>
        <w:rPr>
          <w:sz w:val="20"/>
        </w:rPr>
      </w:pPr>
      <w:r w:rsidRPr="002C067E">
        <w:rPr>
          <w:sz w:val="20"/>
        </w:rPr>
        <w:t xml:space="preserve">Durante los dos últimos bienios, la </w:t>
      </w:r>
      <w:r w:rsidRPr="002C067E">
        <w:rPr>
          <w:sz w:val="20"/>
          <w:lang w:eastAsia="fr-FR"/>
        </w:rPr>
        <w:t>Organización</w:t>
      </w:r>
      <w:r w:rsidRPr="002C067E">
        <w:rPr>
          <w:sz w:val="20"/>
        </w:rPr>
        <w:t xml:space="preserve"> ha dedicado importantes esfuerzos al </w:t>
      </w:r>
      <w:r w:rsidR="008D17F8">
        <w:rPr>
          <w:sz w:val="20"/>
        </w:rPr>
        <w:t>Programa de Alineación Estratégica</w:t>
      </w:r>
      <w:r w:rsidRPr="002C067E">
        <w:rPr>
          <w:sz w:val="20"/>
        </w:rPr>
        <w:t xml:space="preserve">, concebido </w:t>
      </w:r>
      <w:r w:rsidR="002625D1" w:rsidRPr="002C067E">
        <w:rPr>
          <w:sz w:val="20"/>
        </w:rPr>
        <w:t>con el fin de</w:t>
      </w:r>
      <w:r w:rsidRPr="002C067E">
        <w:rPr>
          <w:sz w:val="20"/>
        </w:rPr>
        <w:t xml:space="preserve"> que la </w:t>
      </w:r>
      <w:r w:rsidRPr="002C067E">
        <w:rPr>
          <w:sz w:val="20"/>
          <w:lang w:eastAsia="fr-FR"/>
        </w:rPr>
        <w:t>Organización</w:t>
      </w:r>
      <w:r w:rsidRPr="002C067E">
        <w:rPr>
          <w:sz w:val="20"/>
        </w:rPr>
        <w:t xml:space="preserve"> funcione de manera responsable, eficaz y eficiente.  Un plan en el que figuran cambios tan ambiciosos exige de por sí </w:t>
      </w:r>
      <w:r w:rsidR="006E7E1C" w:rsidRPr="002C067E">
        <w:rPr>
          <w:sz w:val="20"/>
        </w:rPr>
        <w:t xml:space="preserve">transformar </w:t>
      </w:r>
      <w:r w:rsidRPr="002C067E">
        <w:rPr>
          <w:sz w:val="20"/>
        </w:rPr>
        <w:t xml:space="preserve">la cultura de la </w:t>
      </w:r>
      <w:r w:rsidRPr="002C067E">
        <w:rPr>
          <w:sz w:val="20"/>
          <w:lang w:eastAsia="fr-FR"/>
        </w:rPr>
        <w:t>Organización</w:t>
      </w:r>
      <w:r w:rsidRPr="002C067E">
        <w:rPr>
          <w:sz w:val="20"/>
        </w:rPr>
        <w:t xml:space="preserve"> </w:t>
      </w:r>
      <w:r w:rsidR="00835FED" w:rsidRPr="002C067E">
        <w:rPr>
          <w:sz w:val="20"/>
        </w:rPr>
        <w:t xml:space="preserve">y </w:t>
      </w:r>
      <w:r w:rsidR="006E7E1C" w:rsidRPr="002C067E">
        <w:rPr>
          <w:sz w:val="20"/>
        </w:rPr>
        <w:t xml:space="preserve">disponer de </w:t>
      </w:r>
      <w:r w:rsidRPr="002C067E">
        <w:rPr>
          <w:sz w:val="20"/>
        </w:rPr>
        <w:t xml:space="preserve">la capacidad </w:t>
      </w:r>
      <w:r w:rsidR="00C9166E" w:rsidRPr="002C067E">
        <w:rPr>
          <w:sz w:val="20"/>
        </w:rPr>
        <w:t xml:space="preserve">necesaria </w:t>
      </w:r>
      <w:r w:rsidR="006E7E1C" w:rsidRPr="002C067E">
        <w:rPr>
          <w:sz w:val="20"/>
        </w:rPr>
        <w:t xml:space="preserve">para </w:t>
      </w:r>
      <w:r w:rsidR="00835FED" w:rsidRPr="002C067E">
        <w:rPr>
          <w:sz w:val="20"/>
        </w:rPr>
        <w:t>absorber dicho</w:t>
      </w:r>
      <w:r w:rsidR="006E7E1C" w:rsidRPr="002C067E">
        <w:rPr>
          <w:sz w:val="20"/>
        </w:rPr>
        <w:t>s</w:t>
      </w:r>
      <w:r w:rsidR="00835FED" w:rsidRPr="002C067E">
        <w:rPr>
          <w:sz w:val="20"/>
        </w:rPr>
        <w:t xml:space="preserve"> cambio</w:t>
      </w:r>
      <w:r w:rsidR="006E7E1C" w:rsidRPr="002C067E">
        <w:rPr>
          <w:sz w:val="20"/>
        </w:rPr>
        <w:t>s</w:t>
      </w:r>
      <w:r w:rsidRPr="002C067E">
        <w:rPr>
          <w:sz w:val="20"/>
        </w:rPr>
        <w:t xml:space="preserve">.  La </w:t>
      </w:r>
      <w:r w:rsidRPr="002C067E">
        <w:rPr>
          <w:sz w:val="20"/>
          <w:lang w:eastAsia="fr-FR"/>
        </w:rPr>
        <w:t>Organización</w:t>
      </w:r>
      <w:r w:rsidRPr="002C067E">
        <w:rPr>
          <w:sz w:val="20"/>
        </w:rPr>
        <w:t xml:space="preserve"> tendrá que velar por que los beneficios y mejoras realizados a partir de </w:t>
      </w:r>
      <w:r w:rsidR="00CF1A22" w:rsidRPr="002C067E">
        <w:rPr>
          <w:sz w:val="20"/>
        </w:rPr>
        <w:t xml:space="preserve">su ejecución </w:t>
      </w:r>
      <w:r w:rsidRPr="002C067E">
        <w:rPr>
          <w:sz w:val="20"/>
        </w:rPr>
        <w:t xml:space="preserve">sean duraderos y se </w:t>
      </w:r>
      <w:r w:rsidR="00CF1A22" w:rsidRPr="002C067E">
        <w:rPr>
          <w:sz w:val="20"/>
        </w:rPr>
        <w:t xml:space="preserve">basen </w:t>
      </w:r>
      <w:r w:rsidR="00987E05" w:rsidRPr="002C067E">
        <w:rPr>
          <w:sz w:val="20"/>
        </w:rPr>
        <w:t xml:space="preserve">en el perfeccionamiento </w:t>
      </w:r>
      <w:r w:rsidRPr="002C067E">
        <w:rPr>
          <w:sz w:val="20"/>
        </w:rPr>
        <w:t xml:space="preserve">constante y </w:t>
      </w:r>
      <w:r w:rsidR="00CF1A22" w:rsidRPr="002C067E">
        <w:rPr>
          <w:sz w:val="20"/>
        </w:rPr>
        <w:t xml:space="preserve">en </w:t>
      </w:r>
      <w:r w:rsidRPr="002C067E">
        <w:rPr>
          <w:sz w:val="20"/>
        </w:rPr>
        <w:t xml:space="preserve">un alto </w:t>
      </w:r>
      <w:r w:rsidR="00106F0E" w:rsidRPr="002C067E">
        <w:rPr>
          <w:sz w:val="20"/>
        </w:rPr>
        <w:t>grado</w:t>
      </w:r>
      <w:r w:rsidRPr="002C067E">
        <w:rPr>
          <w:sz w:val="20"/>
        </w:rPr>
        <w:t xml:space="preserve"> de participación del personal.</w:t>
      </w:r>
    </w:p>
    <w:p w:rsidR="008D74C7" w:rsidRDefault="008D74C7" w:rsidP="008D74C7">
      <w:pPr>
        <w:jc w:val="both"/>
        <w:rPr>
          <w:sz w:val="20"/>
        </w:rPr>
      </w:pPr>
    </w:p>
    <w:p w:rsidR="008D74C7" w:rsidRPr="009C183C" w:rsidRDefault="008D74C7" w:rsidP="008D74C7">
      <w:pPr>
        <w:jc w:val="both"/>
        <w:rPr>
          <w:sz w:val="20"/>
        </w:rPr>
      </w:pPr>
    </w:p>
    <w:p w:rsidR="007B2C29" w:rsidRPr="00FE56AC" w:rsidRDefault="007B2C29" w:rsidP="004A4009">
      <w:pPr>
        <w:jc w:val="both"/>
        <w:rPr>
          <w:sz w:val="20"/>
        </w:rPr>
        <w:sectPr w:rsidR="007B2C29" w:rsidRPr="00FE56AC" w:rsidSect="007B2C29">
          <w:headerReference w:type="even" r:id="rId20"/>
          <w:headerReference w:type="default" r:id="rId21"/>
          <w:pgSz w:w="11907" w:h="16840" w:code="9"/>
          <w:pgMar w:top="567" w:right="1418" w:bottom="1361" w:left="1418" w:header="510" w:footer="851" w:gutter="0"/>
          <w:cols w:space="720"/>
        </w:sectPr>
      </w:pPr>
    </w:p>
    <w:p w:rsidR="00A84EF1" w:rsidRPr="00A50BB4" w:rsidRDefault="00A84EF1" w:rsidP="004A4009">
      <w:pPr>
        <w:jc w:val="center"/>
        <w:rPr>
          <w:bCs/>
          <w:sz w:val="20"/>
        </w:rPr>
      </w:pPr>
      <w:r>
        <w:rPr>
          <w:noProof/>
          <w:lang w:val="en-US" w:eastAsia="en-US"/>
        </w:rPr>
        <w:lastRenderedPageBreak/>
        <w:drawing>
          <wp:inline distT="0" distB="0" distL="0" distR="0" wp14:anchorId="2B7EDA18" wp14:editId="3C81A60F">
            <wp:extent cx="8368030" cy="6198870"/>
            <wp:effectExtent l="0" t="0" r="0"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368030" cy="6198870"/>
                    </a:xfrm>
                    <a:prstGeom prst="rect">
                      <a:avLst/>
                    </a:prstGeom>
                    <a:noFill/>
                    <a:ln>
                      <a:noFill/>
                    </a:ln>
                  </pic:spPr>
                </pic:pic>
              </a:graphicData>
            </a:graphic>
          </wp:inline>
        </w:drawing>
      </w:r>
    </w:p>
    <w:p w:rsidR="007B2C29" w:rsidRDefault="007B2C29" w:rsidP="004A4009">
      <w:pPr>
        <w:ind w:left="1080"/>
        <w:jc w:val="both"/>
        <w:rPr>
          <w:sz w:val="20"/>
        </w:rPr>
        <w:sectPr w:rsidR="007B2C29" w:rsidSect="00A55CAD">
          <w:pgSz w:w="16840" w:h="11907" w:orient="landscape" w:code="9"/>
          <w:pgMar w:top="993" w:right="567" w:bottom="1135" w:left="1361" w:header="510" w:footer="851" w:gutter="0"/>
          <w:cols w:space="720"/>
        </w:sectPr>
      </w:pPr>
    </w:p>
    <w:tbl>
      <w:tblPr>
        <w:tblW w:w="21679" w:type="dxa"/>
        <w:tblLayout w:type="fixed"/>
        <w:tblCellMar>
          <w:left w:w="28" w:type="dxa"/>
          <w:right w:w="28" w:type="dxa"/>
        </w:tblCellMar>
        <w:tblLook w:val="0000" w:firstRow="0" w:lastRow="0" w:firstColumn="0" w:lastColumn="0" w:noHBand="0" w:noVBand="0"/>
      </w:tblPr>
      <w:tblGrid>
        <w:gridCol w:w="387"/>
        <w:gridCol w:w="3040"/>
        <w:gridCol w:w="3041"/>
        <w:gridCol w:w="3043"/>
        <w:gridCol w:w="3041"/>
        <w:gridCol w:w="3040"/>
        <w:gridCol w:w="171"/>
        <w:gridCol w:w="2870"/>
        <w:gridCol w:w="3046"/>
      </w:tblGrid>
      <w:tr w:rsidR="00230914" w:rsidRPr="003060BE" w:rsidTr="00FF362A">
        <w:trPr>
          <w:trHeight w:val="294"/>
        </w:trPr>
        <w:tc>
          <w:tcPr>
            <w:tcW w:w="387" w:type="dxa"/>
            <w:vMerge w:val="restart"/>
            <w:tcBorders>
              <w:top w:val="single" w:sz="8" w:space="0" w:color="auto"/>
              <w:left w:val="single" w:sz="8" w:space="0" w:color="auto"/>
              <w:bottom w:val="single" w:sz="4" w:space="0" w:color="000000"/>
              <w:right w:val="nil"/>
            </w:tcBorders>
            <w:shd w:val="clear" w:color="auto" w:fill="99CCFF"/>
            <w:textDirection w:val="btLr"/>
            <w:vAlign w:val="center"/>
          </w:tcPr>
          <w:p w:rsidR="00230914" w:rsidRPr="003060BE" w:rsidRDefault="00230914" w:rsidP="00FF362A">
            <w:pPr>
              <w:tabs>
                <w:tab w:val="right" w:pos="2835"/>
              </w:tabs>
              <w:jc w:val="center"/>
              <w:rPr>
                <w:b/>
                <w:bCs/>
                <w:sz w:val="16"/>
                <w:szCs w:val="16"/>
                <w:lang w:val="es-ES_tradnl"/>
              </w:rPr>
            </w:pPr>
            <w:r w:rsidRPr="003060BE">
              <w:rPr>
                <w:b/>
                <w:bCs/>
                <w:sz w:val="16"/>
                <w:szCs w:val="16"/>
                <w:lang w:val="es-ES_tradnl"/>
              </w:rPr>
              <w:lastRenderedPageBreak/>
              <w:t>Incorporación de la Meta estratégica III: Facilitar el uso de la P.I. en aras del desarrollo y Agenda para el Desarrollo</w:t>
            </w:r>
          </w:p>
        </w:tc>
        <w:tc>
          <w:tcPr>
            <w:tcW w:w="21292" w:type="dxa"/>
            <w:gridSpan w:val="8"/>
            <w:tcBorders>
              <w:top w:val="single" w:sz="4" w:space="0" w:color="auto"/>
              <w:left w:val="single" w:sz="4" w:space="0" w:color="auto"/>
              <w:bottom w:val="single" w:sz="4" w:space="0" w:color="auto"/>
              <w:right w:val="single" w:sz="4" w:space="0" w:color="000000"/>
            </w:tcBorders>
            <w:shd w:val="clear" w:color="auto" w:fill="CCFFFF"/>
            <w:vAlign w:val="center"/>
          </w:tcPr>
          <w:p w:rsidR="00230914" w:rsidRPr="003060BE" w:rsidRDefault="00230914" w:rsidP="00FF362A">
            <w:pPr>
              <w:tabs>
                <w:tab w:val="right" w:pos="2835"/>
              </w:tabs>
              <w:jc w:val="center"/>
              <w:rPr>
                <w:b/>
                <w:bCs/>
                <w:sz w:val="16"/>
                <w:szCs w:val="16"/>
                <w:lang w:val="es-ES_tradnl"/>
              </w:rPr>
            </w:pPr>
            <w:r w:rsidRPr="003060BE">
              <w:rPr>
                <w:b/>
                <w:bCs/>
                <w:sz w:val="16"/>
                <w:szCs w:val="16"/>
                <w:lang w:val="es-ES_tradnl"/>
              </w:rPr>
              <w:t>Meta estratégica VIII:  Comunicación eficaz entre la OMPI, sus Estados miembros y todas las partes interesadas</w:t>
            </w:r>
          </w:p>
        </w:tc>
      </w:tr>
      <w:tr w:rsidR="00230914" w:rsidRPr="003060BE" w:rsidTr="00FF362A">
        <w:trPr>
          <w:trHeight w:val="145"/>
        </w:trPr>
        <w:tc>
          <w:tcPr>
            <w:tcW w:w="387" w:type="dxa"/>
            <w:vMerge/>
            <w:tcBorders>
              <w:top w:val="single" w:sz="8" w:space="0" w:color="auto"/>
              <w:left w:val="single" w:sz="8" w:space="0" w:color="auto"/>
              <w:bottom w:val="single" w:sz="4" w:space="0" w:color="000000"/>
              <w:right w:val="nil"/>
            </w:tcBorders>
            <w:vAlign w:val="center"/>
          </w:tcPr>
          <w:p w:rsidR="00230914" w:rsidRPr="003060BE" w:rsidRDefault="00230914" w:rsidP="00FF362A">
            <w:pPr>
              <w:tabs>
                <w:tab w:val="right" w:pos="2835"/>
              </w:tabs>
              <w:rPr>
                <w:b/>
                <w:bCs/>
                <w:sz w:val="16"/>
                <w:szCs w:val="16"/>
                <w:lang w:val="es-ES_tradnl"/>
              </w:rPr>
            </w:pPr>
          </w:p>
        </w:tc>
        <w:tc>
          <w:tcPr>
            <w:tcW w:w="3040" w:type="dxa"/>
            <w:tcBorders>
              <w:top w:val="nil"/>
              <w:left w:val="single" w:sz="4" w:space="0" w:color="auto"/>
              <w:bottom w:val="nil"/>
              <w:right w:val="nil"/>
            </w:tcBorders>
            <w:shd w:val="clear" w:color="auto" w:fill="auto"/>
            <w:vAlign w:val="center"/>
          </w:tcPr>
          <w:p w:rsidR="00230914" w:rsidRPr="003060BE" w:rsidRDefault="00230914" w:rsidP="00FF362A">
            <w:pPr>
              <w:tabs>
                <w:tab w:val="right" w:pos="2835"/>
              </w:tabs>
              <w:jc w:val="center"/>
              <w:rPr>
                <w:sz w:val="15"/>
                <w:szCs w:val="15"/>
                <w:lang w:val="es-ES_tradnl"/>
              </w:rPr>
            </w:pPr>
            <w:r w:rsidRPr="003060BE">
              <w:rPr>
                <w:sz w:val="15"/>
                <w:szCs w:val="15"/>
                <w:lang w:val="es-ES_tradnl"/>
              </w:rPr>
              <w:t> </w:t>
            </w:r>
          </w:p>
        </w:tc>
        <w:tc>
          <w:tcPr>
            <w:tcW w:w="3041" w:type="dxa"/>
            <w:tcBorders>
              <w:top w:val="nil"/>
              <w:left w:val="nil"/>
              <w:bottom w:val="nil"/>
              <w:right w:val="nil"/>
            </w:tcBorders>
            <w:shd w:val="clear" w:color="auto" w:fill="auto"/>
            <w:vAlign w:val="center"/>
          </w:tcPr>
          <w:p w:rsidR="00230914" w:rsidRPr="003060BE" w:rsidRDefault="00230914" w:rsidP="00FF362A">
            <w:pPr>
              <w:tabs>
                <w:tab w:val="right" w:pos="2835"/>
              </w:tabs>
              <w:rPr>
                <w:sz w:val="14"/>
                <w:szCs w:val="14"/>
                <w:lang w:val="es-ES_tradnl"/>
              </w:rPr>
            </w:pPr>
          </w:p>
          <w:p w:rsidR="00230914" w:rsidRPr="003060BE" w:rsidRDefault="00230914" w:rsidP="00FF362A">
            <w:pPr>
              <w:tabs>
                <w:tab w:val="right" w:pos="2835"/>
              </w:tabs>
              <w:rPr>
                <w:sz w:val="14"/>
                <w:szCs w:val="14"/>
                <w:lang w:val="es-ES_tradnl"/>
              </w:rPr>
            </w:pPr>
            <w:r w:rsidRPr="003060BE">
              <w:rPr>
                <w:sz w:val="14"/>
                <w:szCs w:val="14"/>
                <w:lang w:val="es-ES_tradnl"/>
              </w:rPr>
              <w:t>VIII.1. Comunicación más eficaz con el público en general acerca de la P.I. y la función de la OMPI.</w:t>
            </w:r>
          </w:p>
          <w:p w:rsidR="00230914" w:rsidRPr="003060BE" w:rsidRDefault="00230914" w:rsidP="00FF362A">
            <w:pPr>
              <w:tabs>
                <w:tab w:val="right" w:pos="2835"/>
              </w:tabs>
              <w:rPr>
                <w:sz w:val="14"/>
                <w:szCs w:val="14"/>
                <w:lang w:val="es-ES_tradnl"/>
              </w:rPr>
            </w:pPr>
          </w:p>
          <w:p w:rsidR="00230914" w:rsidRPr="003060BE" w:rsidRDefault="00230914" w:rsidP="00FF362A">
            <w:pPr>
              <w:tabs>
                <w:tab w:val="left" w:pos="335"/>
                <w:tab w:val="right" w:pos="2810"/>
              </w:tabs>
              <w:rPr>
                <w:i/>
                <w:iCs/>
                <w:sz w:val="14"/>
                <w:szCs w:val="14"/>
                <w:lang w:val="es-ES_tradnl"/>
              </w:rPr>
            </w:pPr>
            <w:r w:rsidRPr="003060BE">
              <w:rPr>
                <w:i/>
                <w:iCs/>
                <w:sz w:val="14"/>
                <w:szCs w:val="14"/>
                <w:lang w:val="es-ES_tradnl"/>
              </w:rPr>
              <w:tab/>
              <w:t>Presupuesto propuesto 14/15:</w:t>
            </w:r>
            <w:r w:rsidRPr="003060BE">
              <w:rPr>
                <w:i/>
                <w:iCs/>
                <w:sz w:val="14"/>
                <w:szCs w:val="14"/>
                <w:lang w:val="es-ES_tradnl"/>
              </w:rPr>
              <w:tab/>
              <w:t>13.150</w:t>
            </w:r>
          </w:p>
          <w:p w:rsidR="00230914" w:rsidRPr="003060BE" w:rsidRDefault="00230914" w:rsidP="00FF362A">
            <w:pPr>
              <w:tabs>
                <w:tab w:val="left" w:pos="348"/>
                <w:tab w:val="right" w:pos="2810"/>
              </w:tabs>
              <w:rPr>
                <w:i/>
                <w:iCs/>
                <w:color w:val="0000FF"/>
                <w:sz w:val="14"/>
                <w:szCs w:val="14"/>
                <w:lang w:val="es-ES_tradnl"/>
              </w:rPr>
            </w:pPr>
            <w:r w:rsidRPr="003060BE">
              <w:rPr>
                <w:i/>
                <w:iCs/>
                <w:sz w:val="14"/>
                <w:szCs w:val="14"/>
                <w:lang w:val="es-ES_tradnl"/>
              </w:rPr>
              <w:tab/>
            </w:r>
            <w:r w:rsidRPr="003060BE">
              <w:rPr>
                <w:i/>
                <w:iCs/>
                <w:color w:val="0000FF"/>
                <w:sz w:val="14"/>
                <w:szCs w:val="14"/>
                <w:lang w:val="es-ES_tradnl"/>
              </w:rPr>
              <w:t xml:space="preserve">Cuota de desarrollo: </w:t>
            </w:r>
            <w:r w:rsidRPr="003060BE">
              <w:rPr>
                <w:i/>
                <w:iCs/>
                <w:color w:val="0000FF"/>
                <w:sz w:val="14"/>
                <w:szCs w:val="14"/>
                <w:lang w:val="es-ES_tradnl"/>
              </w:rPr>
              <w:tab/>
              <w:t>5.090</w:t>
            </w:r>
          </w:p>
          <w:p w:rsidR="00230914" w:rsidRPr="003060BE" w:rsidRDefault="00230914" w:rsidP="00FF362A">
            <w:pPr>
              <w:tabs>
                <w:tab w:val="right" w:pos="2835"/>
              </w:tabs>
              <w:rPr>
                <w:sz w:val="14"/>
                <w:szCs w:val="14"/>
                <w:lang w:val="es-ES_tradnl"/>
              </w:rPr>
            </w:pPr>
          </w:p>
        </w:tc>
        <w:tc>
          <w:tcPr>
            <w:tcW w:w="3043" w:type="dxa"/>
            <w:tcBorders>
              <w:top w:val="nil"/>
              <w:left w:val="nil"/>
              <w:bottom w:val="nil"/>
              <w:right w:val="nil"/>
            </w:tcBorders>
            <w:shd w:val="clear" w:color="auto" w:fill="auto"/>
          </w:tcPr>
          <w:p w:rsidR="00230914" w:rsidRPr="003060BE" w:rsidRDefault="00230914" w:rsidP="00FF362A">
            <w:pPr>
              <w:tabs>
                <w:tab w:val="right" w:pos="2835"/>
              </w:tabs>
              <w:rPr>
                <w:sz w:val="14"/>
                <w:szCs w:val="14"/>
                <w:lang w:val="es-ES_tradnl"/>
              </w:rPr>
            </w:pPr>
          </w:p>
          <w:p w:rsidR="00230914" w:rsidRPr="003060BE" w:rsidRDefault="00230914" w:rsidP="00FF362A">
            <w:pPr>
              <w:tabs>
                <w:tab w:val="right" w:pos="2835"/>
              </w:tabs>
              <w:rPr>
                <w:sz w:val="14"/>
                <w:szCs w:val="14"/>
                <w:lang w:val="es-ES_tradnl"/>
              </w:rPr>
            </w:pPr>
            <w:r w:rsidRPr="003060BE">
              <w:rPr>
                <w:sz w:val="14"/>
                <w:szCs w:val="14"/>
                <w:lang w:val="es-ES_tradnl"/>
              </w:rPr>
              <w:t>VIII.2. Mejora en la prestación de servicios y la atención de consultas.</w:t>
            </w:r>
          </w:p>
          <w:p w:rsidR="00230914" w:rsidRPr="003060BE" w:rsidRDefault="00230914" w:rsidP="00FF362A">
            <w:pPr>
              <w:tabs>
                <w:tab w:val="left" w:pos="325"/>
                <w:tab w:val="right" w:pos="2040"/>
              </w:tabs>
              <w:rPr>
                <w:i/>
                <w:iCs/>
                <w:sz w:val="14"/>
                <w:szCs w:val="14"/>
                <w:lang w:val="es-ES_tradnl"/>
              </w:rPr>
            </w:pPr>
          </w:p>
          <w:p w:rsidR="00230914" w:rsidRPr="003060BE" w:rsidRDefault="00230914" w:rsidP="00FF362A">
            <w:pPr>
              <w:tabs>
                <w:tab w:val="left" w:pos="325"/>
                <w:tab w:val="right" w:pos="2040"/>
              </w:tabs>
              <w:rPr>
                <w:i/>
                <w:iCs/>
                <w:sz w:val="14"/>
                <w:szCs w:val="14"/>
                <w:lang w:val="es-ES_tradnl"/>
              </w:rPr>
            </w:pPr>
          </w:p>
          <w:p w:rsidR="00230914" w:rsidRPr="003060BE" w:rsidRDefault="00230914" w:rsidP="00FF362A">
            <w:pPr>
              <w:tabs>
                <w:tab w:val="left" w:pos="325"/>
                <w:tab w:val="right" w:pos="2888"/>
              </w:tabs>
              <w:rPr>
                <w:i/>
                <w:iCs/>
                <w:sz w:val="14"/>
                <w:szCs w:val="14"/>
                <w:lang w:val="es-ES_tradnl"/>
              </w:rPr>
            </w:pPr>
            <w:r w:rsidRPr="003060BE">
              <w:rPr>
                <w:i/>
                <w:iCs/>
                <w:sz w:val="14"/>
                <w:szCs w:val="14"/>
                <w:lang w:val="es-ES_tradnl"/>
              </w:rPr>
              <w:tab/>
              <w:t xml:space="preserve">Presupuesto propuesto 14/15:  </w:t>
            </w:r>
            <w:r w:rsidRPr="003060BE">
              <w:rPr>
                <w:i/>
                <w:iCs/>
                <w:sz w:val="14"/>
                <w:szCs w:val="14"/>
                <w:lang w:val="es-ES_tradnl"/>
              </w:rPr>
              <w:tab/>
              <w:t>5.536</w:t>
            </w:r>
          </w:p>
          <w:p w:rsidR="00230914" w:rsidRPr="003060BE" w:rsidRDefault="00230914" w:rsidP="00FF362A">
            <w:pPr>
              <w:tabs>
                <w:tab w:val="left" w:pos="338"/>
                <w:tab w:val="right" w:pos="2888"/>
              </w:tabs>
              <w:rPr>
                <w:sz w:val="14"/>
                <w:szCs w:val="14"/>
                <w:lang w:val="es-ES_tradnl"/>
              </w:rPr>
            </w:pPr>
            <w:r w:rsidRPr="003060BE">
              <w:rPr>
                <w:i/>
                <w:iCs/>
                <w:sz w:val="14"/>
                <w:szCs w:val="14"/>
                <w:lang w:val="es-ES_tradnl"/>
              </w:rPr>
              <w:tab/>
            </w:r>
            <w:r w:rsidRPr="003060BE">
              <w:rPr>
                <w:i/>
                <w:iCs/>
                <w:color w:val="0000FF"/>
                <w:sz w:val="14"/>
                <w:szCs w:val="14"/>
                <w:lang w:val="es-ES_tradnl"/>
              </w:rPr>
              <w:t>Cuota de desarrollo:</w:t>
            </w:r>
            <w:r w:rsidRPr="003060BE">
              <w:rPr>
                <w:i/>
                <w:iCs/>
                <w:color w:val="0000FF"/>
                <w:sz w:val="14"/>
                <w:szCs w:val="14"/>
                <w:lang w:val="es-ES_tradnl"/>
              </w:rPr>
              <w:tab/>
              <w:t xml:space="preserve"> 2.024</w:t>
            </w:r>
          </w:p>
        </w:tc>
        <w:tc>
          <w:tcPr>
            <w:tcW w:w="3041" w:type="dxa"/>
            <w:tcBorders>
              <w:top w:val="nil"/>
              <w:left w:val="nil"/>
              <w:bottom w:val="nil"/>
              <w:right w:val="nil"/>
            </w:tcBorders>
            <w:shd w:val="clear" w:color="auto" w:fill="auto"/>
          </w:tcPr>
          <w:p w:rsidR="00230914" w:rsidRPr="003060BE" w:rsidRDefault="00230914" w:rsidP="00FF362A">
            <w:pPr>
              <w:tabs>
                <w:tab w:val="right" w:pos="2835"/>
              </w:tabs>
              <w:rPr>
                <w:sz w:val="14"/>
                <w:szCs w:val="14"/>
                <w:lang w:val="es-ES_tradnl"/>
              </w:rPr>
            </w:pPr>
          </w:p>
          <w:p w:rsidR="00230914" w:rsidRPr="003060BE" w:rsidRDefault="00230914" w:rsidP="00FF362A">
            <w:pPr>
              <w:tabs>
                <w:tab w:val="right" w:pos="2835"/>
              </w:tabs>
              <w:rPr>
                <w:sz w:val="14"/>
                <w:szCs w:val="14"/>
                <w:lang w:val="es-ES_tradnl"/>
              </w:rPr>
            </w:pPr>
            <w:r w:rsidRPr="003060BE">
              <w:rPr>
                <w:sz w:val="14"/>
                <w:szCs w:val="14"/>
                <w:lang w:val="es-ES_tradnl"/>
              </w:rPr>
              <w:t>VIII.3. Atención eficaz a los Estados miembros.</w:t>
            </w:r>
          </w:p>
          <w:p w:rsidR="00230914" w:rsidRPr="003060BE" w:rsidRDefault="00230914" w:rsidP="00FF362A">
            <w:pPr>
              <w:tabs>
                <w:tab w:val="left" w:pos="378"/>
                <w:tab w:val="right" w:pos="2040"/>
              </w:tabs>
              <w:rPr>
                <w:i/>
                <w:iCs/>
                <w:sz w:val="14"/>
                <w:szCs w:val="14"/>
                <w:lang w:val="es-ES_tradnl"/>
              </w:rPr>
            </w:pPr>
          </w:p>
          <w:p w:rsidR="00230914" w:rsidRPr="003060BE" w:rsidRDefault="00230914" w:rsidP="00FF362A">
            <w:pPr>
              <w:tabs>
                <w:tab w:val="left" w:pos="378"/>
                <w:tab w:val="right" w:pos="2040"/>
              </w:tabs>
              <w:rPr>
                <w:i/>
                <w:iCs/>
                <w:sz w:val="14"/>
                <w:szCs w:val="14"/>
                <w:lang w:val="es-ES_tradnl"/>
              </w:rPr>
            </w:pPr>
          </w:p>
          <w:p w:rsidR="00230914" w:rsidRPr="003060BE" w:rsidRDefault="00230914" w:rsidP="00FF362A">
            <w:pPr>
              <w:tabs>
                <w:tab w:val="left" w:pos="378"/>
                <w:tab w:val="right" w:pos="2040"/>
              </w:tabs>
              <w:rPr>
                <w:i/>
                <w:iCs/>
                <w:sz w:val="14"/>
                <w:szCs w:val="14"/>
                <w:lang w:val="es-ES_tradnl"/>
              </w:rPr>
            </w:pPr>
          </w:p>
          <w:p w:rsidR="00230914" w:rsidRPr="003060BE" w:rsidRDefault="00230914" w:rsidP="00FF362A">
            <w:pPr>
              <w:tabs>
                <w:tab w:val="left" w:pos="378"/>
                <w:tab w:val="right" w:pos="2822"/>
              </w:tabs>
              <w:rPr>
                <w:i/>
                <w:iCs/>
                <w:sz w:val="14"/>
                <w:szCs w:val="14"/>
                <w:lang w:val="es-ES_tradnl"/>
              </w:rPr>
            </w:pPr>
            <w:r w:rsidRPr="003060BE">
              <w:rPr>
                <w:i/>
                <w:iCs/>
                <w:sz w:val="14"/>
                <w:szCs w:val="14"/>
                <w:lang w:val="es-ES_tradnl"/>
              </w:rPr>
              <w:tab/>
              <w:t xml:space="preserve">Presupuesto propuesto 14/15: </w:t>
            </w:r>
            <w:r w:rsidRPr="003060BE">
              <w:rPr>
                <w:i/>
                <w:iCs/>
                <w:sz w:val="14"/>
                <w:szCs w:val="14"/>
                <w:lang w:val="es-ES_tradnl"/>
              </w:rPr>
              <w:tab/>
              <w:t>6.883</w:t>
            </w:r>
          </w:p>
          <w:p w:rsidR="00230914" w:rsidRPr="003060BE" w:rsidRDefault="00230914" w:rsidP="00FF362A">
            <w:pPr>
              <w:tabs>
                <w:tab w:val="left" w:pos="353"/>
                <w:tab w:val="right" w:pos="2822"/>
              </w:tabs>
              <w:rPr>
                <w:sz w:val="14"/>
                <w:szCs w:val="14"/>
                <w:lang w:val="es-ES_tradnl"/>
              </w:rPr>
            </w:pPr>
            <w:r w:rsidRPr="003060BE">
              <w:rPr>
                <w:i/>
                <w:iCs/>
                <w:sz w:val="14"/>
                <w:szCs w:val="14"/>
                <w:lang w:val="es-ES_tradnl"/>
              </w:rPr>
              <w:tab/>
            </w:r>
            <w:r w:rsidRPr="003060BE">
              <w:rPr>
                <w:i/>
                <w:iCs/>
                <w:color w:val="0000FF"/>
                <w:sz w:val="14"/>
                <w:szCs w:val="14"/>
                <w:lang w:val="es-ES_tradnl"/>
              </w:rPr>
              <w:t>Cuota de desarrollo:</w:t>
            </w:r>
            <w:r w:rsidRPr="003060BE">
              <w:rPr>
                <w:i/>
                <w:iCs/>
                <w:color w:val="0000FF"/>
                <w:sz w:val="14"/>
                <w:szCs w:val="14"/>
                <w:lang w:val="es-ES_tradnl"/>
              </w:rPr>
              <w:tab/>
              <w:t>-</w:t>
            </w:r>
          </w:p>
        </w:tc>
        <w:tc>
          <w:tcPr>
            <w:tcW w:w="3211" w:type="dxa"/>
            <w:gridSpan w:val="2"/>
            <w:tcBorders>
              <w:top w:val="nil"/>
              <w:left w:val="nil"/>
              <w:bottom w:val="nil"/>
              <w:right w:val="nil"/>
            </w:tcBorders>
            <w:shd w:val="clear" w:color="auto" w:fill="auto"/>
          </w:tcPr>
          <w:p w:rsidR="00230914" w:rsidRPr="003060BE" w:rsidRDefault="00230914" w:rsidP="00FF362A">
            <w:pPr>
              <w:tabs>
                <w:tab w:val="right" w:pos="2835"/>
              </w:tabs>
              <w:rPr>
                <w:sz w:val="14"/>
                <w:szCs w:val="14"/>
                <w:lang w:val="es-ES_tradnl"/>
              </w:rPr>
            </w:pPr>
          </w:p>
          <w:p w:rsidR="00230914" w:rsidRPr="003060BE" w:rsidRDefault="00230914" w:rsidP="00FF362A">
            <w:pPr>
              <w:tabs>
                <w:tab w:val="right" w:pos="2835"/>
              </w:tabs>
              <w:rPr>
                <w:sz w:val="14"/>
                <w:szCs w:val="14"/>
                <w:lang w:val="es-ES_tradnl"/>
              </w:rPr>
            </w:pPr>
            <w:r w:rsidRPr="003060BE">
              <w:rPr>
                <w:sz w:val="14"/>
                <w:szCs w:val="14"/>
                <w:lang w:val="es-ES_tradnl"/>
              </w:rPr>
              <w:t>VIII.4. Intercambios abiertos, transparentes y dinámicos con las partes interesadas no gubernamentales.</w:t>
            </w:r>
          </w:p>
          <w:p w:rsidR="00230914" w:rsidRPr="003060BE" w:rsidRDefault="00230914" w:rsidP="00FF362A">
            <w:pPr>
              <w:tabs>
                <w:tab w:val="left" w:pos="368"/>
                <w:tab w:val="right" w:pos="2040"/>
              </w:tabs>
              <w:rPr>
                <w:i/>
                <w:iCs/>
                <w:sz w:val="14"/>
                <w:szCs w:val="14"/>
                <w:lang w:val="es-ES_tradnl"/>
              </w:rPr>
            </w:pPr>
            <w:r w:rsidRPr="003060BE">
              <w:rPr>
                <w:i/>
                <w:iCs/>
                <w:sz w:val="14"/>
                <w:szCs w:val="14"/>
                <w:lang w:val="es-ES_tradnl"/>
              </w:rPr>
              <w:tab/>
            </w:r>
          </w:p>
          <w:p w:rsidR="00230914" w:rsidRPr="003060BE" w:rsidRDefault="00230914" w:rsidP="008D3CF3">
            <w:pPr>
              <w:tabs>
                <w:tab w:val="left" w:pos="348"/>
                <w:tab w:val="right" w:pos="2757"/>
              </w:tabs>
              <w:rPr>
                <w:i/>
                <w:iCs/>
                <w:sz w:val="14"/>
                <w:szCs w:val="14"/>
                <w:lang w:val="es-ES_tradnl"/>
              </w:rPr>
            </w:pPr>
            <w:r w:rsidRPr="003060BE">
              <w:rPr>
                <w:i/>
                <w:iCs/>
                <w:sz w:val="14"/>
                <w:szCs w:val="14"/>
                <w:lang w:val="es-ES_tradnl"/>
              </w:rPr>
              <w:tab/>
              <w:t xml:space="preserve">Presupuesto propuesto 14/15: </w:t>
            </w:r>
            <w:r w:rsidRPr="003060BE">
              <w:rPr>
                <w:i/>
                <w:iCs/>
                <w:sz w:val="14"/>
                <w:szCs w:val="14"/>
                <w:lang w:val="es-ES_tradnl"/>
              </w:rPr>
              <w:tab/>
              <w:t>1.771</w:t>
            </w:r>
          </w:p>
          <w:p w:rsidR="00230914" w:rsidRPr="003060BE" w:rsidRDefault="00230914" w:rsidP="008D3CF3">
            <w:pPr>
              <w:tabs>
                <w:tab w:val="left" w:pos="368"/>
                <w:tab w:val="right" w:pos="2757"/>
              </w:tabs>
              <w:rPr>
                <w:sz w:val="14"/>
                <w:szCs w:val="14"/>
                <w:lang w:val="es-ES_tradnl"/>
              </w:rPr>
            </w:pPr>
            <w:r w:rsidRPr="003060BE">
              <w:rPr>
                <w:i/>
                <w:iCs/>
                <w:sz w:val="14"/>
                <w:szCs w:val="14"/>
                <w:lang w:val="es-ES_tradnl"/>
              </w:rPr>
              <w:tab/>
            </w:r>
            <w:r w:rsidRPr="003060BE">
              <w:rPr>
                <w:i/>
                <w:iCs/>
                <w:color w:val="0000FF"/>
                <w:sz w:val="14"/>
                <w:szCs w:val="14"/>
                <w:lang w:val="es-ES_tradnl"/>
              </w:rPr>
              <w:t>Cuota de desarrollo:</w:t>
            </w:r>
            <w:r w:rsidRPr="003060BE">
              <w:rPr>
                <w:i/>
                <w:iCs/>
                <w:color w:val="0000FF"/>
                <w:sz w:val="14"/>
                <w:szCs w:val="14"/>
                <w:lang w:val="es-ES_tradnl"/>
              </w:rPr>
              <w:tab/>
              <w:t>-</w:t>
            </w:r>
          </w:p>
        </w:tc>
        <w:tc>
          <w:tcPr>
            <w:tcW w:w="2870" w:type="dxa"/>
            <w:tcBorders>
              <w:top w:val="nil"/>
              <w:left w:val="nil"/>
              <w:bottom w:val="nil"/>
              <w:right w:val="nil"/>
            </w:tcBorders>
            <w:shd w:val="clear" w:color="auto" w:fill="auto"/>
          </w:tcPr>
          <w:p w:rsidR="00230914" w:rsidRPr="003060BE" w:rsidRDefault="00230914" w:rsidP="00FF362A">
            <w:pPr>
              <w:tabs>
                <w:tab w:val="right" w:pos="2835"/>
              </w:tabs>
              <w:rPr>
                <w:sz w:val="14"/>
                <w:szCs w:val="14"/>
                <w:lang w:val="es-ES_tradnl"/>
              </w:rPr>
            </w:pPr>
          </w:p>
          <w:p w:rsidR="00230914" w:rsidRPr="003060BE" w:rsidRDefault="00230914" w:rsidP="00FF362A">
            <w:pPr>
              <w:tabs>
                <w:tab w:val="right" w:pos="2835"/>
              </w:tabs>
              <w:rPr>
                <w:sz w:val="14"/>
                <w:szCs w:val="14"/>
                <w:lang w:val="es-ES_tradnl"/>
              </w:rPr>
            </w:pPr>
            <w:r w:rsidRPr="003060BE">
              <w:rPr>
                <w:sz w:val="14"/>
                <w:szCs w:val="14"/>
                <w:lang w:val="es-ES_tradnl"/>
              </w:rPr>
              <w:t>VIII.5. La OMPI participa y colabora eficazmente en los procesos y negociaciones de las NN.UU. y otras OIG.</w:t>
            </w:r>
          </w:p>
          <w:p w:rsidR="00230914" w:rsidRPr="003060BE" w:rsidRDefault="00230914" w:rsidP="00FF362A">
            <w:pPr>
              <w:tabs>
                <w:tab w:val="right" w:pos="2835"/>
              </w:tabs>
              <w:rPr>
                <w:sz w:val="14"/>
                <w:szCs w:val="14"/>
                <w:lang w:val="es-ES_tradnl"/>
              </w:rPr>
            </w:pPr>
          </w:p>
          <w:p w:rsidR="00230914" w:rsidRPr="003060BE" w:rsidRDefault="00230914" w:rsidP="008D3CF3">
            <w:pPr>
              <w:tabs>
                <w:tab w:val="left" w:pos="397"/>
                <w:tab w:val="right" w:pos="2665"/>
              </w:tabs>
              <w:rPr>
                <w:i/>
                <w:iCs/>
                <w:sz w:val="14"/>
                <w:szCs w:val="14"/>
                <w:lang w:val="es-ES_tradnl"/>
              </w:rPr>
            </w:pPr>
            <w:r w:rsidRPr="003060BE">
              <w:rPr>
                <w:i/>
                <w:iCs/>
                <w:sz w:val="14"/>
                <w:szCs w:val="14"/>
                <w:lang w:val="es-ES_tradnl"/>
              </w:rPr>
              <w:tab/>
              <w:t xml:space="preserve">Presupuesto propuesto 14/15:  </w:t>
            </w:r>
            <w:r w:rsidRPr="003060BE">
              <w:rPr>
                <w:i/>
                <w:iCs/>
                <w:sz w:val="14"/>
                <w:szCs w:val="14"/>
                <w:lang w:val="es-ES_tradnl"/>
              </w:rPr>
              <w:tab/>
              <w:t>5.956</w:t>
            </w:r>
          </w:p>
          <w:p w:rsidR="00230914" w:rsidRPr="003060BE" w:rsidRDefault="00230914" w:rsidP="008D3CF3">
            <w:pPr>
              <w:tabs>
                <w:tab w:val="left" w:pos="409"/>
                <w:tab w:val="right" w:pos="2665"/>
              </w:tabs>
              <w:rPr>
                <w:i/>
                <w:iCs/>
                <w:sz w:val="14"/>
                <w:szCs w:val="14"/>
                <w:lang w:val="es-ES_tradnl"/>
              </w:rPr>
            </w:pPr>
            <w:r w:rsidRPr="003060BE">
              <w:rPr>
                <w:i/>
                <w:iCs/>
                <w:sz w:val="14"/>
                <w:szCs w:val="14"/>
                <w:lang w:val="es-ES_tradnl"/>
              </w:rPr>
              <w:tab/>
            </w:r>
            <w:r w:rsidRPr="003060BE">
              <w:rPr>
                <w:i/>
                <w:iCs/>
                <w:color w:val="0000FF"/>
                <w:sz w:val="14"/>
                <w:szCs w:val="14"/>
                <w:lang w:val="es-ES_tradnl"/>
              </w:rPr>
              <w:t>Cuota de desarrollo:</w:t>
            </w:r>
            <w:r w:rsidRPr="003060BE">
              <w:rPr>
                <w:i/>
                <w:iCs/>
                <w:sz w:val="14"/>
                <w:szCs w:val="14"/>
                <w:lang w:val="es-ES_tradnl"/>
              </w:rPr>
              <w:tab/>
            </w:r>
            <w:r w:rsidRPr="003060BE">
              <w:rPr>
                <w:i/>
                <w:iCs/>
                <w:color w:val="0000FF"/>
                <w:sz w:val="14"/>
                <w:szCs w:val="14"/>
                <w:lang w:val="es-ES_tradnl"/>
              </w:rPr>
              <w:t>2.778</w:t>
            </w:r>
          </w:p>
        </w:tc>
        <w:tc>
          <w:tcPr>
            <w:tcW w:w="3046" w:type="dxa"/>
            <w:tcBorders>
              <w:top w:val="nil"/>
              <w:left w:val="nil"/>
              <w:bottom w:val="nil"/>
              <w:right w:val="single" w:sz="4" w:space="0" w:color="auto"/>
            </w:tcBorders>
            <w:shd w:val="clear" w:color="auto" w:fill="auto"/>
            <w:vAlign w:val="bottom"/>
          </w:tcPr>
          <w:p w:rsidR="00230914" w:rsidRPr="003060BE" w:rsidRDefault="00230914" w:rsidP="00FF362A">
            <w:pPr>
              <w:tabs>
                <w:tab w:val="right" w:pos="2913"/>
              </w:tabs>
              <w:rPr>
                <w:i/>
                <w:iCs/>
                <w:sz w:val="14"/>
                <w:szCs w:val="14"/>
                <w:lang w:val="es-ES_tradnl"/>
              </w:rPr>
            </w:pPr>
            <w:r w:rsidRPr="003060BE">
              <w:rPr>
                <w:i/>
                <w:iCs/>
                <w:sz w:val="14"/>
                <w:szCs w:val="14"/>
                <w:lang w:val="es-ES_tradnl"/>
              </w:rPr>
              <w:t>Total del presupuesto propuesto,</w:t>
            </w:r>
            <w:r w:rsidRPr="003060BE">
              <w:rPr>
                <w:i/>
                <w:iCs/>
                <w:sz w:val="14"/>
                <w:szCs w:val="14"/>
                <w:lang w:val="es-ES_tradnl"/>
              </w:rPr>
              <w:br/>
              <w:t xml:space="preserve"> meta VIII:</w:t>
            </w:r>
            <w:r w:rsidRPr="003060BE">
              <w:rPr>
                <w:i/>
                <w:iCs/>
                <w:sz w:val="14"/>
                <w:szCs w:val="14"/>
                <w:lang w:val="es-ES_tradnl"/>
              </w:rPr>
              <w:tab/>
              <w:t xml:space="preserve"> 33.296</w:t>
            </w:r>
          </w:p>
          <w:p w:rsidR="00230914" w:rsidRPr="003060BE" w:rsidRDefault="00230914" w:rsidP="00FF362A">
            <w:pPr>
              <w:tabs>
                <w:tab w:val="right" w:pos="2913"/>
              </w:tabs>
              <w:rPr>
                <w:i/>
                <w:iCs/>
                <w:color w:val="0000FF"/>
                <w:sz w:val="14"/>
                <w:szCs w:val="14"/>
                <w:lang w:val="es-ES_tradnl"/>
              </w:rPr>
            </w:pPr>
            <w:r w:rsidRPr="003060BE">
              <w:rPr>
                <w:i/>
                <w:iCs/>
                <w:color w:val="0000FF"/>
                <w:sz w:val="14"/>
                <w:szCs w:val="14"/>
                <w:lang w:val="es-ES_tradnl"/>
              </w:rPr>
              <w:t>Total de la cuota de desarrollo,</w:t>
            </w:r>
            <w:r w:rsidRPr="003060BE">
              <w:rPr>
                <w:i/>
                <w:iCs/>
                <w:color w:val="0000FF"/>
                <w:sz w:val="14"/>
                <w:szCs w:val="14"/>
                <w:lang w:val="es-ES_tradnl"/>
              </w:rPr>
              <w:br/>
              <w:t xml:space="preserve"> meta VIII:</w:t>
            </w:r>
            <w:r w:rsidRPr="003060BE">
              <w:rPr>
                <w:i/>
                <w:iCs/>
                <w:color w:val="0000FF"/>
                <w:sz w:val="14"/>
                <w:szCs w:val="14"/>
                <w:lang w:val="es-ES_tradnl"/>
              </w:rPr>
              <w:tab/>
              <w:t xml:space="preserve">    9.892</w:t>
            </w:r>
          </w:p>
          <w:p w:rsidR="00230914" w:rsidRPr="003060BE" w:rsidRDefault="00230914" w:rsidP="00FF362A">
            <w:pPr>
              <w:tabs>
                <w:tab w:val="right" w:pos="2350"/>
              </w:tabs>
              <w:rPr>
                <w:i/>
                <w:iCs/>
                <w:sz w:val="14"/>
                <w:szCs w:val="14"/>
                <w:lang w:val="es-ES_tradnl"/>
              </w:rPr>
            </w:pPr>
          </w:p>
        </w:tc>
      </w:tr>
      <w:tr w:rsidR="00230914" w:rsidRPr="003060BE" w:rsidTr="00FF362A">
        <w:trPr>
          <w:trHeight w:val="559"/>
        </w:trPr>
        <w:tc>
          <w:tcPr>
            <w:tcW w:w="387" w:type="dxa"/>
            <w:vMerge/>
            <w:tcBorders>
              <w:top w:val="single" w:sz="8" w:space="0" w:color="auto"/>
              <w:left w:val="single" w:sz="8" w:space="0" w:color="auto"/>
              <w:bottom w:val="single" w:sz="4" w:space="0" w:color="000000"/>
              <w:right w:val="nil"/>
            </w:tcBorders>
            <w:vAlign w:val="center"/>
          </w:tcPr>
          <w:p w:rsidR="00230914" w:rsidRPr="003060BE" w:rsidRDefault="00230914" w:rsidP="00FF362A">
            <w:pPr>
              <w:tabs>
                <w:tab w:val="right" w:pos="2835"/>
              </w:tabs>
              <w:rPr>
                <w:b/>
                <w:bCs/>
                <w:sz w:val="16"/>
                <w:szCs w:val="16"/>
                <w:lang w:val="es-ES_tradnl"/>
              </w:rPr>
            </w:pPr>
          </w:p>
        </w:tc>
        <w:tc>
          <w:tcPr>
            <w:tcW w:w="3040" w:type="dxa"/>
            <w:tcBorders>
              <w:top w:val="single" w:sz="4" w:space="0" w:color="auto"/>
              <w:left w:val="single" w:sz="4" w:space="0" w:color="auto"/>
              <w:bottom w:val="single" w:sz="4" w:space="0" w:color="auto"/>
              <w:right w:val="single" w:sz="4" w:space="0" w:color="auto"/>
            </w:tcBorders>
            <w:shd w:val="clear" w:color="auto" w:fill="CCFFFF"/>
            <w:vAlign w:val="center"/>
          </w:tcPr>
          <w:p w:rsidR="00230914" w:rsidRPr="003060BE" w:rsidRDefault="00230914" w:rsidP="00FF362A">
            <w:pPr>
              <w:tabs>
                <w:tab w:val="right" w:pos="2835"/>
              </w:tabs>
              <w:jc w:val="center"/>
              <w:rPr>
                <w:b/>
                <w:bCs/>
                <w:sz w:val="16"/>
                <w:szCs w:val="16"/>
                <w:lang w:val="es-ES_tradnl"/>
              </w:rPr>
            </w:pPr>
            <w:r w:rsidRPr="003060BE">
              <w:rPr>
                <w:b/>
                <w:bCs/>
                <w:sz w:val="16"/>
                <w:szCs w:val="16"/>
                <w:lang w:val="es-ES_tradnl"/>
              </w:rPr>
              <w:t>Meta estratégica I:</w:t>
            </w:r>
          </w:p>
          <w:p w:rsidR="00230914" w:rsidRPr="003060BE" w:rsidRDefault="00230914" w:rsidP="00FF362A">
            <w:pPr>
              <w:tabs>
                <w:tab w:val="right" w:pos="2835"/>
              </w:tabs>
              <w:jc w:val="center"/>
              <w:rPr>
                <w:b/>
                <w:bCs/>
                <w:sz w:val="16"/>
                <w:szCs w:val="16"/>
                <w:lang w:val="es-ES_tradnl"/>
              </w:rPr>
            </w:pPr>
            <w:r w:rsidRPr="003060BE">
              <w:rPr>
                <w:b/>
                <w:bCs/>
                <w:sz w:val="16"/>
                <w:szCs w:val="16"/>
                <w:lang w:val="es-ES_tradnl"/>
              </w:rPr>
              <w:t>Evolución equilibrada del marco normativo internacional de P.I.</w:t>
            </w:r>
          </w:p>
        </w:tc>
        <w:tc>
          <w:tcPr>
            <w:tcW w:w="3041" w:type="dxa"/>
            <w:tcBorders>
              <w:top w:val="single" w:sz="4" w:space="0" w:color="auto"/>
              <w:left w:val="nil"/>
              <w:bottom w:val="single" w:sz="4" w:space="0" w:color="auto"/>
              <w:right w:val="single" w:sz="4" w:space="0" w:color="auto"/>
            </w:tcBorders>
            <w:shd w:val="clear" w:color="auto" w:fill="CCFFFF"/>
            <w:vAlign w:val="center"/>
          </w:tcPr>
          <w:p w:rsidR="00230914" w:rsidRPr="003060BE" w:rsidRDefault="00230914" w:rsidP="00FF362A">
            <w:pPr>
              <w:tabs>
                <w:tab w:val="right" w:pos="2835"/>
              </w:tabs>
              <w:jc w:val="center"/>
              <w:rPr>
                <w:b/>
                <w:bCs/>
                <w:sz w:val="16"/>
                <w:szCs w:val="16"/>
                <w:lang w:val="es-ES_tradnl"/>
              </w:rPr>
            </w:pPr>
            <w:r w:rsidRPr="003060BE">
              <w:rPr>
                <w:b/>
                <w:bCs/>
                <w:sz w:val="16"/>
                <w:szCs w:val="16"/>
                <w:lang w:val="es-ES_tradnl"/>
              </w:rPr>
              <w:t>Meta estratégica II:</w:t>
            </w:r>
          </w:p>
          <w:p w:rsidR="00230914" w:rsidRPr="003060BE" w:rsidRDefault="00230914" w:rsidP="00FF362A">
            <w:pPr>
              <w:tabs>
                <w:tab w:val="right" w:pos="2835"/>
              </w:tabs>
              <w:jc w:val="center"/>
              <w:rPr>
                <w:b/>
                <w:bCs/>
                <w:sz w:val="16"/>
                <w:szCs w:val="16"/>
                <w:lang w:val="es-ES_tradnl"/>
              </w:rPr>
            </w:pPr>
            <w:r w:rsidRPr="003060BE">
              <w:rPr>
                <w:b/>
                <w:bCs/>
                <w:sz w:val="16"/>
                <w:szCs w:val="16"/>
                <w:lang w:val="es-ES_tradnl"/>
              </w:rPr>
              <w:t>Prestación de servicios mundiales de P.I. de calidad</w:t>
            </w:r>
          </w:p>
        </w:tc>
        <w:tc>
          <w:tcPr>
            <w:tcW w:w="3043" w:type="dxa"/>
            <w:tcBorders>
              <w:top w:val="single" w:sz="4" w:space="0" w:color="auto"/>
              <w:left w:val="nil"/>
              <w:bottom w:val="single" w:sz="4" w:space="0" w:color="auto"/>
              <w:right w:val="single" w:sz="4" w:space="0" w:color="auto"/>
            </w:tcBorders>
            <w:shd w:val="clear" w:color="auto" w:fill="CCFFFF"/>
            <w:vAlign w:val="center"/>
          </w:tcPr>
          <w:p w:rsidR="00230914" w:rsidRPr="003060BE" w:rsidRDefault="00230914" w:rsidP="00FF362A">
            <w:pPr>
              <w:tabs>
                <w:tab w:val="right" w:pos="2835"/>
              </w:tabs>
              <w:jc w:val="center"/>
              <w:rPr>
                <w:b/>
                <w:bCs/>
                <w:sz w:val="16"/>
                <w:szCs w:val="16"/>
                <w:lang w:val="es-ES_tradnl"/>
              </w:rPr>
            </w:pPr>
            <w:r w:rsidRPr="003060BE">
              <w:rPr>
                <w:b/>
                <w:bCs/>
                <w:sz w:val="16"/>
                <w:szCs w:val="16"/>
                <w:lang w:val="es-ES_tradnl"/>
              </w:rPr>
              <w:t>Meta estratégica III:</w:t>
            </w:r>
          </w:p>
          <w:p w:rsidR="00230914" w:rsidRPr="003060BE" w:rsidRDefault="00230914" w:rsidP="00FF362A">
            <w:pPr>
              <w:tabs>
                <w:tab w:val="right" w:pos="2835"/>
              </w:tabs>
              <w:jc w:val="center"/>
              <w:rPr>
                <w:b/>
                <w:bCs/>
                <w:sz w:val="16"/>
                <w:szCs w:val="16"/>
                <w:lang w:val="es-ES_tradnl"/>
              </w:rPr>
            </w:pPr>
            <w:r w:rsidRPr="003060BE">
              <w:rPr>
                <w:b/>
                <w:bCs/>
                <w:sz w:val="16"/>
                <w:szCs w:val="16"/>
                <w:lang w:val="es-ES_tradnl"/>
              </w:rPr>
              <w:t>Facilitar el uso de la P.I. en aras del desarrollo</w:t>
            </w:r>
          </w:p>
        </w:tc>
        <w:tc>
          <w:tcPr>
            <w:tcW w:w="3041" w:type="dxa"/>
            <w:tcBorders>
              <w:top w:val="single" w:sz="4" w:space="0" w:color="auto"/>
              <w:left w:val="nil"/>
              <w:bottom w:val="single" w:sz="4" w:space="0" w:color="auto"/>
              <w:right w:val="single" w:sz="4" w:space="0" w:color="auto"/>
            </w:tcBorders>
            <w:shd w:val="clear" w:color="auto" w:fill="CCFFFF"/>
            <w:vAlign w:val="center"/>
          </w:tcPr>
          <w:p w:rsidR="00230914" w:rsidRPr="003060BE" w:rsidRDefault="00230914" w:rsidP="00FF362A">
            <w:pPr>
              <w:tabs>
                <w:tab w:val="right" w:pos="2835"/>
              </w:tabs>
              <w:jc w:val="center"/>
              <w:rPr>
                <w:b/>
                <w:bCs/>
                <w:sz w:val="16"/>
                <w:szCs w:val="16"/>
                <w:lang w:val="es-ES_tradnl"/>
              </w:rPr>
            </w:pPr>
            <w:r w:rsidRPr="003060BE">
              <w:rPr>
                <w:b/>
                <w:bCs/>
                <w:sz w:val="16"/>
                <w:szCs w:val="16"/>
                <w:lang w:val="es-ES_tradnl"/>
              </w:rPr>
              <w:t>Meta estratégica IV:</w:t>
            </w:r>
          </w:p>
          <w:p w:rsidR="00230914" w:rsidRPr="003060BE" w:rsidRDefault="00230914" w:rsidP="00FF362A">
            <w:pPr>
              <w:tabs>
                <w:tab w:val="right" w:pos="2835"/>
              </w:tabs>
              <w:jc w:val="center"/>
              <w:rPr>
                <w:b/>
                <w:bCs/>
                <w:sz w:val="16"/>
                <w:szCs w:val="16"/>
                <w:lang w:val="es-ES_tradnl"/>
              </w:rPr>
            </w:pPr>
            <w:r w:rsidRPr="003060BE">
              <w:rPr>
                <w:b/>
                <w:bCs/>
                <w:sz w:val="16"/>
                <w:szCs w:val="16"/>
                <w:lang w:val="es-ES_tradnl"/>
              </w:rPr>
              <w:t>Coordinación y desarrollo de la infraestructura mundial de P.I.</w:t>
            </w:r>
          </w:p>
        </w:tc>
        <w:tc>
          <w:tcPr>
            <w:tcW w:w="3211" w:type="dxa"/>
            <w:gridSpan w:val="2"/>
            <w:tcBorders>
              <w:top w:val="single" w:sz="4" w:space="0" w:color="auto"/>
              <w:left w:val="nil"/>
              <w:bottom w:val="single" w:sz="4" w:space="0" w:color="auto"/>
              <w:right w:val="single" w:sz="4" w:space="0" w:color="auto"/>
            </w:tcBorders>
            <w:shd w:val="clear" w:color="auto" w:fill="CCFFFF"/>
            <w:vAlign w:val="center"/>
          </w:tcPr>
          <w:p w:rsidR="00230914" w:rsidRPr="003060BE" w:rsidRDefault="00230914" w:rsidP="00FF362A">
            <w:pPr>
              <w:tabs>
                <w:tab w:val="right" w:pos="2835"/>
              </w:tabs>
              <w:jc w:val="center"/>
              <w:rPr>
                <w:b/>
                <w:bCs/>
                <w:sz w:val="16"/>
                <w:szCs w:val="16"/>
                <w:lang w:val="es-ES_tradnl"/>
              </w:rPr>
            </w:pPr>
            <w:r w:rsidRPr="003060BE">
              <w:rPr>
                <w:b/>
                <w:bCs/>
                <w:sz w:val="16"/>
                <w:szCs w:val="16"/>
                <w:lang w:val="es-ES_tradnl"/>
              </w:rPr>
              <w:t>Meta estratégica V:</w:t>
            </w:r>
          </w:p>
          <w:p w:rsidR="00230914" w:rsidRPr="003060BE" w:rsidRDefault="00230914" w:rsidP="00FF362A">
            <w:pPr>
              <w:tabs>
                <w:tab w:val="right" w:pos="2835"/>
              </w:tabs>
              <w:jc w:val="center"/>
              <w:rPr>
                <w:b/>
                <w:bCs/>
                <w:sz w:val="16"/>
                <w:szCs w:val="16"/>
                <w:lang w:val="es-ES_tradnl"/>
              </w:rPr>
            </w:pPr>
            <w:r w:rsidRPr="003060BE">
              <w:rPr>
                <w:b/>
                <w:bCs/>
                <w:sz w:val="16"/>
                <w:szCs w:val="16"/>
                <w:lang w:val="es-ES_tradnl"/>
              </w:rPr>
              <w:t>Fuente de referencia en el mundo de información y análisis en materia de P.I.</w:t>
            </w:r>
          </w:p>
        </w:tc>
        <w:tc>
          <w:tcPr>
            <w:tcW w:w="2870" w:type="dxa"/>
            <w:tcBorders>
              <w:top w:val="single" w:sz="4" w:space="0" w:color="auto"/>
              <w:left w:val="nil"/>
              <w:bottom w:val="single" w:sz="4" w:space="0" w:color="auto"/>
              <w:right w:val="single" w:sz="4" w:space="0" w:color="auto"/>
            </w:tcBorders>
            <w:shd w:val="clear" w:color="auto" w:fill="CCFFFF"/>
            <w:vAlign w:val="center"/>
          </w:tcPr>
          <w:p w:rsidR="00230914" w:rsidRPr="003060BE" w:rsidRDefault="00230914" w:rsidP="00FF362A">
            <w:pPr>
              <w:tabs>
                <w:tab w:val="right" w:pos="2835"/>
              </w:tabs>
              <w:jc w:val="center"/>
              <w:rPr>
                <w:b/>
                <w:bCs/>
                <w:sz w:val="16"/>
                <w:szCs w:val="16"/>
                <w:lang w:val="es-ES_tradnl"/>
              </w:rPr>
            </w:pPr>
            <w:r w:rsidRPr="003060BE">
              <w:rPr>
                <w:b/>
                <w:bCs/>
                <w:sz w:val="16"/>
                <w:szCs w:val="16"/>
                <w:lang w:val="es-ES_tradnl"/>
              </w:rPr>
              <w:t>Meta estratégica VI:</w:t>
            </w:r>
          </w:p>
          <w:p w:rsidR="00230914" w:rsidRPr="003060BE" w:rsidRDefault="00230914" w:rsidP="00FF362A">
            <w:pPr>
              <w:tabs>
                <w:tab w:val="right" w:pos="2835"/>
              </w:tabs>
              <w:jc w:val="center"/>
              <w:rPr>
                <w:b/>
                <w:bCs/>
                <w:sz w:val="16"/>
                <w:szCs w:val="16"/>
                <w:lang w:val="es-ES_tradnl"/>
              </w:rPr>
            </w:pPr>
            <w:r w:rsidRPr="003060BE">
              <w:rPr>
                <w:b/>
                <w:bCs/>
                <w:sz w:val="16"/>
                <w:szCs w:val="16"/>
                <w:lang w:val="es-ES_tradnl"/>
              </w:rPr>
              <w:t>Cooperación internacional para cultivar el respeto por la P.I.</w:t>
            </w:r>
          </w:p>
        </w:tc>
        <w:tc>
          <w:tcPr>
            <w:tcW w:w="3046" w:type="dxa"/>
            <w:tcBorders>
              <w:top w:val="single" w:sz="4" w:space="0" w:color="auto"/>
              <w:left w:val="nil"/>
              <w:bottom w:val="single" w:sz="4" w:space="0" w:color="auto"/>
              <w:right w:val="single" w:sz="4" w:space="0" w:color="auto"/>
            </w:tcBorders>
            <w:shd w:val="clear" w:color="auto" w:fill="CCFFFF"/>
            <w:vAlign w:val="center"/>
          </w:tcPr>
          <w:p w:rsidR="00230914" w:rsidRPr="003060BE" w:rsidRDefault="00230914" w:rsidP="00FF362A">
            <w:pPr>
              <w:tabs>
                <w:tab w:val="right" w:pos="2835"/>
              </w:tabs>
              <w:jc w:val="center"/>
              <w:rPr>
                <w:b/>
                <w:bCs/>
                <w:sz w:val="16"/>
                <w:szCs w:val="16"/>
                <w:lang w:val="es-ES_tradnl"/>
              </w:rPr>
            </w:pPr>
            <w:r w:rsidRPr="003060BE">
              <w:rPr>
                <w:b/>
                <w:bCs/>
                <w:sz w:val="16"/>
                <w:szCs w:val="16"/>
                <w:lang w:val="es-ES_tradnl"/>
              </w:rPr>
              <w:t>Meta estratégica VII:</w:t>
            </w:r>
          </w:p>
          <w:p w:rsidR="00230914" w:rsidRPr="003060BE" w:rsidRDefault="00230914" w:rsidP="00FF362A">
            <w:pPr>
              <w:tabs>
                <w:tab w:val="right" w:pos="2835"/>
              </w:tabs>
              <w:jc w:val="center"/>
              <w:rPr>
                <w:b/>
                <w:bCs/>
                <w:sz w:val="16"/>
                <w:szCs w:val="16"/>
                <w:lang w:val="es-ES_tradnl"/>
              </w:rPr>
            </w:pPr>
            <w:r w:rsidRPr="003060BE">
              <w:rPr>
                <w:b/>
                <w:bCs/>
                <w:sz w:val="16"/>
                <w:szCs w:val="16"/>
                <w:lang w:val="es-ES_tradnl"/>
              </w:rPr>
              <w:t>Vínculos entre la P.I. y los problemas mundiales de política pública</w:t>
            </w:r>
          </w:p>
        </w:tc>
      </w:tr>
      <w:tr w:rsidR="00230914" w:rsidRPr="003060BE" w:rsidTr="00FF362A">
        <w:trPr>
          <w:trHeight w:val="145"/>
        </w:trPr>
        <w:tc>
          <w:tcPr>
            <w:tcW w:w="387" w:type="dxa"/>
            <w:vMerge/>
            <w:tcBorders>
              <w:top w:val="single" w:sz="8" w:space="0" w:color="auto"/>
              <w:left w:val="single" w:sz="8" w:space="0" w:color="auto"/>
              <w:bottom w:val="single" w:sz="4" w:space="0" w:color="000000"/>
              <w:right w:val="nil"/>
            </w:tcBorders>
            <w:vAlign w:val="center"/>
          </w:tcPr>
          <w:p w:rsidR="00230914" w:rsidRPr="003060BE" w:rsidRDefault="00230914" w:rsidP="00FF362A">
            <w:pPr>
              <w:tabs>
                <w:tab w:val="right" w:pos="2835"/>
              </w:tabs>
              <w:rPr>
                <w:b/>
                <w:bCs/>
                <w:sz w:val="16"/>
                <w:szCs w:val="16"/>
                <w:lang w:val="es-ES_tradnl"/>
              </w:rPr>
            </w:pPr>
          </w:p>
        </w:tc>
        <w:tc>
          <w:tcPr>
            <w:tcW w:w="3040" w:type="dxa"/>
            <w:tcBorders>
              <w:top w:val="nil"/>
              <w:left w:val="single" w:sz="4" w:space="0" w:color="auto"/>
              <w:right w:val="nil"/>
            </w:tcBorders>
            <w:shd w:val="clear" w:color="auto" w:fill="auto"/>
          </w:tcPr>
          <w:p w:rsidR="008D3CF3" w:rsidRDefault="008D3CF3" w:rsidP="008D3CF3">
            <w:pPr>
              <w:tabs>
                <w:tab w:val="right" w:pos="2835"/>
              </w:tabs>
              <w:rPr>
                <w:sz w:val="14"/>
                <w:szCs w:val="14"/>
                <w:lang w:val="es-ES_tradnl"/>
              </w:rPr>
            </w:pPr>
          </w:p>
          <w:p w:rsidR="00230914" w:rsidRPr="003060BE" w:rsidRDefault="00230914" w:rsidP="00FF362A">
            <w:pPr>
              <w:tabs>
                <w:tab w:val="right" w:pos="2835"/>
              </w:tabs>
              <w:spacing w:after="60"/>
              <w:rPr>
                <w:sz w:val="14"/>
                <w:szCs w:val="14"/>
                <w:lang w:val="es-ES_tradnl"/>
              </w:rPr>
            </w:pPr>
            <w:r w:rsidRPr="003060BE">
              <w:rPr>
                <w:sz w:val="14"/>
                <w:szCs w:val="14"/>
                <w:lang w:val="es-ES_tradnl"/>
              </w:rPr>
              <w:t xml:space="preserve">I.1. Mejor cooperación entre los Estados miembros en lo que atañe a la elaboración de marcos normativos internacionales equilibrados para la P.I. y fomento de </w:t>
            </w:r>
            <w:r w:rsidR="00616858">
              <w:rPr>
                <w:sz w:val="14"/>
                <w:szCs w:val="14"/>
                <w:lang w:val="es-ES_tradnl"/>
              </w:rPr>
              <w:t>acuerd</w:t>
            </w:r>
            <w:r w:rsidRPr="003060BE">
              <w:rPr>
                <w:sz w:val="14"/>
                <w:szCs w:val="14"/>
                <w:lang w:val="es-ES_tradnl"/>
              </w:rPr>
              <w:t>o</w:t>
            </w:r>
            <w:r w:rsidR="00D06458">
              <w:rPr>
                <w:sz w:val="14"/>
                <w:szCs w:val="14"/>
                <w:lang w:val="es-ES_tradnl"/>
              </w:rPr>
              <w:t>s sobre</w:t>
            </w:r>
            <w:r w:rsidR="00616858">
              <w:rPr>
                <w:sz w:val="14"/>
                <w:szCs w:val="14"/>
                <w:lang w:val="es-ES_tradnl"/>
              </w:rPr>
              <w:t xml:space="preserve"> las</w:t>
            </w:r>
            <w:r w:rsidRPr="003060BE">
              <w:rPr>
                <w:sz w:val="14"/>
                <w:szCs w:val="14"/>
                <w:lang w:val="es-ES_tradnl"/>
              </w:rPr>
              <w:t xml:space="preserve"> cuestiones específicas respecto de las que se acuerdan instrumentos internacionales. </w:t>
            </w:r>
          </w:p>
          <w:p w:rsidR="00230914" w:rsidRPr="003060BE" w:rsidRDefault="00230914" w:rsidP="00FF362A">
            <w:pPr>
              <w:tabs>
                <w:tab w:val="left" w:pos="307"/>
                <w:tab w:val="left" w:pos="2157"/>
                <w:tab w:val="right" w:pos="2835"/>
              </w:tabs>
              <w:rPr>
                <w:i/>
                <w:iCs/>
                <w:sz w:val="14"/>
                <w:szCs w:val="14"/>
                <w:lang w:val="es-ES_tradnl"/>
              </w:rPr>
            </w:pPr>
            <w:r w:rsidRPr="003060BE">
              <w:rPr>
                <w:i/>
                <w:iCs/>
                <w:sz w:val="14"/>
                <w:szCs w:val="14"/>
                <w:lang w:val="es-ES_tradnl"/>
              </w:rPr>
              <w:tab/>
              <w:t>Presupuesto propuesto 14/15:</w:t>
            </w:r>
            <w:r w:rsidRPr="003060BE">
              <w:rPr>
                <w:i/>
                <w:iCs/>
                <w:sz w:val="14"/>
                <w:szCs w:val="14"/>
                <w:lang w:val="es-ES_tradnl"/>
              </w:rPr>
              <w:tab/>
              <w:t>15.734</w:t>
            </w:r>
            <w:r w:rsidRPr="003060BE">
              <w:rPr>
                <w:i/>
                <w:iCs/>
                <w:sz w:val="14"/>
                <w:szCs w:val="14"/>
                <w:lang w:val="es-ES_tradnl"/>
              </w:rPr>
              <w:tab/>
            </w:r>
          </w:p>
          <w:p w:rsidR="00230914" w:rsidRPr="003060BE" w:rsidRDefault="00230914" w:rsidP="00FF362A">
            <w:pPr>
              <w:tabs>
                <w:tab w:val="left" w:pos="319"/>
                <w:tab w:val="left" w:pos="2157"/>
                <w:tab w:val="right" w:pos="2835"/>
              </w:tabs>
              <w:rPr>
                <w:i/>
                <w:iCs/>
                <w:color w:val="0000FF"/>
                <w:sz w:val="14"/>
                <w:szCs w:val="14"/>
                <w:lang w:val="es-ES_tradnl"/>
              </w:rPr>
            </w:pPr>
            <w:r w:rsidRPr="003060BE">
              <w:rPr>
                <w:i/>
                <w:iCs/>
                <w:sz w:val="14"/>
                <w:szCs w:val="14"/>
                <w:lang w:val="es-ES_tradnl"/>
              </w:rPr>
              <w:tab/>
            </w:r>
            <w:r w:rsidRPr="003060BE">
              <w:rPr>
                <w:i/>
                <w:iCs/>
                <w:color w:val="0000FF"/>
                <w:sz w:val="14"/>
                <w:szCs w:val="14"/>
                <w:lang w:val="es-ES_tradnl"/>
              </w:rPr>
              <w:t>Cuota de desarrollo:</w:t>
            </w:r>
            <w:r w:rsidRPr="003060BE">
              <w:rPr>
                <w:i/>
                <w:iCs/>
                <w:color w:val="0000FF"/>
                <w:sz w:val="14"/>
                <w:szCs w:val="14"/>
                <w:lang w:val="es-ES_tradnl"/>
              </w:rPr>
              <w:tab/>
            </w:r>
            <w:r w:rsidRPr="003060BE">
              <w:rPr>
                <w:i/>
                <w:iCs/>
                <w:color w:val="0000FF"/>
                <w:sz w:val="14"/>
                <w:szCs w:val="14"/>
                <w:lang w:val="es-ES_tradnl"/>
              </w:rPr>
              <w:tab/>
              <w:t>8.772</w:t>
            </w:r>
            <w:r w:rsidRPr="003060BE">
              <w:rPr>
                <w:i/>
                <w:iCs/>
                <w:color w:val="0000FF"/>
                <w:sz w:val="14"/>
                <w:szCs w:val="14"/>
                <w:lang w:val="es-ES_tradnl"/>
              </w:rPr>
              <w:tab/>
            </w:r>
          </w:p>
          <w:p w:rsidR="00230914" w:rsidRPr="003060BE" w:rsidRDefault="00230914" w:rsidP="00FF362A">
            <w:pPr>
              <w:tabs>
                <w:tab w:val="right" w:pos="2835"/>
              </w:tabs>
              <w:rPr>
                <w:color w:val="0000FF"/>
                <w:sz w:val="14"/>
                <w:szCs w:val="14"/>
                <w:lang w:val="es-ES_tradnl"/>
              </w:rPr>
            </w:pPr>
          </w:p>
          <w:p w:rsidR="00230914" w:rsidRPr="003060BE" w:rsidRDefault="00230914" w:rsidP="00FF362A">
            <w:pPr>
              <w:tabs>
                <w:tab w:val="right" w:pos="2835"/>
              </w:tabs>
              <w:rPr>
                <w:sz w:val="14"/>
                <w:szCs w:val="14"/>
                <w:lang w:val="es-ES_tradnl"/>
              </w:rPr>
            </w:pPr>
          </w:p>
          <w:p w:rsidR="00230914" w:rsidRPr="003060BE" w:rsidRDefault="00230914" w:rsidP="00FF362A">
            <w:pPr>
              <w:tabs>
                <w:tab w:val="right" w:pos="2835"/>
              </w:tabs>
              <w:spacing w:after="60"/>
              <w:rPr>
                <w:sz w:val="14"/>
                <w:szCs w:val="14"/>
                <w:lang w:val="es-ES_tradnl"/>
              </w:rPr>
            </w:pPr>
            <w:r w:rsidRPr="003060BE">
              <w:rPr>
                <w:sz w:val="14"/>
                <w:szCs w:val="14"/>
                <w:lang w:val="es-ES_tradnl"/>
              </w:rPr>
              <w:t>I.2. Marcos de P.I. adaptados y equilibrados en</w:t>
            </w:r>
            <w:r w:rsidR="009A045F">
              <w:rPr>
                <w:sz w:val="14"/>
                <w:szCs w:val="14"/>
                <w:lang w:val="es-ES_tradnl"/>
              </w:rPr>
              <w:t xml:space="preserve"> el ámbito legislativo, reglamentario</w:t>
            </w:r>
            <w:r w:rsidRPr="003060BE">
              <w:rPr>
                <w:sz w:val="14"/>
                <w:szCs w:val="14"/>
                <w:lang w:val="es-ES_tradnl"/>
              </w:rPr>
              <w:t xml:space="preserve"> y de política.</w:t>
            </w:r>
          </w:p>
          <w:p w:rsidR="00230914" w:rsidRPr="003060BE" w:rsidRDefault="00230914" w:rsidP="00FF362A">
            <w:pPr>
              <w:tabs>
                <w:tab w:val="left" w:pos="307"/>
                <w:tab w:val="left" w:pos="2157"/>
                <w:tab w:val="right" w:pos="2835"/>
              </w:tabs>
              <w:rPr>
                <w:i/>
                <w:iCs/>
                <w:sz w:val="14"/>
                <w:szCs w:val="14"/>
                <w:lang w:val="es-ES_tradnl"/>
              </w:rPr>
            </w:pPr>
            <w:r w:rsidRPr="003060BE">
              <w:rPr>
                <w:i/>
                <w:iCs/>
                <w:sz w:val="14"/>
                <w:szCs w:val="14"/>
                <w:lang w:val="es-ES_tradnl"/>
              </w:rPr>
              <w:tab/>
              <w:t>Presupuesto propuesto 14/15:</w:t>
            </w:r>
            <w:r w:rsidRPr="003060BE">
              <w:rPr>
                <w:i/>
                <w:iCs/>
                <w:sz w:val="14"/>
                <w:szCs w:val="14"/>
                <w:lang w:val="es-ES_tradnl"/>
              </w:rPr>
              <w:tab/>
              <w:t>7.900</w:t>
            </w:r>
            <w:r w:rsidRPr="003060BE">
              <w:rPr>
                <w:i/>
                <w:iCs/>
                <w:sz w:val="14"/>
                <w:szCs w:val="14"/>
                <w:lang w:val="es-ES_tradnl"/>
              </w:rPr>
              <w:tab/>
            </w:r>
          </w:p>
          <w:p w:rsidR="00230914" w:rsidRPr="003060BE" w:rsidRDefault="00230914" w:rsidP="00FF362A">
            <w:pPr>
              <w:tabs>
                <w:tab w:val="left" w:pos="307"/>
                <w:tab w:val="left" w:pos="2157"/>
                <w:tab w:val="right" w:pos="2835"/>
              </w:tabs>
              <w:rPr>
                <w:i/>
                <w:iCs/>
                <w:color w:val="0000FF"/>
                <w:sz w:val="14"/>
                <w:szCs w:val="14"/>
                <w:lang w:val="es-ES_tradnl"/>
              </w:rPr>
            </w:pPr>
            <w:r w:rsidRPr="003060BE">
              <w:rPr>
                <w:i/>
                <w:iCs/>
                <w:sz w:val="14"/>
                <w:szCs w:val="14"/>
                <w:lang w:val="es-ES_tradnl"/>
              </w:rPr>
              <w:tab/>
            </w:r>
            <w:r w:rsidRPr="003060BE">
              <w:rPr>
                <w:i/>
                <w:iCs/>
                <w:color w:val="0000FF"/>
                <w:sz w:val="14"/>
                <w:szCs w:val="14"/>
                <w:lang w:val="es-ES_tradnl"/>
              </w:rPr>
              <w:t>Cuota de desarrollo:</w:t>
            </w:r>
            <w:r w:rsidRPr="003060BE">
              <w:rPr>
                <w:i/>
                <w:iCs/>
                <w:color w:val="0000FF"/>
                <w:sz w:val="14"/>
                <w:szCs w:val="14"/>
                <w:lang w:val="es-ES_tradnl"/>
              </w:rPr>
              <w:tab/>
            </w:r>
            <w:r w:rsidRPr="003060BE">
              <w:rPr>
                <w:i/>
                <w:iCs/>
                <w:color w:val="0000FF"/>
                <w:sz w:val="14"/>
                <w:szCs w:val="14"/>
                <w:lang w:val="es-ES_tradnl"/>
              </w:rPr>
              <w:tab/>
              <w:t>7.900</w:t>
            </w:r>
            <w:r w:rsidRPr="003060BE">
              <w:rPr>
                <w:i/>
                <w:iCs/>
                <w:color w:val="0000FF"/>
                <w:sz w:val="14"/>
                <w:szCs w:val="14"/>
                <w:lang w:val="es-ES_tradnl"/>
              </w:rPr>
              <w:tab/>
            </w:r>
          </w:p>
          <w:p w:rsidR="00230914" w:rsidRPr="003060BE" w:rsidRDefault="00230914" w:rsidP="00FF362A">
            <w:pPr>
              <w:tabs>
                <w:tab w:val="right" w:pos="2835"/>
              </w:tabs>
              <w:rPr>
                <w:sz w:val="14"/>
                <w:szCs w:val="14"/>
                <w:lang w:val="es-ES_tradnl"/>
              </w:rPr>
            </w:pPr>
          </w:p>
          <w:p w:rsidR="00230914" w:rsidRPr="003060BE" w:rsidRDefault="00230914" w:rsidP="00FF362A">
            <w:pPr>
              <w:tabs>
                <w:tab w:val="right" w:pos="2835"/>
              </w:tabs>
              <w:spacing w:after="60"/>
              <w:rPr>
                <w:sz w:val="14"/>
                <w:szCs w:val="14"/>
                <w:lang w:val="es-ES_tradnl"/>
              </w:rPr>
            </w:pPr>
            <w:r w:rsidRPr="003060BE">
              <w:rPr>
                <w:sz w:val="14"/>
                <w:szCs w:val="14"/>
                <w:lang w:val="es-ES_tradnl"/>
              </w:rPr>
              <w:t>I.3. Aumento de la protección de los emblemas de Estado y de los nombres y emblemas de organizaciones intergubernamentales internacionales.</w:t>
            </w:r>
          </w:p>
          <w:p w:rsidR="00230914" w:rsidRPr="003060BE" w:rsidRDefault="00230914" w:rsidP="00FF362A">
            <w:pPr>
              <w:tabs>
                <w:tab w:val="left" w:pos="307"/>
                <w:tab w:val="left" w:pos="2157"/>
                <w:tab w:val="right" w:pos="2835"/>
              </w:tabs>
              <w:rPr>
                <w:i/>
                <w:iCs/>
                <w:sz w:val="14"/>
                <w:szCs w:val="14"/>
                <w:lang w:val="es-ES_tradnl"/>
              </w:rPr>
            </w:pPr>
            <w:r w:rsidRPr="003060BE">
              <w:rPr>
                <w:i/>
                <w:iCs/>
                <w:sz w:val="14"/>
                <w:szCs w:val="14"/>
                <w:lang w:val="es-ES_tradnl"/>
              </w:rPr>
              <w:tab/>
              <w:t>Presupuesto propuesto 14/15:</w:t>
            </w:r>
            <w:r w:rsidRPr="003060BE">
              <w:rPr>
                <w:i/>
                <w:iCs/>
                <w:sz w:val="14"/>
                <w:szCs w:val="14"/>
                <w:lang w:val="es-ES_tradnl"/>
              </w:rPr>
              <w:tab/>
              <w:t>439</w:t>
            </w:r>
            <w:r w:rsidRPr="003060BE">
              <w:rPr>
                <w:i/>
                <w:iCs/>
                <w:sz w:val="14"/>
                <w:szCs w:val="14"/>
                <w:lang w:val="es-ES_tradnl"/>
              </w:rPr>
              <w:tab/>
            </w:r>
          </w:p>
          <w:p w:rsidR="00230914" w:rsidRPr="003060BE" w:rsidRDefault="00230914" w:rsidP="00FF362A">
            <w:pPr>
              <w:tabs>
                <w:tab w:val="left" w:pos="307"/>
                <w:tab w:val="left" w:pos="2157"/>
                <w:tab w:val="right" w:pos="2835"/>
              </w:tabs>
              <w:rPr>
                <w:i/>
                <w:iCs/>
                <w:color w:val="0000FF"/>
                <w:sz w:val="14"/>
                <w:szCs w:val="14"/>
                <w:lang w:val="es-ES_tradnl"/>
              </w:rPr>
            </w:pPr>
            <w:r w:rsidRPr="003060BE">
              <w:rPr>
                <w:i/>
                <w:iCs/>
                <w:sz w:val="14"/>
                <w:szCs w:val="14"/>
                <w:lang w:val="es-ES_tradnl"/>
              </w:rPr>
              <w:tab/>
            </w:r>
            <w:r w:rsidRPr="003060BE">
              <w:rPr>
                <w:i/>
                <w:iCs/>
                <w:color w:val="0000FF"/>
                <w:sz w:val="14"/>
                <w:szCs w:val="14"/>
                <w:lang w:val="es-ES_tradnl"/>
              </w:rPr>
              <w:t>Cuota de desarrollo:</w:t>
            </w:r>
            <w:r w:rsidRPr="003060BE">
              <w:rPr>
                <w:i/>
                <w:iCs/>
                <w:color w:val="0000FF"/>
                <w:sz w:val="14"/>
                <w:szCs w:val="14"/>
                <w:lang w:val="es-ES_tradnl"/>
              </w:rPr>
              <w:tab/>
            </w:r>
            <w:r w:rsidRPr="003060BE">
              <w:rPr>
                <w:i/>
                <w:iCs/>
                <w:color w:val="0000FF"/>
                <w:sz w:val="14"/>
                <w:szCs w:val="14"/>
                <w:lang w:val="es-ES_tradnl"/>
              </w:rPr>
              <w:tab/>
              <w:t>-</w:t>
            </w:r>
          </w:p>
          <w:p w:rsidR="00230914" w:rsidRPr="003060BE" w:rsidRDefault="00230914" w:rsidP="00FF362A">
            <w:pPr>
              <w:tabs>
                <w:tab w:val="right" w:pos="2835"/>
              </w:tabs>
              <w:rPr>
                <w:sz w:val="14"/>
                <w:szCs w:val="14"/>
              </w:rPr>
            </w:pPr>
            <w:r w:rsidRPr="003060BE">
              <w:rPr>
                <w:sz w:val="14"/>
                <w:szCs w:val="14"/>
                <w:lang w:val="es-ES_tradnl"/>
              </w:rPr>
              <w:t> </w:t>
            </w:r>
            <w:r w:rsidR="00C40A11">
              <w:rPr>
                <w:noProof/>
                <w:lang w:val="en-US" w:eastAsia="en-US"/>
              </w:rPr>
              <mc:AlternateContent>
                <mc:Choice Requires="wpc">
                  <w:drawing>
                    <wp:anchor distT="0" distB="0" distL="114300" distR="114300" simplePos="0" relativeHeight="251656704" behindDoc="0" locked="0" layoutInCell="1" allowOverlap="1" wp14:anchorId="54CC5109" wp14:editId="3D4D99F7">
                      <wp:simplePos x="0" y="0"/>
                      <wp:positionH relativeFrom="character">
                        <wp:posOffset>0</wp:posOffset>
                      </wp:positionH>
                      <wp:positionV relativeFrom="line">
                        <wp:posOffset>0</wp:posOffset>
                      </wp:positionV>
                      <wp:extent cx="1828800" cy="1323340"/>
                      <wp:effectExtent l="0" t="0" r="0" b="0"/>
                      <wp:wrapNone/>
                      <wp:docPr id="191" name="Canvas 1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c:wpc>
                        </a:graphicData>
                      </a:graphic>
                      <wp14:sizeRelH relativeFrom="page">
                        <wp14:pctWidth>0</wp14:pctWidth>
                      </wp14:sizeRelH>
                      <wp14:sizeRelV relativeFrom="page">
                        <wp14:pctHeight>0</wp14:pctHeight>
                      </wp14:sizeRelV>
                    </wp:anchor>
                  </w:drawing>
                </mc:Choice>
                <mc:Fallback>
                  <w:pict>
                    <v:group id="Canvas 14" o:spid="_x0000_s1026" editas="canvas" style="position:absolute;margin-left:0;margin-top:0;width:2in;height:104.2pt;z-index:251656704;mso-position-horizontal-relative:char;mso-position-vertical-relative:line" coordsize="18288,13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8288;height:13233;visibility:visible;mso-wrap-style:square">
                        <v:fill o:detectmouseclick="t"/>
                        <v:path o:connecttype="none"/>
                      </v:shape>
                      <w10:wrap anchory="line"/>
                    </v:group>
                  </w:pict>
                </mc:Fallback>
              </mc:AlternateContent>
            </w:r>
            <w:r w:rsidR="00C40A11">
              <w:rPr>
                <w:noProof/>
                <w:lang w:val="en-US" w:eastAsia="en-US"/>
              </w:rPr>
              <mc:AlternateContent>
                <mc:Choice Requires="wps">
                  <w:drawing>
                    <wp:inline distT="0" distB="0" distL="0" distR="0" wp14:anchorId="65186E72" wp14:editId="755203D2">
                      <wp:extent cx="1828800" cy="1323975"/>
                      <wp:effectExtent l="0" t="0" r="0" b="0"/>
                      <wp:docPr id="1"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828800" cy="1323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 o:spid="_x0000_s1026" style="width:2in;height:10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" filled="f" stroked="f">
                      <o:lock v:ext="edit" aspectratio="t"/>
                      <w10:anchorlock/>
                    </v:rect>
                  </w:pict>
                </mc:Fallback>
              </mc:AlternateContent>
            </w:r>
          </w:p>
        </w:tc>
        <w:tc>
          <w:tcPr>
            <w:tcW w:w="3041" w:type="dxa"/>
            <w:tcBorders>
              <w:top w:val="nil"/>
              <w:left w:val="nil"/>
              <w:right w:val="nil"/>
            </w:tcBorders>
            <w:shd w:val="clear" w:color="auto" w:fill="auto"/>
          </w:tcPr>
          <w:p w:rsidR="008D3CF3" w:rsidRDefault="008D3CF3" w:rsidP="008D3CF3">
            <w:pPr>
              <w:tabs>
                <w:tab w:val="right" w:pos="2835"/>
              </w:tabs>
              <w:rPr>
                <w:sz w:val="14"/>
                <w:szCs w:val="14"/>
                <w:lang w:val="es-ES_tradnl"/>
              </w:rPr>
            </w:pPr>
          </w:p>
          <w:p w:rsidR="00230914" w:rsidRPr="003060BE" w:rsidRDefault="00230914" w:rsidP="00FF362A">
            <w:pPr>
              <w:tabs>
                <w:tab w:val="right" w:pos="2835"/>
              </w:tabs>
              <w:spacing w:after="60"/>
              <w:rPr>
                <w:sz w:val="14"/>
                <w:szCs w:val="14"/>
                <w:lang w:val="es-ES_tradnl"/>
              </w:rPr>
            </w:pPr>
            <w:r w:rsidRPr="003060BE">
              <w:rPr>
                <w:sz w:val="14"/>
                <w:szCs w:val="14"/>
                <w:lang w:val="es-ES_tradnl"/>
              </w:rPr>
              <w:t xml:space="preserve">II.1. Fomento del uso de la vía del PCT para la presentación de solicitudes </w:t>
            </w:r>
            <w:r w:rsidR="005C32FC">
              <w:rPr>
                <w:sz w:val="14"/>
                <w:szCs w:val="14"/>
                <w:lang w:val="es-ES_tradnl"/>
              </w:rPr>
              <w:t xml:space="preserve">internacionales </w:t>
            </w:r>
            <w:r w:rsidRPr="003060BE">
              <w:rPr>
                <w:sz w:val="14"/>
                <w:szCs w:val="14"/>
                <w:lang w:val="es-ES_tradnl"/>
              </w:rPr>
              <w:t xml:space="preserve">de patente. </w:t>
            </w:r>
          </w:p>
          <w:p w:rsidR="00230914" w:rsidRPr="003060BE" w:rsidRDefault="00230914" w:rsidP="00FF362A">
            <w:pPr>
              <w:tabs>
                <w:tab w:val="left" w:pos="348"/>
                <w:tab w:val="left" w:pos="2173"/>
                <w:tab w:val="right" w:pos="2835"/>
              </w:tabs>
              <w:rPr>
                <w:i/>
                <w:iCs/>
                <w:sz w:val="14"/>
                <w:szCs w:val="14"/>
                <w:lang w:val="es-ES_tradnl"/>
              </w:rPr>
            </w:pPr>
            <w:r w:rsidRPr="003060BE">
              <w:rPr>
                <w:i/>
                <w:iCs/>
                <w:sz w:val="14"/>
                <w:szCs w:val="14"/>
                <w:lang w:val="es-ES_tradnl"/>
              </w:rPr>
              <w:tab/>
              <w:t>Presupuesto propuesto 14/15:</w:t>
            </w:r>
            <w:r w:rsidRPr="003060BE">
              <w:rPr>
                <w:i/>
                <w:iCs/>
                <w:sz w:val="14"/>
                <w:szCs w:val="14"/>
                <w:lang w:val="es-ES_tradnl"/>
              </w:rPr>
              <w:tab/>
              <w:t>2</w:t>
            </w:r>
            <w:r w:rsidR="00616858">
              <w:rPr>
                <w:i/>
                <w:iCs/>
                <w:sz w:val="14"/>
                <w:szCs w:val="14"/>
                <w:lang w:val="es-ES_tradnl"/>
              </w:rPr>
              <w:t>4.631</w:t>
            </w:r>
            <w:r w:rsidRPr="003060BE">
              <w:rPr>
                <w:i/>
                <w:iCs/>
                <w:sz w:val="14"/>
                <w:szCs w:val="14"/>
                <w:lang w:val="es-ES_tradnl"/>
              </w:rPr>
              <w:tab/>
            </w:r>
          </w:p>
          <w:p w:rsidR="00230914" w:rsidRPr="003060BE" w:rsidRDefault="00230914" w:rsidP="00FF362A">
            <w:pPr>
              <w:tabs>
                <w:tab w:val="left" w:pos="348"/>
                <w:tab w:val="left" w:pos="2173"/>
                <w:tab w:val="right" w:pos="2835"/>
              </w:tabs>
              <w:rPr>
                <w:sz w:val="14"/>
                <w:szCs w:val="14"/>
                <w:lang w:val="es-ES_tradnl"/>
              </w:rPr>
            </w:pPr>
            <w:r w:rsidRPr="003060BE">
              <w:rPr>
                <w:i/>
                <w:iCs/>
                <w:sz w:val="14"/>
                <w:szCs w:val="14"/>
                <w:lang w:val="es-ES_tradnl"/>
              </w:rPr>
              <w:tab/>
            </w:r>
            <w:r w:rsidRPr="003060BE">
              <w:rPr>
                <w:i/>
                <w:iCs/>
                <w:color w:val="0000FF"/>
                <w:sz w:val="14"/>
                <w:szCs w:val="14"/>
                <w:lang w:val="es-ES_tradnl"/>
              </w:rPr>
              <w:t>Cuota de desarrollo:</w:t>
            </w:r>
            <w:r w:rsidRPr="003060BE">
              <w:rPr>
                <w:sz w:val="14"/>
                <w:szCs w:val="14"/>
                <w:lang w:val="es-ES_tradnl"/>
              </w:rPr>
              <w:tab/>
            </w:r>
            <w:r w:rsidRPr="003060BE">
              <w:rPr>
                <w:i/>
                <w:iCs/>
                <w:color w:val="0000FF"/>
                <w:sz w:val="14"/>
                <w:szCs w:val="14"/>
                <w:lang w:val="es-ES_tradnl"/>
              </w:rPr>
              <w:t xml:space="preserve"> </w:t>
            </w:r>
            <w:r w:rsidRPr="003060BE">
              <w:rPr>
                <w:i/>
                <w:iCs/>
                <w:color w:val="0000FF"/>
                <w:sz w:val="14"/>
                <w:szCs w:val="14"/>
                <w:lang w:val="es-ES_tradnl"/>
              </w:rPr>
              <w:tab/>
              <w:t xml:space="preserve"> </w:t>
            </w:r>
            <w:r w:rsidR="00616858">
              <w:rPr>
                <w:i/>
                <w:iCs/>
                <w:color w:val="0000FF"/>
                <w:sz w:val="14"/>
                <w:szCs w:val="14"/>
                <w:lang w:val="es-ES_tradnl"/>
              </w:rPr>
              <w:t>5</w:t>
            </w:r>
            <w:r w:rsidRPr="003060BE">
              <w:rPr>
                <w:i/>
                <w:iCs/>
                <w:color w:val="0000FF"/>
                <w:sz w:val="14"/>
                <w:szCs w:val="14"/>
                <w:lang w:val="es-ES_tradnl"/>
              </w:rPr>
              <w:t>.</w:t>
            </w:r>
            <w:r w:rsidR="00616858">
              <w:rPr>
                <w:i/>
                <w:iCs/>
                <w:color w:val="0000FF"/>
                <w:sz w:val="14"/>
                <w:szCs w:val="14"/>
                <w:lang w:val="es-ES_tradnl"/>
              </w:rPr>
              <w:t>112</w:t>
            </w:r>
            <w:r w:rsidRPr="003060BE">
              <w:rPr>
                <w:sz w:val="14"/>
                <w:szCs w:val="14"/>
                <w:lang w:val="es-ES_tradnl"/>
              </w:rPr>
              <w:t xml:space="preserve">     </w:t>
            </w:r>
          </w:p>
          <w:p w:rsidR="00230914" w:rsidRPr="003060BE" w:rsidRDefault="00230914" w:rsidP="00FF362A">
            <w:pPr>
              <w:tabs>
                <w:tab w:val="right" w:pos="2835"/>
              </w:tabs>
              <w:rPr>
                <w:sz w:val="14"/>
                <w:szCs w:val="14"/>
                <w:lang w:val="es-ES_tradnl"/>
              </w:rPr>
            </w:pPr>
          </w:p>
          <w:p w:rsidR="00230914" w:rsidRPr="003060BE" w:rsidRDefault="00230914" w:rsidP="00FF362A">
            <w:pPr>
              <w:autoSpaceDE w:val="0"/>
              <w:autoSpaceDN w:val="0"/>
              <w:adjustRightInd w:val="0"/>
              <w:rPr>
                <w:sz w:val="14"/>
                <w:szCs w:val="14"/>
                <w:lang w:val="es-ES_tradnl" w:bidi="th-TH"/>
              </w:rPr>
            </w:pPr>
            <w:r w:rsidRPr="003060BE">
              <w:rPr>
                <w:sz w:val="14"/>
                <w:szCs w:val="14"/>
              </w:rPr>
              <w:t xml:space="preserve">II.2. </w:t>
            </w:r>
            <w:r w:rsidRPr="003060BE">
              <w:rPr>
                <w:sz w:val="14"/>
                <w:szCs w:val="14"/>
                <w:lang w:val="es-ES_tradnl"/>
              </w:rPr>
              <w:t>Mejora del sistema del PCT.</w:t>
            </w:r>
            <w:r w:rsidRPr="003060BE">
              <w:rPr>
                <w:sz w:val="14"/>
                <w:szCs w:val="14"/>
                <w:lang w:val="es-ES_tradnl" w:bidi="th-TH"/>
              </w:rPr>
              <w:t xml:space="preserve"> </w:t>
            </w:r>
          </w:p>
          <w:p w:rsidR="00230914" w:rsidRPr="003060BE" w:rsidRDefault="00230914" w:rsidP="00FF362A">
            <w:pPr>
              <w:tabs>
                <w:tab w:val="left" w:pos="348"/>
                <w:tab w:val="left" w:pos="2173"/>
                <w:tab w:val="right" w:pos="2835"/>
              </w:tabs>
              <w:rPr>
                <w:i/>
                <w:iCs/>
                <w:sz w:val="14"/>
                <w:szCs w:val="14"/>
                <w:lang w:val="es-ES_tradnl"/>
              </w:rPr>
            </w:pPr>
            <w:r w:rsidRPr="003060BE">
              <w:rPr>
                <w:i/>
                <w:iCs/>
                <w:sz w:val="14"/>
                <w:szCs w:val="14"/>
                <w:lang w:val="es-ES_tradnl"/>
              </w:rPr>
              <w:tab/>
              <w:t>Presupuesto propuesto 14/15:</w:t>
            </w:r>
            <w:r w:rsidRPr="003060BE">
              <w:rPr>
                <w:i/>
                <w:iCs/>
                <w:sz w:val="14"/>
                <w:szCs w:val="14"/>
                <w:lang w:val="es-ES_tradnl"/>
              </w:rPr>
              <w:tab/>
              <w:t>3.106</w:t>
            </w:r>
          </w:p>
          <w:p w:rsidR="00230914" w:rsidRPr="003060BE" w:rsidRDefault="00230914" w:rsidP="00FF362A">
            <w:pPr>
              <w:tabs>
                <w:tab w:val="left" w:pos="348"/>
                <w:tab w:val="left" w:pos="2173"/>
                <w:tab w:val="right" w:pos="2835"/>
              </w:tabs>
              <w:rPr>
                <w:sz w:val="14"/>
                <w:szCs w:val="14"/>
                <w:lang w:val="es-ES_tradnl"/>
              </w:rPr>
            </w:pPr>
            <w:r w:rsidRPr="003060BE">
              <w:rPr>
                <w:i/>
                <w:iCs/>
                <w:sz w:val="14"/>
                <w:szCs w:val="14"/>
                <w:lang w:val="es-ES_tradnl"/>
              </w:rPr>
              <w:tab/>
            </w:r>
            <w:r w:rsidRPr="003060BE">
              <w:rPr>
                <w:i/>
                <w:iCs/>
                <w:color w:val="0000FF"/>
                <w:sz w:val="14"/>
                <w:szCs w:val="14"/>
                <w:lang w:val="es-ES_tradnl"/>
              </w:rPr>
              <w:t>Cuota de desarrollo:</w:t>
            </w:r>
            <w:r w:rsidRPr="003060BE">
              <w:rPr>
                <w:sz w:val="14"/>
                <w:szCs w:val="14"/>
                <w:lang w:val="es-ES_tradnl"/>
              </w:rPr>
              <w:tab/>
            </w:r>
            <w:r w:rsidRPr="003060BE">
              <w:rPr>
                <w:color w:val="0000FF"/>
                <w:sz w:val="14"/>
                <w:szCs w:val="14"/>
                <w:lang w:val="es-ES_tradnl"/>
              </w:rPr>
              <w:tab/>
            </w:r>
            <w:r w:rsidRPr="003060BE">
              <w:rPr>
                <w:i/>
                <w:iCs/>
                <w:color w:val="0000FF"/>
                <w:sz w:val="14"/>
                <w:szCs w:val="14"/>
                <w:lang w:val="es-ES_tradnl"/>
              </w:rPr>
              <w:t>206</w:t>
            </w:r>
            <w:r w:rsidRPr="003060BE">
              <w:rPr>
                <w:color w:val="0000FF"/>
                <w:sz w:val="14"/>
                <w:szCs w:val="14"/>
                <w:lang w:val="es-ES_tradnl"/>
              </w:rPr>
              <w:tab/>
            </w:r>
            <w:r w:rsidRPr="003060BE">
              <w:rPr>
                <w:sz w:val="14"/>
                <w:szCs w:val="14"/>
                <w:lang w:val="es-ES_tradnl"/>
              </w:rPr>
              <w:t xml:space="preserve">   </w:t>
            </w:r>
          </w:p>
          <w:p w:rsidR="00230914" w:rsidRPr="003060BE" w:rsidRDefault="00230914" w:rsidP="00FF362A">
            <w:pPr>
              <w:tabs>
                <w:tab w:val="left" w:pos="348"/>
                <w:tab w:val="left" w:pos="1525"/>
                <w:tab w:val="right" w:pos="2835"/>
              </w:tabs>
              <w:rPr>
                <w:sz w:val="14"/>
                <w:szCs w:val="14"/>
                <w:lang w:val="es-ES_tradnl"/>
              </w:rPr>
            </w:pPr>
          </w:p>
          <w:p w:rsidR="00230914" w:rsidRPr="003060BE" w:rsidRDefault="00230914" w:rsidP="00616858">
            <w:pPr>
              <w:tabs>
                <w:tab w:val="right" w:pos="2835"/>
              </w:tabs>
              <w:spacing w:after="60"/>
              <w:rPr>
                <w:sz w:val="14"/>
                <w:szCs w:val="14"/>
                <w:lang w:val="es-ES_tradnl" w:bidi="th-TH"/>
              </w:rPr>
            </w:pPr>
            <w:r w:rsidRPr="003060BE">
              <w:rPr>
                <w:sz w:val="14"/>
                <w:szCs w:val="14"/>
              </w:rPr>
              <w:t xml:space="preserve">II.3. </w:t>
            </w:r>
            <w:r w:rsidRPr="003060BE">
              <w:rPr>
                <w:sz w:val="14"/>
                <w:szCs w:val="14"/>
                <w:lang w:val="es-ES_tradnl"/>
              </w:rPr>
              <w:t>Mejora de la productividad y de la calidad de los servicios en las operaciones del PCT.</w:t>
            </w:r>
          </w:p>
          <w:p w:rsidR="00230914" w:rsidRPr="003060BE" w:rsidRDefault="00230914" w:rsidP="00FF362A">
            <w:pPr>
              <w:tabs>
                <w:tab w:val="left" w:pos="335"/>
                <w:tab w:val="left" w:pos="2173"/>
                <w:tab w:val="right" w:pos="2835"/>
              </w:tabs>
              <w:rPr>
                <w:i/>
                <w:iCs/>
                <w:sz w:val="14"/>
                <w:szCs w:val="14"/>
                <w:lang w:val="es-ES_tradnl"/>
              </w:rPr>
            </w:pPr>
            <w:r w:rsidRPr="003060BE">
              <w:rPr>
                <w:i/>
                <w:iCs/>
                <w:sz w:val="14"/>
                <w:szCs w:val="14"/>
                <w:lang w:val="es-ES_tradnl"/>
              </w:rPr>
              <w:tab/>
              <w:t>Presupuesto propuesto 14/15:</w:t>
            </w:r>
            <w:r w:rsidRPr="003060BE">
              <w:rPr>
                <w:i/>
                <w:iCs/>
                <w:sz w:val="14"/>
                <w:szCs w:val="14"/>
                <w:lang w:val="es-ES_tradnl"/>
              </w:rPr>
              <w:tab/>
              <w:t>172.856</w:t>
            </w:r>
            <w:r w:rsidRPr="003060BE">
              <w:rPr>
                <w:i/>
                <w:iCs/>
                <w:sz w:val="14"/>
                <w:szCs w:val="14"/>
                <w:lang w:val="es-ES_tradnl"/>
              </w:rPr>
              <w:tab/>
            </w:r>
          </w:p>
          <w:p w:rsidR="00230914" w:rsidRPr="003060BE" w:rsidRDefault="00230914" w:rsidP="00FF362A">
            <w:pPr>
              <w:tabs>
                <w:tab w:val="left" w:pos="335"/>
                <w:tab w:val="left" w:pos="2315"/>
                <w:tab w:val="right" w:pos="2835"/>
              </w:tabs>
              <w:rPr>
                <w:color w:val="0000FF"/>
                <w:sz w:val="14"/>
                <w:szCs w:val="14"/>
                <w:lang w:val="es-ES_tradnl"/>
              </w:rPr>
            </w:pPr>
            <w:r w:rsidRPr="003060BE">
              <w:rPr>
                <w:i/>
                <w:iCs/>
                <w:sz w:val="14"/>
                <w:szCs w:val="14"/>
                <w:lang w:val="es-ES_tradnl"/>
              </w:rPr>
              <w:tab/>
            </w:r>
            <w:r w:rsidRPr="003060BE">
              <w:rPr>
                <w:iCs/>
                <w:color w:val="0000FF"/>
                <w:sz w:val="14"/>
                <w:szCs w:val="14"/>
                <w:lang w:val="es-ES_tradnl"/>
              </w:rPr>
              <w:t>Cuota de desarrollo:</w:t>
            </w:r>
            <w:r w:rsidRPr="003060BE">
              <w:rPr>
                <w:sz w:val="14"/>
                <w:szCs w:val="14"/>
                <w:lang w:val="es-ES_tradnl"/>
              </w:rPr>
              <w:t xml:space="preserve"> </w:t>
            </w:r>
            <w:r w:rsidRPr="003060BE">
              <w:rPr>
                <w:sz w:val="14"/>
                <w:szCs w:val="14"/>
                <w:lang w:val="es-ES_tradnl"/>
              </w:rPr>
              <w:tab/>
            </w:r>
            <w:r w:rsidRPr="003060BE">
              <w:rPr>
                <w:sz w:val="14"/>
                <w:szCs w:val="14"/>
                <w:lang w:val="es-ES_tradnl"/>
              </w:rPr>
              <w:tab/>
            </w:r>
            <w:r w:rsidRPr="003060BE">
              <w:rPr>
                <w:color w:val="0000FF"/>
                <w:sz w:val="14"/>
                <w:szCs w:val="14"/>
                <w:lang w:val="es-ES_tradnl"/>
              </w:rPr>
              <w:t>-</w:t>
            </w:r>
          </w:p>
          <w:p w:rsidR="00230914" w:rsidRPr="003060BE" w:rsidRDefault="00230914" w:rsidP="00FF362A">
            <w:pPr>
              <w:tabs>
                <w:tab w:val="right" w:pos="2835"/>
              </w:tabs>
              <w:rPr>
                <w:sz w:val="14"/>
                <w:szCs w:val="14"/>
                <w:lang w:val="es-ES_tradnl"/>
              </w:rPr>
            </w:pPr>
          </w:p>
          <w:p w:rsidR="00230914" w:rsidRPr="003060BE" w:rsidRDefault="00230914" w:rsidP="00FF362A">
            <w:pPr>
              <w:tabs>
                <w:tab w:val="right" w:pos="2835"/>
              </w:tabs>
              <w:spacing w:after="60"/>
              <w:rPr>
                <w:sz w:val="14"/>
                <w:szCs w:val="14"/>
                <w:lang w:val="es-ES_tradnl"/>
              </w:rPr>
            </w:pPr>
            <w:r w:rsidRPr="003060BE">
              <w:rPr>
                <w:sz w:val="14"/>
                <w:szCs w:val="14"/>
                <w:lang w:val="es-ES_tradnl"/>
              </w:rPr>
              <w:t>II.4. Ampliación y mejora del uso del sistema de La Haya por los países en desarrollo y los PMA, entre otros.</w:t>
            </w:r>
          </w:p>
          <w:p w:rsidR="00230914" w:rsidRPr="003060BE" w:rsidRDefault="00230914" w:rsidP="00FF362A">
            <w:pPr>
              <w:tabs>
                <w:tab w:val="left" w:pos="323"/>
                <w:tab w:val="left" w:pos="2173"/>
                <w:tab w:val="right" w:pos="2835"/>
              </w:tabs>
              <w:rPr>
                <w:i/>
                <w:iCs/>
                <w:sz w:val="14"/>
                <w:szCs w:val="14"/>
                <w:lang w:val="es-ES_tradnl"/>
              </w:rPr>
            </w:pPr>
            <w:r w:rsidRPr="003060BE">
              <w:rPr>
                <w:i/>
                <w:iCs/>
                <w:sz w:val="14"/>
                <w:szCs w:val="14"/>
                <w:lang w:val="es-ES_tradnl"/>
              </w:rPr>
              <w:tab/>
              <w:t>Presupuesto propuesto 14/15:</w:t>
            </w:r>
            <w:r w:rsidRPr="003060BE">
              <w:rPr>
                <w:i/>
                <w:iCs/>
                <w:sz w:val="14"/>
                <w:szCs w:val="14"/>
                <w:lang w:val="es-ES_tradnl"/>
              </w:rPr>
              <w:tab/>
              <w:t>5.953</w:t>
            </w:r>
            <w:r w:rsidRPr="003060BE">
              <w:rPr>
                <w:i/>
                <w:iCs/>
                <w:sz w:val="14"/>
                <w:szCs w:val="14"/>
                <w:lang w:val="es-ES_tradnl"/>
              </w:rPr>
              <w:tab/>
              <w:t xml:space="preserve"> </w:t>
            </w:r>
          </w:p>
          <w:p w:rsidR="00230914" w:rsidRPr="003060BE" w:rsidRDefault="00230914" w:rsidP="00FF362A">
            <w:pPr>
              <w:tabs>
                <w:tab w:val="left" w:pos="323"/>
                <w:tab w:val="left" w:pos="2315"/>
                <w:tab w:val="right" w:pos="2835"/>
              </w:tabs>
              <w:rPr>
                <w:i/>
                <w:iCs/>
                <w:sz w:val="14"/>
                <w:szCs w:val="14"/>
                <w:lang w:val="es-ES_tradnl"/>
              </w:rPr>
            </w:pPr>
            <w:r w:rsidRPr="003060BE">
              <w:rPr>
                <w:i/>
                <w:iCs/>
                <w:sz w:val="14"/>
                <w:szCs w:val="14"/>
                <w:lang w:val="es-ES_tradnl"/>
              </w:rPr>
              <w:tab/>
            </w:r>
            <w:r w:rsidRPr="003060BE">
              <w:rPr>
                <w:i/>
                <w:iCs/>
                <w:color w:val="0000FF"/>
                <w:sz w:val="14"/>
                <w:szCs w:val="14"/>
                <w:lang w:val="es-ES_tradnl"/>
              </w:rPr>
              <w:t>Cuota de desarrollo:</w:t>
            </w:r>
            <w:r w:rsidRPr="003060BE">
              <w:rPr>
                <w:color w:val="0000FF"/>
                <w:sz w:val="14"/>
                <w:szCs w:val="14"/>
                <w:lang w:val="es-ES_tradnl"/>
              </w:rPr>
              <w:t xml:space="preserve">     </w:t>
            </w:r>
            <w:r w:rsidRPr="003060BE">
              <w:rPr>
                <w:color w:val="0000FF"/>
                <w:sz w:val="14"/>
                <w:szCs w:val="14"/>
                <w:lang w:val="es-ES_tradnl"/>
              </w:rPr>
              <w:tab/>
            </w:r>
            <w:r w:rsidRPr="003060BE">
              <w:rPr>
                <w:color w:val="0000FF"/>
                <w:sz w:val="14"/>
                <w:szCs w:val="14"/>
                <w:lang w:val="es-ES_tradnl"/>
              </w:rPr>
              <w:tab/>
            </w:r>
            <w:r w:rsidRPr="003060BE">
              <w:rPr>
                <w:i/>
                <w:iCs/>
                <w:color w:val="0000FF"/>
                <w:sz w:val="14"/>
                <w:szCs w:val="14"/>
                <w:lang w:val="es-ES_tradnl"/>
              </w:rPr>
              <w:t>354</w:t>
            </w:r>
            <w:r w:rsidRPr="003060BE">
              <w:rPr>
                <w:i/>
                <w:iCs/>
                <w:sz w:val="14"/>
                <w:szCs w:val="14"/>
                <w:lang w:val="es-ES_tradnl"/>
              </w:rPr>
              <w:t xml:space="preserve"> </w:t>
            </w:r>
          </w:p>
          <w:p w:rsidR="00230914" w:rsidRPr="003060BE" w:rsidRDefault="00230914" w:rsidP="00FF362A">
            <w:pPr>
              <w:tabs>
                <w:tab w:val="left" w:pos="1525"/>
                <w:tab w:val="right" w:pos="2835"/>
              </w:tabs>
              <w:rPr>
                <w:sz w:val="14"/>
                <w:szCs w:val="14"/>
                <w:lang w:val="es-ES_tradnl"/>
              </w:rPr>
            </w:pPr>
          </w:p>
          <w:p w:rsidR="00230914" w:rsidRPr="003060BE" w:rsidRDefault="00230914" w:rsidP="00FF362A">
            <w:pPr>
              <w:tabs>
                <w:tab w:val="right" w:pos="2835"/>
              </w:tabs>
              <w:spacing w:after="60"/>
              <w:rPr>
                <w:sz w:val="14"/>
                <w:szCs w:val="14"/>
                <w:lang w:val="es-ES_tradnl"/>
              </w:rPr>
            </w:pPr>
            <w:r w:rsidRPr="003060BE">
              <w:rPr>
                <w:sz w:val="14"/>
                <w:szCs w:val="14"/>
              </w:rPr>
              <w:t xml:space="preserve">II.5. </w:t>
            </w:r>
            <w:r w:rsidRPr="003060BE">
              <w:rPr>
                <w:sz w:val="14"/>
                <w:szCs w:val="14"/>
                <w:lang w:val="es-ES_tradnl"/>
              </w:rPr>
              <w:t>Mejora de la productividad y de la calidad de los servicios en las operaciones del sistema de La Haya.</w:t>
            </w:r>
          </w:p>
          <w:p w:rsidR="00230914" w:rsidRPr="003060BE" w:rsidRDefault="00230914" w:rsidP="00FF362A">
            <w:pPr>
              <w:tabs>
                <w:tab w:val="left" w:pos="360"/>
                <w:tab w:val="left" w:pos="2173"/>
                <w:tab w:val="right" w:pos="2835"/>
              </w:tabs>
              <w:rPr>
                <w:i/>
                <w:iCs/>
                <w:sz w:val="14"/>
                <w:szCs w:val="14"/>
                <w:lang w:val="es-ES_tradnl"/>
              </w:rPr>
            </w:pPr>
            <w:r w:rsidRPr="003060BE">
              <w:rPr>
                <w:i/>
                <w:iCs/>
                <w:sz w:val="14"/>
                <w:szCs w:val="14"/>
                <w:lang w:val="es-ES_tradnl"/>
              </w:rPr>
              <w:tab/>
              <w:t>Presupuesto propuesto 14/15:</w:t>
            </w:r>
            <w:r w:rsidRPr="003060BE">
              <w:rPr>
                <w:i/>
                <w:iCs/>
                <w:sz w:val="14"/>
                <w:szCs w:val="14"/>
                <w:lang w:val="es-ES_tradnl"/>
              </w:rPr>
              <w:tab/>
              <w:t>2.351</w:t>
            </w:r>
            <w:r w:rsidRPr="003060BE">
              <w:rPr>
                <w:i/>
                <w:iCs/>
                <w:sz w:val="14"/>
                <w:szCs w:val="14"/>
                <w:lang w:val="es-ES_tradnl"/>
              </w:rPr>
              <w:tab/>
            </w:r>
          </w:p>
          <w:p w:rsidR="00230914" w:rsidRPr="003060BE" w:rsidRDefault="00230914" w:rsidP="00FF362A">
            <w:pPr>
              <w:tabs>
                <w:tab w:val="left" w:pos="360"/>
                <w:tab w:val="left" w:pos="2315"/>
                <w:tab w:val="right" w:pos="2835"/>
              </w:tabs>
              <w:rPr>
                <w:color w:val="0000FF"/>
                <w:sz w:val="14"/>
                <w:szCs w:val="14"/>
                <w:lang w:val="es-ES_tradnl"/>
              </w:rPr>
            </w:pPr>
            <w:r w:rsidRPr="003060BE">
              <w:rPr>
                <w:i/>
                <w:iCs/>
                <w:sz w:val="14"/>
                <w:szCs w:val="14"/>
                <w:lang w:val="es-ES_tradnl"/>
              </w:rPr>
              <w:tab/>
            </w:r>
            <w:r w:rsidRPr="003060BE">
              <w:rPr>
                <w:iCs/>
                <w:color w:val="0000FF"/>
                <w:sz w:val="14"/>
                <w:szCs w:val="14"/>
                <w:lang w:val="es-ES_tradnl"/>
              </w:rPr>
              <w:t>Cuota de desarrollo:</w:t>
            </w:r>
            <w:r w:rsidRPr="003060BE">
              <w:rPr>
                <w:sz w:val="14"/>
                <w:szCs w:val="14"/>
                <w:lang w:val="es-ES_tradnl"/>
              </w:rPr>
              <w:t xml:space="preserve"> </w:t>
            </w:r>
            <w:r w:rsidRPr="003060BE">
              <w:rPr>
                <w:sz w:val="14"/>
                <w:szCs w:val="14"/>
                <w:lang w:val="es-ES_tradnl"/>
              </w:rPr>
              <w:tab/>
            </w:r>
            <w:r w:rsidRPr="003060BE">
              <w:rPr>
                <w:color w:val="0000FF"/>
                <w:sz w:val="14"/>
                <w:szCs w:val="14"/>
                <w:lang w:val="es-ES_tradnl"/>
              </w:rPr>
              <w:tab/>
              <w:t>-</w:t>
            </w:r>
          </w:p>
          <w:p w:rsidR="00230914" w:rsidRPr="003060BE" w:rsidRDefault="00230914" w:rsidP="00FF362A">
            <w:pPr>
              <w:tabs>
                <w:tab w:val="left" w:pos="1525"/>
                <w:tab w:val="right" w:pos="2835"/>
              </w:tabs>
              <w:rPr>
                <w:sz w:val="14"/>
                <w:szCs w:val="14"/>
                <w:lang w:val="es-ES_tradnl"/>
              </w:rPr>
            </w:pPr>
          </w:p>
          <w:p w:rsidR="00230914" w:rsidRPr="003060BE" w:rsidRDefault="00230914" w:rsidP="00FF362A">
            <w:pPr>
              <w:tabs>
                <w:tab w:val="left" w:pos="1525"/>
                <w:tab w:val="right" w:pos="2835"/>
              </w:tabs>
              <w:spacing w:after="60"/>
              <w:rPr>
                <w:sz w:val="14"/>
                <w:szCs w:val="14"/>
                <w:lang w:val="es-ES_tradnl"/>
              </w:rPr>
            </w:pPr>
            <w:r w:rsidRPr="003060BE">
              <w:rPr>
                <w:sz w:val="14"/>
                <w:szCs w:val="14"/>
                <w:lang w:val="es-ES_tradnl"/>
              </w:rPr>
              <w:t>II. 6. Ampliación y mejora del uso de los sistemas de Madrid y de Lisboa por los países en desarrollo y los PMA, entre otros.</w:t>
            </w:r>
          </w:p>
          <w:p w:rsidR="00230914" w:rsidRPr="003060BE" w:rsidRDefault="00230914" w:rsidP="00FF362A">
            <w:pPr>
              <w:tabs>
                <w:tab w:val="left" w:pos="335"/>
                <w:tab w:val="left" w:pos="2173"/>
                <w:tab w:val="right" w:pos="2835"/>
              </w:tabs>
              <w:rPr>
                <w:i/>
                <w:iCs/>
                <w:sz w:val="14"/>
                <w:szCs w:val="14"/>
                <w:lang w:val="es-ES_tradnl"/>
              </w:rPr>
            </w:pPr>
            <w:r w:rsidRPr="003060BE">
              <w:rPr>
                <w:i/>
                <w:iCs/>
                <w:sz w:val="14"/>
                <w:szCs w:val="14"/>
                <w:lang w:val="es-ES_tradnl"/>
              </w:rPr>
              <w:tab/>
              <w:t>Presupuesto propuesto 14/15:</w:t>
            </w:r>
            <w:r w:rsidRPr="003060BE">
              <w:rPr>
                <w:i/>
                <w:iCs/>
                <w:sz w:val="14"/>
                <w:szCs w:val="14"/>
                <w:lang w:val="es-ES_tradnl"/>
              </w:rPr>
              <w:tab/>
              <w:t>15.878</w:t>
            </w:r>
            <w:r w:rsidRPr="003060BE">
              <w:rPr>
                <w:i/>
                <w:iCs/>
                <w:sz w:val="14"/>
                <w:szCs w:val="14"/>
                <w:lang w:val="es-ES_tradnl"/>
              </w:rPr>
              <w:tab/>
            </w:r>
          </w:p>
          <w:p w:rsidR="00230914" w:rsidRPr="003060BE" w:rsidRDefault="00230914" w:rsidP="00FF362A">
            <w:pPr>
              <w:tabs>
                <w:tab w:val="left" w:pos="335"/>
                <w:tab w:val="left" w:pos="2173"/>
                <w:tab w:val="right" w:pos="2835"/>
              </w:tabs>
              <w:rPr>
                <w:i/>
                <w:iCs/>
                <w:color w:val="0000FF"/>
                <w:sz w:val="14"/>
                <w:szCs w:val="14"/>
                <w:lang w:val="es-ES_tradnl"/>
              </w:rPr>
            </w:pPr>
            <w:r w:rsidRPr="003060BE">
              <w:rPr>
                <w:i/>
                <w:iCs/>
                <w:sz w:val="14"/>
                <w:szCs w:val="14"/>
                <w:lang w:val="es-ES_tradnl"/>
              </w:rPr>
              <w:tab/>
            </w:r>
            <w:r w:rsidRPr="003060BE">
              <w:rPr>
                <w:i/>
                <w:iCs/>
                <w:color w:val="0000FF"/>
                <w:sz w:val="14"/>
                <w:szCs w:val="14"/>
                <w:lang w:val="es-ES_tradnl"/>
              </w:rPr>
              <w:t>Cuota de desarrollo:</w:t>
            </w:r>
            <w:r w:rsidRPr="003060BE">
              <w:rPr>
                <w:i/>
                <w:iCs/>
                <w:sz w:val="14"/>
                <w:szCs w:val="14"/>
                <w:lang w:val="es-ES_tradnl"/>
              </w:rPr>
              <w:tab/>
            </w:r>
            <w:r w:rsidRPr="003060BE">
              <w:rPr>
                <w:i/>
                <w:iCs/>
                <w:color w:val="0000FF"/>
                <w:sz w:val="14"/>
                <w:szCs w:val="14"/>
                <w:lang w:val="es-ES_tradnl"/>
              </w:rPr>
              <w:tab/>
              <w:t xml:space="preserve"> 6.377</w:t>
            </w:r>
          </w:p>
          <w:p w:rsidR="00230914" w:rsidRPr="003060BE" w:rsidRDefault="00230914" w:rsidP="00FF362A">
            <w:pPr>
              <w:tabs>
                <w:tab w:val="left" w:pos="1525"/>
                <w:tab w:val="right" w:pos="2835"/>
              </w:tabs>
              <w:rPr>
                <w:sz w:val="14"/>
                <w:szCs w:val="14"/>
                <w:lang w:val="es-ES_tradnl"/>
              </w:rPr>
            </w:pPr>
          </w:p>
          <w:p w:rsidR="00230914" w:rsidRPr="003060BE" w:rsidRDefault="00230914" w:rsidP="00FF362A">
            <w:pPr>
              <w:tabs>
                <w:tab w:val="left" w:pos="1525"/>
                <w:tab w:val="right" w:pos="2835"/>
              </w:tabs>
              <w:spacing w:after="60"/>
              <w:rPr>
                <w:sz w:val="14"/>
                <w:szCs w:val="14"/>
                <w:lang w:val="es-ES_tradnl"/>
              </w:rPr>
            </w:pPr>
            <w:r w:rsidRPr="003060BE">
              <w:rPr>
                <w:sz w:val="14"/>
                <w:szCs w:val="14"/>
              </w:rPr>
              <w:t xml:space="preserve">II.7. </w:t>
            </w:r>
            <w:r w:rsidRPr="003060BE">
              <w:rPr>
                <w:sz w:val="14"/>
                <w:szCs w:val="14"/>
                <w:lang w:val="es-ES_tradnl"/>
              </w:rPr>
              <w:t>Mejora de la productividad y de la calidad de los servicios en las operaciones de los sistemas de Madrid y de Lisboa.</w:t>
            </w:r>
          </w:p>
          <w:p w:rsidR="00230914" w:rsidRPr="003060BE" w:rsidRDefault="00230914" w:rsidP="00FF362A">
            <w:pPr>
              <w:tabs>
                <w:tab w:val="left" w:pos="331"/>
                <w:tab w:val="left" w:pos="2173"/>
                <w:tab w:val="right" w:pos="2835"/>
              </w:tabs>
              <w:rPr>
                <w:i/>
                <w:iCs/>
                <w:sz w:val="14"/>
                <w:szCs w:val="14"/>
                <w:lang w:val="es-ES_tradnl"/>
              </w:rPr>
            </w:pPr>
            <w:r w:rsidRPr="003060BE">
              <w:rPr>
                <w:i/>
                <w:iCs/>
                <w:sz w:val="14"/>
                <w:szCs w:val="14"/>
                <w:lang w:val="es-ES_tradnl"/>
              </w:rPr>
              <w:tab/>
              <w:t>Presupuesto propuesto 14/15:</w:t>
            </w:r>
            <w:r w:rsidRPr="003060BE">
              <w:rPr>
                <w:i/>
                <w:iCs/>
                <w:sz w:val="14"/>
                <w:szCs w:val="14"/>
                <w:lang w:val="es-ES_tradnl"/>
              </w:rPr>
              <w:tab/>
              <w:t>40.932</w:t>
            </w:r>
            <w:r w:rsidRPr="003060BE">
              <w:rPr>
                <w:i/>
                <w:iCs/>
                <w:sz w:val="14"/>
                <w:szCs w:val="14"/>
                <w:lang w:val="es-ES_tradnl"/>
              </w:rPr>
              <w:tab/>
            </w:r>
          </w:p>
          <w:p w:rsidR="00230914" w:rsidRPr="003060BE" w:rsidRDefault="00230914" w:rsidP="00FF362A">
            <w:pPr>
              <w:tabs>
                <w:tab w:val="left" w:pos="331"/>
                <w:tab w:val="left" w:pos="2173"/>
                <w:tab w:val="right" w:pos="2835"/>
              </w:tabs>
              <w:rPr>
                <w:i/>
                <w:iCs/>
                <w:color w:val="0000FF"/>
                <w:sz w:val="14"/>
                <w:szCs w:val="14"/>
                <w:lang w:val="es-ES_tradnl"/>
              </w:rPr>
            </w:pPr>
            <w:r w:rsidRPr="003060BE">
              <w:rPr>
                <w:i/>
                <w:iCs/>
                <w:sz w:val="14"/>
                <w:szCs w:val="14"/>
                <w:lang w:val="es-ES_tradnl"/>
              </w:rPr>
              <w:tab/>
            </w:r>
            <w:r w:rsidRPr="003060BE">
              <w:rPr>
                <w:i/>
                <w:iCs/>
                <w:color w:val="0000FF"/>
                <w:sz w:val="14"/>
                <w:szCs w:val="14"/>
                <w:lang w:val="es-ES_tradnl"/>
              </w:rPr>
              <w:t>Cuota de desarrollo:</w:t>
            </w:r>
            <w:r w:rsidRPr="003060BE">
              <w:rPr>
                <w:i/>
                <w:iCs/>
                <w:sz w:val="14"/>
                <w:szCs w:val="14"/>
                <w:lang w:val="es-ES_tradnl"/>
              </w:rPr>
              <w:tab/>
            </w:r>
            <w:r w:rsidRPr="003060BE">
              <w:rPr>
                <w:i/>
                <w:iCs/>
                <w:color w:val="0000FF"/>
                <w:sz w:val="14"/>
                <w:szCs w:val="14"/>
                <w:lang w:val="es-ES_tradnl"/>
              </w:rPr>
              <w:tab/>
              <w:t>958</w:t>
            </w:r>
          </w:p>
          <w:p w:rsidR="00230914" w:rsidRPr="003060BE" w:rsidRDefault="00230914" w:rsidP="00FF362A">
            <w:pPr>
              <w:tabs>
                <w:tab w:val="left" w:pos="1525"/>
                <w:tab w:val="right" w:pos="2835"/>
              </w:tabs>
              <w:rPr>
                <w:i/>
                <w:iCs/>
                <w:color w:val="0000FF"/>
                <w:sz w:val="14"/>
                <w:szCs w:val="14"/>
                <w:lang w:val="es-ES_tradnl"/>
              </w:rPr>
            </w:pPr>
          </w:p>
          <w:p w:rsidR="00230914" w:rsidRPr="003060BE" w:rsidRDefault="00230914" w:rsidP="00FF362A">
            <w:pPr>
              <w:tabs>
                <w:tab w:val="left" w:pos="1525"/>
                <w:tab w:val="right" w:pos="2835"/>
              </w:tabs>
              <w:spacing w:after="60"/>
              <w:rPr>
                <w:sz w:val="14"/>
                <w:szCs w:val="14"/>
                <w:lang w:val="es-ES_tradnl"/>
              </w:rPr>
            </w:pPr>
            <w:r w:rsidRPr="003060BE">
              <w:rPr>
                <w:sz w:val="14"/>
                <w:szCs w:val="14"/>
              </w:rPr>
              <w:t xml:space="preserve">II.8. </w:t>
            </w:r>
            <w:r w:rsidRPr="003060BE">
              <w:rPr>
                <w:sz w:val="14"/>
                <w:szCs w:val="14"/>
                <w:lang w:val="es-ES_tradnl"/>
              </w:rPr>
              <w:t>Las controversias nacionales e internacionales en materia de P.I. se evitan o resuelven cada vez con más frecuencia mediante procedimientos de mediación, arbitraje y demás métodos de solución extrajudicial de controversias.</w:t>
            </w:r>
          </w:p>
          <w:p w:rsidR="00230914" w:rsidRPr="003060BE" w:rsidRDefault="00230914" w:rsidP="00FF362A">
            <w:pPr>
              <w:tabs>
                <w:tab w:val="left" w:pos="348"/>
                <w:tab w:val="left" w:pos="2173"/>
                <w:tab w:val="right" w:pos="2835"/>
              </w:tabs>
              <w:rPr>
                <w:i/>
                <w:iCs/>
                <w:sz w:val="14"/>
                <w:szCs w:val="14"/>
                <w:lang w:val="es-ES_tradnl"/>
              </w:rPr>
            </w:pPr>
            <w:r w:rsidRPr="003060BE">
              <w:rPr>
                <w:i/>
                <w:iCs/>
                <w:sz w:val="14"/>
                <w:szCs w:val="14"/>
                <w:lang w:val="es-ES_tradnl"/>
              </w:rPr>
              <w:tab/>
              <w:t>Presupuesto propuesto 14/15:</w:t>
            </w:r>
            <w:r w:rsidRPr="003060BE">
              <w:rPr>
                <w:i/>
                <w:iCs/>
                <w:sz w:val="14"/>
                <w:szCs w:val="14"/>
                <w:lang w:val="es-ES_tradnl"/>
              </w:rPr>
              <w:tab/>
              <w:t>3.557</w:t>
            </w:r>
            <w:r w:rsidRPr="003060BE">
              <w:rPr>
                <w:i/>
                <w:iCs/>
                <w:sz w:val="14"/>
                <w:szCs w:val="14"/>
                <w:lang w:val="es-ES_tradnl"/>
              </w:rPr>
              <w:tab/>
            </w:r>
          </w:p>
          <w:p w:rsidR="00230914" w:rsidRPr="003060BE" w:rsidRDefault="00230914" w:rsidP="00FF362A">
            <w:pPr>
              <w:tabs>
                <w:tab w:val="left" w:pos="335"/>
                <w:tab w:val="left" w:pos="2173"/>
                <w:tab w:val="right" w:pos="2835"/>
              </w:tabs>
              <w:rPr>
                <w:i/>
                <w:iCs/>
                <w:sz w:val="14"/>
                <w:szCs w:val="14"/>
                <w:lang w:val="es-ES_tradnl"/>
              </w:rPr>
            </w:pPr>
            <w:r w:rsidRPr="003060BE">
              <w:rPr>
                <w:i/>
                <w:iCs/>
                <w:sz w:val="14"/>
                <w:szCs w:val="14"/>
                <w:lang w:val="es-ES_tradnl"/>
              </w:rPr>
              <w:tab/>
            </w:r>
            <w:r w:rsidRPr="003060BE">
              <w:rPr>
                <w:i/>
                <w:iCs/>
                <w:color w:val="0000FF"/>
                <w:sz w:val="14"/>
                <w:szCs w:val="14"/>
                <w:lang w:val="es-ES_tradnl"/>
              </w:rPr>
              <w:t>Cuota de desarrollo:</w:t>
            </w:r>
            <w:r w:rsidRPr="003060BE">
              <w:rPr>
                <w:i/>
                <w:iCs/>
                <w:sz w:val="14"/>
                <w:szCs w:val="14"/>
                <w:lang w:val="es-ES_tradnl"/>
              </w:rPr>
              <w:tab/>
            </w:r>
            <w:r w:rsidRPr="003060BE">
              <w:rPr>
                <w:i/>
                <w:iCs/>
                <w:color w:val="0000FF"/>
                <w:sz w:val="14"/>
                <w:szCs w:val="14"/>
                <w:lang w:val="es-ES_tradnl"/>
              </w:rPr>
              <w:tab/>
              <w:t>291</w:t>
            </w:r>
          </w:p>
          <w:p w:rsidR="00230914" w:rsidRPr="003060BE" w:rsidRDefault="00230914" w:rsidP="00FF362A">
            <w:pPr>
              <w:tabs>
                <w:tab w:val="left" w:pos="1525"/>
                <w:tab w:val="right" w:pos="2835"/>
              </w:tabs>
              <w:rPr>
                <w:i/>
                <w:iCs/>
                <w:sz w:val="14"/>
                <w:szCs w:val="14"/>
                <w:lang w:val="es-ES_tradnl"/>
              </w:rPr>
            </w:pPr>
          </w:p>
          <w:p w:rsidR="00230914" w:rsidRPr="003060BE" w:rsidRDefault="00230914" w:rsidP="00FF362A">
            <w:pPr>
              <w:tabs>
                <w:tab w:val="left" w:pos="1525"/>
                <w:tab w:val="right" w:pos="2835"/>
              </w:tabs>
              <w:spacing w:after="60"/>
              <w:rPr>
                <w:sz w:val="14"/>
                <w:szCs w:val="14"/>
                <w:lang w:val="es-ES_tradnl"/>
              </w:rPr>
            </w:pPr>
            <w:r w:rsidRPr="003060BE">
              <w:rPr>
                <w:sz w:val="14"/>
                <w:szCs w:val="14"/>
              </w:rPr>
              <w:t xml:space="preserve">II.9. </w:t>
            </w:r>
            <w:r w:rsidRPr="003060BE">
              <w:rPr>
                <w:sz w:val="14"/>
                <w:szCs w:val="14"/>
                <w:lang w:val="es-ES_tradnl"/>
              </w:rPr>
              <w:t>Protección eficaz de la propiedad intelectual en los gTLD y los ccTLD.</w:t>
            </w:r>
          </w:p>
          <w:p w:rsidR="00230914" w:rsidRPr="003060BE" w:rsidRDefault="00230914" w:rsidP="00FF362A">
            <w:pPr>
              <w:tabs>
                <w:tab w:val="left" w:pos="335"/>
                <w:tab w:val="left" w:pos="2173"/>
                <w:tab w:val="right" w:pos="2835"/>
              </w:tabs>
              <w:rPr>
                <w:i/>
                <w:iCs/>
                <w:sz w:val="14"/>
                <w:szCs w:val="14"/>
                <w:lang w:val="es-ES_tradnl"/>
              </w:rPr>
            </w:pPr>
            <w:r w:rsidRPr="003060BE">
              <w:rPr>
                <w:i/>
                <w:iCs/>
                <w:sz w:val="14"/>
                <w:szCs w:val="14"/>
                <w:lang w:val="es-ES_tradnl"/>
              </w:rPr>
              <w:tab/>
              <w:t>Presupuesto propuesto 14/15:</w:t>
            </w:r>
            <w:r w:rsidRPr="003060BE">
              <w:rPr>
                <w:i/>
                <w:iCs/>
                <w:sz w:val="14"/>
                <w:szCs w:val="14"/>
                <w:lang w:val="es-ES_tradnl"/>
              </w:rPr>
              <w:tab/>
              <w:t>7.889</w:t>
            </w:r>
            <w:r w:rsidRPr="003060BE">
              <w:rPr>
                <w:i/>
                <w:iCs/>
                <w:sz w:val="14"/>
                <w:szCs w:val="14"/>
                <w:lang w:val="es-ES_tradnl"/>
              </w:rPr>
              <w:tab/>
            </w:r>
          </w:p>
          <w:p w:rsidR="00230914" w:rsidRPr="003060BE" w:rsidRDefault="00230914" w:rsidP="00FF362A">
            <w:pPr>
              <w:tabs>
                <w:tab w:val="left" w:pos="335"/>
                <w:tab w:val="left" w:pos="2173"/>
                <w:tab w:val="right" w:pos="2835"/>
              </w:tabs>
              <w:rPr>
                <w:i/>
                <w:iCs/>
                <w:color w:val="0000FF"/>
                <w:sz w:val="14"/>
                <w:szCs w:val="14"/>
                <w:lang w:val="es-ES_tradnl"/>
              </w:rPr>
            </w:pPr>
            <w:r w:rsidRPr="003060BE">
              <w:rPr>
                <w:i/>
                <w:iCs/>
                <w:sz w:val="14"/>
                <w:szCs w:val="14"/>
                <w:lang w:val="es-ES_tradnl"/>
              </w:rPr>
              <w:tab/>
            </w:r>
            <w:r w:rsidRPr="003060BE">
              <w:rPr>
                <w:i/>
                <w:iCs/>
                <w:color w:val="0000FF"/>
                <w:sz w:val="14"/>
                <w:szCs w:val="14"/>
                <w:lang w:val="es-ES_tradnl"/>
              </w:rPr>
              <w:t>Cuota de desarrollo:</w:t>
            </w:r>
            <w:r w:rsidRPr="003060BE">
              <w:rPr>
                <w:i/>
                <w:iCs/>
                <w:sz w:val="14"/>
                <w:szCs w:val="14"/>
                <w:lang w:val="es-ES_tradnl"/>
              </w:rPr>
              <w:tab/>
            </w:r>
            <w:r w:rsidRPr="003060BE">
              <w:rPr>
                <w:i/>
                <w:iCs/>
                <w:color w:val="0000FF"/>
                <w:sz w:val="14"/>
                <w:szCs w:val="14"/>
                <w:lang w:val="es-ES_tradnl"/>
              </w:rPr>
              <w:tab/>
              <w:t>169</w:t>
            </w:r>
          </w:p>
          <w:p w:rsidR="00230914" w:rsidRPr="003060BE" w:rsidRDefault="00230914" w:rsidP="00FF362A">
            <w:pPr>
              <w:tabs>
                <w:tab w:val="left" w:pos="1525"/>
                <w:tab w:val="right" w:pos="2835"/>
              </w:tabs>
              <w:rPr>
                <w:i/>
                <w:iCs/>
                <w:sz w:val="14"/>
                <w:szCs w:val="14"/>
                <w:lang w:val="es-ES_tradnl"/>
              </w:rPr>
            </w:pPr>
          </w:p>
        </w:tc>
        <w:tc>
          <w:tcPr>
            <w:tcW w:w="3043" w:type="dxa"/>
            <w:tcBorders>
              <w:top w:val="nil"/>
              <w:left w:val="nil"/>
              <w:right w:val="nil"/>
            </w:tcBorders>
            <w:shd w:val="clear" w:color="auto" w:fill="auto"/>
          </w:tcPr>
          <w:p w:rsidR="008D3CF3" w:rsidRDefault="008D3CF3" w:rsidP="008D3CF3">
            <w:pPr>
              <w:tabs>
                <w:tab w:val="right" w:pos="2835"/>
              </w:tabs>
              <w:rPr>
                <w:sz w:val="14"/>
                <w:szCs w:val="14"/>
                <w:lang w:val="es-ES_tradnl"/>
              </w:rPr>
            </w:pPr>
          </w:p>
          <w:p w:rsidR="00230914" w:rsidRPr="003060BE" w:rsidRDefault="00230914" w:rsidP="00FF362A">
            <w:pPr>
              <w:tabs>
                <w:tab w:val="right" w:pos="2835"/>
              </w:tabs>
              <w:spacing w:after="60"/>
              <w:rPr>
                <w:sz w:val="14"/>
                <w:szCs w:val="14"/>
                <w:lang w:val="es-ES_tradnl"/>
              </w:rPr>
            </w:pPr>
            <w:r w:rsidRPr="003060BE">
              <w:rPr>
                <w:sz w:val="14"/>
                <w:szCs w:val="14"/>
                <w:lang w:val="es-ES_tradnl"/>
              </w:rPr>
              <w:t xml:space="preserve">III.1. Estrategias y planes nacionales de innovación y de P.I. que estén en sintonía con los objetivos nacionales de desarrollo. </w:t>
            </w:r>
          </w:p>
          <w:p w:rsidR="00230914" w:rsidRPr="003060BE" w:rsidRDefault="00230914" w:rsidP="00FF362A">
            <w:pPr>
              <w:tabs>
                <w:tab w:val="left" w:pos="346"/>
                <w:tab w:val="left" w:pos="2189"/>
                <w:tab w:val="right" w:pos="2835"/>
              </w:tabs>
              <w:rPr>
                <w:i/>
                <w:iCs/>
                <w:sz w:val="14"/>
                <w:szCs w:val="14"/>
                <w:lang w:val="es-ES_tradnl"/>
              </w:rPr>
            </w:pPr>
            <w:r w:rsidRPr="003060BE">
              <w:rPr>
                <w:i/>
                <w:iCs/>
                <w:sz w:val="14"/>
                <w:szCs w:val="14"/>
                <w:lang w:val="es-ES_tradnl"/>
              </w:rPr>
              <w:tab/>
              <w:t>Presupuesto propuesto 14/15:</w:t>
            </w:r>
            <w:r w:rsidRPr="003060BE">
              <w:rPr>
                <w:i/>
                <w:iCs/>
                <w:sz w:val="14"/>
                <w:szCs w:val="14"/>
                <w:lang w:val="es-ES_tradnl"/>
              </w:rPr>
              <w:tab/>
              <w:t>13.530</w:t>
            </w:r>
            <w:r w:rsidRPr="003060BE">
              <w:rPr>
                <w:i/>
                <w:iCs/>
                <w:sz w:val="14"/>
                <w:szCs w:val="14"/>
                <w:lang w:val="es-ES_tradnl"/>
              </w:rPr>
              <w:tab/>
            </w:r>
          </w:p>
          <w:p w:rsidR="00230914" w:rsidRPr="003060BE" w:rsidRDefault="00230914" w:rsidP="00FF362A">
            <w:pPr>
              <w:tabs>
                <w:tab w:val="left" w:pos="350"/>
                <w:tab w:val="right" w:pos="2835"/>
              </w:tabs>
              <w:rPr>
                <w:i/>
                <w:iCs/>
                <w:color w:val="0000FF"/>
                <w:sz w:val="14"/>
                <w:szCs w:val="14"/>
                <w:lang w:val="es-ES_tradnl"/>
              </w:rPr>
            </w:pPr>
            <w:r w:rsidRPr="003060BE">
              <w:rPr>
                <w:i/>
                <w:iCs/>
                <w:sz w:val="14"/>
                <w:szCs w:val="14"/>
                <w:lang w:val="es-ES_tradnl"/>
              </w:rPr>
              <w:tab/>
            </w:r>
            <w:r w:rsidRPr="003060BE">
              <w:rPr>
                <w:i/>
                <w:iCs/>
                <w:color w:val="0000FF"/>
                <w:sz w:val="14"/>
                <w:szCs w:val="14"/>
                <w:lang w:val="es-ES_tradnl"/>
              </w:rPr>
              <w:t>Cuota de desarrollo:</w:t>
            </w:r>
            <w:r w:rsidRPr="003060BE">
              <w:rPr>
                <w:i/>
                <w:iCs/>
                <w:color w:val="0000FF"/>
                <w:sz w:val="14"/>
                <w:szCs w:val="14"/>
                <w:lang w:val="es-ES_tradnl"/>
              </w:rPr>
              <w:tab/>
              <w:t>13.530</w:t>
            </w:r>
          </w:p>
          <w:p w:rsidR="00230914" w:rsidRPr="003060BE" w:rsidRDefault="00230914" w:rsidP="00FF362A">
            <w:pPr>
              <w:tabs>
                <w:tab w:val="right" w:pos="2835"/>
              </w:tabs>
              <w:rPr>
                <w:sz w:val="14"/>
                <w:szCs w:val="14"/>
                <w:lang w:val="es-ES_tradnl"/>
              </w:rPr>
            </w:pPr>
          </w:p>
          <w:p w:rsidR="00230914" w:rsidRPr="003060BE" w:rsidRDefault="00230914" w:rsidP="00FF362A">
            <w:pPr>
              <w:tabs>
                <w:tab w:val="right" w:pos="2835"/>
              </w:tabs>
              <w:spacing w:after="60"/>
              <w:rPr>
                <w:sz w:val="14"/>
                <w:szCs w:val="14"/>
                <w:lang w:val="es-ES_tradnl"/>
              </w:rPr>
            </w:pPr>
            <w:r w:rsidRPr="003060BE">
              <w:rPr>
                <w:sz w:val="14"/>
                <w:szCs w:val="14"/>
              </w:rPr>
              <w:t xml:space="preserve">III.2. </w:t>
            </w:r>
            <w:r w:rsidRPr="003060BE">
              <w:rPr>
                <w:sz w:val="14"/>
                <w:szCs w:val="14"/>
                <w:lang w:val="es-ES_tradnl"/>
              </w:rPr>
              <w:t>Mejora de las capacidades en el ámbito de los recursos humanos para hacer frente al amplio espectro de exigencias que supone la utilización eficaz de la P.I. en aras del desarrollo en los países en desarrollo, PMA y países con economías en transición.</w:t>
            </w:r>
          </w:p>
          <w:p w:rsidR="00230914" w:rsidRPr="003060BE" w:rsidRDefault="00230914" w:rsidP="00FF362A">
            <w:pPr>
              <w:tabs>
                <w:tab w:val="left" w:pos="325"/>
                <w:tab w:val="left" w:pos="2189"/>
                <w:tab w:val="right" w:pos="2835"/>
              </w:tabs>
              <w:rPr>
                <w:i/>
                <w:iCs/>
                <w:sz w:val="14"/>
                <w:szCs w:val="14"/>
                <w:lang w:val="es-ES_tradnl"/>
              </w:rPr>
            </w:pPr>
            <w:r w:rsidRPr="003060BE">
              <w:rPr>
                <w:i/>
                <w:iCs/>
                <w:sz w:val="14"/>
                <w:szCs w:val="14"/>
                <w:lang w:val="es-ES_tradnl"/>
              </w:rPr>
              <w:tab/>
              <w:t>Presupuesto propuesto 14/15:</w:t>
            </w:r>
            <w:r w:rsidRPr="003060BE">
              <w:rPr>
                <w:i/>
                <w:iCs/>
                <w:sz w:val="14"/>
                <w:szCs w:val="14"/>
                <w:lang w:val="es-ES_tradnl"/>
              </w:rPr>
              <w:tab/>
              <w:t>3</w:t>
            </w:r>
            <w:r w:rsidR="00616858">
              <w:rPr>
                <w:i/>
                <w:iCs/>
                <w:sz w:val="14"/>
                <w:szCs w:val="14"/>
                <w:lang w:val="es-ES_tradnl"/>
              </w:rPr>
              <w:t>6.289</w:t>
            </w:r>
            <w:r w:rsidRPr="003060BE">
              <w:rPr>
                <w:i/>
                <w:iCs/>
                <w:sz w:val="14"/>
                <w:szCs w:val="14"/>
                <w:lang w:val="es-ES_tradnl"/>
              </w:rPr>
              <w:tab/>
            </w:r>
          </w:p>
          <w:p w:rsidR="00230914" w:rsidRPr="003060BE" w:rsidRDefault="00230914" w:rsidP="00FF362A">
            <w:pPr>
              <w:tabs>
                <w:tab w:val="left" w:pos="350"/>
                <w:tab w:val="left" w:pos="2189"/>
                <w:tab w:val="right" w:pos="2835"/>
              </w:tabs>
              <w:rPr>
                <w:i/>
                <w:iCs/>
                <w:color w:val="0000FF"/>
                <w:sz w:val="14"/>
                <w:szCs w:val="14"/>
                <w:lang w:val="es-ES_tradnl"/>
              </w:rPr>
            </w:pPr>
            <w:r w:rsidRPr="003060BE">
              <w:rPr>
                <w:i/>
                <w:iCs/>
                <w:sz w:val="14"/>
                <w:szCs w:val="14"/>
                <w:lang w:val="es-ES_tradnl"/>
              </w:rPr>
              <w:tab/>
            </w:r>
            <w:r w:rsidRPr="003060BE">
              <w:rPr>
                <w:i/>
                <w:iCs/>
                <w:color w:val="0000FF"/>
                <w:sz w:val="14"/>
                <w:szCs w:val="14"/>
                <w:lang w:val="es-ES_tradnl"/>
              </w:rPr>
              <w:t>Cuota de desarrollo:</w:t>
            </w:r>
            <w:r w:rsidRPr="003060BE">
              <w:rPr>
                <w:i/>
                <w:iCs/>
                <w:sz w:val="14"/>
                <w:szCs w:val="14"/>
                <w:lang w:val="es-ES_tradnl"/>
              </w:rPr>
              <w:tab/>
            </w:r>
            <w:r w:rsidRPr="003060BE">
              <w:rPr>
                <w:i/>
                <w:iCs/>
                <w:color w:val="0000FF"/>
                <w:sz w:val="14"/>
                <w:szCs w:val="14"/>
                <w:lang w:val="es-ES_tradnl"/>
              </w:rPr>
              <w:tab/>
              <w:t>35</w:t>
            </w:r>
            <w:r w:rsidR="00616858">
              <w:rPr>
                <w:i/>
                <w:iCs/>
                <w:color w:val="0000FF"/>
                <w:sz w:val="14"/>
                <w:szCs w:val="14"/>
                <w:lang w:val="es-ES_tradnl"/>
              </w:rPr>
              <w:t>.692</w:t>
            </w:r>
          </w:p>
          <w:p w:rsidR="00230914" w:rsidRPr="003060BE" w:rsidRDefault="00230914" w:rsidP="00FF362A">
            <w:pPr>
              <w:tabs>
                <w:tab w:val="right" w:pos="2835"/>
              </w:tabs>
              <w:rPr>
                <w:sz w:val="14"/>
                <w:szCs w:val="14"/>
                <w:lang w:val="es-ES_tradnl"/>
              </w:rPr>
            </w:pPr>
          </w:p>
          <w:p w:rsidR="00230914" w:rsidRPr="003060BE" w:rsidRDefault="00230914" w:rsidP="00FF362A">
            <w:pPr>
              <w:tabs>
                <w:tab w:val="right" w:pos="2835"/>
              </w:tabs>
              <w:spacing w:after="60"/>
              <w:rPr>
                <w:sz w:val="14"/>
                <w:szCs w:val="14"/>
              </w:rPr>
            </w:pPr>
            <w:r w:rsidRPr="003060BE">
              <w:rPr>
                <w:sz w:val="14"/>
                <w:szCs w:val="14"/>
                <w:lang w:val="es-ES_tradnl"/>
              </w:rPr>
              <w:t>III.3.  Incorporación de las recomendaciones de la Agenda para el Desarrollo en la labor de la OMPI.</w:t>
            </w:r>
          </w:p>
          <w:p w:rsidR="00230914" w:rsidRPr="003060BE" w:rsidRDefault="00230914" w:rsidP="00FF362A">
            <w:pPr>
              <w:tabs>
                <w:tab w:val="left" w:pos="325"/>
                <w:tab w:val="left" w:pos="2189"/>
                <w:tab w:val="right" w:pos="2888"/>
              </w:tabs>
              <w:rPr>
                <w:i/>
                <w:iCs/>
                <w:sz w:val="14"/>
                <w:szCs w:val="14"/>
                <w:lang w:val="es-ES_tradnl"/>
              </w:rPr>
            </w:pPr>
            <w:r w:rsidRPr="003060BE">
              <w:rPr>
                <w:i/>
                <w:iCs/>
                <w:sz w:val="14"/>
                <w:szCs w:val="14"/>
              </w:rPr>
              <w:tab/>
            </w:r>
            <w:r w:rsidRPr="003060BE">
              <w:rPr>
                <w:i/>
                <w:iCs/>
                <w:sz w:val="14"/>
                <w:szCs w:val="14"/>
                <w:lang w:val="es-ES_tradnl"/>
              </w:rPr>
              <w:t>Presupuesto propuesto 14/15:</w:t>
            </w:r>
            <w:r w:rsidRPr="003060BE">
              <w:rPr>
                <w:i/>
                <w:iCs/>
                <w:sz w:val="14"/>
                <w:szCs w:val="14"/>
                <w:lang w:val="es-ES_tradnl"/>
              </w:rPr>
              <w:tab/>
              <w:t>4.</w:t>
            </w:r>
            <w:r w:rsidR="00616858">
              <w:rPr>
                <w:i/>
                <w:iCs/>
                <w:sz w:val="14"/>
                <w:szCs w:val="14"/>
                <w:lang w:val="es-ES_tradnl"/>
              </w:rPr>
              <w:t>19</w:t>
            </w:r>
            <w:r w:rsidRPr="003060BE">
              <w:rPr>
                <w:i/>
                <w:iCs/>
                <w:sz w:val="14"/>
                <w:szCs w:val="14"/>
                <w:lang w:val="es-ES_tradnl"/>
              </w:rPr>
              <w:t>9</w:t>
            </w:r>
          </w:p>
          <w:p w:rsidR="00230914" w:rsidRPr="003060BE" w:rsidRDefault="00230914" w:rsidP="00FF362A">
            <w:pPr>
              <w:tabs>
                <w:tab w:val="left" w:pos="325"/>
                <w:tab w:val="right" w:pos="2888"/>
              </w:tabs>
              <w:rPr>
                <w:i/>
                <w:iCs/>
                <w:color w:val="0000FF"/>
                <w:sz w:val="14"/>
                <w:szCs w:val="14"/>
                <w:lang w:val="es-ES_tradnl"/>
              </w:rPr>
            </w:pPr>
            <w:r w:rsidRPr="003060BE">
              <w:rPr>
                <w:i/>
                <w:iCs/>
                <w:sz w:val="14"/>
                <w:szCs w:val="14"/>
                <w:lang w:val="es-ES_tradnl"/>
              </w:rPr>
              <w:tab/>
            </w:r>
            <w:r w:rsidRPr="003060BE">
              <w:rPr>
                <w:i/>
                <w:iCs/>
                <w:color w:val="0000FF"/>
                <w:sz w:val="14"/>
                <w:szCs w:val="14"/>
                <w:lang w:val="es-ES_tradnl"/>
              </w:rPr>
              <w:t>Cuota de desarrollo:</w:t>
            </w:r>
            <w:r w:rsidRPr="003060BE">
              <w:rPr>
                <w:i/>
                <w:iCs/>
                <w:sz w:val="14"/>
                <w:szCs w:val="14"/>
                <w:lang w:val="es-ES_tradnl"/>
              </w:rPr>
              <w:tab/>
            </w:r>
            <w:r w:rsidRPr="003060BE">
              <w:rPr>
                <w:i/>
                <w:iCs/>
                <w:color w:val="0000FF"/>
                <w:sz w:val="14"/>
                <w:szCs w:val="14"/>
                <w:lang w:val="es-ES_tradnl"/>
              </w:rPr>
              <w:t>4.</w:t>
            </w:r>
            <w:r w:rsidR="00616858">
              <w:rPr>
                <w:i/>
                <w:iCs/>
                <w:color w:val="0000FF"/>
                <w:sz w:val="14"/>
                <w:szCs w:val="14"/>
                <w:lang w:val="es-ES_tradnl"/>
              </w:rPr>
              <w:t>19</w:t>
            </w:r>
            <w:r w:rsidRPr="003060BE">
              <w:rPr>
                <w:i/>
                <w:iCs/>
                <w:color w:val="0000FF"/>
                <w:sz w:val="14"/>
                <w:szCs w:val="14"/>
                <w:lang w:val="es-ES_tradnl"/>
              </w:rPr>
              <w:t>9</w:t>
            </w:r>
          </w:p>
          <w:p w:rsidR="00230914" w:rsidRPr="003060BE" w:rsidRDefault="00230914" w:rsidP="00FF362A">
            <w:pPr>
              <w:tabs>
                <w:tab w:val="right" w:pos="2835"/>
              </w:tabs>
              <w:rPr>
                <w:sz w:val="14"/>
                <w:szCs w:val="14"/>
                <w:lang w:val="es-ES_tradnl"/>
              </w:rPr>
            </w:pPr>
          </w:p>
          <w:p w:rsidR="00230914" w:rsidRPr="003060BE" w:rsidRDefault="00230914" w:rsidP="00FF362A">
            <w:pPr>
              <w:tabs>
                <w:tab w:val="right" w:pos="2835"/>
              </w:tabs>
              <w:spacing w:after="60"/>
              <w:rPr>
                <w:sz w:val="14"/>
                <w:szCs w:val="14"/>
              </w:rPr>
            </w:pPr>
            <w:r w:rsidRPr="003060BE">
              <w:rPr>
                <w:sz w:val="14"/>
                <w:szCs w:val="14"/>
                <w:lang w:val="es-ES_tradnl"/>
              </w:rPr>
              <w:t>III.4. Fortalecimiento de los mecanismos de cooperación y de los programas adaptados a las necesidades de los países en desarrollo y los PMA.</w:t>
            </w:r>
          </w:p>
          <w:p w:rsidR="00230914" w:rsidRPr="003060BE" w:rsidRDefault="00230914" w:rsidP="00FF362A">
            <w:pPr>
              <w:tabs>
                <w:tab w:val="left" w:pos="338"/>
                <w:tab w:val="left" w:pos="2189"/>
                <w:tab w:val="right" w:pos="2835"/>
              </w:tabs>
              <w:rPr>
                <w:i/>
                <w:iCs/>
                <w:sz w:val="14"/>
                <w:szCs w:val="14"/>
                <w:lang w:val="es-ES_tradnl"/>
              </w:rPr>
            </w:pPr>
            <w:r w:rsidRPr="003060BE">
              <w:rPr>
                <w:i/>
                <w:iCs/>
                <w:sz w:val="14"/>
                <w:szCs w:val="14"/>
              </w:rPr>
              <w:tab/>
            </w:r>
            <w:r w:rsidRPr="003060BE">
              <w:rPr>
                <w:i/>
                <w:iCs/>
                <w:sz w:val="14"/>
                <w:szCs w:val="14"/>
                <w:lang w:val="es-ES_tradnl"/>
              </w:rPr>
              <w:t>Presupuesto propuesto 14/15:</w:t>
            </w:r>
            <w:r w:rsidRPr="003060BE">
              <w:rPr>
                <w:i/>
                <w:iCs/>
                <w:sz w:val="14"/>
                <w:szCs w:val="14"/>
                <w:lang w:val="es-ES_tradnl"/>
              </w:rPr>
              <w:tab/>
              <w:t>5.480</w:t>
            </w:r>
            <w:r w:rsidRPr="003060BE">
              <w:rPr>
                <w:i/>
                <w:iCs/>
                <w:sz w:val="14"/>
                <w:szCs w:val="14"/>
                <w:lang w:val="es-ES_tradnl"/>
              </w:rPr>
              <w:tab/>
            </w:r>
          </w:p>
          <w:p w:rsidR="00230914" w:rsidRPr="003060BE" w:rsidRDefault="00230914" w:rsidP="00FF362A">
            <w:pPr>
              <w:tabs>
                <w:tab w:val="left" w:pos="338"/>
                <w:tab w:val="left" w:pos="2189"/>
                <w:tab w:val="right" w:pos="2835"/>
              </w:tabs>
              <w:rPr>
                <w:i/>
                <w:iCs/>
                <w:color w:val="0000FF"/>
                <w:sz w:val="14"/>
                <w:szCs w:val="14"/>
                <w:lang w:val="es-ES_tradnl"/>
              </w:rPr>
            </w:pPr>
            <w:r w:rsidRPr="003060BE">
              <w:rPr>
                <w:i/>
                <w:iCs/>
                <w:sz w:val="14"/>
                <w:szCs w:val="14"/>
                <w:lang w:val="es-ES_tradnl"/>
              </w:rPr>
              <w:tab/>
            </w:r>
            <w:r w:rsidRPr="003060BE">
              <w:rPr>
                <w:i/>
                <w:iCs/>
                <w:color w:val="0000FF"/>
                <w:sz w:val="14"/>
                <w:szCs w:val="14"/>
                <w:lang w:val="es-ES_tradnl"/>
              </w:rPr>
              <w:t>Cuota de desarrollo:</w:t>
            </w:r>
            <w:r w:rsidRPr="003060BE">
              <w:rPr>
                <w:i/>
                <w:iCs/>
                <w:sz w:val="14"/>
                <w:szCs w:val="14"/>
                <w:lang w:val="es-ES_tradnl"/>
              </w:rPr>
              <w:tab/>
            </w:r>
            <w:r w:rsidRPr="003060BE">
              <w:rPr>
                <w:i/>
                <w:iCs/>
                <w:sz w:val="14"/>
                <w:szCs w:val="14"/>
                <w:lang w:val="es-ES_tradnl"/>
              </w:rPr>
              <w:tab/>
            </w:r>
            <w:r w:rsidRPr="003060BE">
              <w:rPr>
                <w:i/>
                <w:iCs/>
                <w:color w:val="0000FF"/>
                <w:sz w:val="14"/>
                <w:szCs w:val="14"/>
                <w:lang w:val="es-ES_tradnl"/>
              </w:rPr>
              <w:t>5.480</w:t>
            </w:r>
          </w:p>
          <w:p w:rsidR="00230914" w:rsidRPr="003060BE" w:rsidRDefault="00230914" w:rsidP="00FF362A">
            <w:pPr>
              <w:tabs>
                <w:tab w:val="left" w:pos="1525"/>
                <w:tab w:val="right" w:pos="2835"/>
              </w:tabs>
              <w:rPr>
                <w:sz w:val="14"/>
                <w:szCs w:val="14"/>
                <w:lang w:val="es-ES_tradnl"/>
              </w:rPr>
            </w:pPr>
          </w:p>
          <w:p w:rsidR="00230914" w:rsidRDefault="00616858" w:rsidP="00616858">
            <w:pPr>
              <w:tabs>
                <w:tab w:val="right" w:pos="2835"/>
              </w:tabs>
              <w:spacing w:after="60"/>
              <w:rPr>
                <w:sz w:val="14"/>
                <w:szCs w:val="14"/>
                <w:lang w:val="es-ES_tradnl"/>
              </w:rPr>
            </w:pPr>
            <w:r w:rsidRPr="00616858">
              <w:rPr>
                <w:sz w:val="14"/>
                <w:szCs w:val="14"/>
                <w:lang w:val="es-ES_tradnl"/>
              </w:rPr>
              <w:t>III.5 Mejor comprensión de la Agenda para el Desarrollo por los Estados miembros, las OIG, la sociedad civil y demás partes interesadas</w:t>
            </w:r>
            <w:r>
              <w:rPr>
                <w:sz w:val="14"/>
                <w:szCs w:val="14"/>
                <w:lang w:val="es-ES_tradnl"/>
              </w:rPr>
              <w:t>.</w:t>
            </w:r>
          </w:p>
          <w:p w:rsidR="00616858" w:rsidRPr="003060BE" w:rsidRDefault="00616858" w:rsidP="00616858">
            <w:pPr>
              <w:tabs>
                <w:tab w:val="left" w:pos="338"/>
                <w:tab w:val="left" w:pos="2189"/>
                <w:tab w:val="right" w:pos="2835"/>
              </w:tabs>
              <w:rPr>
                <w:i/>
                <w:iCs/>
                <w:sz w:val="14"/>
                <w:szCs w:val="14"/>
                <w:lang w:val="es-ES_tradnl"/>
              </w:rPr>
            </w:pPr>
            <w:r w:rsidRPr="003060BE">
              <w:rPr>
                <w:i/>
                <w:iCs/>
                <w:sz w:val="14"/>
                <w:szCs w:val="14"/>
              </w:rPr>
              <w:tab/>
            </w:r>
            <w:r>
              <w:rPr>
                <w:i/>
                <w:iCs/>
                <w:sz w:val="14"/>
                <w:szCs w:val="14"/>
                <w:lang w:val="es-ES_tradnl"/>
              </w:rPr>
              <w:t>Presupuesto propuesto 14/15:</w:t>
            </w:r>
            <w:r>
              <w:rPr>
                <w:i/>
                <w:iCs/>
                <w:sz w:val="14"/>
                <w:szCs w:val="14"/>
                <w:lang w:val="es-ES_tradnl"/>
              </w:rPr>
              <w:tab/>
              <w:t>509</w:t>
            </w:r>
            <w:r w:rsidRPr="003060BE">
              <w:rPr>
                <w:i/>
                <w:iCs/>
                <w:sz w:val="14"/>
                <w:szCs w:val="14"/>
                <w:lang w:val="es-ES_tradnl"/>
              </w:rPr>
              <w:tab/>
            </w:r>
          </w:p>
          <w:p w:rsidR="00616858" w:rsidRPr="003060BE" w:rsidRDefault="00616858" w:rsidP="00616858">
            <w:pPr>
              <w:tabs>
                <w:tab w:val="left" w:pos="338"/>
                <w:tab w:val="left" w:pos="2189"/>
                <w:tab w:val="right" w:pos="2835"/>
              </w:tabs>
              <w:rPr>
                <w:i/>
                <w:iCs/>
                <w:color w:val="0000FF"/>
                <w:sz w:val="14"/>
                <w:szCs w:val="14"/>
                <w:lang w:val="es-ES_tradnl"/>
              </w:rPr>
            </w:pPr>
            <w:r w:rsidRPr="003060BE">
              <w:rPr>
                <w:i/>
                <w:iCs/>
                <w:sz w:val="14"/>
                <w:szCs w:val="14"/>
                <w:lang w:val="es-ES_tradnl"/>
              </w:rPr>
              <w:tab/>
            </w:r>
            <w:r w:rsidRPr="003060BE">
              <w:rPr>
                <w:i/>
                <w:iCs/>
                <w:color w:val="0000FF"/>
                <w:sz w:val="14"/>
                <w:szCs w:val="14"/>
                <w:lang w:val="es-ES_tradnl"/>
              </w:rPr>
              <w:t>Cuota de desarrollo:</w:t>
            </w:r>
            <w:r w:rsidRPr="003060BE">
              <w:rPr>
                <w:i/>
                <w:iCs/>
                <w:sz w:val="14"/>
                <w:szCs w:val="14"/>
                <w:lang w:val="es-ES_tradnl"/>
              </w:rPr>
              <w:tab/>
            </w:r>
            <w:r w:rsidRPr="003060BE">
              <w:rPr>
                <w:i/>
                <w:iCs/>
                <w:sz w:val="14"/>
                <w:szCs w:val="14"/>
                <w:lang w:val="es-ES_tradnl"/>
              </w:rPr>
              <w:tab/>
            </w:r>
            <w:r>
              <w:rPr>
                <w:i/>
                <w:iCs/>
                <w:color w:val="0000FF"/>
                <w:sz w:val="14"/>
                <w:szCs w:val="14"/>
                <w:lang w:val="es-ES_tradnl"/>
              </w:rPr>
              <w:t>509</w:t>
            </w:r>
          </w:p>
          <w:p w:rsidR="00616858" w:rsidRPr="003060BE" w:rsidRDefault="00616858" w:rsidP="00616858">
            <w:pPr>
              <w:tabs>
                <w:tab w:val="left" w:pos="1525"/>
                <w:tab w:val="right" w:pos="2835"/>
              </w:tabs>
              <w:rPr>
                <w:sz w:val="14"/>
                <w:szCs w:val="14"/>
                <w:lang w:val="es-ES_tradnl"/>
              </w:rPr>
            </w:pPr>
          </w:p>
          <w:p w:rsidR="00616858" w:rsidRPr="00616858" w:rsidRDefault="00616858" w:rsidP="00616858">
            <w:pPr>
              <w:tabs>
                <w:tab w:val="right" w:pos="2835"/>
              </w:tabs>
              <w:spacing w:after="60"/>
              <w:rPr>
                <w:sz w:val="14"/>
                <w:szCs w:val="14"/>
                <w:lang w:val="es-ES_tradnl"/>
              </w:rPr>
            </w:pPr>
            <w:r w:rsidRPr="00616858">
              <w:rPr>
                <w:sz w:val="14"/>
                <w:szCs w:val="14"/>
                <w:lang w:val="es-ES_tradnl"/>
              </w:rPr>
              <w:t>III.6 Mejor capacidad de las pymes para utilizar con éxito la P.I. con el fin de apoyar la innovación</w:t>
            </w:r>
          </w:p>
          <w:p w:rsidR="00616858" w:rsidRPr="003060BE" w:rsidRDefault="00616858" w:rsidP="00616858">
            <w:pPr>
              <w:tabs>
                <w:tab w:val="left" w:pos="338"/>
                <w:tab w:val="left" w:pos="2189"/>
                <w:tab w:val="right" w:pos="2835"/>
              </w:tabs>
              <w:rPr>
                <w:i/>
                <w:iCs/>
                <w:sz w:val="14"/>
                <w:szCs w:val="14"/>
                <w:lang w:val="es-ES_tradnl"/>
              </w:rPr>
            </w:pPr>
            <w:r w:rsidRPr="003060BE">
              <w:rPr>
                <w:i/>
                <w:iCs/>
                <w:sz w:val="14"/>
                <w:szCs w:val="14"/>
              </w:rPr>
              <w:tab/>
            </w:r>
            <w:r>
              <w:rPr>
                <w:i/>
                <w:iCs/>
                <w:sz w:val="14"/>
                <w:szCs w:val="14"/>
                <w:lang w:val="es-ES_tradnl"/>
              </w:rPr>
              <w:t>Presupuesto propuesto 14/15:</w:t>
            </w:r>
            <w:r>
              <w:rPr>
                <w:i/>
                <w:iCs/>
                <w:sz w:val="14"/>
                <w:szCs w:val="14"/>
                <w:lang w:val="es-ES_tradnl"/>
              </w:rPr>
              <w:tab/>
              <w:t>4.419</w:t>
            </w:r>
            <w:r w:rsidRPr="003060BE">
              <w:rPr>
                <w:i/>
                <w:iCs/>
                <w:sz w:val="14"/>
                <w:szCs w:val="14"/>
                <w:lang w:val="es-ES_tradnl"/>
              </w:rPr>
              <w:tab/>
            </w:r>
          </w:p>
          <w:p w:rsidR="00616858" w:rsidRPr="003060BE" w:rsidRDefault="00616858" w:rsidP="00616858">
            <w:pPr>
              <w:tabs>
                <w:tab w:val="left" w:pos="338"/>
                <w:tab w:val="left" w:pos="2189"/>
                <w:tab w:val="right" w:pos="2835"/>
              </w:tabs>
              <w:rPr>
                <w:i/>
                <w:iCs/>
                <w:color w:val="0000FF"/>
                <w:sz w:val="14"/>
                <w:szCs w:val="14"/>
                <w:lang w:val="es-ES_tradnl"/>
              </w:rPr>
            </w:pPr>
            <w:r w:rsidRPr="003060BE">
              <w:rPr>
                <w:i/>
                <w:iCs/>
                <w:sz w:val="14"/>
                <w:szCs w:val="14"/>
                <w:lang w:val="es-ES_tradnl"/>
              </w:rPr>
              <w:tab/>
            </w:r>
            <w:r w:rsidRPr="003060BE">
              <w:rPr>
                <w:i/>
                <w:iCs/>
                <w:color w:val="0000FF"/>
                <w:sz w:val="14"/>
                <w:szCs w:val="14"/>
                <w:lang w:val="es-ES_tradnl"/>
              </w:rPr>
              <w:t>Cuota de desarrollo:</w:t>
            </w:r>
            <w:r w:rsidRPr="003060BE">
              <w:rPr>
                <w:i/>
                <w:iCs/>
                <w:sz w:val="14"/>
                <w:szCs w:val="14"/>
                <w:lang w:val="es-ES_tradnl"/>
              </w:rPr>
              <w:tab/>
            </w:r>
            <w:r w:rsidRPr="003060BE">
              <w:rPr>
                <w:i/>
                <w:iCs/>
                <w:sz w:val="14"/>
                <w:szCs w:val="14"/>
                <w:lang w:val="es-ES_tradnl"/>
              </w:rPr>
              <w:tab/>
            </w:r>
            <w:r>
              <w:rPr>
                <w:i/>
                <w:iCs/>
                <w:color w:val="0000FF"/>
                <w:sz w:val="14"/>
                <w:szCs w:val="14"/>
                <w:lang w:val="es-ES_tradnl"/>
              </w:rPr>
              <w:t>4.419</w:t>
            </w:r>
          </w:p>
          <w:p w:rsidR="00616858" w:rsidRPr="003060BE" w:rsidRDefault="00616858" w:rsidP="00616858">
            <w:pPr>
              <w:tabs>
                <w:tab w:val="left" w:pos="1525"/>
                <w:tab w:val="right" w:pos="2835"/>
              </w:tabs>
              <w:rPr>
                <w:sz w:val="14"/>
                <w:szCs w:val="14"/>
                <w:lang w:val="es-ES_tradnl"/>
              </w:rPr>
            </w:pPr>
          </w:p>
          <w:p w:rsidR="00616858" w:rsidRPr="003060BE" w:rsidRDefault="00616858" w:rsidP="00616858">
            <w:pPr>
              <w:tabs>
                <w:tab w:val="left" w:pos="346"/>
                <w:tab w:val="left" w:pos="1525"/>
                <w:tab w:val="right" w:pos="2835"/>
              </w:tabs>
              <w:rPr>
                <w:sz w:val="14"/>
                <w:szCs w:val="14"/>
                <w:lang w:val="es-ES_tradnl"/>
              </w:rPr>
            </w:pPr>
          </w:p>
        </w:tc>
        <w:tc>
          <w:tcPr>
            <w:tcW w:w="3041" w:type="dxa"/>
            <w:tcBorders>
              <w:top w:val="nil"/>
              <w:left w:val="nil"/>
              <w:right w:val="nil"/>
            </w:tcBorders>
            <w:shd w:val="clear" w:color="auto" w:fill="auto"/>
          </w:tcPr>
          <w:p w:rsidR="008D3CF3" w:rsidRDefault="008D3CF3" w:rsidP="008D3CF3">
            <w:pPr>
              <w:tabs>
                <w:tab w:val="right" w:pos="2835"/>
              </w:tabs>
              <w:rPr>
                <w:sz w:val="14"/>
                <w:szCs w:val="14"/>
                <w:lang w:val="es-ES_tradnl"/>
              </w:rPr>
            </w:pPr>
          </w:p>
          <w:p w:rsidR="00230914" w:rsidRPr="003060BE" w:rsidRDefault="00230914" w:rsidP="00FF362A">
            <w:pPr>
              <w:tabs>
                <w:tab w:val="right" w:pos="2835"/>
              </w:tabs>
              <w:spacing w:after="60"/>
              <w:rPr>
                <w:sz w:val="14"/>
                <w:szCs w:val="14"/>
              </w:rPr>
            </w:pPr>
            <w:r w:rsidRPr="003060BE">
              <w:rPr>
                <w:sz w:val="14"/>
                <w:szCs w:val="14"/>
                <w:lang w:val="es-ES_tradnl"/>
              </w:rPr>
              <w:t>IV.1. Sistema actualizado y aceptado mundialmente de clasificaciones internacionales y normas técnicas de la OMPI para facilitar el acceso, el uso y la difusión de información de P.I. entre las partes interesadas de todo el mundo.</w:t>
            </w:r>
          </w:p>
          <w:p w:rsidR="00230914" w:rsidRPr="003060BE" w:rsidRDefault="00230914" w:rsidP="00FF362A">
            <w:pPr>
              <w:tabs>
                <w:tab w:val="left" w:pos="378"/>
                <w:tab w:val="left" w:pos="2205"/>
                <w:tab w:val="right" w:pos="2835"/>
              </w:tabs>
              <w:rPr>
                <w:i/>
                <w:iCs/>
                <w:sz w:val="14"/>
                <w:szCs w:val="14"/>
                <w:lang w:val="es-ES_tradnl"/>
              </w:rPr>
            </w:pPr>
            <w:r w:rsidRPr="003060BE">
              <w:rPr>
                <w:i/>
                <w:iCs/>
                <w:sz w:val="14"/>
                <w:szCs w:val="14"/>
              </w:rPr>
              <w:tab/>
            </w:r>
            <w:r w:rsidRPr="003060BE">
              <w:rPr>
                <w:i/>
                <w:iCs/>
                <w:sz w:val="14"/>
                <w:szCs w:val="14"/>
                <w:lang w:val="es-ES_tradnl"/>
              </w:rPr>
              <w:t>Presupuesto propuesto 14/15:</w:t>
            </w:r>
            <w:r w:rsidRPr="003060BE">
              <w:rPr>
                <w:i/>
                <w:iCs/>
                <w:sz w:val="14"/>
                <w:szCs w:val="14"/>
                <w:lang w:val="es-ES_tradnl"/>
              </w:rPr>
              <w:tab/>
              <w:t>7.317</w:t>
            </w:r>
            <w:r w:rsidRPr="003060BE">
              <w:rPr>
                <w:i/>
                <w:iCs/>
                <w:sz w:val="14"/>
                <w:szCs w:val="14"/>
                <w:lang w:val="es-ES_tradnl"/>
              </w:rPr>
              <w:tab/>
            </w:r>
          </w:p>
          <w:p w:rsidR="00230914" w:rsidRPr="003060BE" w:rsidRDefault="00230914" w:rsidP="00FF362A">
            <w:pPr>
              <w:tabs>
                <w:tab w:val="left" w:pos="378"/>
                <w:tab w:val="left" w:pos="2205"/>
                <w:tab w:val="right" w:pos="2835"/>
              </w:tabs>
              <w:rPr>
                <w:i/>
                <w:iCs/>
                <w:color w:val="0000FF"/>
                <w:sz w:val="14"/>
                <w:szCs w:val="14"/>
                <w:lang w:val="es-ES_tradnl"/>
              </w:rPr>
            </w:pPr>
            <w:r w:rsidRPr="003060BE">
              <w:rPr>
                <w:i/>
                <w:iCs/>
                <w:sz w:val="14"/>
                <w:szCs w:val="14"/>
                <w:lang w:val="es-ES_tradnl"/>
              </w:rPr>
              <w:tab/>
            </w:r>
            <w:r w:rsidRPr="003060BE">
              <w:rPr>
                <w:i/>
                <w:iCs/>
                <w:color w:val="0000FF"/>
                <w:sz w:val="14"/>
                <w:szCs w:val="14"/>
                <w:lang w:val="es-ES_tradnl"/>
              </w:rPr>
              <w:t>Cuota de desarrollo:</w:t>
            </w:r>
            <w:r w:rsidRPr="003060BE">
              <w:rPr>
                <w:i/>
                <w:iCs/>
                <w:sz w:val="14"/>
                <w:szCs w:val="14"/>
                <w:lang w:val="es-ES_tradnl"/>
              </w:rPr>
              <w:tab/>
            </w:r>
            <w:r w:rsidRPr="003060BE">
              <w:rPr>
                <w:i/>
                <w:iCs/>
                <w:sz w:val="14"/>
                <w:szCs w:val="14"/>
                <w:lang w:val="es-ES_tradnl"/>
              </w:rPr>
              <w:tab/>
            </w:r>
            <w:r w:rsidRPr="003060BE">
              <w:rPr>
                <w:i/>
                <w:iCs/>
                <w:color w:val="0000FF"/>
                <w:sz w:val="14"/>
                <w:szCs w:val="14"/>
                <w:lang w:val="es-ES_tradnl"/>
              </w:rPr>
              <w:t>1.181</w:t>
            </w:r>
            <w:r w:rsidRPr="003060BE">
              <w:rPr>
                <w:i/>
                <w:iCs/>
                <w:color w:val="0000FF"/>
                <w:sz w:val="14"/>
                <w:szCs w:val="14"/>
                <w:lang w:val="es-ES_tradnl"/>
              </w:rPr>
              <w:tab/>
            </w:r>
          </w:p>
          <w:p w:rsidR="00230914" w:rsidRPr="003060BE" w:rsidRDefault="00C40A11" w:rsidP="00FF362A">
            <w:pPr>
              <w:tabs>
                <w:tab w:val="right" w:pos="2835"/>
              </w:tabs>
              <w:rPr>
                <w:sz w:val="14"/>
                <w:szCs w:val="14"/>
                <w:lang w:val="es-ES_tradnl"/>
              </w:rPr>
            </w:pPr>
            <w:r>
              <w:rPr>
                <w:noProof/>
                <w:lang w:val="en-US" w:eastAsia="en-US"/>
              </w:rPr>
              <mc:AlternateContent>
                <mc:Choice Requires="wps">
                  <w:drawing>
                    <wp:anchor distT="4294967295" distB="4294967295" distL="114299" distR="114299" simplePos="0" relativeHeight="251657728" behindDoc="0" locked="0" layoutInCell="0" allowOverlap="1" wp14:anchorId="66698B85" wp14:editId="7A1A4D4C">
                      <wp:simplePos x="0" y="0"/>
                      <wp:positionH relativeFrom="column">
                        <wp:posOffset>8083549</wp:posOffset>
                      </wp:positionH>
                      <wp:positionV relativeFrom="paragraph">
                        <wp:posOffset>668654</wp:posOffset>
                      </wp:positionV>
                      <wp:extent cx="0" cy="0"/>
                      <wp:effectExtent l="0" t="0" r="0" b="0"/>
                      <wp:wrapNone/>
                      <wp:docPr id="190"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z-index:251657728;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636.5pt,52.65pt" to="636.5pt,5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" o:allowincell="f">
                      <v:stroke endarrow="block"/>
                    </v:line>
                  </w:pict>
                </mc:Fallback>
              </mc:AlternateContent>
            </w:r>
          </w:p>
          <w:p w:rsidR="00230914" w:rsidRPr="003060BE" w:rsidRDefault="00230914" w:rsidP="00FF362A">
            <w:pPr>
              <w:tabs>
                <w:tab w:val="right" w:pos="2835"/>
              </w:tabs>
              <w:spacing w:after="60"/>
              <w:rPr>
                <w:sz w:val="14"/>
                <w:szCs w:val="14"/>
              </w:rPr>
            </w:pPr>
            <w:r w:rsidRPr="003060BE">
              <w:rPr>
                <w:sz w:val="14"/>
                <w:szCs w:val="14"/>
                <w:lang w:val="es-ES_tradnl"/>
              </w:rPr>
              <w:t>IV.2. Mejora del acceso y uso de información y conocimientos de P.I. por parte de instituciones de P.I. y el público para fomentar la innovación y la creatividad.</w:t>
            </w:r>
            <w:r w:rsidRPr="003060BE">
              <w:rPr>
                <w:sz w:val="14"/>
                <w:szCs w:val="14"/>
              </w:rPr>
              <w:t xml:space="preserve"> </w:t>
            </w:r>
          </w:p>
          <w:p w:rsidR="00230914" w:rsidRPr="003060BE" w:rsidRDefault="00230914" w:rsidP="00FF362A">
            <w:pPr>
              <w:tabs>
                <w:tab w:val="left" w:pos="378"/>
                <w:tab w:val="left" w:pos="2205"/>
                <w:tab w:val="right" w:pos="2835"/>
              </w:tabs>
              <w:rPr>
                <w:i/>
                <w:iCs/>
                <w:sz w:val="14"/>
                <w:szCs w:val="14"/>
                <w:lang w:val="es-ES_tradnl"/>
              </w:rPr>
            </w:pPr>
            <w:r w:rsidRPr="003060BE">
              <w:rPr>
                <w:i/>
                <w:iCs/>
                <w:sz w:val="14"/>
                <w:szCs w:val="14"/>
              </w:rPr>
              <w:tab/>
            </w:r>
            <w:r w:rsidRPr="003060BE">
              <w:rPr>
                <w:i/>
                <w:iCs/>
                <w:sz w:val="14"/>
                <w:szCs w:val="14"/>
                <w:lang w:val="es-ES_tradnl"/>
              </w:rPr>
              <w:t>Presupuesto propuesto 14/15:</w:t>
            </w:r>
            <w:r w:rsidRPr="003060BE">
              <w:rPr>
                <w:i/>
                <w:iCs/>
                <w:sz w:val="14"/>
                <w:szCs w:val="14"/>
                <w:lang w:val="es-ES_tradnl"/>
              </w:rPr>
              <w:tab/>
              <w:t>1</w:t>
            </w:r>
            <w:r w:rsidR="00616858">
              <w:rPr>
                <w:i/>
                <w:iCs/>
                <w:sz w:val="14"/>
                <w:szCs w:val="14"/>
                <w:lang w:val="es-ES_tradnl"/>
              </w:rPr>
              <w:t>6.665</w:t>
            </w:r>
            <w:r w:rsidRPr="003060BE">
              <w:rPr>
                <w:i/>
                <w:iCs/>
                <w:sz w:val="14"/>
                <w:szCs w:val="14"/>
                <w:lang w:val="es-ES_tradnl"/>
              </w:rPr>
              <w:tab/>
            </w:r>
          </w:p>
          <w:p w:rsidR="00230914" w:rsidRPr="003060BE" w:rsidRDefault="00230914" w:rsidP="00FF362A">
            <w:pPr>
              <w:tabs>
                <w:tab w:val="left" w:pos="366"/>
                <w:tab w:val="left" w:pos="2205"/>
                <w:tab w:val="right" w:pos="2835"/>
              </w:tabs>
              <w:rPr>
                <w:i/>
                <w:iCs/>
                <w:color w:val="0000FF"/>
                <w:sz w:val="14"/>
                <w:szCs w:val="14"/>
                <w:lang w:val="es-ES_tradnl"/>
              </w:rPr>
            </w:pPr>
            <w:r w:rsidRPr="003060BE">
              <w:rPr>
                <w:i/>
                <w:iCs/>
                <w:sz w:val="14"/>
                <w:szCs w:val="14"/>
                <w:lang w:val="es-ES_tradnl"/>
              </w:rPr>
              <w:tab/>
            </w:r>
            <w:r w:rsidRPr="003060BE">
              <w:rPr>
                <w:i/>
                <w:iCs/>
                <w:color w:val="0000FF"/>
                <w:sz w:val="14"/>
                <w:szCs w:val="14"/>
                <w:lang w:val="es-ES_tradnl"/>
              </w:rPr>
              <w:t>Cuota de desarrollo:</w:t>
            </w:r>
            <w:r w:rsidRPr="003060BE">
              <w:rPr>
                <w:i/>
                <w:iCs/>
                <w:sz w:val="14"/>
                <w:szCs w:val="14"/>
                <w:lang w:val="es-ES_tradnl"/>
              </w:rPr>
              <w:tab/>
            </w:r>
            <w:r w:rsidRPr="003060BE">
              <w:rPr>
                <w:i/>
                <w:iCs/>
                <w:sz w:val="14"/>
                <w:szCs w:val="14"/>
                <w:lang w:val="es-ES_tradnl"/>
              </w:rPr>
              <w:tab/>
            </w:r>
            <w:r w:rsidR="00616858">
              <w:rPr>
                <w:i/>
                <w:iCs/>
                <w:color w:val="0000FF"/>
                <w:sz w:val="14"/>
                <w:szCs w:val="14"/>
                <w:lang w:val="es-ES_tradnl"/>
              </w:rPr>
              <w:t>13.60</w:t>
            </w:r>
            <w:r w:rsidRPr="003060BE">
              <w:rPr>
                <w:i/>
                <w:iCs/>
                <w:color w:val="0000FF"/>
                <w:sz w:val="14"/>
                <w:szCs w:val="14"/>
                <w:lang w:val="es-ES_tradnl"/>
              </w:rPr>
              <w:t>7</w:t>
            </w:r>
            <w:r w:rsidRPr="003060BE">
              <w:rPr>
                <w:i/>
                <w:iCs/>
                <w:color w:val="0000FF"/>
                <w:sz w:val="14"/>
                <w:szCs w:val="14"/>
                <w:lang w:val="es-ES_tradnl"/>
              </w:rPr>
              <w:tab/>
            </w:r>
          </w:p>
          <w:p w:rsidR="00230914" w:rsidRPr="003060BE" w:rsidRDefault="00230914" w:rsidP="00FF362A">
            <w:pPr>
              <w:tabs>
                <w:tab w:val="right" w:pos="2835"/>
              </w:tabs>
              <w:rPr>
                <w:sz w:val="14"/>
                <w:szCs w:val="14"/>
                <w:lang w:val="es-ES_tradnl"/>
              </w:rPr>
            </w:pPr>
          </w:p>
          <w:p w:rsidR="00230914" w:rsidRPr="003060BE" w:rsidRDefault="00230914" w:rsidP="00FF362A">
            <w:pPr>
              <w:tabs>
                <w:tab w:val="right" w:pos="2835"/>
              </w:tabs>
              <w:rPr>
                <w:sz w:val="14"/>
                <w:szCs w:val="14"/>
                <w:lang w:val="es-ES_tradnl"/>
              </w:rPr>
            </w:pPr>
          </w:p>
          <w:p w:rsidR="00230914" w:rsidRPr="003060BE" w:rsidRDefault="00230914" w:rsidP="00FF362A">
            <w:pPr>
              <w:tabs>
                <w:tab w:val="right" w:pos="2835"/>
              </w:tabs>
              <w:spacing w:after="60"/>
              <w:rPr>
                <w:sz w:val="14"/>
                <w:szCs w:val="14"/>
              </w:rPr>
            </w:pPr>
            <w:r w:rsidRPr="003060BE">
              <w:rPr>
                <w:sz w:val="14"/>
                <w:szCs w:val="14"/>
                <w:lang w:val="es-ES_tradnl"/>
              </w:rPr>
              <w:t>IV.3. Amplia cobertura geográfica en cuanto al contenido y al uso de las bases de datos mundiales de la OMPI en materia de P.I.</w:t>
            </w:r>
            <w:r w:rsidRPr="003060BE">
              <w:rPr>
                <w:sz w:val="14"/>
                <w:szCs w:val="14"/>
              </w:rPr>
              <w:t xml:space="preserve"> </w:t>
            </w:r>
          </w:p>
          <w:p w:rsidR="00230914" w:rsidRPr="003060BE" w:rsidRDefault="00230914" w:rsidP="00FF362A">
            <w:pPr>
              <w:tabs>
                <w:tab w:val="left" w:pos="366"/>
                <w:tab w:val="left" w:pos="2205"/>
                <w:tab w:val="right" w:pos="2835"/>
              </w:tabs>
              <w:rPr>
                <w:i/>
                <w:iCs/>
                <w:sz w:val="14"/>
                <w:szCs w:val="14"/>
                <w:lang w:val="es-ES_tradnl"/>
              </w:rPr>
            </w:pPr>
            <w:r w:rsidRPr="003060BE">
              <w:rPr>
                <w:i/>
                <w:iCs/>
                <w:sz w:val="14"/>
                <w:szCs w:val="14"/>
              </w:rPr>
              <w:tab/>
            </w:r>
            <w:r w:rsidRPr="003060BE">
              <w:rPr>
                <w:i/>
                <w:iCs/>
                <w:sz w:val="14"/>
                <w:szCs w:val="14"/>
                <w:lang w:val="es-ES_tradnl"/>
              </w:rPr>
              <w:t>Presupuesto propuesto 14/15:</w:t>
            </w:r>
            <w:r w:rsidRPr="003060BE">
              <w:rPr>
                <w:i/>
                <w:iCs/>
                <w:sz w:val="14"/>
                <w:szCs w:val="14"/>
                <w:lang w:val="es-ES_tradnl"/>
              </w:rPr>
              <w:tab/>
              <w:t>2.810</w:t>
            </w:r>
            <w:r w:rsidRPr="003060BE">
              <w:rPr>
                <w:i/>
                <w:iCs/>
                <w:sz w:val="14"/>
                <w:szCs w:val="14"/>
                <w:lang w:val="es-ES_tradnl"/>
              </w:rPr>
              <w:tab/>
            </w:r>
          </w:p>
          <w:p w:rsidR="00230914" w:rsidRPr="003060BE" w:rsidRDefault="00230914" w:rsidP="00FF362A">
            <w:pPr>
              <w:tabs>
                <w:tab w:val="left" w:pos="378"/>
                <w:tab w:val="left" w:pos="2347"/>
                <w:tab w:val="right" w:pos="2835"/>
              </w:tabs>
              <w:rPr>
                <w:i/>
                <w:iCs/>
                <w:color w:val="0000FF"/>
                <w:sz w:val="14"/>
                <w:szCs w:val="14"/>
                <w:lang w:val="es-ES_tradnl"/>
              </w:rPr>
            </w:pPr>
            <w:r w:rsidRPr="003060BE">
              <w:rPr>
                <w:i/>
                <w:iCs/>
                <w:sz w:val="14"/>
                <w:szCs w:val="14"/>
                <w:lang w:val="es-ES_tradnl"/>
              </w:rPr>
              <w:tab/>
            </w:r>
            <w:r w:rsidRPr="003060BE">
              <w:rPr>
                <w:i/>
                <w:iCs/>
                <w:color w:val="0000FF"/>
                <w:sz w:val="14"/>
                <w:szCs w:val="14"/>
                <w:lang w:val="es-ES_tradnl"/>
              </w:rPr>
              <w:t>Cuota de desarrollo:</w:t>
            </w:r>
            <w:r w:rsidRPr="003060BE">
              <w:rPr>
                <w:i/>
                <w:iCs/>
                <w:sz w:val="14"/>
                <w:szCs w:val="14"/>
                <w:lang w:val="es-ES_tradnl"/>
              </w:rPr>
              <w:tab/>
            </w:r>
            <w:r w:rsidRPr="003060BE">
              <w:rPr>
                <w:i/>
                <w:iCs/>
                <w:color w:val="0000FF"/>
                <w:sz w:val="14"/>
                <w:szCs w:val="14"/>
                <w:lang w:val="es-ES_tradnl"/>
              </w:rPr>
              <w:tab/>
              <w:t>702</w:t>
            </w:r>
            <w:r w:rsidRPr="003060BE">
              <w:rPr>
                <w:i/>
                <w:iCs/>
                <w:color w:val="0000FF"/>
                <w:sz w:val="14"/>
                <w:szCs w:val="14"/>
                <w:lang w:val="es-ES_tradnl"/>
              </w:rPr>
              <w:tab/>
            </w:r>
          </w:p>
          <w:p w:rsidR="00230914" w:rsidRPr="003060BE" w:rsidRDefault="00230914" w:rsidP="00FF362A">
            <w:pPr>
              <w:tabs>
                <w:tab w:val="right" w:pos="2835"/>
              </w:tabs>
              <w:rPr>
                <w:sz w:val="14"/>
                <w:szCs w:val="14"/>
                <w:lang w:val="es-ES_tradnl"/>
              </w:rPr>
            </w:pPr>
          </w:p>
          <w:p w:rsidR="00230914" w:rsidRPr="003060BE" w:rsidRDefault="00230914" w:rsidP="00FF362A">
            <w:pPr>
              <w:tabs>
                <w:tab w:val="right" w:pos="2835"/>
              </w:tabs>
              <w:spacing w:after="60"/>
              <w:rPr>
                <w:sz w:val="14"/>
                <w:szCs w:val="14"/>
              </w:rPr>
            </w:pPr>
            <w:r w:rsidRPr="003060BE">
              <w:rPr>
                <w:sz w:val="14"/>
                <w:szCs w:val="14"/>
                <w:lang w:val="es-ES_tradnl"/>
              </w:rPr>
              <w:t>IV.4. Mejora en la infraestructura técnica y de conocimientos de las oficinas y demás instituciones de P.I. que les permit</w:t>
            </w:r>
            <w:r w:rsidR="00177006">
              <w:rPr>
                <w:sz w:val="14"/>
                <w:szCs w:val="14"/>
                <w:lang w:val="es-ES_tradnl"/>
              </w:rPr>
              <w:t>a</w:t>
            </w:r>
            <w:r w:rsidRPr="003060BE">
              <w:rPr>
                <w:sz w:val="14"/>
                <w:szCs w:val="14"/>
                <w:lang w:val="es-ES_tradnl"/>
              </w:rPr>
              <w:t xml:space="preserve"> prestar mejores servicios (más económicos, más rápidos y de mejor calidad) a sus partes interesadas.</w:t>
            </w:r>
          </w:p>
          <w:p w:rsidR="00230914" w:rsidRPr="003060BE" w:rsidRDefault="00230914" w:rsidP="00FF362A">
            <w:pPr>
              <w:tabs>
                <w:tab w:val="left" w:pos="353"/>
                <w:tab w:val="left" w:pos="2205"/>
                <w:tab w:val="right" w:pos="2835"/>
              </w:tabs>
              <w:rPr>
                <w:i/>
                <w:iCs/>
                <w:sz w:val="14"/>
                <w:szCs w:val="14"/>
                <w:lang w:val="es-ES_tradnl"/>
              </w:rPr>
            </w:pPr>
            <w:r w:rsidRPr="003060BE">
              <w:rPr>
                <w:i/>
                <w:iCs/>
                <w:sz w:val="14"/>
                <w:szCs w:val="14"/>
              </w:rPr>
              <w:tab/>
            </w:r>
            <w:r w:rsidRPr="003060BE">
              <w:rPr>
                <w:i/>
                <w:iCs/>
                <w:sz w:val="14"/>
                <w:szCs w:val="14"/>
                <w:lang w:val="es-ES_tradnl"/>
              </w:rPr>
              <w:t>Pres</w:t>
            </w:r>
            <w:r w:rsidR="00616858">
              <w:rPr>
                <w:i/>
                <w:iCs/>
                <w:sz w:val="14"/>
                <w:szCs w:val="14"/>
                <w:lang w:val="es-ES_tradnl"/>
              </w:rPr>
              <w:t>upuesto propuesto 14/15:</w:t>
            </w:r>
            <w:r w:rsidR="00616858">
              <w:rPr>
                <w:i/>
                <w:iCs/>
                <w:sz w:val="14"/>
                <w:szCs w:val="14"/>
                <w:lang w:val="es-ES_tradnl"/>
              </w:rPr>
              <w:tab/>
              <w:t>18.103</w:t>
            </w:r>
          </w:p>
          <w:p w:rsidR="00230914" w:rsidRPr="003060BE" w:rsidRDefault="00230914" w:rsidP="00FF362A">
            <w:pPr>
              <w:tabs>
                <w:tab w:val="left" w:pos="366"/>
                <w:tab w:val="left" w:pos="2205"/>
                <w:tab w:val="right" w:pos="2835"/>
              </w:tabs>
              <w:rPr>
                <w:i/>
                <w:iCs/>
                <w:sz w:val="14"/>
                <w:szCs w:val="14"/>
                <w:lang w:val="es-ES_tradnl"/>
              </w:rPr>
            </w:pPr>
            <w:r w:rsidRPr="003060BE">
              <w:rPr>
                <w:i/>
                <w:iCs/>
                <w:sz w:val="14"/>
                <w:szCs w:val="14"/>
                <w:lang w:val="es-ES_tradnl"/>
              </w:rPr>
              <w:tab/>
            </w:r>
            <w:r w:rsidRPr="003060BE">
              <w:rPr>
                <w:i/>
                <w:iCs/>
                <w:color w:val="0000FF"/>
                <w:sz w:val="14"/>
                <w:szCs w:val="14"/>
                <w:lang w:val="es-ES_tradnl"/>
              </w:rPr>
              <w:t>Cuota de desarrollo:</w:t>
            </w:r>
            <w:r w:rsidRPr="003060BE">
              <w:rPr>
                <w:i/>
                <w:iCs/>
                <w:sz w:val="14"/>
                <w:szCs w:val="14"/>
                <w:lang w:val="es-ES_tradnl"/>
              </w:rPr>
              <w:tab/>
            </w:r>
            <w:r w:rsidR="00616858">
              <w:rPr>
                <w:i/>
                <w:iCs/>
                <w:color w:val="0000FF"/>
                <w:sz w:val="14"/>
                <w:szCs w:val="14"/>
                <w:lang w:val="es-ES_tradnl"/>
              </w:rPr>
              <w:tab/>
              <w:t>15.409</w:t>
            </w:r>
          </w:p>
        </w:tc>
        <w:tc>
          <w:tcPr>
            <w:tcW w:w="3211" w:type="dxa"/>
            <w:gridSpan w:val="2"/>
            <w:tcBorders>
              <w:top w:val="nil"/>
              <w:left w:val="nil"/>
              <w:right w:val="nil"/>
            </w:tcBorders>
            <w:shd w:val="clear" w:color="auto" w:fill="auto"/>
          </w:tcPr>
          <w:p w:rsidR="008D3CF3" w:rsidRDefault="008D3CF3" w:rsidP="008D3CF3">
            <w:pPr>
              <w:tabs>
                <w:tab w:val="right" w:pos="2835"/>
              </w:tabs>
              <w:rPr>
                <w:sz w:val="14"/>
                <w:szCs w:val="14"/>
                <w:lang w:val="es-ES_tradnl"/>
              </w:rPr>
            </w:pPr>
          </w:p>
          <w:p w:rsidR="00230914" w:rsidRPr="003060BE" w:rsidRDefault="00230914" w:rsidP="00FF362A">
            <w:pPr>
              <w:tabs>
                <w:tab w:val="right" w:pos="2835"/>
              </w:tabs>
              <w:spacing w:after="60"/>
              <w:rPr>
                <w:sz w:val="14"/>
                <w:szCs w:val="14"/>
              </w:rPr>
            </w:pPr>
            <w:r w:rsidRPr="003060BE">
              <w:rPr>
                <w:sz w:val="14"/>
                <w:szCs w:val="14"/>
                <w:lang w:val="es-ES_tradnl"/>
              </w:rPr>
              <w:t>V.1. Ampliación y mejora del uso de la información estadística de la OMPI en materia de P.I.</w:t>
            </w:r>
            <w:r w:rsidRPr="003060BE">
              <w:rPr>
                <w:sz w:val="14"/>
                <w:szCs w:val="14"/>
              </w:rPr>
              <w:t xml:space="preserve"> </w:t>
            </w:r>
          </w:p>
          <w:p w:rsidR="00230914" w:rsidRPr="003060BE" w:rsidRDefault="00230914" w:rsidP="00FF362A">
            <w:pPr>
              <w:tabs>
                <w:tab w:val="left" w:pos="381"/>
                <w:tab w:val="left" w:pos="2221"/>
                <w:tab w:val="right" w:pos="2835"/>
              </w:tabs>
              <w:rPr>
                <w:i/>
                <w:iCs/>
                <w:sz w:val="14"/>
                <w:szCs w:val="14"/>
                <w:lang w:val="es-ES_tradnl"/>
              </w:rPr>
            </w:pPr>
            <w:r w:rsidRPr="003060BE">
              <w:rPr>
                <w:i/>
                <w:iCs/>
                <w:sz w:val="14"/>
                <w:szCs w:val="14"/>
              </w:rPr>
              <w:tab/>
            </w:r>
            <w:r w:rsidRPr="003060BE">
              <w:rPr>
                <w:i/>
                <w:iCs/>
                <w:sz w:val="14"/>
                <w:szCs w:val="14"/>
                <w:lang w:val="es-ES_tradnl"/>
              </w:rPr>
              <w:t>Presupuesto propuesto 14/15:</w:t>
            </w:r>
            <w:r w:rsidRPr="003060BE">
              <w:rPr>
                <w:i/>
                <w:iCs/>
                <w:sz w:val="14"/>
                <w:szCs w:val="14"/>
                <w:lang w:val="es-ES_tradnl"/>
              </w:rPr>
              <w:tab/>
              <w:t>2.141</w:t>
            </w:r>
            <w:r w:rsidRPr="003060BE">
              <w:rPr>
                <w:i/>
                <w:iCs/>
                <w:sz w:val="14"/>
                <w:szCs w:val="14"/>
                <w:lang w:val="es-ES_tradnl"/>
              </w:rPr>
              <w:tab/>
            </w:r>
          </w:p>
          <w:p w:rsidR="00230914" w:rsidRPr="003060BE" w:rsidRDefault="00230914" w:rsidP="00FF362A">
            <w:pPr>
              <w:tabs>
                <w:tab w:val="left" w:pos="368"/>
                <w:tab w:val="left" w:pos="2221"/>
                <w:tab w:val="right" w:pos="2835"/>
              </w:tabs>
              <w:rPr>
                <w:i/>
                <w:iCs/>
                <w:color w:val="0000FF"/>
                <w:sz w:val="14"/>
                <w:szCs w:val="14"/>
                <w:lang w:val="es-ES_tradnl"/>
              </w:rPr>
            </w:pPr>
            <w:r w:rsidRPr="003060BE">
              <w:rPr>
                <w:i/>
                <w:iCs/>
                <w:sz w:val="14"/>
                <w:szCs w:val="14"/>
                <w:lang w:val="es-ES_tradnl"/>
              </w:rPr>
              <w:tab/>
            </w:r>
            <w:r w:rsidRPr="003060BE">
              <w:rPr>
                <w:i/>
                <w:iCs/>
                <w:color w:val="0000FF"/>
                <w:sz w:val="14"/>
                <w:szCs w:val="14"/>
                <w:lang w:val="es-ES_tradnl"/>
              </w:rPr>
              <w:t>Cuota de desarrollo:</w:t>
            </w:r>
            <w:r w:rsidRPr="003060BE">
              <w:rPr>
                <w:i/>
                <w:iCs/>
                <w:color w:val="0000FF"/>
                <w:sz w:val="14"/>
                <w:szCs w:val="14"/>
                <w:lang w:val="es-ES_tradnl"/>
              </w:rPr>
              <w:tab/>
            </w:r>
            <w:r w:rsidRPr="003060BE">
              <w:rPr>
                <w:i/>
                <w:iCs/>
                <w:color w:val="0000FF"/>
                <w:sz w:val="14"/>
                <w:szCs w:val="14"/>
                <w:lang w:val="es-ES_tradnl"/>
              </w:rPr>
              <w:tab/>
              <w:t>-</w:t>
            </w:r>
          </w:p>
          <w:p w:rsidR="00230914" w:rsidRPr="003060BE" w:rsidRDefault="00230914" w:rsidP="00FF362A">
            <w:pPr>
              <w:tabs>
                <w:tab w:val="right" w:pos="2835"/>
              </w:tabs>
              <w:rPr>
                <w:sz w:val="14"/>
                <w:szCs w:val="14"/>
                <w:lang w:val="es-ES_tradnl"/>
              </w:rPr>
            </w:pPr>
          </w:p>
          <w:p w:rsidR="00230914" w:rsidRPr="003060BE" w:rsidRDefault="00230914" w:rsidP="00FF362A">
            <w:pPr>
              <w:tabs>
                <w:tab w:val="right" w:pos="2835"/>
              </w:tabs>
              <w:rPr>
                <w:sz w:val="14"/>
                <w:szCs w:val="14"/>
                <w:lang w:val="es-ES_tradnl"/>
              </w:rPr>
            </w:pPr>
          </w:p>
          <w:p w:rsidR="00230914" w:rsidRPr="003060BE" w:rsidRDefault="00230914" w:rsidP="00FF362A">
            <w:pPr>
              <w:tabs>
                <w:tab w:val="right" w:pos="2835"/>
              </w:tabs>
              <w:rPr>
                <w:sz w:val="14"/>
                <w:szCs w:val="14"/>
                <w:lang w:val="es-ES_tradnl"/>
              </w:rPr>
            </w:pPr>
          </w:p>
          <w:p w:rsidR="00230914" w:rsidRPr="003060BE" w:rsidRDefault="00230914" w:rsidP="00FF362A">
            <w:pPr>
              <w:tabs>
                <w:tab w:val="right" w:pos="2835"/>
              </w:tabs>
              <w:spacing w:after="60"/>
              <w:rPr>
                <w:sz w:val="14"/>
                <w:szCs w:val="14"/>
              </w:rPr>
            </w:pPr>
            <w:r w:rsidRPr="003060BE">
              <w:rPr>
                <w:sz w:val="14"/>
                <w:szCs w:val="14"/>
                <w:lang w:val="es-ES_tradnl"/>
              </w:rPr>
              <w:t>V.2. Ampliación y mejora del uso de los análisis económicos de la OMPI en la formulación de políticas.</w:t>
            </w:r>
            <w:r w:rsidRPr="003060BE">
              <w:rPr>
                <w:sz w:val="14"/>
                <w:szCs w:val="14"/>
              </w:rPr>
              <w:t xml:space="preserve"> </w:t>
            </w:r>
          </w:p>
          <w:p w:rsidR="00230914" w:rsidRPr="003060BE" w:rsidRDefault="00230914" w:rsidP="00FF362A">
            <w:pPr>
              <w:tabs>
                <w:tab w:val="left" w:pos="381"/>
                <w:tab w:val="left" w:pos="2221"/>
                <w:tab w:val="right" w:pos="2835"/>
              </w:tabs>
              <w:rPr>
                <w:i/>
                <w:iCs/>
                <w:sz w:val="14"/>
                <w:szCs w:val="14"/>
                <w:lang w:val="es-ES_tradnl"/>
              </w:rPr>
            </w:pPr>
            <w:r w:rsidRPr="003060BE">
              <w:rPr>
                <w:i/>
                <w:iCs/>
                <w:sz w:val="14"/>
                <w:szCs w:val="14"/>
              </w:rPr>
              <w:tab/>
            </w:r>
            <w:r w:rsidRPr="003060BE">
              <w:rPr>
                <w:i/>
                <w:iCs/>
                <w:sz w:val="14"/>
                <w:szCs w:val="14"/>
                <w:lang w:val="es-ES_tradnl"/>
              </w:rPr>
              <w:t>Presupuesto propuesto 14/15:</w:t>
            </w:r>
            <w:r w:rsidRPr="003060BE">
              <w:rPr>
                <w:i/>
                <w:iCs/>
                <w:sz w:val="14"/>
                <w:szCs w:val="14"/>
                <w:lang w:val="es-ES_tradnl"/>
              </w:rPr>
              <w:tab/>
              <w:t>4.261</w:t>
            </w:r>
            <w:r w:rsidRPr="003060BE">
              <w:rPr>
                <w:i/>
                <w:iCs/>
                <w:sz w:val="14"/>
                <w:szCs w:val="14"/>
                <w:lang w:val="es-ES_tradnl"/>
              </w:rPr>
              <w:tab/>
            </w:r>
          </w:p>
          <w:p w:rsidR="00230914" w:rsidRPr="003060BE" w:rsidRDefault="00230914" w:rsidP="00FF362A">
            <w:pPr>
              <w:tabs>
                <w:tab w:val="left" w:pos="381"/>
                <w:tab w:val="left" w:pos="2221"/>
                <w:tab w:val="right" w:pos="2835"/>
              </w:tabs>
              <w:rPr>
                <w:i/>
                <w:iCs/>
                <w:color w:val="0000FF"/>
                <w:sz w:val="14"/>
                <w:szCs w:val="14"/>
                <w:lang w:val="es-ES_tradnl"/>
              </w:rPr>
            </w:pPr>
            <w:r w:rsidRPr="003060BE">
              <w:rPr>
                <w:i/>
                <w:iCs/>
                <w:sz w:val="14"/>
                <w:szCs w:val="14"/>
                <w:lang w:val="es-ES_tradnl"/>
              </w:rPr>
              <w:tab/>
            </w:r>
            <w:r w:rsidRPr="003060BE">
              <w:rPr>
                <w:i/>
                <w:iCs/>
                <w:color w:val="0000FF"/>
                <w:sz w:val="14"/>
                <w:szCs w:val="14"/>
                <w:lang w:val="es-ES_tradnl"/>
              </w:rPr>
              <w:t>Cuota de desarrollo:</w:t>
            </w:r>
            <w:r w:rsidRPr="003060BE">
              <w:rPr>
                <w:i/>
                <w:iCs/>
                <w:sz w:val="14"/>
                <w:szCs w:val="14"/>
                <w:lang w:val="es-ES_tradnl"/>
              </w:rPr>
              <w:tab/>
            </w:r>
            <w:r w:rsidRPr="003060BE">
              <w:rPr>
                <w:i/>
                <w:iCs/>
                <w:color w:val="0000FF"/>
                <w:sz w:val="14"/>
                <w:szCs w:val="14"/>
                <w:lang w:val="es-ES_tradnl"/>
              </w:rPr>
              <w:tab/>
              <w:t>2.270</w:t>
            </w:r>
          </w:p>
          <w:p w:rsidR="00230914" w:rsidRPr="003060BE" w:rsidRDefault="00230914" w:rsidP="00FF362A">
            <w:pPr>
              <w:tabs>
                <w:tab w:val="right" w:pos="2835"/>
              </w:tabs>
              <w:rPr>
                <w:sz w:val="14"/>
                <w:szCs w:val="14"/>
                <w:lang w:val="es-ES_tradnl"/>
              </w:rPr>
            </w:pPr>
          </w:p>
          <w:p w:rsidR="00230914" w:rsidRPr="003060BE" w:rsidRDefault="00230914" w:rsidP="00FF362A">
            <w:pPr>
              <w:tabs>
                <w:tab w:val="left" w:pos="1525"/>
                <w:tab w:val="right" w:pos="2835"/>
              </w:tabs>
              <w:rPr>
                <w:sz w:val="14"/>
                <w:szCs w:val="14"/>
                <w:lang w:val="es-ES_tradnl"/>
              </w:rPr>
            </w:pPr>
          </w:p>
        </w:tc>
        <w:tc>
          <w:tcPr>
            <w:tcW w:w="2870" w:type="dxa"/>
            <w:tcBorders>
              <w:top w:val="nil"/>
              <w:left w:val="nil"/>
              <w:right w:val="nil"/>
            </w:tcBorders>
            <w:shd w:val="clear" w:color="auto" w:fill="auto"/>
          </w:tcPr>
          <w:p w:rsidR="008D3CF3" w:rsidRDefault="008D3CF3" w:rsidP="008D3CF3">
            <w:pPr>
              <w:tabs>
                <w:tab w:val="right" w:pos="2835"/>
              </w:tabs>
              <w:rPr>
                <w:sz w:val="14"/>
                <w:szCs w:val="14"/>
                <w:lang w:val="es-ES_tradnl"/>
              </w:rPr>
            </w:pPr>
          </w:p>
          <w:p w:rsidR="00230914" w:rsidRPr="003060BE" w:rsidRDefault="00230914" w:rsidP="00FF362A">
            <w:pPr>
              <w:tabs>
                <w:tab w:val="left" w:pos="395"/>
                <w:tab w:val="right" w:pos="2835"/>
              </w:tabs>
              <w:spacing w:after="60"/>
              <w:rPr>
                <w:sz w:val="14"/>
                <w:szCs w:val="14"/>
              </w:rPr>
            </w:pPr>
            <w:r w:rsidRPr="003060BE">
              <w:rPr>
                <w:sz w:val="14"/>
                <w:szCs w:val="14"/>
                <w:lang w:val="es-ES_tradnl"/>
              </w:rPr>
              <w:t>VI.1. Avances en el diálogo internacional sobre políticas entre los Estados miembros de la OMPI para cultivar el respeto por la P.I. sobre la base de la recomendación 45 de la Agenda de la OMPI para el Desarrollo.</w:t>
            </w:r>
          </w:p>
          <w:p w:rsidR="00230914" w:rsidRPr="003060BE" w:rsidRDefault="00230914" w:rsidP="008D3CF3">
            <w:pPr>
              <w:tabs>
                <w:tab w:val="left" w:pos="384"/>
                <w:tab w:val="left" w:pos="2237"/>
                <w:tab w:val="right" w:pos="2665"/>
              </w:tabs>
              <w:rPr>
                <w:i/>
                <w:iCs/>
                <w:sz w:val="14"/>
                <w:szCs w:val="14"/>
                <w:lang w:val="es-ES_tradnl"/>
              </w:rPr>
            </w:pPr>
            <w:r w:rsidRPr="003060BE">
              <w:rPr>
                <w:i/>
                <w:iCs/>
                <w:sz w:val="14"/>
                <w:szCs w:val="14"/>
              </w:rPr>
              <w:tab/>
            </w:r>
            <w:r w:rsidRPr="003060BE">
              <w:rPr>
                <w:i/>
                <w:iCs/>
                <w:sz w:val="14"/>
                <w:szCs w:val="14"/>
                <w:lang w:val="es-ES_tradnl"/>
              </w:rPr>
              <w:t>P</w:t>
            </w:r>
            <w:r w:rsidR="008D3CF3">
              <w:rPr>
                <w:i/>
                <w:iCs/>
                <w:sz w:val="14"/>
                <w:szCs w:val="14"/>
                <w:lang w:val="es-ES_tradnl"/>
              </w:rPr>
              <w:t>resupuesto propuesto 14/15:</w:t>
            </w:r>
            <w:r w:rsidR="008D3CF3">
              <w:rPr>
                <w:i/>
                <w:iCs/>
                <w:sz w:val="14"/>
                <w:szCs w:val="14"/>
                <w:lang w:val="es-ES_tradnl"/>
              </w:rPr>
              <w:tab/>
              <w:t>429</w:t>
            </w:r>
          </w:p>
          <w:p w:rsidR="00230914" w:rsidRPr="003060BE" w:rsidRDefault="00230914" w:rsidP="008D3CF3">
            <w:pPr>
              <w:tabs>
                <w:tab w:val="left" w:pos="395"/>
                <w:tab w:val="left" w:pos="2237"/>
                <w:tab w:val="right" w:pos="2665"/>
              </w:tabs>
              <w:rPr>
                <w:sz w:val="14"/>
                <w:szCs w:val="14"/>
                <w:lang w:val="es-ES_tradnl"/>
              </w:rPr>
            </w:pPr>
            <w:r w:rsidRPr="003060BE">
              <w:rPr>
                <w:i/>
                <w:iCs/>
                <w:sz w:val="14"/>
                <w:szCs w:val="14"/>
                <w:lang w:val="es-ES_tradnl"/>
              </w:rPr>
              <w:tab/>
            </w:r>
            <w:r w:rsidRPr="003060BE">
              <w:rPr>
                <w:i/>
                <w:iCs/>
                <w:color w:val="0000FF"/>
                <w:sz w:val="14"/>
                <w:szCs w:val="14"/>
                <w:lang w:val="es-ES_tradnl"/>
              </w:rPr>
              <w:t>Cuota de desarrollo:</w:t>
            </w:r>
            <w:r w:rsidRPr="003060BE">
              <w:rPr>
                <w:i/>
                <w:iCs/>
                <w:sz w:val="14"/>
                <w:szCs w:val="14"/>
                <w:lang w:val="es-ES_tradnl"/>
              </w:rPr>
              <w:tab/>
            </w:r>
            <w:r w:rsidRPr="003060BE">
              <w:rPr>
                <w:i/>
                <w:iCs/>
                <w:color w:val="0000FF"/>
                <w:sz w:val="14"/>
                <w:szCs w:val="14"/>
                <w:lang w:val="es-ES_tradnl"/>
              </w:rPr>
              <w:tab/>
              <w:t>305</w:t>
            </w:r>
          </w:p>
          <w:p w:rsidR="00230914" w:rsidRPr="003060BE" w:rsidRDefault="00230914" w:rsidP="00FF362A">
            <w:pPr>
              <w:tabs>
                <w:tab w:val="right" w:pos="2835"/>
              </w:tabs>
              <w:rPr>
                <w:sz w:val="14"/>
                <w:szCs w:val="14"/>
                <w:lang w:val="es-ES_tradnl"/>
              </w:rPr>
            </w:pPr>
          </w:p>
          <w:p w:rsidR="00230914" w:rsidRPr="003060BE" w:rsidRDefault="00230914" w:rsidP="00FF362A">
            <w:pPr>
              <w:tabs>
                <w:tab w:val="right" w:pos="2835"/>
              </w:tabs>
              <w:spacing w:after="60"/>
              <w:rPr>
                <w:sz w:val="14"/>
                <w:szCs w:val="14"/>
              </w:rPr>
            </w:pPr>
            <w:r w:rsidRPr="003060BE">
              <w:rPr>
                <w:sz w:val="14"/>
                <w:szCs w:val="14"/>
                <w:lang w:val="es-ES_tradnl"/>
              </w:rPr>
              <w:t>VI.2. Cooperación sistemática</w:t>
            </w:r>
            <w:r w:rsidR="008D3CF3">
              <w:rPr>
                <w:sz w:val="14"/>
                <w:szCs w:val="14"/>
                <w:lang w:val="es-ES_tradnl"/>
              </w:rPr>
              <w:t>,</w:t>
            </w:r>
            <w:r w:rsidRPr="003060BE">
              <w:rPr>
                <w:sz w:val="14"/>
                <w:szCs w:val="14"/>
                <w:lang w:val="es-ES_tradnl"/>
              </w:rPr>
              <w:t xml:space="preserve"> eficaz </w:t>
            </w:r>
            <w:r w:rsidR="008D3CF3">
              <w:rPr>
                <w:sz w:val="14"/>
                <w:szCs w:val="14"/>
                <w:lang w:val="es-ES_tradnl"/>
              </w:rPr>
              <w:t xml:space="preserve">y transparente </w:t>
            </w:r>
            <w:r w:rsidRPr="003060BE">
              <w:rPr>
                <w:sz w:val="14"/>
                <w:szCs w:val="14"/>
                <w:lang w:val="es-ES_tradnl"/>
              </w:rPr>
              <w:t>entre la labor de la OMPI y otras organizaciones internacionales en el ámbito del cultivo del respeto por la P.I.</w:t>
            </w:r>
          </w:p>
          <w:p w:rsidR="00230914" w:rsidRPr="003060BE" w:rsidRDefault="00230914" w:rsidP="008D3CF3">
            <w:pPr>
              <w:tabs>
                <w:tab w:val="left" w:pos="397"/>
                <w:tab w:val="left" w:pos="2237"/>
                <w:tab w:val="right" w:pos="2665"/>
              </w:tabs>
              <w:rPr>
                <w:i/>
                <w:iCs/>
                <w:sz w:val="14"/>
                <w:szCs w:val="14"/>
                <w:lang w:val="es-ES_tradnl"/>
              </w:rPr>
            </w:pPr>
            <w:r w:rsidRPr="008D3CF3">
              <w:rPr>
                <w:i/>
                <w:iCs/>
                <w:sz w:val="14"/>
                <w:szCs w:val="14"/>
                <w:lang w:val="es-ES_tradnl"/>
              </w:rPr>
              <w:tab/>
            </w:r>
            <w:r w:rsidRPr="003060BE">
              <w:rPr>
                <w:i/>
                <w:iCs/>
                <w:sz w:val="14"/>
                <w:szCs w:val="14"/>
                <w:lang w:val="es-ES_tradnl"/>
              </w:rPr>
              <w:t>Pre</w:t>
            </w:r>
            <w:r w:rsidR="008D3CF3">
              <w:rPr>
                <w:i/>
                <w:iCs/>
                <w:sz w:val="14"/>
                <w:szCs w:val="14"/>
                <w:lang w:val="es-ES_tradnl"/>
              </w:rPr>
              <w:t>supuesto propuesto 14/15:</w:t>
            </w:r>
            <w:r w:rsidR="008D3CF3">
              <w:rPr>
                <w:i/>
                <w:iCs/>
                <w:sz w:val="14"/>
                <w:szCs w:val="14"/>
                <w:lang w:val="es-ES_tradnl"/>
              </w:rPr>
              <w:tab/>
              <w:t>1.124</w:t>
            </w:r>
          </w:p>
          <w:p w:rsidR="00230914" w:rsidRPr="003060BE" w:rsidRDefault="00230914" w:rsidP="008D3CF3">
            <w:pPr>
              <w:tabs>
                <w:tab w:val="left" w:pos="384"/>
                <w:tab w:val="left" w:pos="2237"/>
                <w:tab w:val="right" w:pos="2665"/>
              </w:tabs>
              <w:rPr>
                <w:sz w:val="14"/>
                <w:szCs w:val="14"/>
                <w:lang w:val="es-ES_tradnl"/>
              </w:rPr>
            </w:pPr>
            <w:r w:rsidRPr="008D3CF3">
              <w:rPr>
                <w:i/>
                <w:iCs/>
                <w:color w:val="0000FF"/>
                <w:sz w:val="14"/>
                <w:szCs w:val="14"/>
                <w:lang w:val="es-ES_tradnl"/>
              </w:rPr>
              <w:tab/>
            </w:r>
            <w:r w:rsidRPr="003060BE">
              <w:rPr>
                <w:i/>
                <w:iCs/>
                <w:color w:val="0000FF"/>
                <w:sz w:val="14"/>
                <w:szCs w:val="14"/>
                <w:lang w:val="es-ES_tradnl"/>
              </w:rPr>
              <w:t>Cuota de desarrollo:</w:t>
            </w:r>
            <w:r w:rsidRPr="008D3CF3">
              <w:rPr>
                <w:i/>
                <w:iCs/>
                <w:color w:val="0000FF"/>
                <w:sz w:val="14"/>
                <w:szCs w:val="14"/>
                <w:lang w:val="es-ES_tradnl"/>
              </w:rPr>
              <w:tab/>
            </w:r>
            <w:r w:rsidRPr="003060BE">
              <w:rPr>
                <w:i/>
                <w:iCs/>
                <w:color w:val="0000FF"/>
                <w:sz w:val="14"/>
                <w:szCs w:val="14"/>
                <w:lang w:val="es-ES_tradnl"/>
              </w:rPr>
              <w:tab/>
              <w:t>843</w:t>
            </w:r>
          </w:p>
        </w:tc>
        <w:tc>
          <w:tcPr>
            <w:tcW w:w="3046" w:type="dxa"/>
            <w:tcBorders>
              <w:top w:val="nil"/>
              <w:left w:val="nil"/>
              <w:right w:val="single" w:sz="4" w:space="0" w:color="auto"/>
            </w:tcBorders>
            <w:shd w:val="clear" w:color="auto" w:fill="auto"/>
          </w:tcPr>
          <w:p w:rsidR="00230914" w:rsidRPr="003060BE" w:rsidRDefault="00230914" w:rsidP="00FF362A">
            <w:pPr>
              <w:tabs>
                <w:tab w:val="right" w:pos="2835"/>
              </w:tabs>
              <w:rPr>
                <w:sz w:val="14"/>
                <w:szCs w:val="14"/>
                <w:lang w:val="es-ES_tradnl"/>
              </w:rPr>
            </w:pPr>
            <w:r w:rsidRPr="003060BE">
              <w:rPr>
                <w:sz w:val="14"/>
                <w:szCs w:val="14"/>
                <w:lang w:val="es-ES_tradnl"/>
              </w:rPr>
              <w:t> </w:t>
            </w:r>
          </w:p>
          <w:p w:rsidR="00230914" w:rsidRPr="003060BE" w:rsidRDefault="008D3CF3" w:rsidP="008D3CF3">
            <w:pPr>
              <w:tabs>
                <w:tab w:val="left" w:pos="395"/>
                <w:tab w:val="right" w:pos="2835"/>
              </w:tabs>
              <w:spacing w:after="60"/>
              <w:rPr>
                <w:sz w:val="14"/>
                <w:szCs w:val="14"/>
                <w:lang w:val="es-ES_tradnl"/>
              </w:rPr>
            </w:pPr>
            <w:r w:rsidRPr="008D3CF3">
              <w:rPr>
                <w:sz w:val="14"/>
                <w:szCs w:val="14"/>
                <w:lang w:val="es-ES_tradnl"/>
              </w:rPr>
              <w:t>VII.2 Plataformas y herramientas de P.I. utilizadas para la transferencia de conocimiento y la difusión y adaptación de tecnología de los países desarrollados en los países en desarrollo, en particular en los menos adelantados, con el fin de atender los desafíos mundiales</w:t>
            </w:r>
          </w:p>
          <w:p w:rsidR="00230914" w:rsidRPr="003060BE" w:rsidRDefault="00945E6F" w:rsidP="00FF362A">
            <w:pPr>
              <w:tabs>
                <w:tab w:val="left" w:pos="424"/>
                <w:tab w:val="left" w:pos="2253"/>
                <w:tab w:val="right" w:pos="2835"/>
              </w:tabs>
              <w:rPr>
                <w:i/>
                <w:iCs/>
                <w:sz w:val="14"/>
                <w:szCs w:val="14"/>
                <w:lang w:val="es-ES_tradnl"/>
              </w:rPr>
            </w:pPr>
            <w:r>
              <w:rPr>
                <w:i/>
                <w:iCs/>
                <w:sz w:val="14"/>
                <w:szCs w:val="14"/>
                <w:lang w:val="es-ES_tradnl"/>
              </w:rPr>
              <w:tab/>
              <w:t>Presupuesto propuesto 14/15:</w:t>
            </w:r>
            <w:r>
              <w:rPr>
                <w:i/>
                <w:iCs/>
                <w:sz w:val="14"/>
                <w:szCs w:val="14"/>
                <w:lang w:val="es-ES_tradnl"/>
              </w:rPr>
              <w:tab/>
              <w:t>4.625</w:t>
            </w:r>
            <w:r w:rsidR="00230914" w:rsidRPr="003060BE">
              <w:rPr>
                <w:i/>
                <w:iCs/>
                <w:sz w:val="14"/>
                <w:szCs w:val="14"/>
                <w:lang w:val="es-ES_tradnl"/>
              </w:rPr>
              <w:tab/>
            </w:r>
          </w:p>
          <w:p w:rsidR="00230914" w:rsidRPr="003060BE" w:rsidRDefault="00230914" w:rsidP="00FF362A">
            <w:pPr>
              <w:tabs>
                <w:tab w:val="left" w:pos="399"/>
                <w:tab w:val="left" w:pos="2253"/>
                <w:tab w:val="right" w:pos="2835"/>
              </w:tabs>
              <w:rPr>
                <w:i/>
                <w:iCs/>
                <w:sz w:val="14"/>
                <w:szCs w:val="14"/>
                <w:lang w:val="es-ES_tradnl"/>
              </w:rPr>
            </w:pPr>
            <w:r w:rsidRPr="003060BE">
              <w:rPr>
                <w:i/>
                <w:iCs/>
                <w:sz w:val="14"/>
                <w:szCs w:val="14"/>
                <w:lang w:val="es-ES_tradnl"/>
              </w:rPr>
              <w:tab/>
            </w:r>
            <w:r w:rsidRPr="003060BE">
              <w:rPr>
                <w:i/>
                <w:iCs/>
                <w:color w:val="0000FF"/>
                <w:sz w:val="14"/>
                <w:szCs w:val="14"/>
                <w:lang w:val="es-ES_tradnl"/>
              </w:rPr>
              <w:t>Cuota de desarrollo:</w:t>
            </w:r>
            <w:r w:rsidRPr="003060BE">
              <w:rPr>
                <w:i/>
                <w:iCs/>
                <w:sz w:val="14"/>
                <w:szCs w:val="14"/>
                <w:lang w:val="es-ES_tradnl"/>
              </w:rPr>
              <w:tab/>
            </w:r>
            <w:r w:rsidR="00945E6F">
              <w:rPr>
                <w:i/>
                <w:iCs/>
                <w:color w:val="0000FF"/>
                <w:sz w:val="14"/>
                <w:szCs w:val="14"/>
                <w:lang w:val="es-ES_tradnl"/>
              </w:rPr>
              <w:tab/>
              <w:t>3.240</w:t>
            </w:r>
          </w:p>
          <w:p w:rsidR="00230914" w:rsidRPr="003060BE" w:rsidRDefault="00230914" w:rsidP="00FF362A">
            <w:pPr>
              <w:tabs>
                <w:tab w:val="right" w:pos="2835"/>
              </w:tabs>
              <w:rPr>
                <w:sz w:val="14"/>
                <w:szCs w:val="14"/>
                <w:lang w:val="es-ES_tradnl"/>
              </w:rPr>
            </w:pPr>
          </w:p>
          <w:p w:rsidR="00230914" w:rsidRPr="003060BE" w:rsidRDefault="00230914" w:rsidP="00FF362A">
            <w:pPr>
              <w:tabs>
                <w:tab w:val="right" w:pos="2835"/>
              </w:tabs>
              <w:rPr>
                <w:sz w:val="14"/>
                <w:szCs w:val="14"/>
                <w:lang w:val="es-ES_tradnl"/>
              </w:rPr>
            </w:pPr>
          </w:p>
          <w:p w:rsidR="00230914" w:rsidRPr="003060BE" w:rsidRDefault="00230914" w:rsidP="00FF362A">
            <w:pPr>
              <w:tabs>
                <w:tab w:val="right" w:pos="2835"/>
              </w:tabs>
              <w:spacing w:after="60"/>
              <w:rPr>
                <w:sz w:val="14"/>
                <w:szCs w:val="14"/>
              </w:rPr>
            </w:pPr>
            <w:r w:rsidRPr="003060BE">
              <w:rPr>
                <w:sz w:val="14"/>
                <w:szCs w:val="14"/>
                <w:lang w:val="es-ES_tradnl"/>
              </w:rPr>
              <w:t>VII.3. Fomento de la credibilidad de la OMPI en tanto que foro para el análisis de cuestiones en el ámbito de la P.I. y la política de competencia.</w:t>
            </w:r>
          </w:p>
          <w:p w:rsidR="00230914" w:rsidRPr="003060BE" w:rsidRDefault="00230914" w:rsidP="00FF362A">
            <w:pPr>
              <w:tabs>
                <w:tab w:val="left" w:pos="399"/>
                <w:tab w:val="left" w:pos="2253"/>
                <w:tab w:val="right" w:pos="2835"/>
              </w:tabs>
              <w:rPr>
                <w:i/>
                <w:iCs/>
                <w:sz w:val="14"/>
                <w:szCs w:val="14"/>
                <w:lang w:val="es-ES_tradnl"/>
              </w:rPr>
            </w:pPr>
            <w:r w:rsidRPr="003060BE">
              <w:rPr>
                <w:i/>
                <w:iCs/>
                <w:sz w:val="14"/>
                <w:szCs w:val="14"/>
              </w:rPr>
              <w:tab/>
            </w:r>
            <w:r w:rsidRPr="003060BE">
              <w:rPr>
                <w:i/>
                <w:iCs/>
                <w:sz w:val="14"/>
                <w:szCs w:val="14"/>
                <w:lang w:val="es-ES_tradnl"/>
              </w:rPr>
              <w:t>Presupuesto propuesto 14/15:</w:t>
            </w:r>
            <w:r w:rsidRPr="003060BE">
              <w:rPr>
                <w:i/>
                <w:iCs/>
                <w:sz w:val="14"/>
                <w:szCs w:val="14"/>
                <w:lang w:val="es-ES_tradnl"/>
              </w:rPr>
              <w:tab/>
              <w:t>2.032</w:t>
            </w:r>
          </w:p>
          <w:p w:rsidR="00230914" w:rsidRPr="003060BE" w:rsidRDefault="00230914" w:rsidP="00FF362A">
            <w:pPr>
              <w:tabs>
                <w:tab w:val="left" w:pos="424"/>
                <w:tab w:val="left" w:pos="2253"/>
                <w:tab w:val="right" w:pos="2835"/>
              </w:tabs>
              <w:rPr>
                <w:sz w:val="14"/>
                <w:szCs w:val="14"/>
                <w:lang w:val="es-ES_tradnl"/>
              </w:rPr>
            </w:pPr>
            <w:r w:rsidRPr="003060BE">
              <w:rPr>
                <w:i/>
                <w:iCs/>
                <w:sz w:val="14"/>
                <w:szCs w:val="14"/>
                <w:lang w:val="es-ES_tradnl"/>
              </w:rPr>
              <w:tab/>
            </w:r>
            <w:r w:rsidRPr="003060BE">
              <w:rPr>
                <w:i/>
                <w:iCs/>
                <w:color w:val="0000FF"/>
                <w:sz w:val="14"/>
                <w:szCs w:val="14"/>
                <w:lang w:val="es-ES_tradnl"/>
              </w:rPr>
              <w:t>Cuota de desarrollo:</w:t>
            </w:r>
            <w:r w:rsidRPr="003060BE">
              <w:rPr>
                <w:i/>
                <w:iCs/>
                <w:color w:val="0000FF"/>
                <w:sz w:val="14"/>
                <w:szCs w:val="14"/>
                <w:lang w:val="es-ES_tradnl"/>
              </w:rPr>
              <w:tab/>
            </w:r>
            <w:r w:rsidRPr="003060BE">
              <w:rPr>
                <w:i/>
                <w:iCs/>
                <w:color w:val="0000FF"/>
                <w:sz w:val="14"/>
                <w:szCs w:val="14"/>
                <w:lang w:val="es-ES_tradnl"/>
              </w:rPr>
              <w:tab/>
              <w:t>2.032</w:t>
            </w:r>
            <w:r w:rsidRPr="003060BE">
              <w:rPr>
                <w:i/>
                <w:iCs/>
                <w:sz w:val="14"/>
                <w:szCs w:val="14"/>
                <w:lang w:val="es-ES_tradnl"/>
              </w:rPr>
              <w:tab/>
            </w:r>
          </w:p>
        </w:tc>
      </w:tr>
      <w:tr w:rsidR="00230914" w:rsidRPr="003060BE" w:rsidTr="00FF362A">
        <w:trPr>
          <w:trHeight w:val="145"/>
        </w:trPr>
        <w:tc>
          <w:tcPr>
            <w:tcW w:w="387" w:type="dxa"/>
            <w:vMerge/>
            <w:tcBorders>
              <w:top w:val="single" w:sz="8" w:space="0" w:color="auto"/>
              <w:left w:val="single" w:sz="8" w:space="0" w:color="auto"/>
              <w:bottom w:val="single" w:sz="4" w:space="0" w:color="000000"/>
              <w:right w:val="nil"/>
            </w:tcBorders>
            <w:vAlign w:val="center"/>
          </w:tcPr>
          <w:p w:rsidR="00230914" w:rsidRPr="003060BE" w:rsidRDefault="00230914" w:rsidP="00FF362A">
            <w:pPr>
              <w:tabs>
                <w:tab w:val="right" w:pos="2835"/>
              </w:tabs>
              <w:rPr>
                <w:b/>
                <w:bCs/>
                <w:sz w:val="16"/>
                <w:szCs w:val="16"/>
                <w:lang w:val="es-ES_tradnl"/>
              </w:rPr>
            </w:pPr>
          </w:p>
        </w:tc>
        <w:tc>
          <w:tcPr>
            <w:tcW w:w="3040" w:type="dxa"/>
            <w:tcBorders>
              <w:top w:val="nil"/>
              <w:left w:val="single" w:sz="4" w:space="0" w:color="auto"/>
              <w:bottom w:val="nil"/>
              <w:right w:val="nil"/>
            </w:tcBorders>
            <w:shd w:val="clear" w:color="auto" w:fill="auto"/>
          </w:tcPr>
          <w:p w:rsidR="00230914" w:rsidRPr="003060BE" w:rsidRDefault="00230914" w:rsidP="00FF362A">
            <w:pPr>
              <w:tabs>
                <w:tab w:val="left" w:pos="2157"/>
                <w:tab w:val="right" w:pos="2835"/>
              </w:tabs>
              <w:rPr>
                <w:i/>
                <w:iCs/>
                <w:sz w:val="14"/>
                <w:szCs w:val="14"/>
                <w:lang w:val="es-ES_tradnl"/>
              </w:rPr>
            </w:pPr>
            <w:r w:rsidRPr="003060BE">
              <w:rPr>
                <w:i/>
                <w:iCs/>
                <w:sz w:val="14"/>
                <w:szCs w:val="14"/>
                <w:lang w:val="es-ES_tradnl"/>
              </w:rPr>
              <w:t>Total del presupuesto propuesto,</w:t>
            </w:r>
            <w:r w:rsidRPr="003060BE">
              <w:rPr>
                <w:i/>
                <w:iCs/>
                <w:sz w:val="14"/>
                <w:szCs w:val="14"/>
                <w:lang w:val="es-ES_tradnl"/>
              </w:rPr>
              <w:br/>
              <w:t xml:space="preserve"> meta I:</w:t>
            </w:r>
            <w:r w:rsidRPr="003060BE">
              <w:rPr>
                <w:i/>
                <w:iCs/>
                <w:sz w:val="14"/>
                <w:szCs w:val="14"/>
                <w:lang w:val="es-ES_tradnl"/>
              </w:rPr>
              <w:tab/>
            </w:r>
            <w:r w:rsidRPr="003060BE">
              <w:rPr>
                <w:i/>
                <w:iCs/>
                <w:sz w:val="14"/>
                <w:szCs w:val="14"/>
                <w:lang w:val="es-ES_tradnl"/>
              </w:rPr>
              <w:tab/>
              <w:t>24.073</w:t>
            </w:r>
          </w:p>
          <w:p w:rsidR="00230914" w:rsidRPr="003060BE" w:rsidRDefault="00230914" w:rsidP="00FF362A">
            <w:pPr>
              <w:tabs>
                <w:tab w:val="left" w:pos="2157"/>
                <w:tab w:val="right" w:pos="2835"/>
              </w:tabs>
              <w:rPr>
                <w:i/>
                <w:iCs/>
                <w:color w:val="0000FF"/>
                <w:sz w:val="14"/>
                <w:szCs w:val="14"/>
                <w:lang w:val="es-ES_tradnl"/>
              </w:rPr>
            </w:pPr>
            <w:r w:rsidRPr="003060BE">
              <w:rPr>
                <w:i/>
                <w:iCs/>
                <w:color w:val="0000FF"/>
                <w:sz w:val="14"/>
                <w:szCs w:val="14"/>
                <w:lang w:val="es-ES_tradnl"/>
              </w:rPr>
              <w:t>Total de la cuota de desarrollo,</w:t>
            </w:r>
            <w:r w:rsidRPr="003060BE">
              <w:rPr>
                <w:i/>
                <w:iCs/>
                <w:color w:val="0000FF"/>
                <w:sz w:val="14"/>
                <w:szCs w:val="14"/>
                <w:lang w:val="es-ES_tradnl"/>
              </w:rPr>
              <w:br/>
              <w:t xml:space="preserve"> meta I:</w:t>
            </w:r>
            <w:r w:rsidRPr="003060BE">
              <w:rPr>
                <w:i/>
                <w:iCs/>
                <w:color w:val="0000FF"/>
                <w:sz w:val="14"/>
                <w:szCs w:val="14"/>
                <w:lang w:val="es-ES_tradnl"/>
              </w:rPr>
              <w:tab/>
            </w:r>
            <w:r w:rsidRPr="003060BE">
              <w:rPr>
                <w:i/>
                <w:iCs/>
                <w:color w:val="0000FF"/>
                <w:sz w:val="14"/>
                <w:szCs w:val="14"/>
                <w:lang w:val="es-ES_tradnl"/>
              </w:rPr>
              <w:tab/>
              <w:t>16.672</w:t>
            </w:r>
          </w:p>
        </w:tc>
        <w:tc>
          <w:tcPr>
            <w:tcW w:w="3041" w:type="dxa"/>
            <w:tcBorders>
              <w:top w:val="nil"/>
              <w:left w:val="nil"/>
              <w:bottom w:val="nil"/>
              <w:right w:val="nil"/>
            </w:tcBorders>
            <w:shd w:val="clear" w:color="auto" w:fill="auto"/>
          </w:tcPr>
          <w:p w:rsidR="00230914" w:rsidRPr="003060BE" w:rsidRDefault="00230914" w:rsidP="00FF362A">
            <w:pPr>
              <w:tabs>
                <w:tab w:val="left" w:pos="2173"/>
                <w:tab w:val="right" w:pos="2835"/>
              </w:tabs>
              <w:rPr>
                <w:i/>
                <w:iCs/>
                <w:sz w:val="14"/>
                <w:szCs w:val="14"/>
                <w:lang w:val="es-ES_tradnl"/>
              </w:rPr>
            </w:pPr>
            <w:r w:rsidRPr="003060BE">
              <w:rPr>
                <w:i/>
                <w:iCs/>
                <w:sz w:val="14"/>
                <w:szCs w:val="14"/>
                <w:lang w:val="es-ES_tradnl"/>
              </w:rPr>
              <w:t>Total del presupuesto propuesto,</w:t>
            </w:r>
            <w:r w:rsidRPr="003060BE">
              <w:rPr>
                <w:i/>
                <w:iCs/>
                <w:sz w:val="14"/>
                <w:szCs w:val="14"/>
                <w:lang w:val="es-ES_tradnl"/>
              </w:rPr>
              <w:br/>
              <w:t xml:space="preserve"> meta II:</w:t>
            </w:r>
            <w:r w:rsidRPr="003060BE">
              <w:rPr>
                <w:i/>
                <w:iCs/>
                <w:sz w:val="14"/>
                <w:szCs w:val="14"/>
                <w:lang w:val="es-ES_tradnl"/>
              </w:rPr>
              <w:tab/>
            </w:r>
            <w:r w:rsidRPr="003060BE">
              <w:rPr>
                <w:i/>
                <w:iCs/>
                <w:sz w:val="14"/>
                <w:szCs w:val="14"/>
                <w:lang w:val="es-ES_tradnl"/>
              </w:rPr>
              <w:tab/>
              <w:t>27</w:t>
            </w:r>
            <w:r w:rsidR="00616858">
              <w:rPr>
                <w:i/>
                <w:iCs/>
                <w:sz w:val="14"/>
                <w:szCs w:val="14"/>
                <w:lang w:val="es-ES_tradnl"/>
              </w:rPr>
              <w:t>7.153</w:t>
            </w:r>
          </w:p>
          <w:p w:rsidR="00230914" w:rsidRPr="003060BE" w:rsidRDefault="00230914" w:rsidP="00616858">
            <w:pPr>
              <w:tabs>
                <w:tab w:val="left" w:pos="2173"/>
                <w:tab w:val="right" w:pos="2835"/>
              </w:tabs>
              <w:rPr>
                <w:i/>
                <w:iCs/>
                <w:color w:val="0000FF"/>
                <w:sz w:val="14"/>
                <w:szCs w:val="14"/>
                <w:lang w:val="es-ES_tradnl"/>
              </w:rPr>
            </w:pPr>
            <w:r w:rsidRPr="003060BE">
              <w:rPr>
                <w:i/>
                <w:iCs/>
                <w:color w:val="0000FF"/>
                <w:sz w:val="14"/>
                <w:szCs w:val="14"/>
                <w:lang w:val="es-ES_tradnl"/>
              </w:rPr>
              <w:t>Total de la cuota de desarrollo,</w:t>
            </w:r>
            <w:r w:rsidRPr="003060BE">
              <w:rPr>
                <w:i/>
                <w:iCs/>
                <w:color w:val="0000FF"/>
                <w:sz w:val="14"/>
                <w:szCs w:val="14"/>
                <w:lang w:val="es-ES_tradnl"/>
              </w:rPr>
              <w:br/>
              <w:t xml:space="preserve"> meta II:</w:t>
            </w:r>
            <w:r w:rsidRPr="003060BE">
              <w:rPr>
                <w:i/>
                <w:iCs/>
                <w:color w:val="0000FF"/>
                <w:sz w:val="14"/>
                <w:szCs w:val="14"/>
                <w:lang w:val="es-ES_tradnl"/>
              </w:rPr>
              <w:tab/>
            </w:r>
            <w:r w:rsidRPr="003060BE">
              <w:rPr>
                <w:i/>
                <w:iCs/>
                <w:color w:val="0000FF"/>
                <w:sz w:val="14"/>
                <w:szCs w:val="14"/>
                <w:lang w:val="es-ES_tradnl"/>
              </w:rPr>
              <w:tab/>
              <w:t>13</w:t>
            </w:r>
            <w:r w:rsidR="00616858">
              <w:rPr>
                <w:i/>
                <w:iCs/>
                <w:color w:val="0000FF"/>
                <w:sz w:val="14"/>
                <w:szCs w:val="14"/>
                <w:lang w:val="es-ES_tradnl"/>
              </w:rPr>
              <w:t>.4</w:t>
            </w:r>
            <w:r w:rsidRPr="003060BE">
              <w:rPr>
                <w:i/>
                <w:iCs/>
                <w:color w:val="0000FF"/>
                <w:sz w:val="14"/>
                <w:szCs w:val="14"/>
                <w:lang w:val="es-ES_tradnl"/>
              </w:rPr>
              <w:t>6</w:t>
            </w:r>
            <w:r w:rsidR="00616858">
              <w:rPr>
                <w:i/>
                <w:iCs/>
                <w:color w:val="0000FF"/>
                <w:sz w:val="14"/>
                <w:szCs w:val="14"/>
                <w:lang w:val="es-ES_tradnl"/>
              </w:rPr>
              <w:t>7</w:t>
            </w:r>
            <w:r w:rsidRPr="003060BE">
              <w:rPr>
                <w:i/>
                <w:iCs/>
                <w:color w:val="0000FF"/>
                <w:sz w:val="14"/>
                <w:szCs w:val="14"/>
                <w:lang w:val="es-ES_tradnl"/>
              </w:rPr>
              <w:tab/>
              <w:t xml:space="preserve"> </w:t>
            </w:r>
          </w:p>
        </w:tc>
        <w:tc>
          <w:tcPr>
            <w:tcW w:w="3043" w:type="dxa"/>
            <w:tcBorders>
              <w:top w:val="nil"/>
              <w:left w:val="nil"/>
              <w:bottom w:val="nil"/>
              <w:right w:val="nil"/>
            </w:tcBorders>
            <w:shd w:val="clear" w:color="auto" w:fill="auto"/>
          </w:tcPr>
          <w:p w:rsidR="00230914" w:rsidRPr="003060BE" w:rsidRDefault="00230914" w:rsidP="00FF362A">
            <w:pPr>
              <w:tabs>
                <w:tab w:val="left" w:pos="2189"/>
                <w:tab w:val="right" w:pos="2835"/>
              </w:tabs>
              <w:rPr>
                <w:i/>
                <w:iCs/>
                <w:sz w:val="14"/>
                <w:szCs w:val="14"/>
                <w:lang w:val="es-ES_tradnl"/>
              </w:rPr>
            </w:pPr>
            <w:r w:rsidRPr="003060BE">
              <w:rPr>
                <w:i/>
                <w:iCs/>
                <w:sz w:val="14"/>
                <w:szCs w:val="14"/>
                <w:lang w:val="es-ES_tradnl"/>
              </w:rPr>
              <w:t>Total del presupuesto propuesto,</w:t>
            </w:r>
            <w:r w:rsidRPr="003060BE">
              <w:rPr>
                <w:i/>
                <w:iCs/>
                <w:sz w:val="14"/>
                <w:szCs w:val="14"/>
                <w:lang w:val="es-ES_tradnl"/>
              </w:rPr>
              <w:br/>
              <w:t xml:space="preserve"> meta III:</w:t>
            </w:r>
            <w:r w:rsidRPr="003060BE">
              <w:rPr>
                <w:i/>
                <w:iCs/>
                <w:sz w:val="14"/>
                <w:szCs w:val="14"/>
                <w:lang w:val="es-ES_tradnl"/>
              </w:rPr>
              <w:tab/>
            </w:r>
            <w:r w:rsidRPr="003060BE">
              <w:rPr>
                <w:i/>
                <w:iCs/>
                <w:sz w:val="14"/>
                <w:szCs w:val="14"/>
                <w:lang w:val="es-ES_tradnl"/>
              </w:rPr>
              <w:tab/>
              <w:t>6</w:t>
            </w:r>
            <w:r w:rsidR="00616858">
              <w:rPr>
                <w:i/>
                <w:iCs/>
                <w:sz w:val="14"/>
                <w:szCs w:val="14"/>
                <w:lang w:val="es-ES_tradnl"/>
              </w:rPr>
              <w:t>4.426</w:t>
            </w:r>
          </w:p>
          <w:p w:rsidR="00230914" w:rsidRPr="003060BE" w:rsidRDefault="00230914" w:rsidP="00616858">
            <w:pPr>
              <w:tabs>
                <w:tab w:val="left" w:pos="2189"/>
                <w:tab w:val="right" w:pos="2835"/>
              </w:tabs>
              <w:rPr>
                <w:i/>
                <w:iCs/>
                <w:color w:val="0000FF"/>
                <w:sz w:val="14"/>
                <w:szCs w:val="14"/>
                <w:lang w:val="es-ES_tradnl"/>
              </w:rPr>
            </w:pPr>
            <w:r w:rsidRPr="003060BE">
              <w:rPr>
                <w:i/>
                <w:iCs/>
                <w:color w:val="0000FF"/>
                <w:sz w:val="14"/>
                <w:szCs w:val="14"/>
                <w:lang w:val="es-ES_tradnl"/>
              </w:rPr>
              <w:t>Total de la cuota de desarrollo,</w:t>
            </w:r>
            <w:r w:rsidRPr="003060BE">
              <w:rPr>
                <w:i/>
                <w:iCs/>
                <w:color w:val="0000FF"/>
                <w:sz w:val="14"/>
                <w:szCs w:val="14"/>
                <w:lang w:val="es-ES_tradnl"/>
              </w:rPr>
              <w:br/>
              <w:t xml:space="preserve"> meta III: </w:t>
            </w:r>
            <w:r w:rsidRPr="003060BE">
              <w:rPr>
                <w:i/>
                <w:iCs/>
                <w:color w:val="0000FF"/>
                <w:sz w:val="14"/>
                <w:szCs w:val="14"/>
                <w:lang w:val="es-ES_tradnl"/>
              </w:rPr>
              <w:tab/>
            </w:r>
            <w:r w:rsidRPr="003060BE">
              <w:rPr>
                <w:i/>
                <w:iCs/>
                <w:color w:val="0000FF"/>
                <w:sz w:val="14"/>
                <w:szCs w:val="14"/>
                <w:lang w:val="es-ES_tradnl"/>
              </w:rPr>
              <w:tab/>
              <w:t>6</w:t>
            </w:r>
            <w:r w:rsidR="00616858">
              <w:rPr>
                <w:i/>
                <w:iCs/>
                <w:color w:val="0000FF"/>
                <w:sz w:val="14"/>
                <w:szCs w:val="14"/>
                <w:lang w:val="es-ES_tradnl"/>
              </w:rPr>
              <w:t>3.829</w:t>
            </w:r>
          </w:p>
        </w:tc>
        <w:tc>
          <w:tcPr>
            <w:tcW w:w="3041" w:type="dxa"/>
            <w:tcBorders>
              <w:top w:val="nil"/>
              <w:left w:val="nil"/>
              <w:bottom w:val="nil"/>
              <w:right w:val="nil"/>
            </w:tcBorders>
            <w:shd w:val="clear" w:color="auto" w:fill="auto"/>
          </w:tcPr>
          <w:p w:rsidR="00230914" w:rsidRPr="003060BE" w:rsidRDefault="00230914" w:rsidP="00FF362A">
            <w:pPr>
              <w:tabs>
                <w:tab w:val="left" w:pos="2205"/>
                <w:tab w:val="right" w:pos="2835"/>
              </w:tabs>
              <w:rPr>
                <w:i/>
                <w:iCs/>
                <w:sz w:val="14"/>
                <w:szCs w:val="14"/>
                <w:lang w:val="es-ES_tradnl"/>
              </w:rPr>
            </w:pPr>
            <w:r w:rsidRPr="003060BE">
              <w:rPr>
                <w:i/>
                <w:iCs/>
                <w:sz w:val="14"/>
                <w:szCs w:val="14"/>
                <w:lang w:val="es-ES_tradnl"/>
              </w:rPr>
              <w:t>Total del presupue</w:t>
            </w:r>
            <w:r w:rsidR="00616858">
              <w:rPr>
                <w:i/>
                <w:iCs/>
                <w:sz w:val="14"/>
                <w:szCs w:val="14"/>
                <w:lang w:val="es-ES_tradnl"/>
              </w:rPr>
              <w:t>sto propuesto,</w:t>
            </w:r>
            <w:r w:rsidR="00616858">
              <w:rPr>
                <w:i/>
                <w:iCs/>
                <w:sz w:val="14"/>
                <w:szCs w:val="14"/>
                <w:lang w:val="es-ES_tradnl"/>
              </w:rPr>
              <w:br/>
              <w:t xml:space="preserve"> meta IV:</w:t>
            </w:r>
            <w:r w:rsidR="00616858">
              <w:rPr>
                <w:i/>
                <w:iCs/>
                <w:sz w:val="14"/>
                <w:szCs w:val="14"/>
                <w:lang w:val="es-ES_tradnl"/>
              </w:rPr>
              <w:tab/>
            </w:r>
            <w:r w:rsidR="00616858">
              <w:rPr>
                <w:i/>
                <w:iCs/>
                <w:sz w:val="14"/>
                <w:szCs w:val="14"/>
                <w:lang w:val="es-ES_tradnl"/>
              </w:rPr>
              <w:tab/>
              <w:t>44.895</w:t>
            </w:r>
          </w:p>
          <w:p w:rsidR="00230914" w:rsidRPr="003060BE" w:rsidRDefault="00230914" w:rsidP="00FF362A">
            <w:pPr>
              <w:tabs>
                <w:tab w:val="left" w:pos="2205"/>
                <w:tab w:val="right" w:pos="2835"/>
              </w:tabs>
              <w:rPr>
                <w:i/>
                <w:iCs/>
                <w:color w:val="0000FF"/>
                <w:sz w:val="14"/>
                <w:szCs w:val="14"/>
                <w:lang w:val="es-ES_tradnl"/>
              </w:rPr>
            </w:pPr>
            <w:r w:rsidRPr="003060BE">
              <w:rPr>
                <w:i/>
                <w:iCs/>
                <w:color w:val="0000FF"/>
                <w:sz w:val="14"/>
                <w:szCs w:val="14"/>
                <w:lang w:val="es-ES_tradnl"/>
              </w:rPr>
              <w:t>Total de la cuota d</w:t>
            </w:r>
            <w:r w:rsidR="00616858">
              <w:rPr>
                <w:i/>
                <w:iCs/>
                <w:color w:val="0000FF"/>
                <w:sz w:val="14"/>
                <w:szCs w:val="14"/>
                <w:lang w:val="es-ES_tradnl"/>
              </w:rPr>
              <w:t>e desarrollo,</w:t>
            </w:r>
            <w:r w:rsidR="00616858">
              <w:rPr>
                <w:i/>
                <w:iCs/>
                <w:color w:val="0000FF"/>
                <w:sz w:val="14"/>
                <w:szCs w:val="14"/>
                <w:lang w:val="es-ES_tradnl"/>
              </w:rPr>
              <w:br/>
              <w:t xml:space="preserve"> meta IV:</w:t>
            </w:r>
            <w:r w:rsidR="00616858">
              <w:rPr>
                <w:i/>
                <w:iCs/>
                <w:color w:val="0000FF"/>
                <w:sz w:val="14"/>
                <w:szCs w:val="14"/>
                <w:lang w:val="es-ES_tradnl"/>
              </w:rPr>
              <w:tab/>
            </w:r>
            <w:r w:rsidR="00616858">
              <w:rPr>
                <w:i/>
                <w:iCs/>
                <w:color w:val="0000FF"/>
                <w:sz w:val="14"/>
                <w:szCs w:val="14"/>
                <w:lang w:val="es-ES_tradnl"/>
              </w:rPr>
              <w:tab/>
              <w:t>30.899</w:t>
            </w:r>
          </w:p>
        </w:tc>
        <w:tc>
          <w:tcPr>
            <w:tcW w:w="3211" w:type="dxa"/>
            <w:gridSpan w:val="2"/>
            <w:tcBorders>
              <w:top w:val="nil"/>
              <w:left w:val="nil"/>
              <w:bottom w:val="nil"/>
              <w:right w:val="nil"/>
            </w:tcBorders>
            <w:shd w:val="clear" w:color="auto" w:fill="auto"/>
          </w:tcPr>
          <w:p w:rsidR="00230914" w:rsidRPr="003060BE" w:rsidRDefault="00230914" w:rsidP="00FF362A">
            <w:pPr>
              <w:tabs>
                <w:tab w:val="left" w:pos="2221"/>
                <w:tab w:val="right" w:pos="2835"/>
              </w:tabs>
              <w:rPr>
                <w:i/>
                <w:iCs/>
                <w:sz w:val="14"/>
                <w:szCs w:val="14"/>
                <w:lang w:val="es-ES_tradnl"/>
              </w:rPr>
            </w:pPr>
            <w:r w:rsidRPr="003060BE">
              <w:rPr>
                <w:i/>
                <w:iCs/>
                <w:sz w:val="14"/>
                <w:szCs w:val="14"/>
                <w:lang w:val="es-ES_tradnl"/>
              </w:rPr>
              <w:t>Total del presupuesto propuesto,</w:t>
            </w:r>
            <w:r w:rsidRPr="003060BE">
              <w:rPr>
                <w:i/>
                <w:iCs/>
                <w:sz w:val="14"/>
                <w:szCs w:val="14"/>
                <w:lang w:val="es-ES_tradnl"/>
              </w:rPr>
              <w:br/>
              <w:t xml:space="preserve"> meta V:</w:t>
            </w:r>
            <w:r w:rsidRPr="003060BE">
              <w:rPr>
                <w:i/>
                <w:iCs/>
                <w:sz w:val="14"/>
                <w:szCs w:val="14"/>
                <w:lang w:val="es-ES_tradnl"/>
              </w:rPr>
              <w:tab/>
            </w:r>
            <w:r w:rsidRPr="003060BE">
              <w:rPr>
                <w:i/>
                <w:iCs/>
                <w:sz w:val="14"/>
                <w:szCs w:val="14"/>
                <w:lang w:val="es-ES_tradnl"/>
              </w:rPr>
              <w:tab/>
              <w:t>6.402</w:t>
            </w:r>
          </w:p>
          <w:p w:rsidR="00230914" w:rsidRPr="003060BE" w:rsidRDefault="00230914" w:rsidP="00FF362A">
            <w:pPr>
              <w:tabs>
                <w:tab w:val="left" w:pos="2221"/>
                <w:tab w:val="right" w:pos="2835"/>
              </w:tabs>
              <w:rPr>
                <w:i/>
                <w:iCs/>
                <w:color w:val="0000FF"/>
                <w:sz w:val="14"/>
                <w:szCs w:val="14"/>
                <w:lang w:val="es-ES_tradnl"/>
              </w:rPr>
            </w:pPr>
            <w:r w:rsidRPr="003060BE">
              <w:rPr>
                <w:i/>
                <w:iCs/>
                <w:color w:val="0000FF"/>
                <w:sz w:val="14"/>
                <w:szCs w:val="14"/>
                <w:lang w:val="es-ES_tradnl"/>
              </w:rPr>
              <w:t>Total de la cuota de desarrollo,</w:t>
            </w:r>
            <w:r w:rsidRPr="003060BE">
              <w:rPr>
                <w:i/>
                <w:iCs/>
                <w:color w:val="0000FF"/>
                <w:sz w:val="14"/>
                <w:szCs w:val="14"/>
                <w:lang w:val="es-ES_tradnl"/>
              </w:rPr>
              <w:br/>
              <w:t xml:space="preserve"> meta V:</w:t>
            </w:r>
            <w:r w:rsidRPr="003060BE">
              <w:rPr>
                <w:i/>
                <w:iCs/>
                <w:color w:val="0000FF"/>
                <w:sz w:val="14"/>
                <w:szCs w:val="14"/>
                <w:lang w:val="es-ES_tradnl"/>
              </w:rPr>
              <w:tab/>
            </w:r>
            <w:r w:rsidRPr="003060BE">
              <w:rPr>
                <w:i/>
                <w:iCs/>
                <w:color w:val="0000FF"/>
                <w:sz w:val="14"/>
                <w:szCs w:val="14"/>
                <w:lang w:val="es-ES_tradnl"/>
              </w:rPr>
              <w:tab/>
              <w:t>2.270</w:t>
            </w:r>
            <w:r w:rsidRPr="003060BE">
              <w:rPr>
                <w:i/>
                <w:iCs/>
                <w:color w:val="0000FF"/>
                <w:sz w:val="14"/>
                <w:szCs w:val="14"/>
                <w:lang w:val="es-ES_tradnl"/>
              </w:rPr>
              <w:tab/>
            </w:r>
          </w:p>
        </w:tc>
        <w:tc>
          <w:tcPr>
            <w:tcW w:w="2870" w:type="dxa"/>
            <w:tcBorders>
              <w:top w:val="nil"/>
              <w:left w:val="nil"/>
              <w:bottom w:val="nil"/>
              <w:right w:val="nil"/>
            </w:tcBorders>
            <w:shd w:val="clear" w:color="auto" w:fill="auto"/>
          </w:tcPr>
          <w:p w:rsidR="00230914" w:rsidRPr="003060BE" w:rsidRDefault="00230914" w:rsidP="00FF362A">
            <w:pPr>
              <w:tabs>
                <w:tab w:val="left" w:pos="2237"/>
                <w:tab w:val="right" w:pos="2835"/>
              </w:tabs>
              <w:rPr>
                <w:i/>
                <w:iCs/>
                <w:sz w:val="14"/>
                <w:szCs w:val="14"/>
                <w:lang w:val="es-ES_tradnl"/>
              </w:rPr>
            </w:pPr>
            <w:r w:rsidRPr="003060BE">
              <w:rPr>
                <w:i/>
                <w:iCs/>
                <w:sz w:val="14"/>
                <w:szCs w:val="14"/>
                <w:lang w:val="es-ES_tradnl"/>
              </w:rPr>
              <w:t>Total del presupuesto propuesto,</w:t>
            </w:r>
            <w:r w:rsidRPr="003060BE">
              <w:rPr>
                <w:i/>
                <w:iCs/>
                <w:sz w:val="14"/>
                <w:szCs w:val="14"/>
                <w:lang w:val="es-ES_tradnl"/>
              </w:rPr>
              <w:br/>
              <w:t xml:space="preserve"> meta VI:</w:t>
            </w:r>
            <w:r w:rsidRPr="003060BE">
              <w:rPr>
                <w:i/>
                <w:iCs/>
                <w:sz w:val="14"/>
                <w:szCs w:val="14"/>
                <w:lang w:val="es-ES_tradnl"/>
              </w:rPr>
              <w:tab/>
            </w:r>
            <w:r w:rsidRPr="003060BE">
              <w:rPr>
                <w:i/>
                <w:iCs/>
                <w:sz w:val="14"/>
                <w:szCs w:val="14"/>
                <w:lang w:val="es-ES_tradnl"/>
              </w:rPr>
              <w:tab/>
              <w:t>1.553</w:t>
            </w:r>
          </w:p>
          <w:p w:rsidR="00230914" w:rsidRPr="003060BE" w:rsidRDefault="00230914" w:rsidP="00FF362A">
            <w:pPr>
              <w:tabs>
                <w:tab w:val="left" w:pos="2237"/>
                <w:tab w:val="right" w:pos="2835"/>
              </w:tabs>
              <w:rPr>
                <w:i/>
                <w:iCs/>
                <w:color w:val="0000FF"/>
                <w:sz w:val="14"/>
                <w:szCs w:val="14"/>
                <w:lang w:val="es-ES_tradnl"/>
              </w:rPr>
            </w:pPr>
            <w:r w:rsidRPr="003060BE">
              <w:rPr>
                <w:i/>
                <w:iCs/>
                <w:color w:val="0000FF"/>
                <w:sz w:val="14"/>
                <w:szCs w:val="14"/>
                <w:lang w:val="es-ES_tradnl"/>
              </w:rPr>
              <w:t>Total de la cuota de desarrollo,</w:t>
            </w:r>
            <w:r w:rsidRPr="003060BE">
              <w:rPr>
                <w:i/>
                <w:iCs/>
                <w:color w:val="0000FF"/>
                <w:sz w:val="14"/>
                <w:szCs w:val="14"/>
                <w:lang w:val="es-ES_tradnl"/>
              </w:rPr>
              <w:br/>
              <w:t xml:space="preserve"> meta VI:</w:t>
            </w:r>
            <w:r w:rsidRPr="003060BE">
              <w:rPr>
                <w:i/>
                <w:iCs/>
                <w:color w:val="0000FF"/>
                <w:sz w:val="14"/>
                <w:szCs w:val="14"/>
                <w:lang w:val="es-ES_tradnl"/>
              </w:rPr>
              <w:tab/>
            </w:r>
            <w:r w:rsidRPr="003060BE">
              <w:rPr>
                <w:i/>
                <w:iCs/>
                <w:color w:val="0000FF"/>
                <w:sz w:val="14"/>
                <w:szCs w:val="14"/>
                <w:lang w:val="es-ES_tradnl"/>
              </w:rPr>
              <w:tab/>
              <w:t>1.148</w:t>
            </w:r>
            <w:r w:rsidRPr="003060BE">
              <w:rPr>
                <w:i/>
                <w:iCs/>
                <w:color w:val="0000FF"/>
                <w:sz w:val="14"/>
                <w:szCs w:val="14"/>
                <w:lang w:val="es-ES_tradnl"/>
              </w:rPr>
              <w:tab/>
            </w:r>
          </w:p>
        </w:tc>
        <w:tc>
          <w:tcPr>
            <w:tcW w:w="3046" w:type="dxa"/>
            <w:tcBorders>
              <w:top w:val="nil"/>
              <w:left w:val="nil"/>
              <w:bottom w:val="nil"/>
              <w:right w:val="single" w:sz="4" w:space="0" w:color="auto"/>
            </w:tcBorders>
            <w:shd w:val="clear" w:color="auto" w:fill="auto"/>
          </w:tcPr>
          <w:p w:rsidR="00230914" w:rsidRPr="003060BE" w:rsidRDefault="00230914" w:rsidP="00FF362A">
            <w:pPr>
              <w:tabs>
                <w:tab w:val="left" w:pos="2253"/>
                <w:tab w:val="right" w:pos="2835"/>
              </w:tabs>
              <w:rPr>
                <w:i/>
                <w:iCs/>
                <w:sz w:val="14"/>
                <w:szCs w:val="14"/>
                <w:lang w:val="es-ES_tradnl"/>
              </w:rPr>
            </w:pPr>
            <w:r w:rsidRPr="003060BE">
              <w:rPr>
                <w:i/>
                <w:iCs/>
                <w:sz w:val="14"/>
                <w:szCs w:val="14"/>
                <w:lang w:val="es-ES_tradnl"/>
              </w:rPr>
              <w:t>Total del presu</w:t>
            </w:r>
            <w:r w:rsidR="00945E6F">
              <w:rPr>
                <w:i/>
                <w:iCs/>
                <w:sz w:val="14"/>
                <w:szCs w:val="14"/>
                <w:lang w:val="es-ES_tradnl"/>
              </w:rPr>
              <w:t>puesto propuesto,</w:t>
            </w:r>
            <w:r w:rsidR="00945E6F">
              <w:rPr>
                <w:i/>
                <w:iCs/>
                <w:sz w:val="14"/>
                <w:szCs w:val="14"/>
                <w:lang w:val="es-ES_tradnl"/>
              </w:rPr>
              <w:br/>
              <w:t xml:space="preserve"> meta VII:</w:t>
            </w:r>
            <w:r w:rsidR="00945E6F">
              <w:rPr>
                <w:i/>
                <w:iCs/>
                <w:sz w:val="14"/>
                <w:szCs w:val="14"/>
                <w:lang w:val="es-ES_tradnl"/>
              </w:rPr>
              <w:tab/>
            </w:r>
            <w:r w:rsidR="00945E6F">
              <w:rPr>
                <w:i/>
                <w:iCs/>
                <w:sz w:val="14"/>
                <w:szCs w:val="14"/>
                <w:lang w:val="es-ES_tradnl"/>
              </w:rPr>
              <w:tab/>
              <w:t>6.657</w:t>
            </w:r>
          </w:p>
          <w:p w:rsidR="00230914" w:rsidRPr="003060BE" w:rsidRDefault="00230914" w:rsidP="00945E6F">
            <w:pPr>
              <w:tabs>
                <w:tab w:val="left" w:pos="2253"/>
                <w:tab w:val="right" w:pos="2835"/>
              </w:tabs>
              <w:rPr>
                <w:i/>
                <w:iCs/>
                <w:color w:val="0000FF"/>
                <w:sz w:val="14"/>
                <w:szCs w:val="14"/>
                <w:lang w:val="es-ES_tradnl"/>
              </w:rPr>
            </w:pPr>
            <w:r w:rsidRPr="003060BE">
              <w:rPr>
                <w:i/>
                <w:iCs/>
                <w:color w:val="0000FF"/>
                <w:sz w:val="14"/>
                <w:szCs w:val="14"/>
                <w:lang w:val="es-ES_tradnl"/>
              </w:rPr>
              <w:t>Total de la cuota</w:t>
            </w:r>
            <w:r w:rsidR="00945E6F">
              <w:rPr>
                <w:i/>
                <w:iCs/>
                <w:color w:val="0000FF"/>
                <w:sz w:val="14"/>
                <w:szCs w:val="14"/>
                <w:lang w:val="es-ES_tradnl"/>
              </w:rPr>
              <w:t xml:space="preserve"> de desarrollo,</w:t>
            </w:r>
            <w:r w:rsidR="00945E6F">
              <w:rPr>
                <w:i/>
                <w:iCs/>
                <w:color w:val="0000FF"/>
                <w:sz w:val="14"/>
                <w:szCs w:val="14"/>
                <w:lang w:val="es-ES_tradnl"/>
              </w:rPr>
              <w:br/>
              <w:t xml:space="preserve"> meta VII:</w:t>
            </w:r>
            <w:r w:rsidR="00945E6F">
              <w:rPr>
                <w:i/>
                <w:iCs/>
                <w:color w:val="0000FF"/>
                <w:sz w:val="14"/>
                <w:szCs w:val="14"/>
                <w:lang w:val="es-ES_tradnl"/>
              </w:rPr>
              <w:tab/>
            </w:r>
            <w:r w:rsidR="00945E6F">
              <w:rPr>
                <w:i/>
                <w:iCs/>
                <w:color w:val="0000FF"/>
                <w:sz w:val="14"/>
                <w:szCs w:val="14"/>
                <w:lang w:val="es-ES_tradnl"/>
              </w:rPr>
              <w:tab/>
              <w:t>5.272</w:t>
            </w:r>
            <w:r w:rsidRPr="003060BE">
              <w:rPr>
                <w:i/>
                <w:iCs/>
                <w:color w:val="0000FF"/>
                <w:sz w:val="14"/>
                <w:szCs w:val="14"/>
                <w:lang w:val="es-ES_tradnl"/>
              </w:rPr>
              <w:tab/>
            </w:r>
          </w:p>
        </w:tc>
      </w:tr>
      <w:tr w:rsidR="00230914" w:rsidRPr="003060BE" w:rsidTr="00FF362A">
        <w:trPr>
          <w:trHeight w:val="294"/>
        </w:trPr>
        <w:tc>
          <w:tcPr>
            <w:tcW w:w="387" w:type="dxa"/>
            <w:vMerge/>
            <w:tcBorders>
              <w:top w:val="single" w:sz="8" w:space="0" w:color="auto"/>
              <w:left w:val="single" w:sz="8" w:space="0" w:color="auto"/>
              <w:bottom w:val="single" w:sz="4" w:space="0" w:color="000000"/>
              <w:right w:val="nil"/>
            </w:tcBorders>
            <w:vAlign w:val="center"/>
          </w:tcPr>
          <w:p w:rsidR="00230914" w:rsidRPr="003060BE" w:rsidRDefault="00230914" w:rsidP="00FF362A">
            <w:pPr>
              <w:tabs>
                <w:tab w:val="right" w:pos="2835"/>
              </w:tabs>
              <w:rPr>
                <w:b/>
                <w:bCs/>
                <w:sz w:val="16"/>
                <w:szCs w:val="16"/>
                <w:lang w:val="es-ES_tradnl"/>
              </w:rPr>
            </w:pPr>
          </w:p>
        </w:tc>
        <w:tc>
          <w:tcPr>
            <w:tcW w:w="21292" w:type="dxa"/>
            <w:gridSpan w:val="8"/>
            <w:tcBorders>
              <w:top w:val="single" w:sz="4" w:space="0" w:color="auto"/>
              <w:left w:val="single" w:sz="4" w:space="0" w:color="auto"/>
              <w:bottom w:val="single" w:sz="4" w:space="0" w:color="auto"/>
              <w:right w:val="single" w:sz="4" w:space="0" w:color="000000"/>
            </w:tcBorders>
            <w:shd w:val="clear" w:color="auto" w:fill="CCFFFF"/>
            <w:vAlign w:val="center"/>
          </w:tcPr>
          <w:p w:rsidR="00230914" w:rsidRPr="003060BE" w:rsidRDefault="00230914" w:rsidP="00FF362A">
            <w:pPr>
              <w:tabs>
                <w:tab w:val="right" w:pos="2835"/>
              </w:tabs>
              <w:jc w:val="center"/>
              <w:rPr>
                <w:b/>
                <w:bCs/>
                <w:sz w:val="16"/>
                <w:szCs w:val="16"/>
              </w:rPr>
            </w:pPr>
            <w:r w:rsidRPr="003060BE">
              <w:rPr>
                <w:b/>
                <w:bCs/>
                <w:sz w:val="16"/>
                <w:szCs w:val="16"/>
                <w:lang w:val="es-ES_tradnl"/>
              </w:rPr>
              <w:t>Meta estratégica IX - Estructura eficiente de apoyo administrativo y financiero que facilite la ejecución de los programas de la OMPI</w:t>
            </w:r>
          </w:p>
        </w:tc>
      </w:tr>
      <w:tr w:rsidR="00230914" w:rsidRPr="003060BE" w:rsidTr="00237451">
        <w:trPr>
          <w:trHeight w:val="1317"/>
        </w:trPr>
        <w:tc>
          <w:tcPr>
            <w:tcW w:w="387" w:type="dxa"/>
            <w:vMerge/>
            <w:tcBorders>
              <w:top w:val="single" w:sz="8" w:space="0" w:color="auto"/>
              <w:left w:val="single" w:sz="8" w:space="0" w:color="auto"/>
              <w:bottom w:val="single" w:sz="4" w:space="0" w:color="000000"/>
              <w:right w:val="nil"/>
            </w:tcBorders>
            <w:vAlign w:val="center"/>
          </w:tcPr>
          <w:p w:rsidR="00230914" w:rsidRPr="003060BE" w:rsidRDefault="00230914" w:rsidP="00FF362A">
            <w:pPr>
              <w:tabs>
                <w:tab w:val="right" w:pos="2835"/>
              </w:tabs>
              <w:rPr>
                <w:b/>
                <w:bCs/>
                <w:sz w:val="16"/>
                <w:szCs w:val="16"/>
              </w:rPr>
            </w:pPr>
          </w:p>
        </w:tc>
        <w:tc>
          <w:tcPr>
            <w:tcW w:w="3040" w:type="dxa"/>
            <w:tcBorders>
              <w:top w:val="nil"/>
              <w:left w:val="single" w:sz="4" w:space="0" w:color="auto"/>
              <w:bottom w:val="single" w:sz="4" w:space="0" w:color="auto"/>
              <w:right w:val="nil"/>
            </w:tcBorders>
            <w:shd w:val="clear" w:color="auto" w:fill="auto"/>
          </w:tcPr>
          <w:p w:rsidR="00230914" w:rsidRPr="003060BE" w:rsidRDefault="00230914" w:rsidP="00FF362A">
            <w:pPr>
              <w:tabs>
                <w:tab w:val="left" w:pos="1525"/>
                <w:tab w:val="right" w:pos="2835"/>
              </w:tabs>
              <w:rPr>
                <w:sz w:val="15"/>
                <w:szCs w:val="15"/>
              </w:rPr>
            </w:pPr>
            <w:r w:rsidRPr="003060BE">
              <w:rPr>
                <w:sz w:val="15"/>
                <w:szCs w:val="15"/>
              </w:rPr>
              <w:br/>
            </w:r>
          </w:p>
        </w:tc>
        <w:tc>
          <w:tcPr>
            <w:tcW w:w="3041" w:type="dxa"/>
            <w:tcBorders>
              <w:top w:val="nil"/>
              <w:left w:val="nil"/>
              <w:bottom w:val="single" w:sz="4" w:space="0" w:color="auto"/>
              <w:right w:val="nil"/>
            </w:tcBorders>
            <w:shd w:val="clear" w:color="auto" w:fill="auto"/>
          </w:tcPr>
          <w:p w:rsidR="008D3CF3" w:rsidRPr="003060BE" w:rsidRDefault="008D3CF3" w:rsidP="008D3CF3">
            <w:pPr>
              <w:tabs>
                <w:tab w:val="left" w:pos="335"/>
                <w:tab w:val="left" w:pos="2173"/>
                <w:tab w:val="right" w:pos="2835"/>
              </w:tabs>
              <w:rPr>
                <w:i/>
                <w:iCs/>
                <w:sz w:val="14"/>
                <w:szCs w:val="14"/>
              </w:rPr>
            </w:pPr>
          </w:p>
          <w:p w:rsidR="00230914" w:rsidRPr="003060BE" w:rsidRDefault="00230914" w:rsidP="00FF362A">
            <w:pPr>
              <w:tabs>
                <w:tab w:val="right" w:pos="2835"/>
              </w:tabs>
              <w:rPr>
                <w:sz w:val="14"/>
                <w:szCs w:val="14"/>
              </w:rPr>
            </w:pPr>
            <w:r w:rsidRPr="003060BE">
              <w:rPr>
                <w:sz w:val="14"/>
                <w:szCs w:val="14"/>
                <w:lang w:val="es-ES_tradnl"/>
              </w:rPr>
              <w:t>IX.1. Servicios de apoyo eficaces, eficientes, de calidad y orientados al cliente, tanto a los clientes internos como a las partes interesadas externas.</w:t>
            </w:r>
            <w:r w:rsidRPr="003060BE">
              <w:rPr>
                <w:sz w:val="14"/>
                <w:szCs w:val="14"/>
              </w:rPr>
              <w:t xml:space="preserve"> </w:t>
            </w:r>
          </w:p>
          <w:p w:rsidR="00230914" w:rsidRDefault="00230914" w:rsidP="00FF362A">
            <w:pPr>
              <w:tabs>
                <w:tab w:val="left" w:pos="335"/>
                <w:tab w:val="left" w:pos="2173"/>
                <w:tab w:val="right" w:pos="2835"/>
              </w:tabs>
              <w:rPr>
                <w:i/>
                <w:iCs/>
                <w:sz w:val="14"/>
                <w:szCs w:val="14"/>
              </w:rPr>
            </w:pPr>
          </w:p>
          <w:p w:rsidR="00230914" w:rsidRPr="003060BE" w:rsidRDefault="00230914" w:rsidP="00FF362A">
            <w:pPr>
              <w:tabs>
                <w:tab w:val="left" w:pos="335"/>
                <w:tab w:val="left" w:pos="2173"/>
                <w:tab w:val="right" w:pos="2835"/>
              </w:tabs>
              <w:rPr>
                <w:i/>
                <w:iCs/>
                <w:sz w:val="14"/>
                <w:szCs w:val="14"/>
                <w:lang w:val="es-ES_tradnl"/>
              </w:rPr>
            </w:pPr>
            <w:r w:rsidRPr="003060BE">
              <w:rPr>
                <w:i/>
                <w:iCs/>
                <w:sz w:val="14"/>
                <w:szCs w:val="14"/>
              </w:rPr>
              <w:tab/>
            </w:r>
            <w:r w:rsidRPr="003060BE">
              <w:rPr>
                <w:i/>
                <w:iCs/>
                <w:sz w:val="14"/>
                <w:szCs w:val="14"/>
                <w:lang w:val="es-ES_tradnl"/>
              </w:rPr>
              <w:t>Pr</w:t>
            </w:r>
            <w:r w:rsidR="00616858">
              <w:rPr>
                <w:i/>
                <w:iCs/>
                <w:sz w:val="14"/>
                <w:szCs w:val="14"/>
                <w:lang w:val="es-ES_tradnl"/>
              </w:rPr>
              <w:t>esupuesto propuesto 14/15:</w:t>
            </w:r>
            <w:r w:rsidR="00616858">
              <w:rPr>
                <w:i/>
                <w:iCs/>
                <w:sz w:val="14"/>
                <w:szCs w:val="14"/>
                <w:lang w:val="es-ES_tradnl"/>
              </w:rPr>
              <w:tab/>
              <w:t>150.0</w:t>
            </w:r>
            <w:r w:rsidRPr="003060BE">
              <w:rPr>
                <w:i/>
                <w:iCs/>
                <w:sz w:val="14"/>
                <w:szCs w:val="14"/>
                <w:lang w:val="es-ES_tradnl"/>
              </w:rPr>
              <w:t>04</w:t>
            </w:r>
          </w:p>
          <w:p w:rsidR="00230914" w:rsidRPr="003060BE" w:rsidRDefault="00230914" w:rsidP="008D3CF3">
            <w:pPr>
              <w:tabs>
                <w:tab w:val="left" w:pos="335"/>
                <w:tab w:val="left" w:pos="1525"/>
                <w:tab w:val="right" w:pos="2835"/>
              </w:tabs>
              <w:rPr>
                <w:sz w:val="14"/>
                <w:szCs w:val="14"/>
                <w:lang w:val="es-ES_tradnl"/>
              </w:rPr>
            </w:pPr>
            <w:r w:rsidRPr="003060BE">
              <w:rPr>
                <w:i/>
                <w:iCs/>
                <w:sz w:val="14"/>
                <w:szCs w:val="14"/>
                <w:lang w:val="es-ES_tradnl"/>
              </w:rPr>
              <w:tab/>
            </w:r>
            <w:r w:rsidRPr="003060BE">
              <w:rPr>
                <w:i/>
                <w:iCs/>
                <w:color w:val="0000FF"/>
                <w:sz w:val="14"/>
                <w:szCs w:val="14"/>
                <w:lang w:val="es-ES_tradnl"/>
              </w:rPr>
              <w:t>Cuota de desarrollo:</w:t>
            </w:r>
            <w:r w:rsidRPr="003060BE">
              <w:rPr>
                <w:i/>
                <w:iCs/>
                <w:color w:val="0000FF"/>
                <w:sz w:val="14"/>
                <w:szCs w:val="14"/>
                <w:lang w:val="es-ES_tradnl"/>
              </w:rPr>
              <w:tab/>
              <w:t>-</w:t>
            </w:r>
          </w:p>
        </w:tc>
        <w:tc>
          <w:tcPr>
            <w:tcW w:w="3043" w:type="dxa"/>
            <w:tcBorders>
              <w:top w:val="nil"/>
              <w:left w:val="nil"/>
              <w:bottom w:val="single" w:sz="4" w:space="0" w:color="auto"/>
              <w:right w:val="nil"/>
            </w:tcBorders>
            <w:shd w:val="clear" w:color="auto" w:fill="auto"/>
          </w:tcPr>
          <w:p w:rsidR="008D3CF3" w:rsidRPr="003060BE" w:rsidRDefault="008D3CF3" w:rsidP="008D3CF3">
            <w:pPr>
              <w:tabs>
                <w:tab w:val="left" w:pos="335"/>
                <w:tab w:val="left" w:pos="2173"/>
                <w:tab w:val="right" w:pos="2835"/>
              </w:tabs>
              <w:rPr>
                <w:i/>
                <w:iCs/>
                <w:sz w:val="14"/>
                <w:szCs w:val="14"/>
              </w:rPr>
            </w:pPr>
          </w:p>
          <w:p w:rsidR="00230914" w:rsidRPr="003060BE" w:rsidRDefault="00230914" w:rsidP="00FF362A">
            <w:pPr>
              <w:tabs>
                <w:tab w:val="right" w:pos="2835"/>
              </w:tabs>
              <w:rPr>
                <w:sz w:val="14"/>
                <w:szCs w:val="14"/>
              </w:rPr>
            </w:pPr>
            <w:r w:rsidRPr="003060BE">
              <w:rPr>
                <w:sz w:val="14"/>
                <w:szCs w:val="14"/>
                <w:lang w:val="es-ES_tradnl"/>
              </w:rPr>
              <w:t>IX.2. Funcionamiento ágil y sin contratiempos de la Secretaría, provista de un personal bien dirigido, dotado de las competencias adecuadas y capaz de conseguir resultados.</w:t>
            </w:r>
            <w:r w:rsidRPr="003060BE">
              <w:rPr>
                <w:sz w:val="14"/>
                <w:szCs w:val="14"/>
              </w:rPr>
              <w:t xml:space="preserve"> </w:t>
            </w:r>
          </w:p>
          <w:p w:rsidR="008D3CF3" w:rsidRPr="003060BE" w:rsidRDefault="008D3CF3" w:rsidP="00FF362A">
            <w:pPr>
              <w:tabs>
                <w:tab w:val="left" w:pos="325"/>
                <w:tab w:val="left" w:pos="2189"/>
                <w:tab w:val="right" w:pos="2835"/>
              </w:tabs>
              <w:rPr>
                <w:i/>
                <w:iCs/>
                <w:sz w:val="14"/>
                <w:szCs w:val="14"/>
              </w:rPr>
            </w:pPr>
          </w:p>
          <w:p w:rsidR="00230914" w:rsidRPr="003060BE" w:rsidRDefault="00230914" w:rsidP="00FF362A">
            <w:pPr>
              <w:tabs>
                <w:tab w:val="left" w:pos="325"/>
                <w:tab w:val="left" w:pos="2189"/>
                <w:tab w:val="right" w:pos="2835"/>
              </w:tabs>
              <w:rPr>
                <w:i/>
                <w:iCs/>
                <w:sz w:val="14"/>
                <w:szCs w:val="14"/>
              </w:rPr>
            </w:pPr>
            <w:r w:rsidRPr="003060BE">
              <w:rPr>
                <w:i/>
                <w:iCs/>
                <w:sz w:val="14"/>
                <w:szCs w:val="14"/>
              </w:rPr>
              <w:tab/>
              <w:t>Presupuesto propuesto 14/15:</w:t>
            </w:r>
            <w:r w:rsidRPr="003060BE">
              <w:rPr>
                <w:i/>
                <w:iCs/>
                <w:sz w:val="14"/>
                <w:szCs w:val="14"/>
              </w:rPr>
              <w:tab/>
              <w:t>36.809</w:t>
            </w:r>
            <w:r w:rsidRPr="003060BE">
              <w:rPr>
                <w:i/>
                <w:iCs/>
                <w:sz w:val="14"/>
                <w:szCs w:val="14"/>
              </w:rPr>
              <w:tab/>
            </w:r>
          </w:p>
          <w:p w:rsidR="00230914" w:rsidRPr="003060BE" w:rsidRDefault="00230914" w:rsidP="00FF362A">
            <w:pPr>
              <w:tabs>
                <w:tab w:val="left" w:pos="338"/>
                <w:tab w:val="left" w:pos="1525"/>
                <w:tab w:val="right" w:pos="2835"/>
              </w:tabs>
              <w:rPr>
                <w:sz w:val="14"/>
                <w:szCs w:val="14"/>
              </w:rPr>
            </w:pPr>
            <w:r w:rsidRPr="003060BE">
              <w:rPr>
                <w:i/>
                <w:iCs/>
                <w:sz w:val="14"/>
                <w:szCs w:val="14"/>
              </w:rPr>
              <w:tab/>
            </w:r>
            <w:r w:rsidRPr="003060BE">
              <w:rPr>
                <w:i/>
                <w:iCs/>
                <w:color w:val="0000FF"/>
                <w:sz w:val="14"/>
                <w:szCs w:val="14"/>
                <w:lang w:val="es-ES_tradnl"/>
              </w:rPr>
              <w:t>Cuota de desarrollo:</w:t>
            </w:r>
            <w:r w:rsidRPr="003060BE">
              <w:rPr>
                <w:i/>
                <w:iCs/>
                <w:sz w:val="14"/>
                <w:szCs w:val="14"/>
              </w:rPr>
              <w:tab/>
            </w:r>
            <w:r w:rsidRPr="003060BE">
              <w:rPr>
                <w:i/>
                <w:iCs/>
                <w:color w:val="0000FF"/>
                <w:sz w:val="14"/>
                <w:szCs w:val="14"/>
              </w:rPr>
              <w:t>-</w:t>
            </w:r>
          </w:p>
        </w:tc>
        <w:tc>
          <w:tcPr>
            <w:tcW w:w="3041" w:type="dxa"/>
            <w:tcBorders>
              <w:top w:val="nil"/>
              <w:left w:val="nil"/>
              <w:bottom w:val="single" w:sz="4" w:space="0" w:color="auto"/>
              <w:right w:val="nil"/>
            </w:tcBorders>
            <w:shd w:val="clear" w:color="auto" w:fill="auto"/>
          </w:tcPr>
          <w:p w:rsidR="008D3CF3" w:rsidRPr="003060BE" w:rsidRDefault="008D3CF3" w:rsidP="008D3CF3">
            <w:pPr>
              <w:tabs>
                <w:tab w:val="left" w:pos="335"/>
                <w:tab w:val="left" w:pos="2173"/>
                <w:tab w:val="right" w:pos="2835"/>
              </w:tabs>
              <w:rPr>
                <w:i/>
                <w:iCs/>
                <w:sz w:val="14"/>
                <w:szCs w:val="14"/>
              </w:rPr>
            </w:pPr>
          </w:p>
          <w:p w:rsidR="00230914" w:rsidRPr="003060BE" w:rsidRDefault="00230914" w:rsidP="00FF362A">
            <w:pPr>
              <w:tabs>
                <w:tab w:val="left" w:pos="1525"/>
                <w:tab w:val="right" w:pos="2835"/>
              </w:tabs>
              <w:rPr>
                <w:sz w:val="14"/>
                <w:szCs w:val="14"/>
              </w:rPr>
            </w:pPr>
            <w:r w:rsidRPr="003060BE">
              <w:rPr>
                <w:sz w:val="14"/>
                <w:szCs w:val="14"/>
                <w:lang w:val="es-ES_tradnl"/>
              </w:rPr>
              <w:t xml:space="preserve">IX.3. Entorno de trabajo propicio basado en un marco </w:t>
            </w:r>
            <w:r w:rsidR="009A045F">
              <w:rPr>
                <w:sz w:val="14"/>
                <w:szCs w:val="14"/>
                <w:lang w:val="es-ES_tradnl"/>
              </w:rPr>
              <w:t>reglamentario</w:t>
            </w:r>
            <w:r w:rsidR="009A045F" w:rsidRPr="003060BE">
              <w:rPr>
                <w:sz w:val="14"/>
                <w:szCs w:val="14"/>
                <w:lang w:val="es-ES_tradnl"/>
              </w:rPr>
              <w:t xml:space="preserve"> </w:t>
            </w:r>
            <w:r w:rsidRPr="003060BE">
              <w:rPr>
                <w:sz w:val="14"/>
                <w:szCs w:val="14"/>
                <w:lang w:val="es-ES_tradnl"/>
              </w:rPr>
              <w:t>eficaz y me</w:t>
            </w:r>
            <w:r w:rsidR="008613B0">
              <w:rPr>
                <w:sz w:val="14"/>
                <w:szCs w:val="14"/>
                <w:lang w:val="es-ES_tradnl"/>
              </w:rPr>
              <w:t xml:space="preserve">dios adecuados para atender los temas de interés </w:t>
            </w:r>
            <w:r w:rsidRPr="003060BE">
              <w:rPr>
                <w:sz w:val="14"/>
                <w:szCs w:val="14"/>
                <w:lang w:val="es-ES_tradnl"/>
              </w:rPr>
              <w:t>del personal.</w:t>
            </w:r>
          </w:p>
          <w:p w:rsidR="008D3CF3" w:rsidRPr="003060BE" w:rsidRDefault="008D3CF3" w:rsidP="00FF362A">
            <w:pPr>
              <w:tabs>
                <w:tab w:val="left" w:pos="378"/>
                <w:tab w:val="left" w:pos="2205"/>
                <w:tab w:val="right" w:pos="2835"/>
              </w:tabs>
              <w:rPr>
                <w:i/>
                <w:iCs/>
                <w:sz w:val="14"/>
                <w:szCs w:val="14"/>
              </w:rPr>
            </w:pPr>
          </w:p>
          <w:p w:rsidR="00230914" w:rsidRPr="003060BE" w:rsidRDefault="00230914" w:rsidP="00FF362A">
            <w:pPr>
              <w:tabs>
                <w:tab w:val="left" w:pos="378"/>
                <w:tab w:val="left" w:pos="2205"/>
                <w:tab w:val="right" w:pos="2835"/>
              </w:tabs>
              <w:rPr>
                <w:i/>
                <w:iCs/>
                <w:sz w:val="14"/>
                <w:szCs w:val="14"/>
                <w:lang w:val="es-ES_tradnl"/>
              </w:rPr>
            </w:pPr>
            <w:r w:rsidRPr="003060BE">
              <w:rPr>
                <w:i/>
                <w:iCs/>
                <w:sz w:val="14"/>
                <w:szCs w:val="14"/>
              </w:rPr>
              <w:tab/>
            </w:r>
            <w:r w:rsidRPr="003060BE">
              <w:rPr>
                <w:i/>
                <w:iCs/>
                <w:sz w:val="14"/>
                <w:szCs w:val="14"/>
                <w:lang w:val="es-ES_tradnl"/>
              </w:rPr>
              <w:t>Presupuesto propuesto 14/15:</w:t>
            </w:r>
            <w:r w:rsidRPr="003060BE">
              <w:rPr>
                <w:i/>
                <w:iCs/>
                <w:sz w:val="14"/>
                <w:szCs w:val="14"/>
                <w:lang w:val="es-ES_tradnl"/>
              </w:rPr>
              <w:tab/>
              <w:t>2.971</w:t>
            </w:r>
            <w:r w:rsidRPr="003060BE">
              <w:rPr>
                <w:i/>
                <w:iCs/>
                <w:sz w:val="14"/>
                <w:szCs w:val="14"/>
                <w:lang w:val="es-ES_tradnl"/>
              </w:rPr>
              <w:tab/>
            </w:r>
          </w:p>
          <w:p w:rsidR="00230914" w:rsidRPr="003060BE" w:rsidRDefault="00230914" w:rsidP="008D3CF3">
            <w:pPr>
              <w:tabs>
                <w:tab w:val="left" w:pos="366"/>
                <w:tab w:val="right" w:pos="2835"/>
              </w:tabs>
              <w:rPr>
                <w:i/>
                <w:iCs/>
                <w:sz w:val="14"/>
                <w:szCs w:val="14"/>
                <w:lang w:val="es-ES_tradnl"/>
              </w:rPr>
            </w:pPr>
            <w:r w:rsidRPr="003060BE">
              <w:rPr>
                <w:i/>
                <w:iCs/>
                <w:sz w:val="14"/>
                <w:szCs w:val="14"/>
                <w:lang w:val="es-ES_tradnl"/>
              </w:rPr>
              <w:tab/>
            </w:r>
            <w:r w:rsidRPr="003060BE">
              <w:rPr>
                <w:i/>
                <w:iCs/>
                <w:color w:val="0000FF"/>
                <w:sz w:val="14"/>
                <w:szCs w:val="14"/>
                <w:lang w:val="es-ES_tradnl"/>
              </w:rPr>
              <w:t>Cuota de desarrollo:</w:t>
            </w:r>
            <w:r w:rsidRPr="003060BE">
              <w:rPr>
                <w:i/>
                <w:iCs/>
                <w:sz w:val="14"/>
                <w:szCs w:val="14"/>
                <w:lang w:val="es-ES_tradnl"/>
              </w:rPr>
              <w:tab/>
            </w:r>
            <w:r w:rsidRPr="003060BE">
              <w:rPr>
                <w:i/>
                <w:iCs/>
                <w:color w:val="0000FF"/>
                <w:sz w:val="14"/>
                <w:szCs w:val="14"/>
                <w:lang w:val="es-ES_tradnl"/>
              </w:rPr>
              <w:t>-</w:t>
            </w:r>
          </w:p>
        </w:tc>
        <w:tc>
          <w:tcPr>
            <w:tcW w:w="3040" w:type="dxa"/>
            <w:tcBorders>
              <w:top w:val="nil"/>
              <w:left w:val="nil"/>
              <w:bottom w:val="single" w:sz="4" w:space="0" w:color="auto"/>
              <w:right w:val="nil"/>
            </w:tcBorders>
            <w:shd w:val="clear" w:color="auto" w:fill="auto"/>
          </w:tcPr>
          <w:p w:rsidR="008D3CF3" w:rsidRPr="003060BE" w:rsidRDefault="008D3CF3" w:rsidP="008D3CF3">
            <w:pPr>
              <w:tabs>
                <w:tab w:val="left" w:pos="335"/>
                <w:tab w:val="left" w:pos="2173"/>
                <w:tab w:val="right" w:pos="2835"/>
              </w:tabs>
              <w:rPr>
                <w:i/>
                <w:iCs/>
                <w:sz w:val="14"/>
                <w:szCs w:val="14"/>
              </w:rPr>
            </w:pPr>
          </w:p>
          <w:p w:rsidR="00230914" w:rsidRPr="003060BE" w:rsidRDefault="00230914" w:rsidP="00FF362A">
            <w:pPr>
              <w:tabs>
                <w:tab w:val="right" w:pos="2835"/>
              </w:tabs>
              <w:rPr>
                <w:sz w:val="14"/>
                <w:szCs w:val="14"/>
              </w:rPr>
            </w:pPr>
            <w:r w:rsidRPr="003060BE">
              <w:rPr>
                <w:sz w:val="14"/>
                <w:szCs w:val="14"/>
                <w:lang w:val="es-ES_tradnl"/>
              </w:rPr>
              <w:t>IX.4. Una Organización responsable con el medio ambiente y la sociedad en la que se garantiza la seguridad del personal de la OMPI, los delegados, los visitantes, la información y los activos físicos.</w:t>
            </w:r>
          </w:p>
          <w:p w:rsidR="00230914" w:rsidRPr="003060BE" w:rsidRDefault="00230914" w:rsidP="00FF362A">
            <w:pPr>
              <w:tabs>
                <w:tab w:val="left" w:pos="368"/>
                <w:tab w:val="left" w:pos="2221"/>
                <w:tab w:val="right" w:pos="2835"/>
              </w:tabs>
              <w:rPr>
                <w:i/>
                <w:iCs/>
                <w:sz w:val="14"/>
                <w:szCs w:val="14"/>
                <w:lang w:val="es-ES_tradnl"/>
              </w:rPr>
            </w:pPr>
            <w:r w:rsidRPr="003060BE">
              <w:rPr>
                <w:i/>
                <w:iCs/>
                <w:sz w:val="14"/>
                <w:szCs w:val="14"/>
              </w:rPr>
              <w:tab/>
            </w:r>
            <w:r w:rsidRPr="003060BE">
              <w:rPr>
                <w:i/>
                <w:iCs/>
                <w:sz w:val="14"/>
                <w:szCs w:val="14"/>
                <w:lang w:val="es-ES_tradnl"/>
              </w:rPr>
              <w:t>Presupuesto propuesto 14/15:</w:t>
            </w:r>
            <w:r w:rsidRPr="003060BE">
              <w:rPr>
                <w:i/>
                <w:iCs/>
                <w:sz w:val="14"/>
                <w:szCs w:val="14"/>
                <w:lang w:val="es-ES_tradnl"/>
              </w:rPr>
              <w:tab/>
              <w:t>13.992</w:t>
            </w:r>
            <w:r w:rsidRPr="003060BE">
              <w:rPr>
                <w:i/>
                <w:iCs/>
                <w:sz w:val="14"/>
                <w:szCs w:val="14"/>
                <w:lang w:val="es-ES_tradnl"/>
              </w:rPr>
              <w:tab/>
            </w:r>
          </w:p>
          <w:p w:rsidR="00230914" w:rsidRPr="003060BE" w:rsidRDefault="00230914" w:rsidP="008D3CF3">
            <w:pPr>
              <w:tabs>
                <w:tab w:val="left" w:pos="356"/>
                <w:tab w:val="left" w:pos="1525"/>
                <w:tab w:val="right" w:pos="2835"/>
              </w:tabs>
              <w:rPr>
                <w:i/>
                <w:iCs/>
                <w:sz w:val="14"/>
                <w:szCs w:val="14"/>
                <w:lang w:val="es-ES_tradnl"/>
              </w:rPr>
            </w:pPr>
            <w:r w:rsidRPr="003060BE">
              <w:rPr>
                <w:i/>
                <w:iCs/>
                <w:sz w:val="14"/>
                <w:szCs w:val="14"/>
                <w:lang w:val="es-ES_tradnl"/>
              </w:rPr>
              <w:tab/>
            </w:r>
            <w:r w:rsidRPr="003060BE">
              <w:rPr>
                <w:iCs/>
                <w:color w:val="0000FF"/>
                <w:sz w:val="14"/>
                <w:szCs w:val="14"/>
                <w:lang w:val="es-ES_tradnl"/>
              </w:rPr>
              <w:t>Cuota de desarrollo:</w:t>
            </w:r>
            <w:r w:rsidRPr="003060BE">
              <w:rPr>
                <w:sz w:val="14"/>
                <w:szCs w:val="14"/>
                <w:lang w:val="es-ES_tradnl"/>
              </w:rPr>
              <w:t xml:space="preserve"> </w:t>
            </w:r>
            <w:r w:rsidRPr="003060BE">
              <w:rPr>
                <w:sz w:val="14"/>
                <w:szCs w:val="14"/>
                <w:lang w:val="es-ES_tradnl"/>
              </w:rPr>
              <w:tab/>
            </w:r>
            <w:r w:rsidRPr="003060BE">
              <w:rPr>
                <w:color w:val="0000FF"/>
                <w:sz w:val="14"/>
                <w:szCs w:val="14"/>
                <w:lang w:val="es-ES_tradnl"/>
              </w:rPr>
              <w:t>-</w:t>
            </w:r>
          </w:p>
        </w:tc>
        <w:tc>
          <w:tcPr>
            <w:tcW w:w="3041" w:type="dxa"/>
            <w:gridSpan w:val="2"/>
            <w:tcBorders>
              <w:top w:val="nil"/>
              <w:left w:val="nil"/>
              <w:bottom w:val="single" w:sz="4" w:space="0" w:color="auto"/>
              <w:right w:val="nil"/>
            </w:tcBorders>
            <w:shd w:val="clear" w:color="auto" w:fill="auto"/>
          </w:tcPr>
          <w:p w:rsidR="008D3CF3" w:rsidRPr="003060BE" w:rsidRDefault="008D3CF3" w:rsidP="008D3CF3">
            <w:pPr>
              <w:tabs>
                <w:tab w:val="left" w:pos="335"/>
                <w:tab w:val="left" w:pos="2173"/>
                <w:tab w:val="right" w:pos="2835"/>
              </w:tabs>
              <w:rPr>
                <w:i/>
                <w:iCs/>
                <w:sz w:val="14"/>
                <w:szCs w:val="14"/>
              </w:rPr>
            </w:pPr>
          </w:p>
          <w:p w:rsidR="00230914" w:rsidRPr="003060BE" w:rsidRDefault="00230914" w:rsidP="00FF362A">
            <w:pPr>
              <w:rPr>
                <w:sz w:val="14"/>
                <w:szCs w:val="14"/>
                <w:lang w:val="es-ES_tradnl"/>
              </w:rPr>
            </w:pPr>
            <w:r w:rsidRPr="003060BE">
              <w:rPr>
                <w:sz w:val="14"/>
                <w:szCs w:val="14"/>
                <w:lang w:val="es-ES_tradnl"/>
              </w:rPr>
              <w:t>IX.8. Mejor rendición de cuentas, aprendizaje institucional, uso óptimo de los recursos, administración, control interno y buen gobierno gracias a la asistencia que proporciona una supervisión eficaz e independiente.</w:t>
            </w:r>
          </w:p>
          <w:p w:rsidR="00230914" w:rsidRPr="003060BE" w:rsidRDefault="00230914" w:rsidP="00FF362A">
            <w:pPr>
              <w:tabs>
                <w:tab w:val="left" w:pos="412"/>
                <w:tab w:val="left" w:pos="2237"/>
                <w:tab w:val="right" w:pos="2835"/>
              </w:tabs>
              <w:rPr>
                <w:i/>
                <w:iCs/>
                <w:sz w:val="14"/>
                <w:szCs w:val="14"/>
                <w:lang w:val="es-ES_tradnl"/>
              </w:rPr>
            </w:pPr>
            <w:r w:rsidRPr="003060BE">
              <w:rPr>
                <w:i/>
                <w:iCs/>
                <w:sz w:val="14"/>
                <w:szCs w:val="14"/>
              </w:rPr>
              <w:tab/>
            </w:r>
            <w:r w:rsidRPr="003060BE">
              <w:rPr>
                <w:i/>
                <w:iCs/>
                <w:sz w:val="14"/>
                <w:szCs w:val="14"/>
                <w:lang w:val="es-ES_tradnl"/>
              </w:rPr>
              <w:t>Presupuesto propuesto 14/15:</w:t>
            </w:r>
            <w:r w:rsidRPr="003060BE">
              <w:rPr>
                <w:i/>
                <w:iCs/>
                <w:sz w:val="14"/>
                <w:szCs w:val="14"/>
                <w:lang w:val="es-ES_tradnl"/>
              </w:rPr>
              <w:tab/>
              <w:t>6.641</w:t>
            </w:r>
            <w:r w:rsidRPr="003060BE">
              <w:rPr>
                <w:i/>
                <w:iCs/>
                <w:sz w:val="14"/>
                <w:szCs w:val="14"/>
                <w:lang w:val="es-ES_tradnl"/>
              </w:rPr>
              <w:tab/>
            </w:r>
          </w:p>
          <w:p w:rsidR="00230914" w:rsidRPr="003060BE" w:rsidRDefault="00230914" w:rsidP="008D3CF3">
            <w:pPr>
              <w:tabs>
                <w:tab w:val="left" w:pos="424"/>
                <w:tab w:val="left" w:pos="2237"/>
                <w:tab w:val="right" w:pos="2835"/>
              </w:tabs>
              <w:rPr>
                <w:sz w:val="14"/>
                <w:szCs w:val="14"/>
                <w:lang w:val="es-ES_tradnl"/>
              </w:rPr>
            </w:pPr>
            <w:r w:rsidRPr="003060BE">
              <w:rPr>
                <w:i/>
                <w:iCs/>
                <w:sz w:val="14"/>
                <w:szCs w:val="14"/>
                <w:lang w:val="es-ES_tradnl"/>
              </w:rPr>
              <w:tab/>
            </w:r>
            <w:r w:rsidRPr="003060BE">
              <w:rPr>
                <w:i/>
                <w:iCs/>
                <w:color w:val="0000FF"/>
                <w:sz w:val="14"/>
                <w:szCs w:val="14"/>
                <w:lang w:val="es-ES_tradnl"/>
              </w:rPr>
              <w:t>Cuota de desarrollo:</w:t>
            </w:r>
            <w:r w:rsidRPr="003060BE">
              <w:rPr>
                <w:i/>
                <w:iCs/>
                <w:sz w:val="14"/>
                <w:szCs w:val="14"/>
                <w:lang w:val="es-ES_tradnl"/>
              </w:rPr>
              <w:tab/>
            </w:r>
            <w:r w:rsidRPr="003060BE">
              <w:rPr>
                <w:i/>
                <w:iCs/>
                <w:color w:val="0000FF"/>
                <w:sz w:val="14"/>
                <w:szCs w:val="14"/>
                <w:lang w:val="es-ES_tradnl"/>
              </w:rPr>
              <w:tab/>
              <w:t>937</w:t>
            </w:r>
          </w:p>
        </w:tc>
        <w:tc>
          <w:tcPr>
            <w:tcW w:w="3046" w:type="dxa"/>
            <w:tcBorders>
              <w:top w:val="nil"/>
              <w:left w:val="nil"/>
              <w:bottom w:val="single" w:sz="4" w:space="0" w:color="auto"/>
              <w:right w:val="single" w:sz="4" w:space="0" w:color="auto"/>
            </w:tcBorders>
            <w:shd w:val="clear" w:color="auto" w:fill="auto"/>
          </w:tcPr>
          <w:p w:rsidR="00230914" w:rsidRPr="003060BE" w:rsidRDefault="00230914" w:rsidP="00FF362A">
            <w:pPr>
              <w:tabs>
                <w:tab w:val="left" w:pos="2040"/>
                <w:tab w:val="right" w:pos="2835"/>
              </w:tabs>
              <w:rPr>
                <w:i/>
                <w:iCs/>
                <w:sz w:val="14"/>
                <w:szCs w:val="14"/>
                <w:lang w:val="es-ES_tradnl"/>
              </w:rPr>
            </w:pPr>
          </w:p>
          <w:p w:rsidR="00230914" w:rsidRPr="003060BE" w:rsidRDefault="00230914" w:rsidP="00FF362A">
            <w:pPr>
              <w:tabs>
                <w:tab w:val="left" w:pos="2040"/>
                <w:tab w:val="right" w:pos="2835"/>
              </w:tabs>
              <w:rPr>
                <w:i/>
                <w:iCs/>
                <w:sz w:val="14"/>
                <w:szCs w:val="14"/>
                <w:lang w:val="es-ES_tradnl"/>
              </w:rPr>
            </w:pPr>
          </w:p>
          <w:p w:rsidR="00230914" w:rsidRPr="003060BE" w:rsidRDefault="00230914" w:rsidP="00FF362A">
            <w:pPr>
              <w:tabs>
                <w:tab w:val="left" w:pos="2253"/>
                <w:tab w:val="right" w:pos="2835"/>
              </w:tabs>
              <w:rPr>
                <w:i/>
                <w:iCs/>
                <w:sz w:val="14"/>
                <w:szCs w:val="14"/>
                <w:lang w:val="es-ES_tradnl"/>
              </w:rPr>
            </w:pPr>
            <w:r w:rsidRPr="003060BE">
              <w:rPr>
                <w:i/>
                <w:iCs/>
                <w:sz w:val="14"/>
                <w:szCs w:val="14"/>
                <w:lang w:val="es-ES_tradnl"/>
              </w:rPr>
              <w:t>Total del presupu</w:t>
            </w:r>
            <w:r w:rsidR="00945E6F">
              <w:rPr>
                <w:i/>
                <w:iCs/>
                <w:sz w:val="14"/>
                <w:szCs w:val="14"/>
                <w:lang w:val="es-ES_tradnl"/>
              </w:rPr>
              <w:t>esto propuesto,</w:t>
            </w:r>
            <w:r w:rsidR="00945E6F">
              <w:rPr>
                <w:i/>
                <w:iCs/>
                <w:sz w:val="14"/>
                <w:szCs w:val="14"/>
                <w:lang w:val="es-ES_tradnl"/>
              </w:rPr>
              <w:br/>
              <w:t xml:space="preserve"> meta IX:</w:t>
            </w:r>
            <w:r w:rsidR="00945E6F">
              <w:rPr>
                <w:i/>
                <w:iCs/>
                <w:sz w:val="14"/>
                <w:szCs w:val="14"/>
                <w:lang w:val="es-ES_tradnl"/>
              </w:rPr>
              <w:tab/>
            </w:r>
            <w:r w:rsidR="00945E6F">
              <w:rPr>
                <w:i/>
                <w:iCs/>
                <w:sz w:val="14"/>
                <w:szCs w:val="14"/>
                <w:lang w:val="es-ES_tradnl"/>
              </w:rPr>
              <w:tab/>
              <w:t>210.4</w:t>
            </w:r>
            <w:r w:rsidRPr="003060BE">
              <w:rPr>
                <w:i/>
                <w:iCs/>
                <w:sz w:val="14"/>
                <w:szCs w:val="14"/>
                <w:lang w:val="es-ES_tradnl"/>
              </w:rPr>
              <w:t>17</w:t>
            </w:r>
          </w:p>
          <w:p w:rsidR="00230914" w:rsidRPr="003060BE" w:rsidRDefault="00230914" w:rsidP="00FF362A">
            <w:pPr>
              <w:tabs>
                <w:tab w:val="left" w:pos="2040"/>
                <w:tab w:val="right" w:pos="2835"/>
              </w:tabs>
              <w:rPr>
                <w:color w:val="0000FF"/>
                <w:sz w:val="14"/>
                <w:szCs w:val="14"/>
                <w:lang w:val="es-ES_tradnl"/>
              </w:rPr>
            </w:pPr>
            <w:r w:rsidRPr="003060BE">
              <w:rPr>
                <w:i/>
                <w:iCs/>
                <w:color w:val="0000FF"/>
                <w:sz w:val="14"/>
                <w:szCs w:val="14"/>
                <w:lang w:val="es-ES_tradnl"/>
              </w:rPr>
              <w:t>Total de la cuota de desarrollo,</w:t>
            </w:r>
            <w:r w:rsidRPr="003060BE">
              <w:rPr>
                <w:i/>
                <w:iCs/>
                <w:color w:val="0000FF"/>
                <w:sz w:val="14"/>
                <w:szCs w:val="14"/>
                <w:lang w:val="es-ES_tradnl"/>
              </w:rPr>
              <w:br/>
              <w:t xml:space="preserve"> meta IX:</w:t>
            </w:r>
            <w:r w:rsidRPr="003060BE">
              <w:rPr>
                <w:i/>
                <w:iCs/>
                <w:color w:val="0000FF"/>
                <w:sz w:val="14"/>
                <w:szCs w:val="14"/>
                <w:lang w:val="es-ES_tradnl"/>
              </w:rPr>
              <w:tab/>
            </w:r>
            <w:r w:rsidRPr="003060BE">
              <w:rPr>
                <w:i/>
                <w:iCs/>
                <w:color w:val="0000FF"/>
                <w:sz w:val="14"/>
                <w:szCs w:val="14"/>
                <w:lang w:val="es-ES_tradnl"/>
              </w:rPr>
              <w:tab/>
              <w:t>937</w:t>
            </w:r>
          </w:p>
        </w:tc>
      </w:tr>
      <w:tr w:rsidR="00230914" w:rsidRPr="00A221AA" w:rsidTr="00FF362A">
        <w:trPr>
          <w:trHeight w:val="684"/>
        </w:trPr>
        <w:tc>
          <w:tcPr>
            <w:tcW w:w="387" w:type="dxa"/>
            <w:tcBorders>
              <w:top w:val="nil"/>
              <w:left w:val="nil"/>
              <w:bottom w:val="nil"/>
              <w:right w:val="nil"/>
            </w:tcBorders>
            <w:shd w:val="clear" w:color="auto" w:fill="auto"/>
            <w:noWrap/>
            <w:vAlign w:val="bottom"/>
          </w:tcPr>
          <w:p w:rsidR="00230914" w:rsidRPr="003060BE" w:rsidRDefault="00230914" w:rsidP="00FF362A">
            <w:pPr>
              <w:tabs>
                <w:tab w:val="right" w:pos="2835"/>
              </w:tabs>
              <w:rPr>
                <w:sz w:val="16"/>
                <w:szCs w:val="16"/>
                <w:lang w:val="es-ES_tradnl"/>
              </w:rPr>
            </w:pPr>
          </w:p>
        </w:tc>
        <w:tc>
          <w:tcPr>
            <w:tcW w:w="9124" w:type="dxa"/>
            <w:gridSpan w:val="3"/>
            <w:tcBorders>
              <w:top w:val="single" w:sz="4" w:space="0" w:color="auto"/>
              <w:left w:val="nil"/>
              <w:bottom w:val="nil"/>
              <w:right w:val="nil"/>
            </w:tcBorders>
            <w:shd w:val="clear" w:color="auto" w:fill="auto"/>
            <w:vAlign w:val="center"/>
          </w:tcPr>
          <w:p w:rsidR="00230914" w:rsidRPr="00230914" w:rsidRDefault="00230914" w:rsidP="00FF362A">
            <w:pPr>
              <w:tabs>
                <w:tab w:val="right" w:pos="2835"/>
              </w:tabs>
              <w:rPr>
                <w:i/>
                <w:iCs/>
                <w:sz w:val="12"/>
                <w:szCs w:val="12"/>
              </w:rPr>
            </w:pPr>
            <w:r w:rsidRPr="00230914">
              <w:rPr>
                <w:iCs/>
                <w:sz w:val="12"/>
                <w:szCs w:val="12"/>
                <w:lang w:val="es-ES_tradnl"/>
              </w:rPr>
              <w:t>1 En la propuesta de presupuesto por resultados no aparece el importe correspondiente a fondos sin consignar:  4.327.</w:t>
            </w:r>
          </w:p>
          <w:p w:rsidR="00230914" w:rsidRPr="00230914" w:rsidRDefault="00230914" w:rsidP="00FF362A">
            <w:pPr>
              <w:tabs>
                <w:tab w:val="right" w:pos="2835"/>
              </w:tabs>
              <w:rPr>
                <w:i/>
                <w:iCs/>
                <w:sz w:val="12"/>
                <w:szCs w:val="12"/>
              </w:rPr>
            </w:pPr>
            <w:r w:rsidRPr="00230914">
              <w:rPr>
                <w:iCs/>
                <w:sz w:val="12"/>
                <w:szCs w:val="12"/>
                <w:lang w:val="es-ES_tradnl"/>
              </w:rPr>
              <w:t>2 Cuota asignada al desarrollo:  Los gastos se definen en tanto que gastos para desarrollo exclusivamente en la medida en que el beneficiario sea un país en desarrollo y que no se haya previsto un gasto equivalente para los países desarrollados (conforme a lo que se viene haciendo hasta la fecha, a los fines del presupuesto por programas se incluye a los países con economías en transición).</w:t>
            </w:r>
          </w:p>
          <w:p w:rsidR="00230914" w:rsidRPr="00230914" w:rsidRDefault="00230914" w:rsidP="00FF362A">
            <w:pPr>
              <w:tabs>
                <w:tab w:val="right" w:pos="2835"/>
              </w:tabs>
              <w:rPr>
                <w:i/>
                <w:iCs/>
                <w:sz w:val="12"/>
                <w:szCs w:val="12"/>
              </w:rPr>
            </w:pPr>
            <w:r w:rsidRPr="00230914">
              <w:rPr>
                <w:iCs/>
                <w:sz w:val="12"/>
                <w:szCs w:val="12"/>
                <w:lang w:val="es-ES_tradnl"/>
              </w:rPr>
              <w:t>3 En los importes correspondientes a la cuota asignada al desarrollo están incluidos los recursos para proyectos de la Agenda para el Desarrollo</w:t>
            </w:r>
          </w:p>
          <w:p w:rsidR="00230914" w:rsidRPr="00230914" w:rsidRDefault="00230914" w:rsidP="00FF362A">
            <w:pPr>
              <w:tabs>
                <w:tab w:val="right" w:pos="2835"/>
              </w:tabs>
              <w:rPr>
                <w:i/>
                <w:iCs/>
                <w:sz w:val="12"/>
                <w:szCs w:val="12"/>
              </w:rPr>
            </w:pPr>
            <w:r w:rsidRPr="00230914">
              <w:rPr>
                <w:iCs/>
                <w:sz w:val="12"/>
                <w:szCs w:val="12"/>
                <w:lang w:val="es-ES_tradnl"/>
              </w:rPr>
              <w:t>4 En caso de que las cifras no correspondan al presupuesto total se deberá al redondeo de los importes.</w:t>
            </w:r>
          </w:p>
        </w:tc>
        <w:tc>
          <w:tcPr>
            <w:tcW w:w="3041" w:type="dxa"/>
            <w:tcBorders>
              <w:top w:val="nil"/>
              <w:left w:val="nil"/>
              <w:bottom w:val="nil"/>
              <w:right w:val="nil"/>
            </w:tcBorders>
            <w:shd w:val="clear" w:color="auto" w:fill="auto"/>
            <w:noWrap/>
            <w:vAlign w:val="bottom"/>
          </w:tcPr>
          <w:p w:rsidR="00230914" w:rsidRPr="003060BE" w:rsidRDefault="00230914" w:rsidP="00FF362A">
            <w:pPr>
              <w:tabs>
                <w:tab w:val="right" w:pos="2835"/>
              </w:tabs>
              <w:rPr>
                <w:sz w:val="16"/>
                <w:szCs w:val="16"/>
              </w:rPr>
            </w:pPr>
          </w:p>
        </w:tc>
        <w:tc>
          <w:tcPr>
            <w:tcW w:w="3040" w:type="dxa"/>
            <w:tcBorders>
              <w:top w:val="nil"/>
              <w:left w:val="nil"/>
              <w:bottom w:val="nil"/>
              <w:right w:val="nil"/>
            </w:tcBorders>
            <w:shd w:val="clear" w:color="auto" w:fill="auto"/>
            <w:noWrap/>
            <w:vAlign w:val="bottom"/>
          </w:tcPr>
          <w:p w:rsidR="00230914" w:rsidRPr="003060BE" w:rsidRDefault="00230914" w:rsidP="00FF362A">
            <w:pPr>
              <w:tabs>
                <w:tab w:val="right" w:pos="2835"/>
              </w:tabs>
              <w:rPr>
                <w:sz w:val="16"/>
                <w:szCs w:val="16"/>
              </w:rPr>
            </w:pPr>
          </w:p>
        </w:tc>
        <w:tc>
          <w:tcPr>
            <w:tcW w:w="6087" w:type="dxa"/>
            <w:gridSpan w:val="3"/>
            <w:tcBorders>
              <w:top w:val="nil"/>
              <w:left w:val="nil"/>
              <w:bottom w:val="nil"/>
              <w:right w:val="nil"/>
            </w:tcBorders>
            <w:shd w:val="clear" w:color="auto" w:fill="auto"/>
            <w:noWrap/>
          </w:tcPr>
          <w:p w:rsidR="00230914" w:rsidRPr="003060BE" w:rsidRDefault="00230914" w:rsidP="00FF362A">
            <w:pPr>
              <w:tabs>
                <w:tab w:val="right" w:pos="2835"/>
              </w:tabs>
              <w:rPr>
                <w:b/>
                <w:bCs/>
                <w:i/>
                <w:iCs/>
                <w:sz w:val="16"/>
                <w:szCs w:val="16"/>
              </w:rPr>
            </w:pPr>
          </w:p>
          <w:p w:rsidR="00230914" w:rsidRPr="003060BE" w:rsidRDefault="00230914" w:rsidP="00FF362A">
            <w:pPr>
              <w:tabs>
                <w:tab w:val="right" w:pos="2835"/>
              </w:tabs>
              <w:rPr>
                <w:b/>
                <w:bCs/>
                <w:i/>
                <w:iCs/>
                <w:sz w:val="16"/>
                <w:szCs w:val="16"/>
                <w:lang w:val="es-ES_tradnl"/>
              </w:rPr>
            </w:pPr>
            <w:r w:rsidRPr="003060BE">
              <w:rPr>
                <w:b/>
                <w:bCs/>
                <w:i/>
                <w:iCs/>
                <w:sz w:val="16"/>
                <w:szCs w:val="16"/>
                <w:lang w:val="es-ES_tradnl"/>
              </w:rPr>
              <w:t xml:space="preserve">Total del presupuesto propuesto 2014/15:   </w:t>
            </w:r>
            <w:r w:rsidRPr="003060BE">
              <w:rPr>
                <w:b/>
                <w:bCs/>
                <w:i/>
                <w:iCs/>
                <w:sz w:val="16"/>
                <w:szCs w:val="16"/>
                <w:lang w:val="es-ES_tradnl"/>
              </w:rPr>
              <w:tab/>
            </w:r>
            <w:r w:rsidRPr="003060BE">
              <w:rPr>
                <w:b/>
                <w:bCs/>
                <w:i/>
                <w:iCs/>
                <w:sz w:val="16"/>
                <w:szCs w:val="16"/>
                <w:lang w:val="es-ES_tradnl"/>
              </w:rPr>
              <w:tab/>
              <w:t>673.200</w:t>
            </w:r>
          </w:p>
          <w:p w:rsidR="00230914" w:rsidRPr="003A586E" w:rsidRDefault="00230914" w:rsidP="00945E6F">
            <w:pPr>
              <w:tabs>
                <w:tab w:val="right" w:pos="2835"/>
              </w:tabs>
              <w:rPr>
                <w:b/>
                <w:bCs/>
                <w:i/>
                <w:iCs/>
                <w:color w:val="0000FF"/>
                <w:sz w:val="16"/>
                <w:szCs w:val="16"/>
                <w:lang w:val="es-ES_tradnl"/>
              </w:rPr>
            </w:pPr>
            <w:r w:rsidRPr="003060BE">
              <w:rPr>
                <w:b/>
                <w:bCs/>
                <w:i/>
                <w:iCs/>
                <w:sz w:val="16"/>
                <w:szCs w:val="16"/>
                <w:lang w:val="es-ES_tradnl"/>
              </w:rPr>
              <w:t>Total de la cuota de desarrollo:</w:t>
            </w:r>
            <w:r w:rsidRPr="003060BE">
              <w:rPr>
                <w:b/>
                <w:bCs/>
                <w:i/>
                <w:iCs/>
                <w:color w:val="0000FF"/>
                <w:sz w:val="16"/>
                <w:szCs w:val="16"/>
                <w:lang w:val="es-ES_tradnl"/>
              </w:rPr>
              <w:tab/>
            </w:r>
            <w:r w:rsidRPr="003060BE">
              <w:rPr>
                <w:b/>
                <w:bCs/>
                <w:i/>
                <w:iCs/>
                <w:color w:val="0000FF"/>
                <w:sz w:val="16"/>
                <w:szCs w:val="16"/>
                <w:lang w:val="es-ES_tradnl"/>
              </w:rPr>
              <w:tab/>
            </w:r>
            <w:r w:rsidRPr="003060BE">
              <w:rPr>
                <w:b/>
                <w:bCs/>
                <w:i/>
                <w:iCs/>
                <w:color w:val="0000FF"/>
                <w:sz w:val="16"/>
                <w:szCs w:val="16"/>
                <w:lang w:val="es-ES_tradnl"/>
              </w:rPr>
              <w:tab/>
            </w:r>
            <w:r w:rsidRPr="003060BE">
              <w:rPr>
                <w:b/>
                <w:bCs/>
                <w:i/>
                <w:iCs/>
                <w:color w:val="0000FF"/>
                <w:sz w:val="16"/>
                <w:szCs w:val="16"/>
                <w:lang w:val="es-ES_tradnl"/>
              </w:rPr>
              <w:tab/>
              <w:t>14</w:t>
            </w:r>
            <w:r w:rsidR="00945E6F">
              <w:rPr>
                <w:b/>
                <w:bCs/>
                <w:i/>
                <w:iCs/>
                <w:color w:val="0000FF"/>
                <w:sz w:val="16"/>
                <w:szCs w:val="16"/>
                <w:lang w:val="es-ES_tradnl"/>
              </w:rPr>
              <w:t>4</w:t>
            </w:r>
            <w:r w:rsidRPr="003060BE">
              <w:rPr>
                <w:b/>
                <w:bCs/>
                <w:i/>
                <w:iCs/>
                <w:color w:val="0000FF"/>
                <w:sz w:val="16"/>
                <w:szCs w:val="16"/>
                <w:lang w:val="es-ES_tradnl"/>
              </w:rPr>
              <w:t>.3</w:t>
            </w:r>
            <w:r w:rsidR="00945E6F">
              <w:rPr>
                <w:b/>
                <w:bCs/>
                <w:i/>
                <w:iCs/>
                <w:color w:val="0000FF"/>
                <w:sz w:val="16"/>
                <w:szCs w:val="16"/>
                <w:lang w:val="es-ES_tradnl"/>
              </w:rPr>
              <w:t>86</w:t>
            </w:r>
          </w:p>
        </w:tc>
      </w:tr>
    </w:tbl>
    <w:p w:rsidR="002B303B" w:rsidRPr="00237451" w:rsidRDefault="002B303B" w:rsidP="004A4009">
      <w:pPr>
        <w:rPr>
          <w:sz w:val="12"/>
          <w:szCs w:val="12"/>
          <w:lang w:val="es-ES_tradnl" w:eastAsia="da-DK"/>
        </w:rPr>
      </w:pPr>
    </w:p>
    <w:p w:rsidR="00237451" w:rsidRDefault="00237451">
      <w:pPr>
        <w:rPr>
          <w:lang w:eastAsia="da-DK"/>
        </w:rPr>
      </w:pPr>
    </w:p>
    <w:p w:rsidR="007B2C29" w:rsidRPr="002B303B" w:rsidRDefault="007B2C29" w:rsidP="004A4009">
      <w:pPr>
        <w:rPr>
          <w:lang w:eastAsia="da-DK"/>
        </w:rPr>
        <w:sectPr w:rsidR="007B2C29" w:rsidRPr="002B303B" w:rsidSect="00691F6D">
          <w:headerReference w:type="even" r:id="rId23"/>
          <w:headerReference w:type="default" r:id="rId24"/>
          <w:pgSz w:w="23814" w:h="16840" w:orient="landscape" w:code="8"/>
          <w:pgMar w:top="999" w:right="1134" w:bottom="567" w:left="1134" w:header="284" w:footer="166" w:gutter="0"/>
          <w:cols w:space="720"/>
        </w:sectPr>
      </w:pPr>
    </w:p>
    <w:p w:rsidR="00FF779C" w:rsidRPr="00DE476E" w:rsidRDefault="00FF779C" w:rsidP="00FF779C">
      <w:pPr>
        <w:pStyle w:val="Heading1"/>
        <w:keepNext w:val="0"/>
        <w:widowControl w:val="0"/>
        <w:rPr>
          <w:sz w:val="26"/>
          <w:szCs w:val="26"/>
          <w:lang w:val="es-ES_tradnl"/>
        </w:rPr>
      </w:pPr>
      <w:bookmarkStart w:id="8" w:name="_Toc358816676"/>
      <w:r w:rsidRPr="00DE476E">
        <w:rPr>
          <w:sz w:val="26"/>
          <w:szCs w:val="26"/>
          <w:lang w:val="es-ES_tradnl"/>
        </w:rPr>
        <w:lastRenderedPageBreak/>
        <w:t>II.</w:t>
      </w:r>
      <w:r w:rsidRPr="00DE476E">
        <w:rPr>
          <w:sz w:val="26"/>
          <w:szCs w:val="26"/>
          <w:lang w:val="es-ES_tradnl"/>
        </w:rPr>
        <w:tab/>
        <w:t>PANORAMA FINANCIERO</w:t>
      </w:r>
      <w:bookmarkEnd w:id="8"/>
    </w:p>
    <w:p w:rsidR="00FF779C" w:rsidRPr="00C4585D" w:rsidRDefault="00FF779C" w:rsidP="00FF779C">
      <w:pPr>
        <w:widowControl w:val="0"/>
        <w:rPr>
          <w:sz w:val="20"/>
          <w:lang w:val="es-ES_tradnl"/>
        </w:rPr>
      </w:pPr>
    </w:p>
    <w:p w:rsidR="00FF779C" w:rsidRPr="00C4585D" w:rsidRDefault="00FF779C" w:rsidP="00FF779C">
      <w:pPr>
        <w:widowControl w:val="0"/>
        <w:numPr>
          <w:ilvl w:val="0"/>
          <w:numId w:val="4"/>
        </w:numPr>
        <w:tabs>
          <w:tab w:val="clear" w:pos="360"/>
        </w:tabs>
        <w:ind w:left="0" w:firstLine="0"/>
        <w:jc w:val="both"/>
        <w:rPr>
          <w:sz w:val="20"/>
          <w:lang w:val="es-ES_tradnl"/>
        </w:rPr>
      </w:pPr>
      <w:r w:rsidRPr="00C4585D">
        <w:rPr>
          <w:sz w:val="20"/>
          <w:lang w:val="es-ES_tradnl"/>
        </w:rPr>
        <w:t>En esta sección se expone un panorama de las hipótesis y los parámetros principales que sirven de base a las estimaciones de ingresos y la autorización de gastos propuesta, sometidas al examen de los Estados miembros para el bienio 2014/15.</w:t>
      </w:r>
    </w:p>
    <w:p w:rsidR="00FF779C" w:rsidRPr="00C4585D" w:rsidRDefault="00FF779C" w:rsidP="00FF779C">
      <w:pPr>
        <w:widowControl w:val="0"/>
        <w:jc w:val="both"/>
        <w:rPr>
          <w:sz w:val="20"/>
          <w:lang w:val="es-ES_tradnl"/>
        </w:rPr>
      </w:pPr>
    </w:p>
    <w:p w:rsidR="00FF779C" w:rsidRPr="00C4585D" w:rsidRDefault="00FF779C" w:rsidP="00FF779C">
      <w:pPr>
        <w:widowControl w:val="0"/>
        <w:jc w:val="center"/>
        <w:rPr>
          <w:sz w:val="20"/>
          <w:lang w:val="es-ES_tradnl"/>
        </w:rPr>
      </w:pPr>
      <w:r w:rsidRPr="00C4585D">
        <w:rPr>
          <w:sz w:val="20"/>
          <w:lang w:val="es-ES_tradnl"/>
        </w:rPr>
        <w:t>Cuadro 1.  Propuesta de presupuesto para 2014/15 y principales parámetros de planificación</w:t>
      </w:r>
    </w:p>
    <w:p w:rsidR="00FF779C" w:rsidRPr="00C4585D" w:rsidRDefault="00FF779C" w:rsidP="00FF779C">
      <w:pPr>
        <w:widowControl w:val="0"/>
        <w:jc w:val="center"/>
        <w:rPr>
          <w:sz w:val="20"/>
          <w:lang w:val="es-ES_tradnl"/>
        </w:rPr>
      </w:pPr>
    </w:p>
    <w:p w:rsidR="00FF779C" w:rsidRPr="00C4585D" w:rsidRDefault="00C40A11" w:rsidP="00FF779C">
      <w:pPr>
        <w:widowControl w:val="0"/>
        <w:jc w:val="center"/>
        <w:rPr>
          <w:sz w:val="20"/>
          <w:lang w:val="es-ES_tradnl"/>
        </w:rPr>
      </w:pPr>
      <w:r>
        <w:rPr>
          <w:noProof/>
          <w:lang w:val="en-US" w:eastAsia="en-US"/>
        </w:rPr>
        <w:drawing>
          <wp:inline distT="0" distB="0" distL="0" distR="0" wp14:anchorId="5E145099" wp14:editId="4C64DE50">
            <wp:extent cx="5069840" cy="3883025"/>
            <wp:effectExtent l="0" t="0" r="0" b="3175"/>
            <wp:docPr id="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069840" cy="3883025"/>
                    </a:xfrm>
                    <a:prstGeom prst="rect">
                      <a:avLst/>
                    </a:prstGeom>
                    <a:noFill/>
                    <a:ln>
                      <a:noFill/>
                    </a:ln>
                  </pic:spPr>
                </pic:pic>
              </a:graphicData>
            </a:graphic>
          </wp:inline>
        </w:drawing>
      </w:r>
    </w:p>
    <w:p w:rsidR="00FF779C" w:rsidRPr="00C4585D" w:rsidRDefault="00FF779C" w:rsidP="00FF779C">
      <w:pPr>
        <w:pStyle w:val="ListParagraph"/>
        <w:widowControl w:val="0"/>
        <w:jc w:val="both"/>
        <w:rPr>
          <w:sz w:val="20"/>
          <w:lang w:val="es-ES_tradnl"/>
        </w:rPr>
      </w:pPr>
    </w:p>
    <w:p w:rsidR="00FF779C" w:rsidRPr="00C4585D" w:rsidRDefault="00FF779C" w:rsidP="00FF779C">
      <w:pPr>
        <w:widowControl w:val="0"/>
        <w:numPr>
          <w:ilvl w:val="0"/>
          <w:numId w:val="4"/>
        </w:numPr>
        <w:tabs>
          <w:tab w:val="clear" w:pos="360"/>
        </w:tabs>
        <w:ind w:left="0" w:firstLine="0"/>
        <w:jc w:val="both"/>
        <w:rPr>
          <w:sz w:val="20"/>
          <w:lang w:val="es-ES_tradnl"/>
        </w:rPr>
      </w:pPr>
      <w:r w:rsidRPr="00C4585D">
        <w:rPr>
          <w:sz w:val="20"/>
          <w:lang w:val="es-ES_tradnl"/>
        </w:rPr>
        <w:t>Desde 2010, los estados financieros de la OMPI se preparan de conformidad con las IPSAS, sobre la base contable integral de acumulación (o devengo).  Sin embargo, el presupuesto o la autorización de gasto por programa aún se proponen, aprueban y administran con arreglo a</w:t>
      </w:r>
      <w:r w:rsidR="00DB5E03">
        <w:rPr>
          <w:sz w:val="20"/>
          <w:lang w:val="es-ES_tradnl"/>
        </w:rPr>
        <w:t xml:space="preserve"> la base contable modificada de acumulación (o devengo)</w:t>
      </w:r>
      <w:r w:rsidRPr="00C4585D">
        <w:rPr>
          <w:sz w:val="20"/>
          <w:lang w:val="es-ES_tradnl"/>
        </w:rPr>
        <w:t xml:space="preserve"> (“base presupuestaria”), de conformidad con el Reglamento Financiero y la Reglamentación Financiera de la Organización.  En consecuencia,</w:t>
      </w:r>
    </w:p>
    <w:p w:rsidR="00FF779C" w:rsidRPr="00C4585D" w:rsidRDefault="00FF779C" w:rsidP="00FF779C">
      <w:pPr>
        <w:widowControl w:val="0"/>
        <w:jc w:val="both"/>
        <w:rPr>
          <w:sz w:val="20"/>
          <w:lang w:val="es-ES_tradnl"/>
        </w:rPr>
      </w:pPr>
    </w:p>
    <w:p w:rsidR="00FF779C" w:rsidRPr="00C4585D" w:rsidRDefault="00FF779C" w:rsidP="00FF779C">
      <w:pPr>
        <w:widowControl w:val="0"/>
        <w:numPr>
          <w:ilvl w:val="1"/>
          <w:numId w:val="4"/>
        </w:numPr>
        <w:tabs>
          <w:tab w:val="clear" w:pos="1080"/>
        </w:tabs>
        <w:ind w:left="1134" w:hanging="567"/>
        <w:jc w:val="both"/>
        <w:rPr>
          <w:sz w:val="20"/>
          <w:lang w:val="es-ES_tradnl"/>
        </w:rPr>
      </w:pPr>
      <w:r w:rsidRPr="00C4585D">
        <w:rPr>
          <w:sz w:val="20"/>
          <w:lang w:val="es-ES_tradnl"/>
        </w:rPr>
        <w:t>si bien todos los importes propuestos en relación con los gastos del bienio 2014/15 se han fijado partiendo de una base presupuestaria, a los fines de la planificación se ha procurado establecer la asignación presupuestaria global de la OMPI de una manera y en un nivel que resulten prudentes y tomen debidamente en consideración los ajustes que se prevé será necesario introducir con arreglo a las IPSAS en relación con los gastos de operación.  Al aplicar ese enfoque, la autorización de gasto global propuesta en el marco del presupuesto ordinario alcanza un nivel moderado y prudente, limitado por los niveles de ingreso que se prevé generar en el próximo bienio, corregidos a la baja en función de la estimación de los ajustes que cabe aplicar con arreglo a las IPSAS;</w:t>
      </w:r>
    </w:p>
    <w:p w:rsidR="00FF779C" w:rsidRPr="00C4585D" w:rsidRDefault="00FF779C" w:rsidP="00FF779C">
      <w:pPr>
        <w:widowControl w:val="0"/>
        <w:jc w:val="both"/>
        <w:rPr>
          <w:sz w:val="20"/>
          <w:lang w:val="es-ES_tradnl"/>
        </w:rPr>
      </w:pPr>
    </w:p>
    <w:p w:rsidR="00FF779C" w:rsidRPr="00C4585D" w:rsidRDefault="00FF779C" w:rsidP="00FF779C">
      <w:pPr>
        <w:widowControl w:val="0"/>
        <w:numPr>
          <w:ilvl w:val="1"/>
          <w:numId w:val="4"/>
        </w:numPr>
        <w:tabs>
          <w:tab w:val="clear" w:pos="1080"/>
        </w:tabs>
        <w:ind w:left="1134" w:hanging="567"/>
        <w:jc w:val="both"/>
        <w:rPr>
          <w:bCs/>
          <w:sz w:val="20"/>
          <w:lang w:val="es-ES_tradnl"/>
        </w:rPr>
      </w:pPr>
      <w:r w:rsidRPr="00C4585D">
        <w:rPr>
          <w:sz w:val="20"/>
          <w:lang w:val="es-ES_tradnl"/>
        </w:rPr>
        <w:t>el presupuesto de la OMPI sigue siendo sometido al examen y la aprobación de las Asambleas con frecuencia bienal.  Si bien todas las diferencias entre los informes presentados conforme a las IPSAS y a la base presupuestaria se divulgan y se reconcilian en los estados financieros de la Organización, el requisito de las IPSAS de presentación anual de informes también exige que la Organización presente su presupuesto con frecuencia anual.  Con ese fin, en el Anexo IX del presente documento se suministran cifras presupuestarias anuales, en relación tanto con los ingresos como con los gastos.</w:t>
      </w:r>
    </w:p>
    <w:p w:rsidR="00FF779C" w:rsidRPr="00C4585D" w:rsidRDefault="00FF779C" w:rsidP="00FF779C">
      <w:pPr>
        <w:widowControl w:val="0"/>
        <w:jc w:val="both"/>
        <w:rPr>
          <w:bCs/>
          <w:sz w:val="20"/>
          <w:lang w:val="es-ES_tradnl"/>
        </w:rPr>
      </w:pPr>
    </w:p>
    <w:p w:rsidR="00FF779C" w:rsidRPr="00C4585D" w:rsidRDefault="00FF779C" w:rsidP="00FF779C">
      <w:pPr>
        <w:widowControl w:val="0"/>
        <w:numPr>
          <w:ilvl w:val="0"/>
          <w:numId w:val="4"/>
        </w:numPr>
        <w:tabs>
          <w:tab w:val="clear" w:pos="360"/>
        </w:tabs>
        <w:ind w:left="0" w:firstLine="0"/>
        <w:jc w:val="both"/>
        <w:rPr>
          <w:bCs/>
          <w:sz w:val="20"/>
          <w:lang w:val="es-ES_tradnl"/>
        </w:rPr>
      </w:pPr>
      <w:r w:rsidRPr="00C4585D">
        <w:rPr>
          <w:bCs/>
          <w:sz w:val="20"/>
          <w:lang w:val="es-ES_tradnl"/>
        </w:rPr>
        <w:t xml:space="preserve">Para el </w:t>
      </w:r>
      <w:r w:rsidRPr="00C4585D">
        <w:rPr>
          <w:sz w:val="20"/>
          <w:lang w:val="es-ES_tradnl"/>
        </w:rPr>
        <w:t>próximo</w:t>
      </w:r>
      <w:r w:rsidRPr="00C4585D">
        <w:rPr>
          <w:bCs/>
          <w:sz w:val="20"/>
          <w:lang w:val="es-ES_tradnl"/>
        </w:rPr>
        <w:t xml:space="preserve"> bienio no se proponen nuevos puestos ni incrementos en el </w:t>
      </w:r>
      <w:r w:rsidRPr="00C4585D">
        <w:rPr>
          <w:sz w:val="20"/>
          <w:lang w:val="es-ES_tradnl"/>
        </w:rPr>
        <w:t>número de empleados de nómina.  La Secretaría propone completar el proceso de regularización, mediante el uso de los puestos cuya regularización aprobaron los Estados miembros con ese fin.</w:t>
      </w:r>
    </w:p>
    <w:p w:rsidR="00FF779C" w:rsidRPr="00C4585D" w:rsidRDefault="00FF779C" w:rsidP="00FF779C">
      <w:pPr>
        <w:widowControl w:val="0"/>
        <w:spacing w:before="60"/>
        <w:jc w:val="both"/>
        <w:rPr>
          <w:bCs/>
          <w:sz w:val="20"/>
          <w:lang w:val="es-ES_tradnl"/>
        </w:rPr>
      </w:pPr>
    </w:p>
    <w:p w:rsidR="00FF779C" w:rsidRPr="00C4585D" w:rsidRDefault="00FF779C" w:rsidP="00FF779C">
      <w:pPr>
        <w:widowControl w:val="0"/>
        <w:numPr>
          <w:ilvl w:val="0"/>
          <w:numId w:val="4"/>
        </w:numPr>
        <w:tabs>
          <w:tab w:val="clear" w:pos="360"/>
        </w:tabs>
        <w:ind w:left="0" w:firstLine="0"/>
        <w:jc w:val="both"/>
        <w:rPr>
          <w:sz w:val="20"/>
          <w:lang w:val="es-ES_tradnl"/>
        </w:rPr>
      </w:pPr>
      <w:r w:rsidRPr="00C4585D">
        <w:rPr>
          <w:bCs/>
          <w:sz w:val="20"/>
          <w:lang w:val="es-ES_tradnl"/>
        </w:rPr>
        <w:t xml:space="preserve">La </w:t>
      </w:r>
      <w:r w:rsidRPr="00C4585D">
        <w:rPr>
          <w:sz w:val="20"/>
          <w:lang w:val="es-ES_tradnl"/>
        </w:rPr>
        <w:t>Organización</w:t>
      </w:r>
      <w:r w:rsidRPr="00C4585D">
        <w:rPr>
          <w:bCs/>
          <w:sz w:val="20"/>
          <w:lang w:val="es-ES_tradnl"/>
        </w:rPr>
        <w:t xml:space="preserve"> ha reconocido la apremiante necesidad de realizar desembolsos e inversiones de capital en los ámbitos de locales, tecnologías de la información y la comunicación (TIC) y seguridad, que se propone financiar a partir de las reservas disponibles.  Para velar por la plena transparencia y ofrecer un cuadro completo de las necesidades de la Organización en materia de recursos en los próximos bienios, esos gastos propuestos se presentan en un documento </w:t>
      </w:r>
      <w:r w:rsidR="00247004">
        <w:rPr>
          <w:bCs/>
          <w:sz w:val="20"/>
          <w:lang w:val="es-ES_tradnl"/>
        </w:rPr>
        <w:t>aparte, WO/PBC/21/18,</w:t>
      </w:r>
      <w:r w:rsidRPr="00C4585D">
        <w:rPr>
          <w:bCs/>
          <w:sz w:val="20"/>
          <w:lang w:val="es-ES_tradnl"/>
        </w:rPr>
        <w:t xml:space="preserve"> titulado Plan maestro de mejoras de infraestructura.</w:t>
      </w:r>
    </w:p>
    <w:p w:rsidR="00FF779C" w:rsidRPr="00C4585D" w:rsidRDefault="00FF779C" w:rsidP="00FF779C">
      <w:pPr>
        <w:widowControl w:val="0"/>
        <w:jc w:val="both"/>
        <w:rPr>
          <w:sz w:val="20"/>
          <w:lang w:val="es-ES_tradnl"/>
        </w:rPr>
      </w:pPr>
    </w:p>
    <w:p w:rsidR="00FF779C" w:rsidRPr="00C4585D" w:rsidRDefault="00FF779C" w:rsidP="00FF779C">
      <w:pPr>
        <w:widowControl w:val="0"/>
        <w:numPr>
          <w:ilvl w:val="0"/>
          <w:numId w:val="4"/>
        </w:numPr>
        <w:tabs>
          <w:tab w:val="clear" w:pos="360"/>
        </w:tabs>
        <w:ind w:left="0" w:firstLine="0"/>
        <w:jc w:val="both"/>
        <w:rPr>
          <w:bCs/>
          <w:sz w:val="20"/>
          <w:lang w:val="es-ES_tradnl"/>
        </w:rPr>
      </w:pPr>
      <w:r w:rsidRPr="00C4585D">
        <w:rPr>
          <w:bCs/>
          <w:sz w:val="20"/>
          <w:lang w:val="es-ES_tradnl"/>
        </w:rPr>
        <w:t xml:space="preserve">La propuesta de </w:t>
      </w:r>
      <w:r w:rsidRPr="00C4585D">
        <w:rPr>
          <w:sz w:val="20"/>
          <w:lang w:val="es-ES_tradnl"/>
        </w:rPr>
        <w:t>presupuesto</w:t>
      </w:r>
      <w:r w:rsidRPr="00C4585D">
        <w:rPr>
          <w:bCs/>
          <w:sz w:val="20"/>
          <w:lang w:val="es-ES_tradnl"/>
        </w:rPr>
        <w:t xml:space="preserve"> para el bienio 2014/15 se cifra en 673,2 millones de francos suizos, cuantía que tiene debidamente en cuenta la estimación de los ajustes que cabe aplicar con arreglo a las IPSAS para el bienio siguiente, tanto en ingresos como en gastos, lo que a su vez redunda en un pequeño excedente, como resultado de explotación, de aproximadamente 3 millones de francos suizos.</w:t>
      </w:r>
      <w:bookmarkStart w:id="9" w:name="_Toc310950754"/>
    </w:p>
    <w:p w:rsidR="00FF779C" w:rsidRPr="00C4585D" w:rsidRDefault="00FF779C" w:rsidP="00FF779C">
      <w:pPr>
        <w:widowControl w:val="0"/>
        <w:jc w:val="both"/>
        <w:rPr>
          <w:bCs/>
          <w:caps/>
          <w:sz w:val="20"/>
          <w:lang w:val="es-ES_tradnl"/>
        </w:rPr>
      </w:pPr>
    </w:p>
    <w:p w:rsidR="00FF779C" w:rsidRPr="00C4585D" w:rsidRDefault="00FF779C" w:rsidP="00FF779C">
      <w:pPr>
        <w:widowControl w:val="0"/>
        <w:numPr>
          <w:ilvl w:val="0"/>
          <w:numId w:val="4"/>
        </w:numPr>
        <w:tabs>
          <w:tab w:val="clear" w:pos="360"/>
        </w:tabs>
        <w:ind w:left="0" w:firstLine="0"/>
        <w:jc w:val="both"/>
        <w:rPr>
          <w:bCs/>
          <w:sz w:val="20"/>
          <w:lang w:val="es-ES_tradnl"/>
        </w:rPr>
      </w:pPr>
      <w:r w:rsidRPr="00C4585D">
        <w:rPr>
          <w:bCs/>
          <w:sz w:val="20"/>
          <w:lang w:val="es-ES_tradnl"/>
        </w:rPr>
        <w:t xml:space="preserve">También se indican los ingresos y gastos previstos por Unión.  Cabe destacar que la estimación de los ajustes que cabe aplicar con arreglo a las IPSAS, respecto tanto de los ingresos como de los gastos, también ha sido incluida en el cuadro que figura </w:t>
      </w:r>
      <w:r w:rsidRPr="00C4585D">
        <w:rPr>
          <w:bCs/>
          <w:i/>
          <w:sz w:val="20"/>
          <w:lang w:val="es-ES_tradnl"/>
        </w:rPr>
        <w:t>infra</w:t>
      </w:r>
      <w:r w:rsidRPr="00C4585D">
        <w:rPr>
          <w:bCs/>
          <w:sz w:val="20"/>
          <w:lang w:val="es-ES_tradnl"/>
        </w:rPr>
        <w:t>.  En el Anexo III se ofrecen más detalles acerca de los ingresos y los gastos por Unión.</w:t>
      </w:r>
    </w:p>
    <w:p w:rsidR="00FF779C" w:rsidRPr="00C4585D" w:rsidRDefault="00FF779C" w:rsidP="00FF779C">
      <w:pPr>
        <w:widowControl w:val="0"/>
        <w:jc w:val="both"/>
        <w:rPr>
          <w:sz w:val="20"/>
          <w:lang w:val="es-ES_tradnl"/>
        </w:rPr>
      </w:pPr>
    </w:p>
    <w:p w:rsidR="00FF779C" w:rsidRPr="00C4585D" w:rsidRDefault="00FF779C" w:rsidP="00FF779C">
      <w:pPr>
        <w:widowControl w:val="0"/>
        <w:jc w:val="center"/>
        <w:rPr>
          <w:bCs/>
          <w:sz w:val="20"/>
          <w:lang w:val="es-ES_tradnl"/>
        </w:rPr>
      </w:pPr>
      <w:r w:rsidRPr="00C4585D">
        <w:rPr>
          <w:bCs/>
          <w:sz w:val="20"/>
          <w:lang w:val="es-ES_tradnl"/>
        </w:rPr>
        <w:t>Cuadro 2.  Panorama financiero, por Unión, 2014/15</w:t>
      </w:r>
    </w:p>
    <w:p w:rsidR="00FF779C" w:rsidRPr="00C4585D" w:rsidRDefault="00FF779C" w:rsidP="00FF779C">
      <w:pPr>
        <w:widowControl w:val="0"/>
        <w:jc w:val="center"/>
        <w:rPr>
          <w:bCs/>
          <w:i/>
          <w:sz w:val="20"/>
          <w:lang w:val="es-ES_tradnl"/>
        </w:rPr>
      </w:pPr>
      <w:r w:rsidRPr="00C4585D">
        <w:rPr>
          <w:bCs/>
          <w:i/>
          <w:sz w:val="20"/>
          <w:lang w:val="es-ES_tradnl"/>
        </w:rPr>
        <w:t>(en miles de francos suizos)</w:t>
      </w:r>
    </w:p>
    <w:p w:rsidR="00FF779C" w:rsidRPr="00C4585D" w:rsidRDefault="00FF779C" w:rsidP="00FF779C">
      <w:pPr>
        <w:widowControl w:val="0"/>
        <w:jc w:val="center"/>
        <w:rPr>
          <w:bCs/>
          <w:i/>
          <w:sz w:val="20"/>
          <w:lang w:val="es-ES_tradnl"/>
        </w:rPr>
      </w:pPr>
    </w:p>
    <w:p w:rsidR="00FF779C" w:rsidRPr="00C4585D" w:rsidRDefault="00F82128" w:rsidP="00FF779C">
      <w:pPr>
        <w:widowControl w:val="0"/>
        <w:jc w:val="center"/>
        <w:rPr>
          <w:bCs/>
          <w:i/>
          <w:sz w:val="20"/>
          <w:lang w:val="es-ES_tradnl"/>
        </w:rPr>
      </w:pPr>
      <w:r w:rsidRPr="00F82128">
        <w:rPr>
          <w:noProof/>
          <w:lang w:val="en-US" w:eastAsia="en-US"/>
        </w:rPr>
        <w:drawing>
          <wp:inline distT="0" distB="0" distL="0" distR="0" wp14:anchorId="54B19002" wp14:editId="3AEE7A9D">
            <wp:extent cx="5940425" cy="1441903"/>
            <wp:effectExtent l="0" t="0" r="3175"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0425" cy="1441903"/>
                    </a:xfrm>
                    <a:prstGeom prst="rect">
                      <a:avLst/>
                    </a:prstGeom>
                    <a:noFill/>
                    <a:ln>
                      <a:noFill/>
                    </a:ln>
                  </pic:spPr>
                </pic:pic>
              </a:graphicData>
            </a:graphic>
          </wp:inline>
        </w:drawing>
      </w:r>
    </w:p>
    <w:tbl>
      <w:tblPr>
        <w:tblW w:w="16640" w:type="dxa"/>
        <w:tblInd w:w="70" w:type="dxa"/>
        <w:tblCellMar>
          <w:left w:w="70" w:type="dxa"/>
          <w:right w:w="70" w:type="dxa"/>
        </w:tblCellMar>
        <w:tblLook w:val="04A0" w:firstRow="1" w:lastRow="0" w:firstColumn="1" w:lastColumn="0" w:noHBand="0" w:noVBand="1"/>
      </w:tblPr>
      <w:tblGrid>
        <w:gridCol w:w="9756"/>
        <w:gridCol w:w="656"/>
        <w:gridCol w:w="976"/>
        <w:gridCol w:w="796"/>
        <w:gridCol w:w="1056"/>
        <w:gridCol w:w="476"/>
        <w:gridCol w:w="1076"/>
        <w:gridCol w:w="596"/>
        <w:gridCol w:w="316"/>
        <w:gridCol w:w="936"/>
      </w:tblGrid>
      <w:tr w:rsidR="00FF779C" w:rsidRPr="00C4585D" w:rsidTr="00FF362A">
        <w:trPr>
          <w:trHeight w:val="255"/>
        </w:trPr>
        <w:tc>
          <w:tcPr>
            <w:tcW w:w="9756" w:type="dxa"/>
            <w:tcBorders>
              <w:top w:val="nil"/>
              <w:left w:val="nil"/>
              <w:bottom w:val="nil"/>
              <w:right w:val="nil"/>
            </w:tcBorders>
            <w:shd w:val="clear" w:color="auto" w:fill="auto"/>
            <w:noWrap/>
            <w:hideMark/>
          </w:tcPr>
          <w:p w:rsidR="00FF779C" w:rsidRPr="00C4585D" w:rsidRDefault="00FF779C" w:rsidP="00FF362A">
            <w:pPr>
              <w:rPr>
                <w:rFonts w:eastAsia="Times New Roman"/>
                <w:i/>
                <w:iCs/>
                <w:sz w:val="16"/>
                <w:szCs w:val="16"/>
                <w:lang w:val="es-ES_tradnl" w:eastAsia="es-ES"/>
              </w:rPr>
            </w:pPr>
            <w:r w:rsidRPr="00C4585D">
              <w:rPr>
                <w:rFonts w:eastAsia="Times New Roman"/>
                <w:i/>
                <w:iCs/>
                <w:sz w:val="16"/>
                <w:szCs w:val="16"/>
                <w:lang w:val="es-ES_tradnl" w:eastAsia="es-ES"/>
              </w:rPr>
              <w:t>* En lo relativo a los FRO, los objetivos se calculan en porcentaje del gasto bienal para cada Unión.</w:t>
            </w:r>
          </w:p>
        </w:tc>
        <w:tc>
          <w:tcPr>
            <w:tcW w:w="656" w:type="dxa"/>
            <w:tcBorders>
              <w:top w:val="nil"/>
              <w:left w:val="nil"/>
              <w:bottom w:val="nil"/>
              <w:right w:val="nil"/>
            </w:tcBorders>
            <w:shd w:val="clear" w:color="auto" w:fill="auto"/>
            <w:noWrap/>
            <w:vAlign w:val="bottom"/>
            <w:hideMark/>
          </w:tcPr>
          <w:p w:rsidR="00FF779C" w:rsidRPr="00C4585D" w:rsidRDefault="00FF779C" w:rsidP="00FF362A">
            <w:pPr>
              <w:rPr>
                <w:rFonts w:eastAsia="Times New Roman"/>
                <w:sz w:val="16"/>
                <w:szCs w:val="16"/>
                <w:lang w:val="es-ES_tradnl" w:eastAsia="es-ES"/>
              </w:rPr>
            </w:pPr>
          </w:p>
        </w:tc>
        <w:tc>
          <w:tcPr>
            <w:tcW w:w="976" w:type="dxa"/>
            <w:tcBorders>
              <w:top w:val="nil"/>
              <w:left w:val="nil"/>
              <w:bottom w:val="nil"/>
              <w:right w:val="nil"/>
            </w:tcBorders>
            <w:shd w:val="clear" w:color="auto" w:fill="auto"/>
            <w:noWrap/>
            <w:vAlign w:val="bottom"/>
            <w:hideMark/>
          </w:tcPr>
          <w:p w:rsidR="00FF779C" w:rsidRPr="00C4585D" w:rsidRDefault="00FF779C" w:rsidP="00FF362A">
            <w:pPr>
              <w:rPr>
                <w:rFonts w:eastAsia="Times New Roman"/>
                <w:b/>
                <w:bCs/>
                <w:sz w:val="16"/>
                <w:szCs w:val="16"/>
                <w:lang w:val="es-ES_tradnl" w:eastAsia="es-ES"/>
              </w:rPr>
            </w:pPr>
          </w:p>
        </w:tc>
        <w:tc>
          <w:tcPr>
            <w:tcW w:w="796" w:type="dxa"/>
            <w:tcBorders>
              <w:top w:val="nil"/>
              <w:left w:val="nil"/>
              <w:bottom w:val="nil"/>
              <w:right w:val="nil"/>
            </w:tcBorders>
            <w:shd w:val="clear" w:color="auto" w:fill="auto"/>
            <w:noWrap/>
            <w:vAlign w:val="bottom"/>
            <w:hideMark/>
          </w:tcPr>
          <w:p w:rsidR="00FF779C" w:rsidRPr="00C4585D" w:rsidRDefault="00FF779C" w:rsidP="00FF362A">
            <w:pPr>
              <w:rPr>
                <w:rFonts w:eastAsia="Times New Roman"/>
                <w:sz w:val="16"/>
                <w:szCs w:val="16"/>
                <w:lang w:val="es-ES_tradnl" w:eastAsia="es-ES"/>
              </w:rPr>
            </w:pPr>
          </w:p>
        </w:tc>
        <w:tc>
          <w:tcPr>
            <w:tcW w:w="1056" w:type="dxa"/>
            <w:tcBorders>
              <w:top w:val="nil"/>
              <w:left w:val="nil"/>
              <w:bottom w:val="nil"/>
              <w:right w:val="nil"/>
            </w:tcBorders>
            <w:shd w:val="clear" w:color="auto" w:fill="auto"/>
            <w:noWrap/>
            <w:vAlign w:val="bottom"/>
            <w:hideMark/>
          </w:tcPr>
          <w:p w:rsidR="00FF779C" w:rsidRPr="00C4585D" w:rsidRDefault="00FF779C" w:rsidP="00FF362A">
            <w:pPr>
              <w:rPr>
                <w:rFonts w:eastAsia="Times New Roman"/>
                <w:b/>
                <w:bCs/>
                <w:sz w:val="16"/>
                <w:szCs w:val="16"/>
                <w:lang w:val="es-ES_tradnl" w:eastAsia="es-ES"/>
              </w:rPr>
            </w:pPr>
          </w:p>
        </w:tc>
        <w:tc>
          <w:tcPr>
            <w:tcW w:w="476" w:type="dxa"/>
            <w:tcBorders>
              <w:top w:val="nil"/>
              <w:left w:val="nil"/>
              <w:bottom w:val="nil"/>
              <w:right w:val="nil"/>
            </w:tcBorders>
            <w:shd w:val="clear" w:color="auto" w:fill="auto"/>
            <w:noWrap/>
            <w:vAlign w:val="bottom"/>
            <w:hideMark/>
          </w:tcPr>
          <w:p w:rsidR="00FF779C" w:rsidRPr="00C4585D" w:rsidRDefault="00FF779C" w:rsidP="00FF362A">
            <w:pPr>
              <w:rPr>
                <w:rFonts w:eastAsia="Times New Roman"/>
                <w:sz w:val="16"/>
                <w:szCs w:val="16"/>
                <w:lang w:val="es-ES_tradnl" w:eastAsia="es-ES"/>
              </w:rPr>
            </w:pPr>
          </w:p>
        </w:tc>
        <w:tc>
          <w:tcPr>
            <w:tcW w:w="1076" w:type="dxa"/>
            <w:tcBorders>
              <w:top w:val="nil"/>
              <w:left w:val="nil"/>
              <w:bottom w:val="nil"/>
              <w:right w:val="nil"/>
            </w:tcBorders>
            <w:shd w:val="clear" w:color="auto" w:fill="auto"/>
            <w:noWrap/>
            <w:vAlign w:val="bottom"/>
            <w:hideMark/>
          </w:tcPr>
          <w:p w:rsidR="00FF779C" w:rsidRPr="00C4585D" w:rsidRDefault="00FF779C" w:rsidP="00FF362A">
            <w:pPr>
              <w:rPr>
                <w:rFonts w:eastAsia="Times New Roman"/>
                <w:b/>
                <w:bCs/>
                <w:sz w:val="16"/>
                <w:szCs w:val="16"/>
                <w:lang w:val="es-ES_tradnl" w:eastAsia="es-ES"/>
              </w:rPr>
            </w:pPr>
          </w:p>
        </w:tc>
        <w:tc>
          <w:tcPr>
            <w:tcW w:w="596" w:type="dxa"/>
            <w:tcBorders>
              <w:top w:val="nil"/>
              <w:left w:val="nil"/>
              <w:bottom w:val="nil"/>
              <w:right w:val="nil"/>
            </w:tcBorders>
            <w:shd w:val="clear" w:color="auto" w:fill="auto"/>
            <w:noWrap/>
            <w:vAlign w:val="bottom"/>
            <w:hideMark/>
          </w:tcPr>
          <w:p w:rsidR="00FF779C" w:rsidRPr="00C4585D" w:rsidRDefault="00FF779C" w:rsidP="00FF362A">
            <w:pPr>
              <w:rPr>
                <w:rFonts w:eastAsia="Times New Roman"/>
                <w:sz w:val="16"/>
                <w:szCs w:val="16"/>
                <w:lang w:val="es-ES_tradnl" w:eastAsia="es-ES"/>
              </w:rPr>
            </w:pPr>
          </w:p>
        </w:tc>
        <w:tc>
          <w:tcPr>
            <w:tcW w:w="316" w:type="dxa"/>
            <w:tcBorders>
              <w:top w:val="nil"/>
              <w:left w:val="nil"/>
              <w:bottom w:val="nil"/>
              <w:right w:val="nil"/>
            </w:tcBorders>
            <w:shd w:val="clear" w:color="auto" w:fill="auto"/>
            <w:noWrap/>
            <w:vAlign w:val="bottom"/>
            <w:hideMark/>
          </w:tcPr>
          <w:p w:rsidR="00FF779C" w:rsidRPr="00C4585D" w:rsidRDefault="00FF779C" w:rsidP="00FF362A">
            <w:pPr>
              <w:rPr>
                <w:rFonts w:eastAsia="Times New Roman"/>
                <w:sz w:val="16"/>
                <w:szCs w:val="16"/>
                <w:lang w:val="es-ES_tradnl" w:eastAsia="es-ES"/>
              </w:rPr>
            </w:pPr>
          </w:p>
        </w:tc>
        <w:tc>
          <w:tcPr>
            <w:tcW w:w="936" w:type="dxa"/>
            <w:tcBorders>
              <w:top w:val="nil"/>
              <w:left w:val="nil"/>
              <w:bottom w:val="nil"/>
              <w:right w:val="nil"/>
            </w:tcBorders>
            <w:shd w:val="clear" w:color="auto" w:fill="auto"/>
            <w:noWrap/>
            <w:vAlign w:val="bottom"/>
            <w:hideMark/>
          </w:tcPr>
          <w:p w:rsidR="00FF779C" w:rsidRPr="00C4585D" w:rsidRDefault="00FF779C" w:rsidP="00FF362A">
            <w:pPr>
              <w:rPr>
                <w:rFonts w:eastAsia="Times New Roman"/>
                <w:sz w:val="16"/>
                <w:szCs w:val="16"/>
                <w:lang w:val="es-ES_tradnl" w:eastAsia="es-ES"/>
              </w:rPr>
            </w:pPr>
          </w:p>
        </w:tc>
      </w:tr>
    </w:tbl>
    <w:p w:rsidR="00FF779C" w:rsidRPr="00C4585D" w:rsidRDefault="00FF779C" w:rsidP="00FF779C">
      <w:pPr>
        <w:widowControl w:val="0"/>
        <w:jc w:val="both"/>
        <w:rPr>
          <w:sz w:val="20"/>
          <w:lang w:val="es-ES_tradnl"/>
        </w:rPr>
      </w:pPr>
    </w:p>
    <w:p w:rsidR="00FF779C" w:rsidRPr="00C63E35" w:rsidRDefault="00FF779C" w:rsidP="00FF779C">
      <w:pPr>
        <w:pStyle w:val="Heading2"/>
        <w:keepNext w:val="0"/>
        <w:widowControl w:val="0"/>
        <w:rPr>
          <w:b/>
          <w:caps w:val="0"/>
          <w:sz w:val="24"/>
          <w:szCs w:val="24"/>
          <w:lang w:val="es-ES_tradnl"/>
        </w:rPr>
      </w:pPr>
      <w:bookmarkStart w:id="10" w:name="_Toc358816677"/>
      <w:bookmarkEnd w:id="9"/>
      <w:r w:rsidRPr="00C63E35">
        <w:rPr>
          <w:b/>
          <w:caps w:val="0"/>
          <w:sz w:val="24"/>
          <w:szCs w:val="24"/>
          <w:lang w:val="es-ES_tradnl"/>
        </w:rPr>
        <w:t>INGRESOS</w:t>
      </w:r>
      <w:bookmarkEnd w:id="10"/>
    </w:p>
    <w:p w:rsidR="00FF779C" w:rsidRPr="00C4585D" w:rsidRDefault="00FF779C" w:rsidP="00FF779C">
      <w:pPr>
        <w:widowControl w:val="0"/>
        <w:shd w:val="clear" w:color="auto" w:fill="FFFFFF"/>
        <w:rPr>
          <w:bCs/>
          <w:sz w:val="20"/>
          <w:lang w:val="es-ES_tradnl"/>
        </w:rPr>
      </w:pPr>
    </w:p>
    <w:p w:rsidR="00FF779C" w:rsidRPr="00C4585D" w:rsidRDefault="00FF779C" w:rsidP="00FF779C">
      <w:pPr>
        <w:widowControl w:val="0"/>
        <w:numPr>
          <w:ilvl w:val="0"/>
          <w:numId w:val="4"/>
        </w:numPr>
        <w:tabs>
          <w:tab w:val="clear" w:pos="360"/>
        </w:tabs>
        <w:ind w:left="0" w:firstLine="0"/>
        <w:jc w:val="both"/>
        <w:rPr>
          <w:sz w:val="20"/>
          <w:lang w:val="es-ES_tradnl"/>
        </w:rPr>
      </w:pPr>
      <w:r w:rsidRPr="0093436F">
        <w:rPr>
          <w:rFonts w:eastAsia="Calibri"/>
          <w:sz w:val="20"/>
          <w:lang w:val="es-ES_tradnl"/>
        </w:rPr>
        <w:t xml:space="preserve">La </w:t>
      </w:r>
      <w:r w:rsidRPr="00C4585D">
        <w:rPr>
          <w:sz w:val="20"/>
          <w:lang w:val="es-ES_tradnl"/>
        </w:rPr>
        <w:t>estimación</w:t>
      </w:r>
      <w:r w:rsidRPr="0093436F">
        <w:rPr>
          <w:rFonts w:eastAsia="Calibri"/>
          <w:sz w:val="20"/>
          <w:lang w:val="es-ES_tradnl"/>
        </w:rPr>
        <w:t xml:space="preserve"> del nivel global de ingresos en 2014/15 se cifra en </w:t>
      </w:r>
      <w:r w:rsidRPr="00C4585D">
        <w:rPr>
          <w:sz w:val="20"/>
          <w:lang w:val="es-ES_tradnl"/>
        </w:rPr>
        <w:t xml:space="preserve">713,3 </w:t>
      </w:r>
      <w:r w:rsidRPr="0093436F">
        <w:rPr>
          <w:rFonts w:eastAsia="Calibri"/>
          <w:sz w:val="20"/>
          <w:lang w:val="es-ES_tradnl"/>
        </w:rPr>
        <w:t>millones de francos suizos, lo que representa un aumento del 4,5% en relación con los niveles estimados de ingresos previstos para el bienio en curso</w:t>
      </w:r>
      <w:r w:rsidRPr="00C4585D">
        <w:rPr>
          <w:sz w:val="20"/>
          <w:lang w:val="es-ES_tradnl"/>
        </w:rPr>
        <w:t xml:space="preserve">.  Como puede apreciarse en el cuadro que figura </w:t>
      </w:r>
      <w:r w:rsidRPr="00C4585D">
        <w:rPr>
          <w:i/>
          <w:sz w:val="20"/>
          <w:lang w:val="es-ES_tradnl"/>
        </w:rPr>
        <w:t>infra</w:t>
      </w:r>
      <w:r w:rsidRPr="00C4585D">
        <w:rPr>
          <w:sz w:val="20"/>
          <w:lang w:val="es-ES_tradnl"/>
        </w:rPr>
        <w:t>, las estimaciones correspondientes a 2014/15 representan aumentos en los ingresos para todos los sistemas de registro, así como para las publicaciones, observándose una leve disminución en lo que atañe a los ingresos correspondientes a arbitraje y a otras fuentes, y un descenso más significativo y continuo en lo tocante a los ingresos por intereses, lo que refleja la actual depresión de las tasas de interés en los mercados financieros.</w:t>
      </w:r>
    </w:p>
    <w:p w:rsidR="00FF779C" w:rsidRPr="00C4585D" w:rsidRDefault="00FF779C" w:rsidP="00FF779C">
      <w:pPr>
        <w:widowControl w:val="0"/>
        <w:jc w:val="both"/>
        <w:rPr>
          <w:sz w:val="20"/>
          <w:lang w:val="es-ES_tradnl"/>
        </w:rPr>
      </w:pPr>
    </w:p>
    <w:p w:rsidR="00FF779C" w:rsidRPr="00C4585D" w:rsidRDefault="00FF779C" w:rsidP="00FF779C">
      <w:pPr>
        <w:widowControl w:val="0"/>
        <w:jc w:val="both"/>
        <w:rPr>
          <w:sz w:val="20"/>
          <w:lang w:val="es-ES_tradnl"/>
        </w:rPr>
      </w:pPr>
    </w:p>
    <w:p w:rsidR="00FF779C" w:rsidRPr="00C4585D" w:rsidRDefault="00FF779C" w:rsidP="00FF779C">
      <w:pPr>
        <w:keepNext/>
        <w:widowControl w:val="0"/>
        <w:jc w:val="center"/>
        <w:rPr>
          <w:sz w:val="20"/>
          <w:lang w:val="es-ES_tradnl"/>
        </w:rPr>
      </w:pPr>
      <w:r w:rsidRPr="00C4585D">
        <w:rPr>
          <w:sz w:val="20"/>
          <w:lang w:val="es-ES_tradnl"/>
        </w:rPr>
        <w:lastRenderedPageBreak/>
        <w:t>Cuadro 3.  Evolución de los ingresos de la Organización entre 2004/05 y 2014/15</w:t>
      </w:r>
    </w:p>
    <w:p w:rsidR="00FF779C" w:rsidRPr="00C4585D" w:rsidRDefault="00FF779C" w:rsidP="00FF779C">
      <w:pPr>
        <w:keepNext/>
        <w:widowControl w:val="0"/>
        <w:jc w:val="center"/>
        <w:rPr>
          <w:i/>
          <w:sz w:val="20"/>
          <w:lang w:val="es-ES_tradnl"/>
        </w:rPr>
      </w:pPr>
      <w:r w:rsidRPr="00C4585D">
        <w:rPr>
          <w:i/>
          <w:sz w:val="20"/>
          <w:lang w:val="es-ES_tradnl"/>
        </w:rPr>
        <w:t>(en millones de francos suizos)</w:t>
      </w:r>
    </w:p>
    <w:p w:rsidR="00FF779C" w:rsidRPr="00C4585D" w:rsidRDefault="00FF779C" w:rsidP="00FF779C">
      <w:pPr>
        <w:keepNext/>
        <w:widowControl w:val="0"/>
        <w:jc w:val="center"/>
        <w:rPr>
          <w:i/>
          <w:sz w:val="20"/>
          <w:lang w:val="es-ES_tradnl"/>
        </w:rPr>
      </w:pPr>
    </w:p>
    <w:p w:rsidR="00FF779C" w:rsidRPr="00C4585D" w:rsidRDefault="00C40A11" w:rsidP="00FF779C">
      <w:pPr>
        <w:widowControl w:val="0"/>
        <w:jc w:val="center"/>
        <w:rPr>
          <w:i/>
          <w:sz w:val="20"/>
          <w:lang w:val="es-ES_tradnl"/>
        </w:rPr>
      </w:pPr>
      <w:r>
        <w:rPr>
          <w:noProof/>
          <w:lang w:val="en-US" w:eastAsia="en-US"/>
        </w:rPr>
        <w:drawing>
          <wp:inline distT="0" distB="0" distL="0" distR="0" wp14:anchorId="69E2A35D" wp14:editId="36A207D1">
            <wp:extent cx="5745480" cy="3111500"/>
            <wp:effectExtent l="0" t="0" r="7620" b="0"/>
            <wp:docPr id="1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45480" cy="3111500"/>
                    </a:xfrm>
                    <a:prstGeom prst="rect">
                      <a:avLst/>
                    </a:prstGeom>
                    <a:noFill/>
                    <a:ln>
                      <a:noFill/>
                    </a:ln>
                  </pic:spPr>
                </pic:pic>
              </a:graphicData>
            </a:graphic>
          </wp:inline>
        </w:drawing>
      </w:r>
    </w:p>
    <w:p w:rsidR="00FF779C" w:rsidRPr="00C4585D" w:rsidRDefault="00FF779C" w:rsidP="00FF779C">
      <w:pPr>
        <w:widowControl w:val="0"/>
        <w:jc w:val="center"/>
        <w:rPr>
          <w:i/>
          <w:sz w:val="20"/>
          <w:lang w:val="es-ES_tradnl"/>
        </w:rPr>
      </w:pPr>
    </w:p>
    <w:p w:rsidR="00FF779C" w:rsidRPr="00C4585D" w:rsidRDefault="00FF779C" w:rsidP="00FF779C">
      <w:pPr>
        <w:widowControl w:val="0"/>
        <w:jc w:val="center"/>
        <w:rPr>
          <w:sz w:val="20"/>
          <w:lang w:val="es-ES_tradnl"/>
        </w:rPr>
      </w:pPr>
    </w:p>
    <w:p w:rsidR="00FF779C" w:rsidRPr="00C4585D" w:rsidRDefault="00FF779C" w:rsidP="00FF779C">
      <w:pPr>
        <w:widowControl w:val="0"/>
        <w:jc w:val="center"/>
        <w:rPr>
          <w:sz w:val="20"/>
          <w:lang w:val="es-ES_tradnl"/>
        </w:rPr>
      </w:pPr>
      <w:r w:rsidRPr="00C4585D">
        <w:rPr>
          <w:sz w:val="20"/>
          <w:lang w:val="es-ES_tradnl"/>
        </w:rPr>
        <w:t>Gráfico 1.  Evolución de los ingresos entre 1990/91 y 2014/15*</w:t>
      </w:r>
    </w:p>
    <w:p w:rsidR="00FF779C" w:rsidRPr="00C4585D" w:rsidRDefault="00FF779C" w:rsidP="00FF779C">
      <w:pPr>
        <w:widowControl w:val="0"/>
        <w:jc w:val="center"/>
        <w:rPr>
          <w:sz w:val="20"/>
          <w:lang w:val="es-ES_tradnl"/>
        </w:rPr>
      </w:pPr>
    </w:p>
    <w:p w:rsidR="00FF779C" w:rsidRPr="00C4585D" w:rsidRDefault="00C40A11" w:rsidP="00FF779C">
      <w:pPr>
        <w:widowControl w:val="0"/>
        <w:jc w:val="center"/>
        <w:rPr>
          <w:sz w:val="20"/>
          <w:lang w:val="es-ES_tradnl"/>
        </w:rPr>
      </w:pPr>
      <w:r>
        <w:rPr>
          <w:noProof/>
          <w:sz w:val="20"/>
          <w:lang w:val="en-US" w:eastAsia="en-US"/>
        </w:rPr>
        <w:drawing>
          <wp:inline distT="0" distB="0" distL="0" distR="0" wp14:anchorId="0112BF63" wp14:editId="4744E001">
            <wp:extent cx="5936615" cy="3343910"/>
            <wp:effectExtent l="0" t="0" r="0" b="0"/>
            <wp:docPr id="1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36615" cy="3343910"/>
                    </a:xfrm>
                    <a:prstGeom prst="rect">
                      <a:avLst/>
                    </a:prstGeom>
                    <a:noFill/>
                    <a:ln>
                      <a:noFill/>
                    </a:ln>
                  </pic:spPr>
                </pic:pic>
              </a:graphicData>
            </a:graphic>
          </wp:inline>
        </w:drawing>
      </w:r>
    </w:p>
    <w:p w:rsidR="00FF779C" w:rsidRPr="00C4585D" w:rsidRDefault="00FF779C" w:rsidP="00FF779C">
      <w:pPr>
        <w:widowControl w:val="0"/>
        <w:tabs>
          <w:tab w:val="left" w:pos="142"/>
        </w:tabs>
        <w:ind w:left="142"/>
        <w:rPr>
          <w:i/>
          <w:sz w:val="16"/>
          <w:szCs w:val="16"/>
          <w:lang w:val="es-ES_tradnl"/>
        </w:rPr>
      </w:pPr>
      <w:r w:rsidRPr="00C4585D">
        <w:rPr>
          <w:i/>
          <w:sz w:val="16"/>
          <w:szCs w:val="16"/>
          <w:lang w:val="es-ES_tradnl"/>
        </w:rPr>
        <w:t>* Las cifras correspondientes a 2012/13 y 2014/15 constituyen estimaciones</w:t>
      </w:r>
    </w:p>
    <w:p w:rsidR="00FF779C" w:rsidRPr="00C4585D" w:rsidRDefault="00FF779C" w:rsidP="00FF779C">
      <w:pPr>
        <w:widowControl w:val="0"/>
        <w:rPr>
          <w:sz w:val="20"/>
          <w:lang w:val="es-ES_tradnl"/>
        </w:rPr>
      </w:pPr>
    </w:p>
    <w:p w:rsidR="00A275A0" w:rsidRPr="00C4585D" w:rsidRDefault="00A275A0" w:rsidP="00FF779C">
      <w:pPr>
        <w:widowControl w:val="0"/>
        <w:rPr>
          <w:sz w:val="20"/>
          <w:lang w:val="es-ES_tradnl"/>
        </w:rPr>
      </w:pPr>
    </w:p>
    <w:p w:rsidR="00FF779C" w:rsidRPr="00C4585D" w:rsidRDefault="00FF779C" w:rsidP="00A275A0">
      <w:pPr>
        <w:rPr>
          <w:u w:val="single"/>
          <w:lang w:val="es-ES_tradnl"/>
        </w:rPr>
      </w:pPr>
      <w:r w:rsidRPr="00C4585D">
        <w:rPr>
          <w:u w:val="single"/>
          <w:lang w:val="es-ES_tradnl"/>
        </w:rPr>
        <w:t>Ingresos procedentes de los sistemas internacionales de registro</w:t>
      </w:r>
    </w:p>
    <w:p w:rsidR="00FF779C" w:rsidRPr="00C4585D" w:rsidRDefault="00FF779C" w:rsidP="00FF779C">
      <w:pPr>
        <w:widowControl w:val="0"/>
        <w:rPr>
          <w:bCs/>
          <w:sz w:val="20"/>
          <w:lang w:val="es-ES_tradnl"/>
        </w:rPr>
      </w:pPr>
    </w:p>
    <w:p w:rsidR="00FF779C" w:rsidRPr="00C4585D" w:rsidRDefault="00FF779C" w:rsidP="00FF779C">
      <w:pPr>
        <w:widowControl w:val="0"/>
        <w:numPr>
          <w:ilvl w:val="0"/>
          <w:numId w:val="4"/>
        </w:numPr>
        <w:tabs>
          <w:tab w:val="clear" w:pos="360"/>
        </w:tabs>
        <w:ind w:left="0" w:firstLine="0"/>
        <w:jc w:val="both"/>
        <w:rPr>
          <w:bCs/>
          <w:sz w:val="20"/>
          <w:lang w:val="es-ES_tradnl"/>
        </w:rPr>
      </w:pPr>
      <w:r w:rsidRPr="00C4585D">
        <w:rPr>
          <w:bCs/>
          <w:sz w:val="20"/>
          <w:lang w:val="es-ES_tradnl"/>
        </w:rPr>
        <w:t xml:space="preserve">La principal </w:t>
      </w:r>
      <w:r w:rsidRPr="00C4585D">
        <w:rPr>
          <w:sz w:val="20"/>
          <w:lang w:val="es-ES_tradnl"/>
        </w:rPr>
        <w:t>fuente</w:t>
      </w:r>
      <w:r w:rsidRPr="00C4585D">
        <w:rPr>
          <w:bCs/>
          <w:sz w:val="20"/>
          <w:lang w:val="es-ES_tradnl"/>
        </w:rPr>
        <w:t xml:space="preserve"> de ingresos de la Organización siguen siendo las tasas por los servicios prestados en el marco de los sistemas del PCT, Madrid y La Haya.  El nivel global de ingresos ha seguido aumentando de forma sostenida en el último decenio y, en ese marco, ha seguido aumentando la proporción de ingresos en concepto de tasas.  Éstos siguen representando más del 90% del total de los ingresos de la Organización, según ilustra el gráfico que figura </w:t>
      </w:r>
      <w:r w:rsidRPr="00C4585D">
        <w:rPr>
          <w:bCs/>
          <w:i/>
          <w:sz w:val="20"/>
          <w:lang w:val="es-ES_tradnl"/>
        </w:rPr>
        <w:t>infra</w:t>
      </w:r>
      <w:r w:rsidRPr="00C4585D">
        <w:rPr>
          <w:bCs/>
          <w:sz w:val="20"/>
          <w:lang w:val="es-ES_tradnl"/>
        </w:rPr>
        <w:t xml:space="preserve">.  A la luz de la disminución de los ingresos correspondientes a intereses y a otras fuentes en los bienios pasados, han seguido </w:t>
      </w:r>
      <w:r w:rsidRPr="00C4585D">
        <w:rPr>
          <w:bCs/>
          <w:sz w:val="20"/>
          <w:lang w:val="es-ES_tradnl"/>
        </w:rPr>
        <w:lastRenderedPageBreak/>
        <w:t>aumentando la importancia y la proporción de los ingresos en concepto de tasas, que representan poco menos del 94% del total de ingresos en 2014/15.</w:t>
      </w:r>
    </w:p>
    <w:p w:rsidR="00FF779C" w:rsidRPr="00C4585D" w:rsidRDefault="00FF779C" w:rsidP="00FF779C">
      <w:pPr>
        <w:widowControl w:val="0"/>
        <w:jc w:val="both"/>
        <w:rPr>
          <w:bCs/>
          <w:sz w:val="20"/>
          <w:lang w:val="es-ES_tradnl"/>
        </w:rPr>
      </w:pPr>
    </w:p>
    <w:p w:rsidR="00FF779C" w:rsidRPr="00C4585D" w:rsidRDefault="00FF779C" w:rsidP="00FF779C">
      <w:pPr>
        <w:widowControl w:val="0"/>
        <w:jc w:val="center"/>
        <w:rPr>
          <w:sz w:val="20"/>
          <w:lang w:val="es-ES_tradnl"/>
        </w:rPr>
      </w:pPr>
      <w:r w:rsidRPr="00C4585D">
        <w:rPr>
          <w:sz w:val="20"/>
          <w:lang w:val="es-ES_tradnl"/>
        </w:rPr>
        <w:t>Gráfico 2.  Porcentaje de ingresos por tipo de ingreso - de 2004/05 a 2014/15</w:t>
      </w:r>
    </w:p>
    <w:p w:rsidR="00FF779C" w:rsidRPr="00C4585D" w:rsidRDefault="00C40A11" w:rsidP="00FF779C">
      <w:pPr>
        <w:widowControl w:val="0"/>
        <w:jc w:val="center"/>
        <w:rPr>
          <w:sz w:val="20"/>
          <w:lang w:val="es-ES_tradnl"/>
        </w:rPr>
      </w:pPr>
      <w:r>
        <w:rPr>
          <w:noProof/>
          <w:lang w:val="en-US" w:eastAsia="en-US"/>
        </w:rPr>
        <w:drawing>
          <wp:inline distT="0" distB="0" distL="0" distR="0" wp14:anchorId="38525231" wp14:editId="49280036">
            <wp:extent cx="5936615" cy="3193415"/>
            <wp:effectExtent l="0" t="0" r="0" b="0"/>
            <wp:docPr id="1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36615" cy="3193415"/>
                    </a:xfrm>
                    <a:prstGeom prst="rect">
                      <a:avLst/>
                    </a:prstGeom>
                    <a:noFill/>
                    <a:ln>
                      <a:noFill/>
                    </a:ln>
                  </pic:spPr>
                </pic:pic>
              </a:graphicData>
            </a:graphic>
          </wp:inline>
        </w:drawing>
      </w:r>
    </w:p>
    <w:p w:rsidR="00FF779C" w:rsidRPr="00C4585D" w:rsidRDefault="00FF779C" w:rsidP="00FF779C">
      <w:pPr>
        <w:widowControl w:val="0"/>
        <w:numPr>
          <w:ilvl w:val="0"/>
          <w:numId w:val="4"/>
        </w:numPr>
        <w:tabs>
          <w:tab w:val="clear" w:pos="360"/>
        </w:tabs>
        <w:ind w:left="0" w:firstLine="0"/>
        <w:jc w:val="both"/>
        <w:rPr>
          <w:bCs/>
          <w:sz w:val="20"/>
          <w:lang w:val="es-ES_tradnl"/>
        </w:rPr>
      </w:pPr>
      <w:r w:rsidRPr="00C4585D">
        <w:rPr>
          <w:sz w:val="20"/>
          <w:lang w:val="es-ES_tradnl"/>
        </w:rPr>
        <w:t xml:space="preserve">Las estimaciones de los ingresos en concepto de tasas se basan en los modelos de previsión elaborados por la Secretaría, detallados en el Anexo IV del presente documento.  La estimación normal (o “estimación de base”) de los volúmenes de registro (solicitudes internacionales, registros, renovaciones) ha sido escogida tradicionalmente con fines de planificación como la hipótesis más adecuada a partir de la cual elaborar las estimaciones de los ingresos en concepto de tasas para los sistemas de registro.  Esas proyecciones y estimaciones han dado como resultado unas proyecciones de ingresos relativamente prudentes y moderadas, según ilustra el gráfico que figura </w:t>
      </w:r>
      <w:r w:rsidRPr="00C4585D">
        <w:rPr>
          <w:i/>
          <w:sz w:val="20"/>
          <w:lang w:val="es-ES_tradnl"/>
        </w:rPr>
        <w:t>infra</w:t>
      </w:r>
      <w:r w:rsidRPr="00C4585D">
        <w:rPr>
          <w:sz w:val="20"/>
          <w:lang w:val="es-ES_tradnl"/>
        </w:rPr>
        <w:t>, en el que las cifras correspondientes al ingreso real exceden, en su mayoría, las previsiones.</w:t>
      </w:r>
    </w:p>
    <w:p w:rsidR="00FF779C" w:rsidRPr="00C4585D" w:rsidRDefault="00FF779C" w:rsidP="00FF779C">
      <w:pPr>
        <w:widowControl w:val="0"/>
        <w:jc w:val="both"/>
        <w:rPr>
          <w:bCs/>
          <w:sz w:val="20"/>
          <w:lang w:val="es-ES_tradnl"/>
        </w:rPr>
      </w:pPr>
    </w:p>
    <w:p w:rsidR="00FF779C" w:rsidRPr="00C4585D" w:rsidRDefault="00FF779C" w:rsidP="00AE07AF">
      <w:pPr>
        <w:widowControl w:val="0"/>
        <w:jc w:val="center"/>
        <w:rPr>
          <w:sz w:val="20"/>
          <w:lang w:val="es-ES_tradnl"/>
        </w:rPr>
      </w:pPr>
      <w:r w:rsidRPr="00C4585D">
        <w:rPr>
          <w:sz w:val="20"/>
          <w:lang w:val="es-ES_tradnl"/>
        </w:rPr>
        <w:t>Gráfico 3.  Previsión de ingreso e ingreso real entre 1990/91 y 2012/13*</w:t>
      </w:r>
    </w:p>
    <w:p w:rsidR="00FF779C" w:rsidRPr="00C4585D" w:rsidRDefault="00FF779C" w:rsidP="00AE07AF">
      <w:pPr>
        <w:widowControl w:val="0"/>
        <w:jc w:val="center"/>
        <w:rPr>
          <w:sz w:val="20"/>
          <w:lang w:val="es-ES_tradnl"/>
        </w:rPr>
      </w:pPr>
    </w:p>
    <w:p w:rsidR="00FF779C" w:rsidRPr="00C4585D" w:rsidRDefault="00C40A11" w:rsidP="00AE07AF">
      <w:pPr>
        <w:widowControl w:val="0"/>
        <w:jc w:val="center"/>
        <w:rPr>
          <w:sz w:val="20"/>
          <w:lang w:val="es-ES_tradnl"/>
        </w:rPr>
      </w:pPr>
      <w:r>
        <w:rPr>
          <w:noProof/>
          <w:lang w:val="en-US" w:eastAsia="en-US"/>
        </w:rPr>
        <w:drawing>
          <wp:inline distT="0" distB="0" distL="0" distR="0" wp14:anchorId="1E9CEC5D" wp14:editId="05246FF9">
            <wp:extent cx="4994910" cy="3091180"/>
            <wp:effectExtent l="0" t="0" r="0" b="0"/>
            <wp:docPr id="1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994910" cy="3091180"/>
                    </a:xfrm>
                    <a:prstGeom prst="rect">
                      <a:avLst/>
                    </a:prstGeom>
                    <a:noFill/>
                    <a:ln>
                      <a:noFill/>
                    </a:ln>
                  </pic:spPr>
                </pic:pic>
              </a:graphicData>
            </a:graphic>
          </wp:inline>
        </w:drawing>
      </w:r>
    </w:p>
    <w:p w:rsidR="00FF779C" w:rsidRPr="00C4585D" w:rsidRDefault="00FF779C" w:rsidP="00FF779C">
      <w:pPr>
        <w:widowControl w:val="0"/>
        <w:ind w:left="284"/>
        <w:jc w:val="both"/>
        <w:rPr>
          <w:bCs/>
          <w:i/>
          <w:sz w:val="16"/>
          <w:szCs w:val="16"/>
          <w:lang w:val="es-ES_tradnl"/>
        </w:rPr>
      </w:pPr>
      <w:r w:rsidRPr="00C4585D">
        <w:rPr>
          <w:bCs/>
          <w:i/>
          <w:sz w:val="16"/>
          <w:szCs w:val="16"/>
          <w:lang w:val="es-ES_tradnl"/>
        </w:rPr>
        <w:t>*La cifra correspondiente a 2012/13 constituye una previsión (línea Ingreso real)</w:t>
      </w:r>
    </w:p>
    <w:p w:rsidR="00FF779C" w:rsidRPr="00C4585D" w:rsidRDefault="00FF779C" w:rsidP="00FF779C">
      <w:pPr>
        <w:widowControl w:val="0"/>
        <w:jc w:val="both"/>
        <w:rPr>
          <w:bCs/>
          <w:i/>
          <w:sz w:val="20"/>
          <w:lang w:val="es-ES_tradnl"/>
        </w:rPr>
      </w:pPr>
    </w:p>
    <w:p w:rsidR="00FF779C" w:rsidRPr="00C4585D" w:rsidRDefault="00FF779C" w:rsidP="00AE07AF">
      <w:pPr>
        <w:keepLines/>
        <w:widowControl w:val="0"/>
        <w:numPr>
          <w:ilvl w:val="0"/>
          <w:numId w:val="4"/>
        </w:numPr>
        <w:tabs>
          <w:tab w:val="clear" w:pos="360"/>
        </w:tabs>
        <w:ind w:left="0" w:firstLine="0"/>
        <w:jc w:val="both"/>
        <w:rPr>
          <w:bCs/>
          <w:sz w:val="20"/>
          <w:lang w:val="es-ES_tradnl"/>
        </w:rPr>
      </w:pPr>
      <w:r w:rsidRPr="00C4585D">
        <w:rPr>
          <w:bCs/>
          <w:sz w:val="20"/>
          <w:lang w:val="es-ES_tradnl"/>
        </w:rPr>
        <w:lastRenderedPageBreak/>
        <w:t xml:space="preserve">Al fijar los parámetros de planificación para 2014/15 en relación con los niveles de registro y de </w:t>
      </w:r>
      <w:r w:rsidRPr="00C4585D">
        <w:rPr>
          <w:sz w:val="20"/>
          <w:lang w:val="es-ES_tradnl"/>
        </w:rPr>
        <w:t>ingresos en concepto de tasas</w:t>
      </w:r>
      <w:r w:rsidRPr="00C4585D">
        <w:rPr>
          <w:bCs/>
          <w:sz w:val="20"/>
          <w:lang w:val="es-ES_tradnl"/>
        </w:rPr>
        <w:t>, al igual que en bienios anteriores la Oficina del Economista Jefe preparó para cada sistema de registro un conjunto amplio de proyecciones económicas y estadísticas que se basan en múltiples modelos estadísticos de previsión, entre otros, modelos autorregresivos, econométricos y de transferencia.  La combinación de los datos producidos por esos modelos da como resultado una serie de márgenes de previsión de los volúmenes de trabajo, asignándose a cada uno probabilidades específicas.  Esas previsiones se exponen en el Anexo IV.</w:t>
      </w:r>
    </w:p>
    <w:p w:rsidR="00FF779C" w:rsidRPr="00C4585D" w:rsidRDefault="00FF779C" w:rsidP="00FF779C">
      <w:pPr>
        <w:widowControl w:val="0"/>
        <w:rPr>
          <w:sz w:val="20"/>
          <w:lang w:val="es-ES_tradnl"/>
        </w:rPr>
      </w:pPr>
    </w:p>
    <w:p w:rsidR="00FF779C" w:rsidRPr="00C4585D" w:rsidRDefault="00FF779C" w:rsidP="00FF779C">
      <w:pPr>
        <w:widowControl w:val="0"/>
        <w:numPr>
          <w:ilvl w:val="0"/>
          <w:numId w:val="4"/>
        </w:numPr>
        <w:tabs>
          <w:tab w:val="clear" w:pos="360"/>
          <w:tab w:val="num" w:pos="567"/>
        </w:tabs>
        <w:ind w:left="0" w:firstLine="0"/>
        <w:jc w:val="both"/>
        <w:rPr>
          <w:bCs/>
          <w:sz w:val="20"/>
          <w:lang w:val="es-ES_tradnl"/>
        </w:rPr>
      </w:pPr>
      <w:r w:rsidRPr="00C4585D">
        <w:rPr>
          <w:bCs/>
          <w:sz w:val="20"/>
          <w:lang w:val="es-ES_tradnl"/>
        </w:rPr>
        <w:t xml:space="preserve">En los ámbitos de trabajo pertinentes, se llevó a cabo un minucioso proceso de validación, de índole práctica </w:t>
      </w:r>
      <w:r w:rsidR="004608A0">
        <w:rPr>
          <w:bCs/>
          <w:sz w:val="20"/>
          <w:lang w:val="es-ES_tradnl"/>
        </w:rPr>
        <w:t>y abarcando todas las funciones</w:t>
      </w:r>
      <w:r w:rsidRPr="00C4585D">
        <w:rPr>
          <w:bCs/>
          <w:sz w:val="20"/>
          <w:lang w:val="es-ES_tradnl"/>
        </w:rPr>
        <w:t xml:space="preserve">, respecto de las hipótesis de base de los modelos, así como de los resultados generados por ellos.  En consecuencia, las cifras de la proyección de base se confirmaron como niveles de registro estimados, en el caso de sistemas del PCT y de La Haya, mientras que en el sistema de Madrid los volúmenes de registro y renovación estimados se confirmaron ligeramente por debajo de la proyección de base arrojada por los modelos.  En el cuadro que figura </w:t>
      </w:r>
      <w:r w:rsidRPr="00C4585D">
        <w:rPr>
          <w:bCs/>
          <w:i/>
          <w:sz w:val="20"/>
          <w:lang w:val="es-ES_tradnl"/>
        </w:rPr>
        <w:t>infra</w:t>
      </w:r>
      <w:r w:rsidRPr="00C4585D">
        <w:rPr>
          <w:bCs/>
          <w:sz w:val="20"/>
          <w:lang w:val="es-ES_tradnl"/>
        </w:rPr>
        <w:t xml:space="preserve"> se presentan los volúmenes de registro respectivos, que sirven de parámetros de planificación para el presupuesto 2014/15.</w:t>
      </w:r>
    </w:p>
    <w:p w:rsidR="00FF779C" w:rsidRPr="00C4585D" w:rsidRDefault="00FF779C" w:rsidP="00FF779C">
      <w:pPr>
        <w:widowControl w:val="0"/>
        <w:jc w:val="both"/>
        <w:rPr>
          <w:bCs/>
          <w:sz w:val="20"/>
          <w:lang w:val="es-ES_tradnl"/>
        </w:rPr>
      </w:pPr>
    </w:p>
    <w:p w:rsidR="00FF779C" w:rsidRDefault="00FF779C" w:rsidP="00FF779C">
      <w:pPr>
        <w:keepNext/>
        <w:widowControl w:val="0"/>
        <w:jc w:val="center"/>
        <w:rPr>
          <w:bCs/>
          <w:i/>
          <w:sz w:val="20"/>
          <w:lang w:val="es-ES_tradnl"/>
        </w:rPr>
      </w:pPr>
      <w:r w:rsidRPr="00C4585D">
        <w:rPr>
          <w:sz w:val="20"/>
          <w:lang w:val="es-ES_tradnl"/>
        </w:rPr>
        <w:t>Cuadro 4.  Estimación de la demanda de servicios (volumen de trabajo) en el marco de los sistemas del PCT, de Madrid y de La Haya</w:t>
      </w:r>
      <w:r w:rsidRPr="00C4585D">
        <w:rPr>
          <w:bCs/>
          <w:i/>
          <w:sz w:val="20"/>
          <w:lang w:val="es-ES_tradnl"/>
        </w:rPr>
        <w:t>*</w:t>
      </w:r>
    </w:p>
    <w:p w:rsidR="00A605D6" w:rsidRPr="00C4585D" w:rsidRDefault="00A605D6" w:rsidP="00FF779C">
      <w:pPr>
        <w:keepNext/>
        <w:widowControl w:val="0"/>
        <w:jc w:val="center"/>
        <w:rPr>
          <w:bCs/>
          <w:i/>
          <w:sz w:val="20"/>
          <w:lang w:val="es-ES_tradnl"/>
        </w:rPr>
      </w:pPr>
    </w:p>
    <w:p w:rsidR="00FF779C" w:rsidRPr="00C4585D" w:rsidRDefault="00C40A11" w:rsidP="00FF779C">
      <w:pPr>
        <w:keepNext/>
        <w:widowControl w:val="0"/>
        <w:jc w:val="center"/>
        <w:rPr>
          <w:bCs/>
          <w:i/>
          <w:sz w:val="20"/>
          <w:lang w:val="es-ES_tradnl"/>
        </w:rPr>
      </w:pPr>
      <w:r>
        <w:rPr>
          <w:noProof/>
          <w:lang w:val="en-US" w:eastAsia="en-US"/>
        </w:rPr>
        <w:drawing>
          <wp:inline distT="0" distB="0" distL="0" distR="0" wp14:anchorId="61E8622C" wp14:editId="2B0B0D19">
            <wp:extent cx="5943600" cy="1657985"/>
            <wp:effectExtent l="0" t="0" r="0" b="0"/>
            <wp:docPr id="1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43600" cy="1657985"/>
                    </a:xfrm>
                    <a:prstGeom prst="rect">
                      <a:avLst/>
                    </a:prstGeom>
                    <a:noFill/>
                    <a:ln>
                      <a:noFill/>
                    </a:ln>
                  </pic:spPr>
                </pic:pic>
              </a:graphicData>
            </a:graphic>
          </wp:inline>
        </w:drawing>
      </w:r>
    </w:p>
    <w:p w:rsidR="00FF779C" w:rsidRPr="00C4585D" w:rsidRDefault="00FF779C" w:rsidP="00A605D6">
      <w:pPr>
        <w:keepNext/>
        <w:widowControl w:val="0"/>
        <w:jc w:val="right"/>
        <w:rPr>
          <w:bCs/>
          <w:i/>
          <w:sz w:val="20"/>
          <w:lang w:val="es-ES_tradnl"/>
        </w:rPr>
      </w:pPr>
    </w:p>
    <w:p w:rsidR="00FF779C" w:rsidRPr="00C4585D" w:rsidRDefault="00FF779C" w:rsidP="00FF779C">
      <w:pPr>
        <w:widowControl w:val="0"/>
        <w:jc w:val="both"/>
        <w:rPr>
          <w:bCs/>
          <w:i/>
          <w:sz w:val="16"/>
          <w:szCs w:val="16"/>
          <w:lang w:val="es-ES_tradnl"/>
        </w:rPr>
      </w:pPr>
      <w:r w:rsidRPr="00C4585D">
        <w:rPr>
          <w:bCs/>
          <w:i/>
          <w:sz w:val="16"/>
          <w:szCs w:val="16"/>
          <w:lang w:val="es-ES_tradnl"/>
        </w:rPr>
        <w:t>*Cifras reales al mes de enero de 2013</w:t>
      </w:r>
    </w:p>
    <w:p w:rsidR="00FF779C" w:rsidRDefault="00FF779C" w:rsidP="00FF779C">
      <w:pPr>
        <w:widowControl w:val="0"/>
        <w:rPr>
          <w:bCs/>
          <w:sz w:val="20"/>
          <w:lang w:val="es-ES_tradnl"/>
        </w:rPr>
      </w:pPr>
    </w:p>
    <w:p w:rsidR="00007A7B" w:rsidRPr="00C4585D" w:rsidRDefault="00007A7B" w:rsidP="00FF779C">
      <w:pPr>
        <w:widowControl w:val="0"/>
        <w:rPr>
          <w:bCs/>
          <w:sz w:val="20"/>
          <w:lang w:val="es-ES_tradnl"/>
        </w:rPr>
      </w:pPr>
    </w:p>
    <w:p w:rsidR="00FF779C" w:rsidRPr="00007A7B" w:rsidRDefault="00FF779C" w:rsidP="00007A7B">
      <w:pPr>
        <w:rPr>
          <w:u w:val="single"/>
          <w:lang w:val="es-ES_tradnl"/>
        </w:rPr>
      </w:pPr>
      <w:r w:rsidRPr="00007A7B">
        <w:rPr>
          <w:u w:val="single"/>
          <w:lang w:val="es-ES_tradnl"/>
        </w:rPr>
        <w:t>Ingresos de otras fuentes</w:t>
      </w:r>
    </w:p>
    <w:p w:rsidR="00FF779C" w:rsidRPr="00C4585D" w:rsidRDefault="00FF779C" w:rsidP="00FF779C">
      <w:pPr>
        <w:widowControl w:val="0"/>
        <w:rPr>
          <w:bCs/>
          <w:sz w:val="20"/>
          <w:lang w:val="es-ES_tradnl"/>
        </w:rPr>
      </w:pPr>
    </w:p>
    <w:p w:rsidR="00FF779C" w:rsidRPr="00C4585D" w:rsidRDefault="00FF779C" w:rsidP="00FF779C">
      <w:pPr>
        <w:widowControl w:val="0"/>
        <w:numPr>
          <w:ilvl w:val="0"/>
          <w:numId w:val="4"/>
        </w:numPr>
        <w:tabs>
          <w:tab w:val="clear" w:pos="360"/>
          <w:tab w:val="num" w:pos="567"/>
        </w:tabs>
        <w:ind w:left="0" w:firstLine="0"/>
        <w:jc w:val="both"/>
        <w:rPr>
          <w:bCs/>
          <w:sz w:val="20"/>
          <w:lang w:val="es-ES_tradnl"/>
        </w:rPr>
      </w:pPr>
      <w:r w:rsidRPr="00C4585D">
        <w:rPr>
          <w:bCs/>
          <w:sz w:val="20"/>
          <w:lang w:val="es-ES_tradnl"/>
        </w:rPr>
        <w:t>Los ingresos procedentes de las contribuciones de los Estados miembros se mantuvieron prácticamente sin modificación en 35,2 millones de francos suizos para el bienio 2014/15;  compárese con 35,1 millones de francos suizos en 2012/13.</w:t>
      </w:r>
    </w:p>
    <w:p w:rsidR="00FF779C" w:rsidRPr="00C4585D" w:rsidRDefault="00FF779C" w:rsidP="00FF779C">
      <w:pPr>
        <w:widowControl w:val="0"/>
        <w:jc w:val="both"/>
        <w:rPr>
          <w:bCs/>
          <w:sz w:val="20"/>
          <w:lang w:val="es-ES_tradnl"/>
        </w:rPr>
      </w:pPr>
    </w:p>
    <w:p w:rsidR="00FF779C" w:rsidRPr="00C4585D" w:rsidRDefault="00FF779C" w:rsidP="00FF779C">
      <w:pPr>
        <w:widowControl w:val="0"/>
        <w:numPr>
          <w:ilvl w:val="0"/>
          <w:numId w:val="4"/>
        </w:numPr>
        <w:tabs>
          <w:tab w:val="clear" w:pos="360"/>
          <w:tab w:val="num" w:pos="567"/>
        </w:tabs>
        <w:ind w:left="0" w:firstLine="0"/>
        <w:jc w:val="both"/>
        <w:rPr>
          <w:bCs/>
          <w:sz w:val="20"/>
          <w:lang w:val="es-ES_tradnl"/>
        </w:rPr>
      </w:pPr>
      <w:r w:rsidRPr="00C4585D">
        <w:rPr>
          <w:bCs/>
          <w:sz w:val="20"/>
          <w:lang w:val="es-ES_tradnl"/>
        </w:rPr>
        <w:t>Los ingresos correspondientes a los servicios prestados por el Centro de Arbitraje y Mediación se estiman en 2,8 millones de francos suizos para el bienio 2014/15.  Compárese con la estimación de 3,0 millones de francos suizos en 2012/13.  La disminución en la estimación se debe a la incertidumbre relacionada con las menores cuantías que los titulares de marcas destinan a hacer valer sus derechos y a las novedades relativas a los proveedores de servicios de solución de controversias con arreglo a la Política Uniforme de solución de controversias en materias de nombres de dominio, así como a las alternativas a la Política Uniforme que se presentan en el ámbito de los nuevos dominios de nivel superior</w:t>
      </w:r>
      <w:r w:rsidRPr="00C4585D">
        <w:rPr>
          <w:sz w:val="20"/>
          <w:lang w:val="es-ES_tradnl"/>
        </w:rPr>
        <w:t>.</w:t>
      </w:r>
    </w:p>
    <w:p w:rsidR="00FF779C" w:rsidRPr="00C4585D" w:rsidRDefault="00FF779C" w:rsidP="00FF779C">
      <w:pPr>
        <w:widowControl w:val="0"/>
        <w:jc w:val="both"/>
        <w:rPr>
          <w:bCs/>
          <w:sz w:val="20"/>
          <w:lang w:val="es-ES_tradnl"/>
        </w:rPr>
      </w:pPr>
    </w:p>
    <w:p w:rsidR="00FF779C" w:rsidRPr="00C4585D" w:rsidRDefault="00FF779C" w:rsidP="00FF779C">
      <w:pPr>
        <w:widowControl w:val="0"/>
        <w:numPr>
          <w:ilvl w:val="0"/>
          <w:numId w:val="4"/>
        </w:numPr>
        <w:tabs>
          <w:tab w:val="clear" w:pos="360"/>
          <w:tab w:val="num" w:pos="567"/>
        </w:tabs>
        <w:ind w:left="0" w:firstLine="0"/>
        <w:jc w:val="both"/>
        <w:rPr>
          <w:bCs/>
          <w:sz w:val="20"/>
          <w:lang w:val="es-ES_tradnl"/>
        </w:rPr>
      </w:pPr>
      <w:r w:rsidRPr="00C4585D">
        <w:rPr>
          <w:bCs/>
          <w:sz w:val="20"/>
          <w:lang w:val="es-ES_tradnl"/>
        </w:rPr>
        <w:t>Los ingresos correspondientes a la venta de publicaciones se estiman en 1.200.000 francos suizos;  compárese con 1.100.000 francos suizos en 2012/13.  Actualmente, la OMPI distribuye sin cargo más del 95% de sus publicaciones en papel.  Dichos ingresos derivan principalmente de la venta de los CD-ROM de PatentScope y las suscripciones a PatentScope en Internet, de la venta de algunas publicaciones en papel y de los ingresos por publicidad en la Revista de la OMPI.</w:t>
      </w:r>
    </w:p>
    <w:p w:rsidR="00FF779C" w:rsidRPr="00C4585D" w:rsidRDefault="00FF779C" w:rsidP="00FF779C">
      <w:pPr>
        <w:widowControl w:val="0"/>
        <w:jc w:val="both"/>
        <w:rPr>
          <w:bCs/>
          <w:sz w:val="20"/>
          <w:lang w:val="es-ES_tradnl"/>
        </w:rPr>
      </w:pPr>
    </w:p>
    <w:p w:rsidR="00FF779C" w:rsidRPr="00C4585D" w:rsidRDefault="00FF779C" w:rsidP="00FF779C">
      <w:pPr>
        <w:widowControl w:val="0"/>
        <w:numPr>
          <w:ilvl w:val="0"/>
          <w:numId w:val="4"/>
        </w:numPr>
        <w:tabs>
          <w:tab w:val="clear" w:pos="360"/>
          <w:tab w:val="num" w:pos="567"/>
        </w:tabs>
        <w:ind w:left="0" w:firstLine="0"/>
        <w:jc w:val="both"/>
        <w:rPr>
          <w:bCs/>
          <w:sz w:val="20"/>
          <w:lang w:val="es-ES_tradnl"/>
        </w:rPr>
      </w:pPr>
      <w:r w:rsidRPr="00C4585D">
        <w:rPr>
          <w:bCs/>
          <w:sz w:val="20"/>
          <w:lang w:val="es-ES_tradnl"/>
        </w:rPr>
        <w:t xml:space="preserve">Los ingresos correspondientes a los intereses se estiman en 1.500.000 francos suizos;  compárese con una estimación de 2,8 millones de francos suizos.  La reducción se debe principalmente a la disminución de las tasas de interés, </w:t>
      </w:r>
      <w:r w:rsidRPr="00C4585D">
        <w:rPr>
          <w:sz w:val="20"/>
          <w:lang w:val="es-ES_tradnl"/>
        </w:rPr>
        <w:t>lo que refleja la actual depresión de las tasas de interés en los mercados financieros.</w:t>
      </w:r>
    </w:p>
    <w:p w:rsidR="00FF779C" w:rsidRPr="00C4585D" w:rsidRDefault="00FF779C" w:rsidP="00FF779C">
      <w:pPr>
        <w:widowControl w:val="0"/>
        <w:jc w:val="both"/>
        <w:rPr>
          <w:bCs/>
          <w:sz w:val="20"/>
          <w:lang w:val="es-ES_tradnl"/>
        </w:rPr>
      </w:pPr>
    </w:p>
    <w:p w:rsidR="00FF779C" w:rsidRPr="00C4585D" w:rsidRDefault="00FF779C" w:rsidP="00D5012B">
      <w:pPr>
        <w:keepLines/>
        <w:widowControl w:val="0"/>
        <w:numPr>
          <w:ilvl w:val="0"/>
          <w:numId w:val="4"/>
        </w:numPr>
        <w:tabs>
          <w:tab w:val="clear" w:pos="360"/>
        </w:tabs>
        <w:ind w:left="0" w:firstLine="0"/>
        <w:jc w:val="both"/>
        <w:rPr>
          <w:bCs/>
          <w:sz w:val="20"/>
          <w:lang w:val="es-ES_tradnl"/>
        </w:rPr>
      </w:pPr>
      <w:r w:rsidRPr="00C4585D">
        <w:rPr>
          <w:bCs/>
          <w:sz w:val="20"/>
          <w:lang w:val="es-ES_tradnl"/>
        </w:rPr>
        <w:lastRenderedPageBreak/>
        <w:t xml:space="preserve">Los ingresos correspondientes a otras fuentes se estiman en 3.8 millones de francos suizos para el bienio 2014/15;  compárese con 4.1 millones de francos suizos en 2012/13.  Dichos ingresos incluyen los </w:t>
      </w:r>
      <w:r w:rsidRPr="0093436F">
        <w:rPr>
          <w:rFonts w:eastAsia="Calibri"/>
          <w:sz w:val="20"/>
          <w:lang w:val="es-ES_tradnl"/>
        </w:rPr>
        <w:t>pagos de la UPOV a la OMPI por servicios administrativos de apoyo</w:t>
      </w:r>
      <w:r w:rsidRPr="00C4585D">
        <w:rPr>
          <w:bCs/>
          <w:sz w:val="20"/>
          <w:lang w:val="es-ES_tradnl"/>
        </w:rPr>
        <w:t>;  ingresos en concepto de alquiler;  gastos de apoyo en relación con actividades extrapresupuestarias realizadas por la OMPI y financiadas mediante fondos fiduciarios;  tasas de inscripción a conferencias y programas de formación.</w:t>
      </w:r>
    </w:p>
    <w:p w:rsidR="00FF779C" w:rsidRPr="00C4585D" w:rsidRDefault="00FF779C" w:rsidP="00FF779C">
      <w:pPr>
        <w:widowControl w:val="0"/>
        <w:rPr>
          <w:sz w:val="20"/>
          <w:lang w:val="es-ES_tradnl"/>
        </w:rPr>
      </w:pPr>
    </w:p>
    <w:p w:rsidR="00FF779C" w:rsidRPr="00BA1F50" w:rsidRDefault="00FF779C" w:rsidP="00D5012B">
      <w:pPr>
        <w:pStyle w:val="Heading2"/>
        <w:keepNext w:val="0"/>
        <w:widowControl w:val="0"/>
        <w:rPr>
          <w:b/>
          <w:caps w:val="0"/>
          <w:sz w:val="24"/>
          <w:szCs w:val="24"/>
          <w:lang w:val="es-ES_tradnl"/>
        </w:rPr>
      </w:pPr>
      <w:bookmarkStart w:id="11" w:name="_Toc358816678"/>
      <w:r w:rsidRPr="00BA1F50">
        <w:rPr>
          <w:b/>
          <w:caps w:val="0"/>
          <w:sz w:val="24"/>
          <w:szCs w:val="24"/>
          <w:lang w:val="es-ES_tradnl"/>
        </w:rPr>
        <w:t>GASTOS</w:t>
      </w:r>
      <w:bookmarkEnd w:id="11"/>
    </w:p>
    <w:p w:rsidR="00FF779C" w:rsidRPr="00C4585D" w:rsidRDefault="00D5012B" w:rsidP="00D5012B">
      <w:pPr>
        <w:pStyle w:val="Heading3"/>
        <w:keepNext w:val="0"/>
        <w:rPr>
          <w:sz w:val="20"/>
          <w:szCs w:val="20"/>
          <w:u w:val="none"/>
          <w:lang w:val="es-ES_tradnl"/>
        </w:rPr>
      </w:pPr>
      <w:bookmarkStart w:id="12" w:name="_Toc358816679"/>
      <w:r w:rsidRPr="00C4585D">
        <w:rPr>
          <w:sz w:val="20"/>
          <w:szCs w:val="20"/>
          <w:u w:val="none"/>
          <w:lang w:val="es-ES_tradnl"/>
        </w:rPr>
        <w:t>GASTOS GLOBALES</w:t>
      </w:r>
      <w:bookmarkEnd w:id="12"/>
    </w:p>
    <w:p w:rsidR="00FF779C" w:rsidRPr="00C4585D" w:rsidRDefault="00FF779C" w:rsidP="00FF779C">
      <w:pPr>
        <w:widowControl w:val="0"/>
        <w:rPr>
          <w:sz w:val="20"/>
          <w:lang w:val="es-ES_tradnl"/>
        </w:rPr>
      </w:pPr>
    </w:p>
    <w:p w:rsidR="00FF779C" w:rsidRPr="00C4585D" w:rsidRDefault="00FF779C" w:rsidP="00FF779C">
      <w:pPr>
        <w:widowControl w:val="0"/>
        <w:numPr>
          <w:ilvl w:val="0"/>
          <w:numId w:val="4"/>
        </w:numPr>
        <w:tabs>
          <w:tab w:val="clear" w:pos="360"/>
        </w:tabs>
        <w:ind w:left="0" w:firstLine="0"/>
        <w:jc w:val="both"/>
        <w:rPr>
          <w:color w:val="000000"/>
          <w:sz w:val="20"/>
          <w:lang w:val="es-ES_tradnl"/>
        </w:rPr>
      </w:pPr>
      <w:r w:rsidRPr="00C4585D">
        <w:rPr>
          <w:color w:val="000000"/>
          <w:sz w:val="20"/>
          <w:lang w:val="es-ES_tradnl"/>
        </w:rPr>
        <w:t>El gasto total propuesto para el bienio 2014/15 asciende a 673,2 millones de francos suizos, lo que representa un aumento de 24,8 millones de francos suizos, es decir, el 3,8% con respecto al presupuesto de 2012/13 después de las transferencias.  Se propone incrementar los costos de personal, por un importe de 36,3 millones de francos suizos, es decir el 8,8%, y disminuir los costos no relativos al personal por un importe de 11,5 millones de francos suizos, es decir, el 4.8%.</w:t>
      </w:r>
    </w:p>
    <w:p w:rsidR="00FF779C" w:rsidRPr="00C4585D" w:rsidRDefault="00FF779C" w:rsidP="00FF779C">
      <w:pPr>
        <w:widowControl w:val="0"/>
        <w:tabs>
          <w:tab w:val="num" w:pos="690"/>
        </w:tabs>
        <w:jc w:val="both"/>
        <w:rPr>
          <w:color w:val="000000"/>
          <w:sz w:val="20"/>
          <w:lang w:val="es-ES_tradnl"/>
        </w:rPr>
      </w:pPr>
    </w:p>
    <w:p w:rsidR="00FF779C" w:rsidRPr="00C4585D" w:rsidRDefault="00FF779C" w:rsidP="00FF779C">
      <w:pPr>
        <w:widowControl w:val="0"/>
        <w:numPr>
          <w:ilvl w:val="0"/>
          <w:numId w:val="4"/>
        </w:numPr>
        <w:tabs>
          <w:tab w:val="clear" w:pos="360"/>
        </w:tabs>
        <w:ind w:left="0" w:firstLine="0"/>
        <w:jc w:val="both"/>
        <w:rPr>
          <w:color w:val="000000"/>
          <w:sz w:val="20"/>
          <w:lang w:val="es-ES_tradnl"/>
        </w:rPr>
      </w:pPr>
      <w:r w:rsidRPr="00C4585D">
        <w:rPr>
          <w:color w:val="000000"/>
          <w:sz w:val="20"/>
          <w:lang w:val="es-ES_tradnl"/>
        </w:rPr>
        <w:t xml:space="preserve">En el gráfico que figura </w:t>
      </w:r>
      <w:r w:rsidRPr="00C4585D">
        <w:rPr>
          <w:i/>
          <w:color w:val="000000"/>
          <w:sz w:val="20"/>
          <w:lang w:val="es-ES_tradnl"/>
        </w:rPr>
        <w:t>infra</w:t>
      </w:r>
      <w:r w:rsidRPr="00C4585D">
        <w:rPr>
          <w:color w:val="000000"/>
          <w:sz w:val="20"/>
          <w:lang w:val="es-ES_tradnl"/>
        </w:rPr>
        <w:t xml:space="preserve"> se ilustra el contexto en el que puede situarse la evolución del presupuesto 2014/15 de la OMPI.  Desde 1990, se ha observado un incremento moderado en el presupuesto total, en sintonía con el crecimiento de la Organización y el aumento en la demanda de los servicios que presta.</w:t>
      </w:r>
    </w:p>
    <w:p w:rsidR="00FF779C" w:rsidRPr="00C4585D" w:rsidRDefault="00FF779C" w:rsidP="00FF779C">
      <w:pPr>
        <w:widowControl w:val="0"/>
        <w:tabs>
          <w:tab w:val="num" w:pos="690"/>
        </w:tabs>
        <w:jc w:val="both"/>
        <w:rPr>
          <w:color w:val="000000"/>
          <w:sz w:val="20"/>
          <w:lang w:val="es-ES_tradnl"/>
        </w:rPr>
      </w:pPr>
    </w:p>
    <w:p w:rsidR="00FF779C" w:rsidRPr="00C4585D" w:rsidRDefault="00FF779C" w:rsidP="00FF779C">
      <w:pPr>
        <w:widowControl w:val="0"/>
        <w:tabs>
          <w:tab w:val="num" w:pos="690"/>
        </w:tabs>
        <w:jc w:val="both"/>
        <w:rPr>
          <w:color w:val="000000"/>
          <w:sz w:val="20"/>
          <w:lang w:val="es-ES_tradnl"/>
        </w:rPr>
      </w:pPr>
    </w:p>
    <w:p w:rsidR="00FF779C" w:rsidRPr="00C4585D" w:rsidRDefault="00FF779C" w:rsidP="00FF779C">
      <w:pPr>
        <w:keepNext/>
        <w:widowControl w:val="0"/>
        <w:jc w:val="center"/>
        <w:rPr>
          <w:sz w:val="20"/>
          <w:lang w:val="es-ES_tradnl"/>
        </w:rPr>
      </w:pPr>
      <w:r w:rsidRPr="00C4585D">
        <w:rPr>
          <w:sz w:val="20"/>
          <w:lang w:val="es-ES_tradnl"/>
        </w:rPr>
        <w:t>Gráfico 4.  Evolución del gasto presupuestado de la OMPI entre 1990/91 y 2014/15</w:t>
      </w:r>
    </w:p>
    <w:p w:rsidR="00FF779C" w:rsidRPr="00C4585D" w:rsidRDefault="00C40A11" w:rsidP="00FF779C">
      <w:pPr>
        <w:widowControl w:val="0"/>
        <w:jc w:val="center"/>
        <w:rPr>
          <w:sz w:val="20"/>
          <w:lang w:val="es-ES_tradnl"/>
        </w:rPr>
      </w:pPr>
      <w:r>
        <w:rPr>
          <w:noProof/>
          <w:lang w:val="en-US" w:eastAsia="en-US"/>
        </w:rPr>
        <w:drawing>
          <wp:inline distT="0" distB="0" distL="0" distR="0" wp14:anchorId="62024D20" wp14:editId="0D55A4B0">
            <wp:extent cx="5943600" cy="2211070"/>
            <wp:effectExtent l="0" t="0" r="0" b="0"/>
            <wp:docPr id="1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943600" cy="2211070"/>
                    </a:xfrm>
                    <a:prstGeom prst="rect">
                      <a:avLst/>
                    </a:prstGeom>
                    <a:noFill/>
                    <a:ln>
                      <a:noFill/>
                    </a:ln>
                  </pic:spPr>
                </pic:pic>
              </a:graphicData>
            </a:graphic>
          </wp:inline>
        </w:drawing>
      </w:r>
    </w:p>
    <w:p w:rsidR="00FF779C" w:rsidRPr="00C4585D" w:rsidRDefault="00FF779C" w:rsidP="00FF779C">
      <w:pPr>
        <w:widowControl w:val="0"/>
        <w:rPr>
          <w:sz w:val="20"/>
          <w:lang w:val="es-ES_tradnl"/>
        </w:rPr>
      </w:pPr>
    </w:p>
    <w:p w:rsidR="00FF779C" w:rsidRPr="00C4585D" w:rsidRDefault="00FF779C" w:rsidP="00FF779C">
      <w:pPr>
        <w:numPr>
          <w:ilvl w:val="0"/>
          <w:numId w:val="4"/>
        </w:numPr>
        <w:tabs>
          <w:tab w:val="clear" w:pos="360"/>
          <w:tab w:val="num" w:pos="567"/>
          <w:tab w:val="num" w:pos="690"/>
        </w:tabs>
        <w:ind w:left="0" w:firstLine="0"/>
        <w:jc w:val="both"/>
        <w:rPr>
          <w:color w:val="000000"/>
          <w:sz w:val="20"/>
          <w:lang w:val="es-ES_tradnl"/>
        </w:rPr>
      </w:pPr>
      <w:r w:rsidRPr="00C4585D">
        <w:rPr>
          <w:color w:val="000000"/>
          <w:sz w:val="20"/>
          <w:lang w:val="es-ES_tradnl"/>
        </w:rPr>
        <w:t xml:space="preserve">La estructura del gasto de la Organización en el mismo periodo se ha mantenido relativamente estable, y en gran parte se ajusta a la de una organización que presta servicios, en la que la mayor parte de los gastos corresponden a costos de personal.  Tal como se indica en el gráfico que figura </w:t>
      </w:r>
      <w:r w:rsidRPr="00C4585D">
        <w:rPr>
          <w:i/>
          <w:color w:val="000000"/>
          <w:sz w:val="20"/>
          <w:lang w:val="es-ES_tradnl"/>
        </w:rPr>
        <w:t>infra</w:t>
      </w:r>
      <w:r w:rsidRPr="00C4585D">
        <w:rPr>
          <w:color w:val="000000"/>
          <w:sz w:val="20"/>
          <w:lang w:val="es-ES_tradnl"/>
        </w:rPr>
        <w:t>, dichos costos han permanecido relativamente constantes en la OMPI en los últimos 20 años, aproximadamente, manteniéndose en el margen del 60-72%, en función de los gastos globales en un bienio determinado, y con la presión al alza que ejerce la reforma contractual, así como la necesidad de reconocer los costos relacionados con los futuros pasivos de la Organización que inciden claramente en los costos globales de personal.</w:t>
      </w:r>
    </w:p>
    <w:p w:rsidR="00FF779C" w:rsidRPr="00C4585D" w:rsidRDefault="00FF779C" w:rsidP="00FF779C">
      <w:pPr>
        <w:widowControl w:val="0"/>
        <w:tabs>
          <w:tab w:val="num" w:pos="690"/>
        </w:tabs>
        <w:jc w:val="both"/>
        <w:rPr>
          <w:color w:val="000000"/>
          <w:sz w:val="20"/>
          <w:lang w:val="es-ES_tradnl"/>
        </w:rPr>
      </w:pPr>
    </w:p>
    <w:p w:rsidR="00FF779C" w:rsidRPr="00C4585D" w:rsidRDefault="00FF779C" w:rsidP="00FF779C">
      <w:pPr>
        <w:widowControl w:val="0"/>
        <w:numPr>
          <w:ilvl w:val="0"/>
          <w:numId w:val="4"/>
        </w:numPr>
        <w:tabs>
          <w:tab w:val="clear" w:pos="360"/>
        </w:tabs>
        <w:ind w:left="0" w:firstLine="0"/>
        <w:jc w:val="both"/>
        <w:rPr>
          <w:color w:val="000000"/>
          <w:sz w:val="20"/>
          <w:lang w:val="es-ES_tradnl"/>
        </w:rPr>
      </w:pPr>
      <w:r w:rsidRPr="00C4585D">
        <w:rPr>
          <w:color w:val="000000"/>
          <w:sz w:val="20"/>
          <w:lang w:val="es-ES_tradnl"/>
        </w:rPr>
        <w:t>La Organización se ha esforzado significativamente por seguir perfeccionando y fortaleciendo la gestión financiera y para mejorar la eficacia en función de los costos, conteniendo de esa forma el aumento en los costos no relativos al personal.  En 2012/13, la proporción de costos de personal presupuestados equivalió al 63,3%, y presenta un leve aumento en 2014/15, pasando al 66,4%, debido a que sigue conteniéndose el aumento de los costos no relativos al personal.  Las medidas destinadas a fomentar la eficacia en función de los costos seguirán siendo, también en el próximo bienio, un elemento central de los esfuerzos desplegados por la Secretaría.</w:t>
      </w:r>
    </w:p>
    <w:p w:rsidR="00FF779C" w:rsidRPr="00C4585D" w:rsidRDefault="00FF779C" w:rsidP="00FF779C">
      <w:pPr>
        <w:jc w:val="center"/>
        <w:rPr>
          <w:sz w:val="18"/>
          <w:szCs w:val="18"/>
          <w:lang w:val="es-ES_tradnl"/>
        </w:rPr>
      </w:pPr>
    </w:p>
    <w:p w:rsidR="00FF779C" w:rsidRPr="00C4585D" w:rsidRDefault="00FF779C" w:rsidP="00FF779C">
      <w:pPr>
        <w:jc w:val="center"/>
        <w:rPr>
          <w:sz w:val="18"/>
          <w:szCs w:val="18"/>
          <w:lang w:val="es-ES_tradnl"/>
        </w:rPr>
      </w:pPr>
    </w:p>
    <w:p w:rsidR="00FF779C" w:rsidRPr="00C4585D" w:rsidRDefault="00FF779C" w:rsidP="00E47595">
      <w:pPr>
        <w:keepNext/>
        <w:keepLines/>
        <w:jc w:val="center"/>
        <w:rPr>
          <w:sz w:val="18"/>
          <w:szCs w:val="18"/>
          <w:lang w:val="es-ES_tradnl"/>
        </w:rPr>
      </w:pPr>
      <w:r w:rsidRPr="00C4585D">
        <w:rPr>
          <w:sz w:val="18"/>
          <w:szCs w:val="18"/>
          <w:lang w:val="es-ES_tradnl"/>
        </w:rPr>
        <w:lastRenderedPageBreak/>
        <w:t>Gráfico 5.  Evolución de la estructura de costos de la OMPI entre 1990/91 y 2014/15*</w:t>
      </w:r>
    </w:p>
    <w:p w:rsidR="00FF779C" w:rsidRPr="00C4585D" w:rsidRDefault="00C40A11" w:rsidP="00E47595">
      <w:pPr>
        <w:keepNext/>
        <w:keepLines/>
        <w:jc w:val="center"/>
        <w:rPr>
          <w:sz w:val="18"/>
          <w:szCs w:val="18"/>
          <w:lang w:val="es-ES_tradnl"/>
        </w:rPr>
      </w:pPr>
      <w:r>
        <w:rPr>
          <w:noProof/>
          <w:lang w:val="en-US" w:eastAsia="en-US"/>
        </w:rPr>
        <w:drawing>
          <wp:inline distT="0" distB="0" distL="0" distR="0" wp14:anchorId="299BA22C" wp14:editId="52A9283B">
            <wp:extent cx="5943600" cy="2504440"/>
            <wp:effectExtent l="0" t="0" r="0" b="0"/>
            <wp:docPr id="1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943600" cy="2504440"/>
                    </a:xfrm>
                    <a:prstGeom prst="rect">
                      <a:avLst/>
                    </a:prstGeom>
                    <a:noFill/>
                    <a:ln>
                      <a:noFill/>
                    </a:ln>
                  </pic:spPr>
                </pic:pic>
              </a:graphicData>
            </a:graphic>
          </wp:inline>
        </w:drawing>
      </w:r>
    </w:p>
    <w:p w:rsidR="00FF779C" w:rsidRPr="00C4585D" w:rsidRDefault="00FF779C" w:rsidP="00E47595">
      <w:pPr>
        <w:keepNext/>
        <w:keepLines/>
        <w:widowControl w:val="0"/>
        <w:jc w:val="both"/>
        <w:rPr>
          <w:i/>
          <w:color w:val="000000"/>
          <w:sz w:val="16"/>
          <w:szCs w:val="16"/>
          <w:lang w:val="es-ES_tradnl"/>
        </w:rPr>
      </w:pPr>
      <w:r w:rsidRPr="00C4585D">
        <w:rPr>
          <w:i/>
          <w:color w:val="000000"/>
          <w:sz w:val="16"/>
          <w:szCs w:val="16"/>
          <w:lang w:val="es-ES_tradnl"/>
        </w:rPr>
        <w:tab/>
        <w:t>*R:  reales;  P:  presupuestados</w:t>
      </w:r>
    </w:p>
    <w:p w:rsidR="00FF779C" w:rsidRDefault="00FF779C" w:rsidP="00FF779C">
      <w:pPr>
        <w:widowControl w:val="0"/>
        <w:jc w:val="both"/>
        <w:rPr>
          <w:color w:val="000000"/>
          <w:sz w:val="20"/>
          <w:lang w:val="es-ES_tradnl"/>
        </w:rPr>
      </w:pPr>
    </w:p>
    <w:p w:rsidR="00247004" w:rsidRDefault="00247004" w:rsidP="00247004">
      <w:pPr>
        <w:widowControl w:val="0"/>
        <w:numPr>
          <w:ilvl w:val="0"/>
          <w:numId w:val="4"/>
        </w:numPr>
        <w:tabs>
          <w:tab w:val="clear" w:pos="360"/>
          <w:tab w:val="num" w:pos="567"/>
          <w:tab w:val="num" w:pos="690"/>
        </w:tabs>
        <w:ind w:left="0" w:firstLine="0"/>
        <w:jc w:val="both"/>
        <w:rPr>
          <w:color w:val="000000"/>
          <w:sz w:val="20"/>
          <w:lang w:val="es-ES_tradnl"/>
        </w:rPr>
      </w:pPr>
      <w:r>
        <w:rPr>
          <w:color w:val="000000"/>
          <w:sz w:val="20"/>
          <w:lang w:val="es-ES_tradnl"/>
        </w:rPr>
        <w:t xml:space="preserve">Tal como se indica en el párrafo 14, la Secretaría ha elaborado un plan maestro de mejoras de infraestructura, es decir, un plan global y sostenible sobre los proyectos </w:t>
      </w:r>
      <w:r w:rsidR="002208BF">
        <w:rPr>
          <w:color w:val="000000"/>
          <w:sz w:val="20"/>
          <w:lang w:val="es-ES_tradnl"/>
        </w:rPr>
        <w:t>de gasto de capital cuya ejecución está prevista para los tres bienios siguientes, de 2014 a 2019.  El plan maestro ofrece un panorama de los proyectos de gasto de capital con independencia de la fuente de financiación, y h</w:t>
      </w:r>
      <w:r w:rsidR="00257F0A">
        <w:rPr>
          <w:color w:val="000000"/>
          <w:sz w:val="20"/>
          <w:lang w:val="es-ES_tradnl"/>
        </w:rPr>
        <w:t xml:space="preserve">ace una clara diferencia entre </w:t>
      </w:r>
      <w:r w:rsidR="002208BF">
        <w:rPr>
          <w:color w:val="000000"/>
          <w:sz w:val="20"/>
          <w:lang w:val="es-ES_tradnl"/>
        </w:rPr>
        <w:t>l</w:t>
      </w:r>
      <w:r w:rsidR="00257F0A">
        <w:rPr>
          <w:color w:val="000000"/>
          <w:sz w:val="20"/>
          <w:lang w:val="es-ES_tradnl"/>
        </w:rPr>
        <w:t>os</w:t>
      </w:r>
      <w:r w:rsidR="002208BF">
        <w:rPr>
          <w:color w:val="000000"/>
          <w:sz w:val="20"/>
          <w:lang w:val="es-ES_tradnl"/>
        </w:rPr>
        <w:t xml:space="preserve"> </w:t>
      </w:r>
      <w:r w:rsidR="003752B5">
        <w:rPr>
          <w:color w:val="000000"/>
          <w:sz w:val="20"/>
          <w:lang w:val="es-ES_tradnl"/>
        </w:rPr>
        <w:t>costo</w:t>
      </w:r>
      <w:r w:rsidR="00257F0A">
        <w:rPr>
          <w:color w:val="000000"/>
          <w:sz w:val="20"/>
          <w:lang w:val="es-ES_tradnl"/>
        </w:rPr>
        <w:t>s</w:t>
      </w:r>
      <w:r w:rsidR="003752B5">
        <w:rPr>
          <w:color w:val="000000"/>
          <w:sz w:val="20"/>
          <w:lang w:val="es-ES_tradnl"/>
        </w:rPr>
        <w:t xml:space="preserve"> de la</w:t>
      </w:r>
      <w:r w:rsidR="002208BF">
        <w:rPr>
          <w:color w:val="000000"/>
          <w:sz w:val="20"/>
          <w:lang w:val="es-ES_tradnl"/>
        </w:rPr>
        <w:t xml:space="preserve"> inversión </w:t>
      </w:r>
      <w:r w:rsidR="00257F0A">
        <w:rPr>
          <w:color w:val="000000"/>
          <w:sz w:val="20"/>
          <w:lang w:val="es-ES_tradnl"/>
        </w:rPr>
        <w:t>no recurrentes</w:t>
      </w:r>
      <w:r w:rsidR="003752B5">
        <w:rPr>
          <w:color w:val="000000"/>
          <w:sz w:val="20"/>
          <w:lang w:val="es-ES_tradnl"/>
        </w:rPr>
        <w:t xml:space="preserve"> y </w:t>
      </w:r>
      <w:r w:rsidR="002208BF">
        <w:rPr>
          <w:color w:val="000000"/>
          <w:sz w:val="20"/>
          <w:lang w:val="es-ES_tradnl"/>
        </w:rPr>
        <w:t>l</w:t>
      </w:r>
      <w:r w:rsidR="003752B5">
        <w:rPr>
          <w:color w:val="000000"/>
          <w:sz w:val="20"/>
          <w:lang w:val="es-ES_tradnl"/>
        </w:rPr>
        <w:t>os</w:t>
      </w:r>
      <w:r w:rsidR="002208BF">
        <w:rPr>
          <w:color w:val="000000"/>
          <w:sz w:val="20"/>
          <w:lang w:val="es-ES_tradnl"/>
        </w:rPr>
        <w:t xml:space="preserve"> </w:t>
      </w:r>
      <w:r w:rsidR="003752B5">
        <w:rPr>
          <w:color w:val="000000"/>
          <w:sz w:val="20"/>
          <w:lang w:val="es-ES_tradnl"/>
        </w:rPr>
        <w:t>co</w:t>
      </w:r>
      <w:r w:rsidR="002208BF">
        <w:rPr>
          <w:color w:val="000000"/>
          <w:sz w:val="20"/>
          <w:lang w:val="es-ES_tradnl"/>
        </w:rPr>
        <w:t>sto</w:t>
      </w:r>
      <w:r w:rsidR="003752B5">
        <w:rPr>
          <w:color w:val="000000"/>
          <w:sz w:val="20"/>
          <w:lang w:val="es-ES_tradnl"/>
        </w:rPr>
        <w:t>s</w:t>
      </w:r>
      <w:r w:rsidR="002208BF">
        <w:rPr>
          <w:color w:val="000000"/>
          <w:sz w:val="20"/>
          <w:lang w:val="es-ES_tradnl"/>
        </w:rPr>
        <w:t xml:space="preserve"> de funcionamiento</w:t>
      </w:r>
      <w:r w:rsidR="00257F0A">
        <w:rPr>
          <w:color w:val="000000"/>
          <w:sz w:val="20"/>
          <w:lang w:val="es-ES_tradnl"/>
        </w:rPr>
        <w:t xml:space="preserve"> o </w:t>
      </w:r>
      <w:r w:rsidR="003752B5">
        <w:rPr>
          <w:color w:val="000000"/>
          <w:sz w:val="20"/>
          <w:lang w:val="es-ES_tradnl"/>
        </w:rPr>
        <w:t>recurrentes de cada proyecto.</w:t>
      </w:r>
    </w:p>
    <w:p w:rsidR="003752B5" w:rsidRDefault="003752B5" w:rsidP="003752B5">
      <w:pPr>
        <w:widowControl w:val="0"/>
        <w:tabs>
          <w:tab w:val="num" w:pos="690"/>
        </w:tabs>
        <w:jc w:val="both"/>
        <w:rPr>
          <w:color w:val="000000"/>
          <w:sz w:val="20"/>
          <w:lang w:val="es-ES_tradnl"/>
        </w:rPr>
      </w:pPr>
    </w:p>
    <w:p w:rsidR="003752B5" w:rsidRDefault="003752B5" w:rsidP="00247004">
      <w:pPr>
        <w:widowControl w:val="0"/>
        <w:numPr>
          <w:ilvl w:val="0"/>
          <w:numId w:val="4"/>
        </w:numPr>
        <w:tabs>
          <w:tab w:val="clear" w:pos="360"/>
          <w:tab w:val="num" w:pos="567"/>
          <w:tab w:val="num" w:pos="690"/>
        </w:tabs>
        <w:ind w:left="0" w:firstLine="0"/>
        <w:jc w:val="both"/>
        <w:rPr>
          <w:color w:val="000000"/>
          <w:sz w:val="20"/>
          <w:lang w:val="es-ES_tradnl"/>
        </w:rPr>
      </w:pPr>
      <w:r>
        <w:rPr>
          <w:color w:val="000000"/>
          <w:sz w:val="20"/>
          <w:lang w:val="es-ES_tradnl"/>
        </w:rPr>
        <w:t>Según se indica en el cuadro siguiente, para los proyectos cuya ejecución debería comenzar en 2014 se propone que su financiación corra a cargo de las reservas, por un total de 11,2 millones de francos suizos.  Con respecto a los costos de funcionamiento/recurrentes adicionales, por un total de 3,97 millones de francos suizos, se prevé que su financiación se impute al presupuesto ordinario en los próximos tres bienios</w:t>
      </w:r>
      <w:r w:rsidR="00FD7B6C">
        <w:rPr>
          <w:color w:val="000000"/>
          <w:sz w:val="20"/>
          <w:lang w:val="es-ES_tradnl"/>
        </w:rPr>
        <w:t>.  Se ha incluido en la propuesta de presupuesto por programas de 2014/15 un total de 170 mil francos suizos para cubrir los costos de funcionamiento/recurrentes de los proyectos cuya ejecución debería realizarse en 2014/15.</w:t>
      </w:r>
    </w:p>
    <w:p w:rsidR="00FD7B6C" w:rsidRDefault="00FD7B6C" w:rsidP="00FD7B6C">
      <w:pPr>
        <w:widowControl w:val="0"/>
        <w:tabs>
          <w:tab w:val="num" w:pos="690"/>
        </w:tabs>
        <w:jc w:val="both"/>
        <w:rPr>
          <w:color w:val="000000"/>
          <w:sz w:val="20"/>
          <w:lang w:val="es-ES_tradnl"/>
        </w:rPr>
      </w:pPr>
    </w:p>
    <w:p w:rsidR="00FD7B6C" w:rsidRPr="00237451" w:rsidRDefault="00237451" w:rsidP="00237451">
      <w:pPr>
        <w:widowControl w:val="0"/>
        <w:tabs>
          <w:tab w:val="num" w:pos="690"/>
        </w:tabs>
        <w:jc w:val="center"/>
        <w:rPr>
          <w:color w:val="000000"/>
          <w:sz w:val="20"/>
          <w:lang w:val="es-ES_tradnl"/>
        </w:rPr>
      </w:pPr>
      <w:r>
        <w:rPr>
          <w:color w:val="000000"/>
          <w:sz w:val="20"/>
          <w:lang w:val="es-ES_tradnl"/>
        </w:rPr>
        <w:t xml:space="preserve">Cuadro 5. Proyecto del Plan maestro de mejoras de infraestructura con financiación </w:t>
      </w:r>
      <w:r>
        <w:rPr>
          <w:color w:val="000000"/>
          <w:sz w:val="20"/>
          <w:lang w:val="es-ES_tradnl"/>
        </w:rPr>
        <w:br/>
        <w:t>a cargo de las reservas (</w:t>
      </w:r>
      <w:r>
        <w:rPr>
          <w:i/>
          <w:color w:val="000000"/>
          <w:sz w:val="20"/>
          <w:lang w:val="es-ES_tradnl"/>
        </w:rPr>
        <w:t>en miles de francos suizos</w:t>
      </w:r>
      <w:r>
        <w:rPr>
          <w:color w:val="000000"/>
          <w:sz w:val="20"/>
          <w:lang w:val="es-ES_tradnl"/>
        </w:rPr>
        <w:t>)</w:t>
      </w:r>
    </w:p>
    <w:p w:rsidR="00247004" w:rsidRDefault="00247004" w:rsidP="00FF779C">
      <w:pPr>
        <w:widowControl w:val="0"/>
        <w:jc w:val="both"/>
        <w:rPr>
          <w:color w:val="000000"/>
          <w:sz w:val="20"/>
          <w:lang w:val="es-ES_tradnl"/>
        </w:rPr>
      </w:pPr>
    </w:p>
    <w:p w:rsidR="00237451" w:rsidRDefault="00257F0A" w:rsidP="00257F0A">
      <w:pPr>
        <w:widowControl w:val="0"/>
        <w:jc w:val="center"/>
        <w:rPr>
          <w:color w:val="000000"/>
          <w:sz w:val="20"/>
          <w:lang w:val="es-ES_tradnl"/>
        </w:rPr>
      </w:pPr>
      <w:r w:rsidRPr="00257F0A">
        <w:rPr>
          <w:noProof/>
          <w:lang w:val="en-US" w:eastAsia="en-US"/>
        </w:rPr>
        <w:drawing>
          <wp:inline distT="0" distB="0" distL="0" distR="0" wp14:anchorId="3E794CC1" wp14:editId="4E82627A">
            <wp:extent cx="5940425" cy="1854618"/>
            <wp:effectExtent l="0" t="0" r="3175"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40425" cy="1854618"/>
                    </a:xfrm>
                    <a:prstGeom prst="rect">
                      <a:avLst/>
                    </a:prstGeom>
                    <a:noFill/>
                    <a:ln>
                      <a:noFill/>
                    </a:ln>
                  </pic:spPr>
                </pic:pic>
              </a:graphicData>
            </a:graphic>
          </wp:inline>
        </w:drawing>
      </w:r>
    </w:p>
    <w:p w:rsidR="00237451" w:rsidRDefault="00237451" w:rsidP="00FF779C">
      <w:pPr>
        <w:widowControl w:val="0"/>
        <w:jc w:val="both"/>
        <w:rPr>
          <w:color w:val="000000"/>
          <w:sz w:val="20"/>
          <w:lang w:val="es-ES_tradnl"/>
        </w:rPr>
      </w:pPr>
    </w:p>
    <w:p w:rsidR="00FF779C" w:rsidRPr="00C4585D" w:rsidRDefault="00FF779C" w:rsidP="00FF779C">
      <w:pPr>
        <w:widowControl w:val="0"/>
        <w:numPr>
          <w:ilvl w:val="0"/>
          <w:numId w:val="4"/>
        </w:numPr>
        <w:tabs>
          <w:tab w:val="clear" w:pos="360"/>
          <w:tab w:val="num" w:pos="567"/>
          <w:tab w:val="num" w:pos="690"/>
        </w:tabs>
        <w:ind w:left="0" w:firstLine="0"/>
        <w:jc w:val="both"/>
        <w:rPr>
          <w:sz w:val="20"/>
          <w:lang w:val="es-ES_tradnl"/>
        </w:rPr>
      </w:pPr>
      <w:r w:rsidRPr="00C4585D">
        <w:rPr>
          <w:color w:val="000000"/>
          <w:sz w:val="20"/>
          <w:lang w:val="es-ES_tradnl"/>
        </w:rPr>
        <w:t>En el cuadro que figura a continuación se exponen los detalles de la propuesta de presupuesto para 2014/15, por categoría de costo, comparándolos con el presupuesto de 2012/13 después de las transferencias.  En el Anexo II figura la consignación propuesta por programa en la propuesta de presupuesto para 2014/15, y en el Anexo I figura la comparación del presupuesto de 2012/13 después de las transferencias con el presupuesto inicial de 2012/13.</w:t>
      </w:r>
    </w:p>
    <w:p w:rsidR="00E47595" w:rsidRPr="00C4585D" w:rsidRDefault="00E47595" w:rsidP="00E47595">
      <w:pPr>
        <w:widowControl w:val="0"/>
        <w:tabs>
          <w:tab w:val="num" w:pos="690"/>
        </w:tabs>
        <w:jc w:val="both"/>
        <w:rPr>
          <w:color w:val="000000"/>
          <w:sz w:val="20"/>
          <w:lang w:val="es-ES_tradnl"/>
        </w:rPr>
      </w:pPr>
    </w:p>
    <w:p w:rsidR="00E47595" w:rsidRPr="00C4585D" w:rsidRDefault="00E47595" w:rsidP="00E47595">
      <w:pPr>
        <w:keepNext/>
        <w:jc w:val="center"/>
        <w:rPr>
          <w:bCs/>
          <w:sz w:val="18"/>
          <w:szCs w:val="18"/>
          <w:lang w:val="es-ES_tradnl"/>
        </w:rPr>
      </w:pPr>
      <w:r w:rsidRPr="00C4585D">
        <w:rPr>
          <w:bCs/>
          <w:sz w:val="18"/>
          <w:szCs w:val="18"/>
          <w:lang w:val="es-ES_tradnl"/>
        </w:rPr>
        <w:lastRenderedPageBreak/>
        <w:t>Cuadro 5</w:t>
      </w:r>
      <w:r w:rsidR="00F82128">
        <w:rPr>
          <w:bCs/>
          <w:i/>
          <w:sz w:val="18"/>
          <w:szCs w:val="18"/>
          <w:lang w:val="es-ES_tradnl"/>
        </w:rPr>
        <w:t>bis</w:t>
      </w:r>
      <w:r w:rsidRPr="00C4585D">
        <w:rPr>
          <w:bCs/>
          <w:sz w:val="18"/>
          <w:szCs w:val="18"/>
          <w:lang w:val="es-ES_tradnl"/>
        </w:rPr>
        <w:t>.  Presupuesto para 2014/15 – Por objeto de gasto</w:t>
      </w:r>
    </w:p>
    <w:p w:rsidR="00E47595" w:rsidRPr="00C4585D" w:rsidRDefault="00E47595" w:rsidP="00E47595">
      <w:pPr>
        <w:keepNext/>
        <w:jc w:val="center"/>
        <w:rPr>
          <w:bCs/>
          <w:i/>
          <w:sz w:val="18"/>
          <w:szCs w:val="18"/>
          <w:lang w:val="es-ES_tradnl"/>
        </w:rPr>
      </w:pPr>
      <w:r w:rsidRPr="00C4585D">
        <w:rPr>
          <w:bCs/>
          <w:i/>
          <w:sz w:val="18"/>
          <w:szCs w:val="18"/>
          <w:lang w:val="es-ES_tradnl"/>
        </w:rPr>
        <w:t>(en miles de francos suizos)</w:t>
      </w:r>
    </w:p>
    <w:p w:rsidR="00E47595" w:rsidRDefault="00E47595" w:rsidP="00E47595">
      <w:pPr>
        <w:keepNext/>
        <w:jc w:val="center"/>
        <w:rPr>
          <w:bCs/>
          <w:sz w:val="20"/>
          <w:lang w:val="es-ES_tradnl"/>
        </w:rPr>
      </w:pPr>
    </w:p>
    <w:p w:rsidR="00872D10" w:rsidRDefault="00C40A11" w:rsidP="00E47595">
      <w:pPr>
        <w:keepNext/>
        <w:jc w:val="center"/>
        <w:rPr>
          <w:bCs/>
          <w:sz w:val="20"/>
          <w:lang w:val="es-ES_tradnl"/>
        </w:rPr>
      </w:pPr>
      <w:r>
        <w:rPr>
          <w:noProof/>
          <w:lang w:val="en-US" w:eastAsia="en-US"/>
        </w:rPr>
        <w:drawing>
          <wp:inline distT="0" distB="0" distL="0" distR="0" wp14:anchorId="7B08BE67" wp14:editId="197D7EB0">
            <wp:extent cx="5936615" cy="5739130"/>
            <wp:effectExtent l="0" t="0" r="698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36615" cy="5739130"/>
                    </a:xfrm>
                    <a:prstGeom prst="rect">
                      <a:avLst/>
                    </a:prstGeom>
                    <a:noFill/>
                    <a:ln>
                      <a:noFill/>
                    </a:ln>
                  </pic:spPr>
                </pic:pic>
              </a:graphicData>
            </a:graphic>
          </wp:inline>
        </w:drawing>
      </w:r>
    </w:p>
    <w:p w:rsidR="00CC0358" w:rsidRPr="00C4585D" w:rsidRDefault="00CC0358" w:rsidP="00872D10">
      <w:pPr>
        <w:keepNext/>
        <w:rPr>
          <w:bCs/>
          <w:sz w:val="20"/>
          <w:lang w:val="es-ES_tradnl"/>
        </w:rPr>
      </w:pPr>
    </w:p>
    <w:p w:rsidR="00E47595" w:rsidRPr="00C4585D" w:rsidRDefault="00E47595" w:rsidP="00E47595">
      <w:pPr>
        <w:rPr>
          <w:sz w:val="16"/>
          <w:szCs w:val="16"/>
          <w:lang w:val="es-ES_tradnl"/>
        </w:rPr>
      </w:pPr>
      <w:r w:rsidRPr="00C4585D">
        <w:rPr>
          <w:sz w:val="16"/>
          <w:szCs w:val="16"/>
          <w:lang w:val="es-ES_tradnl"/>
        </w:rPr>
        <w:t>Notas:</w:t>
      </w:r>
    </w:p>
    <w:p w:rsidR="00E47595" w:rsidRPr="00C4585D" w:rsidRDefault="00E47595" w:rsidP="00E47595">
      <w:pPr>
        <w:rPr>
          <w:sz w:val="16"/>
          <w:szCs w:val="16"/>
          <w:u w:val="single"/>
          <w:lang w:val="es-ES_tradnl"/>
        </w:rPr>
      </w:pPr>
    </w:p>
    <w:p w:rsidR="00E47595" w:rsidRPr="00C4585D" w:rsidRDefault="00E47595" w:rsidP="00E47595">
      <w:pPr>
        <w:rPr>
          <w:sz w:val="16"/>
          <w:szCs w:val="16"/>
          <w:lang w:val="es-ES_tradnl"/>
        </w:rPr>
      </w:pPr>
      <w:r w:rsidRPr="00C4585D">
        <w:rPr>
          <w:sz w:val="16"/>
          <w:szCs w:val="16"/>
          <w:lang w:val="es-ES_tradnl"/>
        </w:rPr>
        <w:t>1)  El presupuesto aprobado de 2012/13 y el presupuesto después de las transferencias están reexpresados sobre la base de la estructura de categoría de costos propuesta para 2014/15.</w:t>
      </w:r>
    </w:p>
    <w:p w:rsidR="00E47595" w:rsidRPr="00C4585D" w:rsidRDefault="00E47595" w:rsidP="00E47595">
      <w:pPr>
        <w:rPr>
          <w:sz w:val="16"/>
          <w:szCs w:val="16"/>
          <w:lang w:val="es-ES_tradnl"/>
        </w:rPr>
      </w:pPr>
    </w:p>
    <w:p w:rsidR="00E47595" w:rsidRPr="00C4585D" w:rsidRDefault="00E47595" w:rsidP="00E47595">
      <w:pPr>
        <w:rPr>
          <w:sz w:val="16"/>
          <w:szCs w:val="16"/>
          <w:lang w:val="es-ES_tradnl"/>
        </w:rPr>
      </w:pPr>
      <w:r w:rsidRPr="00C4585D">
        <w:rPr>
          <w:sz w:val="16"/>
          <w:szCs w:val="16"/>
          <w:lang w:val="es-ES_tradnl"/>
        </w:rPr>
        <w:t>2)  El presupuesto después de las transferencias refleja el presupuesto por programas ajustado tras las transferencias realizadas en el bienio 2012/13 conforme a lo dispuesto en la regla 5.5 de la Reglamentación Financiera, así como los ajustes de flexibilidad aplicados conforme a la regla 5.6 de la Reglamentación Financiera.  Para más información sobre el presupuesto 2012/13 después de las transferencias, cabe remitirse al cuadro del Anexo I “Presupuesto después de las transferencias, por programa”, en el presente documento, y al documento WO/PBC/20/2 (“Informe sobre el rendimiento de los programas en 2012”).  Para más información sobre las fórmulas de flexibilidad, cabe remitirse al Apéndice D del presente documento.  Los costos de personal del presupuesto de </w:t>
      </w:r>
      <w:r w:rsidRPr="00C4585D">
        <w:rPr>
          <w:rFonts w:cs="ArialMT"/>
          <w:sz w:val="16"/>
          <w:szCs w:val="16"/>
          <w:lang w:val="es-ES_tradnl"/>
        </w:rPr>
        <w:t>2012/13 después de las transferencias representan los gastos reales en los que se ha incurrido hasta el 31 de marzo de 2013 y los importes presupuestados, sobre la base de costos estándar, para los nueve meses restantes de 2013.</w:t>
      </w:r>
    </w:p>
    <w:p w:rsidR="00E47595" w:rsidRPr="00C4585D" w:rsidRDefault="00E47595" w:rsidP="00E47595">
      <w:pPr>
        <w:rPr>
          <w:sz w:val="16"/>
          <w:szCs w:val="16"/>
          <w:lang w:val="es-ES_tradnl"/>
        </w:rPr>
      </w:pPr>
    </w:p>
    <w:p w:rsidR="00E47595" w:rsidRPr="00C4585D" w:rsidRDefault="00E47595" w:rsidP="00E47595">
      <w:pPr>
        <w:rPr>
          <w:sz w:val="16"/>
          <w:szCs w:val="16"/>
          <w:lang w:val="es-ES_tradnl"/>
        </w:rPr>
      </w:pPr>
      <w:r w:rsidRPr="00C4585D">
        <w:rPr>
          <w:sz w:val="16"/>
          <w:szCs w:val="16"/>
          <w:lang w:val="es-ES_tradnl"/>
        </w:rPr>
        <w:t>3) Para más información sobre los puestos por programa, cabe remitirse al cuadro del Anexo II.  La diferencia entre el número de puestos propuestos en 2014/15 y en el presupuesto de 2012/13 después de las transferencias está dada por los 96 puestos destinados a la regularización, que se propone utilizar conforme a lo expuesto en el párrafo 4</w:t>
      </w:r>
      <w:r w:rsidR="00F82128">
        <w:rPr>
          <w:sz w:val="16"/>
          <w:szCs w:val="16"/>
          <w:lang w:val="es-ES_tradnl"/>
        </w:rPr>
        <w:t>1</w:t>
      </w:r>
      <w:r w:rsidRPr="00C4585D">
        <w:rPr>
          <w:sz w:val="16"/>
          <w:szCs w:val="16"/>
          <w:lang w:val="es-ES_tradnl"/>
        </w:rPr>
        <w:t>.</w:t>
      </w:r>
    </w:p>
    <w:p w:rsidR="00FF779C" w:rsidRPr="00C4585D" w:rsidRDefault="00FF779C" w:rsidP="00FF779C">
      <w:pPr>
        <w:widowControl w:val="0"/>
        <w:tabs>
          <w:tab w:val="num" w:pos="690"/>
        </w:tabs>
        <w:jc w:val="both"/>
        <w:rPr>
          <w:color w:val="000000"/>
          <w:sz w:val="20"/>
          <w:lang w:val="es-ES_tradnl"/>
        </w:rPr>
      </w:pPr>
    </w:p>
    <w:p w:rsidR="00E47595" w:rsidRPr="00C4585D" w:rsidRDefault="00E47595" w:rsidP="00FF779C">
      <w:pPr>
        <w:widowControl w:val="0"/>
        <w:tabs>
          <w:tab w:val="num" w:pos="690"/>
        </w:tabs>
        <w:jc w:val="both"/>
        <w:rPr>
          <w:color w:val="000000"/>
          <w:sz w:val="20"/>
          <w:lang w:val="es-ES_tradnl"/>
        </w:rPr>
      </w:pPr>
    </w:p>
    <w:p w:rsidR="00FF779C" w:rsidRPr="00C4585D" w:rsidRDefault="00FF779C" w:rsidP="00E47595">
      <w:pPr>
        <w:keepNext/>
        <w:keepLines/>
        <w:numPr>
          <w:ilvl w:val="0"/>
          <w:numId w:val="4"/>
        </w:numPr>
        <w:tabs>
          <w:tab w:val="clear" w:pos="360"/>
          <w:tab w:val="num" w:pos="-2835"/>
          <w:tab w:val="left" w:pos="567"/>
        </w:tabs>
        <w:ind w:left="0" w:firstLine="0"/>
        <w:jc w:val="both"/>
        <w:rPr>
          <w:bCs/>
          <w:sz w:val="20"/>
        </w:rPr>
      </w:pPr>
      <w:r w:rsidRPr="00C4585D">
        <w:rPr>
          <w:color w:val="000000"/>
          <w:sz w:val="20"/>
        </w:rPr>
        <w:lastRenderedPageBreak/>
        <w:t>Se ha mejorado y revisado la denominación y agrupamiento de los objetos de gasto a fin de:  i) armonizar la información de los costos de personal con la reforma contractual aplicada recientemente y, ii) mejorar la eficiencia y la transparencia de la presentación general de información sobre la utilización de recursos.  Para facilitar la comparación de recursos entre los distintos bienios, el presupuesto por programas de 2012/13 aprobado después de las transferencias ha sido reexpresado de conformidad con los objetos de gasto propuestos para 2014/15.  En el Apéndice B se ofrece un resumen de la definición de las rúbricas presupuestarias.</w:t>
      </w:r>
    </w:p>
    <w:p w:rsidR="00FF779C" w:rsidRPr="00C4585D" w:rsidRDefault="00FF779C" w:rsidP="00FF779C">
      <w:pPr>
        <w:widowControl w:val="0"/>
        <w:tabs>
          <w:tab w:val="num" w:pos="690"/>
        </w:tabs>
        <w:jc w:val="both"/>
        <w:rPr>
          <w:color w:val="000000"/>
          <w:sz w:val="20"/>
        </w:rPr>
      </w:pPr>
    </w:p>
    <w:p w:rsidR="00FF779C" w:rsidRPr="00C4585D" w:rsidRDefault="00FF779C" w:rsidP="00FF779C">
      <w:pPr>
        <w:widowControl w:val="0"/>
        <w:numPr>
          <w:ilvl w:val="0"/>
          <w:numId w:val="4"/>
        </w:numPr>
        <w:tabs>
          <w:tab w:val="clear" w:pos="360"/>
          <w:tab w:val="num" w:pos="567"/>
          <w:tab w:val="num" w:pos="690"/>
        </w:tabs>
        <w:ind w:left="0" w:firstLine="0"/>
        <w:jc w:val="both"/>
        <w:rPr>
          <w:bCs/>
          <w:sz w:val="20"/>
        </w:rPr>
      </w:pPr>
      <w:r w:rsidRPr="00C4585D">
        <w:rPr>
          <w:color w:val="000000"/>
          <w:sz w:val="20"/>
        </w:rPr>
        <w:t xml:space="preserve">Los cambios introducidos en el siguiente bienio se resumen a continuación: </w:t>
      </w:r>
    </w:p>
    <w:p w:rsidR="00FF779C" w:rsidRPr="00C4585D" w:rsidRDefault="00FF779C" w:rsidP="00FF779C">
      <w:pPr>
        <w:widowControl w:val="0"/>
        <w:jc w:val="both"/>
        <w:rPr>
          <w:bCs/>
          <w:sz w:val="20"/>
        </w:rPr>
      </w:pPr>
    </w:p>
    <w:p w:rsidR="00FF779C" w:rsidRPr="00C4585D" w:rsidRDefault="00FF779C" w:rsidP="005A3389">
      <w:pPr>
        <w:numPr>
          <w:ilvl w:val="1"/>
          <w:numId w:val="4"/>
        </w:numPr>
        <w:ind w:hanging="513"/>
        <w:jc w:val="both"/>
        <w:rPr>
          <w:color w:val="000000"/>
          <w:sz w:val="20"/>
        </w:rPr>
      </w:pPr>
      <w:r w:rsidRPr="00C4585D">
        <w:rPr>
          <w:color w:val="000000"/>
          <w:sz w:val="20"/>
        </w:rPr>
        <w:t>Tras la aplicación de la reforma contractual, los objetos de gasto en el marco de los recursos de personal han sido revis</w:t>
      </w:r>
      <w:r w:rsidR="00FB78C2">
        <w:rPr>
          <w:color w:val="000000"/>
          <w:sz w:val="20"/>
        </w:rPr>
        <w:t>ados e incluidos en “Puestos y p</w:t>
      </w:r>
      <w:r w:rsidRPr="00C4585D">
        <w:rPr>
          <w:color w:val="000000"/>
          <w:sz w:val="20"/>
        </w:rPr>
        <w:t xml:space="preserve">lazas </w:t>
      </w:r>
      <w:r w:rsidR="00FB78C2">
        <w:rPr>
          <w:color w:val="000000"/>
          <w:sz w:val="20"/>
        </w:rPr>
        <w:t>t</w:t>
      </w:r>
      <w:r w:rsidRPr="00C4585D">
        <w:rPr>
          <w:color w:val="000000"/>
          <w:sz w:val="20"/>
        </w:rPr>
        <w:t>emporales”, mientras que los recursos no relativos al personal se han extraído de esta categoría.  Las nuevas categoría</w:t>
      </w:r>
      <w:r w:rsidR="005A3389" w:rsidRPr="00C4585D">
        <w:rPr>
          <w:color w:val="000000"/>
          <w:sz w:val="20"/>
        </w:rPr>
        <w:t>s de gastos son las siguientes:</w:t>
      </w:r>
    </w:p>
    <w:p w:rsidR="005A3389" w:rsidRPr="00C4585D" w:rsidRDefault="005A3389" w:rsidP="005A3389">
      <w:pPr>
        <w:ind w:left="1080"/>
        <w:jc w:val="both"/>
        <w:rPr>
          <w:color w:val="000000"/>
          <w:sz w:val="20"/>
        </w:rPr>
      </w:pPr>
    </w:p>
    <w:p w:rsidR="00FF779C" w:rsidRPr="00C4585D" w:rsidRDefault="00FF779C" w:rsidP="005A3389">
      <w:pPr>
        <w:numPr>
          <w:ilvl w:val="2"/>
          <w:numId w:val="4"/>
        </w:numPr>
        <w:tabs>
          <w:tab w:val="clear" w:pos="1790"/>
        </w:tabs>
        <w:ind w:left="1701" w:hanging="567"/>
        <w:jc w:val="both"/>
        <w:rPr>
          <w:color w:val="000000"/>
          <w:sz w:val="20"/>
        </w:rPr>
      </w:pPr>
      <w:r w:rsidRPr="00C4585D">
        <w:rPr>
          <w:b/>
          <w:bCs/>
          <w:color w:val="000000"/>
          <w:sz w:val="20"/>
        </w:rPr>
        <w:t xml:space="preserve">Puestos:  </w:t>
      </w:r>
      <w:r w:rsidRPr="00C4585D">
        <w:rPr>
          <w:color w:val="000000"/>
          <w:sz w:val="20"/>
        </w:rPr>
        <w:t>Esta categoría abarca los recursos previstos para cubrir los gastos de personal con contratos de plazo fijo, continuos o permanentes</w:t>
      </w:r>
      <w:r w:rsidR="00AD3357">
        <w:rPr>
          <w:color w:val="000000"/>
          <w:sz w:val="20"/>
        </w:rPr>
        <w:t>, en relación con</w:t>
      </w:r>
      <w:r w:rsidRPr="00C4585D">
        <w:rPr>
          <w:color w:val="000000"/>
          <w:sz w:val="20"/>
        </w:rPr>
        <w:t xml:space="preserve"> los puestos aprobados en el marco de</w:t>
      </w:r>
      <w:r w:rsidR="00281871">
        <w:rPr>
          <w:color w:val="000000"/>
          <w:sz w:val="20"/>
        </w:rPr>
        <w:t xml:space="preserve">l presupuesto ordinario </w:t>
      </w:r>
      <w:r w:rsidR="00AD3357">
        <w:rPr>
          <w:color w:val="000000"/>
          <w:sz w:val="20"/>
        </w:rPr>
        <w:t>para</w:t>
      </w:r>
      <w:r w:rsidR="00281871">
        <w:rPr>
          <w:color w:val="000000"/>
          <w:sz w:val="20"/>
        </w:rPr>
        <w:t xml:space="preserve"> las c</w:t>
      </w:r>
      <w:r w:rsidRPr="00C4585D">
        <w:rPr>
          <w:color w:val="000000"/>
          <w:sz w:val="20"/>
        </w:rPr>
        <w:t>ategorías Profesional y de Servicios Generales.</w:t>
      </w:r>
    </w:p>
    <w:p w:rsidR="005A3389" w:rsidRPr="00C4585D" w:rsidRDefault="005A3389" w:rsidP="005A3389">
      <w:pPr>
        <w:ind w:left="1701"/>
        <w:jc w:val="both"/>
        <w:rPr>
          <w:color w:val="000000"/>
          <w:sz w:val="20"/>
        </w:rPr>
      </w:pPr>
    </w:p>
    <w:p w:rsidR="00FF779C" w:rsidRPr="00C4585D" w:rsidRDefault="00FF779C" w:rsidP="005A3389">
      <w:pPr>
        <w:numPr>
          <w:ilvl w:val="2"/>
          <w:numId w:val="4"/>
        </w:numPr>
        <w:tabs>
          <w:tab w:val="clear" w:pos="1790"/>
          <w:tab w:val="num" w:pos="1701"/>
        </w:tabs>
        <w:ind w:left="1701" w:hanging="567"/>
        <w:jc w:val="both"/>
        <w:rPr>
          <w:color w:val="000000"/>
          <w:sz w:val="20"/>
        </w:rPr>
      </w:pPr>
      <w:r w:rsidRPr="00C4585D">
        <w:rPr>
          <w:b/>
          <w:bCs/>
          <w:color w:val="000000"/>
          <w:sz w:val="20"/>
        </w:rPr>
        <w:t xml:space="preserve">Plazas temporales:  </w:t>
      </w:r>
      <w:r w:rsidRPr="00C4585D">
        <w:rPr>
          <w:color w:val="000000"/>
          <w:sz w:val="20"/>
        </w:rPr>
        <w:t>Esta categoría abarca los recursos previstos para cubrir los gastos de personal cuyos contratos, que previamente eran de corta duración, fueron convertidos en contratos de personal temporero, así como los nuevos contratos de personal temporero establecidos en virtud del nuevo Estatuto y Reglamento del Personal de la OMPI.  Algunos contratos de corta duración pasaron a considerarse becas de la OMPI tras la aplicación de la reforma contractual y, en consecuencia, ahora figuran bajo el rubro de recursos no relativos al personal.</w:t>
      </w:r>
    </w:p>
    <w:p w:rsidR="005A3389" w:rsidRPr="00C4585D" w:rsidRDefault="005A3389" w:rsidP="005A3389">
      <w:pPr>
        <w:tabs>
          <w:tab w:val="num" w:pos="1701"/>
        </w:tabs>
        <w:ind w:left="1701"/>
        <w:jc w:val="both"/>
        <w:rPr>
          <w:color w:val="000000"/>
          <w:sz w:val="20"/>
        </w:rPr>
      </w:pPr>
    </w:p>
    <w:p w:rsidR="00FF779C" w:rsidRPr="00C4585D" w:rsidRDefault="00FF779C" w:rsidP="005A3389">
      <w:pPr>
        <w:numPr>
          <w:ilvl w:val="2"/>
          <w:numId w:val="4"/>
        </w:numPr>
        <w:tabs>
          <w:tab w:val="clear" w:pos="1790"/>
        </w:tabs>
        <w:ind w:left="1701" w:hanging="567"/>
        <w:jc w:val="both"/>
        <w:rPr>
          <w:color w:val="000000"/>
          <w:sz w:val="20"/>
        </w:rPr>
      </w:pPr>
      <w:r w:rsidRPr="00C4585D">
        <w:rPr>
          <w:b/>
          <w:bCs/>
          <w:color w:val="000000"/>
          <w:sz w:val="20"/>
        </w:rPr>
        <w:t xml:space="preserve">Becas:  </w:t>
      </w:r>
      <w:r w:rsidRPr="00C4585D">
        <w:rPr>
          <w:bCs/>
          <w:color w:val="000000"/>
          <w:sz w:val="20"/>
        </w:rPr>
        <w:t>Bajo esta categoría sigue figurando el mismo tipo de contratos, es decir los relativos a los becarios, pero se ha trasladado de “recursos de personal” a “recursos no relativos al personal” a fin de reflejar adecuadamente la naturaleza de la relación de sus titulares con la Organización.  Puesto que ya no se rigen por el Estatuto y Reglamento del Personal, figuran como recursos no relativos al personal bajo el rubro de gastos no relativos al personal.</w:t>
      </w:r>
    </w:p>
    <w:p w:rsidR="005A3389" w:rsidRPr="00C4585D" w:rsidRDefault="005A3389" w:rsidP="005A3389">
      <w:pPr>
        <w:ind w:left="1701"/>
        <w:jc w:val="both"/>
        <w:rPr>
          <w:color w:val="000000"/>
          <w:sz w:val="20"/>
        </w:rPr>
      </w:pPr>
    </w:p>
    <w:p w:rsidR="00FF779C" w:rsidRPr="00C4585D" w:rsidRDefault="00FF779C" w:rsidP="005A3389">
      <w:pPr>
        <w:numPr>
          <w:ilvl w:val="2"/>
          <w:numId w:val="4"/>
        </w:numPr>
        <w:tabs>
          <w:tab w:val="clear" w:pos="1790"/>
        </w:tabs>
        <w:ind w:left="1701" w:hanging="567"/>
        <w:jc w:val="both"/>
        <w:rPr>
          <w:color w:val="000000"/>
          <w:sz w:val="20"/>
        </w:rPr>
      </w:pPr>
      <w:r w:rsidRPr="00C4585D">
        <w:rPr>
          <w:b/>
          <w:bCs/>
          <w:color w:val="000000"/>
          <w:sz w:val="20"/>
        </w:rPr>
        <w:t xml:space="preserve">Becas de la OMPI frente a Becas de formación:  </w:t>
      </w:r>
      <w:r w:rsidRPr="00C4585D">
        <w:rPr>
          <w:color w:val="000000"/>
          <w:sz w:val="20"/>
        </w:rPr>
        <w:t>Anteriormente, bajo el rubro “costos no relativos al personal” figuraba únicamente la categoría de Becas para reflejar los gastos correspondientes a los becarios.  Como consecuencia de la reforma contractual, tanto los tipos de contratos como la presentación de la información se especifican detalladamente, de suerte que ahora se dist</w:t>
      </w:r>
      <w:r w:rsidR="005A3389" w:rsidRPr="00C4585D">
        <w:rPr>
          <w:color w:val="000000"/>
          <w:sz w:val="20"/>
        </w:rPr>
        <w:t>inguen dos categorías de becas:</w:t>
      </w:r>
    </w:p>
    <w:p w:rsidR="005A3389" w:rsidRPr="00C4585D" w:rsidRDefault="005A3389" w:rsidP="005A3389">
      <w:pPr>
        <w:ind w:left="1701"/>
        <w:jc w:val="both"/>
        <w:rPr>
          <w:color w:val="000000"/>
          <w:sz w:val="20"/>
        </w:rPr>
      </w:pPr>
    </w:p>
    <w:p w:rsidR="00FF779C" w:rsidRPr="00C4585D" w:rsidRDefault="00FF779C" w:rsidP="005A3389">
      <w:pPr>
        <w:numPr>
          <w:ilvl w:val="3"/>
          <w:numId w:val="4"/>
        </w:numPr>
        <w:tabs>
          <w:tab w:val="clear" w:pos="2520"/>
        </w:tabs>
        <w:ind w:left="2268" w:hanging="567"/>
        <w:jc w:val="both"/>
        <w:rPr>
          <w:color w:val="000000"/>
          <w:sz w:val="20"/>
        </w:rPr>
      </w:pPr>
      <w:r w:rsidRPr="00C4585D">
        <w:rPr>
          <w:color w:val="000000"/>
          <w:sz w:val="20"/>
        </w:rPr>
        <w:t>Becas de la OMPI:  El objetivo de estas becas es proporcionar a sus titulares experiencia para consolidar sus conocimientos y competencias profesionales, experiencia que podrán aplicar en su campo profesional cuando regresen a sus respectivos países.</w:t>
      </w:r>
    </w:p>
    <w:p w:rsidR="005A3389" w:rsidRPr="00C4585D" w:rsidRDefault="005A3389" w:rsidP="005A3389">
      <w:pPr>
        <w:ind w:left="2268"/>
        <w:jc w:val="both"/>
        <w:rPr>
          <w:color w:val="000000"/>
          <w:sz w:val="20"/>
        </w:rPr>
      </w:pPr>
    </w:p>
    <w:p w:rsidR="00FF779C" w:rsidRPr="00C4585D" w:rsidRDefault="00FF779C" w:rsidP="005A3389">
      <w:pPr>
        <w:numPr>
          <w:ilvl w:val="3"/>
          <w:numId w:val="4"/>
        </w:numPr>
        <w:tabs>
          <w:tab w:val="clear" w:pos="2520"/>
        </w:tabs>
        <w:ind w:left="2268" w:hanging="567"/>
        <w:jc w:val="both"/>
        <w:rPr>
          <w:color w:val="000000"/>
          <w:sz w:val="20"/>
        </w:rPr>
      </w:pPr>
      <w:r w:rsidRPr="00C4585D">
        <w:rPr>
          <w:color w:val="000000"/>
          <w:sz w:val="20"/>
        </w:rPr>
        <w:t>Becas de formación:  Esta categoría refleja los gastos en que incurre la Organización en relación con los becarios (que no forman parte de la plantilla) que asisten a cursos y seminarios.</w:t>
      </w:r>
    </w:p>
    <w:p w:rsidR="005A3389" w:rsidRPr="00C4585D" w:rsidRDefault="005A3389" w:rsidP="005A3389">
      <w:pPr>
        <w:ind w:left="2268"/>
        <w:jc w:val="both"/>
        <w:rPr>
          <w:color w:val="000000"/>
          <w:sz w:val="20"/>
        </w:rPr>
      </w:pPr>
    </w:p>
    <w:p w:rsidR="00FF779C" w:rsidRPr="00C4585D" w:rsidRDefault="00FF779C" w:rsidP="005A3389">
      <w:pPr>
        <w:numPr>
          <w:ilvl w:val="1"/>
          <w:numId w:val="4"/>
        </w:numPr>
        <w:ind w:hanging="513"/>
        <w:jc w:val="both"/>
        <w:rPr>
          <w:color w:val="000000"/>
          <w:sz w:val="20"/>
        </w:rPr>
      </w:pPr>
      <w:r w:rsidRPr="00C4585D">
        <w:rPr>
          <w:color w:val="000000"/>
          <w:sz w:val="20"/>
        </w:rPr>
        <w:t>Se ha añadido el rubro “Otros gastos de personal” para ilustrar los diferentes tipos de gastos comunes a la</w:t>
      </w:r>
      <w:r w:rsidR="00F87D66">
        <w:rPr>
          <w:color w:val="000000"/>
          <w:sz w:val="20"/>
        </w:rPr>
        <w:t>s categorías “Puestos y plazas t</w:t>
      </w:r>
      <w:r w:rsidRPr="00C4585D">
        <w:rPr>
          <w:color w:val="000000"/>
          <w:sz w:val="20"/>
        </w:rPr>
        <w:t>emporales”.  En “Otros gastos de personal” se incluyen las partidas presupuestas para cubrir el seguro de accidentes profesionales, la Caja Cerrada de Pensiones y las costas procesales.</w:t>
      </w:r>
    </w:p>
    <w:p w:rsidR="005A3389" w:rsidRPr="00C4585D" w:rsidRDefault="005A3389" w:rsidP="005A3389">
      <w:pPr>
        <w:ind w:left="1080"/>
        <w:jc w:val="both"/>
        <w:rPr>
          <w:color w:val="000000"/>
          <w:sz w:val="20"/>
        </w:rPr>
      </w:pPr>
    </w:p>
    <w:p w:rsidR="00FF779C" w:rsidRPr="00C4585D" w:rsidRDefault="00FF779C" w:rsidP="005A3389">
      <w:pPr>
        <w:widowControl w:val="0"/>
        <w:numPr>
          <w:ilvl w:val="1"/>
          <w:numId w:val="4"/>
        </w:numPr>
        <w:ind w:left="1077" w:hanging="510"/>
        <w:jc w:val="both"/>
        <w:rPr>
          <w:color w:val="000000"/>
          <w:sz w:val="20"/>
        </w:rPr>
      </w:pPr>
      <w:r w:rsidRPr="00C4585D">
        <w:rPr>
          <w:color w:val="000000"/>
          <w:sz w:val="20"/>
        </w:rPr>
        <w:t>Las actuales categ</w:t>
      </w:r>
      <w:r w:rsidR="00F87D66">
        <w:rPr>
          <w:color w:val="000000"/>
          <w:sz w:val="20"/>
        </w:rPr>
        <w:t>orías bajo el rubro “Servicios c</w:t>
      </w:r>
      <w:r w:rsidRPr="00C4585D">
        <w:rPr>
          <w:color w:val="000000"/>
          <w:sz w:val="20"/>
        </w:rPr>
        <w:t>ontractuales</w:t>
      </w:r>
      <w:r w:rsidR="005A3389" w:rsidRPr="00C4585D">
        <w:rPr>
          <w:color w:val="000000"/>
          <w:sz w:val="20"/>
        </w:rPr>
        <w:t>” se han reagrupado como sigue:</w:t>
      </w:r>
    </w:p>
    <w:p w:rsidR="005A3389" w:rsidRPr="00C4585D" w:rsidRDefault="005A3389" w:rsidP="005A3389">
      <w:pPr>
        <w:widowControl w:val="0"/>
        <w:ind w:left="1077"/>
        <w:jc w:val="both"/>
        <w:rPr>
          <w:color w:val="000000"/>
          <w:sz w:val="20"/>
        </w:rPr>
      </w:pPr>
    </w:p>
    <w:p w:rsidR="00FF779C" w:rsidRPr="00C4585D" w:rsidRDefault="00FF779C" w:rsidP="005A3389">
      <w:pPr>
        <w:widowControl w:val="0"/>
        <w:numPr>
          <w:ilvl w:val="3"/>
          <w:numId w:val="4"/>
        </w:numPr>
        <w:tabs>
          <w:tab w:val="clear" w:pos="2520"/>
        </w:tabs>
        <w:ind w:left="2268" w:hanging="567"/>
        <w:jc w:val="both"/>
        <w:rPr>
          <w:color w:val="000000"/>
          <w:sz w:val="20"/>
        </w:rPr>
      </w:pPr>
      <w:r w:rsidRPr="00C4585D">
        <w:rPr>
          <w:color w:val="000000"/>
          <w:sz w:val="20"/>
        </w:rPr>
        <w:t xml:space="preserve">Servicios contractuales individuales, en que se incluyen los costos presupuestados para todos los contratos de ese tipo (anteriormente “Acuerdos de servicios especiales” (ASE) </w:t>
      </w:r>
      <w:r w:rsidR="005A3389" w:rsidRPr="00C4585D">
        <w:rPr>
          <w:color w:val="000000"/>
          <w:sz w:val="20"/>
        </w:rPr>
        <w:t>y “Honorarios de expertos”);  y</w:t>
      </w:r>
    </w:p>
    <w:p w:rsidR="005A3389" w:rsidRPr="00C4585D" w:rsidRDefault="005A3389" w:rsidP="005A3389">
      <w:pPr>
        <w:widowControl w:val="0"/>
        <w:ind w:left="2268"/>
        <w:jc w:val="both"/>
        <w:rPr>
          <w:color w:val="000000"/>
          <w:sz w:val="20"/>
        </w:rPr>
      </w:pPr>
    </w:p>
    <w:p w:rsidR="00FF779C" w:rsidRPr="00C4585D" w:rsidRDefault="00FF779C" w:rsidP="005A3389">
      <w:pPr>
        <w:widowControl w:val="0"/>
        <w:numPr>
          <w:ilvl w:val="3"/>
          <w:numId w:val="4"/>
        </w:numPr>
        <w:tabs>
          <w:tab w:val="clear" w:pos="2520"/>
        </w:tabs>
        <w:ind w:left="2268" w:hanging="567"/>
        <w:jc w:val="both"/>
        <w:rPr>
          <w:color w:val="000000"/>
          <w:sz w:val="20"/>
        </w:rPr>
      </w:pPr>
      <w:r w:rsidRPr="00C4585D">
        <w:rPr>
          <w:color w:val="000000"/>
          <w:sz w:val="20"/>
        </w:rPr>
        <w:t>Otros servicios contractuales, en que se incluyen todos los servicios contractuales con proveedores de servicios comerciales y no comerciales.</w:t>
      </w:r>
    </w:p>
    <w:p w:rsidR="00FF779C" w:rsidRPr="00C4585D" w:rsidRDefault="00FF779C" w:rsidP="00FF779C">
      <w:pPr>
        <w:widowControl w:val="0"/>
        <w:jc w:val="both"/>
        <w:rPr>
          <w:color w:val="000000"/>
          <w:sz w:val="20"/>
        </w:rPr>
      </w:pPr>
    </w:p>
    <w:p w:rsidR="00FF779C" w:rsidRPr="00C4585D" w:rsidRDefault="00FF779C" w:rsidP="00A57FA9">
      <w:pPr>
        <w:pStyle w:val="Heading3"/>
        <w:keepNext w:val="0"/>
        <w:rPr>
          <w:sz w:val="20"/>
          <w:szCs w:val="20"/>
          <w:u w:val="none"/>
          <w:lang w:val="es-ES_tradnl"/>
        </w:rPr>
      </w:pPr>
      <w:bookmarkStart w:id="13" w:name="_Toc358816680"/>
      <w:r w:rsidRPr="00C4585D">
        <w:rPr>
          <w:sz w:val="20"/>
          <w:szCs w:val="20"/>
          <w:u w:val="none"/>
          <w:lang w:val="es-ES_tradnl"/>
        </w:rPr>
        <w:t>GASTOS DE PERSONAL</w:t>
      </w:r>
      <w:bookmarkEnd w:id="13"/>
    </w:p>
    <w:p w:rsidR="00FF779C" w:rsidRPr="00C4585D" w:rsidRDefault="00FF779C" w:rsidP="00FF779C">
      <w:pPr>
        <w:jc w:val="both"/>
        <w:rPr>
          <w:bCs/>
          <w:sz w:val="20"/>
        </w:rPr>
      </w:pPr>
    </w:p>
    <w:p w:rsidR="00FF779C" w:rsidRPr="00C4585D" w:rsidRDefault="00FF779C" w:rsidP="00FF779C">
      <w:pPr>
        <w:widowControl w:val="0"/>
        <w:numPr>
          <w:ilvl w:val="0"/>
          <w:numId w:val="4"/>
        </w:numPr>
        <w:tabs>
          <w:tab w:val="clear" w:pos="360"/>
          <w:tab w:val="num" w:pos="567"/>
        </w:tabs>
        <w:ind w:left="0" w:firstLine="0"/>
        <w:jc w:val="both"/>
        <w:rPr>
          <w:sz w:val="20"/>
        </w:rPr>
      </w:pPr>
      <w:r w:rsidRPr="00C4585D">
        <w:rPr>
          <w:color w:val="000000"/>
          <w:sz w:val="20"/>
        </w:rPr>
        <w:t>Se estima que en el bienio 2014/15 los gastos de personal aumentarán en 36,3 millones de francos suizos, lo que supone un incremento del 8,8% con respecto al presupuesto de 2012/13 después de las transferencias.  Dicho aumento se debe a los siguientes cambios fundamentales:</w:t>
      </w:r>
    </w:p>
    <w:p w:rsidR="00FF779C" w:rsidRPr="00C4585D" w:rsidRDefault="00FF779C" w:rsidP="00FF779C">
      <w:pPr>
        <w:widowControl w:val="0"/>
        <w:tabs>
          <w:tab w:val="num" w:pos="690"/>
        </w:tabs>
        <w:jc w:val="both"/>
        <w:rPr>
          <w:sz w:val="20"/>
        </w:rPr>
      </w:pPr>
    </w:p>
    <w:p w:rsidR="00FF779C" w:rsidRPr="00C4585D" w:rsidRDefault="00FF779C" w:rsidP="00FF779C">
      <w:pPr>
        <w:widowControl w:val="0"/>
        <w:numPr>
          <w:ilvl w:val="0"/>
          <w:numId w:val="4"/>
        </w:numPr>
        <w:tabs>
          <w:tab w:val="clear" w:pos="360"/>
          <w:tab w:val="num" w:pos="567"/>
        </w:tabs>
        <w:ind w:left="0" w:firstLine="0"/>
        <w:jc w:val="both"/>
        <w:rPr>
          <w:color w:val="000000"/>
          <w:sz w:val="20"/>
        </w:rPr>
      </w:pPr>
      <w:r w:rsidRPr="00C4585D">
        <w:rPr>
          <w:b/>
          <w:bCs/>
          <w:color w:val="000000"/>
          <w:sz w:val="20"/>
        </w:rPr>
        <w:t>Nuevo cálculo de costos:  Aumento neto de 12,6 millones de francos suizos</w:t>
      </w:r>
      <w:r w:rsidRPr="00C4585D">
        <w:rPr>
          <w:b/>
          <w:color w:val="000000"/>
          <w:sz w:val="20"/>
        </w:rPr>
        <w:t xml:space="preserve">: </w:t>
      </w:r>
      <w:r w:rsidRPr="00C4585D">
        <w:rPr>
          <w:color w:val="000000"/>
          <w:sz w:val="20"/>
        </w:rPr>
        <w:t xml:space="preserve"> En relación con las categorías “Puestos y </w:t>
      </w:r>
      <w:r w:rsidR="00A279D0">
        <w:rPr>
          <w:color w:val="000000"/>
          <w:sz w:val="20"/>
        </w:rPr>
        <w:t>p</w:t>
      </w:r>
      <w:r w:rsidRPr="00C4585D">
        <w:rPr>
          <w:color w:val="000000"/>
          <w:sz w:val="20"/>
        </w:rPr>
        <w:t xml:space="preserve">lazas </w:t>
      </w:r>
      <w:r w:rsidR="00A279D0">
        <w:rPr>
          <w:color w:val="000000"/>
          <w:sz w:val="20"/>
        </w:rPr>
        <w:t>t</w:t>
      </w:r>
      <w:r w:rsidRPr="00C4585D">
        <w:rPr>
          <w:color w:val="000000"/>
          <w:sz w:val="20"/>
        </w:rPr>
        <w:t>emporales”:  i) los ajustes que impone la CAPI, como el incremento de escalón dentro del grado y cambios en los niveles de remuneración pensionable;  y II) cambios en los costos comunes de personal, como los subsidios de educación, las prestaciones familiares, las vacaciones en el país de origen, etc., y III) la incidencia financiera total de las reclasificaciones realizadas en 2012/13.</w:t>
      </w:r>
    </w:p>
    <w:p w:rsidR="00FF779C" w:rsidRPr="00C4585D" w:rsidRDefault="00FF779C" w:rsidP="00FF779C">
      <w:pPr>
        <w:widowControl w:val="0"/>
        <w:tabs>
          <w:tab w:val="num" w:pos="690"/>
        </w:tabs>
        <w:jc w:val="both"/>
        <w:rPr>
          <w:color w:val="000000"/>
          <w:sz w:val="20"/>
        </w:rPr>
      </w:pPr>
    </w:p>
    <w:p w:rsidR="00FF779C" w:rsidRPr="00C4585D" w:rsidRDefault="00FF779C" w:rsidP="00FF779C">
      <w:pPr>
        <w:widowControl w:val="0"/>
        <w:numPr>
          <w:ilvl w:val="0"/>
          <w:numId w:val="4"/>
        </w:numPr>
        <w:tabs>
          <w:tab w:val="clear" w:pos="360"/>
          <w:tab w:val="num" w:pos="567"/>
        </w:tabs>
        <w:ind w:left="0" w:firstLine="0"/>
        <w:jc w:val="both"/>
        <w:rPr>
          <w:color w:val="000000"/>
          <w:sz w:val="20"/>
        </w:rPr>
      </w:pPr>
      <w:r w:rsidRPr="00C4585D">
        <w:rPr>
          <w:b/>
          <w:bCs/>
          <w:color w:val="000000"/>
          <w:sz w:val="20"/>
        </w:rPr>
        <w:t xml:space="preserve">Reforma contractual y regularizaciones:  aproximadamente 4 millones de francos suizos:  </w:t>
      </w:r>
      <w:r w:rsidRPr="00C4585D">
        <w:rPr>
          <w:color w:val="000000"/>
          <w:sz w:val="20"/>
        </w:rPr>
        <w:t>En los costos de personal presupuestados para 2014/15 se tiene en cuenta la repercusión de la aplicación de la reforma contractual y de la regularización, efectuada en 2012/13, de 60 empleados temporeros con muchos años de servicio en la Organización.</w:t>
      </w:r>
    </w:p>
    <w:p w:rsidR="00FF779C" w:rsidRPr="00C4585D" w:rsidRDefault="00FF779C" w:rsidP="00FF779C">
      <w:pPr>
        <w:widowControl w:val="0"/>
        <w:jc w:val="both"/>
        <w:rPr>
          <w:color w:val="000000"/>
          <w:sz w:val="20"/>
        </w:rPr>
      </w:pPr>
    </w:p>
    <w:p w:rsidR="00FF779C" w:rsidRPr="00C4585D" w:rsidRDefault="00FF779C" w:rsidP="00FF779C">
      <w:pPr>
        <w:widowControl w:val="0"/>
        <w:numPr>
          <w:ilvl w:val="0"/>
          <w:numId w:val="4"/>
        </w:numPr>
        <w:tabs>
          <w:tab w:val="clear" w:pos="360"/>
          <w:tab w:val="num" w:pos="567"/>
        </w:tabs>
        <w:ind w:left="0" w:firstLine="0"/>
        <w:jc w:val="both"/>
        <w:rPr>
          <w:color w:val="000000"/>
          <w:sz w:val="20"/>
        </w:rPr>
      </w:pPr>
      <w:r w:rsidRPr="00C4585D">
        <w:rPr>
          <w:b/>
          <w:bCs/>
          <w:color w:val="000000"/>
          <w:sz w:val="20"/>
        </w:rPr>
        <w:t xml:space="preserve">Seguro médico después de la separación del servicio:  16,3 millones de francos suizos: </w:t>
      </w:r>
      <w:r w:rsidRPr="00C4585D">
        <w:rPr>
          <w:color w:val="000000"/>
          <w:sz w:val="20"/>
        </w:rPr>
        <w:t xml:space="preserve"> Cabe señalar que, como medida de corto plazo, en el presupuesto por programas del bienio 2012/13 se efectuó un ajuste a la baja en el porcentaje aplicado a los costos de los puestos para sufragar la partida de prestaciones pagaderas a los empleados después del servicio, lo que incluye el seguro médico después de la separación del servicio (del 6% al 2%).  Se propone restablecer dicho porcentaje al nivel anterior.</w:t>
      </w:r>
    </w:p>
    <w:p w:rsidR="00FF779C" w:rsidRPr="00C4585D" w:rsidRDefault="00FF779C" w:rsidP="00FF779C">
      <w:pPr>
        <w:widowControl w:val="0"/>
        <w:tabs>
          <w:tab w:val="num" w:pos="690"/>
        </w:tabs>
        <w:jc w:val="both"/>
        <w:rPr>
          <w:color w:val="000000"/>
          <w:sz w:val="20"/>
        </w:rPr>
      </w:pPr>
    </w:p>
    <w:p w:rsidR="00FF779C" w:rsidRPr="00C4585D" w:rsidRDefault="00FF779C" w:rsidP="00FF779C">
      <w:pPr>
        <w:widowControl w:val="0"/>
        <w:numPr>
          <w:ilvl w:val="0"/>
          <w:numId w:val="4"/>
        </w:numPr>
        <w:tabs>
          <w:tab w:val="clear" w:pos="360"/>
          <w:tab w:val="num" w:pos="567"/>
        </w:tabs>
        <w:ind w:left="0" w:firstLine="0"/>
        <w:jc w:val="both"/>
        <w:rPr>
          <w:color w:val="000000"/>
          <w:sz w:val="20"/>
        </w:rPr>
      </w:pPr>
      <w:r w:rsidRPr="00C4585D">
        <w:rPr>
          <w:b/>
          <w:bCs/>
          <w:color w:val="000000"/>
          <w:sz w:val="20"/>
        </w:rPr>
        <w:t>Reclasificación:  2 millones de francos suizos</w:t>
      </w:r>
      <w:r w:rsidRPr="00C4585D">
        <w:rPr>
          <w:b/>
          <w:color w:val="000000"/>
          <w:sz w:val="20"/>
        </w:rPr>
        <w:t>:</w:t>
      </w:r>
      <w:r w:rsidRPr="00C4585D">
        <w:rPr>
          <w:color w:val="000000"/>
          <w:sz w:val="20"/>
        </w:rPr>
        <w:t xml:space="preserve">  En el marco de su modernización, se ha revisado el diseño orgánico antes de la ejecución del prepuesto por programas a fin de precisar las necesidades de recursos humanos de cada sector con miras al próximo bienio a partir de las prioridades y necesidades institucionales.  Como consecuencia de dicha revisión se han elaborado planes de plantilla por sector, que han sido validados por el Director General, en que los cambios en los requisitos laborales pueden justificar las reclasificaciones.  Se ha reservado una partida de 2 millones de francos suizos a tal fin.</w:t>
      </w:r>
    </w:p>
    <w:p w:rsidR="00FF779C" w:rsidRPr="00C4585D" w:rsidRDefault="00FF779C" w:rsidP="00FF779C">
      <w:pPr>
        <w:widowControl w:val="0"/>
        <w:tabs>
          <w:tab w:val="num" w:pos="690"/>
        </w:tabs>
        <w:jc w:val="both"/>
        <w:rPr>
          <w:color w:val="000000"/>
          <w:sz w:val="20"/>
        </w:rPr>
      </w:pPr>
    </w:p>
    <w:p w:rsidR="00FF779C" w:rsidRPr="00C4585D" w:rsidRDefault="00FF779C" w:rsidP="00FF779C">
      <w:pPr>
        <w:widowControl w:val="0"/>
        <w:numPr>
          <w:ilvl w:val="0"/>
          <w:numId w:val="4"/>
        </w:numPr>
        <w:tabs>
          <w:tab w:val="clear" w:pos="360"/>
          <w:tab w:val="num" w:pos="567"/>
        </w:tabs>
        <w:ind w:left="0" w:firstLine="0"/>
        <w:jc w:val="both"/>
        <w:rPr>
          <w:bCs/>
          <w:color w:val="000000"/>
          <w:sz w:val="20"/>
        </w:rPr>
      </w:pPr>
      <w:r w:rsidRPr="00C4585D">
        <w:rPr>
          <w:b/>
          <w:bCs/>
          <w:color w:val="000000"/>
          <w:sz w:val="20"/>
        </w:rPr>
        <w:t xml:space="preserve">Regularizaciones:  1,4 millones de francos suizos:  </w:t>
      </w:r>
      <w:r w:rsidRPr="00C4585D">
        <w:rPr>
          <w:bCs/>
          <w:color w:val="000000"/>
          <w:sz w:val="20"/>
        </w:rPr>
        <w:t>Se ha asignado dicha cantidad con respecto a los 96 puestos restantes en el marco de la utilización de 156 puestos de regularización, aprobados en principio por los Estados miembros en las Asambleas de 2012 (documento de referencia WO/CC/63/5).  Esos 1,4 millones de francos suizos se utilizarán esencialmente para sufragar la diferencia de costos entre las plazas temporales y los puestos de la categoría profesional.  Esto se debe a que, a raíz de la reforma contractual, no existe diferencia material en los beneficios y prestaciones de las plazas temporales y los puestos de la categoría de servicios generales.  Se propone que los Estados miembros autoricen que los 96 puestos restantes se utilicen, en el bienio 2014/15, para i) regularizar a los empleados temporeros con muchos años de servicio y ii) que se mantengan las funciones evaluadas mediante el diseño orgánico, que actualmente desempeña personal temporero.  Al final del bienio, la Secretaría habrá completado, mediante el proceso competitivo, la regularización de las dos categorías referidas anteriormente, de modo que no vuelva a plantearse el problema de los empleados temporeros con muchos años de servicio.</w:t>
      </w:r>
    </w:p>
    <w:p w:rsidR="00FF779C" w:rsidRPr="00C4585D" w:rsidRDefault="00FF779C" w:rsidP="00FF779C">
      <w:pPr>
        <w:widowControl w:val="0"/>
        <w:jc w:val="both"/>
        <w:rPr>
          <w:color w:val="000000"/>
          <w:sz w:val="20"/>
        </w:rPr>
      </w:pPr>
    </w:p>
    <w:p w:rsidR="00FF779C" w:rsidRPr="00C4585D" w:rsidRDefault="00FF779C" w:rsidP="00FF779C">
      <w:pPr>
        <w:widowControl w:val="0"/>
        <w:numPr>
          <w:ilvl w:val="0"/>
          <w:numId w:val="4"/>
        </w:numPr>
        <w:tabs>
          <w:tab w:val="clear" w:pos="360"/>
          <w:tab w:val="num" w:pos="567"/>
        </w:tabs>
        <w:ind w:left="0" w:firstLine="0"/>
        <w:jc w:val="both"/>
        <w:rPr>
          <w:color w:val="000000"/>
          <w:sz w:val="20"/>
        </w:rPr>
      </w:pPr>
      <w:r w:rsidRPr="00C4585D">
        <w:rPr>
          <w:color w:val="000000"/>
          <w:sz w:val="20"/>
        </w:rPr>
        <w:t>Al igual que en anteriores bienios, cabe señalar que en los gastos de personal que figuran en la propuesta de presupuesto de 2014/15 no se incluyen algunos costos que no pueden cuantificarse con certeza en el momento en que se escriben estas líneas, pero cuya repercusión probablemente cause una nueva presión al alza en los costos de personal y quizás haya que tenerlos en cuenta a lo largo del bienio.  Entre tales factores figuran principalmente las decisiones que pueda tomar la Comisión de Administración Pública Internacional (CAPI) en el curso de 2014/15 con respecto a los ajustes obligatorios en las escalas de los sueldos u otros elementos del conjunto de prestaciones y compensaciones del sistema de NN.UU.</w:t>
      </w:r>
    </w:p>
    <w:p w:rsidR="00FF779C" w:rsidRPr="00C4585D" w:rsidRDefault="00FF779C" w:rsidP="00FF779C">
      <w:pPr>
        <w:jc w:val="both"/>
        <w:rPr>
          <w:bCs/>
          <w:sz w:val="20"/>
        </w:rPr>
      </w:pPr>
    </w:p>
    <w:p w:rsidR="00FF779C" w:rsidRPr="00C4585D" w:rsidRDefault="00FF779C" w:rsidP="00A57FA9">
      <w:pPr>
        <w:pStyle w:val="Heading3"/>
        <w:keepNext w:val="0"/>
        <w:rPr>
          <w:sz w:val="20"/>
          <w:szCs w:val="20"/>
          <w:u w:val="none"/>
          <w:lang w:val="es-ES_tradnl"/>
        </w:rPr>
      </w:pPr>
      <w:bookmarkStart w:id="14" w:name="_Toc358816681"/>
      <w:r w:rsidRPr="00C4585D">
        <w:rPr>
          <w:sz w:val="20"/>
          <w:szCs w:val="20"/>
          <w:u w:val="none"/>
          <w:lang w:val="es-ES_tradnl"/>
        </w:rPr>
        <w:lastRenderedPageBreak/>
        <w:t>GASTOS NO RELATIVOS AL PERSONAL</w:t>
      </w:r>
      <w:bookmarkEnd w:id="14"/>
    </w:p>
    <w:p w:rsidR="00FF779C" w:rsidRPr="00C4585D" w:rsidRDefault="00FF779C" w:rsidP="00FF779C">
      <w:pPr>
        <w:jc w:val="both"/>
        <w:rPr>
          <w:bCs/>
          <w:sz w:val="20"/>
        </w:rPr>
      </w:pPr>
    </w:p>
    <w:p w:rsidR="00FF779C" w:rsidRPr="00C4585D" w:rsidRDefault="00FF779C" w:rsidP="00FF779C">
      <w:pPr>
        <w:widowControl w:val="0"/>
        <w:numPr>
          <w:ilvl w:val="0"/>
          <w:numId w:val="4"/>
        </w:numPr>
        <w:tabs>
          <w:tab w:val="clear" w:pos="360"/>
          <w:tab w:val="num" w:pos="567"/>
        </w:tabs>
        <w:ind w:left="0" w:firstLine="0"/>
        <w:jc w:val="both"/>
        <w:rPr>
          <w:color w:val="000000"/>
          <w:sz w:val="20"/>
        </w:rPr>
      </w:pPr>
      <w:r w:rsidRPr="00C4585D">
        <w:rPr>
          <w:color w:val="000000"/>
          <w:sz w:val="20"/>
        </w:rPr>
        <w:t>Se propone disminuir los gastos no relativos al personal en 11,5 millones de francos suizos, lo que supone una disminución del 4,8%, esto es, 226,2 millones de francos suizos en 2014/15 frente a los 237,7 millones de francos suizos del presupuesto de 2012/13 después de las transferencias.  Esa diferencia general refleja los siguientes cambios principales:</w:t>
      </w:r>
    </w:p>
    <w:p w:rsidR="00FF779C" w:rsidRPr="00C4585D" w:rsidRDefault="00FF779C" w:rsidP="00FF779C">
      <w:pPr>
        <w:widowControl w:val="0"/>
        <w:tabs>
          <w:tab w:val="num" w:pos="690"/>
        </w:tabs>
        <w:jc w:val="both"/>
        <w:rPr>
          <w:color w:val="000000"/>
          <w:sz w:val="20"/>
        </w:rPr>
      </w:pPr>
    </w:p>
    <w:p w:rsidR="00FF779C" w:rsidRPr="00C4585D" w:rsidRDefault="00FF779C" w:rsidP="00FF779C">
      <w:pPr>
        <w:widowControl w:val="0"/>
        <w:numPr>
          <w:ilvl w:val="0"/>
          <w:numId w:val="4"/>
        </w:numPr>
        <w:tabs>
          <w:tab w:val="clear" w:pos="360"/>
          <w:tab w:val="num" w:pos="567"/>
        </w:tabs>
        <w:ind w:left="0" w:firstLine="0"/>
        <w:jc w:val="both"/>
        <w:rPr>
          <w:color w:val="000000"/>
          <w:sz w:val="20"/>
        </w:rPr>
      </w:pPr>
      <w:r w:rsidRPr="00C4585D">
        <w:rPr>
          <w:color w:val="000000"/>
          <w:sz w:val="20"/>
        </w:rPr>
        <w:t>Con sujeción a la decisión de los Estados miembros sobre la posible celebración de conferencias diplomáticas en 2014/15, se han reservado partidas para sufragar la celebración de conferencias diplomáticas:</w:t>
      </w:r>
    </w:p>
    <w:p w:rsidR="00FF779C" w:rsidRPr="00C4585D" w:rsidRDefault="00FF779C" w:rsidP="00FF779C">
      <w:pPr>
        <w:widowControl w:val="0"/>
        <w:tabs>
          <w:tab w:val="num" w:pos="690"/>
        </w:tabs>
        <w:jc w:val="both"/>
        <w:rPr>
          <w:color w:val="000000"/>
          <w:sz w:val="20"/>
        </w:rPr>
      </w:pPr>
    </w:p>
    <w:p w:rsidR="00FF779C" w:rsidRPr="00C4585D" w:rsidRDefault="00FF779C" w:rsidP="00FF779C">
      <w:pPr>
        <w:widowControl w:val="0"/>
        <w:numPr>
          <w:ilvl w:val="1"/>
          <w:numId w:val="4"/>
        </w:numPr>
        <w:tabs>
          <w:tab w:val="clear" w:pos="1080"/>
        </w:tabs>
        <w:ind w:left="1134" w:hanging="567"/>
        <w:jc w:val="both"/>
        <w:rPr>
          <w:color w:val="000000"/>
          <w:sz w:val="20"/>
        </w:rPr>
      </w:pPr>
      <w:r w:rsidRPr="00C4585D">
        <w:rPr>
          <w:color w:val="000000"/>
          <w:sz w:val="20"/>
        </w:rPr>
        <w:t>acerca de la adopción de un tratado sobre el Derecho de los diseños industriales, por un monto de aproximadamente 800.000 francos suizos (programa 2);</w:t>
      </w:r>
    </w:p>
    <w:p w:rsidR="00FF779C" w:rsidRPr="00C4585D" w:rsidRDefault="00FF779C" w:rsidP="00FF779C">
      <w:pPr>
        <w:widowControl w:val="0"/>
        <w:tabs>
          <w:tab w:val="num" w:pos="1080"/>
        </w:tabs>
        <w:jc w:val="both"/>
        <w:rPr>
          <w:color w:val="000000"/>
          <w:sz w:val="20"/>
        </w:rPr>
      </w:pPr>
    </w:p>
    <w:p w:rsidR="00FF779C" w:rsidRPr="00C4585D" w:rsidRDefault="00FF779C" w:rsidP="00FF779C">
      <w:pPr>
        <w:widowControl w:val="0"/>
        <w:numPr>
          <w:ilvl w:val="1"/>
          <w:numId w:val="4"/>
        </w:numPr>
        <w:tabs>
          <w:tab w:val="clear" w:pos="1080"/>
        </w:tabs>
        <w:ind w:left="1134" w:hanging="567"/>
        <w:jc w:val="both"/>
        <w:rPr>
          <w:color w:val="000000"/>
          <w:sz w:val="20"/>
        </w:rPr>
      </w:pPr>
      <w:r w:rsidRPr="00C4585D">
        <w:rPr>
          <w:color w:val="000000"/>
          <w:sz w:val="20"/>
        </w:rPr>
        <w:t>en el ámbito de los conocimientos tradicionales, las expresiones culturales tradicionales y los recursos genéticos, por un monto de aproximadamente 800.000 francos suizos (programa 4);  y</w:t>
      </w:r>
    </w:p>
    <w:p w:rsidR="00FF779C" w:rsidRPr="00C4585D" w:rsidRDefault="00FF779C" w:rsidP="00FF779C">
      <w:pPr>
        <w:widowControl w:val="0"/>
        <w:tabs>
          <w:tab w:val="num" w:pos="1080"/>
        </w:tabs>
        <w:jc w:val="both"/>
        <w:rPr>
          <w:color w:val="000000"/>
          <w:sz w:val="20"/>
        </w:rPr>
      </w:pPr>
    </w:p>
    <w:p w:rsidR="00FF779C" w:rsidRPr="00C4585D" w:rsidRDefault="00FF779C" w:rsidP="00FF779C">
      <w:pPr>
        <w:widowControl w:val="0"/>
        <w:numPr>
          <w:ilvl w:val="1"/>
          <w:numId w:val="4"/>
        </w:numPr>
        <w:tabs>
          <w:tab w:val="clear" w:pos="1080"/>
        </w:tabs>
        <w:ind w:left="1134" w:hanging="567"/>
        <w:jc w:val="both"/>
        <w:rPr>
          <w:color w:val="000000"/>
          <w:sz w:val="20"/>
        </w:rPr>
      </w:pPr>
      <w:r w:rsidRPr="00C4585D">
        <w:rPr>
          <w:color w:val="000000"/>
          <w:sz w:val="20"/>
        </w:rPr>
        <w:t>para la adopción del Arreglo de Lisboa Revisado, con sujeción a la decisión de la Asamblea de Lisboa (programa 6), por un monto de aproximadamente 130.000 francos suizos.</w:t>
      </w:r>
    </w:p>
    <w:p w:rsidR="00FF779C" w:rsidRPr="00C4585D" w:rsidRDefault="00FF779C" w:rsidP="00FF779C">
      <w:pPr>
        <w:widowControl w:val="0"/>
        <w:tabs>
          <w:tab w:val="num" w:pos="1080"/>
        </w:tabs>
        <w:ind w:left="720"/>
        <w:jc w:val="both"/>
        <w:rPr>
          <w:color w:val="000000"/>
          <w:sz w:val="20"/>
        </w:rPr>
      </w:pPr>
    </w:p>
    <w:p w:rsidR="00FF779C" w:rsidRPr="00C4585D" w:rsidRDefault="00FF779C" w:rsidP="00FF779C">
      <w:pPr>
        <w:widowControl w:val="0"/>
        <w:numPr>
          <w:ilvl w:val="0"/>
          <w:numId w:val="4"/>
        </w:numPr>
        <w:tabs>
          <w:tab w:val="clear" w:pos="360"/>
          <w:tab w:val="num" w:pos="567"/>
        </w:tabs>
        <w:ind w:left="0" w:firstLine="0"/>
        <w:jc w:val="both"/>
        <w:rPr>
          <w:color w:val="000000"/>
          <w:sz w:val="20"/>
        </w:rPr>
      </w:pPr>
      <w:r w:rsidRPr="00C4585D">
        <w:rPr>
          <w:color w:val="000000"/>
          <w:sz w:val="20"/>
        </w:rPr>
        <w:t xml:space="preserve">Se han reservado los debidos recursos para sufragar la creación de nuevas oficinas </w:t>
      </w:r>
      <w:r w:rsidR="008921D7">
        <w:rPr>
          <w:color w:val="000000"/>
          <w:sz w:val="20"/>
        </w:rPr>
        <w:t>en el exterior</w:t>
      </w:r>
      <w:r w:rsidRPr="00C4585D">
        <w:rPr>
          <w:color w:val="000000"/>
          <w:sz w:val="20"/>
        </w:rPr>
        <w:t>.</w:t>
      </w:r>
    </w:p>
    <w:p w:rsidR="00FF779C" w:rsidRPr="00C4585D" w:rsidRDefault="00FF779C" w:rsidP="00FF779C">
      <w:pPr>
        <w:widowControl w:val="0"/>
        <w:tabs>
          <w:tab w:val="num" w:pos="690"/>
        </w:tabs>
        <w:jc w:val="both"/>
        <w:rPr>
          <w:color w:val="000000"/>
          <w:sz w:val="20"/>
        </w:rPr>
      </w:pPr>
    </w:p>
    <w:p w:rsidR="00FF779C" w:rsidRPr="00C4585D" w:rsidRDefault="00FF779C" w:rsidP="00FF779C">
      <w:pPr>
        <w:widowControl w:val="0"/>
        <w:numPr>
          <w:ilvl w:val="0"/>
          <w:numId w:val="4"/>
        </w:numPr>
        <w:tabs>
          <w:tab w:val="clear" w:pos="360"/>
          <w:tab w:val="num" w:pos="567"/>
        </w:tabs>
        <w:ind w:left="0" w:firstLine="0"/>
        <w:jc w:val="both"/>
        <w:rPr>
          <w:color w:val="000000"/>
          <w:sz w:val="20"/>
        </w:rPr>
      </w:pPr>
      <w:r w:rsidRPr="00C4585D">
        <w:rPr>
          <w:color w:val="000000"/>
          <w:sz w:val="20"/>
        </w:rPr>
        <w:t>Se han destinado nuevos recursos para satisfacer el creciente volumen de trabajo de traducción que se subcontrata en el marco del sistema del PCT (programa 5).  En general, para el bienio 2014/15 se han presupuestado aproximadamente 51 millones de francos suizos para sufragar la traducción de resúmenes del PCT, Informes de búsqueda internacional e informes preliminares internacionales sobre patentabilidad, lo que constituye un aumento de aproximadamente 10 millones de francos suizos con respecto al presupuesto de 2012/13 después de las transferencias.  La previsión de la mayor parte de tales aumentos en el volumen de traducción atañe al japonés, chino y coreano.</w:t>
      </w:r>
    </w:p>
    <w:p w:rsidR="00FF779C" w:rsidRPr="00C4585D" w:rsidRDefault="00FF779C" w:rsidP="00FF779C">
      <w:pPr>
        <w:widowControl w:val="0"/>
        <w:tabs>
          <w:tab w:val="num" w:pos="690"/>
        </w:tabs>
        <w:jc w:val="both"/>
        <w:rPr>
          <w:color w:val="000000"/>
          <w:sz w:val="20"/>
        </w:rPr>
      </w:pPr>
    </w:p>
    <w:p w:rsidR="00FF779C" w:rsidRPr="00C4585D" w:rsidRDefault="00FF779C" w:rsidP="00FF779C">
      <w:pPr>
        <w:widowControl w:val="0"/>
        <w:numPr>
          <w:ilvl w:val="0"/>
          <w:numId w:val="4"/>
        </w:numPr>
        <w:tabs>
          <w:tab w:val="clear" w:pos="360"/>
          <w:tab w:val="num" w:pos="567"/>
        </w:tabs>
        <w:ind w:left="0" w:firstLine="0"/>
        <w:jc w:val="both"/>
        <w:rPr>
          <w:color w:val="000000"/>
          <w:sz w:val="20"/>
        </w:rPr>
      </w:pPr>
      <w:r w:rsidRPr="00C4585D">
        <w:rPr>
          <w:color w:val="000000"/>
          <w:sz w:val="20"/>
        </w:rPr>
        <w:t xml:space="preserve">Se ha presupuestado un aumento de los recursos para seguir desarrollando y mejorando la infraestructura general de P.I., lo que comprende recursos para sufragar la mejora de la sostenibilidad de los Centros de Apoyo a la Tecnología y la Innovación (CATI) (un total de 700.000 francos suizos en el programa 14) y la creación y el mantenimiento de plataformas de </w:t>
      </w:r>
      <w:r w:rsidRPr="00C4585D">
        <w:rPr>
          <w:i/>
          <w:color w:val="000000"/>
          <w:sz w:val="20"/>
        </w:rPr>
        <w:t>software</w:t>
      </w:r>
      <w:r w:rsidRPr="00C4585D">
        <w:rPr>
          <w:color w:val="000000"/>
          <w:sz w:val="20"/>
        </w:rPr>
        <w:t xml:space="preserve"> para los organismos de gestión colectiva </w:t>
      </w:r>
      <w:r w:rsidR="00CA69B4">
        <w:rPr>
          <w:color w:val="000000"/>
          <w:sz w:val="20"/>
        </w:rPr>
        <w:t xml:space="preserve">(OGC) </w:t>
      </w:r>
      <w:r w:rsidRPr="00C4585D">
        <w:rPr>
          <w:color w:val="000000"/>
          <w:sz w:val="20"/>
        </w:rPr>
        <w:t>del derecho de autor, lo que incluye apoyo a las redes regionales e internacionales de organizaciones (un total de 2 millones de francos suizos en el programa 15).</w:t>
      </w:r>
    </w:p>
    <w:p w:rsidR="00FF779C" w:rsidRPr="00C4585D" w:rsidRDefault="00FF779C" w:rsidP="00FF779C">
      <w:pPr>
        <w:widowControl w:val="0"/>
        <w:tabs>
          <w:tab w:val="num" w:pos="690"/>
        </w:tabs>
        <w:jc w:val="both"/>
        <w:rPr>
          <w:color w:val="000000"/>
          <w:sz w:val="20"/>
        </w:rPr>
      </w:pPr>
    </w:p>
    <w:p w:rsidR="00FF779C" w:rsidRPr="00C4585D" w:rsidRDefault="00FF779C" w:rsidP="00FF779C">
      <w:pPr>
        <w:widowControl w:val="0"/>
        <w:numPr>
          <w:ilvl w:val="0"/>
          <w:numId w:val="4"/>
        </w:numPr>
        <w:tabs>
          <w:tab w:val="clear" w:pos="360"/>
          <w:tab w:val="num" w:pos="567"/>
        </w:tabs>
        <w:ind w:left="0" w:firstLine="0"/>
        <w:jc w:val="both"/>
        <w:rPr>
          <w:color w:val="000000"/>
          <w:sz w:val="20"/>
        </w:rPr>
      </w:pPr>
      <w:r w:rsidRPr="00C4585D">
        <w:rPr>
          <w:color w:val="000000"/>
          <w:sz w:val="20"/>
        </w:rPr>
        <w:t xml:space="preserve">Se ha propuesto aumentar los recursos destinados a Becas de la OMPI a 5,4 millones de francos suizos, principalmente en: </w:t>
      </w:r>
    </w:p>
    <w:p w:rsidR="00FF779C" w:rsidRPr="00C4585D" w:rsidRDefault="00FF779C" w:rsidP="00FF779C">
      <w:pPr>
        <w:widowControl w:val="0"/>
        <w:tabs>
          <w:tab w:val="num" w:pos="690"/>
        </w:tabs>
        <w:jc w:val="both"/>
        <w:rPr>
          <w:color w:val="000000"/>
          <w:sz w:val="20"/>
        </w:rPr>
      </w:pPr>
    </w:p>
    <w:p w:rsidR="00FF779C" w:rsidRPr="00C4585D" w:rsidRDefault="00FF779C" w:rsidP="00FF779C">
      <w:pPr>
        <w:widowControl w:val="0"/>
        <w:numPr>
          <w:ilvl w:val="1"/>
          <w:numId w:val="4"/>
        </w:numPr>
        <w:tabs>
          <w:tab w:val="clear" w:pos="1080"/>
        </w:tabs>
        <w:ind w:left="1134" w:hanging="567"/>
        <w:jc w:val="both"/>
        <w:rPr>
          <w:color w:val="000000"/>
          <w:sz w:val="20"/>
        </w:rPr>
      </w:pPr>
      <w:r w:rsidRPr="00C4585D">
        <w:rPr>
          <w:color w:val="000000"/>
          <w:sz w:val="20"/>
        </w:rPr>
        <w:t xml:space="preserve">los programas 5, 6 y 31 para potenciar los programas de intercambio entre la Oficina Internacional y las oficinas nacionales de P.I.  Mediante dichos programas, los empleados de las oficinas nacionales que participen en ellos podrán adquirir directamente conocimientos y experiencia laboral en materia de procedimientos de examen internacional y de los últimos avances en los sistemas del PCT, de Madrid y de La Haya, y </w:t>
      </w:r>
    </w:p>
    <w:p w:rsidR="00FF779C" w:rsidRPr="00C4585D" w:rsidRDefault="00FF779C" w:rsidP="00FF779C">
      <w:pPr>
        <w:widowControl w:val="0"/>
        <w:tabs>
          <w:tab w:val="num" w:pos="1080"/>
        </w:tabs>
        <w:jc w:val="both"/>
        <w:rPr>
          <w:color w:val="000000"/>
          <w:sz w:val="20"/>
        </w:rPr>
      </w:pPr>
    </w:p>
    <w:p w:rsidR="00FF779C" w:rsidRPr="00C4585D" w:rsidRDefault="00FF779C" w:rsidP="00FF779C">
      <w:pPr>
        <w:widowControl w:val="0"/>
        <w:numPr>
          <w:ilvl w:val="1"/>
          <w:numId w:val="4"/>
        </w:numPr>
        <w:tabs>
          <w:tab w:val="clear" w:pos="1080"/>
        </w:tabs>
        <w:ind w:left="1134" w:hanging="567"/>
        <w:jc w:val="both"/>
        <w:rPr>
          <w:color w:val="000000"/>
          <w:sz w:val="20"/>
        </w:rPr>
      </w:pPr>
      <w:r w:rsidRPr="00C4585D">
        <w:rPr>
          <w:color w:val="000000"/>
          <w:sz w:val="20"/>
        </w:rPr>
        <w:t>el programa 7, en el Centro de Arbitraje y Mediación, en el que se creó un programa específico de becas como parte de la aplicación de la reforma contractual para reflejar el acuerdo mediante el cual la Organización proporciona a los jóvenes profesionales experiencia en la gestión de casos.</w:t>
      </w:r>
    </w:p>
    <w:p w:rsidR="00FF779C" w:rsidRPr="00C4585D" w:rsidRDefault="00FF779C" w:rsidP="00FF779C">
      <w:pPr>
        <w:widowControl w:val="0"/>
        <w:tabs>
          <w:tab w:val="num" w:pos="690"/>
        </w:tabs>
        <w:jc w:val="both"/>
        <w:rPr>
          <w:color w:val="000000"/>
          <w:sz w:val="20"/>
        </w:rPr>
      </w:pPr>
    </w:p>
    <w:p w:rsidR="00FF779C" w:rsidRPr="00C4585D" w:rsidRDefault="00FF779C" w:rsidP="00FF779C">
      <w:pPr>
        <w:widowControl w:val="0"/>
        <w:numPr>
          <w:ilvl w:val="0"/>
          <w:numId w:val="4"/>
        </w:numPr>
        <w:tabs>
          <w:tab w:val="clear" w:pos="360"/>
          <w:tab w:val="num" w:pos="567"/>
        </w:tabs>
        <w:ind w:left="0" w:firstLine="0"/>
        <w:jc w:val="both"/>
        <w:rPr>
          <w:color w:val="000000"/>
          <w:sz w:val="20"/>
        </w:rPr>
      </w:pPr>
      <w:r w:rsidRPr="00C4585D">
        <w:rPr>
          <w:color w:val="000000"/>
          <w:sz w:val="20"/>
        </w:rPr>
        <w:t>Se estima que en el bienio 2014/15 los recursos de “Misiones del personal” y “Viajes de terceros” disminuyan en un porcentaje combinado del 20% con respecto a 2012/13.  Se espera que la introducción de la herramienta de reservas por Internet (OBT), prevista para comienzos de 2014, genere ahorros en el costo de viajes de entre el 8% y el 10%.  En la elaboración del presupuesto de 2014/15 ya se han tenido en cuenta los ahorros que se espera lograr en los costos de “Viajes”.  En dichas categorías, la disminución de costos se debe asimismo a que el presupuesto de 2012/13 después de las transferencias comprende 2,2 millones de francos suizos en el rubro “Misiones del personal” y “Viajes de terceros” en relación con los proyectos que se están ejecutando en el marco de la Agenda para el Desarrollo, que se espera finalizar en 2013.</w:t>
      </w:r>
    </w:p>
    <w:p w:rsidR="00FF779C" w:rsidRPr="00C4585D" w:rsidRDefault="00FF779C" w:rsidP="004608A0">
      <w:pPr>
        <w:widowControl w:val="0"/>
        <w:numPr>
          <w:ilvl w:val="0"/>
          <w:numId w:val="4"/>
        </w:numPr>
        <w:tabs>
          <w:tab w:val="clear" w:pos="360"/>
          <w:tab w:val="num" w:pos="567"/>
        </w:tabs>
        <w:ind w:left="0" w:firstLine="0"/>
        <w:jc w:val="both"/>
        <w:rPr>
          <w:color w:val="000000"/>
          <w:sz w:val="20"/>
        </w:rPr>
      </w:pPr>
      <w:r w:rsidRPr="00C4585D">
        <w:rPr>
          <w:color w:val="000000"/>
          <w:sz w:val="20"/>
        </w:rPr>
        <w:lastRenderedPageBreak/>
        <w:t>Se ha previsto que los recursos generales no relativos al personal para sufragar las publicaciones disminuyan de 800.000 francos suizos de 2012/13 a unos 400.000 francos suizos en 2014/2015.  Lo cual se debe al aumento de las actividades internas de publicación así como al aumento de la publicación por Internet en el porcentaje del total de publicaciones.</w:t>
      </w:r>
    </w:p>
    <w:p w:rsidR="00FF779C" w:rsidRPr="00C4585D" w:rsidRDefault="00FF779C" w:rsidP="004608A0">
      <w:pPr>
        <w:widowControl w:val="0"/>
        <w:tabs>
          <w:tab w:val="num" w:pos="690"/>
        </w:tabs>
        <w:jc w:val="both"/>
        <w:rPr>
          <w:color w:val="000000"/>
          <w:sz w:val="20"/>
        </w:rPr>
      </w:pPr>
    </w:p>
    <w:p w:rsidR="00FF779C" w:rsidRPr="00C4585D" w:rsidRDefault="00FF779C" w:rsidP="004608A0">
      <w:pPr>
        <w:widowControl w:val="0"/>
        <w:numPr>
          <w:ilvl w:val="0"/>
          <w:numId w:val="4"/>
        </w:numPr>
        <w:tabs>
          <w:tab w:val="clear" w:pos="360"/>
          <w:tab w:val="num" w:pos="567"/>
        </w:tabs>
        <w:ind w:left="0" w:firstLine="0"/>
        <w:jc w:val="both"/>
        <w:rPr>
          <w:color w:val="000000"/>
          <w:sz w:val="20"/>
        </w:rPr>
      </w:pPr>
      <w:r w:rsidRPr="00C4585D">
        <w:rPr>
          <w:color w:val="000000"/>
          <w:sz w:val="20"/>
        </w:rPr>
        <w:t xml:space="preserve">Se prevé que los gastos en la categoría “Locales y mantenimiento” aumenten en 1,7 millones de francos suizos y alcancen el total de 39,1 millones de francos suizos en el bienio 2014/15.  Los aumentos se han producido principalmente en:  i) el programa 25 sobre mecanismos de continuación de las actividades, recuperación en casos de desastre y mejora de la seguridad de la información;  ii) el programa 5 en el ámbito de los sistemas de información del PCT para el mantenimiento de los equipos de T.I.;  iii) el programa 13 relativo al alquiler de equipos de T.I. para la creación de un motor de búsqueda de la base de datos de P.I.;  y iv) el programa 20 relativo a las nuevas oficinas </w:t>
      </w:r>
      <w:r w:rsidR="008921D7">
        <w:rPr>
          <w:color w:val="000000"/>
          <w:sz w:val="20"/>
        </w:rPr>
        <w:t xml:space="preserve">en el </w:t>
      </w:r>
      <w:r w:rsidRPr="00C4585D">
        <w:rPr>
          <w:color w:val="000000"/>
          <w:sz w:val="20"/>
        </w:rPr>
        <w:t>exter</w:t>
      </w:r>
      <w:r w:rsidR="008921D7">
        <w:rPr>
          <w:color w:val="000000"/>
          <w:sz w:val="20"/>
        </w:rPr>
        <w:t>ior</w:t>
      </w:r>
      <w:r w:rsidRPr="00C4585D">
        <w:rPr>
          <w:color w:val="000000"/>
          <w:sz w:val="20"/>
        </w:rPr>
        <w:t>.</w:t>
      </w:r>
    </w:p>
    <w:p w:rsidR="00FF779C" w:rsidRPr="00C4585D" w:rsidRDefault="00FF779C" w:rsidP="00FF779C">
      <w:pPr>
        <w:widowControl w:val="0"/>
        <w:tabs>
          <w:tab w:val="num" w:pos="690"/>
        </w:tabs>
        <w:jc w:val="both"/>
        <w:rPr>
          <w:color w:val="000000"/>
          <w:sz w:val="20"/>
        </w:rPr>
      </w:pPr>
    </w:p>
    <w:p w:rsidR="00FF779C" w:rsidRPr="00C4585D" w:rsidRDefault="00FF779C" w:rsidP="00FF779C">
      <w:pPr>
        <w:numPr>
          <w:ilvl w:val="0"/>
          <w:numId w:val="4"/>
        </w:numPr>
        <w:tabs>
          <w:tab w:val="clear" w:pos="360"/>
          <w:tab w:val="num" w:pos="567"/>
        </w:tabs>
        <w:ind w:left="0" w:firstLine="0"/>
        <w:jc w:val="both"/>
        <w:rPr>
          <w:sz w:val="20"/>
        </w:rPr>
      </w:pPr>
      <w:r w:rsidRPr="00C4585D">
        <w:rPr>
          <w:sz w:val="20"/>
        </w:rPr>
        <w:t>Como en el bienio anterior, en el presupuesto se han asignado fondos con respecto a la participación en el costo de varios organismos, iniciativas y actividades de las NN.UU. por un total de 1,7 millones de francos suizos.  Las partidas presupuestarias de actividades conexas, como la contribución a la DCI y la JJE y las actividades relacionadas con la seguridad financiadas conjuntamente, etc., han sido asignadas a las áreas específicas de los programas a los que atañen.</w:t>
      </w:r>
    </w:p>
    <w:p w:rsidR="00FF779C" w:rsidRPr="00C4585D" w:rsidRDefault="00FF779C" w:rsidP="00024343">
      <w:pPr>
        <w:rPr>
          <w:sz w:val="20"/>
        </w:rPr>
      </w:pPr>
    </w:p>
    <w:p w:rsidR="00FF779C" w:rsidRPr="00C4585D" w:rsidRDefault="00FF779C" w:rsidP="00024343">
      <w:pPr>
        <w:numPr>
          <w:ilvl w:val="0"/>
          <w:numId w:val="4"/>
        </w:numPr>
        <w:tabs>
          <w:tab w:val="clear" w:pos="360"/>
          <w:tab w:val="num" w:pos="567"/>
        </w:tabs>
        <w:ind w:left="0" w:firstLine="0"/>
        <w:jc w:val="both"/>
        <w:rPr>
          <w:sz w:val="20"/>
        </w:rPr>
      </w:pPr>
      <w:r w:rsidRPr="00C4585D">
        <w:rPr>
          <w:sz w:val="20"/>
        </w:rPr>
        <w:t>En este bienio se ha aumentado la partida destinada a la inversión en el perfeccionamiento del personal para asegurar la efectiva consecución de los resultados previstos en el marco de la Organización.  Como medida de apoyo suplementaria, se han revisado detenidamente las necesidades de formación colectivas e individuales planteadas mediante los programas y se han centralizado en el Departamento de Gestión de Recursos Humanos a los fines de gestión global.</w:t>
      </w:r>
    </w:p>
    <w:p w:rsidR="00FF779C" w:rsidRDefault="00FF779C" w:rsidP="00024343">
      <w:pPr>
        <w:tabs>
          <w:tab w:val="num" w:pos="690"/>
        </w:tabs>
        <w:jc w:val="both"/>
        <w:rPr>
          <w:sz w:val="20"/>
        </w:rPr>
      </w:pPr>
    </w:p>
    <w:p w:rsidR="00024343" w:rsidRPr="00C4585D" w:rsidRDefault="00024343" w:rsidP="00024343">
      <w:pPr>
        <w:tabs>
          <w:tab w:val="num" w:pos="690"/>
        </w:tabs>
        <w:jc w:val="both"/>
        <w:rPr>
          <w:sz w:val="20"/>
        </w:rPr>
      </w:pPr>
    </w:p>
    <w:p w:rsidR="00FF779C" w:rsidRPr="00C4585D" w:rsidRDefault="007A204E" w:rsidP="00024343">
      <w:pPr>
        <w:pStyle w:val="Heading3"/>
        <w:keepNext w:val="0"/>
        <w:spacing w:before="0" w:after="0"/>
        <w:rPr>
          <w:sz w:val="20"/>
          <w:szCs w:val="20"/>
          <w:u w:val="none"/>
          <w:lang w:val="es-ES_tradnl"/>
        </w:rPr>
      </w:pPr>
      <w:bookmarkStart w:id="15" w:name="_Toc358816682"/>
      <w:r w:rsidRPr="00C4585D">
        <w:rPr>
          <w:sz w:val="20"/>
          <w:szCs w:val="20"/>
          <w:u w:val="none"/>
          <w:lang w:val="es-ES_tradnl"/>
        </w:rPr>
        <w:t xml:space="preserve">ACTIVIDADES </w:t>
      </w:r>
      <w:r w:rsidR="00FF779C" w:rsidRPr="00C4585D">
        <w:rPr>
          <w:sz w:val="20"/>
          <w:szCs w:val="20"/>
          <w:u w:val="none"/>
          <w:lang w:val="es-ES_tradnl"/>
        </w:rPr>
        <w:t>DE DESARROLLO Y RECURSOS DE LA AGENDA PARA EL DESARROLLO</w:t>
      </w:r>
      <w:bookmarkEnd w:id="15"/>
    </w:p>
    <w:p w:rsidR="00FF779C" w:rsidRPr="00C4585D" w:rsidRDefault="00FF779C" w:rsidP="00024343">
      <w:pPr>
        <w:jc w:val="both"/>
        <w:rPr>
          <w:bCs/>
          <w:sz w:val="20"/>
        </w:rPr>
      </w:pPr>
    </w:p>
    <w:p w:rsidR="00FF779C" w:rsidRDefault="00FF779C" w:rsidP="00024343">
      <w:pPr>
        <w:numPr>
          <w:ilvl w:val="0"/>
          <w:numId w:val="4"/>
        </w:numPr>
        <w:tabs>
          <w:tab w:val="clear" w:pos="360"/>
          <w:tab w:val="num" w:pos="567"/>
        </w:tabs>
        <w:ind w:left="0" w:firstLine="0"/>
        <w:jc w:val="both"/>
        <w:rPr>
          <w:sz w:val="20"/>
        </w:rPr>
      </w:pPr>
      <w:r w:rsidRPr="00C4585D">
        <w:rPr>
          <w:sz w:val="20"/>
        </w:rPr>
        <w:t xml:space="preserve">La potenciación del desarrollo seguirá siendo una prioridad en el bienio 2014/15.  En el cuadro que figura a continuación se ofrece información precisa de los gastos previstos en materia de desarrollo en 2014/15, por programa.  Se consideran </w:t>
      </w:r>
      <w:r w:rsidRPr="00C4585D">
        <w:rPr>
          <w:i/>
          <w:sz w:val="20"/>
        </w:rPr>
        <w:t>gastos en desarrollo</w:t>
      </w:r>
      <w:r w:rsidRPr="00C4585D">
        <w:rPr>
          <w:sz w:val="20"/>
        </w:rPr>
        <w:t xml:space="preserve"> únicamente aquellos en los que el beneficiario es un país en desarrollo y no se ha previsto un gasto equivalente para países desarrollados.  En tales importes quedan excluidos los ingresos perdidos por causa de la reducción de tasas acordada por sistemas internacionales de registro para solicitantes de países en desarrollo.</w:t>
      </w:r>
      <w:r w:rsidRPr="00C4585D">
        <w:rPr>
          <w:rStyle w:val="FootnoteReference"/>
          <w:sz w:val="20"/>
        </w:rPr>
        <w:footnoteReference w:id="3"/>
      </w:r>
      <w:r w:rsidRPr="00C4585D">
        <w:rPr>
          <w:sz w:val="20"/>
        </w:rPr>
        <w:t xml:space="preserve">  Si se incluyeran tales gastos, el total relativo a </w:t>
      </w:r>
      <w:r w:rsidRPr="00C4585D">
        <w:rPr>
          <w:i/>
          <w:sz w:val="20"/>
        </w:rPr>
        <w:t xml:space="preserve">gastos en desarrollo </w:t>
      </w:r>
      <w:r w:rsidRPr="00C4585D">
        <w:rPr>
          <w:sz w:val="20"/>
        </w:rPr>
        <w:t>sería superior.</w:t>
      </w:r>
    </w:p>
    <w:p w:rsidR="00AD2C50" w:rsidRPr="00C4585D" w:rsidRDefault="00AD2C50" w:rsidP="00AD2C50">
      <w:pPr>
        <w:widowControl w:val="0"/>
        <w:jc w:val="both"/>
        <w:rPr>
          <w:sz w:val="20"/>
        </w:rPr>
      </w:pPr>
    </w:p>
    <w:p w:rsidR="007E5DCB" w:rsidRDefault="007E5DCB" w:rsidP="007E5DCB">
      <w:pPr>
        <w:keepNext/>
        <w:keepLines/>
        <w:jc w:val="center"/>
        <w:rPr>
          <w:sz w:val="18"/>
          <w:szCs w:val="18"/>
        </w:rPr>
      </w:pPr>
    </w:p>
    <w:p w:rsidR="007E5DCB" w:rsidRDefault="007E5DCB" w:rsidP="007E5DCB">
      <w:pPr>
        <w:keepNext/>
        <w:keepLines/>
        <w:jc w:val="center"/>
        <w:rPr>
          <w:sz w:val="18"/>
          <w:szCs w:val="18"/>
        </w:rPr>
      </w:pPr>
    </w:p>
    <w:p w:rsidR="00FF779C" w:rsidRPr="00C4585D" w:rsidRDefault="00FF779C" w:rsidP="007E5DCB">
      <w:pPr>
        <w:keepNext/>
        <w:keepLines/>
        <w:jc w:val="center"/>
        <w:rPr>
          <w:sz w:val="18"/>
          <w:szCs w:val="18"/>
        </w:rPr>
      </w:pPr>
      <w:r w:rsidRPr="00C4585D">
        <w:rPr>
          <w:sz w:val="18"/>
          <w:szCs w:val="18"/>
        </w:rPr>
        <w:t>Cuadr</w:t>
      </w:r>
      <w:r w:rsidR="00C4585D" w:rsidRPr="00C4585D">
        <w:rPr>
          <w:sz w:val="18"/>
          <w:szCs w:val="18"/>
        </w:rPr>
        <w:t>o 6.  G</w:t>
      </w:r>
      <w:r w:rsidRPr="00C4585D">
        <w:rPr>
          <w:sz w:val="18"/>
          <w:szCs w:val="18"/>
        </w:rPr>
        <w:t>astos destinados al desarrollo e</w:t>
      </w:r>
      <w:r w:rsidR="00C4585D" w:rsidRPr="00C4585D">
        <w:rPr>
          <w:sz w:val="18"/>
          <w:szCs w:val="18"/>
        </w:rPr>
        <w:t>n 2</w:t>
      </w:r>
      <w:r w:rsidRPr="00C4585D">
        <w:rPr>
          <w:sz w:val="18"/>
          <w:szCs w:val="18"/>
        </w:rPr>
        <w:t>014/15 (parte correspondiente de los recursos de los programas)</w:t>
      </w:r>
    </w:p>
    <w:p w:rsidR="00FF779C" w:rsidRPr="00C4585D" w:rsidRDefault="00FF779C" w:rsidP="007E5DCB">
      <w:pPr>
        <w:keepNext/>
        <w:keepLines/>
        <w:jc w:val="center"/>
        <w:rPr>
          <w:i/>
          <w:sz w:val="18"/>
          <w:szCs w:val="18"/>
        </w:rPr>
      </w:pPr>
      <w:r w:rsidRPr="00C4585D">
        <w:rPr>
          <w:i/>
          <w:sz w:val="18"/>
          <w:szCs w:val="18"/>
        </w:rPr>
        <w:t>(en miles de francos suizos)</w:t>
      </w:r>
    </w:p>
    <w:p w:rsidR="00FF779C" w:rsidRDefault="00FF779C" w:rsidP="007E5DCB">
      <w:pPr>
        <w:keepNext/>
        <w:keepLines/>
        <w:jc w:val="center"/>
        <w:rPr>
          <w:i/>
          <w:sz w:val="18"/>
          <w:szCs w:val="18"/>
        </w:rPr>
      </w:pPr>
    </w:p>
    <w:p w:rsidR="00AD2C50" w:rsidRDefault="007E5DCB" w:rsidP="007E5DCB">
      <w:pPr>
        <w:keepNext/>
        <w:keepLines/>
        <w:jc w:val="center"/>
        <w:rPr>
          <w:i/>
          <w:sz w:val="18"/>
          <w:szCs w:val="18"/>
        </w:rPr>
      </w:pPr>
      <w:r w:rsidRPr="007E5DCB">
        <w:rPr>
          <w:noProof/>
          <w:lang w:val="en-US" w:eastAsia="en-US"/>
        </w:rPr>
        <w:drawing>
          <wp:inline distT="0" distB="0" distL="0" distR="0" wp14:anchorId="7E71F6C8" wp14:editId="7515567B">
            <wp:extent cx="6235200" cy="4219200"/>
            <wp:effectExtent l="0" t="0" r="0"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235200" cy="4219200"/>
                    </a:xfrm>
                    <a:prstGeom prst="rect">
                      <a:avLst/>
                    </a:prstGeom>
                    <a:noFill/>
                    <a:ln>
                      <a:noFill/>
                    </a:ln>
                  </pic:spPr>
                </pic:pic>
              </a:graphicData>
            </a:graphic>
          </wp:inline>
        </w:drawing>
      </w:r>
      <w:r w:rsidRPr="007E5DCB">
        <w:t xml:space="preserve"> </w:t>
      </w:r>
    </w:p>
    <w:p w:rsidR="00AD2C50" w:rsidRPr="00C4585D" w:rsidRDefault="00AD2C50" w:rsidP="00AD2C50">
      <w:pPr>
        <w:jc w:val="center"/>
        <w:rPr>
          <w:i/>
          <w:sz w:val="18"/>
          <w:szCs w:val="18"/>
        </w:rPr>
      </w:pPr>
    </w:p>
    <w:p w:rsidR="00FF779C" w:rsidRPr="00C4585D" w:rsidRDefault="00FF779C" w:rsidP="00CA1FB2">
      <w:pPr>
        <w:widowControl w:val="0"/>
        <w:numPr>
          <w:ilvl w:val="0"/>
          <w:numId w:val="4"/>
        </w:numPr>
        <w:tabs>
          <w:tab w:val="clear" w:pos="360"/>
          <w:tab w:val="num" w:pos="0"/>
        </w:tabs>
        <w:ind w:left="0" w:firstLine="0"/>
        <w:jc w:val="both"/>
        <w:rPr>
          <w:sz w:val="20"/>
        </w:rPr>
      </w:pPr>
      <w:r w:rsidRPr="00C4585D">
        <w:rPr>
          <w:sz w:val="20"/>
        </w:rPr>
        <w:t xml:space="preserve">La metodología aplicada para calcular </w:t>
      </w:r>
      <w:r w:rsidR="007D0F57">
        <w:rPr>
          <w:sz w:val="20"/>
        </w:rPr>
        <w:t>la cuota asignada a actividades para</w:t>
      </w:r>
      <w:r w:rsidRPr="00C4585D">
        <w:rPr>
          <w:sz w:val="20"/>
        </w:rPr>
        <w:t xml:space="preserve"> </w:t>
      </w:r>
      <w:r w:rsidR="007D0F57">
        <w:rPr>
          <w:sz w:val="20"/>
        </w:rPr>
        <w:t>e</w:t>
      </w:r>
      <w:r w:rsidRPr="00C4585D">
        <w:rPr>
          <w:sz w:val="20"/>
        </w:rPr>
        <w:t>l desarrollo de la propuesta de presupuesto para 2014/15 guarda completa conformidad con la adoptada en 2012/13.  Así, la estimación del gasto en desarrollo por programa en 2014/15 se ha efectuado aplicando a las actividades de cada programa la definición de gasto en desarrollo facilitada anteriormente, y ello en estrecha consulta con los respectivos directores de programa.</w:t>
      </w:r>
    </w:p>
    <w:p w:rsidR="00FF779C" w:rsidRPr="00C4585D" w:rsidRDefault="00FF779C" w:rsidP="00FF779C">
      <w:pPr>
        <w:widowControl w:val="0"/>
        <w:jc w:val="both"/>
        <w:rPr>
          <w:sz w:val="20"/>
        </w:rPr>
      </w:pPr>
    </w:p>
    <w:p w:rsidR="00FF779C" w:rsidRPr="00C4585D" w:rsidRDefault="00FF779C" w:rsidP="00FF779C">
      <w:pPr>
        <w:widowControl w:val="0"/>
        <w:numPr>
          <w:ilvl w:val="0"/>
          <w:numId w:val="4"/>
        </w:numPr>
        <w:tabs>
          <w:tab w:val="clear" w:pos="360"/>
          <w:tab w:val="num" w:pos="567"/>
        </w:tabs>
        <w:ind w:left="0" w:firstLine="0"/>
        <w:jc w:val="both"/>
        <w:rPr>
          <w:sz w:val="20"/>
        </w:rPr>
      </w:pPr>
      <w:r w:rsidRPr="00C4585D">
        <w:rPr>
          <w:sz w:val="20"/>
        </w:rPr>
        <w:t>Para la aplicación de los proyectos de la Agenda para el Desarrollo se han asignado 1,6 millones de francos suizos en la propuesta de presupuesto por programas de 2014/15, a reserva de la aprobación del CDIP.</w:t>
      </w:r>
    </w:p>
    <w:p w:rsidR="00FF779C" w:rsidRPr="00C4585D" w:rsidRDefault="00FF779C" w:rsidP="00FF779C">
      <w:pPr>
        <w:widowControl w:val="0"/>
        <w:jc w:val="both"/>
        <w:rPr>
          <w:sz w:val="20"/>
        </w:rPr>
      </w:pPr>
    </w:p>
    <w:p w:rsidR="00FF779C" w:rsidRPr="00C4585D" w:rsidRDefault="00FF779C" w:rsidP="007E5DCB">
      <w:pPr>
        <w:keepNext/>
        <w:keepLines/>
        <w:jc w:val="center"/>
        <w:rPr>
          <w:sz w:val="18"/>
          <w:szCs w:val="18"/>
        </w:rPr>
      </w:pPr>
      <w:r w:rsidRPr="00C4585D">
        <w:rPr>
          <w:sz w:val="18"/>
          <w:szCs w:val="18"/>
        </w:rPr>
        <w:lastRenderedPageBreak/>
        <w:t>Cuadro 7.  Proyectos de la Agenda para el Desarrollo – Resumen de recursos necesarios 2014/15</w:t>
      </w:r>
    </w:p>
    <w:p w:rsidR="00FF779C" w:rsidRPr="00C4585D" w:rsidRDefault="00FF779C" w:rsidP="007E5DCB">
      <w:pPr>
        <w:keepNext/>
        <w:keepLines/>
        <w:jc w:val="center"/>
        <w:rPr>
          <w:i/>
          <w:sz w:val="18"/>
          <w:szCs w:val="18"/>
        </w:rPr>
      </w:pPr>
      <w:r w:rsidRPr="00C4585D">
        <w:rPr>
          <w:i/>
          <w:sz w:val="18"/>
          <w:szCs w:val="18"/>
        </w:rPr>
        <w:t>(en miles de francos suizos)</w:t>
      </w:r>
    </w:p>
    <w:p w:rsidR="00FF779C" w:rsidRPr="00C4585D" w:rsidRDefault="00FF779C" w:rsidP="007E5DCB">
      <w:pPr>
        <w:keepNext/>
        <w:keepLines/>
        <w:jc w:val="center"/>
        <w:rPr>
          <w:i/>
          <w:sz w:val="18"/>
          <w:szCs w:val="18"/>
        </w:rPr>
      </w:pPr>
    </w:p>
    <w:p w:rsidR="00FF779C" w:rsidRPr="00C4585D" w:rsidRDefault="00C40A11" w:rsidP="007E5DCB">
      <w:pPr>
        <w:keepNext/>
        <w:keepLines/>
        <w:jc w:val="center"/>
        <w:rPr>
          <w:sz w:val="18"/>
          <w:szCs w:val="18"/>
        </w:rPr>
      </w:pPr>
      <w:r>
        <w:rPr>
          <w:noProof/>
          <w:lang w:val="en-US" w:eastAsia="en-US"/>
        </w:rPr>
        <w:drawing>
          <wp:inline distT="0" distB="0" distL="0" distR="0" wp14:anchorId="4EA3A83D" wp14:editId="777A1A3A">
            <wp:extent cx="5943600" cy="2402205"/>
            <wp:effectExtent l="0" t="0" r="0" b="0"/>
            <wp:docPr id="19"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43600" cy="2402205"/>
                    </a:xfrm>
                    <a:prstGeom prst="rect">
                      <a:avLst/>
                    </a:prstGeom>
                    <a:noFill/>
                    <a:ln>
                      <a:noFill/>
                    </a:ln>
                  </pic:spPr>
                </pic:pic>
              </a:graphicData>
            </a:graphic>
          </wp:inline>
        </w:drawing>
      </w:r>
    </w:p>
    <w:p w:rsidR="00FF779C" w:rsidRPr="00C4585D" w:rsidRDefault="00FF779C" w:rsidP="007E5DCB">
      <w:pPr>
        <w:keepNext/>
        <w:keepLines/>
        <w:widowControl w:val="0"/>
        <w:jc w:val="both"/>
        <w:rPr>
          <w:sz w:val="20"/>
        </w:rPr>
      </w:pPr>
    </w:p>
    <w:p w:rsidR="00FF779C" w:rsidRPr="00C4585D" w:rsidRDefault="00FF779C" w:rsidP="00FF779C">
      <w:pPr>
        <w:widowControl w:val="0"/>
        <w:numPr>
          <w:ilvl w:val="0"/>
          <w:numId w:val="4"/>
        </w:numPr>
        <w:tabs>
          <w:tab w:val="clear" w:pos="360"/>
          <w:tab w:val="num" w:pos="567"/>
        </w:tabs>
        <w:ind w:left="0" w:firstLine="0"/>
        <w:jc w:val="both"/>
        <w:rPr>
          <w:sz w:val="20"/>
        </w:rPr>
      </w:pPr>
      <w:r w:rsidRPr="00C4585D">
        <w:rPr>
          <w:sz w:val="20"/>
        </w:rPr>
        <w:t xml:space="preserve">Además, se ha propuesto </w:t>
      </w:r>
      <w:r w:rsidR="00CA1FB2">
        <w:rPr>
          <w:sz w:val="20"/>
        </w:rPr>
        <w:t>incorporar, tras su evaluación,</w:t>
      </w:r>
      <w:r w:rsidRPr="00C4585D">
        <w:rPr>
          <w:sz w:val="20"/>
        </w:rPr>
        <w:t xml:space="preserve"> los siguientes proyectos de la Agenda para el Desarrollo</w:t>
      </w:r>
      <w:r w:rsidR="00CA1FB2">
        <w:rPr>
          <w:sz w:val="20"/>
        </w:rPr>
        <w:t>,</w:t>
      </w:r>
      <w:r w:rsidRPr="00C4585D">
        <w:rPr>
          <w:sz w:val="20"/>
        </w:rPr>
        <w:t xml:space="preserve"> ejecutados en el bienio anterior, </w:t>
      </w:r>
      <w:r w:rsidR="00CA1FB2">
        <w:rPr>
          <w:sz w:val="20"/>
        </w:rPr>
        <w:t>en</w:t>
      </w:r>
      <w:r w:rsidRPr="00C4585D">
        <w:rPr>
          <w:sz w:val="20"/>
        </w:rPr>
        <w:t xml:space="preserve"> los </w:t>
      </w:r>
      <w:r w:rsidR="00CA1FB2">
        <w:rPr>
          <w:sz w:val="20"/>
        </w:rPr>
        <w:t xml:space="preserve">programas </w:t>
      </w:r>
      <w:r w:rsidRPr="00C4585D">
        <w:rPr>
          <w:sz w:val="20"/>
        </w:rPr>
        <w:t>correspondientes:</w:t>
      </w:r>
    </w:p>
    <w:p w:rsidR="00FF779C" w:rsidRPr="00C4585D" w:rsidRDefault="00FF779C" w:rsidP="00FF779C">
      <w:pPr>
        <w:rPr>
          <w:sz w:val="20"/>
        </w:rPr>
      </w:pPr>
    </w:p>
    <w:p w:rsidR="00FF779C" w:rsidRPr="00C4585D" w:rsidRDefault="00FF779C" w:rsidP="00E17471">
      <w:pPr>
        <w:numPr>
          <w:ilvl w:val="0"/>
          <w:numId w:val="7"/>
        </w:numPr>
        <w:tabs>
          <w:tab w:val="clear" w:pos="851"/>
        </w:tabs>
        <w:ind w:left="1134" w:hanging="567"/>
        <w:rPr>
          <w:sz w:val="20"/>
        </w:rPr>
      </w:pPr>
      <w:r w:rsidRPr="00C4585D">
        <w:rPr>
          <w:sz w:val="20"/>
        </w:rPr>
        <w:t>Creación de academias nacionales, programa 11 (</w:t>
      </w:r>
      <w:r w:rsidR="00CA1FB2">
        <w:rPr>
          <w:sz w:val="20"/>
        </w:rPr>
        <w:t>Academia</w:t>
      </w:r>
      <w:r w:rsidRPr="00C4585D">
        <w:rPr>
          <w:sz w:val="20"/>
        </w:rPr>
        <w:t xml:space="preserve"> de la OMPI).  Total de recursos:  400.000 francos suizos.</w:t>
      </w:r>
    </w:p>
    <w:p w:rsidR="00FF779C" w:rsidRPr="00C4585D" w:rsidRDefault="00FF779C" w:rsidP="00E17471">
      <w:pPr>
        <w:numPr>
          <w:ilvl w:val="0"/>
          <w:numId w:val="7"/>
        </w:numPr>
        <w:tabs>
          <w:tab w:val="clear" w:pos="851"/>
        </w:tabs>
        <w:spacing w:before="120"/>
        <w:ind w:left="1134" w:hanging="567"/>
        <w:rPr>
          <w:sz w:val="20"/>
        </w:rPr>
      </w:pPr>
      <w:r w:rsidRPr="00C4585D">
        <w:rPr>
          <w:sz w:val="20"/>
        </w:rPr>
        <w:t>Acceso a bases de datos especializadas y mantenimiento, programa 14 (servicios de acceso a la información y el conocimiento en materia de P.I.).  Total de recursos:  1,7 millones de francos suizos.</w:t>
      </w:r>
    </w:p>
    <w:p w:rsidR="00FF779C" w:rsidRPr="00C4585D" w:rsidRDefault="00FF779C" w:rsidP="00E17471">
      <w:pPr>
        <w:numPr>
          <w:ilvl w:val="0"/>
          <w:numId w:val="7"/>
        </w:numPr>
        <w:tabs>
          <w:tab w:val="clear" w:pos="851"/>
        </w:tabs>
        <w:spacing w:before="120"/>
        <w:ind w:left="1134" w:hanging="567"/>
        <w:rPr>
          <w:sz w:val="20"/>
        </w:rPr>
      </w:pPr>
      <w:r w:rsidRPr="00C4585D">
        <w:rPr>
          <w:sz w:val="20"/>
        </w:rPr>
        <w:t>Creación de instrumentos de acceso a la información sobre patentes, programa 14.  Total de recursos:  100.000 francos suizos</w:t>
      </w:r>
    </w:p>
    <w:p w:rsidR="00FF779C" w:rsidRPr="00C4585D" w:rsidRDefault="00FF779C" w:rsidP="00E17471">
      <w:pPr>
        <w:numPr>
          <w:ilvl w:val="0"/>
          <w:numId w:val="7"/>
        </w:numPr>
        <w:tabs>
          <w:tab w:val="clear" w:pos="851"/>
        </w:tabs>
        <w:spacing w:before="120"/>
        <w:ind w:left="1134" w:hanging="567"/>
        <w:rPr>
          <w:sz w:val="20"/>
        </w:rPr>
      </w:pPr>
      <w:r w:rsidRPr="00C4585D">
        <w:rPr>
          <w:sz w:val="20"/>
        </w:rPr>
        <w:t>La P.I. y el fomento de las marcas de producto, programa 9 (oficinas regionales).  Total de recursos:  aproximadamente 1 millón de francos suizos.</w:t>
      </w:r>
    </w:p>
    <w:p w:rsidR="00FF779C" w:rsidRPr="001640AD" w:rsidRDefault="00FF779C" w:rsidP="00FF779C"/>
    <w:p w:rsidR="00FF779C" w:rsidRDefault="00FF779C" w:rsidP="00FF779C">
      <w:pPr>
        <w:widowControl w:val="0"/>
        <w:tabs>
          <w:tab w:val="num" w:pos="690"/>
        </w:tabs>
        <w:jc w:val="both"/>
        <w:rPr>
          <w:sz w:val="20"/>
          <w:lang w:val="es-ES_tradnl"/>
        </w:rPr>
      </w:pPr>
    </w:p>
    <w:p w:rsidR="00E14C64" w:rsidRDefault="00E14C64" w:rsidP="00FF779C">
      <w:pPr>
        <w:widowControl w:val="0"/>
        <w:tabs>
          <w:tab w:val="num" w:pos="690"/>
        </w:tabs>
        <w:jc w:val="both"/>
        <w:rPr>
          <w:sz w:val="20"/>
          <w:lang w:val="en-US"/>
        </w:rPr>
        <w:sectPr w:rsidR="00E14C64" w:rsidSect="00FF362A">
          <w:headerReference w:type="even" r:id="rId38"/>
          <w:headerReference w:type="default" r:id="rId39"/>
          <w:footerReference w:type="even" r:id="rId40"/>
          <w:footerReference w:type="default" r:id="rId41"/>
          <w:headerReference w:type="first" r:id="rId42"/>
          <w:footerReference w:type="first" r:id="rId43"/>
          <w:pgSz w:w="11907" w:h="16840" w:code="9"/>
          <w:pgMar w:top="567" w:right="1134" w:bottom="1418" w:left="1418" w:header="510" w:footer="1021" w:gutter="0"/>
          <w:cols w:space="720"/>
          <w:titlePg/>
        </w:sectPr>
      </w:pPr>
    </w:p>
    <w:p w:rsidR="008B2320" w:rsidRPr="00AE2EB2" w:rsidRDefault="008B2320" w:rsidP="008B2320">
      <w:pPr>
        <w:pStyle w:val="Heading1"/>
        <w:keepNext w:val="0"/>
        <w:tabs>
          <w:tab w:val="num" w:pos="0"/>
        </w:tabs>
        <w:rPr>
          <w:szCs w:val="20"/>
        </w:rPr>
      </w:pPr>
      <w:bookmarkStart w:id="16" w:name="_Toc356567745"/>
      <w:bookmarkStart w:id="17" w:name="_Toc358816683"/>
      <w:r w:rsidRPr="00AE2EB2">
        <w:rPr>
          <w:szCs w:val="20"/>
        </w:rPr>
        <w:lastRenderedPageBreak/>
        <w:t>III</w:t>
      </w:r>
      <w:r w:rsidR="00AE2EB2" w:rsidRPr="00AE2EB2">
        <w:rPr>
          <w:szCs w:val="20"/>
        </w:rPr>
        <w:t>.</w:t>
      </w:r>
      <w:r w:rsidR="00AE2EB2" w:rsidRPr="00AE2EB2">
        <w:rPr>
          <w:szCs w:val="20"/>
        </w:rPr>
        <w:tab/>
      </w:r>
      <w:bookmarkEnd w:id="16"/>
      <w:r w:rsidR="00AE2EB2" w:rsidRPr="00AE2EB2">
        <w:rPr>
          <w:szCs w:val="20"/>
        </w:rPr>
        <w:t>DESCRIPCI</w:t>
      </w:r>
      <w:r w:rsidR="006A15F5">
        <w:rPr>
          <w:szCs w:val="20"/>
        </w:rPr>
        <w:t>ÓN</w:t>
      </w:r>
      <w:r w:rsidR="00AE2EB2" w:rsidRPr="00AE2EB2">
        <w:rPr>
          <w:szCs w:val="20"/>
        </w:rPr>
        <w:t xml:space="preserve"> DE</w:t>
      </w:r>
      <w:r w:rsidR="006A15F5">
        <w:rPr>
          <w:szCs w:val="20"/>
        </w:rPr>
        <w:t xml:space="preserve"> LOS</w:t>
      </w:r>
      <w:r w:rsidR="00AE2EB2" w:rsidRPr="00AE2EB2">
        <w:rPr>
          <w:szCs w:val="20"/>
        </w:rPr>
        <w:t xml:space="preserve"> PROGRAMA</w:t>
      </w:r>
      <w:r w:rsidR="006A15F5">
        <w:rPr>
          <w:szCs w:val="20"/>
        </w:rPr>
        <w:t>S,</w:t>
      </w:r>
      <w:r w:rsidR="00AE2EB2" w:rsidRPr="00AE2EB2">
        <w:rPr>
          <w:szCs w:val="20"/>
        </w:rPr>
        <w:t xml:space="preserve"> POR META ESTRAT</w:t>
      </w:r>
      <w:r w:rsidR="00AE2EB2">
        <w:rPr>
          <w:szCs w:val="20"/>
        </w:rPr>
        <w:t>ÉGICA</w:t>
      </w:r>
      <w:bookmarkEnd w:id="17"/>
    </w:p>
    <w:p w:rsidR="008B2320" w:rsidRPr="00AE2EB2" w:rsidRDefault="008B2320" w:rsidP="00AE2EB2"/>
    <w:p w:rsidR="00665F15" w:rsidRPr="000659E4" w:rsidRDefault="00665F15" w:rsidP="00CA1FB2">
      <w:pPr>
        <w:tabs>
          <w:tab w:val="left" w:pos="2127"/>
        </w:tabs>
        <w:spacing w:after="60"/>
        <w:ind w:left="2127" w:hanging="2127"/>
        <w:rPr>
          <w:b/>
          <w:sz w:val="20"/>
        </w:rPr>
      </w:pPr>
      <w:r w:rsidRPr="000659E4">
        <w:rPr>
          <w:b/>
          <w:sz w:val="20"/>
        </w:rPr>
        <w:t>Meta estratégica I</w:t>
      </w:r>
      <w:r>
        <w:rPr>
          <w:b/>
          <w:sz w:val="20"/>
        </w:rPr>
        <w:t>:</w:t>
      </w:r>
      <w:r w:rsidRPr="000659E4">
        <w:rPr>
          <w:b/>
          <w:sz w:val="20"/>
        </w:rPr>
        <w:tab/>
        <w:t>Evolución equilibrada del marco normativo internacional de P.I.</w:t>
      </w:r>
    </w:p>
    <w:p w:rsidR="00665F15" w:rsidRPr="000659E4" w:rsidRDefault="00665F15" w:rsidP="00CA1FB2">
      <w:pPr>
        <w:tabs>
          <w:tab w:val="left" w:pos="2127"/>
        </w:tabs>
        <w:spacing w:after="60"/>
        <w:ind w:left="1134" w:hanging="567"/>
        <w:rPr>
          <w:sz w:val="20"/>
        </w:rPr>
      </w:pPr>
      <w:r w:rsidRPr="000659E4">
        <w:rPr>
          <w:sz w:val="20"/>
        </w:rPr>
        <w:t>Programa 1</w:t>
      </w:r>
      <w:r w:rsidRPr="000659E4">
        <w:rPr>
          <w:sz w:val="20"/>
        </w:rPr>
        <w:tab/>
        <w:t>Derecho de patentes</w:t>
      </w:r>
    </w:p>
    <w:p w:rsidR="00665F15" w:rsidRPr="000659E4" w:rsidRDefault="00665F15" w:rsidP="00CA1FB2">
      <w:pPr>
        <w:tabs>
          <w:tab w:val="left" w:pos="2127"/>
        </w:tabs>
        <w:spacing w:after="60"/>
        <w:ind w:left="1134" w:hanging="567"/>
        <w:rPr>
          <w:sz w:val="20"/>
        </w:rPr>
      </w:pPr>
      <w:r w:rsidRPr="000659E4">
        <w:rPr>
          <w:sz w:val="20"/>
        </w:rPr>
        <w:t>Programa 2</w:t>
      </w:r>
      <w:r w:rsidRPr="000659E4">
        <w:rPr>
          <w:sz w:val="20"/>
        </w:rPr>
        <w:tab/>
        <w:t>Marcas, diseños industriales e indicaciones geográficas</w:t>
      </w:r>
    </w:p>
    <w:p w:rsidR="00665F15" w:rsidRPr="000659E4" w:rsidRDefault="00665F15" w:rsidP="00CA1FB2">
      <w:pPr>
        <w:tabs>
          <w:tab w:val="left" w:pos="2127"/>
        </w:tabs>
        <w:spacing w:after="60"/>
        <w:ind w:left="1134" w:hanging="567"/>
        <w:rPr>
          <w:sz w:val="20"/>
        </w:rPr>
      </w:pPr>
      <w:r w:rsidRPr="000659E4">
        <w:rPr>
          <w:sz w:val="20"/>
        </w:rPr>
        <w:t>Programa 3</w:t>
      </w:r>
      <w:r w:rsidRPr="000659E4">
        <w:rPr>
          <w:sz w:val="20"/>
        </w:rPr>
        <w:tab/>
        <w:t>Derecho de autor y derechos conexos</w:t>
      </w:r>
    </w:p>
    <w:p w:rsidR="00665F15" w:rsidRPr="000659E4" w:rsidRDefault="00665F15" w:rsidP="00CA1FB2">
      <w:pPr>
        <w:tabs>
          <w:tab w:val="left" w:pos="2127"/>
        </w:tabs>
        <w:spacing w:after="60"/>
        <w:ind w:left="2127" w:hanging="1560"/>
        <w:rPr>
          <w:sz w:val="20"/>
        </w:rPr>
      </w:pPr>
      <w:r w:rsidRPr="000659E4">
        <w:rPr>
          <w:sz w:val="20"/>
        </w:rPr>
        <w:t>Programa 4</w:t>
      </w:r>
      <w:r w:rsidRPr="000659E4">
        <w:rPr>
          <w:sz w:val="20"/>
        </w:rPr>
        <w:tab/>
        <w:t>Conocimientos tradicionales, expresiones culturales tradicionales y recursos genéticos</w:t>
      </w:r>
    </w:p>
    <w:p w:rsidR="00665F15" w:rsidRPr="000659E4" w:rsidRDefault="00665F15" w:rsidP="00CA1FB2">
      <w:pPr>
        <w:tabs>
          <w:tab w:val="left" w:pos="2127"/>
        </w:tabs>
        <w:spacing w:after="60"/>
        <w:ind w:left="2127" w:hanging="2127"/>
        <w:rPr>
          <w:b/>
          <w:sz w:val="20"/>
        </w:rPr>
      </w:pPr>
      <w:r>
        <w:rPr>
          <w:b/>
          <w:sz w:val="20"/>
        </w:rPr>
        <w:t>Meta estratégica</w:t>
      </w:r>
      <w:r w:rsidRPr="000659E4">
        <w:rPr>
          <w:b/>
          <w:sz w:val="20"/>
        </w:rPr>
        <w:t xml:space="preserve"> II</w:t>
      </w:r>
      <w:r>
        <w:rPr>
          <w:b/>
          <w:sz w:val="20"/>
        </w:rPr>
        <w:t>:</w:t>
      </w:r>
      <w:r w:rsidRPr="000659E4">
        <w:rPr>
          <w:b/>
          <w:sz w:val="20"/>
        </w:rPr>
        <w:tab/>
        <w:t>Prestación de servicios mundiales de P.I. de calidad</w:t>
      </w:r>
    </w:p>
    <w:p w:rsidR="00665F15" w:rsidRPr="000659E4" w:rsidRDefault="00665F15" w:rsidP="00CA1FB2">
      <w:pPr>
        <w:tabs>
          <w:tab w:val="left" w:pos="2127"/>
        </w:tabs>
        <w:spacing w:after="60"/>
        <w:ind w:left="2127" w:hanging="1560"/>
        <w:rPr>
          <w:sz w:val="20"/>
        </w:rPr>
      </w:pPr>
      <w:r w:rsidRPr="000659E4">
        <w:rPr>
          <w:sz w:val="20"/>
        </w:rPr>
        <w:t>Programa 5</w:t>
      </w:r>
      <w:r w:rsidRPr="000659E4">
        <w:rPr>
          <w:sz w:val="20"/>
        </w:rPr>
        <w:tab/>
        <w:t>Sistema del PCT</w:t>
      </w:r>
    </w:p>
    <w:p w:rsidR="00665F15" w:rsidRPr="000659E4" w:rsidRDefault="00665F15" w:rsidP="00CA1FB2">
      <w:pPr>
        <w:tabs>
          <w:tab w:val="left" w:pos="2127"/>
        </w:tabs>
        <w:spacing w:after="60"/>
        <w:ind w:left="2127" w:hanging="1560"/>
        <w:rPr>
          <w:sz w:val="20"/>
        </w:rPr>
      </w:pPr>
      <w:r w:rsidRPr="000659E4">
        <w:rPr>
          <w:sz w:val="20"/>
        </w:rPr>
        <w:t>Programa 6</w:t>
      </w:r>
      <w:r w:rsidRPr="000659E4">
        <w:rPr>
          <w:sz w:val="20"/>
        </w:rPr>
        <w:tab/>
        <w:t>Sistemas de Madrid y de Lisboa</w:t>
      </w:r>
    </w:p>
    <w:p w:rsidR="00665F15" w:rsidRPr="000659E4" w:rsidRDefault="00665F15" w:rsidP="00CA1FB2">
      <w:pPr>
        <w:tabs>
          <w:tab w:val="left" w:pos="2127"/>
        </w:tabs>
        <w:spacing w:after="60"/>
        <w:ind w:left="2127" w:hanging="1560"/>
        <w:rPr>
          <w:sz w:val="20"/>
        </w:rPr>
      </w:pPr>
      <w:r w:rsidRPr="000659E4">
        <w:rPr>
          <w:sz w:val="20"/>
        </w:rPr>
        <w:t>Programa 31</w:t>
      </w:r>
      <w:r w:rsidRPr="000659E4">
        <w:rPr>
          <w:sz w:val="20"/>
        </w:rPr>
        <w:tab/>
        <w:t>Sistema de La Haya</w:t>
      </w:r>
    </w:p>
    <w:p w:rsidR="00665F15" w:rsidRPr="000659E4" w:rsidRDefault="00665F15" w:rsidP="00CA1FB2">
      <w:pPr>
        <w:tabs>
          <w:tab w:val="left" w:pos="2127"/>
        </w:tabs>
        <w:spacing w:after="60"/>
        <w:ind w:left="2127" w:hanging="1560"/>
        <w:rPr>
          <w:sz w:val="20"/>
        </w:rPr>
      </w:pPr>
      <w:r w:rsidRPr="000659E4">
        <w:rPr>
          <w:sz w:val="20"/>
        </w:rPr>
        <w:t>Programa 7</w:t>
      </w:r>
      <w:r w:rsidRPr="000659E4">
        <w:rPr>
          <w:sz w:val="20"/>
        </w:rPr>
        <w:tab/>
        <w:t xml:space="preserve">Centro de </w:t>
      </w:r>
      <w:r w:rsidR="00CA1FB2" w:rsidRPr="000659E4">
        <w:rPr>
          <w:sz w:val="20"/>
        </w:rPr>
        <w:t xml:space="preserve">Arbitraje </w:t>
      </w:r>
      <w:r w:rsidRPr="000659E4">
        <w:rPr>
          <w:sz w:val="20"/>
        </w:rPr>
        <w:t xml:space="preserve">y </w:t>
      </w:r>
      <w:r w:rsidR="00CA1FB2" w:rsidRPr="000659E4">
        <w:rPr>
          <w:sz w:val="20"/>
        </w:rPr>
        <w:t xml:space="preserve">Mediación </w:t>
      </w:r>
      <w:r w:rsidRPr="000659E4">
        <w:rPr>
          <w:sz w:val="20"/>
        </w:rPr>
        <w:t>de la OMPI</w:t>
      </w:r>
    </w:p>
    <w:p w:rsidR="00665F15" w:rsidRPr="000659E4" w:rsidRDefault="00665F15" w:rsidP="00CA1FB2">
      <w:pPr>
        <w:tabs>
          <w:tab w:val="left" w:pos="2127"/>
        </w:tabs>
        <w:spacing w:after="60"/>
        <w:ind w:left="2127" w:hanging="2127"/>
        <w:rPr>
          <w:b/>
          <w:sz w:val="20"/>
        </w:rPr>
      </w:pPr>
      <w:r>
        <w:rPr>
          <w:b/>
          <w:sz w:val="20"/>
        </w:rPr>
        <w:t>Meta estratégica</w:t>
      </w:r>
      <w:r w:rsidRPr="000659E4">
        <w:rPr>
          <w:b/>
          <w:sz w:val="20"/>
        </w:rPr>
        <w:t xml:space="preserve"> III</w:t>
      </w:r>
      <w:r>
        <w:rPr>
          <w:b/>
          <w:sz w:val="20"/>
        </w:rPr>
        <w:t>:</w:t>
      </w:r>
      <w:r w:rsidRPr="000659E4">
        <w:rPr>
          <w:b/>
          <w:sz w:val="20"/>
        </w:rPr>
        <w:tab/>
        <w:t>Facilitar el uso de la P.I. en aras del desarrollo</w:t>
      </w:r>
    </w:p>
    <w:p w:rsidR="00665F15" w:rsidRPr="00CA1FB2" w:rsidRDefault="00665F15" w:rsidP="00CA1FB2">
      <w:pPr>
        <w:tabs>
          <w:tab w:val="left" w:pos="2127"/>
        </w:tabs>
        <w:spacing w:after="60"/>
        <w:ind w:left="2127" w:hanging="1560"/>
        <w:rPr>
          <w:sz w:val="20"/>
        </w:rPr>
      </w:pPr>
      <w:r w:rsidRPr="00CA1FB2">
        <w:rPr>
          <w:sz w:val="20"/>
        </w:rPr>
        <w:t>Programa 8</w:t>
      </w:r>
      <w:r w:rsidRPr="00CA1FB2">
        <w:rPr>
          <w:sz w:val="20"/>
        </w:rPr>
        <w:tab/>
        <w:t xml:space="preserve">Coordinación de la Agenda para el </w:t>
      </w:r>
      <w:r w:rsidR="00CA1FB2" w:rsidRPr="00CA1FB2">
        <w:rPr>
          <w:sz w:val="20"/>
        </w:rPr>
        <w:t>Desarrollo</w:t>
      </w:r>
    </w:p>
    <w:p w:rsidR="00665F15" w:rsidRPr="00CA1FB2" w:rsidRDefault="00665F15" w:rsidP="00CA1FB2">
      <w:pPr>
        <w:tabs>
          <w:tab w:val="left" w:pos="2127"/>
        </w:tabs>
        <w:spacing w:after="60"/>
        <w:ind w:left="2127" w:hanging="1560"/>
        <w:rPr>
          <w:sz w:val="20"/>
        </w:rPr>
      </w:pPr>
      <w:r w:rsidRPr="00CA1FB2">
        <w:rPr>
          <w:sz w:val="20"/>
        </w:rPr>
        <w:t>Programa 9</w:t>
      </w:r>
      <w:r w:rsidRPr="00CA1FB2">
        <w:rPr>
          <w:sz w:val="20"/>
        </w:rPr>
        <w:tab/>
        <w:t>Países africanos, árabes, de América Latina y el Caribe, de Asia y el Pacífico y países menos adelantados</w:t>
      </w:r>
    </w:p>
    <w:p w:rsidR="00665F15" w:rsidRPr="00CA1FB2" w:rsidRDefault="00665F15" w:rsidP="00CA1FB2">
      <w:pPr>
        <w:tabs>
          <w:tab w:val="left" w:pos="2127"/>
        </w:tabs>
        <w:spacing w:after="60"/>
        <w:ind w:left="2127" w:hanging="1560"/>
        <w:rPr>
          <w:sz w:val="20"/>
        </w:rPr>
      </w:pPr>
      <w:r w:rsidRPr="00CA1FB2">
        <w:rPr>
          <w:sz w:val="20"/>
        </w:rPr>
        <w:t>Programa 10</w:t>
      </w:r>
      <w:r w:rsidRPr="00CA1FB2">
        <w:rPr>
          <w:sz w:val="20"/>
        </w:rPr>
        <w:tab/>
        <w:t>Cooperación con determinados países de Europa y Asia</w:t>
      </w:r>
    </w:p>
    <w:p w:rsidR="00665F15" w:rsidRPr="00CA1FB2" w:rsidRDefault="00665F15" w:rsidP="00CA1FB2">
      <w:pPr>
        <w:tabs>
          <w:tab w:val="left" w:pos="2127"/>
        </w:tabs>
        <w:spacing w:after="60"/>
        <w:ind w:left="2127" w:hanging="1560"/>
        <w:rPr>
          <w:sz w:val="20"/>
        </w:rPr>
      </w:pPr>
      <w:r w:rsidRPr="00CA1FB2">
        <w:rPr>
          <w:sz w:val="20"/>
        </w:rPr>
        <w:t>Programa 11</w:t>
      </w:r>
      <w:r w:rsidRPr="00CA1FB2">
        <w:rPr>
          <w:sz w:val="20"/>
        </w:rPr>
        <w:tab/>
      </w:r>
      <w:r w:rsidR="00CA1FB2" w:rsidRPr="00CA1FB2">
        <w:rPr>
          <w:sz w:val="20"/>
        </w:rPr>
        <w:t xml:space="preserve">Academia </w:t>
      </w:r>
      <w:r w:rsidRPr="00CA1FB2">
        <w:rPr>
          <w:sz w:val="20"/>
        </w:rPr>
        <w:t>de la OMPI</w:t>
      </w:r>
    </w:p>
    <w:p w:rsidR="00CA1FB2" w:rsidRPr="00CA1FB2" w:rsidRDefault="00CA1FB2" w:rsidP="00CA1FB2">
      <w:pPr>
        <w:tabs>
          <w:tab w:val="left" w:pos="2127"/>
        </w:tabs>
        <w:spacing w:after="60"/>
        <w:ind w:left="2127" w:hanging="1560"/>
        <w:rPr>
          <w:sz w:val="20"/>
        </w:rPr>
      </w:pPr>
      <w:r w:rsidRPr="00CA1FB2">
        <w:rPr>
          <w:sz w:val="20"/>
        </w:rPr>
        <w:t>Programa 30</w:t>
      </w:r>
      <w:r w:rsidRPr="00CA1FB2">
        <w:rPr>
          <w:sz w:val="20"/>
        </w:rPr>
        <w:tab/>
      </w:r>
      <w:r>
        <w:rPr>
          <w:sz w:val="20"/>
        </w:rPr>
        <w:t>Pequeñas y medianas empresas (pymes)</w:t>
      </w:r>
    </w:p>
    <w:p w:rsidR="00665F15" w:rsidRPr="000659E4" w:rsidRDefault="00665F15" w:rsidP="00CA1FB2">
      <w:pPr>
        <w:tabs>
          <w:tab w:val="left" w:pos="2127"/>
        </w:tabs>
        <w:spacing w:after="60"/>
        <w:ind w:left="2127" w:hanging="2127"/>
        <w:rPr>
          <w:b/>
          <w:sz w:val="20"/>
        </w:rPr>
      </w:pPr>
      <w:r>
        <w:rPr>
          <w:b/>
          <w:sz w:val="20"/>
        </w:rPr>
        <w:t>Meta estratégica</w:t>
      </w:r>
      <w:r w:rsidRPr="000659E4">
        <w:rPr>
          <w:b/>
          <w:sz w:val="20"/>
        </w:rPr>
        <w:t xml:space="preserve"> IV</w:t>
      </w:r>
      <w:r>
        <w:rPr>
          <w:b/>
          <w:sz w:val="20"/>
        </w:rPr>
        <w:t>:</w:t>
      </w:r>
      <w:r w:rsidRPr="000659E4">
        <w:rPr>
          <w:b/>
          <w:sz w:val="20"/>
        </w:rPr>
        <w:tab/>
        <w:t>Coordinación y desarrollo de la infraestructura mundial de la P.I.</w:t>
      </w:r>
    </w:p>
    <w:p w:rsidR="00665F15" w:rsidRPr="000659E4" w:rsidRDefault="00665F15" w:rsidP="00CA1FB2">
      <w:pPr>
        <w:tabs>
          <w:tab w:val="left" w:pos="2127"/>
        </w:tabs>
        <w:spacing w:after="60"/>
        <w:ind w:left="2127" w:hanging="1560"/>
        <w:rPr>
          <w:sz w:val="20"/>
        </w:rPr>
      </w:pPr>
      <w:r w:rsidRPr="000659E4">
        <w:rPr>
          <w:sz w:val="20"/>
        </w:rPr>
        <w:t>Programa 12</w:t>
      </w:r>
      <w:r w:rsidRPr="000659E4">
        <w:rPr>
          <w:sz w:val="20"/>
        </w:rPr>
        <w:tab/>
        <w:t>Clasificaciones internacionales y normas técnicas de la OMPI</w:t>
      </w:r>
    </w:p>
    <w:p w:rsidR="00665F15" w:rsidRPr="000659E4" w:rsidRDefault="00665F15" w:rsidP="00CA1FB2">
      <w:pPr>
        <w:tabs>
          <w:tab w:val="left" w:pos="2127"/>
        </w:tabs>
        <w:spacing w:after="60"/>
        <w:ind w:left="2127" w:hanging="1560"/>
        <w:rPr>
          <w:sz w:val="20"/>
        </w:rPr>
      </w:pPr>
      <w:r w:rsidRPr="000659E4">
        <w:rPr>
          <w:sz w:val="20"/>
        </w:rPr>
        <w:t>Programa 13</w:t>
      </w:r>
      <w:r w:rsidRPr="000659E4">
        <w:rPr>
          <w:sz w:val="20"/>
        </w:rPr>
        <w:tab/>
        <w:t>Bases de datos mundiales</w:t>
      </w:r>
    </w:p>
    <w:p w:rsidR="00665F15" w:rsidRPr="000659E4" w:rsidRDefault="00665F15" w:rsidP="00CA1FB2">
      <w:pPr>
        <w:tabs>
          <w:tab w:val="left" w:pos="2127"/>
        </w:tabs>
        <w:spacing w:after="60"/>
        <w:ind w:left="2127" w:hanging="1560"/>
        <w:rPr>
          <w:sz w:val="20"/>
        </w:rPr>
      </w:pPr>
      <w:r w:rsidRPr="000659E4">
        <w:rPr>
          <w:sz w:val="20"/>
        </w:rPr>
        <w:t>Programa 14</w:t>
      </w:r>
      <w:r w:rsidRPr="000659E4">
        <w:rPr>
          <w:sz w:val="20"/>
        </w:rPr>
        <w:tab/>
        <w:t>Servicios de acceso a la información y a los conocimientos</w:t>
      </w:r>
    </w:p>
    <w:p w:rsidR="00665F15" w:rsidRPr="000659E4" w:rsidRDefault="00665F15" w:rsidP="00CA1FB2">
      <w:pPr>
        <w:tabs>
          <w:tab w:val="left" w:pos="2127"/>
        </w:tabs>
        <w:spacing w:after="60"/>
        <w:ind w:left="2127" w:hanging="1560"/>
        <w:rPr>
          <w:sz w:val="20"/>
        </w:rPr>
      </w:pPr>
      <w:r w:rsidRPr="000659E4">
        <w:rPr>
          <w:sz w:val="20"/>
        </w:rPr>
        <w:t>Programa 15</w:t>
      </w:r>
      <w:r w:rsidRPr="000659E4">
        <w:rPr>
          <w:sz w:val="20"/>
        </w:rPr>
        <w:tab/>
        <w:t>Soluciones operativas para las oficinas de P.I.</w:t>
      </w:r>
    </w:p>
    <w:p w:rsidR="00665F15" w:rsidRPr="000659E4" w:rsidRDefault="00665F15" w:rsidP="00665F15">
      <w:pPr>
        <w:tabs>
          <w:tab w:val="left" w:pos="2127"/>
        </w:tabs>
        <w:spacing w:after="60"/>
        <w:ind w:left="2127" w:hanging="2127"/>
        <w:rPr>
          <w:b/>
          <w:sz w:val="20"/>
        </w:rPr>
      </w:pPr>
      <w:r>
        <w:rPr>
          <w:b/>
          <w:sz w:val="20"/>
        </w:rPr>
        <w:t>Meta estratégica</w:t>
      </w:r>
      <w:r w:rsidRPr="000659E4">
        <w:rPr>
          <w:b/>
          <w:sz w:val="20"/>
        </w:rPr>
        <w:t xml:space="preserve"> V</w:t>
      </w:r>
      <w:r>
        <w:rPr>
          <w:b/>
          <w:sz w:val="20"/>
        </w:rPr>
        <w:t>:</w:t>
      </w:r>
      <w:r w:rsidRPr="000659E4">
        <w:rPr>
          <w:b/>
          <w:sz w:val="20"/>
        </w:rPr>
        <w:tab/>
        <w:t>Fuente de referencia en el mundo de información y análisis en materia de P.I.</w:t>
      </w:r>
    </w:p>
    <w:p w:rsidR="00665F15" w:rsidRPr="000659E4" w:rsidRDefault="00665F15" w:rsidP="00CA1FB2">
      <w:pPr>
        <w:tabs>
          <w:tab w:val="left" w:pos="2127"/>
        </w:tabs>
        <w:spacing w:after="60"/>
        <w:ind w:left="2127" w:hanging="1560"/>
        <w:rPr>
          <w:sz w:val="20"/>
        </w:rPr>
      </w:pPr>
      <w:r w:rsidRPr="000659E4">
        <w:rPr>
          <w:sz w:val="20"/>
        </w:rPr>
        <w:t>Programa 16</w:t>
      </w:r>
      <w:r w:rsidRPr="000659E4">
        <w:rPr>
          <w:sz w:val="20"/>
        </w:rPr>
        <w:tab/>
        <w:t>Economía y estadística</w:t>
      </w:r>
    </w:p>
    <w:p w:rsidR="00665F15" w:rsidRPr="000659E4" w:rsidRDefault="00665F15" w:rsidP="00CA1FB2">
      <w:pPr>
        <w:tabs>
          <w:tab w:val="left" w:pos="2127"/>
        </w:tabs>
        <w:spacing w:after="60"/>
        <w:ind w:left="2127" w:hanging="2127"/>
        <w:rPr>
          <w:b/>
          <w:sz w:val="20"/>
        </w:rPr>
      </w:pPr>
      <w:r>
        <w:rPr>
          <w:b/>
          <w:sz w:val="20"/>
        </w:rPr>
        <w:t>Meta estratégica</w:t>
      </w:r>
      <w:r w:rsidRPr="000659E4">
        <w:rPr>
          <w:b/>
          <w:sz w:val="20"/>
        </w:rPr>
        <w:t xml:space="preserve"> VI</w:t>
      </w:r>
      <w:r>
        <w:rPr>
          <w:b/>
          <w:sz w:val="20"/>
        </w:rPr>
        <w:t>:</w:t>
      </w:r>
      <w:r w:rsidRPr="000659E4">
        <w:rPr>
          <w:b/>
          <w:sz w:val="20"/>
        </w:rPr>
        <w:tab/>
        <w:t>Cooperación internacional para cultivar el respeto por la P.I.</w:t>
      </w:r>
    </w:p>
    <w:p w:rsidR="00665F15" w:rsidRPr="000659E4" w:rsidRDefault="00665F15" w:rsidP="00CA1FB2">
      <w:pPr>
        <w:tabs>
          <w:tab w:val="left" w:pos="2127"/>
        </w:tabs>
        <w:spacing w:after="60"/>
        <w:ind w:left="2127" w:hanging="1560"/>
        <w:rPr>
          <w:sz w:val="20"/>
        </w:rPr>
      </w:pPr>
      <w:r w:rsidRPr="000659E4">
        <w:rPr>
          <w:sz w:val="20"/>
        </w:rPr>
        <w:t>Programa 17</w:t>
      </w:r>
      <w:r w:rsidRPr="000659E4">
        <w:rPr>
          <w:sz w:val="20"/>
        </w:rPr>
        <w:tab/>
        <w:t>Cultivar el respeto por la P.I.</w:t>
      </w:r>
    </w:p>
    <w:p w:rsidR="00665F15" w:rsidRPr="000659E4" w:rsidRDefault="00665F15" w:rsidP="00CA1FB2">
      <w:pPr>
        <w:tabs>
          <w:tab w:val="left" w:pos="2127"/>
        </w:tabs>
        <w:spacing w:after="60"/>
        <w:ind w:left="2127" w:hanging="2127"/>
        <w:rPr>
          <w:b/>
          <w:sz w:val="20"/>
        </w:rPr>
      </w:pPr>
      <w:r>
        <w:rPr>
          <w:b/>
          <w:sz w:val="20"/>
        </w:rPr>
        <w:t>Meta estratégica</w:t>
      </w:r>
      <w:r w:rsidRPr="000659E4">
        <w:rPr>
          <w:b/>
          <w:sz w:val="20"/>
        </w:rPr>
        <w:t xml:space="preserve"> VII</w:t>
      </w:r>
      <w:r>
        <w:rPr>
          <w:b/>
          <w:sz w:val="20"/>
        </w:rPr>
        <w:t>:</w:t>
      </w:r>
      <w:r w:rsidRPr="000659E4">
        <w:rPr>
          <w:b/>
          <w:sz w:val="20"/>
        </w:rPr>
        <w:tab/>
        <w:t>Vínculos entre la P.I. y los problemas mundiales de política pública</w:t>
      </w:r>
    </w:p>
    <w:p w:rsidR="00665F15" w:rsidRPr="000659E4" w:rsidRDefault="00665F15" w:rsidP="00CA1FB2">
      <w:pPr>
        <w:tabs>
          <w:tab w:val="left" w:pos="2127"/>
        </w:tabs>
        <w:spacing w:after="60"/>
        <w:ind w:left="2127" w:hanging="1560"/>
        <w:rPr>
          <w:sz w:val="20"/>
        </w:rPr>
      </w:pPr>
      <w:r w:rsidRPr="000659E4">
        <w:rPr>
          <w:sz w:val="20"/>
        </w:rPr>
        <w:t>Programa 18</w:t>
      </w:r>
      <w:r w:rsidRPr="000659E4">
        <w:rPr>
          <w:sz w:val="20"/>
        </w:rPr>
        <w:tab/>
        <w:t>La P.I. y los desafíos mundiales</w:t>
      </w:r>
    </w:p>
    <w:p w:rsidR="00665F15" w:rsidRPr="000659E4" w:rsidRDefault="00665F15" w:rsidP="00665F15">
      <w:pPr>
        <w:tabs>
          <w:tab w:val="left" w:pos="2127"/>
        </w:tabs>
        <w:spacing w:after="60"/>
        <w:ind w:left="2127" w:hanging="2127"/>
        <w:rPr>
          <w:b/>
          <w:sz w:val="20"/>
        </w:rPr>
      </w:pPr>
      <w:r>
        <w:rPr>
          <w:b/>
          <w:sz w:val="20"/>
        </w:rPr>
        <w:t>Meta estratégica</w:t>
      </w:r>
      <w:r w:rsidRPr="000659E4">
        <w:rPr>
          <w:b/>
          <w:sz w:val="20"/>
        </w:rPr>
        <w:t xml:space="preserve"> VIII</w:t>
      </w:r>
      <w:r>
        <w:rPr>
          <w:b/>
          <w:sz w:val="20"/>
        </w:rPr>
        <w:t>:</w:t>
      </w:r>
      <w:r w:rsidRPr="000659E4">
        <w:rPr>
          <w:b/>
          <w:sz w:val="20"/>
        </w:rPr>
        <w:tab/>
        <w:t>Comunicación eficaz entre la OMPI, sus Estados miembros y todas las partes interesadas</w:t>
      </w:r>
    </w:p>
    <w:p w:rsidR="00665F15" w:rsidRPr="000659E4" w:rsidRDefault="00665F15" w:rsidP="00CA1FB2">
      <w:pPr>
        <w:tabs>
          <w:tab w:val="left" w:pos="2127"/>
        </w:tabs>
        <w:spacing w:after="60"/>
        <w:ind w:left="2127" w:hanging="1560"/>
        <w:rPr>
          <w:sz w:val="20"/>
        </w:rPr>
      </w:pPr>
      <w:r w:rsidRPr="000659E4">
        <w:rPr>
          <w:sz w:val="20"/>
        </w:rPr>
        <w:t>Programa 19</w:t>
      </w:r>
      <w:r w:rsidRPr="000659E4">
        <w:rPr>
          <w:sz w:val="20"/>
        </w:rPr>
        <w:tab/>
        <w:t>Comunicaciones</w:t>
      </w:r>
    </w:p>
    <w:p w:rsidR="00665F15" w:rsidRPr="000659E4" w:rsidRDefault="00665F15" w:rsidP="00CA1FB2">
      <w:pPr>
        <w:tabs>
          <w:tab w:val="left" w:pos="2127"/>
        </w:tabs>
        <w:spacing w:after="60"/>
        <w:ind w:left="2127" w:hanging="1560"/>
        <w:rPr>
          <w:sz w:val="20"/>
        </w:rPr>
      </w:pPr>
      <w:r w:rsidRPr="000659E4">
        <w:rPr>
          <w:sz w:val="20"/>
        </w:rPr>
        <w:t>Programa 20</w:t>
      </w:r>
      <w:r w:rsidRPr="000659E4">
        <w:rPr>
          <w:sz w:val="20"/>
        </w:rPr>
        <w:tab/>
        <w:t>Relaciones exteriores, alianzas y oficinas en el exterior</w:t>
      </w:r>
    </w:p>
    <w:p w:rsidR="00665F15" w:rsidRPr="000659E4" w:rsidRDefault="00665F15" w:rsidP="00CA1FB2">
      <w:pPr>
        <w:tabs>
          <w:tab w:val="left" w:pos="2127"/>
        </w:tabs>
        <w:spacing w:after="60"/>
        <w:ind w:left="2127" w:hanging="2127"/>
        <w:rPr>
          <w:b/>
          <w:sz w:val="20"/>
        </w:rPr>
      </w:pPr>
      <w:r>
        <w:rPr>
          <w:b/>
          <w:sz w:val="20"/>
        </w:rPr>
        <w:t>Meta estratégica</w:t>
      </w:r>
      <w:r w:rsidRPr="000659E4">
        <w:rPr>
          <w:b/>
          <w:sz w:val="20"/>
        </w:rPr>
        <w:t xml:space="preserve"> IX</w:t>
      </w:r>
      <w:r>
        <w:rPr>
          <w:b/>
          <w:sz w:val="20"/>
        </w:rPr>
        <w:t>:</w:t>
      </w:r>
      <w:r w:rsidRPr="000659E4">
        <w:rPr>
          <w:b/>
          <w:sz w:val="20"/>
        </w:rPr>
        <w:tab/>
        <w:t>Apoyo administrativo y financiero eficiente</w:t>
      </w:r>
    </w:p>
    <w:p w:rsidR="00665F15" w:rsidRPr="000659E4" w:rsidRDefault="00665F15" w:rsidP="00CA1FB2">
      <w:pPr>
        <w:tabs>
          <w:tab w:val="left" w:pos="2127"/>
        </w:tabs>
        <w:spacing w:after="60"/>
        <w:ind w:left="2127" w:hanging="1560"/>
        <w:rPr>
          <w:sz w:val="20"/>
        </w:rPr>
      </w:pPr>
      <w:r w:rsidRPr="000659E4">
        <w:rPr>
          <w:sz w:val="20"/>
        </w:rPr>
        <w:t>Programa 21</w:t>
      </w:r>
      <w:r w:rsidRPr="000659E4">
        <w:rPr>
          <w:sz w:val="20"/>
        </w:rPr>
        <w:tab/>
        <w:t>Gestión ejecutiva</w:t>
      </w:r>
    </w:p>
    <w:p w:rsidR="00665F15" w:rsidRPr="000659E4" w:rsidRDefault="00665F15" w:rsidP="00CA1FB2">
      <w:pPr>
        <w:tabs>
          <w:tab w:val="left" w:pos="2127"/>
        </w:tabs>
        <w:spacing w:after="60"/>
        <w:ind w:left="2127" w:hanging="1560"/>
        <w:rPr>
          <w:sz w:val="20"/>
        </w:rPr>
      </w:pPr>
      <w:r w:rsidRPr="000659E4">
        <w:rPr>
          <w:sz w:val="20"/>
        </w:rPr>
        <w:t>Programa 22</w:t>
      </w:r>
      <w:r w:rsidRPr="000659E4">
        <w:rPr>
          <w:sz w:val="20"/>
        </w:rPr>
        <w:tab/>
        <w:t>Gestión de programas y recursos</w:t>
      </w:r>
    </w:p>
    <w:p w:rsidR="00665F15" w:rsidRPr="000659E4" w:rsidRDefault="00665F15" w:rsidP="00CA1FB2">
      <w:pPr>
        <w:tabs>
          <w:tab w:val="left" w:pos="2127"/>
        </w:tabs>
        <w:spacing w:after="60"/>
        <w:ind w:left="2127" w:hanging="1560"/>
        <w:rPr>
          <w:sz w:val="20"/>
        </w:rPr>
      </w:pPr>
      <w:r w:rsidRPr="000659E4">
        <w:rPr>
          <w:sz w:val="20"/>
        </w:rPr>
        <w:t>Programa 23</w:t>
      </w:r>
      <w:r w:rsidRPr="000659E4">
        <w:rPr>
          <w:sz w:val="20"/>
        </w:rPr>
        <w:tab/>
        <w:t>Gestión y desarrollo de los recursos humanos</w:t>
      </w:r>
    </w:p>
    <w:p w:rsidR="00665F15" w:rsidRPr="000659E4" w:rsidRDefault="00665F15" w:rsidP="00CA1FB2">
      <w:pPr>
        <w:tabs>
          <w:tab w:val="left" w:pos="2127"/>
        </w:tabs>
        <w:spacing w:after="60"/>
        <w:ind w:left="2127" w:hanging="1560"/>
        <w:rPr>
          <w:sz w:val="20"/>
        </w:rPr>
      </w:pPr>
      <w:r w:rsidRPr="000659E4">
        <w:rPr>
          <w:sz w:val="20"/>
        </w:rPr>
        <w:t>Programa 24</w:t>
      </w:r>
      <w:r w:rsidRPr="000659E4">
        <w:rPr>
          <w:sz w:val="20"/>
        </w:rPr>
        <w:tab/>
        <w:t>Servicios de apoyo generales</w:t>
      </w:r>
    </w:p>
    <w:p w:rsidR="00665F15" w:rsidRPr="000659E4" w:rsidRDefault="00665F15" w:rsidP="00CA1FB2">
      <w:pPr>
        <w:tabs>
          <w:tab w:val="left" w:pos="2127"/>
        </w:tabs>
        <w:spacing w:after="60"/>
        <w:ind w:left="2127" w:hanging="1560"/>
        <w:rPr>
          <w:sz w:val="20"/>
        </w:rPr>
      </w:pPr>
      <w:r w:rsidRPr="000659E4">
        <w:rPr>
          <w:sz w:val="20"/>
        </w:rPr>
        <w:t xml:space="preserve">Programa 25 </w:t>
      </w:r>
      <w:r w:rsidRPr="000659E4">
        <w:rPr>
          <w:sz w:val="20"/>
        </w:rPr>
        <w:tab/>
        <w:t>Tecnologías de la información y de las comunicaciones</w:t>
      </w:r>
    </w:p>
    <w:p w:rsidR="00665F15" w:rsidRPr="000659E4" w:rsidRDefault="00665F15" w:rsidP="00CA1FB2">
      <w:pPr>
        <w:tabs>
          <w:tab w:val="left" w:pos="2127"/>
        </w:tabs>
        <w:spacing w:after="60"/>
        <w:ind w:left="2127" w:hanging="1560"/>
        <w:rPr>
          <w:sz w:val="20"/>
        </w:rPr>
      </w:pPr>
      <w:r w:rsidRPr="000659E4">
        <w:rPr>
          <w:sz w:val="20"/>
        </w:rPr>
        <w:t>Programa 26</w:t>
      </w:r>
      <w:r w:rsidRPr="000659E4">
        <w:rPr>
          <w:sz w:val="20"/>
        </w:rPr>
        <w:tab/>
        <w:t>Supervisión interna</w:t>
      </w:r>
    </w:p>
    <w:p w:rsidR="00665F15" w:rsidRPr="000659E4" w:rsidRDefault="00665F15" w:rsidP="00CA1FB2">
      <w:pPr>
        <w:tabs>
          <w:tab w:val="left" w:pos="2127"/>
        </w:tabs>
        <w:spacing w:after="60"/>
        <w:ind w:left="2127" w:hanging="1560"/>
        <w:rPr>
          <w:sz w:val="20"/>
        </w:rPr>
      </w:pPr>
      <w:r w:rsidRPr="000659E4">
        <w:rPr>
          <w:sz w:val="20"/>
        </w:rPr>
        <w:t>Programa 27</w:t>
      </w:r>
      <w:r w:rsidRPr="000659E4">
        <w:rPr>
          <w:sz w:val="20"/>
        </w:rPr>
        <w:tab/>
        <w:t>Servicios de conferencias y lingüísticos</w:t>
      </w:r>
    </w:p>
    <w:p w:rsidR="00665F15" w:rsidRPr="000659E4" w:rsidRDefault="00665F15" w:rsidP="00CA1FB2">
      <w:pPr>
        <w:tabs>
          <w:tab w:val="left" w:pos="2127"/>
        </w:tabs>
        <w:spacing w:after="60"/>
        <w:ind w:left="2127" w:hanging="1560"/>
        <w:rPr>
          <w:sz w:val="20"/>
        </w:rPr>
      </w:pPr>
      <w:r w:rsidRPr="000659E4">
        <w:rPr>
          <w:sz w:val="20"/>
        </w:rPr>
        <w:t>Programa 28</w:t>
      </w:r>
      <w:r w:rsidRPr="000659E4">
        <w:rPr>
          <w:sz w:val="20"/>
        </w:rPr>
        <w:tab/>
        <w:t>Seguridad</w:t>
      </w:r>
    </w:p>
    <w:p w:rsidR="00665F15" w:rsidRPr="000659E4" w:rsidRDefault="00665F15" w:rsidP="00CA1FB2">
      <w:pPr>
        <w:tabs>
          <w:tab w:val="left" w:pos="2127"/>
        </w:tabs>
        <w:spacing w:after="60"/>
        <w:ind w:left="2127" w:hanging="1560"/>
        <w:rPr>
          <w:sz w:val="20"/>
        </w:rPr>
      </w:pPr>
      <w:r w:rsidRPr="000659E4">
        <w:rPr>
          <w:sz w:val="20"/>
        </w:rPr>
        <w:t>Programa 29</w:t>
      </w:r>
      <w:r w:rsidRPr="000659E4">
        <w:rPr>
          <w:sz w:val="20"/>
        </w:rPr>
        <w:tab/>
        <w:t>Nueva sala de conferencias</w:t>
      </w:r>
    </w:p>
    <w:p w:rsidR="00665F15" w:rsidRPr="00716669" w:rsidRDefault="00665F15" w:rsidP="00AE2EB2"/>
    <w:p w:rsidR="006B3639" w:rsidRPr="00665F15" w:rsidRDefault="006B3639" w:rsidP="00AE2EB2">
      <w:pPr>
        <w:rPr>
          <w:sz w:val="20"/>
        </w:rPr>
        <w:sectPr w:rsidR="006B3639" w:rsidRPr="00665F15" w:rsidSect="00FF362A">
          <w:headerReference w:type="first" r:id="rId44"/>
          <w:pgSz w:w="11907" w:h="16840" w:code="9"/>
          <w:pgMar w:top="567" w:right="1134" w:bottom="1418" w:left="1418" w:header="510" w:footer="1021" w:gutter="0"/>
          <w:cols w:space="720"/>
          <w:titlePg/>
        </w:sectPr>
      </w:pPr>
    </w:p>
    <w:p w:rsidR="007D5C17" w:rsidRDefault="006A15F5" w:rsidP="005E581D">
      <w:pPr>
        <w:pStyle w:val="Heading2"/>
        <w:jc w:val="center"/>
        <w:rPr>
          <w:b/>
          <w:caps w:val="0"/>
          <w:sz w:val="24"/>
          <w:szCs w:val="24"/>
          <w:lang w:val="es-ES_tradnl" w:eastAsia="da-DK"/>
        </w:rPr>
      </w:pPr>
      <w:bookmarkStart w:id="18" w:name="_Toc356567746"/>
      <w:bookmarkStart w:id="19" w:name="_Toc358816684"/>
      <w:r w:rsidRPr="008F43DB">
        <w:rPr>
          <w:b/>
          <w:caps w:val="0"/>
          <w:sz w:val="24"/>
          <w:szCs w:val="24"/>
          <w:lang w:val="es-ES_tradnl" w:eastAsia="da-DK"/>
        </w:rPr>
        <w:lastRenderedPageBreak/>
        <w:t>META ESTRATÉGICA I</w:t>
      </w:r>
    </w:p>
    <w:bookmarkEnd w:id="18"/>
    <w:p w:rsidR="007C2B91" w:rsidRPr="008F43DB" w:rsidRDefault="006A15F5" w:rsidP="005E581D">
      <w:pPr>
        <w:pStyle w:val="Heading2"/>
        <w:jc w:val="center"/>
        <w:rPr>
          <w:b/>
          <w:sz w:val="24"/>
          <w:szCs w:val="24"/>
          <w:lang w:val="es-ES_tradnl" w:eastAsia="da-DK"/>
        </w:rPr>
      </w:pPr>
      <w:r w:rsidRPr="008F43DB">
        <w:rPr>
          <w:b/>
          <w:caps w:val="0"/>
          <w:sz w:val="24"/>
          <w:szCs w:val="24"/>
          <w:lang w:val="es-ES_tradnl" w:eastAsia="da-DK"/>
        </w:rPr>
        <w:t>EVOLUCIÓN EQUILIBRADA DEL MARCO NORMATIVO</w:t>
      </w:r>
      <w:r w:rsidRPr="008F43DB">
        <w:rPr>
          <w:b/>
          <w:caps w:val="0"/>
          <w:sz w:val="24"/>
          <w:szCs w:val="24"/>
          <w:lang w:val="es-ES_tradnl" w:eastAsia="da-DK"/>
        </w:rPr>
        <w:br/>
        <w:t>INTERNACIONAL DE P.I.</w:t>
      </w:r>
      <w:bookmarkEnd w:id="19"/>
    </w:p>
    <w:p w:rsidR="007C2B91" w:rsidRPr="008F43DB" w:rsidRDefault="007C2B91" w:rsidP="006A15F5">
      <w:pPr>
        <w:rPr>
          <w:lang w:eastAsia="da-DK"/>
        </w:rPr>
      </w:pPr>
    </w:p>
    <w:p w:rsidR="002370D4" w:rsidRPr="008F43DB" w:rsidRDefault="002370D4" w:rsidP="006A15F5">
      <w:pPr>
        <w:rPr>
          <w:lang w:eastAsia="da-DK"/>
        </w:rPr>
      </w:pPr>
    </w:p>
    <w:p w:rsidR="007C2B91" w:rsidRPr="007C2B91" w:rsidRDefault="007C2B91" w:rsidP="007C2B91">
      <w:pPr>
        <w:widowControl w:val="0"/>
        <w:autoSpaceDE w:val="0"/>
        <w:autoSpaceDN w:val="0"/>
        <w:adjustRightInd w:val="0"/>
        <w:jc w:val="both"/>
        <w:rPr>
          <w:rFonts w:eastAsia="Times New Roman"/>
          <w:sz w:val="20"/>
          <w:lang w:eastAsia="en-US"/>
        </w:rPr>
      </w:pPr>
      <w:r w:rsidRPr="007C2B91">
        <w:rPr>
          <w:rFonts w:eastAsia="Times New Roman"/>
          <w:sz w:val="20"/>
          <w:lang w:eastAsia="en-US"/>
        </w:rPr>
        <w:t>Esta meta estratégica tiene por finalidad velar por que la normativa internacional de P.I. se mantenga a la par del entorno tecnológico, geoeconómico, social y cultural, que evoluciona rápidamente, sin dejar de tener en cuenta la aplicación de las recomendaciones de la Agenda para el Desarrollo (A.D.) relacionadas con las actividades normativas.  Una evolución equilibrada a este respecto es fundamental para que el sistema de P.I. siga respondiendo a su finalidad primordial de fomentar la innovación y la creatividad;  que en él se tengan en cuenta las necesidades y los intereses de todos los países, sea cual sea su grado de desarrollo, incluso las flexibilidades previstas en los acuerdos internacionales en materia de P.I.;  y que en él se llegue a un justo equilibrio entre i) los derechos de los creadores y titulares de activos de P.I. y los derechos de los usuarios y el público;  y ii) el fomento de la innovación y la creatividad y la difusión de los beneficios sociales de las obras que son producto de la innovación y la creatividad.</w:t>
      </w:r>
    </w:p>
    <w:p w:rsidR="00AE07AF" w:rsidRPr="007C2B91" w:rsidRDefault="00AE07AF" w:rsidP="00FF779C">
      <w:pPr>
        <w:widowControl w:val="0"/>
        <w:tabs>
          <w:tab w:val="num" w:pos="690"/>
        </w:tabs>
        <w:jc w:val="both"/>
        <w:rPr>
          <w:sz w:val="20"/>
        </w:rPr>
      </w:pPr>
    </w:p>
    <w:tbl>
      <w:tblPr>
        <w:tblW w:w="4855"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288"/>
        <w:gridCol w:w="3003"/>
        <w:gridCol w:w="3002"/>
      </w:tblGrid>
      <w:tr w:rsidR="0057647D" w:rsidRPr="00C75C7E" w:rsidTr="0057647D">
        <w:trPr>
          <w:cantSplit/>
          <w:tblHeader/>
        </w:trPr>
        <w:tc>
          <w:tcPr>
            <w:tcW w:w="1769" w:type="pct"/>
            <w:tcBorders>
              <w:top w:val="single" w:sz="4" w:space="0" w:color="auto"/>
              <w:bottom w:val="single" w:sz="4" w:space="0" w:color="auto"/>
            </w:tcBorders>
            <w:shd w:val="clear" w:color="auto" w:fill="CCFFFF"/>
            <w:tcMar>
              <w:top w:w="113" w:type="dxa"/>
              <w:bottom w:w="113" w:type="dxa"/>
            </w:tcMar>
            <w:vAlign w:val="center"/>
          </w:tcPr>
          <w:p w:rsidR="0057647D" w:rsidRPr="00C75C7E" w:rsidRDefault="0057647D" w:rsidP="0057647D">
            <w:pPr>
              <w:widowControl w:val="0"/>
              <w:spacing w:after="120"/>
              <w:jc w:val="center"/>
              <w:rPr>
                <w:b/>
                <w:bCs/>
                <w:sz w:val="18"/>
                <w:szCs w:val="18"/>
                <w:lang w:val="es-ES_tradnl"/>
              </w:rPr>
            </w:pPr>
            <w:r w:rsidRPr="00C75C7E">
              <w:rPr>
                <w:b/>
                <w:bCs/>
                <w:sz w:val="18"/>
                <w:szCs w:val="18"/>
                <w:lang w:val="es-ES_tradnl"/>
              </w:rPr>
              <w:t>Resultados previstos</w:t>
            </w:r>
          </w:p>
        </w:tc>
        <w:tc>
          <w:tcPr>
            <w:tcW w:w="1616" w:type="pct"/>
            <w:tcBorders>
              <w:top w:val="single" w:sz="4" w:space="0" w:color="auto"/>
              <w:bottom w:val="single" w:sz="4" w:space="0" w:color="auto"/>
            </w:tcBorders>
            <w:shd w:val="clear" w:color="auto" w:fill="CCFFFF"/>
            <w:tcMar>
              <w:top w:w="113" w:type="dxa"/>
              <w:bottom w:w="113" w:type="dxa"/>
            </w:tcMar>
            <w:vAlign w:val="center"/>
          </w:tcPr>
          <w:p w:rsidR="0057647D" w:rsidRPr="00C75C7E" w:rsidRDefault="0057647D" w:rsidP="0057647D">
            <w:pPr>
              <w:widowControl w:val="0"/>
              <w:spacing w:after="120"/>
              <w:jc w:val="center"/>
              <w:rPr>
                <w:b/>
                <w:sz w:val="18"/>
                <w:szCs w:val="18"/>
                <w:lang w:val="es-ES_tradnl"/>
              </w:rPr>
            </w:pPr>
            <w:r w:rsidRPr="00C75C7E">
              <w:rPr>
                <w:b/>
                <w:sz w:val="18"/>
                <w:szCs w:val="18"/>
                <w:lang w:val="es-ES_tradnl"/>
              </w:rPr>
              <w:t>Indicadores de rendimiento</w:t>
            </w:r>
          </w:p>
        </w:tc>
        <w:tc>
          <w:tcPr>
            <w:tcW w:w="1615" w:type="pct"/>
            <w:tcBorders>
              <w:top w:val="single" w:sz="4" w:space="0" w:color="auto"/>
              <w:bottom w:val="single" w:sz="4" w:space="0" w:color="auto"/>
            </w:tcBorders>
            <w:shd w:val="clear" w:color="auto" w:fill="CCFFFF"/>
            <w:tcMar>
              <w:top w:w="113" w:type="dxa"/>
              <w:bottom w:w="113" w:type="dxa"/>
            </w:tcMar>
            <w:vAlign w:val="center"/>
          </w:tcPr>
          <w:p w:rsidR="0057647D" w:rsidRPr="00C75C7E" w:rsidRDefault="0057647D" w:rsidP="0057647D">
            <w:pPr>
              <w:widowControl w:val="0"/>
              <w:spacing w:after="120"/>
              <w:ind w:left="85"/>
              <w:jc w:val="center"/>
              <w:rPr>
                <w:sz w:val="18"/>
                <w:szCs w:val="18"/>
                <w:lang w:val="es-ES_tradnl"/>
              </w:rPr>
            </w:pPr>
            <w:r w:rsidRPr="00C75C7E">
              <w:rPr>
                <w:b/>
                <w:bCs/>
                <w:sz w:val="18"/>
                <w:szCs w:val="18"/>
                <w:lang w:val="es-ES_tradnl"/>
              </w:rPr>
              <w:t>Programas responsables</w:t>
            </w:r>
          </w:p>
        </w:tc>
      </w:tr>
      <w:tr w:rsidR="0057647D" w:rsidRPr="00C75C7E" w:rsidTr="0057647D">
        <w:trPr>
          <w:cantSplit/>
        </w:trPr>
        <w:tc>
          <w:tcPr>
            <w:tcW w:w="1769" w:type="pct"/>
            <w:tcBorders>
              <w:top w:val="single" w:sz="4" w:space="0" w:color="auto"/>
            </w:tcBorders>
            <w:shd w:val="clear" w:color="auto" w:fill="auto"/>
            <w:tcMar>
              <w:top w:w="113" w:type="dxa"/>
              <w:bottom w:w="113" w:type="dxa"/>
            </w:tcMar>
          </w:tcPr>
          <w:p w:rsidR="0057647D" w:rsidRPr="00C75C7E" w:rsidRDefault="0057647D" w:rsidP="00CA1FB2">
            <w:pPr>
              <w:widowControl w:val="0"/>
              <w:rPr>
                <w:sz w:val="16"/>
                <w:szCs w:val="16"/>
                <w:lang w:val="es-ES_tradnl"/>
              </w:rPr>
            </w:pPr>
            <w:r w:rsidRPr="00C75C7E">
              <w:rPr>
                <w:sz w:val="16"/>
                <w:szCs w:val="16"/>
                <w:lang w:val="es-ES_tradnl"/>
              </w:rPr>
              <w:t>I.1. Mejor cooperación entre los Estados miembros en lo que atañe a la elaboración de marcos normativos internacionales equilibra</w:t>
            </w:r>
            <w:r w:rsidR="00CA1FB2">
              <w:rPr>
                <w:sz w:val="16"/>
                <w:szCs w:val="16"/>
                <w:lang w:val="es-ES_tradnl"/>
              </w:rPr>
              <w:t xml:space="preserve">dos para la P.I. y </w:t>
            </w:r>
            <w:r w:rsidR="00956F2F">
              <w:rPr>
                <w:sz w:val="16"/>
                <w:szCs w:val="16"/>
                <w:lang w:val="es-ES_tradnl"/>
              </w:rPr>
              <w:t>fomento de acuerdos sobre</w:t>
            </w:r>
            <w:r w:rsidRPr="00C75C7E">
              <w:rPr>
                <w:sz w:val="16"/>
                <w:szCs w:val="16"/>
                <w:lang w:val="es-ES_tradnl"/>
              </w:rPr>
              <w:t xml:space="preserve"> </w:t>
            </w:r>
            <w:r w:rsidR="00CA1FB2">
              <w:rPr>
                <w:sz w:val="16"/>
                <w:szCs w:val="16"/>
                <w:lang w:val="es-ES_tradnl"/>
              </w:rPr>
              <w:t xml:space="preserve">las </w:t>
            </w:r>
            <w:r w:rsidRPr="00C75C7E">
              <w:rPr>
                <w:sz w:val="16"/>
                <w:szCs w:val="16"/>
                <w:lang w:val="es-ES_tradnl"/>
              </w:rPr>
              <w:t>cuestiones específicas respecto de las que se acuerdan instrumentos internacionales.</w:t>
            </w:r>
          </w:p>
        </w:tc>
        <w:tc>
          <w:tcPr>
            <w:tcW w:w="1616" w:type="pct"/>
            <w:tcBorders>
              <w:top w:val="single" w:sz="4" w:space="0" w:color="auto"/>
            </w:tcBorders>
            <w:shd w:val="clear" w:color="auto" w:fill="auto"/>
            <w:tcMar>
              <w:top w:w="113" w:type="dxa"/>
              <w:bottom w:w="113" w:type="dxa"/>
            </w:tcMar>
          </w:tcPr>
          <w:p w:rsidR="0057647D" w:rsidRPr="00C75C7E" w:rsidRDefault="0057647D" w:rsidP="0057647D">
            <w:pPr>
              <w:widowControl w:val="0"/>
              <w:rPr>
                <w:sz w:val="16"/>
                <w:szCs w:val="16"/>
                <w:lang w:val="es-ES_tradnl"/>
              </w:rPr>
            </w:pPr>
            <w:r w:rsidRPr="00C75C7E">
              <w:rPr>
                <w:sz w:val="16"/>
                <w:szCs w:val="16"/>
                <w:lang w:val="es-ES_tradnl"/>
              </w:rPr>
              <w:t>Avances en la aplicación de medidas/planes acordados por el SCP.</w:t>
            </w:r>
          </w:p>
        </w:tc>
        <w:tc>
          <w:tcPr>
            <w:tcW w:w="1615" w:type="pct"/>
            <w:tcBorders>
              <w:top w:val="single" w:sz="4" w:space="0" w:color="auto"/>
            </w:tcBorders>
            <w:shd w:val="clear" w:color="auto" w:fill="FFFFFF"/>
            <w:tcMar>
              <w:top w:w="113" w:type="dxa"/>
              <w:bottom w:w="113" w:type="dxa"/>
            </w:tcMar>
          </w:tcPr>
          <w:p w:rsidR="0057647D" w:rsidRPr="00C75C7E" w:rsidRDefault="0057647D" w:rsidP="0057647D">
            <w:pPr>
              <w:widowControl w:val="0"/>
              <w:ind w:left="275"/>
              <w:rPr>
                <w:sz w:val="16"/>
                <w:szCs w:val="16"/>
                <w:lang w:val="es-ES_tradnl"/>
              </w:rPr>
            </w:pPr>
            <w:r w:rsidRPr="00C75C7E">
              <w:rPr>
                <w:sz w:val="16"/>
                <w:szCs w:val="16"/>
                <w:lang w:val="es-ES_tradnl" w:bidi="th-TH"/>
              </w:rPr>
              <w:t>Programa  1</w:t>
            </w:r>
          </w:p>
        </w:tc>
      </w:tr>
      <w:tr w:rsidR="0057647D" w:rsidRPr="00C75C7E" w:rsidTr="0057647D">
        <w:trPr>
          <w:cantSplit/>
          <w:trHeight w:val="600"/>
        </w:trPr>
        <w:tc>
          <w:tcPr>
            <w:tcW w:w="1769" w:type="pct"/>
            <w:shd w:val="clear" w:color="auto" w:fill="auto"/>
            <w:tcMar>
              <w:top w:w="113" w:type="dxa"/>
              <w:bottom w:w="113" w:type="dxa"/>
            </w:tcMar>
          </w:tcPr>
          <w:p w:rsidR="0057647D" w:rsidRPr="00C75C7E" w:rsidRDefault="0057647D" w:rsidP="0057647D">
            <w:pPr>
              <w:widowControl w:val="0"/>
              <w:rPr>
                <w:sz w:val="16"/>
                <w:szCs w:val="16"/>
                <w:lang w:val="es-ES_tradnl"/>
              </w:rPr>
            </w:pPr>
          </w:p>
        </w:tc>
        <w:tc>
          <w:tcPr>
            <w:tcW w:w="1616" w:type="pct"/>
            <w:shd w:val="clear" w:color="auto" w:fill="auto"/>
            <w:tcMar>
              <w:top w:w="113" w:type="dxa"/>
              <w:bottom w:w="113" w:type="dxa"/>
            </w:tcMar>
          </w:tcPr>
          <w:p w:rsidR="0057647D" w:rsidRPr="00C75C7E" w:rsidRDefault="0057647D" w:rsidP="0057647D">
            <w:pPr>
              <w:widowControl w:val="0"/>
              <w:rPr>
                <w:sz w:val="16"/>
                <w:szCs w:val="16"/>
                <w:lang w:val="es-ES_tradnl"/>
              </w:rPr>
            </w:pPr>
            <w:r w:rsidRPr="00C75C7E">
              <w:rPr>
                <w:sz w:val="16"/>
                <w:szCs w:val="16"/>
                <w:lang w:val="es-ES_tradnl"/>
              </w:rPr>
              <w:t>Porcentaje de participantes en talleres/seminarios/conferencias sobre cuestiones específicas relacionadas con las patentes que expresaron satisfacción al respecto.</w:t>
            </w:r>
          </w:p>
        </w:tc>
        <w:tc>
          <w:tcPr>
            <w:tcW w:w="1615" w:type="pct"/>
            <w:shd w:val="clear" w:color="auto" w:fill="FFFFFF"/>
            <w:tcMar>
              <w:top w:w="113" w:type="dxa"/>
              <w:bottom w:w="113" w:type="dxa"/>
            </w:tcMar>
          </w:tcPr>
          <w:p w:rsidR="0057647D" w:rsidRPr="00C75C7E" w:rsidRDefault="0057647D" w:rsidP="0057647D">
            <w:pPr>
              <w:widowControl w:val="0"/>
              <w:ind w:left="275"/>
              <w:rPr>
                <w:sz w:val="16"/>
                <w:szCs w:val="16"/>
                <w:lang w:val="es-ES_tradnl"/>
              </w:rPr>
            </w:pPr>
            <w:r w:rsidRPr="00C75C7E">
              <w:rPr>
                <w:sz w:val="16"/>
                <w:szCs w:val="16"/>
                <w:lang w:val="es-ES_tradnl"/>
              </w:rPr>
              <w:t>Programa  1</w:t>
            </w:r>
          </w:p>
        </w:tc>
      </w:tr>
      <w:tr w:rsidR="0057647D" w:rsidRPr="00C75C7E" w:rsidTr="0057647D">
        <w:trPr>
          <w:cantSplit/>
          <w:trHeight w:val="536"/>
        </w:trPr>
        <w:tc>
          <w:tcPr>
            <w:tcW w:w="1769" w:type="pct"/>
            <w:shd w:val="clear" w:color="auto" w:fill="auto"/>
            <w:tcMar>
              <w:top w:w="113" w:type="dxa"/>
              <w:bottom w:w="113" w:type="dxa"/>
            </w:tcMar>
          </w:tcPr>
          <w:p w:rsidR="0057647D" w:rsidRPr="00C75C7E" w:rsidRDefault="0057647D" w:rsidP="0057647D">
            <w:pPr>
              <w:widowControl w:val="0"/>
              <w:rPr>
                <w:sz w:val="16"/>
                <w:szCs w:val="16"/>
                <w:lang w:val="es-ES_tradnl"/>
              </w:rPr>
            </w:pPr>
          </w:p>
        </w:tc>
        <w:tc>
          <w:tcPr>
            <w:tcW w:w="1616" w:type="pct"/>
            <w:shd w:val="clear" w:color="auto" w:fill="auto"/>
            <w:tcMar>
              <w:top w:w="113" w:type="dxa"/>
              <w:bottom w:w="113" w:type="dxa"/>
            </w:tcMar>
          </w:tcPr>
          <w:p w:rsidR="0057647D" w:rsidRPr="00C75C7E" w:rsidRDefault="0057647D" w:rsidP="0057647D">
            <w:pPr>
              <w:widowControl w:val="0"/>
              <w:rPr>
                <w:sz w:val="16"/>
                <w:szCs w:val="16"/>
                <w:lang w:val="es-ES_tradnl"/>
              </w:rPr>
            </w:pPr>
            <w:r w:rsidRPr="00C75C7E">
              <w:rPr>
                <w:sz w:val="16"/>
                <w:szCs w:val="16"/>
                <w:lang w:val="es-ES_tradnl"/>
              </w:rPr>
              <w:t>Acuerdo sobre un marco normativo para los procedimientos de registro y mantenimiento de los diseños industriales.</w:t>
            </w:r>
          </w:p>
        </w:tc>
        <w:tc>
          <w:tcPr>
            <w:tcW w:w="1615" w:type="pct"/>
            <w:shd w:val="clear" w:color="auto" w:fill="FFFFFF"/>
            <w:tcMar>
              <w:top w:w="113" w:type="dxa"/>
              <w:bottom w:w="113" w:type="dxa"/>
            </w:tcMar>
          </w:tcPr>
          <w:p w:rsidR="0057647D" w:rsidRPr="00C75C7E" w:rsidRDefault="0057647D" w:rsidP="0057647D">
            <w:pPr>
              <w:widowControl w:val="0"/>
              <w:ind w:left="275"/>
              <w:rPr>
                <w:sz w:val="16"/>
                <w:szCs w:val="16"/>
                <w:lang w:val="es-ES_tradnl"/>
              </w:rPr>
            </w:pPr>
            <w:r w:rsidRPr="00C75C7E">
              <w:rPr>
                <w:sz w:val="16"/>
                <w:szCs w:val="16"/>
                <w:lang w:val="es-ES_tradnl" w:bidi="th-TH"/>
              </w:rPr>
              <w:t>Programa  2</w:t>
            </w:r>
          </w:p>
        </w:tc>
      </w:tr>
      <w:tr w:rsidR="0057647D" w:rsidRPr="00C75C7E" w:rsidTr="00502F43">
        <w:trPr>
          <w:cantSplit/>
          <w:trHeight w:val="592"/>
        </w:trPr>
        <w:tc>
          <w:tcPr>
            <w:tcW w:w="1769" w:type="pct"/>
            <w:shd w:val="clear" w:color="auto" w:fill="auto"/>
            <w:tcMar>
              <w:top w:w="113" w:type="dxa"/>
              <w:bottom w:w="113" w:type="dxa"/>
            </w:tcMar>
          </w:tcPr>
          <w:p w:rsidR="0057647D" w:rsidRPr="00C75C7E" w:rsidRDefault="0057647D" w:rsidP="0057647D">
            <w:pPr>
              <w:widowControl w:val="0"/>
              <w:rPr>
                <w:sz w:val="16"/>
                <w:szCs w:val="16"/>
                <w:lang w:val="es-ES_tradnl"/>
              </w:rPr>
            </w:pPr>
          </w:p>
        </w:tc>
        <w:tc>
          <w:tcPr>
            <w:tcW w:w="1616" w:type="pct"/>
            <w:shd w:val="clear" w:color="auto" w:fill="auto"/>
            <w:tcMar>
              <w:top w:w="113" w:type="dxa"/>
              <w:bottom w:w="113" w:type="dxa"/>
            </w:tcMar>
          </w:tcPr>
          <w:p w:rsidR="0057647D" w:rsidRPr="00C75C7E" w:rsidRDefault="00502F43" w:rsidP="0057647D">
            <w:pPr>
              <w:widowControl w:val="0"/>
              <w:rPr>
                <w:i/>
                <w:sz w:val="16"/>
                <w:szCs w:val="16"/>
                <w:lang w:val="es-ES_tradnl"/>
              </w:rPr>
            </w:pPr>
            <w:r w:rsidRPr="00502F43">
              <w:rPr>
                <w:sz w:val="16"/>
                <w:szCs w:val="16"/>
                <w:lang w:val="es-ES_tradnl" w:bidi="th-TH"/>
              </w:rPr>
              <w:t>Avances para llegar a un acuerdo sobre las cuestiones que figuran en el orden del día del</w:t>
            </w:r>
            <w:r>
              <w:rPr>
                <w:sz w:val="16"/>
                <w:szCs w:val="16"/>
                <w:lang w:val="es-ES_tradnl" w:bidi="th-TH"/>
              </w:rPr>
              <w:t xml:space="preserve"> SCT.</w:t>
            </w:r>
          </w:p>
        </w:tc>
        <w:tc>
          <w:tcPr>
            <w:tcW w:w="1615" w:type="pct"/>
            <w:shd w:val="clear" w:color="auto" w:fill="FFFFFF"/>
            <w:tcMar>
              <w:top w:w="113" w:type="dxa"/>
              <w:bottom w:w="113" w:type="dxa"/>
            </w:tcMar>
          </w:tcPr>
          <w:p w:rsidR="0057647D" w:rsidRPr="00C75C7E" w:rsidRDefault="0057647D" w:rsidP="0057647D">
            <w:pPr>
              <w:widowControl w:val="0"/>
              <w:ind w:left="275"/>
              <w:rPr>
                <w:sz w:val="16"/>
                <w:szCs w:val="16"/>
                <w:lang w:val="es-ES_tradnl"/>
              </w:rPr>
            </w:pPr>
            <w:r w:rsidRPr="00C75C7E">
              <w:rPr>
                <w:sz w:val="16"/>
                <w:szCs w:val="16"/>
                <w:lang w:val="es-ES_tradnl" w:bidi="th-TH"/>
              </w:rPr>
              <w:t>Programa  2</w:t>
            </w:r>
          </w:p>
        </w:tc>
      </w:tr>
      <w:tr w:rsidR="0057647D" w:rsidRPr="00C75C7E" w:rsidTr="0057647D">
        <w:trPr>
          <w:cantSplit/>
          <w:trHeight w:val="432"/>
        </w:trPr>
        <w:tc>
          <w:tcPr>
            <w:tcW w:w="1769" w:type="pct"/>
            <w:shd w:val="clear" w:color="auto" w:fill="auto"/>
            <w:tcMar>
              <w:top w:w="113" w:type="dxa"/>
              <w:bottom w:w="113" w:type="dxa"/>
            </w:tcMar>
          </w:tcPr>
          <w:p w:rsidR="0057647D" w:rsidRPr="00C75C7E" w:rsidRDefault="0057647D" w:rsidP="0057647D">
            <w:pPr>
              <w:widowControl w:val="0"/>
              <w:rPr>
                <w:sz w:val="16"/>
                <w:szCs w:val="16"/>
                <w:lang w:val="es-ES_tradnl"/>
              </w:rPr>
            </w:pPr>
          </w:p>
        </w:tc>
        <w:tc>
          <w:tcPr>
            <w:tcW w:w="1616" w:type="pct"/>
            <w:shd w:val="clear" w:color="auto" w:fill="auto"/>
            <w:tcMar>
              <w:top w:w="113" w:type="dxa"/>
              <w:bottom w:w="113" w:type="dxa"/>
            </w:tcMar>
          </w:tcPr>
          <w:p w:rsidR="0057647D" w:rsidRPr="00C75C7E" w:rsidRDefault="0057647D" w:rsidP="0057647D">
            <w:pPr>
              <w:widowControl w:val="0"/>
              <w:rPr>
                <w:sz w:val="16"/>
                <w:szCs w:val="16"/>
                <w:lang w:val="es-ES_tradnl"/>
              </w:rPr>
            </w:pPr>
            <w:r w:rsidRPr="00C75C7E">
              <w:rPr>
                <w:sz w:val="16"/>
                <w:szCs w:val="16"/>
                <w:lang w:val="es-ES_tradnl"/>
              </w:rPr>
              <w:t>Número de ratificaciones y adhesiones al Tratado de Singapur</w:t>
            </w:r>
          </w:p>
        </w:tc>
        <w:tc>
          <w:tcPr>
            <w:tcW w:w="1615" w:type="pct"/>
            <w:shd w:val="clear" w:color="auto" w:fill="FFFFFF"/>
            <w:tcMar>
              <w:top w:w="113" w:type="dxa"/>
              <w:bottom w:w="113" w:type="dxa"/>
            </w:tcMar>
          </w:tcPr>
          <w:p w:rsidR="0057647D" w:rsidRPr="00C75C7E" w:rsidRDefault="0057647D" w:rsidP="0057647D">
            <w:pPr>
              <w:widowControl w:val="0"/>
              <w:ind w:left="275"/>
              <w:rPr>
                <w:sz w:val="16"/>
                <w:szCs w:val="16"/>
                <w:lang w:val="es-ES_tradnl" w:bidi="th-TH"/>
              </w:rPr>
            </w:pPr>
            <w:r w:rsidRPr="00C75C7E">
              <w:rPr>
                <w:sz w:val="16"/>
                <w:szCs w:val="16"/>
                <w:lang w:val="es-ES_tradnl" w:bidi="th-TH"/>
              </w:rPr>
              <w:t>Programa  2</w:t>
            </w:r>
          </w:p>
        </w:tc>
      </w:tr>
      <w:tr w:rsidR="0057647D" w:rsidRPr="00C75C7E" w:rsidTr="0057647D">
        <w:trPr>
          <w:cantSplit/>
          <w:trHeight w:val="494"/>
        </w:trPr>
        <w:tc>
          <w:tcPr>
            <w:tcW w:w="1769" w:type="pct"/>
            <w:shd w:val="clear" w:color="auto" w:fill="auto"/>
            <w:tcMar>
              <w:top w:w="113" w:type="dxa"/>
              <w:bottom w:w="113" w:type="dxa"/>
            </w:tcMar>
          </w:tcPr>
          <w:p w:rsidR="0057647D" w:rsidRPr="00C75C7E" w:rsidRDefault="0057647D" w:rsidP="0057647D">
            <w:pPr>
              <w:widowControl w:val="0"/>
              <w:rPr>
                <w:sz w:val="16"/>
                <w:szCs w:val="16"/>
                <w:lang w:val="es-ES_tradnl"/>
              </w:rPr>
            </w:pPr>
          </w:p>
        </w:tc>
        <w:tc>
          <w:tcPr>
            <w:tcW w:w="1616" w:type="pct"/>
            <w:shd w:val="clear" w:color="auto" w:fill="auto"/>
            <w:tcMar>
              <w:top w:w="113" w:type="dxa"/>
              <w:bottom w:w="113" w:type="dxa"/>
            </w:tcMar>
          </w:tcPr>
          <w:p w:rsidR="0057647D" w:rsidRPr="00C75C7E" w:rsidRDefault="0057647D" w:rsidP="0057647D">
            <w:pPr>
              <w:widowControl w:val="0"/>
              <w:rPr>
                <w:sz w:val="16"/>
                <w:szCs w:val="16"/>
                <w:lang w:val="es-ES_tradnl"/>
              </w:rPr>
            </w:pPr>
            <w:r w:rsidRPr="00C75C7E">
              <w:rPr>
                <w:sz w:val="16"/>
                <w:szCs w:val="16"/>
                <w:lang w:val="es-ES_tradnl"/>
              </w:rPr>
              <w:t>Avances para llegar a un acuerdo sobre las cuestiones que figuran en el orden del día del SCCR.</w:t>
            </w:r>
          </w:p>
        </w:tc>
        <w:tc>
          <w:tcPr>
            <w:tcW w:w="1615" w:type="pct"/>
            <w:shd w:val="clear" w:color="auto" w:fill="FFFFFF"/>
            <w:tcMar>
              <w:top w:w="113" w:type="dxa"/>
              <w:bottom w:w="113" w:type="dxa"/>
            </w:tcMar>
          </w:tcPr>
          <w:p w:rsidR="0057647D" w:rsidRPr="00C75C7E" w:rsidRDefault="0057647D" w:rsidP="0057647D">
            <w:pPr>
              <w:widowControl w:val="0"/>
              <w:ind w:left="275"/>
              <w:rPr>
                <w:sz w:val="16"/>
                <w:szCs w:val="16"/>
                <w:lang w:val="es-ES_tradnl" w:bidi="th-TH"/>
              </w:rPr>
            </w:pPr>
            <w:r w:rsidRPr="00C75C7E">
              <w:rPr>
                <w:sz w:val="16"/>
                <w:szCs w:val="16"/>
                <w:lang w:val="es-ES_tradnl" w:bidi="th-TH"/>
              </w:rPr>
              <w:t>Programa  3</w:t>
            </w:r>
          </w:p>
        </w:tc>
      </w:tr>
      <w:tr w:rsidR="0057647D" w:rsidRPr="00C75C7E" w:rsidTr="0057647D">
        <w:trPr>
          <w:cantSplit/>
          <w:trHeight w:val="671"/>
        </w:trPr>
        <w:tc>
          <w:tcPr>
            <w:tcW w:w="1769" w:type="pct"/>
            <w:shd w:val="clear" w:color="auto" w:fill="auto"/>
            <w:tcMar>
              <w:top w:w="113" w:type="dxa"/>
              <w:bottom w:w="113" w:type="dxa"/>
            </w:tcMar>
          </w:tcPr>
          <w:p w:rsidR="0057647D" w:rsidRPr="00C75C7E" w:rsidRDefault="0057647D" w:rsidP="0057647D">
            <w:pPr>
              <w:widowControl w:val="0"/>
              <w:rPr>
                <w:sz w:val="16"/>
                <w:szCs w:val="16"/>
                <w:lang w:val="es-ES_tradnl"/>
              </w:rPr>
            </w:pPr>
          </w:p>
        </w:tc>
        <w:tc>
          <w:tcPr>
            <w:tcW w:w="1616" w:type="pct"/>
            <w:shd w:val="clear" w:color="auto" w:fill="auto"/>
            <w:tcMar>
              <w:top w:w="113" w:type="dxa"/>
              <w:bottom w:w="113" w:type="dxa"/>
            </w:tcMar>
          </w:tcPr>
          <w:p w:rsidR="0057647D" w:rsidRPr="00C75C7E" w:rsidRDefault="0057647D" w:rsidP="00502F43">
            <w:pPr>
              <w:widowControl w:val="0"/>
              <w:rPr>
                <w:sz w:val="16"/>
                <w:szCs w:val="16"/>
                <w:lang w:val="es-ES_tradnl"/>
              </w:rPr>
            </w:pPr>
            <w:r w:rsidRPr="00C75C7E">
              <w:rPr>
                <w:sz w:val="16"/>
                <w:szCs w:val="16"/>
                <w:lang w:val="es-ES_tradnl"/>
              </w:rPr>
              <w:t>A</w:t>
            </w:r>
            <w:r w:rsidR="00502F43">
              <w:rPr>
                <w:sz w:val="16"/>
                <w:szCs w:val="16"/>
                <w:lang w:val="es-ES_tradnl"/>
              </w:rPr>
              <w:t>cuerdo en las negociaciones</w:t>
            </w:r>
            <w:r w:rsidRPr="00C75C7E">
              <w:rPr>
                <w:sz w:val="16"/>
                <w:szCs w:val="16"/>
                <w:lang w:val="es-ES_tradnl"/>
              </w:rPr>
              <w:t xml:space="preserve"> del CIG </w:t>
            </w:r>
            <w:r w:rsidR="00502F43">
              <w:rPr>
                <w:sz w:val="16"/>
                <w:szCs w:val="16"/>
                <w:lang w:val="es-ES_tradnl"/>
              </w:rPr>
              <w:t>en torno a</w:t>
            </w:r>
            <w:r w:rsidRPr="00C75C7E">
              <w:rPr>
                <w:sz w:val="16"/>
                <w:szCs w:val="16"/>
                <w:lang w:val="es-ES_tradnl"/>
              </w:rPr>
              <w:t xml:space="preserve"> uno o varios instrum</w:t>
            </w:r>
            <w:r w:rsidR="00502F43">
              <w:rPr>
                <w:sz w:val="16"/>
                <w:szCs w:val="16"/>
                <w:lang w:val="es-ES_tradnl"/>
              </w:rPr>
              <w:t>entos jurídicos internacionales sobre CC.TT., ECT y RR.GG.</w:t>
            </w:r>
          </w:p>
        </w:tc>
        <w:tc>
          <w:tcPr>
            <w:tcW w:w="1615" w:type="pct"/>
            <w:shd w:val="clear" w:color="auto" w:fill="FFFFFF"/>
            <w:tcMar>
              <w:top w:w="113" w:type="dxa"/>
              <w:bottom w:w="113" w:type="dxa"/>
            </w:tcMar>
          </w:tcPr>
          <w:p w:rsidR="0057647D" w:rsidRPr="00C75C7E" w:rsidRDefault="0057647D" w:rsidP="0057647D">
            <w:pPr>
              <w:widowControl w:val="0"/>
              <w:ind w:left="275"/>
              <w:rPr>
                <w:sz w:val="16"/>
                <w:szCs w:val="16"/>
                <w:lang w:val="es-ES_tradnl" w:bidi="th-TH"/>
              </w:rPr>
            </w:pPr>
            <w:r w:rsidRPr="00C75C7E">
              <w:rPr>
                <w:sz w:val="16"/>
                <w:szCs w:val="16"/>
                <w:lang w:val="es-ES_tradnl" w:bidi="th-TH"/>
              </w:rPr>
              <w:t>Programa  4</w:t>
            </w:r>
          </w:p>
        </w:tc>
      </w:tr>
      <w:tr w:rsidR="0057647D" w:rsidRPr="00C75C7E" w:rsidTr="0057647D">
        <w:trPr>
          <w:cantSplit/>
          <w:trHeight w:val="1300"/>
        </w:trPr>
        <w:tc>
          <w:tcPr>
            <w:tcW w:w="1769" w:type="pct"/>
            <w:shd w:val="clear" w:color="auto" w:fill="auto"/>
            <w:tcMar>
              <w:top w:w="113" w:type="dxa"/>
              <w:bottom w:w="113" w:type="dxa"/>
            </w:tcMar>
          </w:tcPr>
          <w:p w:rsidR="0057647D" w:rsidRPr="00C75C7E" w:rsidRDefault="0057647D" w:rsidP="0057647D">
            <w:pPr>
              <w:widowControl w:val="0"/>
              <w:rPr>
                <w:sz w:val="16"/>
                <w:szCs w:val="16"/>
                <w:lang w:val="es-ES_tradnl"/>
              </w:rPr>
            </w:pPr>
            <w:r w:rsidRPr="00C75C7E">
              <w:rPr>
                <w:sz w:val="16"/>
                <w:szCs w:val="16"/>
                <w:lang w:val="es-ES_tradnl"/>
              </w:rPr>
              <w:t>I.2. Marcos de P.I. adaptados y equilibrados en el ámbito legislativo, reglamentario y de política.</w:t>
            </w:r>
          </w:p>
        </w:tc>
        <w:tc>
          <w:tcPr>
            <w:tcW w:w="1616" w:type="pct"/>
            <w:shd w:val="clear" w:color="auto" w:fill="auto"/>
            <w:tcMar>
              <w:top w:w="113" w:type="dxa"/>
              <w:bottom w:w="113" w:type="dxa"/>
            </w:tcMar>
          </w:tcPr>
          <w:p w:rsidR="0057647D" w:rsidRPr="00C75C7E" w:rsidRDefault="0057647D" w:rsidP="0057647D">
            <w:pPr>
              <w:widowControl w:val="0"/>
              <w:rPr>
                <w:sz w:val="16"/>
                <w:szCs w:val="16"/>
                <w:lang w:val="es-ES_tradnl"/>
              </w:rPr>
            </w:pPr>
            <w:r w:rsidRPr="00C75C7E">
              <w:rPr>
                <w:sz w:val="16"/>
                <w:szCs w:val="16"/>
                <w:lang w:val="es-ES_tradnl"/>
              </w:rPr>
              <w:t>Número y porcentaje de Estados miembros que consideran útil la información proporcionada en relación con los principios y prácticas jurídicos del sistema de patentes, como, por ejemplo, las flexibilidades que ofrece el sistema y los desafíos que se plantean en la materia.</w:t>
            </w:r>
          </w:p>
        </w:tc>
        <w:tc>
          <w:tcPr>
            <w:tcW w:w="1615" w:type="pct"/>
            <w:shd w:val="clear" w:color="auto" w:fill="FFFFFF"/>
            <w:tcMar>
              <w:top w:w="113" w:type="dxa"/>
              <w:bottom w:w="113" w:type="dxa"/>
            </w:tcMar>
          </w:tcPr>
          <w:p w:rsidR="0057647D" w:rsidRPr="00C75C7E" w:rsidRDefault="0057647D" w:rsidP="0057647D">
            <w:pPr>
              <w:widowControl w:val="0"/>
              <w:ind w:left="275"/>
              <w:rPr>
                <w:sz w:val="16"/>
                <w:szCs w:val="16"/>
                <w:lang w:val="es-ES_tradnl" w:bidi="th-TH"/>
              </w:rPr>
            </w:pPr>
            <w:r w:rsidRPr="00C75C7E">
              <w:rPr>
                <w:sz w:val="16"/>
                <w:szCs w:val="16"/>
                <w:lang w:val="es-ES_tradnl" w:bidi="th-TH"/>
              </w:rPr>
              <w:t>Programa  1</w:t>
            </w:r>
          </w:p>
        </w:tc>
      </w:tr>
      <w:tr w:rsidR="0057647D" w:rsidRPr="00C75C7E" w:rsidTr="0057647D">
        <w:trPr>
          <w:cantSplit/>
          <w:trHeight w:val="675"/>
        </w:trPr>
        <w:tc>
          <w:tcPr>
            <w:tcW w:w="1769" w:type="pct"/>
            <w:shd w:val="clear" w:color="auto" w:fill="auto"/>
            <w:tcMar>
              <w:top w:w="113" w:type="dxa"/>
              <w:bottom w:w="113" w:type="dxa"/>
            </w:tcMar>
          </w:tcPr>
          <w:p w:rsidR="0057647D" w:rsidRPr="00C75C7E" w:rsidRDefault="0057647D" w:rsidP="0057647D">
            <w:pPr>
              <w:widowControl w:val="0"/>
              <w:rPr>
                <w:sz w:val="16"/>
                <w:szCs w:val="16"/>
                <w:lang w:val="es-ES_tradnl"/>
              </w:rPr>
            </w:pPr>
          </w:p>
        </w:tc>
        <w:tc>
          <w:tcPr>
            <w:tcW w:w="1616" w:type="pct"/>
            <w:shd w:val="clear" w:color="auto" w:fill="auto"/>
            <w:tcMar>
              <w:top w:w="113" w:type="dxa"/>
              <w:bottom w:w="113" w:type="dxa"/>
            </w:tcMar>
          </w:tcPr>
          <w:p w:rsidR="0057647D" w:rsidRPr="00C75C7E" w:rsidRDefault="0057647D" w:rsidP="0057647D">
            <w:pPr>
              <w:widowControl w:val="0"/>
              <w:rPr>
                <w:sz w:val="16"/>
                <w:szCs w:val="16"/>
                <w:lang w:val="es-ES_tradnl"/>
              </w:rPr>
            </w:pPr>
            <w:r w:rsidRPr="00C75C7E">
              <w:rPr>
                <w:sz w:val="16"/>
                <w:szCs w:val="16"/>
                <w:lang w:val="es-ES_tradnl"/>
              </w:rPr>
              <w:t>Porcentaje de participantes en talleres/seminarios/conferencias sobre cuestiones específicas relacionadas con las patentes que expresaron satisfacción al respecto.</w:t>
            </w:r>
          </w:p>
        </w:tc>
        <w:tc>
          <w:tcPr>
            <w:tcW w:w="1615" w:type="pct"/>
            <w:shd w:val="clear" w:color="auto" w:fill="FFFFFF"/>
            <w:tcMar>
              <w:top w:w="113" w:type="dxa"/>
              <w:bottom w:w="113" w:type="dxa"/>
            </w:tcMar>
          </w:tcPr>
          <w:p w:rsidR="0057647D" w:rsidRPr="00C75C7E" w:rsidRDefault="0057647D" w:rsidP="0057647D">
            <w:pPr>
              <w:widowControl w:val="0"/>
              <w:ind w:left="275"/>
              <w:rPr>
                <w:sz w:val="16"/>
                <w:szCs w:val="16"/>
                <w:lang w:val="es-ES_tradnl" w:bidi="th-TH"/>
              </w:rPr>
            </w:pPr>
            <w:r w:rsidRPr="00C75C7E">
              <w:rPr>
                <w:sz w:val="16"/>
                <w:szCs w:val="16"/>
                <w:lang w:val="es-ES_tradnl" w:bidi="th-TH"/>
              </w:rPr>
              <w:t>Programa  1</w:t>
            </w:r>
          </w:p>
        </w:tc>
      </w:tr>
      <w:tr w:rsidR="0057647D" w:rsidRPr="00C75C7E" w:rsidTr="0057647D">
        <w:trPr>
          <w:cantSplit/>
          <w:trHeight w:val="969"/>
        </w:trPr>
        <w:tc>
          <w:tcPr>
            <w:tcW w:w="1769" w:type="pct"/>
            <w:shd w:val="clear" w:color="auto" w:fill="auto"/>
            <w:tcMar>
              <w:top w:w="113" w:type="dxa"/>
              <w:bottom w:w="113" w:type="dxa"/>
            </w:tcMar>
          </w:tcPr>
          <w:p w:rsidR="0057647D" w:rsidRPr="00C75C7E" w:rsidRDefault="0057647D" w:rsidP="0057647D">
            <w:pPr>
              <w:widowControl w:val="0"/>
              <w:rPr>
                <w:sz w:val="16"/>
                <w:szCs w:val="16"/>
                <w:lang w:val="es-ES_tradnl"/>
              </w:rPr>
            </w:pPr>
          </w:p>
        </w:tc>
        <w:tc>
          <w:tcPr>
            <w:tcW w:w="1616" w:type="pct"/>
            <w:shd w:val="clear" w:color="auto" w:fill="auto"/>
            <w:tcMar>
              <w:top w:w="113" w:type="dxa"/>
              <w:bottom w:w="113" w:type="dxa"/>
            </w:tcMar>
          </w:tcPr>
          <w:p w:rsidR="0057647D" w:rsidRPr="00C75C7E" w:rsidRDefault="0057647D" w:rsidP="0057647D">
            <w:pPr>
              <w:widowControl w:val="0"/>
              <w:rPr>
                <w:sz w:val="16"/>
                <w:szCs w:val="16"/>
                <w:lang w:val="es-ES_tradnl"/>
              </w:rPr>
            </w:pPr>
            <w:r w:rsidRPr="00C75C7E">
              <w:rPr>
                <w:sz w:val="16"/>
                <w:szCs w:val="16"/>
                <w:lang w:val="es-ES_tradnl"/>
              </w:rPr>
              <w:t>Número y porcentaje de Estados miembros satisfechos con la calidad del asesoramiento jurídico sobre patentes, modelos de utilidad, secretos comerciales y circuitos integrados.</w:t>
            </w:r>
          </w:p>
        </w:tc>
        <w:tc>
          <w:tcPr>
            <w:tcW w:w="1615" w:type="pct"/>
            <w:shd w:val="clear" w:color="auto" w:fill="FFFFFF"/>
            <w:tcMar>
              <w:top w:w="113" w:type="dxa"/>
              <w:bottom w:w="113" w:type="dxa"/>
            </w:tcMar>
          </w:tcPr>
          <w:p w:rsidR="0057647D" w:rsidRPr="00C75C7E" w:rsidRDefault="0057647D" w:rsidP="0057647D">
            <w:pPr>
              <w:widowControl w:val="0"/>
              <w:ind w:left="275"/>
              <w:rPr>
                <w:sz w:val="16"/>
                <w:szCs w:val="16"/>
                <w:lang w:val="es-ES_tradnl" w:bidi="th-TH"/>
              </w:rPr>
            </w:pPr>
            <w:r w:rsidRPr="00C75C7E">
              <w:rPr>
                <w:sz w:val="16"/>
                <w:szCs w:val="16"/>
                <w:lang w:val="es-ES_tradnl" w:bidi="th-TH"/>
              </w:rPr>
              <w:t>Programa  1</w:t>
            </w:r>
          </w:p>
          <w:p w:rsidR="0057647D" w:rsidRPr="00C75C7E" w:rsidRDefault="0057647D" w:rsidP="0057647D">
            <w:pPr>
              <w:widowControl w:val="0"/>
              <w:ind w:left="275"/>
              <w:rPr>
                <w:sz w:val="16"/>
                <w:szCs w:val="16"/>
                <w:lang w:val="es-ES_tradnl" w:bidi="th-TH"/>
              </w:rPr>
            </w:pPr>
            <w:r w:rsidRPr="00C75C7E">
              <w:rPr>
                <w:sz w:val="16"/>
                <w:szCs w:val="16"/>
                <w:lang w:val="es-ES_tradnl" w:bidi="th-TH"/>
              </w:rPr>
              <w:t>Programa  9</w:t>
            </w:r>
          </w:p>
        </w:tc>
      </w:tr>
      <w:tr w:rsidR="0057647D" w:rsidRPr="00C75C7E" w:rsidTr="0057647D">
        <w:trPr>
          <w:cantSplit/>
          <w:trHeight w:val="913"/>
        </w:trPr>
        <w:tc>
          <w:tcPr>
            <w:tcW w:w="1769" w:type="pct"/>
            <w:shd w:val="clear" w:color="auto" w:fill="auto"/>
            <w:tcMar>
              <w:top w:w="113" w:type="dxa"/>
              <w:bottom w:w="113" w:type="dxa"/>
            </w:tcMar>
          </w:tcPr>
          <w:p w:rsidR="0057647D" w:rsidRPr="00C75C7E" w:rsidRDefault="0057647D" w:rsidP="0057647D">
            <w:pPr>
              <w:widowControl w:val="0"/>
              <w:rPr>
                <w:sz w:val="16"/>
                <w:szCs w:val="16"/>
                <w:lang w:val="es-ES_tradnl"/>
              </w:rPr>
            </w:pPr>
          </w:p>
        </w:tc>
        <w:tc>
          <w:tcPr>
            <w:tcW w:w="1616" w:type="pct"/>
            <w:shd w:val="clear" w:color="auto" w:fill="auto"/>
            <w:tcMar>
              <w:top w:w="113" w:type="dxa"/>
              <w:bottom w:w="113" w:type="dxa"/>
            </w:tcMar>
          </w:tcPr>
          <w:p w:rsidR="0057647D" w:rsidRPr="00C75C7E" w:rsidRDefault="00502F43" w:rsidP="00502F43">
            <w:pPr>
              <w:widowControl w:val="0"/>
              <w:rPr>
                <w:sz w:val="16"/>
                <w:szCs w:val="16"/>
                <w:lang w:val="es-ES_tradnl"/>
              </w:rPr>
            </w:pPr>
            <w:r>
              <w:rPr>
                <w:sz w:val="16"/>
                <w:szCs w:val="16"/>
                <w:lang w:val="es-ES_tradnl"/>
              </w:rPr>
              <w:t>Con sujeción a la aprobación de los Estados miembros, ava</w:t>
            </w:r>
            <w:r w:rsidR="0057647D" w:rsidRPr="00C75C7E">
              <w:rPr>
                <w:sz w:val="16"/>
                <w:szCs w:val="16"/>
                <w:lang w:val="es-ES_tradnl"/>
              </w:rPr>
              <w:t xml:space="preserve">nce en la </w:t>
            </w:r>
            <w:r>
              <w:rPr>
                <w:sz w:val="16"/>
                <w:szCs w:val="16"/>
                <w:lang w:val="es-ES_tradnl"/>
              </w:rPr>
              <w:t>revisión</w:t>
            </w:r>
            <w:r w:rsidR="0057647D" w:rsidRPr="00C75C7E">
              <w:rPr>
                <w:sz w:val="16"/>
                <w:szCs w:val="16"/>
                <w:lang w:val="es-ES_tradnl"/>
              </w:rPr>
              <w:t xml:space="preserve"> de la ley tipo sobre patentes para los países en desarrollo y los PMA.</w:t>
            </w:r>
          </w:p>
        </w:tc>
        <w:tc>
          <w:tcPr>
            <w:tcW w:w="1615" w:type="pct"/>
            <w:shd w:val="clear" w:color="auto" w:fill="FFFFFF"/>
            <w:tcMar>
              <w:top w:w="113" w:type="dxa"/>
              <w:bottom w:w="113" w:type="dxa"/>
            </w:tcMar>
          </w:tcPr>
          <w:p w:rsidR="0057647D" w:rsidRPr="00C75C7E" w:rsidRDefault="0057647D" w:rsidP="0057647D">
            <w:pPr>
              <w:widowControl w:val="0"/>
              <w:ind w:left="275"/>
              <w:rPr>
                <w:sz w:val="16"/>
                <w:szCs w:val="16"/>
                <w:lang w:val="es-ES_tradnl" w:bidi="th-TH"/>
              </w:rPr>
            </w:pPr>
            <w:r w:rsidRPr="00C75C7E">
              <w:rPr>
                <w:sz w:val="16"/>
                <w:szCs w:val="16"/>
                <w:lang w:val="es-ES_tradnl" w:bidi="th-TH"/>
              </w:rPr>
              <w:t>Programa  1</w:t>
            </w:r>
          </w:p>
        </w:tc>
      </w:tr>
      <w:tr w:rsidR="0057647D" w:rsidRPr="00C75C7E" w:rsidTr="0057647D">
        <w:trPr>
          <w:cantSplit/>
          <w:trHeight w:val="1025"/>
        </w:trPr>
        <w:tc>
          <w:tcPr>
            <w:tcW w:w="1769" w:type="pct"/>
            <w:shd w:val="clear" w:color="auto" w:fill="auto"/>
            <w:tcMar>
              <w:top w:w="113" w:type="dxa"/>
              <w:bottom w:w="113" w:type="dxa"/>
            </w:tcMar>
          </w:tcPr>
          <w:p w:rsidR="0057647D" w:rsidRPr="00C75C7E" w:rsidRDefault="0057647D" w:rsidP="0057647D">
            <w:pPr>
              <w:widowControl w:val="0"/>
              <w:rPr>
                <w:sz w:val="16"/>
                <w:szCs w:val="16"/>
                <w:lang w:val="es-ES_tradnl"/>
              </w:rPr>
            </w:pPr>
          </w:p>
        </w:tc>
        <w:tc>
          <w:tcPr>
            <w:tcW w:w="1616" w:type="pct"/>
            <w:shd w:val="clear" w:color="auto" w:fill="auto"/>
            <w:tcMar>
              <w:top w:w="113" w:type="dxa"/>
              <w:bottom w:w="113" w:type="dxa"/>
            </w:tcMar>
          </w:tcPr>
          <w:p w:rsidR="0057647D" w:rsidRPr="00C75C7E" w:rsidRDefault="0057647D" w:rsidP="0057647D">
            <w:pPr>
              <w:widowControl w:val="0"/>
              <w:rPr>
                <w:sz w:val="16"/>
                <w:szCs w:val="16"/>
                <w:lang w:val="es-ES_tradnl"/>
              </w:rPr>
            </w:pPr>
            <w:r w:rsidRPr="00C75C7E">
              <w:rPr>
                <w:sz w:val="16"/>
                <w:szCs w:val="16"/>
                <w:lang w:val="es-ES_tradnl"/>
              </w:rPr>
              <w:t>Número y porcentaje de Estados miembros/organizaciones regionales que han presentado comentarios positivos sobre el asesoramiento legislativo proporcionado en la esfera de las marcas, los diseños industriales y las indicaciones geográficas.</w:t>
            </w:r>
          </w:p>
        </w:tc>
        <w:tc>
          <w:tcPr>
            <w:tcW w:w="1615" w:type="pct"/>
            <w:shd w:val="clear" w:color="auto" w:fill="FFFFFF"/>
            <w:tcMar>
              <w:top w:w="113" w:type="dxa"/>
              <w:bottom w:w="113" w:type="dxa"/>
            </w:tcMar>
          </w:tcPr>
          <w:p w:rsidR="0057647D" w:rsidRPr="00C75C7E" w:rsidRDefault="0057647D" w:rsidP="0057647D">
            <w:pPr>
              <w:widowControl w:val="0"/>
              <w:ind w:left="275"/>
              <w:rPr>
                <w:sz w:val="16"/>
                <w:szCs w:val="16"/>
                <w:lang w:val="es-ES_tradnl" w:bidi="th-TH"/>
              </w:rPr>
            </w:pPr>
            <w:r w:rsidRPr="00C75C7E">
              <w:rPr>
                <w:sz w:val="16"/>
                <w:szCs w:val="16"/>
                <w:lang w:val="es-ES_tradnl" w:bidi="th-TH"/>
              </w:rPr>
              <w:t>Programa  2</w:t>
            </w:r>
          </w:p>
          <w:p w:rsidR="0057647D" w:rsidRPr="00C75C7E" w:rsidRDefault="0057647D" w:rsidP="0057647D">
            <w:pPr>
              <w:widowControl w:val="0"/>
              <w:ind w:left="275"/>
              <w:rPr>
                <w:sz w:val="16"/>
                <w:szCs w:val="16"/>
                <w:lang w:val="es-ES_tradnl" w:bidi="th-TH"/>
              </w:rPr>
            </w:pPr>
            <w:r w:rsidRPr="00C75C7E">
              <w:rPr>
                <w:sz w:val="16"/>
                <w:szCs w:val="16"/>
                <w:lang w:val="es-ES_tradnl" w:bidi="th-TH"/>
              </w:rPr>
              <w:t>Programa  9</w:t>
            </w:r>
          </w:p>
        </w:tc>
      </w:tr>
      <w:tr w:rsidR="0057647D" w:rsidRPr="00C75C7E" w:rsidTr="0057647D">
        <w:trPr>
          <w:cantSplit/>
          <w:trHeight w:val="403"/>
        </w:trPr>
        <w:tc>
          <w:tcPr>
            <w:tcW w:w="1769" w:type="pct"/>
            <w:shd w:val="clear" w:color="auto" w:fill="auto"/>
            <w:tcMar>
              <w:top w:w="113" w:type="dxa"/>
              <w:bottom w:w="113" w:type="dxa"/>
            </w:tcMar>
          </w:tcPr>
          <w:p w:rsidR="0057647D" w:rsidRPr="00C75C7E" w:rsidRDefault="0057647D" w:rsidP="0057647D">
            <w:pPr>
              <w:widowControl w:val="0"/>
              <w:rPr>
                <w:sz w:val="16"/>
                <w:szCs w:val="16"/>
                <w:lang w:val="es-ES_tradnl"/>
              </w:rPr>
            </w:pPr>
          </w:p>
        </w:tc>
        <w:tc>
          <w:tcPr>
            <w:tcW w:w="1616" w:type="pct"/>
            <w:shd w:val="clear" w:color="auto" w:fill="auto"/>
            <w:tcMar>
              <w:top w:w="113" w:type="dxa"/>
              <w:bottom w:w="113" w:type="dxa"/>
            </w:tcMar>
          </w:tcPr>
          <w:p w:rsidR="0057647D" w:rsidRPr="00C75C7E" w:rsidRDefault="0057647D" w:rsidP="0057647D">
            <w:pPr>
              <w:widowControl w:val="0"/>
              <w:rPr>
                <w:sz w:val="16"/>
                <w:szCs w:val="16"/>
                <w:lang w:val="es-ES_tradnl"/>
              </w:rPr>
            </w:pPr>
            <w:r w:rsidRPr="00C75C7E">
              <w:rPr>
                <w:sz w:val="16"/>
                <w:szCs w:val="16"/>
                <w:lang w:val="es-ES_tradnl"/>
              </w:rPr>
              <w:t>Número de países que han ratificado el Tratado de Beijing.</w:t>
            </w:r>
          </w:p>
        </w:tc>
        <w:tc>
          <w:tcPr>
            <w:tcW w:w="1615" w:type="pct"/>
            <w:shd w:val="clear" w:color="auto" w:fill="FFFFFF"/>
            <w:tcMar>
              <w:top w:w="113" w:type="dxa"/>
              <w:bottom w:w="113" w:type="dxa"/>
            </w:tcMar>
          </w:tcPr>
          <w:p w:rsidR="0057647D" w:rsidRPr="00C75C7E" w:rsidRDefault="0057647D" w:rsidP="0057647D">
            <w:pPr>
              <w:widowControl w:val="0"/>
              <w:ind w:left="275"/>
              <w:rPr>
                <w:sz w:val="16"/>
                <w:szCs w:val="16"/>
                <w:lang w:val="es-ES_tradnl" w:bidi="th-TH"/>
              </w:rPr>
            </w:pPr>
            <w:r w:rsidRPr="00C75C7E">
              <w:rPr>
                <w:sz w:val="16"/>
                <w:szCs w:val="16"/>
                <w:lang w:val="es-ES_tradnl" w:bidi="th-TH"/>
              </w:rPr>
              <w:t>Programa  3</w:t>
            </w:r>
          </w:p>
          <w:p w:rsidR="0057647D" w:rsidRPr="00C75C7E" w:rsidRDefault="0057647D" w:rsidP="0057647D">
            <w:pPr>
              <w:widowControl w:val="0"/>
              <w:rPr>
                <w:sz w:val="16"/>
                <w:szCs w:val="16"/>
                <w:lang w:val="es-ES_tradnl" w:bidi="th-TH"/>
              </w:rPr>
            </w:pPr>
          </w:p>
        </w:tc>
      </w:tr>
      <w:tr w:rsidR="0057647D" w:rsidRPr="00C75C7E" w:rsidTr="0057647D">
        <w:trPr>
          <w:cantSplit/>
          <w:trHeight w:val="506"/>
        </w:trPr>
        <w:tc>
          <w:tcPr>
            <w:tcW w:w="1769" w:type="pct"/>
            <w:shd w:val="clear" w:color="auto" w:fill="auto"/>
            <w:tcMar>
              <w:top w:w="113" w:type="dxa"/>
              <w:bottom w:w="113" w:type="dxa"/>
            </w:tcMar>
          </w:tcPr>
          <w:p w:rsidR="0057647D" w:rsidRPr="00C75C7E" w:rsidRDefault="0057647D" w:rsidP="0057647D">
            <w:pPr>
              <w:widowControl w:val="0"/>
              <w:rPr>
                <w:sz w:val="16"/>
                <w:szCs w:val="16"/>
                <w:lang w:val="es-ES_tradnl"/>
              </w:rPr>
            </w:pPr>
          </w:p>
        </w:tc>
        <w:tc>
          <w:tcPr>
            <w:tcW w:w="1616" w:type="pct"/>
            <w:shd w:val="clear" w:color="auto" w:fill="auto"/>
            <w:tcMar>
              <w:top w:w="113" w:type="dxa"/>
              <w:bottom w:w="113" w:type="dxa"/>
            </w:tcMar>
          </w:tcPr>
          <w:p w:rsidR="0057647D" w:rsidRPr="00C75C7E" w:rsidRDefault="0057647D" w:rsidP="0057647D">
            <w:pPr>
              <w:widowControl w:val="0"/>
              <w:rPr>
                <w:sz w:val="16"/>
                <w:szCs w:val="16"/>
                <w:lang w:val="es-ES_tradnl"/>
              </w:rPr>
            </w:pPr>
            <w:r w:rsidRPr="00C75C7E">
              <w:rPr>
                <w:sz w:val="16"/>
                <w:szCs w:val="16"/>
                <w:lang w:val="es-ES_tradnl"/>
              </w:rPr>
              <w:t>Número y porcentaje de países que han presentado comentarios positivos sobre el asesoramiento legislativo de la OMPI.</w:t>
            </w:r>
          </w:p>
        </w:tc>
        <w:tc>
          <w:tcPr>
            <w:tcW w:w="1615" w:type="pct"/>
            <w:shd w:val="clear" w:color="auto" w:fill="FFFFFF"/>
            <w:tcMar>
              <w:top w:w="113" w:type="dxa"/>
              <w:bottom w:w="113" w:type="dxa"/>
            </w:tcMar>
          </w:tcPr>
          <w:p w:rsidR="0057647D" w:rsidRPr="00C75C7E" w:rsidRDefault="0057647D" w:rsidP="0057647D">
            <w:pPr>
              <w:widowControl w:val="0"/>
              <w:ind w:left="275"/>
              <w:rPr>
                <w:sz w:val="16"/>
                <w:szCs w:val="16"/>
                <w:lang w:val="es-ES_tradnl" w:bidi="th-TH"/>
              </w:rPr>
            </w:pPr>
            <w:r w:rsidRPr="00C75C7E">
              <w:rPr>
                <w:sz w:val="16"/>
                <w:szCs w:val="16"/>
                <w:lang w:val="es-ES_tradnl" w:bidi="th-TH"/>
              </w:rPr>
              <w:t>Programa  3</w:t>
            </w:r>
          </w:p>
          <w:p w:rsidR="0057647D" w:rsidRPr="00C75C7E" w:rsidRDefault="0057647D" w:rsidP="0057647D">
            <w:pPr>
              <w:widowControl w:val="0"/>
              <w:ind w:left="275"/>
              <w:rPr>
                <w:sz w:val="16"/>
                <w:szCs w:val="16"/>
                <w:lang w:val="es-ES_tradnl" w:bidi="th-TH"/>
              </w:rPr>
            </w:pPr>
            <w:r w:rsidRPr="00C75C7E">
              <w:rPr>
                <w:sz w:val="16"/>
                <w:szCs w:val="16"/>
                <w:lang w:val="es-ES_tradnl" w:bidi="th-TH"/>
              </w:rPr>
              <w:t>Programa  9</w:t>
            </w:r>
          </w:p>
          <w:p w:rsidR="0057647D" w:rsidRPr="00C75C7E" w:rsidRDefault="0057647D" w:rsidP="0057647D">
            <w:pPr>
              <w:widowControl w:val="0"/>
              <w:rPr>
                <w:sz w:val="16"/>
                <w:szCs w:val="16"/>
                <w:lang w:val="es-ES_tradnl" w:bidi="th-TH"/>
              </w:rPr>
            </w:pPr>
          </w:p>
        </w:tc>
      </w:tr>
      <w:tr w:rsidR="0057647D" w:rsidRPr="00C75C7E" w:rsidTr="0057647D">
        <w:trPr>
          <w:cantSplit/>
          <w:trHeight w:val="346"/>
        </w:trPr>
        <w:tc>
          <w:tcPr>
            <w:tcW w:w="1769" w:type="pct"/>
            <w:shd w:val="clear" w:color="auto" w:fill="auto"/>
            <w:tcMar>
              <w:top w:w="113" w:type="dxa"/>
              <w:bottom w:w="113" w:type="dxa"/>
            </w:tcMar>
          </w:tcPr>
          <w:p w:rsidR="0057647D" w:rsidRPr="00C75C7E" w:rsidRDefault="0057647D" w:rsidP="0057647D">
            <w:pPr>
              <w:widowControl w:val="0"/>
              <w:rPr>
                <w:sz w:val="16"/>
                <w:szCs w:val="16"/>
                <w:lang w:val="es-ES_tradnl"/>
              </w:rPr>
            </w:pPr>
          </w:p>
        </w:tc>
        <w:tc>
          <w:tcPr>
            <w:tcW w:w="1616" w:type="pct"/>
            <w:shd w:val="clear" w:color="auto" w:fill="auto"/>
            <w:tcMar>
              <w:top w:w="113" w:type="dxa"/>
              <w:bottom w:w="113" w:type="dxa"/>
            </w:tcMar>
          </w:tcPr>
          <w:p w:rsidR="0057647D" w:rsidRPr="00C75C7E" w:rsidRDefault="0057647D" w:rsidP="0057647D">
            <w:pPr>
              <w:widowControl w:val="0"/>
              <w:rPr>
                <w:sz w:val="16"/>
                <w:szCs w:val="16"/>
                <w:lang w:val="es-ES_tradnl"/>
              </w:rPr>
            </w:pPr>
            <w:r w:rsidRPr="00C75C7E">
              <w:rPr>
                <w:sz w:val="16"/>
                <w:szCs w:val="16"/>
                <w:lang w:val="es-ES_tradnl"/>
              </w:rPr>
              <w:t>Número de ratificaciones de los Tratados Internet de la OMPI.</w:t>
            </w:r>
          </w:p>
        </w:tc>
        <w:tc>
          <w:tcPr>
            <w:tcW w:w="1615" w:type="pct"/>
            <w:shd w:val="clear" w:color="auto" w:fill="FFFFFF"/>
            <w:tcMar>
              <w:top w:w="113" w:type="dxa"/>
              <w:bottom w:w="113" w:type="dxa"/>
            </w:tcMar>
          </w:tcPr>
          <w:p w:rsidR="0057647D" w:rsidRPr="00C75C7E" w:rsidRDefault="0057647D" w:rsidP="0057647D">
            <w:pPr>
              <w:widowControl w:val="0"/>
              <w:ind w:left="275"/>
              <w:rPr>
                <w:sz w:val="16"/>
                <w:szCs w:val="16"/>
                <w:lang w:val="es-ES_tradnl" w:bidi="th-TH"/>
              </w:rPr>
            </w:pPr>
            <w:r w:rsidRPr="00C75C7E">
              <w:rPr>
                <w:sz w:val="16"/>
                <w:szCs w:val="16"/>
                <w:lang w:val="es-ES_tradnl" w:bidi="th-TH"/>
              </w:rPr>
              <w:t>Programa  3</w:t>
            </w:r>
          </w:p>
          <w:p w:rsidR="0057647D" w:rsidRPr="00C75C7E" w:rsidRDefault="0057647D" w:rsidP="0057647D">
            <w:pPr>
              <w:widowControl w:val="0"/>
              <w:ind w:left="275"/>
              <w:rPr>
                <w:sz w:val="16"/>
                <w:szCs w:val="16"/>
                <w:lang w:val="es-ES_tradnl" w:bidi="th-TH"/>
              </w:rPr>
            </w:pPr>
          </w:p>
        </w:tc>
      </w:tr>
      <w:tr w:rsidR="0057647D" w:rsidRPr="00C75C7E" w:rsidTr="0057647D">
        <w:trPr>
          <w:cantSplit/>
          <w:trHeight w:val="399"/>
        </w:trPr>
        <w:tc>
          <w:tcPr>
            <w:tcW w:w="1769" w:type="pct"/>
            <w:shd w:val="clear" w:color="auto" w:fill="auto"/>
            <w:tcMar>
              <w:top w:w="113" w:type="dxa"/>
              <w:bottom w:w="113" w:type="dxa"/>
            </w:tcMar>
          </w:tcPr>
          <w:p w:rsidR="0057647D" w:rsidRPr="00C75C7E" w:rsidRDefault="0057647D" w:rsidP="0057647D">
            <w:pPr>
              <w:widowControl w:val="0"/>
              <w:rPr>
                <w:sz w:val="16"/>
                <w:szCs w:val="16"/>
                <w:lang w:val="es-ES_tradnl"/>
              </w:rPr>
            </w:pPr>
          </w:p>
        </w:tc>
        <w:tc>
          <w:tcPr>
            <w:tcW w:w="1616" w:type="pct"/>
            <w:shd w:val="clear" w:color="auto" w:fill="auto"/>
            <w:tcMar>
              <w:top w:w="113" w:type="dxa"/>
              <w:bottom w:w="113" w:type="dxa"/>
            </w:tcMar>
          </w:tcPr>
          <w:p w:rsidR="0057647D" w:rsidRPr="00C75C7E" w:rsidRDefault="0057647D" w:rsidP="0057647D">
            <w:pPr>
              <w:widowControl w:val="0"/>
              <w:rPr>
                <w:sz w:val="16"/>
                <w:szCs w:val="16"/>
                <w:lang w:val="es-ES_tradnl"/>
              </w:rPr>
            </w:pPr>
            <w:r w:rsidRPr="00C75C7E">
              <w:rPr>
                <w:sz w:val="16"/>
                <w:szCs w:val="16"/>
                <w:lang w:val="es-ES_tradnl"/>
              </w:rPr>
              <w:t>Número de países que han ratificado el Tratado de Marrakech sobre las personas con discapacidad visual.</w:t>
            </w:r>
          </w:p>
        </w:tc>
        <w:tc>
          <w:tcPr>
            <w:tcW w:w="1615" w:type="pct"/>
            <w:shd w:val="clear" w:color="auto" w:fill="FFFFFF"/>
            <w:tcMar>
              <w:top w:w="113" w:type="dxa"/>
              <w:bottom w:w="113" w:type="dxa"/>
            </w:tcMar>
          </w:tcPr>
          <w:p w:rsidR="0057647D" w:rsidRPr="00C75C7E" w:rsidRDefault="0057647D" w:rsidP="0057647D">
            <w:pPr>
              <w:widowControl w:val="0"/>
              <w:ind w:left="275"/>
              <w:rPr>
                <w:sz w:val="16"/>
                <w:szCs w:val="16"/>
                <w:lang w:val="es-ES_tradnl" w:bidi="th-TH"/>
              </w:rPr>
            </w:pPr>
            <w:r w:rsidRPr="00C75C7E">
              <w:rPr>
                <w:sz w:val="16"/>
                <w:szCs w:val="16"/>
                <w:lang w:val="es-ES_tradnl" w:bidi="th-TH"/>
              </w:rPr>
              <w:t>Programa  3</w:t>
            </w:r>
          </w:p>
          <w:p w:rsidR="0057647D" w:rsidRPr="00C75C7E" w:rsidRDefault="0057647D" w:rsidP="0057647D">
            <w:pPr>
              <w:widowControl w:val="0"/>
              <w:ind w:left="275"/>
              <w:rPr>
                <w:sz w:val="16"/>
                <w:szCs w:val="16"/>
                <w:lang w:val="es-ES_tradnl" w:bidi="th-TH"/>
              </w:rPr>
            </w:pPr>
          </w:p>
        </w:tc>
      </w:tr>
      <w:tr w:rsidR="0057647D" w:rsidRPr="00C75C7E" w:rsidTr="0057647D">
        <w:trPr>
          <w:cantSplit/>
          <w:trHeight w:val="432"/>
        </w:trPr>
        <w:tc>
          <w:tcPr>
            <w:tcW w:w="1769" w:type="pct"/>
            <w:shd w:val="clear" w:color="auto" w:fill="auto"/>
            <w:tcMar>
              <w:top w:w="113" w:type="dxa"/>
              <w:bottom w:w="113" w:type="dxa"/>
            </w:tcMar>
          </w:tcPr>
          <w:p w:rsidR="0057647D" w:rsidRPr="00C75C7E" w:rsidRDefault="0057647D" w:rsidP="0057647D">
            <w:pPr>
              <w:widowControl w:val="0"/>
              <w:rPr>
                <w:sz w:val="16"/>
                <w:szCs w:val="16"/>
                <w:lang w:val="es-ES_tradnl"/>
              </w:rPr>
            </w:pPr>
          </w:p>
        </w:tc>
        <w:tc>
          <w:tcPr>
            <w:tcW w:w="1616" w:type="pct"/>
            <w:shd w:val="clear" w:color="auto" w:fill="auto"/>
            <w:tcMar>
              <w:top w:w="113" w:type="dxa"/>
              <w:bottom w:w="113" w:type="dxa"/>
            </w:tcMar>
          </w:tcPr>
          <w:p w:rsidR="0057647D" w:rsidRPr="00C75C7E" w:rsidRDefault="0057647D" w:rsidP="0057647D">
            <w:pPr>
              <w:widowControl w:val="0"/>
              <w:rPr>
                <w:sz w:val="16"/>
                <w:szCs w:val="16"/>
                <w:lang w:val="es-ES_tradnl"/>
              </w:rPr>
            </w:pPr>
            <w:r w:rsidRPr="00C75C7E">
              <w:rPr>
                <w:sz w:val="16"/>
                <w:szCs w:val="16"/>
                <w:lang w:val="es-ES_tradnl"/>
              </w:rPr>
              <w:t>Número de países que han actualizado su legislación o sus reglamentos.</w:t>
            </w:r>
          </w:p>
        </w:tc>
        <w:tc>
          <w:tcPr>
            <w:tcW w:w="1615" w:type="pct"/>
            <w:shd w:val="clear" w:color="auto" w:fill="FFFFFF"/>
            <w:tcMar>
              <w:top w:w="113" w:type="dxa"/>
              <w:bottom w:w="113" w:type="dxa"/>
            </w:tcMar>
          </w:tcPr>
          <w:p w:rsidR="0057647D" w:rsidRPr="00C75C7E" w:rsidRDefault="0057647D" w:rsidP="007D5C17">
            <w:pPr>
              <w:widowControl w:val="0"/>
              <w:ind w:left="275"/>
              <w:rPr>
                <w:sz w:val="16"/>
                <w:szCs w:val="16"/>
                <w:lang w:val="es-ES_tradnl" w:bidi="th-TH"/>
              </w:rPr>
            </w:pPr>
            <w:r w:rsidRPr="00C75C7E">
              <w:rPr>
                <w:sz w:val="16"/>
                <w:szCs w:val="16"/>
                <w:lang w:val="es-ES_tradnl" w:bidi="th-TH"/>
              </w:rPr>
              <w:t>Programa 10</w:t>
            </w:r>
          </w:p>
        </w:tc>
      </w:tr>
      <w:tr w:rsidR="0057647D" w:rsidRPr="00C75C7E" w:rsidTr="0057647D">
        <w:trPr>
          <w:cantSplit/>
          <w:trHeight w:val="744"/>
        </w:trPr>
        <w:tc>
          <w:tcPr>
            <w:tcW w:w="1769" w:type="pct"/>
            <w:shd w:val="clear" w:color="auto" w:fill="auto"/>
            <w:tcMar>
              <w:top w:w="113" w:type="dxa"/>
              <w:bottom w:w="113" w:type="dxa"/>
            </w:tcMar>
          </w:tcPr>
          <w:p w:rsidR="0057647D" w:rsidRPr="00C75C7E" w:rsidRDefault="0057647D" w:rsidP="0057647D">
            <w:pPr>
              <w:widowControl w:val="0"/>
              <w:rPr>
                <w:sz w:val="16"/>
                <w:szCs w:val="16"/>
                <w:lang w:val="es-ES_tradnl"/>
              </w:rPr>
            </w:pPr>
          </w:p>
        </w:tc>
        <w:tc>
          <w:tcPr>
            <w:tcW w:w="1616" w:type="pct"/>
            <w:shd w:val="clear" w:color="auto" w:fill="auto"/>
            <w:tcMar>
              <w:top w:w="113" w:type="dxa"/>
              <w:bottom w:w="113" w:type="dxa"/>
            </w:tcMar>
          </w:tcPr>
          <w:p w:rsidR="0057647D" w:rsidRPr="00C75C7E" w:rsidRDefault="0057647D" w:rsidP="0057647D">
            <w:pPr>
              <w:widowControl w:val="0"/>
              <w:rPr>
                <w:sz w:val="16"/>
                <w:szCs w:val="16"/>
                <w:lang w:val="es-ES_tradnl"/>
              </w:rPr>
            </w:pPr>
            <w:r w:rsidRPr="00C75C7E">
              <w:rPr>
                <w:sz w:val="16"/>
                <w:szCs w:val="16"/>
                <w:lang w:val="es-ES_tradnl"/>
              </w:rPr>
              <w:t>Número de países que han aprobado o modificado los marcos pertinentes (o lo están haciendo actualmente) tras recibir asistencia de la OMPI.</w:t>
            </w:r>
          </w:p>
        </w:tc>
        <w:tc>
          <w:tcPr>
            <w:tcW w:w="1615" w:type="pct"/>
            <w:shd w:val="clear" w:color="auto" w:fill="FFFFFF"/>
            <w:tcMar>
              <w:top w:w="113" w:type="dxa"/>
              <w:bottom w:w="113" w:type="dxa"/>
            </w:tcMar>
          </w:tcPr>
          <w:p w:rsidR="0057647D" w:rsidRPr="00C75C7E" w:rsidRDefault="0057647D" w:rsidP="007D5C17">
            <w:pPr>
              <w:widowControl w:val="0"/>
              <w:ind w:left="275"/>
              <w:rPr>
                <w:sz w:val="16"/>
                <w:szCs w:val="16"/>
                <w:lang w:val="es-ES_tradnl" w:bidi="th-TH"/>
              </w:rPr>
            </w:pPr>
            <w:r w:rsidRPr="00C75C7E">
              <w:rPr>
                <w:sz w:val="16"/>
                <w:szCs w:val="16"/>
                <w:lang w:val="es-ES_tradnl" w:bidi="th-TH"/>
              </w:rPr>
              <w:t>Programa 17</w:t>
            </w:r>
          </w:p>
        </w:tc>
      </w:tr>
      <w:tr w:rsidR="0057647D" w:rsidRPr="00C75C7E" w:rsidTr="0057647D">
        <w:trPr>
          <w:cantSplit/>
          <w:trHeight w:val="660"/>
        </w:trPr>
        <w:tc>
          <w:tcPr>
            <w:tcW w:w="1769" w:type="pct"/>
            <w:shd w:val="clear" w:color="auto" w:fill="auto"/>
            <w:tcMar>
              <w:top w:w="113" w:type="dxa"/>
              <w:bottom w:w="113" w:type="dxa"/>
            </w:tcMar>
          </w:tcPr>
          <w:p w:rsidR="0057647D" w:rsidRPr="00C75C7E" w:rsidRDefault="0057647D" w:rsidP="0057647D">
            <w:pPr>
              <w:widowControl w:val="0"/>
              <w:rPr>
                <w:sz w:val="16"/>
                <w:szCs w:val="16"/>
                <w:lang w:val="es-ES_tradnl"/>
              </w:rPr>
            </w:pPr>
            <w:r w:rsidRPr="00C75C7E">
              <w:rPr>
                <w:sz w:val="16"/>
                <w:szCs w:val="16"/>
                <w:lang w:val="es-ES_tradnl"/>
              </w:rPr>
              <w:t>I.3. Aumento de la protección de los emblemas de Estado y de los nombres y emblemas de organizaciones intergubernamentales internacionales.</w:t>
            </w:r>
          </w:p>
        </w:tc>
        <w:tc>
          <w:tcPr>
            <w:tcW w:w="1616" w:type="pct"/>
            <w:shd w:val="clear" w:color="auto" w:fill="auto"/>
            <w:tcMar>
              <w:top w:w="113" w:type="dxa"/>
              <w:bottom w:w="113" w:type="dxa"/>
            </w:tcMar>
          </w:tcPr>
          <w:p w:rsidR="0057647D" w:rsidRPr="00C75C7E" w:rsidRDefault="0057647D" w:rsidP="0057647D">
            <w:pPr>
              <w:widowControl w:val="0"/>
              <w:rPr>
                <w:sz w:val="16"/>
                <w:szCs w:val="16"/>
                <w:lang w:val="es-ES_tradnl"/>
              </w:rPr>
            </w:pPr>
            <w:r w:rsidRPr="00C75C7E">
              <w:rPr>
                <w:sz w:val="16"/>
                <w:szCs w:val="16"/>
                <w:lang w:val="es-ES_tradnl"/>
              </w:rPr>
              <w:t>Número de peticiones de comunicación tramitadas en virtud del artículo 6</w:t>
            </w:r>
            <w:r w:rsidRPr="00C75C7E">
              <w:rPr>
                <w:i/>
                <w:sz w:val="16"/>
                <w:szCs w:val="16"/>
                <w:lang w:val="es-ES_tradnl"/>
              </w:rPr>
              <w:t>ter.</w:t>
            </w:r>
          </w:p>
        </w:tc>
        <w:tc>
          <w:tcPr>
            <w:tcW w:w="1615" w:type="pct"/>
            <w:shd w:val="clear" w:color="auto" w:fill="FFFFFF"/>
            <w:tcMar>
              <w:top w:w="113" w:type="dxa"/>
              <w:bottom w:w="113" w:type="dxa"/>
            </w:tcMar>
          </w:tcPr>
          <w:p w:rsidR="0057647D" w:rsidRPr="00C75C7E" w:rsidRDefault="0057647D" w:rsidP="0057647D">
            <w:pPr>
              <w:widowControl w:val="0"/>
              <w:ind w:left="275"/>
              <w:rPr>
                <w:sz w:val="16"/>
                <w:szCs w:val="16"/>
                <w:lang w:val="es-ES_tradnl" w:bidi="th-TH"/>
              </w:rPr>
            </w:pPr>
            <w:r w:rsidRPr="00C75C7E">
              <w:rPr>
                <w:sz w:val="16"/>
                <w:szCs w:val="16"/>
                <w:lang w:val="es-ES_tradnl" w:bidi="th-TH"/>
              </w:rPr>
              <w:t>Programa  2</w:t>
            </w:r>
          </w:p>
        </w:tc>
      </w:tr>
      <w:tr w:rsidR="0057647D" w:rsidRPr="00C75C7E" w:rsidTr="0057647D">
        <w:trPr>
          <w:cantSplit/>
          <w:trHeight w:val="382"/>
        </w:trPr>
        <w:tc>
          <w:tcPr>
            <w:tcW w:w="1769" w:type="pct"/>
            <w:shd w:val="clear" w:color="auto" w:fill="auto"/>
            <w:tcMar>
              <w:top w:w="113" w:type="dxa"/>
              <w:bottom w:w="113" w:type="dxa"/>
            </w:tcMar>
          </w:tcPr>
          <w:p w:rsidR="0057647D" w:rsidRPr="00C75C7E" w:rsidRDefault="0057647D" w:rsidP="0057647D">
            <w:pPr>
              <w:widowControl w:val="0"/>
              <w:rPr>
                <w:sz w:val="16"/>
                <w:szCs w:val="16"/>
                <w:lang w:val="es-ES_tradnl"/>
              </w:rPr>
            </w:pPr>
          </w:p>
        </w:tc>
        <w:tc>
          <w:tcPr>
            <w:tcW w:w="1616" w:type="pct"/>
            <w:shd w:val="clear" w:color="auto" w:fill="auto"/>
            <w:tcMar>
              <w:top w:w="113" w:type="dxa"/>
              <w:bottom w:w="113" w:type="dxa"/>
            </w:tcMar>
          </w:tcPr>
          <w:p w:rsidR="0057647D" w:rsidRPr="00C75C7E" w:rsidRDefault="0057647D" w:rsidP="0057647D">
            <w:pPr>
              <w:widowControl w:val="0"/>
              <w:rPr>
                <w:sz w:val="16"/>
                <w:szCs w:val="16"/>
                <w:lang w:val="es-ES_tradnl"/>
              </w:rPr>
            </w:pPr>
            <w:r w:rsidRPr="00C75C7E">
              <w:rPr>
                <w:sz w:val="16"/>
                <w:szCs w:val="16"/>
                <w:lang w:val="es-ES_tradnl"/>
              </w:rPr>
              <w:t>Número de signos publicados en la base de datos sobre el artículo 6</w:t>
            </w:r>
            <w:r w:rsidRPr="00C75C7E">
              <w:rPr>
                <w:i/>
                <w:sz w:val="16"/>
                <w:szCs w:val="16"/>
                <w:lang w:val="es-ES_tradnl"/>
              </w:rPr>
              <w:t>ter</w:t>
            </w:r>
            <w:r w:rsidRPr="00C75C7E">
              <w:rPr>
                <w:sz w:val="16"/>
                <w:szCs w:val="16"/>
                <w:lang w:val="es-ES_tradnl"/>
              </w:rPr>
              <w:t>.</w:t>
            </w:r>
          </w:p>
        </w:tc>
        <w:tc>
          <w:tcPr>
            <w:tcW w:w="1615" w:type="pct"/>
            <w:shd w:val="clear" w:color="auto" w:fill="FFFFFF"/>
            <w:tcMar>
              <w:top w:w="113" w:type="dxa"/>
              <w:bottom w:w="113" w:type="dxa"/>
            </w:tcMar>
          </w:tcPr>
          <w:p w:rsidR="0057647D" w:rsidRPr="00C75C7E" w:rsidRDefault="0057647D" w:rsidP="0057647D">
            <w:pPr>
              <w:widowControl w:val="0"/>
              <w:ind w:left="275"/>
              <w:rPr>
                <w:sz w:val="16"/>
                <w:szCs w:val="16"/>
                <w:lang w:val="es-ES_tradnl" w:bidi="th-TH"/>
              </w:rPr>
            </w:pPr>
            <w:r w:rsidRPr="00C75C7E">
              <w:rPr>
                <w:sz w:val="16"/>
                <w:szCs w:val="16"/>
                <w:lang w:val="es-ES_tradnl" w:bidi="th-TH"/>
              </w:rPr>
              <w:t>Programa  2</w:t>
            </w:r>
          </w:p>
        </w:tc>
      </w:tr>
    </w:tbl>
    <w:p w:rsidR="0057647D" w:rsidRPr="00C75C7E" w:rsidRDefault="0057647D" w:rsidP="0057647D">
      <w:pPr>
        <w:widowControl w:val="0"/>
        <w:tabs>
          <w:tab w:val="left" w:pos="0"/>
        </w:tabs>
        <w:rPr>
          <w:iCs/>
          <w:sz w:val="20"/>
          <w:lang w:val="es-ES_tradnl"/>
        </w:rPr>
      </w:pPr>
    </w:p>
    <w:p w:rsidR="007C2B91" w:rsidRPr="002370D4" w:rsidRDefault="0057647D" w:rsidP="002370D4">
      <w:pPr>
        <w:pStyle w:val="Heading3"/>
        <w:tabs>
          <w:tab w:val="left" w:pos="1985"/>
        </w:tabs>
        <w:rPr>
          <w:b/>
          <w:iCs/>
          <w:caps/>
          <w:u w:val="none"/>
        </w:rPr>
      </w:pPr>
      <w:r>
        <w:rPr>
          <w:sz w:val="20"/>
          <w:lang w:val="es-ES_tradnl"/>
        </w:rPr>
        <w:br w:type="page"/>
      </w:r>
      <w:bookmarkStart w:id="20" w:name="_Toc358816685"/>
      <w:r w:rsidR="007C2B91" w:rsidRPr="002370D4">
        <w:rPr>
          <w:b/>
          <w:iCs/>
          <w:caps/>
          <w:u w:val="none"/>
        </w:rPr>
        <w:lastRenderedPageBreak/>
        <w:t>PROGRAMA 1</w:t>
      </w:r>
      <w:r w:rsidR="007C2B91" w:rsidRPr="002370D4">
        <w:rPr>
          <w:b/>
          <w:iCs/>
          <w:caps/>
          <w:u w:val="none"/>
        </w:rPr>
        <w:tab/>
        <w:t>DERECHO DE PATENTES</w:t>
      </w:r>
      <w:bookmarkEnd w:id="20"/>
    </w:p>
    <w:p w:rsidR="007C2B91" w:rsidRPr="007C2B91" w:rsidRDefault="007C2B91" w:rsidP="007C2B91">
      <w:pPr>
        <w:widowControl w:val="0"/>
        <w:tabs>
          <w:tab w:val="left" w:pos="1701"/>
        </w:tabs>
        <w:ind w:left="1701" w:hanging="1701"/>
        <w:rPr>
          <w:rFonts w:eastAsia="Times New Roman" w:cs="Times New Roman"/>
          <w:bCs/>
          <w:iCs/>
          <w:sz w:val="20"/>
          <w:lang w:eastAsia="en-US"/>
        </w:rPr>
      </w:pPr>
    </w:p>
    <w:p w:rsidR="007C2B91" w:rsidRPr="007C2B91" w:rsidRDefault="007C2B91" w:rsidP="007C2B91">
      <w:pPr>
        <w:widowControl w:val="0"/>
        <w:rPr>
          <w:rFonts w:eastAsia="Times New Roman" w:cs="Times New Roman"/>
          <w:bCs/>
          <w:sz w:val="20"/>
          <w:lang w:eastAsia="en-US"/>
        </w:rPr>
      </w:pPr>
    </w:p>
    <w:p w:rsidR="007C2B91" w:rsidRPr="007C2B91" w:rsidRDefault="007C2B91" w:rsidP="007C2B91">
      <w:pPr>
        <w:widowControl w:val="0"/>
        <w:autoSpaceDE w:val="0"/>
        <w:autoSpaceDN w:val="0"/>
        <w:adjustRightInd w:val="0"/>
        <w:ind w:right="-59"/>
        <w:jc w:val="both"/>
        <w:rPr>
          <w:rFonts w:eastAsia="Times New Roman" w:cs="ArialMT"/>
          <w:szCs w:val="22"/>
          <w:lang w:eastAsia="en-US"/>
        </w:rPr>
      </w:pPr>
      <w:r w:rsidRPr="007C2B91">
        <w:rPr>
          <w:rFonts w:eastAsia="Times New Roman" w:cs="ArialMT"/>
          <w:szCs w:val="22"/>
          <w:lang w:eastAsia="en-US"/>
        </w:rPr>
        <w:t>CONTEXTO DE PLANIFICACIÓN</w:t>
      </w:r>
    </w:p>
    <w:p w:rsidR="007C2B91" w:rsidRPr="007C2B91" w:rsidRDefault="007C2B91" w:rsidP="007C2B91">
      <w:pPr>
        <w:widowControl w:val="0"/>
        <w:autoSpaceDE w:val="0"/>
        <w:autoSpaceDN w:val="0"/>
        <w:adjustRightInd w:val="0"/>
        <w:ind w:right="-59"/>
        <w:jc w:val="both"/>
        <w:rPr>
          <w:rFonts w:eastAsia="Times New Roman" w:cs="ArialMT"/>
          <w:szCs w:val="22"/>
          <w:lang w:eastAsia="en-US"/>
        </w:rPr>
      </w:pPr>
    </w:p>
    <w:p w:rsidR="007C2B91" w:rsidRPr="007C2B91" w:rsidRDefault="007C2B91" w:rsidP="007C2B91">
      <w:pPr>
        <w:widowControl w:val="0"/>
        <w:numPr>
          <w:ilvl w:val="0"/>
          <w:numId w:val="8"/>
        </w:numPr>
        <w:jc w:val="both"/>
        <w:rPr>
          <w:rFonts w:eastAsia="Times New Roman"/>
          <w:bCs/>
          <w:sz w:val="20"/>
          <w:lang w:eastAsia="en-US"/>
        </w:rPr>
      </w:pPr>
      <w:r w:rsidRPr="007C2B91">
        <w:rPr>
          <w:rFonts w:eastAsia="Times New Roman"/>
          <w:sz w:val="20"/>
          <w:lang w:eastAsia="en-US"/>
        </w:rPr>
        <w:t xml:space="preserve">Entre los desafíos fundamentales que afronta este programa se encuentra velar por que la normativa internacional de P.I. se mantenga a la par del entorno tecnológico, económico y social, que evoluciona rápidamente.  En el programa 1 se abordan cuestiones relacionadas con </w:t>
      </w:r>
      <w:r w:rsidRPr="007C2B91">
        <w:rPr>
          <w:rFonts w:eastAsia="Times New Roman"/>
          <w:bCs/>
          <w:sz w:val="20"/>
          <w:lang w:eastAsia="en-US"/>
        </w:rPr>
        <w:t>las patentes, los modelos de utilidad, la información no divulgada y los secretos comerciales, y los circuitos integrados.  Los desafíos más importantes previstos para el bienio 2014/15 son los siguientes</w:t>
      </w:r>
      <w:r w:rsidRPr="007C2B91">
        <w:rPr>
          <w:rFonts w:eastAsia="Times New Roman"/>
          <w:sz w:val="20"/>
          <w:lang w:eastAsia="en-US"/>
        </w:rPr>
        <w:t>:</w:t>
      </w:r>
    </w:p>
    <w:p w:rsidR="007C2B91" w:rsidRPr="007C2B91" w:rsidRDefault="007C2B91" w:rsidP="007C2B91">
      <w:pPr>
        <w:widowControl w:val="0"/>
        <w:autoSpaceDE w:val="0"/>
        <w:autoSpaceDN w:val="0"/>
        <w:adjustRightInd w:val="0"/>
        <w:ind w:right="-59"/>
        <w:jc w:val="both"/>
        <w:rPr>
          <w:rFonts w:eastAsia="Times New Roman" w:cs="ArialMT"/>
          <w:sz w:val="20"/>
          <w:lang w:eastAsia="en-US"/>
        </w:rPr>
      </w:pPr>
    </w:p>
    <w:p w:rsidR="007C2B91" w:rsidRPr="007C2B91" w:rsidRDefault="007C2B91" w:rsidP="007C2B91">
      <w:pPr>
        <w:widowControl w:val="0"/>
        <w:numPr>
          <w:ilvl w:val="0"/>
          <w:numId w:val="9"/>
        </w:numPr>
        <w:tabs>
          <w:tab w:val="num" w:pos="990"/>
        </w:tabs>
        <w:spacing w:after="120"/>
        <w:ind w:left="992" w:hanging="442"/>
        <w:jc w:val="both"/>
        <w:rPr>
          <w:rFonts w:eastAsia="Times New Roman"/>
          <w:bCs/>
          <w:sz w:val="20"/>
          <w:lang w:eastAsia="ja-JP"/>
        </w:rPr>
      </w:pPr>
      <w:r w:rsidRPr="007C2B91">
        <w:rPr>
          <w:rFonts w:eastAsia="Times New Roman"/>
          <w:bCs/>
          <w:sz w:val="20"/>
          <w:lang w:eastAsia="ja-JP"/>
        </w:rPr>
        <w:t>El ritmo de evolución tecnológica, que plantea un desafío al desarrollo del sistema internacional de patentes;</w:t>
      </w:r>
    </w:p>
    <w:p w:rsidR="007C2B91" w:rsidRPr="007C2B91" w:rsidRDefault="007C2B91" w:rsidP="007C2B91">
      <w:pPr>
        <w:widowControl w:val="0"/>
        <w:numPr>
          <w:ilvl w:val="0"/>
          <w:numId w:val="9"/>
        </w:numPr>
        <w:tabs>
          <w:tab w:val="num" w:pos="990"/>
        </w:tabs>
        <w:spacing w:after="120"/>
        <w:ind w:left="992" w:hanging="442"/>
        <w:jc w:val="both"/>
        <w:rPr>
          <w:rFonts w:eastAsia="Times New Roman" w:cs="ArialMT"/>
          <w:sz w:val="20"/>
          <w:lang w:eastAsia="en-US"/>
        </w:rPr>
      </w:pPr>
      <w:r w:rsidRPr="007C2B91">
        <w:rPr>
          <w:rFonts w:eastAsia="Times New Roman"/>
          <w:bCs/>
          <w:sz w:val="20"/>
          <w:lang w:eastAsia="ja-JP"/>
        </w:rPr>
        <w:t>La exigencia continua de suministrar mejor información acerca de la función, la incidencia y la aplicación del sistema internacional de patentes, incluidas las flexibilidades que ofrece tanto en el ámbito de los foros internacionales como en materia de asesoramiento legislativo y político a los Estados miembros</w:t>
      </w:r>
      <w:r w:rsidRPr="007C2B91">
        <w:rPr>
          <w:rFonts w:eastAsia="Times New Roman" w:cs="ArialMT"/>
          <w:sz w:val="20"/>
          <w:lang w:eastAsia="en-US"/>
        </w:rPr>
        <w:t>;</w:t>
      </w:r>
    </w:p>
    <w:p w:rsidR="007C2B91" w:rsidRPr="007C2B91" w:rsidRDefault="007C2B91" w:rsidP="007C2B91">
      <w:pPr>
        <w:widowControl w:val="0"/>
        <w:numPr>
          <w:ilvl w:val="0"/>
          <w:numId w:val="9"/>
        </w:numPr>
        <w:tabs>
          <w:tab w:val="num" w:pos="990"/>
        </w:tabs>
        <w:spacing w:after="120"/>
        <w:ind w:left="992" w:hanging="442"/>
        <w:jc w:val="both"/>
        <w:rPr>
          <w:rFonts w:eastAsia="Times New Roman" w:cs="ArialMT"/>
          <w:sz w:val="20"/>
          <w:lang w:eastAsia="en-US"/>
        </w:rPr>
      </w:pPr>
      <w:r w:rsidRPr="007C2B91">
        <w:rPr>
          <w:rFonts w:eastAsia="Times New Roman"/>
          <w:bCs/>
          <w:sz w:val="20"/>
          <w:lang w:eastAsia="ja-JP"/>
        </w:rPr>
        <w:t>La existencia de nuevos enfoques de elaboración de normas al margen del contexto multilateral</w:t>
      </w:r>
      <w:r w:rsidRPr="007C2B91">
        <w:rPr>
          <w:rFonts w:eastAsia="Times New Roman" w:cs="ArialMT"/>
          <w:sz w:val="20"/>
          <w:lang w:eastAsia="en-US"/>
        </w:rPr>
        <w:t>;</w:t>
      </w:r>
    </w:p>
    <w:p w:rsidR="007C2B91" w:rsidRPr="007C2B91" w:rsidRDefault="007C2B91" w:rsidP="007C2B91">
      <w:pPr>
        <w:widowControl w:val="0"/>
        <w:numPr>
          <w:ilvl w:val="0"/>
          <w:numId w:val="9"/>
        </w:numPr>
        <w:tabs>
          <w:tab w:val="num" w:pos="990"/>
        </w:tabs>
        <w:spacing w:after="120"/>
        <w:ind w:left="992" w:hanging="442"/>
        <w:jc w:val="both"/>
        <w:rPr>
          <w:rFonts w:eastAsia="Times New Roman" w:cs="ArialMT"/>
          <w:sz w:val="20"/>
          <w:lang w:eastAsia="en-US"/>
        </w:rPr>
      </w:pPr>
      <w:r w:rsidRPr="007C2B91">
        <w:rPr>
          <w:rFonts w:eastAsia="Times New Roman"/>
          <w:sz w:val="20"/>
          <w:lang w:eastAsia="en-US"/>
        </w:rPr>
        <w:t>La incidencia que tiene el sistema de patentes en unos mecanismos de innovación cada vez más complejos y globalizados y las distintas concepciones que existen en relación con su función, incluidos los beneficios que aporta a la sociedad en general</w:t>
      </w:r>
      <w:r w:rsidRPr="007C2B91">
        <w:rPr>
          <w:rFonts w:eastAsia="Times New Roman" w:cs="ArialMT"/>
          <w:sz w:val="20"/>
          <w:lang w:eastAsia="en-US"/>
        </w:rPr>
        <w:t>;</w:t>
      </w:r>
    </w:p>
    <w:p w:rsidR="007C2B91" w:rsidRPr="007C2B91" w:rsidRDefault="007C2B91" w:rsidP="007C2B91">
      <w:pPr>
        <w:widowControl w:val="0"/>
        <w:numPr>
          <w:ilvl w:val="0"/>
          <w:numId w:val="9"/>
        </w:numPr>
        <w:tabs>
          <w:tab w:val="num" w:pos="990"/>
        </w:tabs>
        <w:spacing w:after="120"/>
        <w:ind w:left="992" w:hanging="442"/>
        <w:jc w:val="both"/>
        <w:rPr>
          <w:rFonts w:eastAsia="Times New Roman" w:cs="ArialMT"/>
          <w:sz w:val="20"/>
          <w:lang w:eastAsia="en-US"/>
        </w:rPr>
      </w:pPr>
      <w:r w:rsidRPr="007C2B91">
        <w:rPr>
          <w:rFonts w:eastAsia="Times New Roman" w:cs="ArialMT"/>
          <w:sz w:val="20"/>
          <w:lang w:eastAsia="en-US"/>
        </w:rPr>
        <w:t>La tensión existente entre las opciones de política pública en cuanto al alcance y a la aplicación adecuados del sistema de patentes;</w:t>
      </w:r>
    </w:p>
    <w:p w:rsidR="007C2B91" w:rsidRDefault="007C2B91" w:rsidP="007C2B91">
      <w:pPr>
        <w:widowControl w:val="0"/>
        <w:numPr>
          <w:ilvl w:val="0"/>
          <w:numId w:val="9"/>
        </w:numPr>
        <w:tabs>
          <w:tab w:val="num" w:pos="990"/>
        </w:tabs>
        <w:spacing w:after="120"/>
        <w:ind w:left="992" w:hanging="442"/>
        <w:jc w:val="both"/>
        <w:rPr>
          <w:rFonts w:eastAsia="Times New Roman" w:cs="ArialMT"/>
          <w:sz w:val="20"/>
          <w:lang w:eastAsia="en-US"/>
        </w:rPr>
      </w:pPr>
      <w:r w:rsidRPr="007C2B91">
        <w:rPr>
          <w:rFonts w:eastAsia="Times New Roman" w:cs="ArialMT"/>
          <w:sz w:val="20"/>
          <w:lang w:eastAsia="en-US"/>
        </w:rPr>
        <w:t>La necesidad de una mejor difusión de las tecnologías por conducto del sistema de patentes;</w:t>
      </w:r>
    </w:p>
    <w:p w:rsidR="007D5C17" w:rsidRPr="007C2B91" w:rsidRDefault="007D5C17" w:rsidP="007C2B91">
      <w:pPr>
        <w:widowControl w:val="0"/>
        <w:numPr>
          <w:ilvl w:val="0"/>
          <w:numId w:val="9"/>
        </w:numPr>
        <w:tabs>
          <w:tab w:val="num" w:pos="990"/>
        </w:tabs>
        <w:spacing w:after="120"/>
        <w:ind w:left="992" w:hanging="442"/>
        <w:jc w:val="both"/>
        <w:rPr>
          <w:rFonts w:eastAsia="Times New Roman" w:cs="ArialMT"/>
          <w:sz w:val="20"/>
          <w:lang w:eastAsia="en-US"/>
        </w:rPr>
      </w:pPr>
      <w:r>
        <w:rPr>
          <w:rFonts w:eastAsia="Times New Roman" w:cs="ArialMT"/>
          <w:sz w:val="20"/>
          <w:lang w:eastAsia="en-US"/>
        </w:rPr>
        <w:t>Insuficiente capacidad para preparar, presentar y seguir la tramitación de las solicitudes de patente;</w:t>
      </w:r>
    </w:p>
    <w:p w:rsidR="007C2B91" w:rsidRPr="007C2B91" w:rsidRDefault="007C2B91" w:rsidP="007C2B91">
      <w:pPr>
        <w:widowControl w:val="0"/>
        <w:numPr>
          <w:ilvl w:val="0"/>
          <w:numId w:val="9"/>
        </w:numPr>
        <w:tabs>
          <w:tab w:val="num" w:pos="990"/>
        </w:tabs>
        <w:spacing w:after="120"/>
        <w:ind w:left="992" w:hanging="442"/>
        <w:jc w:val="both"/>
        <w:rPr>
          <w:rFonts w:eastAsia="Times New Roman" w:cs="ArialMT"/>
          <w:sz w:val="20"/>
          <w:lang w:eastAsia="en-US"/>
        </w:rPr>
      </w:pPr>
      <w:r w:rsidRPr="007C2B91">
        <w:rPr>
          <w:rFonts w:eastAsia="Times New Roman"/>
          <w:bCs/>
          <w:sz w:val="20"/>
          <w:lang w:eastAsia="ja-JP"/>
        </w:rPr>
        <w:t>La creciente demanda de prestar asistencia legislativa y política a los Estados miembros</w:t>
      </w:r>
      <w:r w:rsidRPr="007C2B91">
        <w:rPr>
          <w:rFonts w:eastAsia="Times New Roman" w:cs="ArialMT"/>
          <w:sz w:val="20"/>
          <w:lang w:eastAsia="en-US"/>
        </w:rPr>
        <w:t>;</w:t>
      </w:r>
    </w:p>
    <w:p w:rsidR="007C2B91" w:rsidRPr="007C2B91" w:rsidRDefault="007C2B91" w:rsidP="007C2B91">
      <w:pPr>
        <w:widowControl w:val="0"/>
        <w:numPr>
          <w:ilvl w:val="0"/>
          <w:numId w:val="9"/>
        </w:numPr>
        <w:tabs>
          <w:tab w:val="num" w:pos="990"/>
        </w:tabs>
        <w:spacing w:after="120"/>
        <w:ind w:left="992" w:hanging="442"/>
        <w:jc w:val="both"/>
        <w:rPr>
          <w:rFonts w:eastAsia="Times New Roman"/>
          <w:sz w:val="20"/>
          <w:lang w:eastAsia="en-US"/>
        </w:rPr>
      </w:pPr>
      <w:r w:rsidRPr="007C2B91">
        <w:rPr>
          <w:rFonts w:eastAsia="Times New Roman"/>
          <w:sz w:val="20"/>
          <w:lang w:eastAsia="en-US"/>
        </w:rPr>
        <w:t>El ritmo acelerado con que se introducen y se comercializan las tecnologías complejas, que afecta a la función que desempeñan las patentes en la aplicación de las normas técnicas;  y</w:t>
      </w:r>
    </w:p>
    <w:p w:rsidR="007C2B91" w:rsidRPr="007C2B91" w:rsidRDefault="007C2B91" w:rsidP="007C2B91">
      <w:pPr>
        <w:widowControl w:val="0"/>
        <w:numPr>
          <w:ilvl w:val="0"/>
          <w:numId w:val="9"/>
        </w:numPr>
        <w:tabs>
          <w:tab w:val="num" w:pos="990"/>
        </w:tabs>
        <w:spacing w:after="120"/>
        <w:ind w:left="992" w:hanging="442"/>
        <w:jc w:val="both"/>
        <w:rPr>
          <w:rFonts w:eastAsia="Times New Roman"/>
          <w:sz w:val="20"/>
          <w:lang w:eastAsia="en-US"/>
        </w:rPr>
      </w:pPr>
      <w:r w:rsidRPr="007C2B91">
        <w:rPr>
          <w:rFonts w:eastAsia="Times New Roman"/>
          <w:sz w:val="20"/>
          <w:lang w:eastAsia="en-US"/>
        </w:rPr>
        <w:t>La necesidad que existe de abordar el Derecho de patentes en el marco de otras categorías de activos de propiedad intelectual estrechamente relacionadas con este, como por ejemplo los secretos comerciales.</w:t>
      </w:r>
    </w:p>
    <w:p w:rsidR="007C2B91" w:rsidRPr="007C2B91" w:rsidRDefault="007C2B91" w:rsidP="007C2B91">
      <w:pPr>
        <w:widowControl w:val="0"/>
        <w:autoSpaceDE w:val="0"/>
        <w:autoSpaceDN w:val="0"/>
        <w:adjustRightInd w:val="0"/>
        <w:ind w:right="-59"/>
        <w:jc w:val="both"/>
        <w:rPr>
          <w:rFonts w:eastAsia="Times New Roman" w:cs="ArialMT"/>
          <w:szCs w:val="22"/>
          <w:lang w:eastAsia="en-US"/>
        </w:rPr>
      </w:pPr>
    </w:p>
    <w:p w:rsidR="007C2B91" w:rsidRPr="007C2B91" w:rsidRDefault="007C2B91" w:rsidP="007C2B91">
      <w:pPr>
        <w:widowControl w:val="0"/>
        <w:autoSpaceDE w:val="0"/>
        <w:autoSpaceDN w:val="0"/>
        <w:adjustRightInd w:val="0"/>
        <w:ind w:right="-59"/>
        <w:jc w:val="both"/>
        <w:rPr>
          <w:rFonts w:eastAsia="Times New Roman" w:cs="ArialMT"/>
          <w:szCs w:val="22"/>
          <w:lang w:eastAsia="en-US"/>
        </w:rPr>
      </w:pPr>
    </w:p>
    <w:p w:rsidR="007C2B91" w:rsidRPr="007C2B91" w:rsidRDefault="007C2B91" w:rsidP="007C2B91">
      <w:pPr>
        <w:widowControl w:val="0"/>
        <w:autoSpaceDE w:val="0"/>
        <w:autoSpaceDN w:val="0"/>
        <w:adjustRightInd w:val="0"/>
        <w:ind w:right="-59"/>
        <w:jc w:val="both"/>
        <w:rPr>
          <w:rFonts w:eastAsia="Times New Roman" w:cs="ArialMT"/>
          <w:szCs w:val="22"/>
          <w:lang w:eastAsia="en-US"/>
        </w:rPr>
      </w:pPr>
      <w:r w:rsidRPr="007C2B91">
        <w:rPr>
          <w:rFonts w:eastAsia="Times New Roman" w:cs="ArialMT"/>
          <w:szCs w:val="22"/>
          <w:lang w:eastAsia="en-US"/>
        </w:rPr>
        <w:t>ESTRATEGIAS DE EJECUCIÓN</w:t>
      </w:r>
    </w:p>
    <w:p w:rsidR="007C2B91" w:rsidRPr="007C2B91" w:rsidRDefault="007C2B91" w:rsidP="007C2B91">
      <w:pPr>
        <w:widowControl w:val="0"/>
        <w:autoSpaceDE w:val="0"/>
        <w:autoSpaceDN w:val="0"/>
        <w:adjustRightInd w:val="0"/>
        <w:ind w:right="-59"/>
        <w:jc w:val="both"/>
        <w:rPr>
          <w:rFonts w:eastAsia="Times New Roman" w:cs="ArialMT"/>
          <w:szCs w:val="22"/>
          <w:lang w:eastAsia="en-US"/>
        </w:rPr>
      </w:pPr>
    </w:p>
    <w:p w:rsidR="007C2B91" w:rsidRPr="007C2B91" w:rsidRDefault="007C2B91" w:rsidP="007C2B91">
      <w:pPr>
        <w:widowControl w:val="0"/>
        <w:numPr>
          <w:ilvl w:val="0"/>
          <w:numId w:val="8"/>
        </w:numPr>
        <w:jc w:val="both"/>
        <w:rPr>
          <w:rFonts w:eastAsia="Times New Roman" w:cs="ArialMT"/>
          <w:sz w:val="20"/>
          <w:lang w:eastAsia="en-US"/>
        </w:rPr>
      </w:pPr>
      <w:r w:rsidRPr="007C2B91">
        <w:rPr>
          <w:rFonts w:eastAsia="Times New Roman" w:cs="ArialMT"/>
          <w:sz w:val="20"/>
          <w:lang w:eastAsia="en-US"/>
        </w:rPr>
        <w:t xml:space="preserve">Debido a que el motor del proceso normativo son los propios Estados miembros, en el marco del programa los esfuerzos se centrarán en suministrar información fiable y fomentar una coyuntura que favorezca el compromiso y el diálogo entre los Estados miembros en esferas de interés común.  </w:t>
      </w:r>
      <w:r w:rsidRPr="007C2B91">
        <w:rPr>
          <w:rFonts w:eastAsia="Times New Roman" w:cs="ArialMT"/>
          <w:bCs/>
          <w:sz w:val="20"/>
          <w:lang w:eastAsia="en-US"/>
        </w:rPr>
        <w:t>Por otro lado, se seguirá mejorando la capacidad de respuesta en materia de asistencia legislativa y política.  En todas las actividades de este programa que se ejecuten durante el bienio se tendrán en cuenta las recomendaciones pertinentes de la A.D.  Más concretamente, el suministro de información sobre patentes y la prestación de asesoramiento legislativo dan cumplida respuesta a las recomendaciones 15, 17, 20 y 22, respaldando de esta manera los objetivos relativos a “la adopción fundamentada de decisiones y políticas internacionales y nacionales sobre P.I.” y “el establecimiento de marcos normativos de P.I. en el plano nacional e internacional que fomenten la creatividad y la innovación y reflejen el nivel de desarrollo de los distintos Estados miembros de la OMPI”.  Además, el programa tendrá en cuenta la labor desarrollada en el marco de los proyectos de la A.D. finalizados que estén relacionados con la P.I. y el dominio público y las patentes y el dominio público, en aplicación de las recomendaciones 16 y 20.</w:t>
      </w:r>
    </w:p>
    <w:p w:rsidR="007C2B91" w:rsidRPr="007C2B91" w:rsidRDefault="007C2B91" w:rsidP="007C2B91">
      <w:pPr>
        <w:widowControl w:val="0"/>
        <w:autoSpaceDE w:val="0"/>
        <w:autoSpaceDN w:val="0"/>
        <w:adjustRightInd w:val="0"/>
        <w:ind w:right="-59"/>
        <w:jc w:val="both"/>
        <w:rPr>
          <w:rFonts w:eastAsia="Times New Roman" w:cs="ArialMT"/>
          <w:sz w:val="20"/>
          <w:lang w:eastAsia="en-US"/>
        </w:rPr>
      </w:pPr>
    </w:p>
    <w:p w:rsidR="007C2B91" w:rsidRPr="007C2B91" w:rsidRDefault="007C2B91" w:rsidP="009F2448">
      <w:pPr>
        <w:keepNext/>
        <w:widowControl w:val="0"/>
        <w:numPr>
          <w:ilvl w:val="0"/>
          <w:numId w:val="8"/>
        </w:numPr>
        <w:jc w:val="both"/>
        <w:rPr>
          <w:rFonts w:eastAsia="Times New Roman" w:cs="ArialMT"/>
          <w:sz w:val="20"/>
          <w:lang w:eastAsia="en-US"/>
        </w:rPr>
      </w:pPr>
      <w:r w:rsidRPr="007C2B91">
        <w:rPr>
          <w:rFonts w:eastAsia="Times New Roman" w:cs="ArialMT"/>
          <w:sz w:val="20"/>
          <w:lang w:eastAsia="en-US"/>
        </w:rPr>
        <w:lastRenderedPageBreak/>
        <w:t>Concretamente, para el próximo bienio se han fijado los siguientes objetivos en relación con el programa:</w:t>
      </w:r>
    </w:p>
    <w:p w:rsidR="007C2B91" w:rsidRPr="007C2B91" w:rsidRDefault="007C2B91" w:rsidP="009F2448">
      <w:pPr>
        <w:keepNext/>
        <w:widowControl w:val="0"/>
        <w:jc w:val="both"/>
        <w:rPr>
          <w:rFonts w:eastAsia="Times New Roman" w:cs="ArialMT"/>
          <w:sz w:val="20"/>
          <w:lang w:eastAsia="en-US"/>
        </w:rPr>
      </w:pPr>
    </w:p>
    <w:p w:rsidR="007C2B91" w:rsidRPr="007C2B91" w:rsidRDefault="007C2B91" w:rsidP="007C2B91">
      <w:pPr>
        <w:widowControl w:val="0"/>
        <w:numPr>
          <w:ilvl w:val="0"/>
          <w:numId w:val="9"/>
        </w:numPr>
        <w:tabs>
          <w:tab w:val="num" w:pos="990"/>
        </w:tabs>
        <w:spacing w:after="120"/>
        <w:ind w:left="992" w:hanging="442"/>
        <w:jc w:val="both"/>
        <w:rPr>
          <w:rFonts w:eastAsia="Times New Roman" w:cs="ArialMT"/>
          <w:sz w:val="20"/>
          <w:lang w:eastAsia="en-US"/>
        </w:rPr>
      </w:pPr>
      <w:r w:rsidRPr="007C2B91">
        <w:rPr>
          <w:rFonts w:eastAsia="Times New Roman"/>
          <w:bCs/>
          <w:sz w:val="20"/>
          <w:lang w:eastAsia="ja-JP"/>
        </w:rPr>
        <w:t>organizar cuatro reuniones del SCP;</w:t>
      </w:r>
    </w:p>
    <w:p w:rsidR="007C2B91" w:rsidRPr="007C2B91" w:rsidRDefault="007C2B91" w:rsidP="007C2B91">
      <w:pPr>
        <w:widowControl w:val="0"/>
        <w:numPr>
          <w:ilvl w:val="0"/>
          <w:numId w:val="9"/>
        </w:numPr>
        <w:tabs>
          <w:tab w:val="num" w:pos="990"/>
        </w:tabs>
        <w:spacing w:after="120"/>
        <w:ind w:left="992" w:hanging="442"/>
        <w:jc w:val="both"/>
        <w:rPr>
          <w:rFonts w:eastAsia="Times New Roman" w:cs="ArialMT"/>
          <w:sz w:val="20"/>
          <w:lang w:eastAsia="en-US"/>
        </w:rPr>
      </w:pPr>
      <w:r w:rsidRPr="007C2B91">
        <w:rPr>
          <w:rFonts w:eastAsia="Times New Roman"/>
          <w:bCs/>
          <w:sz w:val="20"/>
          <w:lang w:eastAsia="ja-JP"/>
        </w:rPr>
        <w:t>organizar, previa petición, reuniones de información para representantes de los Estados miembros a los fines de suministrar información sobre cuestiones relacionadas con el Derecho, las políticas y las prácticas en materia de patentes</w:t>
      </w:r>
      <w:r w:rsidRPr="007C2B91">
        <w:rPr>
          <w:rFonts w:eastAsia="Times New Roman" w:cs="ArialMT"/>
          <w:sz w:val="20"/>
          <w:lang w:eastAsia="en-US"/>
        </w:rPr>
        <w:t>;</w:t>
      </w:r>
    </w:p>
    <w:p w:rsidR="007C2B91" w:rsidRPr="007C2B91" w:rsidRDefault="007C2B91" w:rsidP="007C2B91">
      <w:pPr>
        <w:widowControl w:val="0"/>
        <w:numPr>
          <w:ilvl w:val="0"/>
          <w:numId w:val="9"/>
        </w:numPr>
        <w:tabs>
          <w:tab w:val="num" w:pos="990"/>
        </w:tabs>
        <w:spacing w:after="120"/>
        <w:ind w:left="992" w:hanging="442"/>
        <w:jc w:val="both"/>
        <w:rPr>
          <w:rFonts w:eastAsia="Times New Roman" w:cs="ArialMT"/>
          <w:sz w:val="20"/>
          <w:lang w:eastAsia="en-US"/>
        </w:rPr>
      </w:pPr>
      <w:r w:rsidRPr="007C2B91">
        <w:rPr>
          <w:rFonts w:eastAsia="Times New Roman"/>
          <w:bCs/>
          <w:sz w:val="20"/>
          <w:lang w:eastAsia="ja-JP"/>
        </w:rPr>
        <w:t>seguir proporcionando, previa petición, asesoramiento legislativo a los Estados miembros en el campo de las patentes, los modelos de utilidad, los secretos comerciales y los esquemas de trazado de los circuitos integrados</w:t>
      </w:r>
      <w:r w:rsidRPr="007C2B91">
        <w:rPr>
          <w:rFonts w:eastAsia="Times New Roman" w:cs="ArialMT"/>
          <w:sz w:val="20"/>
          <w:lang w:eastAsia="en-US"/>
        </w:rPr>
        <w:t>;</w:t>
      </w:r>
    </w:p>
    <w:p w:rsidR="007C2B91" w:rsidRPr="007C2B91" w:rsidRDefault="007C2B91" w:rsidP="007C2B91">
      <w:pPr>
        <w:widowControl w:val="0"/>
        <w:numPr>
          <w:ilvl w:val="0"/>
          <w:numId w:val="9"/>
        </w:numPr>
        <w:tabs>
          <w:tab w:val="num" w:pos="990"/>
        </w:tabs>
        <w:spacing w:after="120"/>
        <w:ind w:left="992" w:hanging="442"/>
        <w:jc w:val="both"/>
        <w:rPr>
          <w:rFonts w:eastAsia="Times New Roman"/>
          <w:bCs/>
          <w:sz w:val="20"/>
          <w:lang w:eastAsia="ja-JP"/>
        </w:rPr>
      </w:pPr>
      <w:r w:rsidRPr="007C2B91">
        <w:rPr>
          <w:rFonts w:eastAsia="Times New Roman" w:cs="ArialMT"/>
          <w:bCs/>
          <w:sz w:val="20"/>
          <w:lang w:eastAsia="en-US"/>
        </w:rPr>
        <w:t>seguir prestando apoyo y asistencia a los Estados miembros en lo que respecta al Convenio de París, el Tratado de Budapest y el Tratado sobre el Derecho de Patentes;</w:t>
      </w:r>
    </w:p>
    <w:p w:rsidR="007C2B91" w:rsidRDefault="007C2B91" w:rsidP="007C2B91">
      <w:pPr>
        <w:widowControl w:val="0"/>
        <w:numPr>
          <w:ilvl w:val="0"/>
          <w:numId w:val="9"/>
        </w:numPr>
        <w:tabs>
          <w:tab w:val="num" w:pos="990"/>
        </w:tabs>
        <w:spacing w:after="120"/>
        <w:ind w:left="992" w:hanging="442"/>
        <w:jc w:val="both"/>
        <w:rPr>
          <w:rFonts w:eastAsia="Times New Roman"/>
          <w:bCs/>
          <w:sz w:val="20"/>
          <w:lang w:eastAsia="ja-JP"/>
        </w:rPr>
      </w:pPr>
      <w:r w:rsidRPr="007C2B91">
        <w:rPr>
          <w:rFonts w:eastAsia="Times New Roman"/>
          <w:bCs/>
          <w:sz w:val="20"/>
          <w:lang w:eastAsia="ja-JP"/>
        </w:rPr>
        <w:t>seguir prestando asistencia a los Estados miembros en relación con los modelos de utilidad, la información no divulgada y los secretos comerciales, y los circuitos integrados;</w:t>
      </w:r>
    </w:p>
    <w:p w:rsidR="007C2B91" w:rsidRPr="00491731" w:rsidRDefault="00491731" w:rsidP="007C2B91">
      <w:pPr>
        <w:widowControl w:val="0"/>
        <w:numPr>
          <w:ilvl w:val="0"/>
          <w:numId w:val="9"/>
        </w:numPr>
        <w:tabs>
          <w:tab w:val="num" w:pos="990"/>
        </w:tabs>
        <w:spacing w:after="120"/>
        <w:ind w:left="992" w:hanging="442"/>
        <w:jc w:val="both"/>
        <w:rPr>
          <w:rFonts w:eastAsia="Times New Roman" w:cs="ArialMT"/>
          <w:sz w:val="20"/>
          <w:lang w:eastAsia="en-US"/>
        </w:rPr>
      </w:pPr>
      <w:r>
        <w:rPr>
          <w:rFonts w:eastAsia="Times New Roman"/>
          <w:bCs/>
          <w:sz w:val="20"/>
          <w:lang w:eastAsia="ja-JP"/>
        </w:rPr>
        <w:t>m</w:t>
      </w:r>
      <w:r w:rsidR="007D5C17" w:rsidRPr="00491731">
        <w:rPr>
          <w:rFonts w:eastAsia="Times New Roman"/>
          <w:bCs/>
          <w:sz w:val="20"/>
          <w:lang w:eastAsia="ja-JP"/>
        </w:rPr>
        <w:t>ejorar la capacidad de los inventores, y de quienes les prestan servicios, para preparar y presentar solicitudes de patente</w:t>
      </w:r>
      <w:r w:rsidRPr="00491731">
        <w:rPr>
          <w:rFonts w:eastAsia="Times New Roman"/>
          <w:bCs/>
          <w:sz w:val="20"/>
          <w:lang w:eastAsia="ja-JP"/>
        </w:rPr>
        <w:t xml:space="preserve"> así como fomentar</w:t>
      </w:r>
      <w:r w:rsidR="007C2B91" w:rsidRPr="00491731">
        <w:rPr>
          <w:rFonts w:eastAsia="Times New Roman"/>
          <w:bCs/>
          <w:sz w:val="20"/>
          <w:lang w:eastAsia="ja-JP"/>
        </w:rPr>
        <w:t xml:space="preserve"> el uso eficaz de las patentes mediante el suministro de información empírica y la organización de cursos de formación y seminarios</w:t>
      </w:r>
      <w:r w:rsidR="007C2B91" w:rsidRPr="00491731">
        <w:rPr>
          <w:rFonts w:eastAsia="Times New Roman" w:cs="ArialMT"/>
          <w:sz w:val="20"/>
          <w:lang w:eastAsia="en-US"/>
        </w:rPr>
        <w:t>;</w:t>
      </w:r>
    </w:p>
    <w:p w:rsidR="007C2B91" w:rsidRPr="007C2B91" w:rsidRDefault="007C2B91" w:rsidP="007C2B91">
      <w:pPr>
        <w:widowControl w:val="0"/>
        <w:numPr>
          <w:ilvl w:val="0"/>
          <w:numId w:val="9"/>
        </w:numPr>
        <w:tabs>
          <w:tab w:val="num" w:pos="990"/>
        </w:tabs>
        <w:spacing w:after="120"/>
        <w:ind w:left="992" w:hanging="442"/>
        <w:jc w:val="both"/>
        <w:rPr>
          <w:rFonts w:eastAsia="Times New Roman"/>
          <w:sz w:val="20"/>
          <w:lang w:eastAsia="en-US"/>
        </w:rPr>
      </w:pPr>
      <w:r w:rsidRPr="007C2B91">
        <w:rPr>
          <w:rFonts w:eastAsia="Times New Roman"/>
          <w:bCs/>
          <w:sz w:val="20"/>
          <w:lang w:eastAsia="ja-JP"/>
        </w:rPr>
        <w:t>abordar la interacción que se produce entre el Derecho de patentes y otras categorías del Derecho de propiedad intelectual, y concretamente los secretos comerciales, en lo que respecta al fomento de la innovación y la difusión de la tecnología</w:t>
      </w:r>
      <w:r w:rsidRPr="007C2B91">
        <w:rPr>
          <w:rFonts w:eastAsia="Times New Roman"/>
          <w:sz w:val="20"/>
          <w:lang w:eastAsia="en-US"/>
        </w:rPr>
        <w:t>;</w:t>
      </w:r>
    </w:p>
    <w:p w:rsidR="007C2B91" w:rsidRPr="007C2B91" w:rsidRDefault="007C2B91" w:rsidP="007C2B91">
      <w:pPr>
        <w:widowControl w:val="0"/>
        <w:numPr>
          <w:ilvl w:val="0"/>
          <w:numId w:val="9"/>
        </w:numPr>
        <w:tabs>
          <w:tab w:val="num" w:pos="990"/>
        </w:tabs>
        <w:spacing w:after="120"/>
        <w:ind w:left="992" w:hanging="442"/>
        <w:jc w:val="both"/>
        <w:rPr>
          <w:rFonts w:eastAsia="Times New Roman"/>
          <w:sz w:val="20"/>
          <w:lang w:eastAsia="en-US"/>
        </w:rPr>
      </w:pPr>
      <w:r w:rsidRPr="007C2B91">
        <w:rPr>
          <w:rFonts w:eastAsia="Times New Roman"/>
          <w:sz w:val="20"/>
          <w:lang w:eastAsia="en-US"/>
        </w:rPr>
        <w:t>desarrollar actividades que ayuden a los Estados miembros y demás partes interesadas a mitigar los conflictos que puedan producirse entre el sistema de patentes y el de normalización;</w:t>
      </w:r>
    </w:p>
    <w:p w:rsidR="007C2B91" w:rsidRPr="007C2B91" w:rsidRDefault="007C2B91" w:rsidP="007C2B91">
      <w:pPr>
        <w:widowControl w:val="0"/>
        <w:numPr>
          <w:ilvl w:val="0"/>
          <w:numId w:val="9"/>
        </w:numPr>
        <w:tabs>
          <w:tab w:val="num" w:pos="990"/>
        </w:tabs>
        <w:spacing w:after="120"/>
        <w:ind w:left="992" w:hanging="442"/>
        <w:jc w:val="both"/>
        <w:rPr>
          <w:rFonts w:eastAsia="Times New Roman"/>
          <w:bCs/>
          <w:sz w:val="20"/>
          <w:lang w:eastAsia="ja-JP"/>
        </w:rPr>
      </w:pPr>
      <w:r w:rsidRPr="007C2B91">
        <w:rPr>
          <w:rFonts w:eastAsia="Times New Roman"/>
          <w:bCs/>
          <w:sz w:val="20"/>
          <w:lang w:eastAsia="ja-JP"/>
        </w:rPr>
        <w:t>seguir apoyando la labor que desarrolla el Sector de Desarrollo en relación con aspectos pertinentes para este programa</w:t>
      </w:r>
      <w:r w:rsidR="00491731">
        <w:rPr>
          <w:rFonts w:eastAsia="Times New Roman"/>
          <w:bCs/>
          <w:sz w:val="20"/>
          <w:lang w:eastAsia="ja-JP"/>
        </w:rPr>
        <w:t>, incluyendo la presentación de estudios sobre las recomendaciones de la Agenda para el Desarrollo pertinentes, a petición del CDIP</w:t>
      </w:r>
      <w:r w:rsidRPr="007C2B91">
        <w:rPr>
          <w:rFonts w:eastAsia="Times New Roman"/>
          <w:bCs/>
          <w:sz w:val="20"/>
          <w:lang w:eastAsia="ja-JP"/>
        </w:rPr>
        <w:t>;  y</w:t>
      </w:r>
    </w:p>
    <w:p w:rsidR="007C2B91" w:rsidRPr="007C2B91" w:rsidRDefault="007C2B91" w:rsidP="007C2B91">
      <w:pPr>
        <w:widowControl w:val="0"/>
        <w:numPr>
          <w:ilvl w:val="0"/>
          <w:numId w:val="9"/>
        </w:numPr>
        <w:tabs>
          <w:tab w:val="num" w:pos="990"/>
        </w:tabs>
        <w:ind w:left="992" w:hanging="442"/>
        <w:jc w:val="both"/>
        <w:rPr>
          <w:rFonts w:eastAsia="Times New Roman" w:cs="ArialMT"/>
          <w:sz w:val="20"/>
          <w:lang w:eastAsia="en-US"/>
        </w:rPr>
      </w:pPr>
      <w:r w:rsidRPr="007C2B91">
        <w:rPr>
          <w:rFonts w:eastAsia="Times New Roman"/>
          <w:bCs/>
          <w:sz w:val="20"/>
          <w:lang w:eastAsia="ja-JP"/>
        </w:rPr>
        <w:t>seguir trabajando en el marco de los programas 2 (Marcas, diseños industriales e indicaciones geográficas), 3 (</w:t>
      </w:r>
      <w:r w:rsidRPr="007C2B91">
        <w:rPr>
          <w:rFonts w:eastAsia="Times New Roman"/>
          <w:bCs/>
          <w:iCs/>
          <w:sz w:val="20"/>
          <w:lang w:eastAsia="ja-JP"/>
        </w:rPr>
        <w:t>Derecho de autor y derechos conexos), 4 (Conocimientos tradicionales, expresiones culturales tradicionales y recursos genéticos), 5 (</w:t>
      </w:r>
      <w:r w:rsidRPr="007C2B91">
        <w:rPr>
          <w:rFonts w:eastAsia="Times New Roman"/>
          <w:sz w:val="20"/>
          <w:lang w:eastAsia="en-US"/>
        </w:rPr>
        <w:t>Sistema del PCT</w:t>
      </w:r>
      <w:r w:rsidRPr="007C2B91">
        <w:rPr>
          <w:rFonts w:eastAsia="Times New Roman"/>
          <w:bCs/>
          <w:iCs/>
          <w:sz w:val="20"/>
          <w:lang w:eastAsia="ja-JP"/>
        </w:rPr>
        <w:t>), 7 (Centro de Arbitraje y Mediación de la OMPI), 8 (Coordinación de la Agenda para el Desarrollo), 9 (Países africanos, árabes, de América Latina y el Caribe, de Asia y el Pacífico y países menos adelantados), 10 (Cooperación con determinad</w:t>
      </w:r>
      <w:r w:rsidR="00491731">
        <w:rPr>
          <w:rFonts w:eastAsia="Times New Roman"/>
          <w:bCs/>
          <w:iCs/>
          <w:sz w:val="20"/>
          <w:lang w:eastAsia="ja-JP"/>
        </w:rPr>
        <w:t>os países de Europa y Asia), 11 </w:t>
      </w:r>
      <w:r w:rsidRPr="007C2B91">
        <w:rPr>
          <w:rFonts w:eastAsia="Times New Roman"/>
          <w:bCs/>
          <w:iCs/>
          <w:sz w:val="20"/>
          <w:lang w:eastAsia="ja-JP"/>
        </w:rPr>
        <w:t>(</w:t>
      </w:r>
      <w:r w:rsidR="00491731">
        <w:rPr>
          <w:rFonts w:eastAsia="Times New Roman"/>
          <w:bCs/>
          <w:iCs/>
          <w:sz w:val="20"/>
          <w:lang w:eastAsia="ja-JP"/>
        </w:rPr>
        <w:t>Academia</w:t>
      </w:r>
      <w:r w:rsidRPr="007C2B91">
        <w:rPr>
          <w:rFonts w:eastAsia="Times New Roman"/>
          <w:bCs/>
          <w:iCs/>
          <w:sz w:val="20"/>
          <w:lang w:eastAsia="ja-JP"/>
        </w:rPr>
        <w:t xml:space="preserve"> de la OMPI), 12 (Clasificaciones internacionales y normas técnicas), 13 (Bases de datos mundiales), 14 (Servicios de acceso a la informa</w:t>
      </w:r>
      <w:r w:rsidR="00491731">
        <w:rPr>
          <w:rFonts w:eastAsia="Times New Roman"/>
          <w:bCs/>
          <w:iCs/>
          <w:sz w:val="20"/>
          <w:lang w:eastAsia="ja-JP"/>
        </w:rPr>
        <w:t>ción y a los conocimientos), 15 </w:t>
      </w:r>
      <w:r w:rsidRPr="007C2B91">
        <w:rPr>
          <w:rFonts w:eastAsia="Times New Roman"/>
          <w:bCs/>
          <w:iCs/>
          <w:sz w:val="20"/>
          <w:lang w:eastAsia="ja-JP"/>
        </w:rPr>
        <w:t>(</w:t>
      </w:r>
      <w:r w:rsidRPr="007C2B91">
        <w:rPr>
          <w:rFonts w:eastAsia="Times New Roman"/>
          <w:iCs/>
          <w:sz w:val="20"/>
          <w:lang w:eastAsia="en-US"/>
        </w:rPr>
        <w:t>Soluciones operativas para las oficinas de P.I.</w:t>
      </w:r>
      <w:r w:rsidRPr="007C2B91">
        <w:rPr>
          <w:rFonts w:eastAsia="Times New Roman"/>
          <w:bCs/>
          <w:iCs/>
          <w:sz w:val="20"/>
          <w:lang w:eastAsia="ja-JP"/>
        </w:rPr>
        <w:t>), 16 (Economía y estadística), 18 (La P.I. y los desafíos mundiales) y 20 (</w:t>
      </w:r>
      <w:r w:rsidRPr="007C2B91">
        <w:rPr>
          <w:rFonts w:eastAsia="Times New Roman"/>
          <w:iCs/>
          <w:sz w:val="20"/>
          <w:lang w:eastAsia="en-US"/>
        </w:rPr>
        <w:t>Comunicaciones</w:t>
      </w:r>
      <w:r w:rsidRPr="007C2B91">
        <w:rPr>
          <w:rFonts w:eastAsia="Times New Roman"/>
          <w:bCs/>
          <w:iCs/>
          <w:sz w:val="20"/>
          <w:lang w:eastAsia="ja-JP"/>
        </w:rPr>
        <w:t>)</w:t>
      </w:r>
      <w:r w:rsidRPr="007C2B91">
        <w:rPr>
          <w:rFonts w:eastAsia="Times New Roman"/>
          <w:bCs/>
          <w:sz w:val="20"/>
          <w:lang w:eastAsia="ja-JP"/>
        </w:rPr>
        <w:t xml:space="preserve"> en aquellos aspectos que resulten pertinentes para este programa</w:t>
      </w:r>
      <w:r w:rsidRPr="007C2B91">
        <w:rPr>
          <w:rFonts w:eastAsia="Times New Roman" w:cs="ArialMT"/>
          <w:sz w:val="20"/>
          <w:lang w:eastAsia="en-US"/>
        </w:rPr>
        <w:t>.</w:t>
      </w:r>
    </w:p>
    <w:p w:rsidR="007C2B91" w:rsidRPr="007C2B91" w:rsidRDefault="007C2B91" w:rsidP="007C2B91">
      <w:pPr>
        <w:widowControl w:val="0"/>
        <w:autoSpaceDE w:val="0"/>
        <w:autoSpaceDN w:val="0"/>
        <w:adjustRightInd w:val="0"/>
        <w:ind w:right="-1049"/>
        <w:rPr>
          <w:rFonts w:eastAsia="Times New Roman"/>
          <w:sz w:val="20"/>
          <w:lang w:eastAsia="en-US"/>
        </w:rPr>
      </w:pPr>
    </w:p>
    <w:p w:rsidR="0057647D" w:rsidRPr="007C2B91" w:rsidRDefault="0057647D" w:rsidP="00FF779C">
      <w:pPr>
        <w:widowControl w:val="0"/>
        <w:tabs>
          <w:tab w:val="num" w:pos="690"/>
        </w:tabs>
        <w:jc w:val="both"/>
        <w:rPr>
          <w:sz w:val="20"/>
        </w:rPr>
      </w:pPr>
    </w:p>
    <w:p w:rsidR="0057647D" w:rsidRPr="00C75C7E" w:rsidRDefault="0057647D" w:rsidP="0057647D">
      <w:pPr>
        <w:widowControl w:val="0"/>
        <w:autoSpaceDE w:val="0"/>
        <w:autoSpaceDN w:val="0"/>
        <w:adjustRightInd w:val="0"/>
        <w:ind w:right="-1049"/>
        <w:jc w:val="both"/>
        <w:rPr>
          <w:szCs w:val="22"/>
        </w:rPr>
      </w:pPr>
      <w:r w:rsidRPr="00C75C7E">
        <w:rPr>
          <w:szCs w:val="22"/>
        </w:rPr>
        <w:t>PRINCIPALES RIESGOS Y ESTRATEGIAS DE MITIGACIÓN</w:t>
      </w:r>
    </w:p>
    <w:p w:rsidR="0057647D" w:rsidRPr="00C75C7E" w:rsidRDefault="0057647D" w:rsidP="0057647D">
      <w:pPr>
        <w:widowControl w:val="0"/>
        <w:autoSpaceDE w:val="0"/>
        <w:autoSpaceDN w:val="0"/>
        <w:adjustRightInd w:val="0"/>
        <w:ind w:right="-59"/>
        <w:jc w:val="center"/>
        <w:rPr>
          <w:i/>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4400"/>
        <w:gridCol w:w="4899"/>
      </w:tblGrid>
      <w:tr w:rsidR="0057647D" w:rsidRPr="00C75C7E" w:rsidTr="00962ADA">
        <w:trPr>
          <w:trHeight w:val="577"/>
        </w:trPr>
        <w:tc>
          <w:tcPr>
            <w:tcW w:w="4400" w:type="dxa"/>
            <w:shd w:val="clear" w:color="auto" w:fill="CCFFFF"/>
            <w:vAlign w:val="center"/>
          </w:tcPr>
          <w:p w:rsidR="0057647D" w:rsidRPr="00C75C7E" w:rsidRDefault="0057647D" w:rsidP="0057647D">
            <w:pPr>
              <w:widowControl w:val="0"/>
              <w:jc w:val="center"/>
              <w:rPr>
                <w:b/>
                <w:bCs/>
                <w:sz w:val="18"/>
                <w:szCs w:val="18"/>
              </w:rPr>
            </w:pPr>
            <w:r w:rsidRPr="00C75C7E">
              <w:rPr>
                <w:b/>
                <w:bCs/>
                <w:sz w:val="18"/>
                <w:szCs w:val="18"/>
              </w:rPr>
              <w:t>Riesgos en el logro de los resultados del programa</w:t>
            </w:r>
          </w:p>
        </w:tc>
        <w:tc>
          <w:tcPr>
            <w:tcW w:w="4899" w:type="dxa"/>
            <w:shd w:val="clear" w:color="auto" w:fill="CCFFFF"/>
            <w:vAlign w:val="center"/>
          </w:tcPr>
          <w:p w:rsidR="0057647D" w:rsidRPr="00C75C7E" w:rsidRDefault="0057647D" w:rsidP="00962ADA">
            <w:pPr>
              <w:widowControl w:val="0"/>
              <w:rPr>
                <w:b/>
                <w:bCs/>
                <w:sz w:val="18"/>
                <w:szCs w:val="18"/>
              </w:rPr>
            </w:pPr>
            <w:r w:rsidRPr="00C75C7E">
              <w:rPr>
                <w:b/>
                <w:bCs/>
                <w:sz w:val="18"/>
                <w:szCs w:val="18"/>
              </w:rPr>
              <w:t>Planes de mitigación ejecutados o en ejecución</w:t>
            </w:r>
          </w:p>
        </w:tc>
      </w:tr>
      <w:tr w:rsidR="0057647D" w:rsidRPr="00C75C7E" w:rsidTr="00962ADA">
        <w:trPr>
          <w:trHeight w:val="1332"/>
        </w:trPr>
        <w:tc>
          <w:tcPr>
            <w:tcW w:w="4400" w:type="dxa"/>
            <w:shd w:val="clear" w:color="auto" w:fill="auto"/>
            <w:tcMar>
              <w:top w:w="113" w:type="dxa"/>
              <w:bottom w:w="113" w:type="dxa"/>
            </w:tcMar>
          </w:tcPr>
          <w:p w:rsidR="0057647D" w:rsidRPr="00C75C7E" w:rsidRDefault="00491731" w:rsidP="0057647D">
            <w:pPr>
              <w:widowControl w:val="0"/>
              <w:rPr>
                <w:sz w:val="16"/>
                <w:szCs w:val="16"/>
              </w:rPr>
            </w:pPr>
            <w:r>
              <w:rPr>
                <w:sz w:val="16"/>
                <w:szCs w:val="16"/>
              </w:rPr>
              <w:t>Menor</w:t>
            </w:r>
            <w:r w:rsidR="0057647D" w:rsidRPr="00C75C7E">
              <w:rPr>
                <w:sz w:val="16"/>
                <w:szCs w:val="16"/>
              </w:rPr>
              <w:t xml:space="preserve"> pertinencia del Comité </w:t>
            </w:r>
            <w:r>
              <w:rPr>
                <w:sz w:val="16"/>
                <w:szCs w:val="16"/>
              </w:rPr>
              <w:t xml:space="preserve">Permanente sobre el Derecho de Patentes </w:t>
            </w:r>
            <w:r w:rsidR="0057647D" w:rsidRPr="00C75C7E">
              <w:rPr>
                <w:sz w:val="16"/>
                <w:szCs w:val="16"/>
              </w:rPr>
              <w:t>como foro multilateral.</w:t>
            </w:r>
          </w:p>
          <w:p w:rsidR="0057647D" w:rsidRPr="00C75C7E" w:rsidRDefault="0057647D" w:rsidP="0057647D">
            <w:pPr>
              <w:widowControl w:val="0"/>
              <w:autoSpaceDE w:val="0"/>
              <w:autoSpaceDN w:val="0"/>
              <w:adjustRightInd w:val="0"/>
              <w:ind w:right="-59"/>
              <w:jc w:val="both"/>
              <w:rPr>
                <w:sz w:val="16"/>
                <w:szCs w:val="16"/>
              </w:rPr>
            </w:pPr>
          </w:p>
        </w:tc>
        <w:tc>
          <w:tcPr>
            <w:tcW w:w="4899" w:type="dxa"/>
            <w:shd w:val="clear" w:color="auto" w:fill="auto"/>
            <w:tcMar>
              <w:top w:w="113" w:type="dxa"/>
              <w:bottom w:w="113" w:type="dxa"/>
            </w:tcMar>
          </w:tcPr>
          <w:p w:rsidR="0057647D" w:rsidRPr="00C75C7E" w:rsidRDefault="0057647D" w:rsidP="0057647D">
            <w:pPr>
              <w:widowControl w:val="0"/>
              <w:rPr>
                <w:sz w:val="16"/>
                <w:szCs w:val="16"/>
              </w:rPr>
            </w:pPr>
            <w:r w:rsidRPr="00C75C7E">
              <w:rPr>
                <w:sz w:val="16"/>
                <w:szCs w:val="16"/>
              </w:rPr>
              <w:t>Prestación de asesoramiento imparcial y profesional.</w:t>
            </w:r>
          </w:p>
          <w:p w:rsidR="0057647D" w:rsidRPr="00C75C7E" w:rsidRDefault="0057647D" w:rsidP="0057647D">
            <w:pPr>
              <w:widowControl w:val="0"/>
              <w:rPr>
                <w:sz w:val="16"/>
                <w:szCs w:val="16"/>
              </w:rPr>
            </w:pPr>
          </w:p>
          <w:p w:rsidR="0057647D" w:rsidRPr="00C75C7E" w:rsidRDefault="0057647D" w:rsidP="0057647D">
            <w:pPr>
              <w:widowControl w:val="0"/>
              <w:rPr>
                <w:sz w:val="16"/>
                <w:szCs w:val="16"/>
              </w:rPr>
            </w:pPr>
            <w:r w:rsidRPr="00C75C7E">
              <w:rPr>
                <w:sz w:val="16"/>
                <w:szCs w:val="16"/>
              </w:rPr>
              <w:t>Creación de un clima de diálogo integrador y neutral entre los Estados miembros.</w:t>
            </w:r>
          </w:p>
          <w:p w:rsidR="0057647D" w:rsidRPr="00C75C7E" w:rsidRDefault="0057647D" w:rsidP="0057647D">
            <w:pPr>
              <w:widowControl w:val="0"/>
              <w:rPr>
                <w:sz w:val="16"/>
                <w:szCs w:val="16"/>
              </w:rPr>
            </w:pPr>
          </w:p>
          <w:p w:rsidR="0057647D" w:rsidRPr="00C75C7E" w:rsidRDefault="0057647D" w:rsidP="0057647D">
            <w:pPr>
              <w:widowControl w:val="0"/>
              <w:autoSpaceDE w:val="0"/>
              <w:autoSpaceDN w:val="0"/>
              <w:adjustRightInd w:val="0"/>
              <w:ind w:right="-59"/>
              <w:rPr>
                <w:sz w:val="16"/>
                <w:szCs w:val="16"/>
              </w:rPr>
            </w:pPr>
            <w:r w:rsidRPr="00C75C7E">
              <w:rPr>
                <w:sz w:val="16"/>
                <w:szCs w:val="16"/>
              </w:rPr>
              <w:t>Facilitación de información oportuna, precisa y pertinente de interés para los Estados miembros.</w:t>
            </w:r>
          </w:p>
        </w:tc>
      </w:tr>
    </w:tbl>
    <w:p w:rsidR="0057647D" w:rsidRPr="00C75C7E" w:rsidRDefault="0057647D" w:rsidP="0057647D">
      <w:pPr>
        <w:widowControl w:val="0"/>
        <w:rPr>
          <w:sz w:val="20"/>
        </w:rPr>
      </w:pPr>
    </w:p>
    <w:p w:rsidR="0057647D" w:rsidRPr="00C75C7E" w:rsidRDefault="0057647D" w:rsidP="0057647D">
      <w:pPr>
        <w:widowControl w:val="0"/>
        <w:rPr>
          <w:sz w:val="20"/>
        </w:rPr>
      </w:pPr>
    </w:p>
    <w:p w:rsidR="0057647D" w:rsidRPr="00C75C7E" w:rsidRDefault="0057647D" w:rsidP="009F2448">
      <w:pPr>
        <w:keepNext/>
        <w:widowControl w:val="0"/>
        <w:rPr>
          <w:szCs w:val="22"/>
          <w:lang w:val="es-ES_tradnl"/>
        </w:rPr>
      </w:pPr>
      <w:r w:rsidRPr="00C75C7E">
        <w:rPr>
          <w:szCs w:val="22"/>
          <w:lang w:val="es-ES_tradnl"/>
        </w:rPr>
        <w:lastRenderedPageBreak/>
        <w:t>MARCO DE RESULTADOS</w:t>
      </w:r>
    </w:p>
    <w:p w:rsidR="0057647D" w:rsidRPr="00C75C7E" w:rsidRDefault="0057647D" w:rsidP="009F2448">
      <w:pPr>
        <w:keepNext/>
        <w:widowControl w:val="0"/>
        <w:rPr>
          <w:sz w:val="20"/>
          <w:lang w:val="es-ES_tradnl"/>
        </w:rPr>
      </w:pPr>
    </w:p>
    <w:tbl>
      <w:tblPr>
        <w:tblW w:w="4856"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48"/>
        <w:gridCol w:w="2848"/>
        <w:gridCol w:w="2175"/>
        <w:gridCol w:w="1924"/>
      </w:tblGrid>
      <w:tr w:rsidR="0057647D" w:rsidRPr="00C75C7E" w:rsidTr="0057647D">
        <w:trPr>
          <w:cantSplit/>
          <w:trHeight w:val="427"/>
          <w:tblHeader/>
        </w:trPr>
        <w:tc>
          <w:tcPr>
            <w:tcW w:w="1263" w:type="pct"/>
            <w:tcBorders>
              <w:top w:val="single" w:sz="4" w:space="0" w:color="auto"/>
              <w:left w:val="single" w:sz="4" w:space="0" w:color="auto"/>
              <w:bottom w:val="single" w:sz="4" w:space="0" w:color="auto"/>
            </w:tcBorders>
            <w:shd w:val="clear" w:color="auto" w:fill="CCFFFF"/>
            <w:vAlign w:val="center"/>
          </w:tcPr>
          <w:p w:rsidR="0057647D" w:rsidRPr="00C75C7E" w:rsidRDefault="0057647D" w:rsidP="0057647D">
            <w:pPr>
              <w:widowControl w:val="0"/>
              <w:spacing w:after="120"/>
              <w:jc w:val="center"/>
              <w:rPr>
                <w:b/>
                <w:bCs/>
                <w:sz w:val="18"/>
                <w:szCs w:val="18"/>
                <w:lang w:val="es-ES_tradnl"/>
              </w:rPr>
            </w:pPr>
            <w:r w:rsidRPr="00C75C7E">
              <w:rPr>
                <w:b/>
                <w:bCs/>
                <w:sz w:val="18"/>
                <w:szCs w:val="18"/>
                <w:lang w:val="es-ES_tradnl"/>
              </w:rPr>
              <w:t>Resultados previstos</w:t>
            </w:r>
          </w:p>
        </w:tc>
        <w:tc>
          <w:tcPr>
            <w:tcW w:w="1532" w:type="pct"/>
            <w:tcBorders>
              <w:top w:val="single" w:sz="4" w:space="0" w:color="auto"/>
              <w:bottom w:val="single" w:sz="4" w:space="0" w:color="auto"/>
            </w:tcBorders>
            <w:shd w:val="clear" w:color="auto" w:fill="CCFFFF"/>
            <w:tcMar>
              <w:top w:w="110" w:type="dxa"/>
            </w:tcMar>
            <w:vAlign w:val="center"/>
          </w:tcPr>
          <w:p w:rsidR="0057647D" w:rsidRPr="00C75C7E" w:rsidRDefault="0057647D" w:rsidP="0057647D">
            <w:pPr>
              <w:widowControl w:val="0"/>
              <w:spacing w:after="120"/>
              <w:jc w:val="center"/>
              <w:rPr>
                <w:b/>
                <w:sz w:val="18"/>
                <w:szCs w:val="18"/>
                <w:lang w:val="es-ES_tradnl"/>
              </w:rPr>
            </w:pPr>
            <w:r w:rsidRPr="00C75C7E">
              <w:rPr>
                <w:b/>
                <w:sz w:val="18"/>
                <w:szCs w:val="18"/>
                <w:lang w:val="es-ES_tradnl"/>
              </w:rPr>
              <w:t>Indicadores de rendimiento</w:t>
            </w:r>
          </w:p>
        </w:tc>
        <w:tc>
          <w:tcPr>
            <w:tcW w:w="1170" w:type="pct"/>
            <w:tcBorders>
              <w:top w:val="single" w:sz="4" w:space="0" w:color="auto"/>
              <w:bottom w:val="single" w:sz="4" w:space="0" w:color="auto"/>
            </w:tcBorders>
            <w:shd w:val="clear" w:color="auto" w:fill="CCFFFF"/>
            <w:tcMar>
              <w:top w:w="110" w:type="dxa"/>
            </w:tcMar>
            <w:vAlign w:val="center"/>
          </w:tcPr>
          <w:p w:rsidR="0057647D" w:rsidRPr="00C75C7E" w:rsidRDefault="0057647D" w:rsidP="0057647D">
            <w:pPr>
              <w:widowControl w:val="0"/>
              <w:spacing w:after="120"/>
              <w:ind w:left="85"/>
              <w:jc w:val="center"/>
              <w:rPr>
                <w:sz w:val="18"/>
                <w:szCs w:val="18"/>
                <w:lang w:val="es-ES_tradnl"/>
              </w:rPr>
            </w:pPr>
            <w:r w:rsidRPr="00C75C7E">
              <w:rPr>
                <w:b/>
                <w:bCs/>
                <w:sz w:val="18"/>
                <w:szCs w:val="18"/>
                <w:lang w:val="es-ES_tradnl"/>
              </w:rPr>
              <w:t>Referencia</w:t>
            </w:r>
          </w:p>
        </w:tc>
        <w:tc>
          <w:tcPr>
            <w:tcW w:w="1035" w:type="pct"/>
            <w:tcBorders>
              <w:top w:val="single" w:sz="4" w:space="0" w:color="auto"/>
              <w:bottom w:val="single" w:sz="4" w:space="0" w:color="auto"/>
              <w:right w:val="single" w:sz="4" w:space="0" w:color="auto"/>
            </w:tcBorders>
            <w:shd w:val="clear" w:color="auto" w:fill="CCFFFF"/>
            <w:tcMar>
              <w:top w:w="110" w:type="dxa"/>
            </w:tcMar>
            <w:vAlign w:val="center"/>
          </w:tcPr>
          <w:p w:rsidR="0057647D" w:rsidRPr="00C75C7E" w:rsidRDefault="0057647D" w:rsidP="0057647D">
            <w:pPr>
              <w:widowControl w:val="0"/>
              <w:tabs>
                <w:tab w:val="left" w:pos="1539"/>
              </w:tabs>
              <w:spacing w:after="120"/>
              <w:ind w:right="112"/>
              <w:jc w:val="center"/>
              <w:rPr>
                <w:b/>
                <w:bCs/>
                <w:sz w:val="18"/>
                <w:szCs w:val="18"/>
                <w:lang w:val="es-ES_tradnl"/>
              </w:rPr>
            </w:pPr>
            <w:r w:rsidRPr="00C75C7E">
              <w:rPr>
                <w:b/>
                <w:bCs/>
                <w:sz w:val="18"/>
                <w:szCs w:val="18"/>
                <w:lang w:val="es-ES_tradnl"/>
              </w:rPr>
              <w:t>Objetivos</w:t>
            </w:r>
          </w:p>
        </w:tc>
      </w:tr>
      <w:tr w:rsidR="0057647D" w:rsidRPr="00C75C7E" w:rsidTr="0057647D">
        <w:trPr>
          <w:cantSplit/>
          <w:trHeight w:val="1674"/>
        </w:trPr>
        <w:tc>
          <w:tcPr>
            <w:tcW w:w="1263" w:type="pct"/>
            <w:tcBorders>
              <w:top w:val="single" w:sz="4" w:space="0" w:color="auto"/>
            </w:tcBorders>
            <w:shd w:val="clear" w:color="auto" w:fill="auto"/>
            <w:tcMar>
              <w:top w:w="113" w:type="dxa"/>
            </w:tcMar>
          </w:tcPr>
          <w:p w:rsidR="0057647D" w:rsidRPr="00C75C7E" w:rsidRDefault="0057647D" w:rsidP="0057647D">
            <w:pPr>
              <w:widowControl w:val="0"/>
              <w:rPr>
                <w:sz w:val="16"/>
                <w:szCs w:val="16"/>
                <w:lang w:val="es-ES_tradnl"/>
              </w:rPr>
            </w:pPr>
            <w:r w:rsidRPr="00C75C7E">
              <w:rPr>
                <w:sz w:val="16"/>
                <w:szCs w:val="16"/>
                <w:lang w:val="es-ES_tradnl"/>
              </w:rPr>
              <w:t xml:space="preserve">I.1. Mejor cooperación entre los Estados miembros en lo que atañe a la elaboración de marcos normativos internacionales equilibrados para la P.I. y </w:t>
            </w:r>
            <w:r w:rsidR="00956F2F">
              <w:rPr>
                <w:sz w:val="16"/>
                <w:szCs w:val="16"/>
                <w:lang w:val="es-ES_tradnl"/>
              </w:rPr>
              <w:t>fomento de acuerdos sobre</w:t>
            </w:r>
            <w:r w:rsidR="00491731">
              <w:rPr>
                <w:sz w:val="16"/>
                <w:szCs w:val="16"/>
                <w:lang w:val="es-ES_tradnl"/>
              </w:rPr>
              <w:t xml:space="preserve"> las cuestiones específicas</w:t>
            </w:r>
            <w:r w:rsidRPr="00C75C7E">
              <w:rPr>
                <w:sz w:val="16"/>
                <w:szCs w:val="16"/>
                <w:lang w:val="es-ES_tradnl"/>
              </w:rPr>
              <w:t xml:space="preserve"> respecto de las que se acuerdan instrumentos internacionales.</w:t>
            </w:r>
          </w:p>
        </w:tc>
        <w:tc>
          <w:tcPr>
            <w:tcW w:w="1532" w:type="pct"/>
            <w:tcBorders>
              <w:top w:val="single" w:sz="4" w:space="0" w:color="auto"/>
            </w:tcBorders>
            <w:shd w:val="clear" w:color="auto" w:fill="auto"/>
            <w:tcMar>
              <w:top w:w="113" w:type="dxa"/>
            </w:tcMar>
          </w:tcPr>
          <w:p w:rsidR="0057647D" w:rsidRPr="00C75C7E" w:rsidRDefault="0057647D" w:rsidP="0057647D">
            <w:pPr>
              <w:widowControl w:val="0"/>
              <w:rPr>
                <w:sz w:val="16"/>
                <w:szCs w:val="16"/>
                <w:lang w:val="es-ES_tradnl"/>
              </w:rPr>
            </w:pPr>
            <w:r w:rsidRPr="00C75C7E">
              <w:rPr>
                <w:sz w:val="16"/>
                <w:szCs w:val="16"/>
                <w:lang w:val="es-ES_tradnl"/>
              </w:rPr>
              <w:t>Avances en la aplicación de medidas/planes acordados por el SCP.</w:t>
            </w:r>
          </w:p>
        </w:tc>
        <w:tc>
          <w:tcPr>
            <w:tcW w:w="1170" w:type="pct"/>
            <w:tcBorders>
              <w:top w:val="single" w:sz="4" w:space="0" w:color="auto"/>
            </w:tcBorders>
            <w:shd w:val="clear" w:color="auto" w:fill="FFFFFF"/>
            <w:tcMar>
              <w:top w:w="113" w:type="dxa"/>
            </w:tcMar>
          </w:tcPr>
          <w:p w:rsidR="0057647D" w:rsidRPr="00C75C7E" w:rsidRDefault="0057647D" w:rsidP="0057647D">
            <w:pPr>
              <w:widowControl w:val="0"/>
              <w:rPr>
                <w:sz w:val="16"/>
                <w:szCs w:val="16"/>
                <w:lang w:val="es-ES_tradnl" w:bidi="th-TH"/>
              </w:rPr>
            </w:pPr>
            <w:r w:rsidRPr="00C75C7E">
              <w:rPr>
                <w:sz w:val="16"/>
                <w:szCs w:val="16"/>
                <w:lang w:val="es-ES_tradnl" w:bidi="th-TH"/>
              </w:rPr>
              <w:t>Por determinar.</w:t>
            </w:r>
          </w:p>
          <w:p w:rsidR="0057647D" w:rsidRPr="00C75C7E" w:rsidRDefault="0057647D" w:rsidP="0057647D">
            <w:pPr>
              <w:widowControl w:val="0"/>
              <w:rPr>
                <w:sz w:val="16"/>
                <w:szCs w:val="16"/>
                <w:lang w:val="es-ES_tradnl" w:bidi="th-TH"/>
              </w:rPr>
            </w:pPr>
          </w:p>
          <w:p w:rsidR="0057647D" w:rsidRPr="00C75C7E" w:rsidRDefault="0057647D" w:rsidP="0057647D">
            <w:pPr>
              <w:widowControl w:val="0"/>
              <w:rPr>
                <w:sz w:val="16"/>
                <w:szCs w:val="16"/>
                <w:lang w:val="es-ES_tradnl"/>
              </w:rPr>
            </w:pPr>
          </w:p>
        </w:tc>
        <w:tc>
          <w:tcPr>
            <w:tcW w:w="1035" w:type="pct"/>
            <w:tcBorders>
              <w:top w:val="single" w:sz="4" w:space="0" w:color="auto"/>
            </w:tcBorders>
            <w:shd w:val="clear" w:color="auto" w:fill="auto"/>
            <w:tcMar>
              <w:top w:w="113" w:type="dxa"/>
            </w:tcMar>
          </w:tcPr>
          <w:p w:rsidR="0057647D" w:rsidRPr="00C75C7E" w:rsidRDefault="0057647D" w:rsidP="0057647D">
            <w:pPr>
              <w:widowControl w:val="0"/>
              <w:ind w:right="381"/>
              <w:rPr>
                <w:bCs/>
                <w:sz w:val="16"/>
                <w:szCs w:val="16"/>
                <w:lang w:val="es-ES_tradnl"/>
              </w:rPr>
            </w:pPr>
            <w:r w:rsidRPr="00C75C7E">
              <w:rPr>
                <w:bCs/>
                <w:sz w:val="16"/>
                <w:szCs w:val="16"/>
                <w:lang w:val="es-ES_tradnl"/>
              </w:rPr>
              <w:t>Avances en cuestiones de interés común en el SCP</w:t>
            </w:r>
          </w:p>
        </w:tc>
      </w:tr>
      <w:tr w:rsidR="0057647D" w:rsidRPr="00C75C7E" w:rsidTr="0057647D">
        <w:trPr>
          <w:cantSplit/>
        </w:trPr>
        <w:tc>
          <w:tcPr>
            <w:tcW w:w="1263" w:type="pct"/>
            <w:shd w:val="clear" w:color="auto" w:fill="auto"/>
            <w:tcMar>
              <w:top w:w="113" w:type="dxa"/>
            </w:tcMar>
          </w:tcPr>
          <w:p w:rsidR="0057647D" w:rsidRPr="00C75C7E" w:rsidRDefault="0057647D" w:rsidP="0057647D">
            <w:pPr>
              <w:widowControl w:val="0"/>
              <w:rPr>
                <w:sz w:val="16"/>
                <w:szCs w:val="16"/>
                <w:lang w:val="es-ES_tradnl"/>
              </w:rPr>
            </w:pPr>
          </w:p>
        </w:tc>
        <w:tc>
          <w:tcPr>
            <w:tcW w:w="1532" w:type="pct"/>
            <w:shd w:val="clear" w:color="auto" w:fill="auto"/>
            <w:tcMar>
              <w:top w:w="113" w:type="dxa"/>
            </w:tcMar>
          </w:tcPr>
          <w:p w:rsidR="0057647D" w:rsidRPr="00C75C7E" w:rsidRDefault="0057647D" w:rsidP="0057647D">
            <w:pPr>
              <w:widowControl w:val="0"/>
              <w:rPr>
                <w:sz w:val="16"/>
                <w:szCs w:val="16"/>
                <w:lang w:val="es-ES_tradnl"/>
              </w:rPr>
            </w:pPr>
            <w:r w:rsidRPr="00C75C7E">
              <w:rPr>
                <w:sz w:val="16"/>
                <w:szCs w:val="16"/>
                <w:lang w:val="es-ES_tradnl"/>
              </w:rPr>
              <w:t>Porcentaje de participantes en talleres/seminarios/conferencias sobre cuestiones específicas relacionadas con las patentes que expresaron satisfacción al respecto.</w:t>
            </w:r>
          </w:p>
        </w:tc>
        <w:tc>
          <w:tcPr>
            <w:tcW w:w="1170" w:type="pct"/>
            <w:shd w:val="clear" w:color="auto" w:fill="FFFFFF"/>
            <w:tcMar>
              <w:top w:w="113" w:type="dxa"/>
            </w:tcMar>
          </w:tcPr>
          <w:p w:rsidR="0057647D" w:rsidRPr="00C75C7E" w:rsidRDefault="0057647D" w:rsidP="0057647D">
            <w:pPr>
              <w:widowControl w:val="0"/>
              <w:rPr>
                <w:sz w:val="16"/>
                <w:szCs w:val="16"/>
                <w:lang w:val="es-ES_tradnl" w:bidi="th-TH"/>
              </w:rPr>
            </w:pPr>
            <w:r w:rsidRPr="00C75C7E">
              <w:rPr>
                <w:sz w:val="16"/>
                <w:szCs w:val="16"/>
                <w:lang w:val="es-ES_tradnl" w:bidi="th-TH"/>
              </w:rPr>
              <w:t>Encuestas de 2012.</w:t>
            </w:r>
          </w:p>
          <w:p w:rsidR="0057647D" w:rsidRPr="00C75C7E" w:rsidRDefault="0057647D" w:rsidP="0057647D">
            <w:pPr>
              <w:widowControl w:val="0"/>
              <w:rPr>
                <w:sz w:val="16"/>
                <w:szCs w:val="16"/>
                <w:lang w:val="es-ES_tradnl" w:bidi="th-TH"/>
              </w:rPr>
            </w:pPr>
          </w:p>
          <w:p w:rsidR="0057647D" w:rsidRPr="00C75C7E" w:rsidRDefault="0057647D" w:rsidP="0057647D">
            <w:pPr>
              <w:widowControl w:val="0"/>
              <w:rPr>
                <w:sz w:val="16"/>
                <w:szCs w:val="16"/>
                <w:lang w:val="es-ES_tradnl" w:bidi="th-TH"/>
              </w:rPr>
            </w:pPr>
          </w:p>
          <w:p w:rsidR="0057647D" w:rsidRPr="00C75C7E" w:rsidRDefault="0057647D" w:rsidP="0057647D">
            <w:pPr>
              <w:widowControl w:val="0"/>
              <w:rPr>
                <w:sz w:val="16"/>
                <w:szCs w:val="16"/>
                <w:lang w:val="es-ES_tradnl" w:bidi="th-TH"/>
              </w:rPr>
            </w:pPr>
          </w:p>
          <w:p w:rsidR="0057647D" w:rsidRPr="00C75C7E" w:rsidRDefault="0057647D" w:rsidP="0057647D">
            <w:pPr>
              <w:widowControl w:val="0"/>
              <w:rPr>
                <w:sz w:val="16"/>
                <w:szCs w:val="16"/>
                <w:lang w:val="es-ES_tradnl" w:bidi="th-TH"/>
              </w:rPr>
            </w:pPr>
          </w:p>
          <w:p w:rsidR="0057647D" w:rsidRPr="00C75C7E" w:rsidRDefault="0057647D" w:rsidP="0057647D">
            <w:pPr>
              <w:widowControl w:val="0"/>
              <w:rPr>
                <w:sz w:val="16"/>
                <w:szCs w:val="16"/>
                <w:lang w:val="es-ES_tradnl"/>
              </w:rPr>
            </w:pPr>
          </w:p>
        </w:tc>
        <w:tc>
          <w:tcPr>
            <w:tcW w:w="1035" w:type="pct"/>
            <w:shd w:val="clear" w:color="auto" w:fill="auto"/>
            <w:tcMar>
              <w:top w:w="113" w:type="dxa"/>
            </w:tcMar>
          </w:tcPr>
          <w:p w:rsidR="0057647D" w:rsidRPr="00C75C7E" w:rsidRDefault="0057647D" w:rsidP="0057647D">
            <w:pPr>
              <w:widowControl w:val="0"/>
              <w:ind w:right="51"/>
              <w:rPr>
                <w:bCs/>
                <w:sz w:val="16"/>
                <w:szCs w:val="16"/>
                <w:lang w:val="es-ES_tradnl"/>
              </w:rPr>
            </w:pPr>
            <w:r w:rsidRPr="00C75C7E">
              <w:rPr>
                <w:bCs/>
                <w:sz w:val="16"/>
                <w:szCs w:val="16"/>
                <w:lang w:val="es-ES_tradnl"/>
              </w:rPr>
              <w:t>90%</w:t>
            </w:r>
          </w:p>
        </w:tc>
      </w:tr>
      <w:tr w:rsidR="0057647D" w:rsidRPr="00C75C7E" w:rsidTr="0057647D">
        <w:trPr>
          <w:cantSplit/>
          <w:trHeight w:val="1360"/>
        </w:trPr>
        <w:tc>
          <w:tcPr>
            <w:tcW w:w="1263" w:type="pct"/>
            <w:vMerge w:val="restart"/>
            <w:shd w:val="clear" w:color="auto" w:fill="auto"/>
            <w:tcMar>
              <w:top w:w="113" w:type="dxa"/>
            </w:tcMar>
          </w:tcPr>
          <w:p w:rsidR="0057647D" w:rsidRPr="00C75C7E" w:rsidRDefault="0057647D" w:rsidP="0057647D">
            <w:pPr>
              <w:widowControl w:val="0"/>
              <w:rPr>
                <w:sz w:val="16"/>
                <w:szCs w:val="16"/>
                <w:lang w:val="es-ES_tradnl"/>
              </w:rPr>
            </w:pPr>
            <w:r w:rsidRPr="00C75C7E">
              <w:rPr>
                <w:sz w:val="16"/>
                <w:szCs w:val="16"/>
                <w:lang w:val="es-ES_tradnl"/>
              </w:rPr>
              <w:t>I.2. Marcos de P.I. adaptados y equilibrados en el ámbito legislativo, reglamentario y de política.</w:t>
            </w:r>
          </w:p>
        </w:tc>
        <w:tc>
          <w:tcPr>
            <w:tcW w:w="1532" w:type="pct"/>
            <w:shd w:val="clear" w:color="auto" w:fill="auto"/>
            <w:tcMar>
              <w:top w:w="113" w:type="dxa"/>
            </w:tcMar>
          </w:tcPr>
          <w:p w:rsidR="0057647D" w:rsidRPr="00C75C7E" w:rsidRDefault="0057647D" w:rsidP="0057647D">
            <w:pPr>
              <w:widowControl w:val="0"/>
              <w:rPr>
                <w:sz w:val="16"/>
                <w:szCs w:val="16"/>
                <w:lang w:val="es-ES_tradnl"/>
              </w:rPr>
            </w:pPr>
            <w:r w:rsidRPr="00C75C7E">
              <w:rPr>
                <w:sz w:val="16"/>
                <w:szCs w:val="16"/>
                <w:lang w:val="es-ES_tradnl"/>
              </w:rPr>
              <w:t>Número y porcentaje de Estados miembros que consideran útil la información proporcionada en relación con los principios y prácticas jurídicos del sistema de patentes, como, por ejemplo, las flexibilidades que ofrece el sistema y los desafíos que se plantean en la materia.</w:t>
            </w:r>
          </w:p>
        </w:tc>
        <w:tc>
          <w:tcPr>
            <w:tcW w:w="1170" w:type="pct"/>
            <w:shd w:val="clear" w:color="auto" w:fill="FFFFFF"/>
            <w:tcMar>
              <w:top w:w="113" w:type="dxa"/>
            </w:tcMar>
          </w:tcPr>
          <w:p w:rsidR="0057647D" w:rsidRPr="00C75C7E" w:rsidRDefault="0057647D" w:rsidP="0057647D">
            <w:pPr>
              <w:widowControl w:val="0"/>
              <w:rPr>
                <w:sz w:val="16"/>
                <w:szCs w:val="16"/>
                <w:lang w:val="es-ES_tradnl" w:bidi="th-TH"/>
              </w:rPr>
            </w:pPr>
            <w:r w:rsidRPr="00C75C7E">
              <w:rPr>
                <w:sz w:val="16"/>
                <w:szCs w:val="16"/>
                <w:lang w:val="es-ES_tradnl" w:bidi="th-TH"/>
              </w:rPr>
              <w:t>Por determinar.</w:t>
            </w:r>
          </w:p>
          <w:p w:rsidR="0057647D" w:rsidRPr="00C75C7E" w:rsidRDefault="0057647D" w:rsidP="0057647D">
            <w:pPr>
              <w:widowControl w:val="0"/>
              <w:rPr>
                <w:sz w:val="16"/>
                <w:szCs w:val="16"/>
                <w:lang w:val="es-ES_tradnl" w:bidi="th-TH"/>
              </w:rPr>
            </w:pPr>
          </w:p>
          <w:p w:rsidR="0057647D" w:rsidRPr="00C75C7E" w:rsidRDefault="0057647D" w:rsidP="0057647D">
            <w:pPr>
              <w:widowControl w:val="0"/>
              <w:rPr>
                <w:sz w:val="16"/>
                <w:szCs w:val="16"/>
                <w:lang w:val="es-ES_tradnl" w:bidi="th-TH"/>
              </w:rPr>
            </w:pPr>
          </w:p>
          <w:p w:rsidR="0057647D" w:rsidRPr="00C75C7E" w:rsidRDefault="0057647D" w:rsidP="0057647D">
            <w:pPr>
              <w:widowControl w:val="0"/>
              <w:rPr>
                <w:sz w:val="16"/>
                <w:szCs w:val="16"/>
                <w:lang w:val="es-ES_tradnl" w:bidi="th-TH"/>
              </w:rPr>
            </w:pPr>
          </w:p>
          <w:p w:rsidR="0057647D" w:rsidRPr="00C75C7E" w:rsidRDefault="0057647D" w:rsidP="0057647D">
            <w:pPr>
              <w:widowControl w:val="0"/>
              <w:rPr>
                <w:sz w:val="16"/>
                <w:szCs w:val="16"/>
                <w:lang w:val="es-ES_tradnl" w:bidi="th-TH"/>
              </w:rPr>
            </w:pPr>
          </w:p>
          <w:p w:rsidR="0057647D" w:rsidRPr="00C75C7E" w:rsidRDefault="0057647D" w:rsidP="0057647D">
            <w:pPr>
              <w:widowControl w:val="0"/>
              <w:rPr>
                <w:sz w:val="16"/>
                <w:szCs w:val="16"/>
                <w:lang w:val="es-ES_tradnl" w:bidi="th-TH"/>
              </w:rPr>
            </w:pPr>
          </w:p>
          <w:p w:rsidR="0057647D" w:rsidRPr="00C75C7E" w:rsidRDefault="0057647D" w:rsidP="0057647D">
            <w:pPr>
              <w:widowControl w:val="0"/>
              <w:rPr>
                <w:sz w:val="16"/>
                <w:szCs w:val="16"/>
                <w:lang w:val="es-ES_tradnl"/>
              </w:rPr>
            </w:pPr>
          </w:p>
        </w:tc>
        <w:tc>
          <w:tcPr>
            <w:tcW w:w="1035" w:type="pct"/>
            <w:shd w:val="clear" w:color="auto" w:fill="auto"/>
            <w:tcMar>
              <w:top w:w="113" w:type="dxa"/>
            </w:tcMar>
          </w:tcPr>
          <w:p w:rsidR="0057647D" w:rsidRPr="00C75C7E" w:rsidRDefault="0057647D" w:rsidP="0057647D">
            <w:pPr>
              <w:widowControl w:val="0"/>
              <w:ind w:right="51"/>
              <w:rPr>
                <w:bCs/>
                <w:sz w:val="16"/>
                <w:szCs w:val="16"/>
                <w:lang w:val="es-ES_tradnl"/>
              </w:rPr>
            </w:pPr>
            <w:r w:rsidRPr="00C75C7E">
              <w:rPr>
                <w:bCs/>
                <w:sz w:val="16"/>
                <w:szCs w:val="16"/>
                <w:lang w:val="es-ES_tradnl"/>
              </w:rPr>
              <w:t>90%</w:t>
            </w:r>
          </w:p>
        </w:tc>
      </w:tr>
      <w:tr w:rsidR="0057647D" w:rsidRPr="00C75C7E" w:rsidTr="0057647D">
        <w:trPr>
          <w:cantSplit/>
          <w:trHeight w:val="1060"/>
        </w:trPr>
        <w:tc>
          <w:tcPr>
            <w:tcW w:w="1263" w:type="pct"/>
            <w:vMerge/>
            <w:shd w:val="clear" w:color="auto" w:fill="auto"/>
            <w:tcMar>
              <w:top w:w="113" w:type="dxa"/>
            </w:tcMar>
          </w:tcPr>
          <w:p w:rsidR="0057647D" w:rsidRPr="00C75C7E" w:rsidRDefault="0057647D" w:rsidP="0057647D">
            <w:pPr>
              <w:widowControl w:val="0"/>
              <w:rPr>
                <w:sz w:val="16"/>
                <w:szCs w:val="16"/>
                <w:lang w:val="es-ES_tradnl"/>
              </w:rPr>
            </w:pPr>
          </w:p>
        </w:tc>
        <w:tc>
          <w:tcPr>
            <w:tcW w:w="1532" w:type="pct"/>
            <w:shd w:val="clear" w:color="auto" w:fill="auto"/>
            <w:tcMar>
              <w:top w:w="113" w:type="dxa"/>
            </w:tcMar>
          </w:tcPr>
          <w:p w:rsidR="0057647D" w:rsidRPr="00C75C7E" w:rsidRDefault="0057647D" w:rsidP="0057647D">
            <w:pPr>
              <w:widowControl w:val="0"/>
              <w:rPr>
                <w:sz w:val="16"/>
                <w:szCs w:val="16"/>
                <w:lang w:val="es-ES_tradnl"/>
              </w:rPr>
            </w:pPr>
            <w:r w:rsidRPr="00C75C7E">
              <w:rPr>
                <w:sz w:val="16"/>
                <w:szCs w:val="16"/>
                <w:lang w:val="es-ES_tradnl"/>
              </w:rPr>
              <w:t>Porcentaje de participantes en talleres/seminarios/conferencias sobre cuestiones específicas relacionadas con las patentes que expresaron satisfacción al respecto.</w:t>
            </w:r>
          </w:p>
        </w:tc>
        <w:tc>
          <w:tcPr>
            <w:tcW w:w="1170" w:type="pct"/>
            <w:shd w:val="clear" w:color="auto" w:fill="FFFFFF"/>
            <w:tcMar>
              <w:top w:w="113" w:type="dxa"/>
            </w:tcMar>
          </w:tcPr>
          <w:p w:rsidR="0057647D" w:rsidRPr="00C75C7E" w:rsidRDefault="0057647D" w:rsidP="0057647D">
            <w:pPr>
              <w:widowControl w:val="0"/>
              <w:rPr>
                <w:sz w:val="16"/>
                <w:szCs w:val="16"/>
                <w:lang w:val="es-ES_tradnl" w:bidi="th-TH"/>
              </w:rPr>
            </w:pPr>
            <w:r w:rsidRPr="00C75C7E">
              <w:rPr>
                <w:sz w:val="16"/>
                <w:szCs w:val="16"/>
                <w:lang w:val="es-ES_tradnl" w:bidi="th-TH"/>
              </w:rPr>
              <w:t>Por determinar.</w:t>
            </w:r>
          </w:p>
          <w:p w:rsidR="0057647D" w:rsidRPr="00C75C7E" w:rsidRDefault="0057647D" w:rsidP="0057647D">
            <w:pPr>
              <w:widowControl w:val="0"/>
              <w:rPr>
                <w:sz w:val="16"/>
                <w:szCs w:val="16"/>
                <w:lang w:val="es-ES_tradnl" w:bidi="th-TH"/>
              </w:rPr>
            </w:pPr>
          </w:p>
          <w:p w:rsidR="0057647D" w:rsidRPr="00C75C7E" w:rsidRDefault="0057647D" w:rsidP="0057647D">
            <w:pPr>
              <w:widowControl w:val="0"/>
              <w:rPr>
                <w:sz w:val="16"/>
                <w:szCs w:val="16"/>
                <w:lang w:val="es-ES_tradnl" w:bidi="th-TH"/>
              </w:rPr>
            </w:pPr>
          </w:p>
          <w:p w:rsidR="0057647D" w:rsidRPr="00C75C7E" w:rsidRDefault="0057647D" w:rsidP="0057647D">
            <w:pPr>
              <w:widowControl w:val="0"/>
              <w:rPr>
                <w:sz w:val="16"/>
                <w:szCs w:val="16"/>
                <w:lang w:val="es-ES_tradnl" w:bidi="th-TH"/>
              </w:rPr>
            </w:pPr>
          </w:p>
          <w:p w:rsidR="0057647D" w:rsidRPr="00C75C7E" w:rsidRDefault="0057647D" w:rsidP="0057647D">
            <w:pPr>
              <w:widowControl w:val="0"/>
              <w:rPr>
                <w:sz w:val="16"/>
                <w:szCs w:val="16"/>
                <w:lang w:val="es-ES_tradnl" w:bidi="th-TH"/>
              </w:rPr>
            </w:pPr>
          </w:p>
          <w:p w:rsidR="0057647D" w:rsidRPr="00C75C7E" w:rsidRDefault="0057647D" w:rsidP="0057647D">
            <w:pPr>
              <w:widowControl w:val="0"/>
              <w:rPr>
                <w:sz w:val="16"/>
                <w:szCs w:val="16"/>
                <w:lang w:val="es-ES_tradnl"/>
              </w:rPr>
            </w:pPr>
          </w:p>
        </w:tc>
        <w:tc>
          <w:tcPr>
            <w:tcW w:w="1035" w:type="pct"/>
            <w:shd w:val="clear" w:color="auto" w:fill="auto"/>
            <w:tcMar>
              <w:top w:w="113" w:type="dxa"/>
            </w:tcMar>
          </w:tcPr>
          <w:p w:rsidR="0057647D" w:rsidRPr="00C75C7E" w:rsidRDefault="0057647D" w:rsidP="0057647D">
            <w:pPr>
              <w:widowControl w:val="0"/>
              <w:ind w:right="161"/>
              <w:rPr>
                <w:bCs/>
                <w:sz w:val="16"/>
                <w:szCs w:val="16"/>
                <w:lang w:val="es-ES_tradnl"/>
              </w:rPr>
            </w:pPr>
            <w:r w:rsidRPr="00C75C7E">
              <w:rPr>
                <w:bCs/>
                <w:sz w:val="16"/>
                <w:szCs w:val="16"/>
                <w:lang w:val="es-ES_tradnl"/>
              </w:rPr>
              <w:t>90%</w:t>
            </w:r>
          </w:p>
        </w:tc>
      </w:tr>
      <w:tr w:rsidR="0057647D" w:rsidRPr="00C75C7E" w:rsidTr="0057647D">
        <w:trPr>
          <w:cantSplit/>
          <w:trHeight w:val="1102"/>
        </w:trPr>
        <w:tc>
          <w:tcPr>
            <w:tcW w:w="1263" w:type="pct"/>
            <w:vMerge/>
            <w:shd w:val="clear" w:color="auto" w:fill="auto"/>
            <w:tcMar>
              <w:top w:w="113" w:type="dxa"/>
            </w:tcMar>
          </w:tcPr>
          <w:p w:rsidR="0057647D" w:rsidRPr="00C75C7E" w:rsidRDefault="0057647D" w:rsidP="0057647D">
            <w:pPr>
              <w:widowControl w:val="0"/>
              <w:rPr>
                <w:sz w:val="16"/>
                <w:szCs w:val="16"/>
                <w:lang w:val="es-ES_tradnl"/>
              </w:rPr>
            </w:pPr>
          </w:p>
        </w:tc>
        <w:tc>
          <w:tcPr>
            <w:tcW w:w="1532" w:type="pct"/>
            <w:shd w:val="clear" w:color="auto" w:fill="auto"/>
            <w:tcMar>
              <w:top w:w="113" w:type="dxa"/>
            </w:tcMar>
          </w:tcPr>
          <w:p w:rsidR="0057647D" w:rsidRPr="00C75C7E" w:rsidRDefault="0057647D" w:rsidP="0057647D">
            <w:pPr>
              <w:widowControl w:val="0"/>
              <w:rPr>
                <w:sz w:val="16"/>
                <w:szCs w:val="16"/>
                <w:lang w:val="es-ES_tradnl"/>
              </w:rPr>
            </w:pPr>
            <w:r w:rsidRPr="00C75C7E">
              <w:rPr>
                <w:sz w:val="16"/>
                <w:szCs w:val="16"/>
                <w:lang w:val="es-ES_tradnl"/>
              </w:rPr>
              <w:t>Número y porcentaje de Estados miembros satisfechos con la calidad del asesoramiento jurídico sobre patentes, modelos de utilidad, secretos comerciales y circuitos integrados.</w:t>
            </w:r>
          </w:p>
        </w:tc>
        <w:tc>
          <w:tcPr>
            <w:tcW w:w="1170" w:type="pct"/>
            <w:shd w:val="clear" w:color="auto" w:fill="FFFFFF"/>
            <w:tcMar>
              <w:top w:w="113" w:type="dxa"/>
            </w:tcMar>
          </w:tcPr>
          <w:p w:rsidR="0057647D" w:rsidRPr="00C75C7E" w:rsidRDefault="0057647D" w:rsidP="0057647D">
            <w:pPr>
              <w:widowControl w:val="0"/>
              <w:rPr>
                <w:sz w:val="16"/>
                <w:szCs w:val="16"/>
                <w:lang w:val="es-ES_tradnl" w:bidi="th-TH"/>
              </w:rPr>
            </w:pPr>
            <w:r w:rsidRPr="00C75C7E">
              <w:rPr>
                <w:sz w:val="16"/>
                <w:szCs w:val="16"/>
                <w:lang w:val="es-ES_tradnl" w:bidi="th-TH"/>
              </w:rPr>
              <w:t>Encuestas de 2012.</w:t>
            </w:r>
          </w:p>
          <w:p w:rsidR="0057647D" w:rsidRPr="00C75C7E" w:rsidRDefault="0057647D" w:rsidP="0057647D">
            <w:pPr>
              <w:widowControl w:val="0"/>
              <w:rPr>
                <w:sz w:val="16"/>
                <w:szCs w:val="16"/>
                <w:lang w:val="es-ES_tradnl" w:bidi="th-TH"/>
              </w:rPr>
            </w:pPr>
          </w:p>
          <w:p w:rsidR="0057647D" w:rsidRPr="00C75C7E" w:rsidRDefault="0057647D" w:rsidP="0057647D">
            <w:pPr>
              <w:widowControl w:val="0"/>
              <w:rPr>
                <w:sz w:val="16"/>
                <w:szCs w:val="16"/>
                <w:lang w:val="es-ES_tradnl" w:bidi="th-TH"/>
              </w:rPr>
            </w:pPr>
          </w:p>
        </w:tc>
        <w:tc>
          <w:tcPr>
            <w:tcW w:w="1035" w:type="pct"/>
            <w:shd w:val="clear" w:color="auto" w:fill="auto"/>
            <w:tcMar>
              <w:top w:w="113" w:type="dxa"/>
            </w:tcMar>
          </w:tcPr>
          <w:p w:rsidR="0057647D" w:rsidRPr="00C75C7E" w:rsidRDefault="0057647D" w:rsidP="0057647D">
            <w:pPr>
              <w:widowControl w:val="0"/>
              <w:ind w:right="161"/>
              <w:rPr>
                <w:bCs/>
                <w:sz w:val="16"/>
                <w:szCs w:val="16"/>
                <w:lang w:val="es-ES_tradnl"/>
              </w:rPr>
            </w:pPr>
            <w:r w:rsidRPr="00C75C7E">
              <w:rPr>
                <w:bCs/>
                <w:sz w:val="16"/>
                <w:szCs w:val="16"/>
                <w:lang w:val="es-ES_tradnl"/>
              </w:rPr>
              <w:t>90%</w:t>
            </w:r>
          </w:p>
        </w:tc>
      </w:tr>
      <w:tr w:rsidR="0057647D" w:rsidRPr="00C75C7E" w:rsidTr="0057647D">
        <w:trPr>
          <w:cantSplit/>
          <w:trHeight w:val="1144"/>
        </w:trPr>
        <w:tc>
          <w:tcPr>
            <w:tcW w:w="1263" w:type="pct"/>
            <w:vMerge/>
            <w:shd w:val="clear" w:color="auto" w:fill="auto"/>
            <w:tcMar>
              <w:top w:w="113" w:type="dxa"/>
            </w:tcMar>
          </w:tcPr>
          <w:p w:rsidR="0057647D" w:rsidRPr="00C75C7E" w:rsidRDefault="0057647D" w:rsidP="0057647D">
            <w:pPr>
              <w:widowControl w:val="0"/>
              <w:rPr>
                <w:sz w:val="16"/>
                <w:szCs w:val="16"/>
                <w:lang w:val="es-ES_tradnl"/>
              </w:rPr>
            </w:pPr>
          </w:p>
        </w:tc>
        <w:tc>
          <w:tcPr>
            <w:tcW w:w="1532" w:type="pct"/>
            <w:shd w:val="clear" w:color="auto" w:fill="auto"/>
            <w:tcMar>
              <w:top w:w="113" w:type="dxa"/>
            </w:tcMar>
          </w:tcPr>
          <w:p w:rsidR="0057647D" w:rsidRPr="00C75C7E" w:rsidRDefault="00491731" w:rsidP="00491731">
            <w:pPr>
              <w:widowControl w:val="0"/>
              <w:rPr>
                <w:sz w:val="16"/>
                <w:szCs w:val="16"/>
                <w:lang w:val="es-ES_tradnl"/>
              </w:rPr>
            </w:pPr>
            <w:r>
              <w:rPr>
                <w:sz w:val="16"/>
                <w:szCs w:val="16"/>
                <w:lang w:val="es-ES_tradnl"/>
              </w:rPr>
              <w:t>Con sujeción a la aprobación de los Estados miembros, a</w:t>
            </w:r>
            <w:r w:rsidR="0057647D" w:rsidRPr="00C75C7E">
              <w:rPr>
                <w:sz w:val="16"/>
                <w:szCs w:val="16"/>
                <w:lang w:val="es-ES_tradnl"/>
              </w:rPr>
              <w:t>vance en la revisión de la ley tipo sobre patentes para los países en desarrollo y los PMA.</w:t>
            </w:r>
          </w:p>
        </w:tc>
        <w:tc>
          <w:tcPr>
            <w:tcW w:w="1170" w:type="pct"/>
            <w:shd w:val="clear" w:color="auto" w:fill="FFFFFF"/>
            <w:tcMar>
              <w:top w:w="113" w:type="dxa"/>
            </w:tcMar>
          </w:tcPr>
          <w:p w:rsidR="0057647D" w:rsidRPr="00C75C7E" w:rsidRDefault="0057647D" w:rsidP="0057647D">
            <w:pPr>
              <w:widowControl w:val="0"/>
              <w:rPr>
                <w:sz w:val="16"/>
                <w:szCs w:val="16"/>
                <w:lang w:val="es-ES_tradnl" w:bidi="th-TH"/>
              </w:rPr>
            </w:pPr>
            <w:r w:rsidRPr="00C75C7E">
              <w:rPr>
                <w:sz w:val="16"/>
                <w:szCs w:val="16"/>
                <w:lang w:val="es-ES_tradnl" w:bidi="th-TH"/>
              </w:rPr>
              <w:t>Por determinar.</w:t>
            </w:r>
          </w:p>
          <w:p w:rsidR="0057647D" w:rsidRPr="00C75C7E" w:rsidRDefault="0057647D" w:rsidP="0057647D">
            <w:pPr>
              <w:widowControl w:val="0"/>
              <w:rPr>
                <w:sz w:val="16"/>
                <w:szCs w:val="16"/>
                <w:lang w:val="es-ES_tradnl" w:bidi="th-TH"/>
              </w:rPr>
            </w:pPr>
          </w:p>
          <w:p w:rsidR="0057647D" w:rsidRPr="00C75C7E" w:rsidRDefault="0057647D" w:rsidP="0057647D">
            <w:pPr>
              <w:widowControl w:val="0"/>
              <w:rPr>
                <w:sz w:val="16"/>
                <w:szCs w:val="16"/>
                <w:lang w:val="es-ES_tradnl" w:bidi="th-TH"/>
              </w:rPr>
            </w:pPr>
          </w:p>
        </w:tc>
        <w:tc>
          <w:tcPr>
            <w:tcW w:w="1035" w:type="pct"/>
            <w:shd w:val="clear" w:color="auto" w:fill="auto"/>
            <w:tcMar>
              <w:top w:w="113" w:type="dxa"/>
            </w:tcMar>
          </w:tcPr>
          <w:p w:rsidR="0057647D" w:rsidRPr="00C75C7E" w:rsidRDefault="00491731" w:rsidP="0057647D">
            <w:pPr>
              <w:widowControl w:val="0"/>
              <w:ind w:right="161"/>
              <w:rPr>
                <w:bCs/>
                <w:sz w:val="16"/>
                <w:szCs w:val="16"/>
                <w:lang w:val="es-ES_tradnl"/>
              </w:rPr>
            </w:pPr>
            <w:r>
              <w:rPr>
                <w:bCs/>
                <w:sz w:val="16"/>
                <w:szCs w:val="16"/>
                <w:lang w:val="es-ES_tradnl"/>
              </w:rPr>
              <w:t>Avances en la labor preparatoria de la actualización de la ley tipo de la OMPI sobre patentes</w:t>
            </w:r>
          </w:p>
        </w:tc>
      </w:tr>
    </w:tbl>
    <w:p w:rsidR="0057647D" w:rsidRDefault="0057647D" w:rsidP="0057647D">
      <w:pPr>
        <w:widowControl w:val="0"/>
        <w:rPr>
          <w:sz w:val="20"/>
          <w:lang w:val="es-ES_tradnl"/>
        </w:rPr>
      </w:pPr>
    </w:p>
    <w:p w:rsidR="009F2448" w:rsidRPr="00C75C7E" w:rsidRDefault="009F2448" w:rsidP="0057647D">
      <w:pPr>
        <w:widowControl w:val="0"/>
        <w:rPr>
          <w:sz w:val="20"/>
          <w:lang w:val="es-ES_tradnl"/>
        </w:rPr>
      </w:pPr>
    </w:p>
    <w:p w:rsidR="00F8358E" w:rsidRPr="00F8358E" w:rsidRDefault="00F8358E" w:rsidP="00F8358E">
      <w:pPr>
        <w:widowControl w:val="0"/>
        <w:autoSpaceDE w:val="0"/>
        <w:autoSpaceDN w:val="0"/>
        <w:adjustRightInd w:val="0"/>
        <w:jc w:val="both"/>
        <w:rPr>
          <w:rFonts w:eastAsia="Times New Roman"/>
          <w:szCs w:val="22"/>
          <w:lang w:eastAsia="en-US"/>
        </w:rPr>
      </w:pPr>
      <w:r w:rsidRPr="00F8358E">
        <w:rPr>
          <w:rFonts w:eastAsia="Times New Roman"/>
          <w:szCs w:val="22"/>
          <w:lang w:eastAsia="en-US"/>
        </w:rPr>
        <w:t>RECURSOS PARA EL PROGRAMA 1</w:t>
      </w:r>
    </w:p>
    <w:p w:rsidR="00F8358E" w:rsidRPr="00F8358E" w:rsidRDefault="00F8358E" w:rsidP="00F8358E">
      <w:pPr>
        <w:widowControl w:val="0"/>
        <w:autoSpaceDE w:val="0"/>
        <w:autoSpaceDN w:val="0"/>
        <w:adjustRightInd w:val="0"/>
        <w:jc w:val="both"/>
        <w:rPr>
          <w:rFonts w:eastAsia="Times New Roman"/>
          <w:szCs w:val="22"/>
          <w:lang w:eastAsia="en-US"/>
        </w:rPr>
      </w:pPr>
    </w:p>
    <w:p w:rsidR="00F8358E" w:rsidRPr="00F8358E" w:rsidRDefault="00F8358E" w:rsidP="00F8358E">
      <w:pPr>
        <w:widowControl w:val="0"/>
        <w:numPr>
          <w:ilvl w:val="0"/>
          <w:numId w:val="8"/>
        </w:numPr>
        <w:jc w:val="both"/>
        <w:rPr>
          <w:rFonts w:eastAsia="Times New Roman"/>
          <w:sz w:val="20"/>
          <w:lang w:eastAsia="en-US"/>
        </w:rPr>
      </w:pPr>
      <w:r w:rsidRPr="00F8358E">
        <w:rPr>
          <w:rFonts w:eastAsia="Times New Roman"/>
          <w:sz w:val="20"/>
          <w:lang w:eastAsia="en-US"/>
        </w:rPr>
        <w:t>La reducción en relación con el resultado I.1 (Elaboración de marcos normativos internacionales equilibrados para la P.I.) que se muestra más abajo se debe a la aplicación de medidas destinadas a fomentar la eficacia en función de los costos en el ámbito de las Misiones del personal y los Viajes de terceros.</w:t>
      </w:r>
    </w:p>
    <w:p w:rsidR="00F8358E" w:rsidRPr="00F8358E" w:rsidRDefault="00F8358E" w:rsidP="00F8358E">
      <w:pPr>
        <w:widowControl w:val="0"/>
        <w:jc w:val="both"/>
        <w:rPr>
          <w:rFonts w:eastAsia="Times New Roman"/>
          <w:sz w:val="20"/>
          <w:lang w:eastAsia="en-US"/>
        </w:rPr>
      </w:pPr>
    </w:p>
    <w:p w:rsidR="00F8358E" w:rsidRPr="00F8358E" w:rsidRDefault="00F8358E" w:rsidP="00F8358E">
      <w:pPr>
        <w:widowControl w:val="0"/>
        <w:numPr>
          <w:ilvl w:val="0"/>
          <w:numId w:val="8"/>
        </w:numPr>
        <w:jc w:val="both"/>
        <w:rPr>
          <w:rFonts w:eastAsia="Times New Roman"/>
          <w:sz w:val="20"/>
          <w:lang w:eastAsia="en-US"/>
        </w:rPr>
      </w:pPr>
      <w:r w:rsidRPr="00F8358E">
        <w:rPr>
          <w:rFonts w:eastAsia="Times New Roman"/>
          <w:sz w:val="20"/>
          <w:lang w:eastAsia="en-US"/>
        </w:rPr>
        <w:t>El aumento que se registra en relación con el resultado I.2 (Asesoramiento legislativo) se debe a un incremento de los gastos de personal y Servicios contractuales individuales.</w:t>
      </w:r>
    </w:p>
    <w:p w:rsidR="00F8358E" w:rsidRPr="00F8358E" w:rsidRDefault="00F8358E" w:rsidP="00F8358E">
      <w:pPr>
        <w:widowControl w:val="0"/>
        <w:autoSpaceDE w:val="0"/>
        <w:autoSpaceDN w:val="0"/>
        <w:adjustRightInd w:val="0"/>
        <w:jc w:val="both"/>
        <w:rPr>
          <w:rFonts w:eastAsia="Times New Roman"/>
          <w:sz w:val="20"/>
          <w:lang w:eastAsia="en-US"/>
        </w:rPr>
      </w:pPr>
    </w:p>
    <w:p w:rsidR="00F8358E" w:rsidRPr="00F8358E" w:rsidRDefault="00F8358E" w:rsidP="00F8358E">
      <w:pPr>
        <w:widowControl w:val="0"/>
        <w:numPr>
          <w:ilvl w:val="0"/>
          <w:numId w:val="8"/>
        </w:numPr>
        <w:jc w:val="both"/>
        <w:rPr>
          <w:rFonts w:eastAsia="Times New Roman"/>
          <w:sz w:val="20"/>
          <w:lang w:eastAsia="en-US"/>
        </w:rPr>
      </w:pPr>
      <w:r w:rsidRPr="00F8358E">
        <w:rPr>
          <w:rFonts w:eastAsia="Times New Roman"/>
          <w:sz w:val="20"/>
          <w:lang w:eastAsia="en-US"/>
        </w:rPr>
        <w:t xml:space="preserve">En el bienio 2014/15 no se asignarán recursos al resultado VII.2 (Adopción generalizada de plataformas para abordar problemas de orden mundial) debido a la finalización del proyecto de la A.D. sobre </w:t>
      </w:r>
      <w:r w:rsidR="003A4B0F" w:rsidRPr="00F8358E">
        <w:rPr>
          <w:rFonts w:eastAsia="Times New Roman"/>
          <w:sz w:val="20"/>
          <w:lang w:eastAsia="en-US"/>
        </w:rPr>
        <w:t xml:space="preserve">patentes </w:t>
      </w:r>
      <w:r w:rsidRPr="00F8358E">
        <w:rPr>
          <w:rFonts w:eastAsia="Times New Roman"/>
          <w:sz w:val="20"/>
          <w:lang w:eastAsia="en-US"/>
        </w:rPr>
        <w:t>y dominio público.</w:t>
      </w:r>
    </w:p>
    <w:p w:rsidR="00F8358E" w:rsidRDefault="00F8358E" w:rsidP="00DA2E7F">
      <w:pPr>
        <w:widowControl w:val="0"/>
        <w:autoSpaceDE w:val="0"/>
        <w:autoSpaceDN w:val="0"/>
        <w:adjustRightInd w:val="0"/>
        <w:ind w:firstLine="567"/>
        <w:jc w:val="center"/>
        <w:rPr>
          <w:b/>
          <w:bCs/>
          <w:iCs/>
          <w:sz w:val="20"/>
          <w:lang w:val="es-ES_tradnl"/>
        </w:rPr>
      </w:pPr>
    </w:p>
    <w:p w:rsidR="00F8358E" w:rsidRDefault="00F8358E" w:rsidP="009F2448">
      <w:pPr>
        <w:keepNext/>
        <w:widowControl w:val="0"/>
        <w:autoSpaceDE w:val="0"/>
        <w:autoSpaceDN w:val="0"/>
        <w:adjustRightInd w:val="0"/>
        <w:jc w:val="center"/>
        <w:rPr>
          <w:b/>
          <w:bCs/>
          <w:iCs/>
          <w:sz w:val="20"/>
          <w:lang w:val="es-ES_tradnl"/>
        </w:rPr>
      </w:pPr>
    </w:p>
    <w:p w:rsidR="00DA2E7F" w:rsidRPr="00C75C7E" w:rsidRDefault="00491731" w:rsidP="009F2448">
      <w:pPr>
        <w:keepNext/>
        <w:widowControl w:val="0"/>
        <w:autoSpaceDE w:val="0"/>
        <w:autoSpaceDN w:val="0"/>
        <w:adjustRightInd w:val="0"/>
        <w:jc w:val="center"/>
        <w:rPr>
          <w:b/>
          <w:bCs/>
          <w:iCs/>
          <w:sz w:val="20"/>
          <w:lang w:val="es-ES_tradnl"/>
        </w:rPr>
      </w:pPr>
      <w:r>
        <w:rPr>
          <w:b/>
          <w:bCs/>
          <w:iCs/>
          <w:sz w:val="20"/>
          <w:lang w:val="es-ES_tradnl"/>
        </w:rPr>
        <w:t xml:space="preserve">Programa 1:  </w:t>
      </w:r>
      <w:r w:rsidR="00DA2E7F" w:rsidRPr="00C75C7E">
        <w:rPr>
          <w:b/>
          <w:bCs/>
          <w:iCs/>
          <w:sz w:val="20"/>
          <w:lang w:val="es-ES_tradnl"/>
        </w:rPr>
        <w:t>Recursos por resultado</w:t>
      </w:r>
    </w:p>
    <w:p w:rsidR="00DA2E7F" w:rsidRPr="00C75C7E" w:rsidRDefault="00DA2E7F" w:rsidP="009F2448">
      <w:pPr>
        <w:keepNext/>
        <w:widowControl w:val="0"/>
        <w:autoSpaceDE w:val="0"/>
        <w:autoSpaceDN w:val="0"/>
        <w:adjustRightInd w:val="0"/>
        <w:jc w:val="center"/>
        <w:rPr>
          <w:bCs/>
          <w:i/>
          <w:sz w:val="20"/>
          <w:lang w:val="es-ES_tradnl"/>
        </w:rPr>
      </w:pPr>
      <w:r w:rsidRPr="00C75C7E">
        <w:rPr>
          <w:bCs/>
          <w:i/>
          <w:sz w:val="20"/>
          <w:lang w:val="es-ES_tradnl"/>
        </w:rPr>
        <w:t>(en miles de francos suizos)</w:t>
      </w:r>
    </w:p>
    <w:p w:rsidR="00DA2E7F" w:rsidRPr="00C75C7E" w:rsidRDefault="00DA2E7F" w:rsidP="009F2448">
      <w:pPr>
        <w:keepNext/>
        <w:widowControl w:val="0"/>
        <w:jc w:val="center"/>
        <w:rPr>
          <w:sz w:val="20"/>
          <w:lang w:val="es-ES_tradnl"/>
        </w:rPr>
      </w:pPr>
    </w:p>
    <w:p w:rsidR="00DA2E7F" w:rsidRPr="00C75C7E" w:rsidRDefault="00214E52" w:rsidP="00DA2E7F">
      <w:pPr>
        <w:widowControl w:val="0"/>
        <w:jc w:val="center"/>
        <w:rPr>
          <w:sz w:val="20"/>
          <w:lang w:val="es-ES_tradnl"/>
        </w:rPr>
      </w:pPr>
      <w:r w:rsidRPr="00214E52">
        <w:rPr>
          <w:noProof/>
          <w:lang w:val="en-US" w:eastAsia="en-US"/>
        </w:rPr>
        <w:drawing>
          <wp:inline distT="0" distB="0" distL="0" distR="0" wp14:anchorId="224D1CC2" wp14:editId="0354F15B">
            <wp:extent cx="5762625" cy="2543175"/>
            <wp:effectExtent l="0" t="0" r="9525" b="9525"/>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62625" cy="2543175"/>
                    </a:xfrm>
                    <a:prstGeom prst="rect">
                      <a:avLst/>
                    </a:prstGeom>
                    <a:noFill/>
                    <a:ln>
                      <a:noFill/>
                    </a:ln>
                  </pic:spPr>
                </pic:pic>
              </a:graphicData>
            </a:graphic>
          </wp:inline>
        </w:drawing>
      </w:r>
    </w:p>
    <w:p w:rsidR="00DA2E7F" w:rsidRPr="00C75C7E" w:rsidRDefault="00DA2E7F" w:rsidP="00DA2E7F">
      <w:pPr>
        <w:widowControl w:val="0"/>
        <w:rPr>
          <w:sz w:val="20"/>
          <w:lang w:val="es-ES_tradnl"/>
        </w:rPr>
      </w:pPr>
    </w:p>
    <w:p w:rsidR="00DA2E7F" w:rsidRPr="00C75C7E" w:rsidRDefault="00DA2E7F" w:rsidP="00DA2E7F">
      <w:pPr>
        <w:widowControl w:val="0"/>
        <w:rPr>
          <w:sz w:val="20"/>
          <w:lang w:val="es-ES_tradnl"/>
        </w:rPr>
      </w:pPr>
      <w:r w:rsidRPr="00C75C7E">
        <w:rPr>
          <w:sz w:val="16"/>
          <w:szCs w:val="16"/>
          <w:lang w:val="es-ES_tradnl"/>
        </w:rPr>
        <w:t>Nota: Se ha reexpresado el presupuesto aprobado de 2012/13 y el presupuesto de dicho bienio después de las transferencias, por resultado previsto, para reflejar el marco de resultados de la Organización propuesto para 2014/15.</w:t>
      </w:r>
    </w:p>
    <w:p w:rsidR="00DA2E7F" w:rsidRPr="00C75C7E" w:rsidRDefault="00DA2E7F" w:rsidP="00DA2E7F">
      <w:pPr>
        <w:widowControl w:val="0"/>
        <w:autoSpaceDE w:val="0"/>
        <w:autoSpaceDN w:val="0"/>
        <w:adjustRightInd w:val="0"/>
        <w:jc w:val="center"/>
        <w:rPr>
          <w:b/>
          <w:bCs/>
          <w:iCs/>
          <w:sz w:val="20"/>
          <w:lang w:val="es-ES_tradnl"/>
        </w:rPr>
      </w:pPr>
    </w:p>
    <w:p w:rsidR="00DA2E7F" w:rsidRPr="00C75C7E" w:rsidRDefault="00DA2E7F" w:rsidP="00DA2E7F">
      <w:pPr>
        <w:widowControl w:val="0"/>
        <w:autoSpaceDE w:val="0"/>
        <w:autoSpaceDN w:val="0"/>
        <w:adjustRightInd w:val="0"/>
        <w:jc w:val="center"/>
        <w:rPr>
          <w:b/>
          <w:bCs/>
          <w:iCs/>
          <w:sz w:val="20"/>
          <w:lang w:val="es-ES_tradnl"/>
        </w:rPr>
      </w:pPr>
    </w:p>
    <w:p w:rsidR="00DA2E7F" w:rsidRPr="00C75C7E" w:rsidRDefault="005C7451" w:rsidP="009F2448">
      <w:pPr>
        <w:keepNext/>
        <w:widowControl w:val="0"/>
        <w:autoSpaceDE w:val="0"/>
        <w:autoSpaceDN w:val="0"/>
        <w:adjustRightInd w:val="0"/>
        <w:jc w:val="center"/>
        <w:rPr>
          <w:b/>
          <w:bCs/>
          <w:iCs/>
          <w:sz w:val="20"/>
          <w:lang w:val="es-ES_tradnl"/>
        </w:rPr>
      </w:pPr>
      <w:r>
        <w:rPr>
          <w:b/>
          <w:bCs/>
          <w:iCs/>
          <w:sz w:val="20"/>
          <w:lang w:val="es-ES_tradnl"/>
        </w:rPr>
        <w:lastRenderedPageBreak/>
        <w:t xml:space="preserve">Programa 1:  </w:t>
      </w:r>
      <w:r w:rsidR="00DA2E7F" w:rsidRPr="00C75C7E">
        <w:rPr>
          <w:b/>
          <w:bCs/>
          <w:iCs/>
          <w:sz w:val="20"/>
          <w:lang w:val="es-ES_tradnl"/>
        </w:rPr>
        <w:t>Recursos por objeto de gasto</w:t>
      </w:r>
    </w:p>
    <w:p w:rsidR="00DA2E7F" w:rsidRPr="00C75C7E" w:rsidRDefault="00DA2E7F" w:rsidP="009F2448">
      <w:pPr>
        <w:keepNext/>
        <w:widowControl w:val="0"/>
        <w:autoSpaceDE w:val="0"/>
        <w:autoSpaceDN w:val="0"/>
        <w:adjustRightInd w:val="0"/>
        <w:jc w:val="center"/>
        <w:rPr>
          <w:bCs/>
          <w:i/>
          <w:sz w:val="20"/>
          <w:lang w:val="es-ES_tradnl"/>
        </w:rPr>
      </w:pPr>
      <w:r w:rsidRPr="00C75C7E">
        <w:rPr>
          <w:bCs/>
          <w:i/>
          <w:sz w:val="20"/>
          <w:lang w:val="es-ES_tradnl"/>
        </w:rPr>
        <w:t>(en miles de francos suizos)</w:t>
      </w:r>
    </w:p>
    <w:p w:rsidR="00DA2E7F" w:rsidRDefault="00DA2E7F" w:rsidP="009F2448">
      <w:pPr>
        <w:keepNext/>
        <w:widowControl w:val="0"/>
        <w:jc w:val="center"/>
        <w:rPr>
          <w:sz w:val="20"/>
          <w:lang w:val="es-ES_tradnl"/>
        </w:rPr>
      </w:pPr>
    </w:p>
    <w:p w:rsidR="00872D10" w:rsidRPr="00C75C7E" w:rsidRDefault="00C40A11" w:rsidP="009F2448">
      <w:pPr>
        <w:keepNext/>
        <w:widowControl w:val="0"/>
        <w:jc w:val="center"/>
        <w:rPr>
          <w:sz w:val="20"/>
          <w:lang w:val="es-ES_tradnl"/>
        </w:rPr>
      </w:pPr>
      <w:r>
        <w:rPr>
          <w:noProof/>
          <w:lang w:val="en-US" w:eastAsia="en-US"/>
        </w:rPr>
        <w:drawing>
          <wp:inline distT="0" distB="0" distL="0" distR="0" wp14:anchorId="6CBBF058" wp14:editId="01005A55">
            <wp:extent cx="5936615" cy="5220335"/>
            <wp:effectExtent l="0" t="0" r="698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936615" cy="5220335"/>
                    </a:xfrm>
                    <a:prstGeom prst="rect">
                      <a:avLst/>
                    </a:prstGeom>
                    <a:noFill/>
                    <a:ln>
                      <a:noFill/>
                    </a:ln>
                  </pic:spPr>
                </pic:pic>
              </a:graphicData>
            </a:graphic>
          </wp:inline>
        </w:drawing>
      </w:r>
    </w:p>
    <w:p w:rsidR="00DA2E7F" w:rsidRPr="00C75C7E" w:rsidRDefault="00DA2E7F" w:rsidP="00DA2E7F">
      <w:pPr>
        <w:widowControl w:val="0"/>
        <w:jc w:val="center"/>
        <w:rPr>
          <w:sz w:val="20"/>
          <w:lang w:val="es-ES_tradnl"/>
        </w:rPr>
      </w:pPr>
    </w:p>
    <w:p w:rsidR="00DA2E7F" w:rsidRPr="00C75C7E" w:rsidRDefault="00DA2E7F" w:rsidP="00DA2E7F">
      <w:pPr>
        <w:widowControl w:val="0"/>
        <w:rPr>
          <w:sz w:val="16"/>
          <w:szCs w:val="16"/>
          <w:lang w:val="es-ES_tradnl"/>
        </w:rPr>
      </w:pPr>
      <w:r w:rsidRPr="00C75C7E">
        <w:rPr>
          <w:sz w:val="16"/>
          <w:szCs w:val="16"/>
          <w:lang w:val="es-ES_tradnl"/>
        </w:rPr>
        <w:t>Notas:</w:t>
      </w:r>
    </w:p>
    <w:p w:rsidR="00DA2E7F" w:rsidRPr="00C75C7E" w:rsidRDefault="00DA2E7F" w:rsidP="00DA2E7F">
      <w:pPr>
        <w:widowControl w:val="0"/>
        <w:rPr>
          <w:sz w:val="16"/>
          <w:szCs w:val="16"/>
          <w:u w:val="single"/>
          <w:lang w:val="es-ES_tradnl"/>
        </w:rPr>
      </w:pPr>
    </w:p>
    <w:p w:rsidR="00DA2E7F" w:rsidRPr="00C75C7E" w:rsidRDefault="00DA2E7F" w:rsidP="00DA2E7F">
      <w:pPr>
        <w:widowControl w:val="0"/>
        <w:rPr>
          <w:sz w:val="16"/>
          <w:szCs w:val="16"/>
          <w:lang w:val="es-ES_tradnl"/>
        </w:rPr>
      </w:pPr>
      <w:r>
        <w:rPr>
          <w:sz w:val="16"/>
          <w:szCs w:val="16"/>
          <w:lang w:val="es-ES_tradnl"/>
        </w:rPr>
        <w:t xml:space="preserve">1) </w:t>
      </w:r>
      <w:r w:rsidRPr="00C75C7E">
        <w:rPr>
          <w:sz w:val="16"/>
          <w:szCs w:val="16"/>
          <w:lang w:val="es-ES_tradnl"/>
        </w:rPr>
        <w:t xml:space="preserve"> El presupuesto aprobado de 2012/13 y el presupuesto de dicho bienio después de las transferencias se reexpresan sobre la base de la estructura de categorías de costos propuesta para 2014/15.</w:t>
      </w:r>
    </w:p>
    <w:p w:rsidR="00DA2E7F" w:rsidRPr="005440D4" w:rsidRDefault="00DA2E7F" w:rsidP="00DA2E7F">
      <w:pPr>
        <w:widowControl w:val="0"/>
        <w:rPr>
          <w:sz w:val="16"/>
          <w:szCs w:val="16"/>
          <w:u w:val="single"/>
          <w:lang w:val="es-ES_tradnl"/>
        </w:rPr>
      </w:pPr>
    </w:p>
    <w:p w:rsidR="00DA2E7F" w:rsidRPr="00C75C7E" w:rsidRDefault="00DA2E7F" w:rsidP="00DA2E7F">
      <w:pPr>
        <w:widowControl w:val="0"/>
        <w:tabs>
          <w:tab w:val="left" w:pos="567"/>
        </w:tabs>
        <w:rPr>
          <w:sz w:val="16"/>
          <w:szCs w:val="16"/>
          <w:lang w:val="es-ES_tradnl"/>
        </w:rPr>
      </w:pPr>
      <w:r>
        <w:rPr>
          <w:sz w:val="16"/>
          <w:szCs w:val="16"/>
          <w:lang w:val="es-ES_tradnl"/>
        </w:rPr>
        <w:t xml:space="preserve">2)  </w:t>
      </w:r>
      <w:r w:rsidRPr="00C75C7E">
        <w:rPr>
          <w:sz w:val="16"/>
          <w:szCs w:val="16"/>
          <w:lang w:val="es-ES_tradnl"/>
        </w:rPr>
        <w:t xml:space="preserve">El presupuesto después de las transferencias refleja el presupuesto de los programas ajustado tras las transferencias efectuadas en 2012/13 en virtud del artículo 5.5 del Reglamento Financiero. Para más información sobre el presupuesto de 2012/13 después de las transferencias, cabe remitirse al cuadro que figura en el Anexo I (Presupuesto después de las transferencias, por programa) del presente documento y al documento WO/PBC/20/2 (Informe sobre el rendimiento de los programas en 2012).  </w:t>
      </w:r>
      <w:r w:rsidRPr="00C75C7E">
        <w:rPr>
          <w:rFonts w:cs="ArialMT"/>
          <w:sz w:val="16"/>
          <w:szCs w:val="16"/>
          <w:lang w:val="es-ES_tradnl"/>
        </w:rPr>
        <w:t xml:space="preserve">Los costos de personal del presupuesto de 2012/13 después de las transferencias representan los gastos reales efectuados hasta el 31 de marzo de 2013 y los importes presupuestados para los nueve meses restantes de 2013, sobre la base de costos estándar. </w:t>
      </w:r>
    </w:p>
    <w:p w:rsidR="00DA2E7F" w:rsidRPr="00C75C7E" w:rsidRDefault="00DA2E7F" w:rsidP="00DA2E7F">
      <w:pPr>
        <w:widowControl w:val="0"/>
        <w:rPr>
          <w:sz w:val="16"/>
          <w:szCs w:val="16"/>
          <w:lang w:val="es-ES_tradnl"/>
        </w:rPr>
      </w:pPr>
    </w:p>
    <w:p w:rsidR="00DA2E7F" w:rsidRPr="00C75C7E" w:rsidRDefault="00DA2E7F" w:rsidP="00DA2E7F">
      <w:pPr>
        <w:widowControl w:val="0"/>
        <w:rPr>
          <w:sz w:val="16"/>
          <w:szCs w:val="16"/>
          <w:lang w:val="es-ES_tradnl"/>
        </w:rPr>
      </w:pPr>
      <w:r>
        <w:rPr>
          <w:sz w:val="16"/>
          <w:szCs w:val="16"/>
          <w:lang w:val="es-ES_tradnl"/>
        </w:rPr>
        <w:t xml:space="preserve">3)  </w:t>
      </w:r>
      <w:r w:rsidRPr="00C75C7E">
        <w:rPr>
          <w:sz w:val="16"/>
          <w:szCs w:val="16"/>
          <w:lang w:val="es-ES_tradnl"/>
        </w:rPr>
        <w:t>Para más información sobre los puestos del programa cabe remitirse al cuadro que figura en el Anexo II.</w:t>
      </w:r>
    </w:p>
    <w:p w:rsidR="00DA2E7F" w:rsidRPr="00C75C7E" w:rsidRDefault="00DA2E7F" w:rsidP="00DA2E7F">
      <w:pPr>
        <w:widowControl w:val="0"/>
        <w:autoSpaceDE w:val="0"/>
        <w:autoSpaceDN w:val="0"/>
        <w:adjustRightInd w:val="0"/>
        <w:jc w:val="both"/>
        <w:rPr>
          <w:sz w:val="16"/>
          <w:szCs w:val="16"/>
          <w:lang w:val="es-ES_tradnl"/>
        </w:rPr>
      </w:pPr>
    </w:p>
    <w:p w:rsidR="00F8358E" w:rsidRPr="002370D4" w:rsidRDefault="00364FA7" w:rsidP="00F8358E">
      <w:pPr>
        <w:pStyle w:val="Heading3"/>
        <w:tabs>
          <w:tab w:val="left" w:pos="1985"/>
        </w:tabs>
        <w:rPr>
          <w:b/>
          <w:iCs/>
          <w:caps/>
          <w:u w:val="none"/>
        </w:rPr>
      </w:pPr>
      <w:r>
        <w:rPr>
          <w:sz w:val="20"/>
          <w:lang w:val="es-ES_tradnl"/>
        </w:rPr>
        <w:br w:type="page"/>
      </w:r>
      <w:bookmarkStart w:id="21" w:name="_Toc358816686"/>
      <w:r w:rsidR="00F8358E" w:rsidRPr="002370D4">
        <w:rPr>
          <w:b/>
          <w:iCs/>
          <w:caps/>
          <w:u w:val="none"/>
        </w:rPr>
        <w:lastRenderedPageBreak/>
        <w:t>PROGRAMA 2</w:t>
      </w:r>
      <w:r w:rsidR="00F8358E" w:rsidRPr="002370D4">
        <w:rPr>
          <w:b/>
          <w:iCs/>
          <w:caps/>
          <w:u w:val="none"/>
        </w:rPr>
        <w:tab/>
        <w:t>MARCAS, DISEÑOS INDUSTRIALES E INDICACIONES GEOGRÁFICAS</w:t>
      </w:r>
      <w:bookmarkEnd w:id="21"/>
    </w:p>
    <w:p w:rsidR="00F8358E" w:rsidRPr="006B0DE9" w:rsidRDefault="00F8358E" w:rsidP="00F8358E">
      <w:pPr>
        <w:widowControl w:val="0"/>
        <w:tabs>
          <w:tab w:val="left" w:pos="2268"/>
        </w:tabs>
        <w:ind w:left="2268" w:hanging="2268"/>
        <w:rPr>
          <w:bCs/>
          <w:sz w:val="20"/>
        </w:rPr>
      </w:pPr>
    </w:p>
    <w:p w:rsidR="00F8358E" w:rsidRPr="006B0DE9" w:rsidRDefault="00F8358E" w:rsidP="00F8358E">
      <w:pPr>
        <w:widowControl w:val="0"/>
        <w:tabs>
          <w:tab w:val="left" w:pos="2268"/>
        </w:tabs>
        <w:ind w:left="2268" w:hanging="2268"/>
        <w:rPr>
          <w:bCs/>
          <w:sz w:val="20"/>
        </w:rPr>
      </w:pPr>
    </w:p>
    <w:p w:rsidR="00F8358E" w:rsidRPr="006B0DE9" w:rsidRDefault="00F8358E" w:rsidP="00F8358E">
      <w:pPr>
        <w:pStyle w:val="BodyTextIndent"/>
        <w:widowControl w:val="0"/>
        <w:ind w:left="1985" w:hanging="1985"/>
        <w:jc w:val="both"/>
        <w:rPr>
          <w:rFonts w:ascii="Arial" w:hAnsi="Arial" w:cs="Arial"/>
          <w:sz w:val="22"/>
          <w:szCs w:val="22"/>
          <w:lang w:val="es-ES"/>
        </w:rPr>
      </w:pPr>
      <w:r w:rsidRPr="006B0DE9">
        <w:rPr>
          <w:rFonts w:ascii="Arial" w:hAnsi="Arial" w:cs="Arial"/>
          <w:sz w:val="22"/>
          <w:szCs w:val="22"/>
          <w:lang w:val="es-ES"/>
        </w:rPr>
        <w:t>CONTEXTO DE PLANIFICACIÓN</w:t>
      </w:r>
    </w:p>
    <w:p w:rsidR="00F8358E" w:rsidRPr="006B0DE9" w:rsidRDefault="00F8358E" w:rsidP="00F8358E">
      <w:pPr>
        <w:widowControl w:val="0"/>
        <w:rPr>
          <w:sz w:val="20"/>
          <w:szCs w:val="18"/>
        </w:rPr>
      </w:pPr>
    </w:p>
    <w:p w:rsidR="00F8358E" w:rsidRPr="006B0DE9" w:rsidRDefault="00F8358E" w:rsidP="00BA276E">
      <w:pPr>
        <w:widowControl w:val="0"/>
        <w:numPr>
          <w:ilvl w:val="0"/>
          <w:numId w:val="20"/>
        </w:numPr>
        <w:jc w:val="both"/>
        <w:rPr>
          <w:sz w:val="20"/>
        </w:rPr>
      </w:pPr>
      <w:r w:rsidRPr="006B0DE9">
        <w:rPr>
          <w:sz w:val="20"/>
        </w:rPr>
        <w:t xml:space="preserve">Cada vez se reconoce más la importancia fundamental que tienen las marcas a la hora de obtener ventajas competitivas.  Las marcas resultan esenciales para la comercialización de nuevos productos (incluidos los servicios) e informan a los consumidores sobre los productos dentro de una economía muy cambiante.  Del mismo modo, cada vez son más los estudios económicos en los que se evalúa el papel que juegan las marcas en la innovación y la importancia económica que tienen a nivel general.  Asimismo, la importancia de los </w:t>
      </w:r>
      <w:r>
        <w:rPr>
          <w:sz w:val="20"/>
        </w:rPr>
        <w:t>diseños</w:t>
      </w:r>
      <w:r w:rsidRPr="006B0DE9">
        <w:rPr>
          <w:sz w:val="20"/>
        </w:rPr>
        <w:t xml:space="preserve"> industriales aumenta de forma constante y cada vez hay más pruebas de su función como fuentes de innovación y crecimiento económico.  Ante esta perspectiva, los encargados de formular políticas tienen que examinar constantemente el marco jurídico de protección de las marcas y los </w:t>
      </w:r>
      <w:r>
        <w:rPr>
          <w:sz w:val="20"/>
        </w:rPr>
        <w:t>diseños</w:t>
      </w:r>
      <w:r w:rsidRPr="006B0DE9">
        <w:rPr>
          <w:sz w:val="20"/>
        </w:rPr>
        <w:t xml:space="preserve"> industriales a fin de estimular la innovación y el rendimiento empresarial y dar una respuesta bien fundamentada a los nuevos desafíos que vayan surgiendo.  Es necesario examinar las normas y los conceptos jurídicos tradicionales en materia de P.I. a nivel nacional, regional e internacional para garantizar su pertinencia y su adecuación a las necesidades de una economía como la actual, muy globalizada y en la que las marcas juegan un papel muy importante.  Cabe destacar que el concepto de marca va más allá de las categorías jurídicas bien arraigadas de derechos de P.I., como son las patentes, el derecho de autor, las marcas</w:t>
      </w:r>
      <w:r w:rsidRPr="006B0DE9">
        <w:rPr>
          <w:bCs/>
          <w:sz w:val="20"/>
        </w:rPr>
        <w:t xml:space="preserve">, los </w:t>
      </w:r>
      <w:r>
        <w:rPr>
          <w:bCs/>
          <w:sz w:val="20"/>
        </w:rPr>
        <w:t>diseños</w:t>
      </w:r>
      <w:r w:rsidRPr="006B0DE9">
        <w:rPr>
          <w:bCs/>
          <w:sz w:val="20"/>
        </w:rPr>
        <w:t xml:space="preserve"> industriales y las indicaciones geográficas.  El programa 2 persigue la obtención de resultados q</w:t>
      </w:r>
      <w:r>
        <w:rPr>
          <w:bCs/>
          <w:sz w:val="20"/>
        </w:rPr>
        <w:t xml:space="preserve">ue permitan a la OMPI </w:t>
      </w:r>
      <w:r w:rsidRPr="006B0DE9">
        <w:rPr>
          <w:bCs/>
          <w:sz w:val="20"/>
        </w:rPr>
        <w:t xml:space="preserve">avanzar hacia una evolución equilibrada del marco internacional de las marcas y los </w:t>
      </w:r>
      <w:r>
        <w:rPr>
          <w:bCs/>
          <w:sz w:val="20"/>
        </w:rPr>
        <w:t>diseños</w:t>
      </w:r>
      <w:r w:rsidRPr="006B0DE9">
        <w:rPr>
          <w:bCs/>
          <w:sz w:val="20"/>
        </w:rPr>
        <w:t xml:space="preserve"> industriales</w:t>
      </w:r>
      <w:r>
        <w:rPr>
          <w:bCs/>
          <w:sz w:val="20"/>
        </w:rPr>
        <w:t>,</w:t>
      </w:r>
      <w:r w:rsidRPr="006B0DE9">
        <w:rPr>
          <w:bCs/>
          <w:sz w:val="20"/>
        </w:rPr>
        <w:t xml:space="preserve"> y que permitan asimismo establecer un entorno jurídico que dé respuesta a las necesidades y los requisitos específicos de los sectores de las marcas y de los </w:t>
      </w:r>
      <w:r>
        <w:rPr>
          <w:bCs/>
          <w:sz w:val="20"/>
        </w:rPr>
        <w:t>diseños</w:t>
      </w:r>
      <w:r w:rsidRPr="006B0DE9">
        <w:rPr>
          <w:bCs/>
          <w:sz w:val="20"/>
        </w:rPr>
        <w:t xml:space="preserve"> industriales de los Estados miembros.</w:t>
      </w:r>
    </w:p>
    <w:p w:rsidR="00F8358E" w:rsidRPr="006B0DE9" w:rsidRDefault="00F8358E" w:rsidP="00F8358E">
      <w:pPr>
        <w:widowControl w:val="0"/>
        <w:jc w:val="both"/>
        <w:rPr>
          <w:sz w:val="20"/>
        </w:rPr>
      </w:pPr>
    </w:p>
    <w:p w:rsidR="00F8358E" w:rsidRPr="006B0DE9" w:rsidRDefault="00F8358E" w:rsidP="00F8358E">
      <w:pPr>
        <w:widowControl w:val="0"/>
        <w:jc w:val="both"/>
        <w:rPr>
          <w:sz w:val="20"/>
        </w:rPr>
      </w:pPr>
    </w:p>
    <w:p w:rsidR="00F8358E" w:rsidRPr="006B0DE9" w:rsidRDefault="00F8358E" w:rsidP="00F8358E">
      <w:pPr>
        <w:widowControl w:val="0"/>
        <w:tabs>
          <w:tab w:val="left" w:pos="567"/>
          <w:tab w:val="left" w:pos="1985"/>
        </w:tabs>
        <w:jc w:val="both"/>
        <w:rPr>
          <w:bCs/>
          <w:szCs w:val="22"/>
        </w:rPr>
      </w:pPr>
      <w:r w:rsidRPr="006B0DE9">
        <w:rPr>
          <w:bCs/>
          <w:szCs w:val="22"/>
        </w:rPr>
        <w:t>ESTRATEGIAS DE EJECUCIÓN</w:t>
      </w:r>
    </w:p>
    <w:p w:rsidR="00F8358E" w:rsidRPr="006B0DE9" w:rsidRDefault="00F8358E" w:rsidP="00F8358E">
      <w:pPr>
        <w:widowControl w:val="0"/>
        <w:jc w:val="both"/>
        <w:rPr>
          <w:sz w:val="20"/>
        </w:rPr>
      </w:pPr>
    </w:p>
    <w:p w:rsidR="00F8358E" w:rsidRPr="006B0DE9" w:rsidRDefault="00F8358E" w:rsidP="00BA276E">
      <w:pPr>
        <w:widowControl w:val="0"/>
        <w:numPr>
          <w:ilvl w:val="0"/>
          <w:numId w:val="20"/>
        </w:numPr>
        <w:jc w:val="both"/>
        <w:rPr>
          <w:sz w:val="20"/>
        </w:rPr>
      </w:pPr>
      <w:r w:rsidRPr="006B0DE9">
        <w:rPr>
          <w:sz w:val="20"/>
        </w:rPr>
        <w:t xml:space="preserve">El objetivo principal del programa es avanzar en el establecimiento de un marco jurídico internacional equilibrado en el ámbito de las marcas y los </w:t>
      </w:r>
      <w:r>
        <w:rPr>
          <w:sz w:val="20"/>
        </w:rPr>
        <w:t>diseños</w:t>
      </w:r>
      <w:r w:rsidRPr="006B0DE9">
        <w:rPr>
          <w:sz w:val="20"/>
        </w:rPr>
        <w:t xml:space="preserve"> industriales que favorezca la innovación y el desarrollo económico.  Con respecto al establecimiento de un marco internacional que rija los procedimientos de registro en el ámbito de los </w:t>
      </w:r>
      <w:r>
        <w:rPr>
          <w:sz w:val="20"/>
        </w:rPr>
        <w:t>diseños</w:t>
      </w:r>
      <w:r w:rsidRPr="006B0DE9">
        <w:rPr>
          <w:sz w:val="20"/>
        </w:rPr>
        <w:t xml:space="preserve"> industriales, el Comité Permanente sobre el Derecho de Marcas, Diseños Industriales e Indicaciones Geográficas (SCT) ha conseguido avanzar de forma significativa en la elaboración de un proyecto de </w:t>
      </w:r>
      <w:r w:rsidRPr="006B0DE9">
        <w:rPr>
          <w:bCs/>
          <w:sz w:val="20"/>
        </w:rPr>
        <w:t xml:space="preserve">tratado sobre </w:t>
      </w:r>
      <w:r w:rsidR="003A4B0F">
        <w:rPr>
          <w:bCs/>
          <w:sz w:val="20"/>
        </w:rPr>
        <w:t>el Derecho</w:t>
      </w:r>
      <w:r w:rsidRPr="006B0DE9">
        <w:rPr>
          <w:bCs/>
          <w:sz w:val="20"/>
        </w:rPr>
        <w:t xml:space="preserve"> de los </w:t>
      </w:r>
      <w:r>
        <w:rPr>
          <w:bCs/>
          <w:sz w:val="20"/>
        </w:rPr>
        <w:t>diseños</w:t>
      </w:r>
      <w:r w:rsidRPr="006B0DE9">
        <w:rPr>
          <w:bCs/>
          <w:sz w:val="20"/>
        </w:rPr>
        <w:t xml:space="preserve"> </w:t>
      </w:r>
      <w:r w:rsidR="003A4B0F">
        <w:rPr>
          <w:bCs/>
          <w:sz w:val="20"/>
        </w:rPr>
        <w:t xml:space="preserve">industriales </w:t>
      </w:r>
      <w:r w:rsidRPr="006B0DE9">
        <w:rPr>
          <w:bCs/>
          <w:sz w:val="20"/>
        </w:rPr>
        <w:t xml:space="preserve">con el fin de simplificar dichos procedimientos.  Con sujeción a la decisión que adopte al respecto la Asamblea General de la OMPI, esta labor se va a traducir en la celebración de una Conferencia Diplomática a fin de adoptar un tratado sobre </w:t>
      </w:r>
      <w:r w:rsidR="003A4B0F">
        <w:rPr>
          <w:bCs/>
          <w:sz w:val="20"/>
        </w:rPr>
        <w:t>el Derecho</w:t>
      </w:r>
      <w:r w:rsidRPr="006B0DE9">
        <w:rPr>
          <w:bCs/>
          <w:sz w:val="20"/>
        </w:rPr>
        <w:t xml:space="preserve"> de los </w:t>
      </w:r>
      <w:r>
        <w:rPr>
          <w:bCs/>
          <w:sz w:val="20"/>
        </w:rPr>
        <w:t>diseños</w:t>
      </w:r>
      <w:r w:rsidRPr="006B0DE9">
        <w:rPr>
          <w:bCs/>
          <w:sz w:val="20"/>
        </w:rPr>
        <w:t xml:space="preserve"> </w:t>
      </w:r>
      <w:r w:rsidR="003A4B0F">
        <w:rPr>
          <w:bCs/>
          <w:sz w:val="20"/>
        </w:rPr>
        <w:t xml:space="preserve">industriales </w:t>
      </w:r>
      <w:r w:rsidRPr="006B0DE9">
        <w:rPr>
          <w:bCs/>
          <w:sz w:val="20"/>
        </w:rPr>
        <w:t xml:space="preserve">en el trascurso del próximo bienio.  Además, el SCT </w:t>
      </w:r>
      <w:r w:rsidR="00206A37">
        <w:rPr>
          <w:bCs/>
          <w:sz w:val="20"/>
        </w:rPr>
        <w:t xml:space="preserve">continuará ocupándose de la labor que le encomienden los Estados miembros en cuestiones acordadas y concretas en el ámbito de </w:t>
      </w:r>
      <w:r w:rsidRPr="006B0DE9">
        <w:rPr>
          <w:bCs/>
          <w:sz w:val="20"/>
        </w:rPr>
        <w:t xml:space="preserve">las marcas, los </w:t>
      </w:r>
      <w:r>
        <w:rPr>
          <w:bCs/>
          <w:sz w:val="20"/>
        </w:rPr>
        <w:t>diseños</w:t>
      </w:r>
      <w:r w:rsidRPr="006B0DE9">
        <w:rPr>
          <w:bCs/>
          <w:sz w:val="20"/>
        </w:rPr>
        <w:t xml:space="preserve"> industriales y las indicaciones geográficas.  El SCT continuará controlando la evolución del Sistema de Nombres de Dominio de Internet (DNS) (en colaboración con el programa 7) y en el ámbito de las denominaciones comunes (DCI) para sustancias farmacéuticas.  Se prestará la debida atención a la </w:t>
      </w:r>
      <w:r w:rsidR="003A4B0F" w:rsidRPr="006B0DE9">
        <w:rPr>
          <w:bCs/>
          <w:sz w:val="20"/>
        </w:rPr>
        <w:t xml:space="preserve">categoría </w:t>
      </w:r>
      <w:r w:rsidRPr="006B0DE9">
        <w:rPr>
          <w:bCs/>
          <w:sz w:val="20"/>
        </w:rPr>
        <w:t>B de las recomendaciones de la A.D. (recomendaciones 15 a 17 y 20 a 22), en el sentido de tener debidamente en cuenta el grado de desarrollo de los distintos Estados miembros de la OMPI;  las flexibilidades que pueden ofrecer interés a los países en desarrollo y los PMA;  el punto de vista de todos los Estados miembros y demás partes interesadas;  y los objetivos de desarrollo convenidos en el marco del Sistema de las Naciones Unidas.  La Organización prestará el debido apoyo jurídico y administrativo a los Estados miembros y determinadas orga</w:t>
      </w:r>
      <w:r>
        <w:rPr>
          <w:bCs/>
          <w:sz w:val="20"/>
        </w:rPr>
        <w:t>nizaciones intergubernamentales</w:t>
      </w:r>
      <w:r w:rsidRPr="006B0DE9">
        <w:rPr>
          <w:bCs/>
          <w:sz w:val="20"/>
        </w:rPr>
        <w:t xml:space="preserve"> internacionales en lo que respecta a determinados emblemas contemplados en el Artículo 6</w:t>
      </w:r>
      <w:r w:rsidRPr="006B0DE9">
        <w:rPr>
          <w:bCs/>
          <w:i/>
          <w:sz w:val="20"/>
        </w:rPr>
        <w:t>ter</w:t>
      </w:r>
      <w:r w:rsidRPr="006B0DE9">
        <w:rPr>
          <w:bCs/>
          <w:sz w:val="20"/>
        </w:rPr>
        <w:t xml:space="preserve"> del Convenio de París.  Además, el programa asumirá la responsabilidad de ejecutar, en estrecha consulta con el programa 9, varios proyectos concretos de la A.D. en el ámbito de las marcas y los </w:t>
      </w:r>
      <w:r>
        <w:rPr>
          <w:bCs/>
          <w:sz w:val="20"/>
        </w:rPr>
        <w:t>diseños</w:t>
      </w:r>
      <w:r w:rsidRPr="006B0DE9">
        <w:rPr>
          <w:bCs/>
          <w:sz w:val="20"/>
        </w:rPr>
        <w:t xml:space="preserve"> industriales</w:t>
      </w:r>
      <w:r>
        <w:rPr>
          <w:bCs/>
          <w:sz w:val="20"/>
        </w:rPr>
        <w:t>.</w:t>
      </w:r>
      <w:r w:rsidRPr="006B0DE9">
        <w:rPr>
          <w:rStyle w:val="FootnoteReference"/>
          <w:bCs/>
          <w:sz w:val="20"/>
        </w:rPr>
        <w:footnoteReference w:id="4"/>
      </w:r>
      <w:r w:rsidRPr="006B0DE9">
        <w:rPr>
          <w:bCs/>
          <w:sz w:val="20"/>
        </w:rPr>
        <w:t xml:space="preserve">  Asimismo, el programa prestará la debida atención a los acuerdos concertados en relación con el proyecto de la A.D. sobre la P.I. y el dominio público, ya finalizado.</w:t>
      </w:r>
    </w:p>
    <w:p w:rsidR="00F8358E" w:rsidRPr="006B0DE9" w:rsidRDefault="00F8358E" w:rsidP="00F8358E">
      <w:pPr>
        <w:widowControl w:val="0"/>
        <w:jc w:val="both"/>
        <w:rPr>
          <w:sz w:val="20"/>
        </w:rPr>
      </w:pPr>
    </w:p>
    <w:p w:rsidR="00F8358E" w:rsidRPr="006B0DE9" w:rsidRDefault="00F8358E" w:rsidP="00206A37">
      <w:pPr>
        <w:keepNext/>
        <w:keepLines/>
        <w:widowControl w:val="0"/>
        <w:numPr>
          <w:ilvl w:val="0"/>
          <w:numId w:val="20"/>
        </w:numPr>
        <w:jc w:val="both"/>
        <w:rPr>
          <w:sz w:val="20"/>
        </w:rPr>
      </w:pPr>
      <w:r w:rsidRPr="006B0DE9">
        <w:rPr>
          <w:bCs/>
          <w:sz w:val="20"/>
        </w:rPr>
        <w:lastRenderedPageBreak/>
        <w:t>La ejecución del programa 2 se basará en los resultados de las sesiones que celebre el SCT con el objetivo principal de</w:t>
      </w:r>
      <w:r w:rsidR="00206A37">
        <w:rPr>
          <w:bCs/>
          <w:sz w:val="20"/>
        </w:rPr>
        <w:t xml:space="preserve"> iniciar</w:t>
      </w:r>
      <w:r w:rsidRPr="006B0DE9">
        <w:rPr>
          <w:bCs/>
          <w:sz w:val="20"/>
        </w:rPr>
        <w:t xml:space="preserve"> </w:t>
      </w:r>
      <w:r w:rsidR="000C530C">
        <w:rPr>
          <w:bCs/>
          <w:sz w:val="20"/>
        </w:rPr>
        <w:t>y avanzar la labor sobre las esferas acordadas en materia de marcas, diseños industriales e indicaciones geográficas, incluyendo la determinación de</w:t>
      </w:r>
      <w:r w:rsidRPr="006B0DE9">
        <w:rPr>
          <w:bCs/>
          <w:sz w:val="20"/>
        </w:rPr>
        <w:t xml:space="preserve"> las líneas de acción que se podrían adoptar en el futuro.  Conforme a la recomendación 15 de la A.D., las sesiones del SCT estarán abiertas a la participación de todos los Estados miembros así como de las organizaciones acreditadas con la condición de observador.  Cuando proceda, el SCT expondrá el resultado de su labor a las Asambleas de la OMPI con miras a tomar decisiones al respecto.</w:t>
      </w:r>
    </w:p>
    <w:p w:rsidR="00F8358E" w:rsidRPr="006B0DE9" w:rsidRDefault="00F8358E" w:rsidP="00F8358E">
      <w:pPr>
        <w:widowControl w:val="0"/>
        <w:jc w:val="both"/>
      </w:pPr>
    </w:p>
    <w:p w:rsidR="00F8358E" w:rsidRPr="006B0DE9" w:rsidRDefault="00F8358E" w:rsidP="00BA276E">
      <w:pPr>
        <w:widowControl w:val="0"/>
        <w:numPr>
          <w:ilvl w:val="0"/>
          <w:numId w:val="20"/>
        </w:numPr>
        <w:jc w:val="both"/>
        <w:rPr>
          <w:sz w:val="20"/>
        </w:rPr>
      </w:pPr>
      <w:r w:rsidRPr="006B0DE9">
        <w:rPr>
          <w:bCs/>
          <w:sz w:val="20"/>
        </w:rPr>
        <w:t>La Secretaría seguirá encargándose de administrar con eficacia los procedimientos de comunicación contemplados en el artículo 6</w:t>
      </w:r>
      <w:r w:rsidRPr="006B0DE9">
        <w:rPr>
          <w:bCs/>
          <w:i/>
          <w:sz w:val="20"/>
        </w:rPr>
        <w:t>ter</w:t>
      </w:r>
      <w:r w:rsidRPr="006B0DE9">
        <w:rPr>
          <w:bCs/>
          <w:sz w:val="20"/>
        </w:rPr>
        <w:t xml:space="preserve"> del Convenio de París y</w:t>
      </w:r>
      <w:r w:rsidRPr="006B0DE9">
        <w:rPr>
          <w:sz w:val="20"/>
        </w:rPr>
        <w:t xml:space="preserve"> de elaborar publicaciones electrónicas con carácter bienal en las que se incluyan todos los signos que se hayan comunicado en virtud del párrafo 3 del artículo </w:t>
      </w:r>
      <w:r w:rsidRPr="006B0DE9">
        <w:rPr>
          <w:bCs/>
          <w:sz w:val="20"/>
        </w:rPr>
        <w:t>6</w:t>
      </w:r>
      <w:r w:rsidRPr="006B0DE9">
        <w:rPr>
          <w:bCs/>
          <w:i/>
          <w:sz w:val="20"/>
        </w:rPr>
        <w:t xml:space="preserve">ter. </w:t>
      </w:r>
      <w:r w:rsidRPr="006B0DE9">
        <w:rPr>
          <w:sz w:val="20"/>
        </w:rPr>
        <w:t xml:space="preserve"> En cuanto a </w:t>
      </w:r>
      <w:r w:rsidRPr="006B0DE9">
        <w:rPr>
          <w:bCs/>
          <w:sz w:val="20"/>
        </w:rPr>
        <w:t xml:space="preserve">la </w:t>
      </w:r>
      <w:r w:rsidR="003C43BF">
        <w:rPr>
          <w:bCs/>
          <w:sz w:val="20"/>
        </w:rPr>
        <w:t>m</w:t>
      </w:r>
      <w:r w:rsidRPr="006B0DE9">
        <w:rPr>
          <w:bCs/>
          <w:sz w:val="20"/>
        </w:rPr>
        <w:t xml:space="preserve">eta </w:t>
      </w:r>
      <w:r w:rsidR="003C43BF">
        <w:rPr>
          <w:bCs/>
          <w:sz w:val="20"/>
        </w:rPr>
        <w:t>e</w:t>
      </w:r>
      <w:r w:rsidRPr="006B0DE9">
        <w:rPr>
          <w:bCs/>
          <w:sz w:val="20"/>
        </w:rPr>
        <w:t>stratégica III (Facilitar el uso de la P.I. en aras del desarrollo), en el marco del programa 2 se prestará asesoramiento específico a los Estados miembros conforme a los planes nacionales y en respuesta a las prioridades que se determinen en función de las distintas estrategias nacionales de P.I.  A la hora de</w:t>
      </w:r>
      <w:r>
        <w:rPr>
          <w:bCs/>
          <w:sz w:val="20"/>
        </w:rPr>
        <w:t xml:space="preserve"> prestar asesoramiento jurídico</w:t>
      </w:r>
      <w:r w:rsidRPr="006B0DE9">
        <w:rPr>
          <w:bCs/>
          <w:sz w:val="20"/>
        </w:rPr>
        <w:t xml:space="preserve"> se velará por coordinar las actividades con el programa 9 (Países africanos, árabes, de América Latina y el Caribe, de Asia y el Pacífico y países menos adelantados) y 10 (Cooperación con determinados países de Europa y Asia)</w:t>
      </w:r>
      <w:r>
        <w:rPr>
          <w:bCs/>
          <w:sz w:val="20"/>
        </w:rPr>
        <w:t>,</w:t>
      </w:r>
      <w:r w:rsidRPr="006B0DE9">
        <w:rPr>
          <w:bCs/>
          <w:sz w:val="20"/>
        </w:rPr>
        <w:t xml:space="preserve"> teniendo debidamente en cuenta </w:t>
      </w:r>
      <w:r w:rsidRPr="006B0DE9">
        <w:rPr>
          <w:sz w:val="20"/>
        </w:rPr>
        <w:t>las recomendaciones 1, 6, 12, 13 y 14 de la A.D.</w:t>
      </w:r>
    </w:p>
    <w:p w:rsidR="004046B6" w:rsidRDefault="004046B6" w:rsidP="004046B6">
      <w:pPr>
        <w:widowControl w:val="0"/>
        <w:jc w:val="both"/>
      </w:pPr>
    </w:p>
    <w:p w:rsidR="004046B6" w:rsidRDefault="004046B6" w:rsidP="004046B6">
      <w:pPr>
        <w:widowControl w:val="0"/>
        <w:jc w:val="both"/>
      </w:pPr>
    </w:p>
    <w:p w:rsidR="004046B6" w:rsidRPr="004046B6" w:rsidRDefault="004046B6" w:rsidP="004046B6">
      <w:pPr>
        <w:widowControl w:val="0"/>
        <w:tabs>
          <w:tab w:val="left" w:pos="567"/>
          <w:tab w:val="left" w:pos="1985"/>
        </w:tabs>
        <w:jc w:val="both"/>
        <w:rPr>
          <w:bCs/>
          <w:szCs w:val="22"/>
          <w:lang w:val="es-ES_tradnl"/>
        </w:rPr>
      </w:pPr>
      <w:r w:rsidRPr="004046B6">
        <w:rPr>
          <w:bCs/>
          <w:szCs w:val="22"/>
          <w:lang w:val="es-ES_tradnl"/>
        </w:rPr>
        <w:t>PRINCIPALES RIESGOS Y ESTRATEGIAS DE MITIGACIÓN</w:t>
      </w:r>
    </w:p>
    <w:p w:rsidR="004046B6" w:rsidRPr="00C75C7E" w:rsidRDefault="004046B6" w:rsidP="004046B6">
      <w:pPr>
        <w:widowControl w:val="0"/>
        <w:jc w:val="both"/>
      </w:pPr>
    </w:p>
    <w:tbl>
      <w:tblPr>
        <w:tblW w:w="0" w:type="auto"/>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536"/>
        <w:gridCol w:w="4730"/>
      </w:tblGrid>
      <w:tr w:rsidR="004046B6" w:rsidRPr="00C75C7E" w:rsidTr="00F8358E">
        <w:trPr>
          <w:trHeight w:val="314"/>
        </w:trPr>
        <w:tc>
          <w:tcPr>
            <w:tcW w:w="4536" w:type="dxa"/>
            <w:tcBorders>
              <w:top w:val="single" w:sz="4" w:space="0" w:color="auto"/>
              <w:bottom w:val="single" w:sz="4" w:space="0" w:color="auto"/>
            </w:tcBorders>
            <w:shd w:val="clear" w:color="auto" w:fill="CCFFFF"/>
            <w:tcMar>
              <w:top w:w="113" w:type="dxa"/>
              <w:bottom w:w="113" w:type="dxa"/>
            </w:tcMar>
            <w:vAlign w:val="center"/>
          </w:tcPr>
          <w:p w:rsidR="004046B6" w:rsidRPr="00C75C7E" w:rsidRDefault="004046B6" w:rsidP="00900936">
            <w:pPr>
              <w:widowControl w:val="0"/>
              <w:autoSpaceDE w:val="0"/>
              <w:autoSpaceDN w:val="0"/>
              <w:adjustRightInd w:val="0"/>
              <w:ind w:right="-59"/>
              <w:jc w:val="center"/>
              <w:rPr>
                <w:b/>
                <w:bCs/>
                <w:iCs/>
                <w:sz w:val="18"/>
                <w:szCs w:val="18"/>
              </w:rPr>
            </w:pPr>
            <w:r w:rsidRPr="00C75C7E">
              <w:rPr>
                <w:b/>
                <w:bCs/>
                <w:iCs/>
                <w:sz w:val="18"/>
                <w:szCs w:val="18"/>
              </w:rPr>
              <w:t>Riesgos en el logro de los resultados del programa</w:t>
            </w:r>
          </w:p>
        </w:tc>
        <w:tc>
          <w:tcPr>
            <w:tcW w:w="4730" w:type="dxa"/>
            <w:tcBorders>
              <w:top w:val="single" w:sz="4" w:space="0" w:color="auto"/>
              <w:bottom w:val="single" w:sz="4" w:space="0" w:color="auto"/>
            </w:tcBorders>
            <w:shd w:val="clear" w:color="auto" w:fill="CCFFFF"/>
            <w:tcMar>
              <w:top w:w="113" w:type="dxa"/>
              <w:bottom w:w="113" w:type="dxa"/>
            </w:tcMar>
            <w:vAlign w:val="center"/>
          </w:tcPr>
          <w:p w:rsidR="004046B6" w:rsidRPr="00C75C7E" w:rsidRDefault="004046B6" w:rsidP="00900936">
            <w:pPr>
              <w:widowControl w:val="0"/>
              <w:autoSpaceDE w:val="0"/>
              <w:autoSpaceDN w:val="0"/>
              <w:adjustRightInd w:val="0"/>
              <w:ind w:right="-59"/>
              <w:jc w:val="center"/>
              <w:rPr>
                <w:b/>
                <w:bCs/>
                <w:iCs/>
                <w:sz w:val="18"/>
                <w:szCs w:val="18"/>
              </w:rPr>
            </w:pPr>
            <w:r w:rsidRPr="00C75C7E">
              <w:rPr>
                <w:b/>
                <w:bCs/>
                <w:iCs/>
                <w:sz w:val="18"/>
                <w:szCs w:val="18"/>
              </w:rPr>
              <w:t xml:space="preserve">Planes de mitigación ejecutados o en ejecución </w:t>
            </w:r>
          </w:p>
        </w:tc>
      </w:tr>
      <w:tr w:rsidR="004046B6" w:rsidRPr="00C75C7E" w:rsidTr="00F8358E">
        <w:trPr>
          <w:trHeight w:val="1219"/>
        </w:trPr>
        <w:tc>
          <w:tcPr>
            <w:tcW w:w="4536" w:type="dxa"/>
            <w:tcBorders>
              <w:top w:val="single" w:sz="4" w:space="0" w:color="auto"/>
            </w:tcBorders>
            <w:shd w:val="clear" w:color="auto" w:fill="auto"/>
            <w:tcMar>
              <w:top w:w="113" w:type="dxa"/>
              <w:bottom w:w="113" w:type="dxa"/>
            </w:tcMar>
          </w:tcPr>
          <w:p w:rsidR="004046B6" w:rsidRPr="00C75C7E" w:rsidRDefault="000C530C" w:rsidP="000C530C">
            <w:pPr>
              <w:widowControl w:val="0"/>
              <w:rPr>
                <w:sz w:val="16"/>
                <w:szCs w:val="16"/>
              </w:rPr>
            </w:pPr>
            <w:r>
              <w:rPr>
                <w:sz w:val="16"/>
                <w:szCs w:val="16"/>
              </w:rPr>
              <w:t>La forja de acuerdos</w:t>
            </w:r>
            <w:r w:rsidR="004046B6" w:rsidRPr="00C75C7E">
              <w:rPr>
                <w:sz w:val="16"/>
                <w:szCs w:val="16"/>
              </w:rPr>
              <w:t xml:space="preserve"> a escala multilateral sigue siendo</w:t>
            </w:r>
            <w:r>
              <w:rPr>
                <w:sz w:val="16"/>
                <w:szCs w:val="16"/>
              </w:rPr>
              <w:t xml:space="preserve"> ardua</w:t>
            </w:r>
            <w:r w:rsidR="004046B6" w:rsidRPr="00C75C7E">
              <w:rPr>
                <w:sz w:val="16"/>
                <w:szCs w:val="16"/>
              </w:rPr>
              <w:t xml:space="preserve"> y la conclusión satisfactoria de las actividades normativas en el marco del programa 2 dependerá en gran medida de la voluntad de los Estados miembros de definir resultados mutuamente convenidos.  </w:t>
            </w:r>
          </w:p>
        </w:tc>
        <w:tc>
          <w:tcPr>
            <w:tcW w:w="4730" w:type="dxa"/>
            <w:tcBorders>
              <w:top w:val="single" w:sz="4" w:space="0" w:color="auto"/>
            </w:tcBorders>
            <w:shd w:val="clear" w:color="auto" w:fill="auto"/>
            <w:tcMar>
              <w:top w:w="113" w:type="dxa"/>
              <w:bottom w:w="113" w:type="dxa"/>
            </w:tcMar>
          </w:tcPr>
          <w:p w:rsidR="004046B6" w:rsidRPr="00C75C7E" w:rsidRDefault="004046B6" w:rsidP="00900936">
            <w:pPr>
              <w:widowControl w:val="0"/>
              <w:autoSpaceDE w:val="0"/>
              <w:autoSpaceDN w:val="0"/>
              <w:adjustRightInd w:val="0"/>
              <w:ind w:right="-59"/>
              <w:rPr>
                <w:sz w:val="16"/>
                <w:szCs w:val="16"/>
              </w:rPr>
            </w:pPr>
            <w:r w:rsidRPr="00C75C7E">
              <w:rPr>
                <w:sz w:val="16"/>
                <w:szCs w:val="16"/>
              </w:rPr>
              <w:t>Se trata de un riesgo inherente a toda actividad de elaboración de normas, que, por su naturaleza, habrá que asumir en el programa.  Sin embargo, en determinadas actividades programáticas, en particular las sesiones del SCT, cabrá el diálogo e intercambio de puntos de vista a fin de señalar los ámbitos de entendimiento común y los posibles resultados en que se haya llegado a un acuerdo.</w:t>
            </w:r>
          </w:p>
        </w:tc>
      </w:tr>
    </w:tbl>
    <w:p w:rsidR="004046B6" w:rsidRPr="00C75C7E" w:rsidRDefault="004046B6" w:rsidP="004046B6">
      <w:pPr>
        <w:widowControl w:val="0"/>
        <w:jc w:val="both"/>
        <w:rPr>
          <w:sz w:val="20"/>
        </w:rPr>
      </w:pPr>
    </w:p>
    <w:p w:rsidR="004046B6" w:rsidRPr="00C75C7E" w:rsidRDefault="004046B6" w:rsidP="004046B6">
      <w:pPr>
        <w:widowControl w:val="0"/>
        <w:tabs>
          <w:tab w:val="left" w:pos="567"/>
          <w:tab w:val="left" w:pos="1985"/>
        </w:tabs>
        <w:jc w:val="both"/>
        <w:rPr>
          <w:bCs/>
          <w:sz w:val="20"/>
        </w:rPr>
      </w:pPr>
    </w:p>
    <w:p w:rsidR="004046B6" w:rsidRPr="00C75C7E" w:rsidRDefault="004046B6" w:rsidP="004046B6">
      <w:pPr>
        <w:widowControl w:val="0"/>
        <w:tabs>
          <w:tab w:val="left" w:pos="567"/>
          <w:tab w:val="left" w:pos="1985"/>
        </w:tabs>
        <w:jc w:val="both"/>
        <w:rPr>
          <w:bCs/>
          <w:sz w:val="20"/>
          <w:lang w:val="es-ES_tradnl"/>
        </w:rPr>
      </w:pPr>
      <w:r w:rsidRPr="00C75C7E">
        <w:rPr>
          <w:bCs/>
          <w:szCs w:val="22"/>
          <w:lang w:val="es-ES_tradnl"/>
        </w:rPr>
        <w:t>MARCO DE RESULTADOS</w:t>
      </w:r>
    </w:p>
    <w:p w:rsidR="004046B6" w:rsidRPr="00C75C7E" w:rsidRDefault="004046B6" w:rsidP="004046B6">
      <w:pPr>
        <w:widowControl w:val="0"/>
        <w:tabs>
          <w:tab w:val="left" w:pos="567"/>
          <w:tab w:val="left" w:pos="1985"/>
        </w:tabs>
        <w:jc w:val="both"/>
        <w:rPr>
          <w:bCs/>
          <w:sz w:val="20"/>
          <w:lang w:val="es-ES_tradnl"/>
        </w:rPr>
      </w:pPr>
    </w:p>
    <w:tbl>
      <w:tblPr>
        <w:tblW w:w="4915"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48"/>
        <w:gridCol w:w="2849"/>
        <w:gridCol w:w="2058"/>
        <w:gridCol w:w="2153"/>
      </w:tblGrid>
      <w:tr w:rsidR="004046B6" w:rsidRPr="00C75C7E" w:rsidTr="00900936">
        <w:trPr>
          <w:cantSplit/>
          <w:trHeight w:val="430"/>
          <w:tblHeader/>
        </w:trPr>
        <w:tc>
          <w:tcPr>
            <w:tcW w:w="1248" w:type="pct"/>
            <w:tcBorders>
              <w:top w:val="single" w:sz="4" w:space="0" w:color="auto"/>
              <w:bottom w:val="single" w:sz="4" w:space="0" w:color="auto"/>
            </w:tcBorders>
            <w:shd w:val="clear" w:color="auto" w:fill="CCFFFF"/>
            <w:vAlign w:val="center"/>
          </w:tcPr>
          <w:p w:rsidR="004046B6" w:rsidRPr="00C75C7E" w:rsidRDefault="004046B6" w:rsidP="00900936">
            <w:pPr>
              <w:widowControl w:val="0"/>
              <w:spacing w:after="120"/>
              <w:jc w:val="center"/>
              <w:rPr>
                <w:b/>
                <w:bCs/>
                <w:sz w:val="18"/>
                <w:szCs w:val="18"/>
                <w:lang w:val="es-ES_tradnl"/>
              </w:rPr>
            </w:pPr>
            <w:r w:rsidRPr="00C75C7E">
              <w:rPr>
                <w:b/>
                <w:bCs/>
                <w:sz w:val="18"/>
                <w:szCs w:val="18"/>
                <w:lang w:val="es-ES_tradnl"/>
              </w:rPr>
              <w:t>Resultados previstos</w:t>
            </w:r>
          </w:p>
        </w:tc>
        <w:tc>
          <w:tcPr>
            <w:tcW w:w="1514" w:type="pct"/>
            <w:tcBorders>
              <w:top w:val="single" w:sz="4" w:space="0" w:color="auto"/>
              <w:bottom w:val="single" w:sz="4" w:space="0" w:color="auto"/>
            </w:tcBorders>
            <w:shd w:val="clear" w:color="auto" w:fill="CCFFFF"/>
            <w:tcMar>
              <w:top w:w="110" w:type="dxa"/>
            </w:tcMar>
            <w:vAlign w:val="center"/>
          </w:tcPr>
          <w:p w:rsidR="004046B6" w:rsidRPr="00C75C7E" w:rsidRDefault="004046B6" w:rsidP="00900936">
            <w:pPr>
              <w:widowControl w:val="0"/>
              <w:spacing w:after="120"/>
              <w:jc w:val="center"/>
              <w:rPr>
                <w:b/>
                <w:sz w:val="18"/>
                <w:szCs w:val="18"/>
                <w:lang w:val="es-ES_tradnl"/>
              </w:rPr>
            </w:pPr>
            <w:r w:rsidRPr="00C75C7E">
              <w:rPr>
                <w:b/>
                <w:sz w:val="18"/>
                <w:szCs w:val="18"/>
                <w:lang w:val="es-ES_tradnl"/>
              </w:rPr>
              <w:t>Indicadores de rendimiento</w:t>
            </w:r>
          </w:p>
        </w:tc>
        <w:tc>
          <w:tcPr>
            <w:tcW w:w="1094" w:type="pct"/>
            <w:tcBorders>
              <w:top w:val="single" w:sz="4" w:space="0" w:color="auto"/>
              <w:bottom w:val="single" w:sz="4" w:space="0" w:color="auto"/>
            </w:tcBorders>
            <w:shd w:val="clear" w:color="auto" w:fill="CCFFFF"/>
            <w:tcMar>
              <w:top w:w="110" w:type="dxa"/>
            </w:tcMar>
            <w:vAlign w:val="center"/>
          </w:tcPr>
          <w:p w:rsidR="004046B6" w:rsidRPr="00C75C7E" w:rsidRDefault="004046B6" w:rsidP="00900936">
            <w:pPr>
              <w:widowControl w:val="0"/>
              <w:spacing w:after="120"/>
              <w:ind w:left="85"/>
              <w:jc w:val="center"/>
              <w:rPr>
                <w:sz w:val="18"/>
                <w:szCs w:val="18"/>
                <w:lang w:val="es-ES_tradnl"/>
              </w:rPr>
            </w:pPr>
            <w:r w:rsidRPr="00C75C7E">
              <w:rPr>
                <w:b/>
                <w:bCs/>
                <w:sz w:val="18"/>
                <w:szCs w:val="18"/>
                <w:lang w:val="es-ES_tradnl"/>
              </w:rPr>
              <w:t>Referencia</w:t>
            </w:r>
          </w:p>
        </w:tc>
        <w:tc>
          <w:tcPr>
            <w:tcW w:w="1144" w:type="pct"/>
            <w:tcBorders>
              <w:top w:val="single" w:sz="4" w:space="0" w:color="auto"/>
              <w:bottom w:val="single" w:sz="4" w:space="0" w:color="auto"/>
            </w:tcBorders>
            <w:shd w:val="clear" w:color="auto" w:fill="CCFFFF"/>
            <w:tcMar>
              <w:top w:w="110" w:type="dxa"/>
            </w:tcMar>
            <w:vAlign w:val="center"/>
          </w:tcPr>
          <w:p w:rsidR="004046B6" w:rsidRPr="00C75C7E" w:rsidRDefault="004046B6" w:rsidP="00900936">
            <w:pPr>
              <w:widowControl w:val="0"/>
              <w:tabs>
                <w:tab w:val="left" w:pos="1649"/>
                <w:tab w:val="left" w:pos="1759"/>
              </w:tabs>
              <w:spacing w:after="120"/>
              <w:ind w:right="1"/>
              <w:jc w:val="center"/>
              <w:rPr>
                <w:b/>
                <w:bCs/>
                <w:sz w:val="18"/>
                <w:szCs w:val="18"/>
                <w:lang w:val="es-ES_tradnl"/>
              </w:rPr>
            </w:pPr>
            <w:r w:rsidRPr="00C75C7E">
              <w:rPr>
                <w:b/>
                <w:bCs/>
                <w:sz w:val="18"/>
                <w:szCs w:val="18"/>
                <w:lang w:val="es-ES_tradnl"/>
              </w:rPr>
              <w:t>Objetivos</w:t>
            </w:r>
          </w:p>
        </w:tc>
      </w:tr>
      <w:tr w:rsidR="004046B6" w:rsidRPr="00C75C7E" w:rsidTr="00900936">
        <w:trPr>
          <w:cantSplit/>
        </w:trPr>
        <w:tc>
          <w:tcPr>
            <w:tcW w:w="1248" w:type="pct"/>
            <w:vMerge w:val="restart"/>
            <w:tcBorders>
              <w:top w:val="single" w:sz="4" w:space="0" w:color="auto"/>
            </w:tcBorders>
            <w:shd w:val="clear" w:color="auto" w:fill="auto"/>
          </w:tcPr>
          <w:p w:rsidR="004046B6" w:rsidRPr="00C75C7E" w:rsidRDefault="004046B6" w:rsidP="00956F2F">
            <w:pPr>
              <w:widowControl w:val="0"/>
              <w:rPr>
                <w:sz w:val="16"/>
                <w:szCs w:val="16"/>
                <w:lang w:val="es-ES_tradnl"/>
              </w:rPr>
            </w:pPr>
            <w:r w:rsidRPr="00C75C7E">
              <w:rPr>
                <w:sz w:val="16"/>
                <w:szCs w:val="16"/>
                <w:lang w:val="es-ES_tradnl" w:bidi="th-TH"/>
              </w:rPr>
              <w:t xml:space="preserve">I.1. Mejor cooperación entre los Estados miembros en lo que atañe a la elaboración de marcos normativos internacionales equilibrados para la P.I. y </w:t>
            </w:r>
            <w:r w:rsidR="00491731">
              <w:rPr>
                <w:sz w:val="16"/>
                <w:szCs w:val="16"/>
                <w:lang w:val="es-ES_tradnl" w:bidi="th-TH"/>
              </w:rPr>
              <w:t>fomento de acuerdo</w:t>
            </w:r>
            <w:r w:rsidR="00956F2F">
              <w:rPr>
                <w:sz w:val="16"/>
                <w:szCs w:val="16"/>
                <w:lang w:val="es-ES_tradnl" w:bidi="th-TH"/>
              </w:rPr>
              <w:t>s</w:t>
            </w:r>
            <w:r w:rsidR="00491731">
              <w:rPr>
                <w:sz w:val="16"/>
                <w:szCs w:val="16"/>
                <w:lang w:val="es-ES_tradnl" w:bidi="th-TH"/>
              </w:rPr>
              <w:t xml:space="preserve"> sobre las cuestiones específicas</w:t>
            </w:r>
            <w:r w:rsidRPr="00C75C7E">
              <w:rPr>
                <w:sz w:val="16"/>
                <w:szCs w:val="16"/>
                <w:lang w:val="es-ES_tradnl" w:bidi="th-TH"/>
              </w:rPr>
              <w:t xml:space="preserve"> respecto de las que se acuerdan instrumentos internacionales.</w:t>
            </w:r>
          </w:p>
        </w:tc>
        <w:tc>
          <w:tcPr>
            <w:tcW w:w="1514" w:type="pct"/>
            <w:tcBorders>
              <w:top w:val="single" w:sz="4" w:space="0" w:color="auto"/>
            </w:tcBorders>
            <w:shd w:val="clear" w:color="auto" w:fill="auto"/>
            <w:tcMar>
              <w:top w:w="110" w:type="dxa"/>
              <w:bottom w:w="85" w:type="dxa"/>
            </w:tcMar>
          </w:tcPr>
          <w:p w:rsidR="004046B6" w:rsidRPr="00C75C7E" w:rsidRDefault="004046B6" w:rsidP="00900936">
            <w:pPr>
              <w:widowControl w:val="0"/>
              <w:rPr>
                <w:sz w:val="16"/>
                <w:szCs w:val="16"/>
                <w:lang w:val="es-ES_tradnl"/>
              </w:rPr>
            </w:pPr>
            <w:r w:rsidRPr="00C75C7E">
              <w:rPr>
                <w:sz w:val="16"/>
                <w:szCs w:val="16"/>
                <w:lang w:val="es-ES_tradnl"/>
              </w:rPr>
              <w:t>Acuerdo sobre un marco normativo para los procedimientos de registro y mantenimiento de los diseños industriales.</w:t>
            </w:r>
          </w:p>
        </w:tc>
        <w:tc>
          <w:tcPr>
            <w:tcW w:w="1094" w:type="pct"/>
            <w:tcBorders>
              <w:top w:val="single" w:sz="4" w:space="0" w:color="auto"/>
            </w:tcBorders>
            <w:shd w:val="clear" w:color="auto" w:fill="FFFFFF"/>
            <w:tcMar>
              <w:top w:w="110" w:type="dxa"/>
              <w:bottom w:w="85" w:type="dxa"/>
            </w:tcMar>
          </w:tcPr>
          <w:p w:rsidR="004046B6" w:rsidRPr="00C75C7E" w:rsidRDefault="004046B6" w:rsidP="00900936">
            <w:pPr>
              <w:widowControl w:val="0"/>
              <w:rPr>
                <w:sz w:val="16"/>
                <w:szCs w:val="16"/>
                <w:lang w:val="es-ES_tradnl" w:bidi="th-TH"/>
              </w:rPr>
            </w:pPr>
            <w:r w:rsidRPr="00C75C7E">
              <w:rPr>
                <w:sz w:val="16"/>
                <w:szCs w:val="16"/>
                <w:lang w:val="es-ES_tradnl" w:bidi="th-TH"/>
              </w:rPr>
              <w:t>No existe un marco normativo para los procedimientos de registro y mantenimiento de los diseños industriales.</w:t>
            </w:r>
          </w:p>
          <w:p w:rsidR="004046B6" w:rsidRPr="00C75C7E" w:rsidRDefault="004046B6" w:rsidP="00900936">
            <w:pPr>
              <w:widowControl w:val="0"/>
              <w:rPr>
                <w:sz w:val="16"/>
                <w:szCs w:val="16"/>
                <w:lang w:val="es-ES_tradnl"/>
              </w:rPr>
            </w:pPr>
          </w:p>
        </w:tc>
        <w:tc>
          <w:tcPr>
            <w:tcW w:w="1144" w:type="pct"/>
            <w:tcBorders>
              <w:top w:val="single" w:sz="4" w:space="0" w:color="auto"/>
            </w:tcBorders>
            <w:shd w:val="clear" w:color="auto" w:fill="auto"/>
            <w:tcMar>
              <w:top w:w="110" w:type="dxa"/>
              <w:bottom w:w="85" w:type="dxa"/>
            </w:tcMar>
          </w:tcPr>
          <w:p w:rsidR="004046B6" w:rsidRPr="00C75C7E" w:rsidRDefault="004046B6" w:rsidP="00900936">
            <w:pPr>
              <w:widowControl w:val="0"/>
              <w:ind w:right="381"/>
              <w:rPr>
                <w:bCs/>
                <w:sz w:val="16"/>
                <w:szCs w:val="16"/>
                <w:lang w:val="es-ES_tradnl"/>
              </w:rPr>
            </w:pPr>
            <w:r w:rsidRPr="00C75C7E">
              <w:rPr>
                <w:bCs/>
                <w:sz w:val="16"/>
                <w:szCs w:val="16"/>
                <w:lang w:val="es-ES_tradnl"/>
              </w:rPr>
              <w:t>Adopción en conferencia dipl</w:t>
            </w:r>
            <w:r w:rsidR="00ED68AB">
              <w:rPr>
                <w:bCs/>
                <w:sz w:val="16"/>
                <w:szCs w:val="16"/>
                <w:lang w:val="es-ES_tradnl"/>
              </w:rPr>
              <w:t>omática de un tratado sobre el D</w:t>
            </w:r>
            <w:r w:rsidRPr="00C75C7E">
              <w:rPr>
                <w:bCs/>
                <w:sz w:val="16"/>
                <w:szCs w:val="16"/>
                <w:lang w:val="es-ES_tradnl"/>
              </w:rPr>
              <w:t>erecho de los diseños industriales.</w:t>
            </w:r>
          </w:p>
        </w:tc>
      </w:tr>
      <w:tr w:rsidR="004046B6" w:rsidRPr="00C75C7E" w:rsidTr="00900936">
        <w:trPr>
          <w:cantSplit/>
        </w:trPr>
        <w:tc>
          <w:tcPr>
            <w:tcW w:w="1248" w:type="pct"/>
            <w:vMerge/>
            <w:shd w:val="clear" w:color="auto" w:fill="auto"/>
          </w:tcPr>
          <w:p w:rsidR="004046B6" w:rsidRPr="00C75C7E" w:rsidRDefault="004046B6" w:rsidP="00900936">
            <w:pPr>
              <w:widowControl w:val="0"/>
              <w:rPr>
                <w:sz w:val="16"/>
                <w:szCs w:val="16"/>
                <w:lang w:val="es-ES_tradnl"/>
              </w:rPr>
            </w:pPr>
          </w:p>
        </w:tc>
        <w:tc>
          <w:tcPr>
            <w:tcW w:w="1514" w:type="pct"/>
            <w:shd w:val="clear" w:color="auto" w:fill="auto"/>
            <w:tcMar>
              <w:top w:w="110" w:type="dxa"/>
              <w:bottom w:w="85" w:type="dxa"/>
            </w:tcMar>
          </w:tcPr>
          <w:p w:rsidR="004046B6" w:rsidRPr="00C75C7E" w:rsidRDefault="00956F2F" w:rsidP="00900936">
            <w:pPr>
              <w:widowControl w:val="0"/>
              <w:rPr>
                <w:sz w:val="16"/>
                <w:szCs w:val="16"/>
                <w:lang w:val="es-ES_tradnl" w:bidi="th-TH"/>
              </w:rPr>
            </w:pPr>
            <w:r w:rsidRPr="00C75C7E">
              <w:rPr>
                <w:sz w:val="16"/>
                <w:szCs w:val="16"/>
                <w:lang w:val="es-ES_tradnl"/>
              </w:rPr>
              <w:t>Avances para llegar a un acuerdo sobre las cuestiones que figu</w:t>
            </w:r>
            <w:r>
              <w:rPr>
                <w:sz w:val="16"/>
                <w:szCs w:val="16"/>
                <w:lang w:val="es-ES_tradnl"/>
              </w:rPr>
              <w:t>ran en el orden del día del SCT</w:t>
            </w:r>
            <w:r w:rsidR="004046B6" w:rsidRPr="00C75C7E">
              <w:rPr>
                <w:sz w:val="16"/>
                <w:szCs w:val="16"/>
                <w:lang w:val="es-ES_tradnl" w:bidi="th-TH"/>
              </w:rPr>
              <w:t>.</w:t>
            </w:r>
          </w:p>
          <w:p w:rsidR="004046B6" w:rsidRPr="00C75C7E" w:rsidRDefault="004046B6" w:rsidP="00900936">
            <w:pPr>
              <w:widowControl w:val="0"/>
              <w:rPr>
                <w:i/>
                <w:sz w:val="16"/>
                <w:szCs w:val="16"/>
                <w:lang w:val="es-ES_tradnl"/>
              </w:rPr>
            </w:pPr>
          </w:p>
        </w:tc>
        <w:tc>
          <w:tcPr>
            <w:tcW w:w="1094" w:type="pct"/>
            <w:shd w:val="clear" w:color="auto" w:fill="FFFFFF"/>
            <w:tcMar>
              <w:top w:w="110" w:type="dxa"/>
              <w:bottom w:w="85" w:type="dxa"/>
            </w:tcMar>
          </w:tcPr>
          <w:p w:rsidR="004046B6" w:rsidRPr="00C75C7E" w:rsidRDefault="00956F2F" w:rsidP="00026F22">
            <w:pPr>
              <w:widowControl w:val="0"/>
              <w:rPr>
                <w:sz w:val="16"/>
                <w:szCs w:val="16"/>
                <w:lang w:val="es-ES_tradnl"/>
              </w:rPr>
            </w:pPr>
            <w:r>
              <w:rPr>
                <w:sz w:val="16"/>
                <w:szCs w:val="16"/>
                <w:lang w:val="es-ES_tradnl" w:bidi="th-TH"/>
              </w:rPr>
              <w:t xml:space="preserve">Proyecto de documento de referencia sobre la protección de los nombres de países contra </w:t>
            </w:r>
            <w:r w:rsidR="00026F22">
              <w:rPr>
                <w:sz w:val="16"/>
                <w:szCs w:val="16"/>
                <w:lang w:val="es-ES_tradnl" w:bidi="th-TH"/>
              </w:rPr>
              <w:t>su</w:t>
            </w:r>
            <w:r>
              <w:rPr>
                <w:sz w:val="16"/>
                <w:szCs w:val="16"/>
                <w:lang w:val="es-ES_tradnl" w:bidi="th-TH"/>
              </w:rPr>
              <w:t xml:space="preserve"> registro </w:t>
            </w:r>
            <w:r w:rsidR="00026F22">
              <w:rPr>
                <w:sz w:val="16"/>
                <w:szCs w:val="16"/>
                <w:lang w:val="es-ES_tradnl" w:bidi="th-TH"/>
              </w:rPr>
              <w:t>y uso como</w:t>
            </w:r>
            <w:r>
              <w:rPr>
                <w:sz w:val="16"/>
                <w:szCs w:val="16"/>
                <w:lang w:val="es-ES_tradnl" w:bidi="th-TH"/>
              </w:rPr>
              <w:t xml:space="preserve"> marcas</w:t>
            </w:r>
            <w:r w:rsidR="004046B6" w:rsidRPr="00C75C7E">
              <w:rPr>
                <w:sz w:val="16"/>
                <w:szCs w:val="16"/>
                <w:lang w:val="es-ES_tradnl" w:bidi="th-TH"/>
              </w:rPr>
              <w:t>.</w:t>
            </w:r>
          </w:p>
        </w:tc>
        <w:tc>
          <w:tcPr>
            <w:tcW w:w="1144" w:type="pct"/>
            <w:shd w:val="clear" w:color="auto" w:fill="auto"/>
            <w:tcMar>
              <w:top w:w="110" w:type="dxa"/>
              <w:bottom w:w="85" w:type="dxa"/>
            </w:tcMar>
          </w:tcPr>
          <w:p w:rsidR="004046B6" w:rsidRPr="00C75C7E" w:rsidRDefault="00956F2F" w:rsidP="00956F2F">
            <w:pPr>
              <w:widowControl w:val="0"/>
              <w:tabs>
                <w:tab w:val="left" w:pos="2051"/>
              </w:tabs>
              <w:ind w:right="381"/>
              <w:rPr>
                <w:bCs/>
                <w:sz w:val="16"/>
                <w:szCs w:val="16"/>
                <w:lang w:val="es-ES_tradnl"/>
              </w:rPr>
            </w:pPr>
            <w:r>
              <w:rPr>
                <w:bCs/>
                <w:sz w:val="16"/>
                <w:szCs w:val="16"/>
                <w:lang w:val="es-ES_tradnl"/>
              </w:rPr>
              <w:t>Resultados acordados en el</w:t>
            </w:r>
            <w:r w:rsidR="004046B6" w:rsidRPr="00C75C7E">
              <w:rPr>
                <w:bCs/>
                <w:sz w:val="16"/>
                <w:szCs w:val="16"/>
                <w:lang w:val="es-ES_tradnl"/>
              </w:rPr>
              <w:t xml:space="preserve"> SCT.</w:t>
            </w:r>
          </w:p>
        </w:tc>
      </w:tr>
      <w:tr w:rsidR="004046B6" w:rsidRPr="00C75C7E" w:rsidTr="00900936">
        <w:trPr>
          <w:cantSplit/>
          <w:trHeight w:val="557"/>
        </w:trPr>
        <w:tc>
          <w:tcPr>
            <w:tcW w:w="1248" w:type="pct"/>
            <w:vMerge/>
            <w:shd w:val="clear" w:color="auto" w:fill="auto"/>
          </w:tcPr>
          <w:p w:rsidR="004046B6" w:rsidRPr="00C75C7E" w:rsidRDefault="004046B6" w:rsidP="00900936">
            <w:pPr>
              <w:widowControl w:val="0"/>
              <w:rPr>
                <w:sz w:val="16"/>
                <w:szCs w:val="16"/>
                <w:lang w:val="es-ES_tradnl"/>
              </w:rPr>
            </w:pPr>
          </w:p>
        </w:tc>
        <w:tc>
          <w:tcPr>
            <w:tcW w:w="1514" w:type="pct"/>
            <w:shd w:val="clear" w:color="auto" w:fill="auto"/>
            <w:tcMar>
              <w:top w:w="110" w:type="dxa"/>
              <w:bottom w:w="85" w:type="dxa"/>
            </w:tcMar>
          </w:tcPr>
          <w:p w:rsidR="004046B6" w:rsidRPr="00C75C7E" w:rsidRDefault="004046B6" w:rsidP="00900936">
            <w:pPr>
              <w:widowControl w:val="0"/>
              <w:rPr>
                <w:sz w:val="16"/>
                <w:szCs w:val="16"/>
                <w:lang w:val="es-ES_tradnl"/>
              </w:rPr>
            </w:pPr>
            <w:r w:rsidRPr="00C75C7E">
              <w:rPr>
                <w:sz w:val="16"/>
                <w:szCs w:val="16"/>
                <w:lang w:val="es-ES_tradnl"/>
              </w:rPr>
              <w:t>Número de ratificaciones y adhesiones al Tratado de Singapur</w:t>
            </w:r>
            <w:r w:rsidR="00026F22">
              <w:rPr>
                <w:sz w:val="16"/>
                <w:szCs w:val="16"/>
                <w:lang w:val="es-ES_tradnl"/>
              </w:rPr>
              <w:t>.</w:t>
            </w:r>
          </w:p>
        </w:tc>
        <w:tc>
          <w:tcPr>
            <w:tcW w:w="1094" w:type="pct"/>
            <w:shd w:val="clear" w:color="auto" w:fill="FFFFFF"/>
            <w:tcMar>
              <w:top w:w="110" w:type="dxa"/>
              <w:bottom w:w="85" w:type="dxa"/>
            </w:tcMar>
          </w:tcPr>
          <w:p w:rsidR="004046B6" w:rsidRPr="00C75C7E" w:rsidRDefault="004046B6" w:rsidP="00900936">
            <w:pPr>
              <w:widowControl w:val="0"/>
              <w:rPr>
                <w:sz w:val="16"/>
                <w:szCs w:val="16"/>
                <w:lang w:val="es-ES_tradnl" w:bidi="th-TH"/>
              </w:rPr>
            </w:pPr>
            <w:r w:rsidRPr="00C75C7E">
              <w:rPr>
                <w:sz w:val="16"/>
                <w:szCs w:val="16"/>
                <w:lang w:val="es-ES_tradnl" w:bidi="th-TH"/>
              </w:rPr>
              <w:t>29 Partes Contratantes (al final de 2012).</w:t>
            </w:r>
          </w:p>
        </w:tc>
        <w:tc>
          <w:tcPr>
            <w:tcW w:w="1144" w:type="pct"/>
            <w:shd w:val="clear" w:color="auto" w:fill="auto"/>
            <w:tcMar>
              <w:top w:w="110" w:type="dxa"/>
              <w:bottom w:w="85" w:type="dxa"/>
            </w:tcMar>
          </w:tcPr>
          <w:p w:rsidR="004046B6" w:rsidRPr="00C75C7E" w:rsidRDefault="004046B6" w:rsidP="00900936">
            <w:pPr>
              <w:widowControl w:val="0"/>
              <w:ind w:right="161"/>
              <w:rPr>
                <w:bCs/>
                <w:sz w:val="16"/>
                <w:szCs w:val="16"/>
                <w:lang w:val="es-ES_tradnl"/>
              </w:rPr>
            </w:pPr>
            <w:r w:rsidRPr="00C75C7E">
              <w:rPr>
                <w:bCs/>
                <w:sz w:val="16"/>
                <w:szCs w:val="16"/>
                <w:lang w:val="es-ES_tradnl"/>
              </w:rPr>
              <w:t>Ocho nuevas ratificaciones</w:t>
            </w:r>
            <w:r w:rsidR="00026F22">
              <w:rPr>
                <w:bCs/>
                <w:sz w:val="16"/>
                <w:szCs w:val="16"/>
                <w:lang w:val="es-ES_tradnl"/>
              </w:rPr>
              <w:t xml:space="preserve"> </w:t>
            </w:r>
            <w:r w:rsidRPr="00C75C7E">
              <w:rPr>
                <w:bCs/>
                <w:sz w:val="16"/>
                <w:szCs w:val="16"/>
                <w:lang w:val="es-ES_tradnl"/>
              </w:rPr>
              <w:t>/</w:t>
            </w:r>
            <w:r w:rsidR="00026F22">
              <w:rPr>
                <w:bCs/>
                <w:sz w:val="16"/>
                <w:szCs w:val="16"/>
                <w:lang w:val="es-ES_tradnl"/>
              </w:rPr>
              <w:t xml:space="preserve"> </w:t>
            </w:r>
            <w:r w:rsidRPr="00C75C7E">
              <w:rPr>
                <w:bCs/>
                <w:sz w:val="16"/>
                <w:szCs w:val="16"/>
                <w:lang w:val="es-ES_tradnl"/>
              </w:rPr>
              <w:t>adhesiones.</w:t>
            </w:r>
          </w:p>
        </w:tc>
      </w:tr>
      <w:tr w:rsidR="004046B6" w:rsidRPr="00C75C7E" w:rsidTr="00900936">
        <w:trPr>
          <w:cantSplit/>
          <w:trHeight w:val="1507"/>
        </w:trPr>
        <w:tc>
          <w:tcPr>
            <w:tcW w:w="1248" w:type="pct"/>
            <w:shd w:val="clear" w:color="auto" w:fill="auto"/>
          </w:tcPr>
          <w:p w:rsidR="004046B6" w:rsidRPr="00C75C7E" w:rsidRDefault="004046B6" w:rsidP="00900936">
            <w:pPr>
              <w:widowControl w:val="0"/>
              <w:rPr>
                <w:sz w:val="16"/>
                <w:szCs w:val="16"/>
                <w:lang w:val="es-ES_tradnl"/>
              </w:rPr>
            </w:pPr>
            <w:r w:rsidRPr="00C75C7E">
              <w:rPr>
                <w:sz w:val="16"/>
                <w:szCs w:val="16"/>
                <w:lang w:val="es-ES_tradnl"/>
              </w:rPr>
              <w:t>I.2. Marcos de P.I. adaptados y equilibrados en el ámbito legislativo, reglamentario y de política.</w:t>
            </w:r>
          </w:p>
        </w:tc>
        <w:tc>
          <w:tcPr>
            <w:tcW w:w="1514" w:type="pct"/>
            <w:shd w:val="clear" w:color="auto" w:fill="auto"/>
            <w:tcMar>
              <w:top w:w="110" w:type="dxa"/>
              <w:bottom w:w="85" w:type="dxa"/>
            </w:tcMar>
          </w:tcPr>
          <w:p w:rsidR="004046B6" w:rsidRPr="00C75C7E" w:rsidRDefault="004046B6" w:rsidP="00900936">
            <w:pPr>
              <w:widowControl w:val="0"/>
              <w:rPr>
                <w:sz w:val="16"/>
                <w:szCs w:val="16"/>
                <w:lang w:val="es-ES_tradnl"/>
              </w:rPr>
            </w:pPr>
            <w:r w:rsidRPr="00C75C7E">
              <w:rPr>
                <w:sz w:val="16"/>
                <w:szCs w:val="16"/>
                <w:lang w:val="es-ES_tradnl"/>
              </w:rPr>
              <w:t>Número y porcentaje de Estados miembros/organizaciones regionales que han presentado comentarios positivos sobre el asesoramiento legislativo proporcionado en la esfera de las marcas, los diseños industriales y las indicaciones geográficas.</w:t>
            </w:r>
          </w:p>
        </w:tc>
        <w:tc>
          <w:tcPr>
            <w:tcW w:w="1094" w:type="pct"/>
            <w:shd w:val="clear" w:color="auto" w:fill="FFFFFF"/>
            <w:tcMar>
              <w:top w:w="110" w:type="dxa"/>
              <w:bottom w:w="85" w:type="dxa"/>
            </w:tcMar>
          </w:tcPr>
          <w:p w:rsidR="004046B6" w:rsidRPr="00C75C7E" w:rsidRDefault="004046B6" w:rsidP="00900936">
            <w:pPr>
              <w:widowControl w:val="0"/>
              <w:rPr>
                <w:sz w:val="16"/>
                <w:szCs w:val="16"/>
                <w:lang w:val="es-ES_tradnl" w:bidi="th-TH"/>
              </w:rPr>
            </w:pPr>
            <w:r w:rsidRPr="00C75C7E">
              <w:rPr>
                <w:sz w:val="16"/>
                <w:szCs w:val="16"/>
                <w:lang w:val="es-ES_tradnl" w:bidi="th-TH"/>
              </w:rPr>
              <w:t>11 Estados miembros/organizaciones regionales han recibido asesoramiento legislativo y tres de ellos han formulado comentarios positivos sobre el asesoramiento legislativo recibido en 2012.</w:t>
            </w:r>
          </w:p>
        </w:tc>
        <w:tc>
          <w:tcPr>
            <w:tcW w:w="1144" w:type="pct"/>
            <w:shd w:val="clear" w:color="auto" w:fill="auto"/>
            <w:tcMar>
              <w:top w:w="110" w:type="dxa"/>
              <w:bottom w:w="85" w:type="dxa"/>
            </w:tcMar>
          </w:tcPr>
          <w:p w:rsidR="004046B6" w:rsidRPr="00C75C7E" w:rsidRDefault="004046B6" w:rsidP="00026F22">
            <w:pPr>
              <w:widowControl w:val="0"/>
              <w:ind w:right="161"/>
              <w:rPr>
                <w:bCs/>
                <w:sz w:val="16"/>
                <w:szCs w:val="16"/>
                <w:lang w:val="es-ES_tradnl"/>
              </w:rPr>
            </w:pPr>
            <w:r w:rsidRPr="00C75C7E">
              <w:rPr>
                <w:bCs/>
                <w:sz w:val="16"/>
                <w:szCs w:val="16"/>
                <w:lang w:val="es-ES_tradnl"/>
              </w:rPr>
              <w:t>Se proporciona asesoramiento legislativo a 10 Estados miembros</w:t>
            </w:r>
            <w:r w:rsidR="00026F22">
              <w:rPr>
                <w:bCs/>
                <w:sz w:val="16"/>
                <w:szCs w:val="16"/>
                <w:lang w:val="es-ES_tradnl"/>
              </w:rPr>
              <w:t xml:space="preserve"> </w:t>
            </w:r>
            <w:r w:rsidRPr="00C75C7E">
              <w:rPr>
                <w:bCs/>
                <w:sz w:val="16"/>
                <w:szCs w:val="16"/>
                <w:lang w:val="es-ES_tradnl"/>
              </w:rPr>
              <w:t>/</w:t>
            </w:r>
            <w:r w:rsidR="00026F22">
              <w:rPr>
                <w:bCs/>
                <w:sz w:val="16"/>
                <w:szCs w:val="16"/>
                <w:lang w:val="es-ES_tradnl"/>
              </w:rPr>
              <w:t xml:space="preserve"> </w:t>
            </w:r>
            <w:r w:rsidRPr="00C75C7E">
              <w:rPr>
                <w:bCs/>
                <w:sz w:val="16"/>
                <w:szCs w:val="16"/>
                <w:lang w:val="es-ES_tradnl"/>
              </w:rPr>
              <w:t>organizaciones regionales</w:t>
            </w:r>
            <w:r w:rsidR="00026F22">
              <w:rPr>
                <w:bCs/>
                <w:sz w:val="16"/>
                <w:szCs w:val="16"/>
                <w:lang w:val="es-ES_tradnl"/>
              </w:rPr>
              <w:t>. 90% de los encuestados expresa satisfacción con el asesoramiento brindado</w:t>
            </w:r>
            <w:r w:rsidRPr="00C75C7E">
              <w:rPr>
                <w:bCs/>
                <w:sz w:val="16"/>
                <w:szCs w:val="16"/>
                <w:lang w:val="es-ES_tradnl"/>
              </w:rPr>
              <w:t xml:space="preserve">. </w:t>
            </w:r>
          </w:p>
        </w:tc>
      </w:tr>
      <w:tr w:rsidR="004046B6" w:rsidRPr="00C75C7E" w:rsidTr="00900936">
        <w:trPr>
          <w:cantSplit/>
          <w:trHeight w:val="1013"/>
        </w:trPr>
        <w:tc>
          <w:tcPr>
            <w:tcW w:w="1248" w:type="pct"/>
            <w:shd w:val="clear" w:color="auto" w:fill="auto"/>
          </w:tcPr>
          <w:p w:rsidR="004046B6" w:rsidRPr="00C75C7E" w:rsidRDefault="004046B6" w:rsidP="00900936">
            <w:pPr>
              <w:widowControl w:val="0"/>
              <w:rPr>
                <w:sz w:val="16"/>
                <w:szCs w:val="16"/>
                <w:lang w:val="es-ES_tradnl"/>
              </w:rPr>
            </w:pPr>
            <w:r w:rsidRPr="00C75C7E">
              <w:rPr>
                <w:sz w:val="16"/>
                <w:szCs w:val="16"/>
                <w:lang w:val="es-ES_tradnl"/>
              </w:rPr>
              <w:lastRenderedPageBreak/>
              <w:t>I.3. Aumento de la protección de los emblemas de Estado y de los nombres y emblemas de organizaciones intergubernamentales internacionales.</w:t>
            </w:r>
          </w:p>
        </w:tc>
        <w:tc>
          <w:tcPr>
            <w:tcW w:w="1514" w:type="pct"/>
            <w:shd w:val="clear" w:color="auto" w:fill="auto"/>
            <w:tcMar>
              <w:top w:w="110" w:type="dxa"/>
            </w:tcMar>
          </w:tcPr>
          <w:p w:rsidR="004046B6" w:rsidRPr="00C75C7E" w:rsidRDefault="004046B6" w:rsidP="00900936">
            <w:pPr>
              <w:widowControl w:val="0"/>
              <w:rPr>
                <w:sz w:val="16"/>
                <w:szCs w:val="16"/>
                <w:lang w:val="es-ES_tradnl"/>
              </w:rPr>
            </w:pPr>
            <w:r w:rsidRPr="00C75C7E">
              <w:rPr>
                <w:sz w:val="16"/>
                <w:szCs w:val="16"/>
                <w:lang w:val="es-ES_tradnl"/>
              </w:rPr>
              <w:t>Número de peticiones de comunicación tramitadas en virtud del artículo 6</w:t>
            </w:r>
            <w:r w:rsidRPr="00C75C7E">
              <w:rPr>
                <w:i/>
                <w:sz w:val="16"/>
                <w:szCs w:val="16"/>
                <w:lang w:val="es-ES_tradnl"/>
              </w:rPr>
              <w:t>ter.</w:t>
            </w:r>
          </w:p>
        </w:tc>
        <w:tc>
          <w:tcPr>
            <w:tcW w:w="1094" w:type="pct"/>
            <w:shd w:val="clear" w:color="auto" w:fill="FFFFFF"/>
            <w:tcMar>
              <w:top w:w="110" w:type="dxa"/>
            </w:tcMar>
          </w:tcPr>
          <w:p w:rsidR="004046B6" w:rsidRPr="00C75C7E" w:rsidRDefault="004046B6" w:rsidP="0048384D">
            <w:pPr>
              <w:widowControl w:val="0"/>
              <w:rPr>
                <w:sz w:val="16"/>
                <w:szCs w:val="16"/>
                <w:lang w:val="es-ES_tradnl" w:bidi="th-TH"/>
              </w:rPr>
            </w:pPr>
            <w:r w:rsidRPr="00C75C7E">
              <w:rPr>
                <w:sz w:val="16"/>
                <w:szCs w:val="16"/>
                <w:lang w:val="es-ES_tradnl" w:bidi="th-TH"/>
              </w:rPr>
              <w:t xml:space="preserve">70 peticiones de comunicación tramitadas </w:t>
            </w:r>
            <w:r w:rsidR="0048384D" w:rsidRPr="00C75C7E">
              <w:rPr>
                <w:sz w:val="16"/>
                <w:szCs w:val="16"/>
                <w:lang w:val="es-ES_tradnl" w:bidi="th-TH"/>
              </w:rPr>
              <w:t>en 2012</w:t>
            </w:r>
            <w:r w:rsidR="0048384D">
              <w:rPr>
                <w:sz w:val="16"/>
                <w:szCs w:val="16"/>
                <w:lang w:val="es-ES_tradnl" w:bidi="th-TH"/>
              </w:rPr>
              <w:t xml:space="preserve"> </w:t>
            </w:r>
            <w:r w:rsidRPr="00C75C7E">
              <w:rPr>
                <w:sz w:val="16"/>
                <w:szCs w:val="16"/>
                <w:lang w:val="es-ES_tradnl" w:bidi="th-TH"/>
              </w:rPr>
              <w:t>en virtud del artículo 6</w:t>
            </w:r>
            <w:r w:rsidRPr="00C75C7E">
              <w:rPr>
                <w:i/>
                <w:sz w:val="16"/>
                <w:szCs w:val="16"/>
                <w:lang w:val="es-ES_tradnl" w:bidi="th-TH"/>
              </w:rPr>
              <w:t>ter</w:t>
            </w:r>
            <w:r w:rsidRPr="00C75C7E">
              <w:rPr>
                <w:sz w:val="16"/>
                <w:szCs w:val="16"/>
                <w:lang w:val="es-ES_tradnl" w:bidi="th-TH"/>
              </w:rPr>
              <w:t>.</w:t>
            </w:r>
          </w:p>
        </w:tc>
        <w:tc>
          <w:tcPr>
            <w:tcW w:w="1144" w:type="pct"/>
            <w:shd w:val="clear" w:color="auto" w:fill="auto"/>
            <w:tcMar>
              <w:top w:w="110" w:type="dxa"/>
            </w:tcMar>
          </w:tcPr>
          <w:p w:rsidR="004046B6" w:rsidRPr="00C75C7E" w:rsidRDefault="004046B6" w:rsidP="00900936">
            <w:pPr>
              <w:widowControl w:val="0"/>
              <w:ind w:right="161"/>
              <w:rPr>
                <w:bCs/>
                <w:sz w:val="16"/>
                <w:szCs w:val="16"/>
                <w:lang w:val="es-ES_tradnl"/>
              </w:rPr>
            </w:pPr>
            <w:r w:rsidRPr="00C75C7E">
              <w:rPr>
                <w:bCs/>
                <w:sz w:val="16"/>
                <w:szCs w:val="16"/>
                <w:lang w:val="es-ES_tradnl"/>
              </w:rPr>
              <w:t>140  peticiones de comunicación tramitadas en virtud del artículo 6</w:t>
            </w:r>
            <w:r w:rsidRPr="00C75C7E">
              <w:rPr>
                <w:bCs/>
                <w:i/>
                <w:sz w:val="16"/>
                <w:szCs w:val="16"/>
                <w:lang w:val="es-ES_tradnl"/>
              </w:rPr>
              <w:t>ter.</w:t>
            </w:r>
          </w:p>
        </w:tc>
      </w:tr>
      <w:tr w:rsidR="004046B6" w:rsidRPr="00C75C7E" w:rsidTr="00900936">
        <w:trPr>
          <w:cantSplit/>
          <w:trHeight w:val="710"/>
        </w:trPr>
        <w:tc>
          <w:tcPr>
            <w:tcW w:w="1248" w:type="pct"/>
            <w:shd w:val="clear" w:color="auto" w:fill="auto"/>
          </w:tcPr>
          <w:p w:rsidR="004046B6" w:rsidRPr="00C75C7E" w:rsidRDefault="004046B6" w:rsidP="00900936">
            <w:pPr>
              <w:widowControl w:val="0"/>
              <w:rPr>
                <w:sz w:val="16"/>
                <w:szCs w:val="16"/>
                <w:lang w:val="es-ES_tradnl"/>
              </w:rPr>
            </w:pPr>
          </w:p>
        </w:tc>
        <w:tc>
          <w:tcPr>
            <w:tcW w:w="1514" w:type="pct"/>
            <w:shd w:val="clear" w:color="auto" w:fill="auto"/>
            <w:tcMar>
              <w:top w:w="110" w:type="dxa"/>
            </w:tcMar>
          </w:tcPr>
          <w:p w:rsidR="004046B6" w:rsidRPr="00C75C7E" w:rsidRDefault="004046B6" w:rsidP="00900936">
            <w:pPr>
              <w:widowControl w:val="0"/>
              <w:rPr>
                <w:sz w:val="16"/>
                <w:szCs w:val="16"/>
                <w:lang w:val="es-ES_tradnl"/>
              </w:rPr>
            </w:pPr>
            <w:r w:rsidRPr="00C75C7E">
              <w:rPr>
                <w:sz w:val="16"/>
                <w:szCs w:val="16"/>
                <w:lang w:val="es-ES_tradnl"/>
              </w:rPr>
              <w:t>Número de signos publicados en la base de datos sobre el artículo 6</w:t>
            </w:r>
            <w:r w:rsidRPr="00C75C7E">
              <w:rPr>
                <w:i/>
                <w:sz w:val="16"/>
                <w:szCs w:val="16"/>
                <w:lang w:val="es-ES_tradnl"/>
              </w:rPr>
              <w:t>ter</w:t>
            </w:r>
            <w:r w:rsidRPr="00C75C7E">
              <w:rPr>
                <w:sz w:val="16"/>
                <w:szCs w:val="16"/>
                <w:lang w:val="es-ES_tradnl"/>
              </w:rPr>
              <w:t>.</w:t>
            </w:r>
          </w:p>
        </w:tc>
        <w:tc>
          <w:tcPr>
            <w:tcW w:w="1094" w:type="pct"/>
            <w:shd w:val="clear" w:color="auto" w:fill="FFFFFF"/>
            <w:tcMar>
              <w:top w:w="110" w:type="dxa"/>
            </w:tcMar>
          </w:tcPr>
          <w:p w:rsidR="004046B6" w:rsidRPr="00C75C7E" w:rsidRDefault="004046B6" w:rsidP="0048384D">
            <w:pPr>
              <w:widowControl w:val="0"/>
              <w:rPr>
                <w:sz w:val="16"/>
                <w:szCs w:val="16"/>
                <w:lang w:val="es-ES_tradnl" w:bidi="th-TH"/>
              </w:rPr>
            </w:pPr>
            <w:r w:rsidRPr="00C75C7E">
              <w:rPr>
                <w:sz w:val="16"/>
                <w:szCs w:val="16"/>
                <w:lang w:val="es-ES_tradnl" w:bidi="th-TH"/>
              </w:rPr>
              <w:t xml:space="preserve">75 signos publicados </w:t>
            </w:r>
            <w:r w:rsidR="0048384D" w:rsidRPr="00C75C7E">
              <w:rPr>
                <w:sz w:val="16"/>
                <w:szCs w:val="16"/>
                <w:lang w:val="es-ES_tradnl" w:bidi="th-TH"/>
              </w:rPr>
              <w:t>en 2012</w:t>
            </w:r>
            <w:r w:rsidR="0048384D">
              <w:rPr>
                <w:sz w:val="16"/>
                <w:szCs w:val="16"/>
                <w:lang w:val="es-ES_tradnl" w:bidi="th-TH"/>
              </w:rPr>
              <w:t xml:space="preserve"> </w:t>
            </w:r>
            <w:r w:rsidRPr="00C75C7E">
              <w:rPr>
                <w:sz w:val="16"/>
                <w:szCs w:val="16"/>
                <w:lang w:val="es-ES_tradnl" w:bidi="th-TH"/>
              </w:rPr>
              <w:t>en la base de datos sobre el artículo 6</w:t>
            </w:r>
            <w:r w:rsidRPr="00C75C7E">
              <w:rPr>
                <w:i/>
                <w:sz w:val="16"/>
                <w:szCs w:val="16"/>
                <w:lang w:val="es-ES_tradnl" w:bidi="th-TH"/>
              </w:rPr>
              <w:t>ter</w:t>
            </w:r>
            <w:r w:rsidRPr="00C75C7E">
              <w:rPr>
                <w:sz w:val="16"/>
                <w:szCs w:val="16"/>
                <w:lang w:val="es-ES_tradnl" w:bidi="th-TH"/>
              </w:rPr>
              <w:t>.</w:t>
            </w:r>
          </w:p>
        </w:tc>
        <w:tc>
          <w:tcPr>
            <w:tcW w:w="1144" w:type="pct"/>
            <w:shd w:val="clear" w:color="auto" w:fill="auto"/>
            <w:tcMar>
              <w:top w:w="110" w:type="dxa"/>
            </w:tcMar>
          </w:tcPr>
          <w:p w:rsidR="004046B6" w:rsidRPr="00C75C7E" w:rsidRDefault="004046B6" w:rsidP="00900936">
            <w:pPr>
              <w:widowControl w:val="0"/>
              <w:ind w:right="161"/>
              <w:rPr>
                <w:bCs/>
                <w:sz w:val="16"/>
                <w:szCs w:val="16"/>
                <w:lang w:val="es-ES_tradnl"/>
              </w:rPr>
            </w:pPr>
            <w:r w:rsidRPr="00C75C7E">
              <w:rPr>
                <w:bCs/>
                <w:sz w:val="16"/>
                <w:szCs w:val="16"/>
                <w:lang w:val="es-ES_tradnl"/>
              </w:rPr>
              <w:t>150 signos publicados en la base de datos sobre el artículo 6</w:t>
            </w:r>
            <w:r w:rsidRPr="00C75C7E">
              <w:rPr>
                <w:bCs/>
                <w:i/>
                <w:sz w:val="16"/>
                <w:szCs w:val="16"/>
                <w:lang w:val="es-ES_tradnl"/>
              </w:rPr>
              <w:t>ter</w:t>
            </w:r>
            <w:r w:rsidRPr="00C75C7E">
              <w:rPr>
                <w:bCs/>
                <w:sz w:val="16"/>
                <w:szCs w:val="16"/>
                <w:lang w:val="es-ES_tradnl"/>
              </w:rPr>
              <w:t>.</w:t>
            </w:r>
          </w:p>
        </w:tc>
      </w:tr>
    </w:tbl>
    <w:p w:rsidR="00F8358E" w:rsidRDefault="00F8358E" w:rsidP="00F8358E">
      <w:pPr>
        <w:widowControl w:val="0"/>
        <w:rPr>
          <w:szCs w:val="22"/>
        </w:rPr>
      </w:pPr>
    </w:p>
    <w:p w:rsidR="00F8358E" w:rsidRPr="006B0DE9" w:rsidRDefault="00F8358E" w:rsidP="00F8358E">
      <w:pPr>
        <w:widowControl w:val="0"/>
        <w:rPr>
          <w:szCs w:val="22"/>
        </w:rPr>
      </w:pPr>
    </w:p>
    <w:p w:rsidR="00F8358E" w:rsidRPr="006B0DE9" w:rsidRDefault="00F8358E" w:rsidP="00F8358E">
      <w:pPr>
        <w:widowControl w:val="0"/>
        <w:rPr>
          <w:szCs w:val="22"/>
        </w:rPr>
      </w:pPr>
      <w:r w:rsidRPr="006B0DE9">
        <w:rPr>
          <w:szCs w:val="22"/>
        </w:rPr>
        <w:t>RECURSOS PARA EL PROGRAMA 2</w:t>
      </w:r>
    </w:p>
    <w:p w:rsidR="00F8358E" w:rsidRPr="006B0DE9" w:rsidRDefault="00F8358E" w:rsidP="00F8358E">
      <w:pPr>
        <w:widowControl w:val="0"/>
        <w:autoSpaceDE w:val="0"/>
        <w:autoSpaceDN w:val="0"/>
        <w:adjustRightInd w:val="0"/>
        <w:jc w:val="both"/>
        <w:rPr>
          <w:sz w:val="20"/>
        </w:rPr>
      </w:pPr>
    </w:p>
    <w:p w:rsidR="00F8358E" w:rsidRPr="006B0DE9" w:rsidRDefault="00F8358E" w:rsidP="00BA276E">
      <w:pPr>
        <w:widowControl w:val="0"/>
        <w:numPr>
          <w:ilvl w:val="0"/>
          <w:numId w:val="20"/>
        </w:numPr>
        <w:jc w:val="both"/>
        <w:rPr>
          <w:sz w:val="20"/>
        </w:rPr>
      </w:pPr>
      <w:r w:rsidRPr="006B0DE9">
        <w:rPr>
          <w:sz w:val="20"/>
        </w:rPr>
        <w:t xml:space="preserve">El aumento de los recursos destinados al resultado I.1 (Elaboración de marcos normativos internacionales equilibrados para la P.I.) es el resultado neto de i) una dotación por si se celebrase una conferencia diplomática para adoptar un nuevo tratado </w:t>
      </w:r>
      <w:r w:rsidRPr="006B0DE9">
        <w:rPr>
          <w:bCs/>
          <w:sz w:val="20"/>
        </w:rPr>
        <w:t xml:space="preserve">sobre </w:t>
      </w:r>
      <w:r w:rsidR="003A4B0F">
        <w:rPr>
          <w:bCs/>
          <w:sz w:val="20"/>
        </w:rPr>
        <w:t>el Derecho</w:t>
      </w:r>
      <w:r w:rsidRPr="006B0DE9">
        <w:rPr>
          <w:bCs/>
          <w:sz w:val="20"/>
        </w:rPr>
        <w:t xml:space="preserve"> de los </w:t>
      </w:r>
      <w:r>
        <w:rPr>
          <w:bCs/>
          <w:sz w:val="20"/>
        </w:rPr>
        <w:t>diseños</w:t>
      </w:r>
      <w:r w:rsidRPr="006B0DE9">
        <w:rPr>
          <w:bCs/>
          <w:sz w:val="20"/>
        </w:rPr>
        <w:t xml:space="preserve"> </w:t>
      </w:r>
      <w:r w:rsidR="003A4B0F">
        <w:rPr>
          <w:bCs/>
          <w:sz w:val="20"/>
        </w:rPr>
        <w:t>industriales y ii) </w:t>
      </w:r>
      <w:r w:rsidRPr="006B0DE9">
        <w:rPr>
          <w:bCs/>
          <w:sz w:val="20"/>
        </w:rPr>
        <w:t>reducciones relacionadas con la aplicación de medidas destinadas a fomentar la eficacia en función de los costos en el ámbito de las Misiones del personal y los Viajes de terceros</w:t>
      </w:r>
      <w:r w:rsidRPr="006B0DE9">
        <w:rPr>
          <w:sz w:val="20"/>
        </w:rPr>
        <w:t>.</w:t>
      </w:r>
    </w:p>
    <w:p w:rsidR="00F8358E" w:rsidRPr="006B0DE9" w:rsidRDefault="00F8358E" w:rsidP="00F8358E">
      <w:pPr>
        <w:widowControl w:val="0"/>
        <w:jc w:val="both"/>
        <w:rPr>
          <w:sz w:val="20"/>
        </w:rPr>
      </w:pPr>
    </w:p>
    <w:p w:rsidR="00F8358E" w:rsidRPr="006B0DE9" w:rsidRDefault="00F8358E" w:rsidP="00BA276E">
      <w:pPr>
        <w:widowControl w:val="0"/>
        <w:numPr>
          <w:ilvl w:val="0"/>
          <w:numId w:val="20"/>
        </w:numPr>
        <w:jc w:val="both"/>
        <w:rPr>
          <w:sz w:val="20"/>
        </w:rPr>
      </w:pPr>
      <w:r w:rsidRPr="006B0DE9">
        <w:rPr>
          <w:sz w:val="20"/>
        </w:rPr>
        <w:t>La intensa labor que acarrearía la celebración de una conferencia diplomática ha provocado una disminución de los recursos destinados al resultado I.2 (Asesoramiento legislativo).</w:t>
      </w:r>
    </w:p>
    <w:p w:rsidR="00F8358E" w:rsidRPr="006B0DE9" w:rsidRDefault="00F8358E" w:rsidP="00F8358E">
      <w:pPr>
        <w:widowControl w:val="0"/>
        <w:jc w:val="both"/>
        <w:rPr>
          <w:sz w:val="20"/>
        </w:rPr>
      </w:pPr>
    </w:p>
    <w:p w:rsidR="00F8358E" w:rsidRPr="006B0DE9" w:rsidRDefault="00F8358E" w:rsidP="00BA276E">
      <w:pPr>
        <w:widowControl w:val="0"/>
        <w:numPr>
          <w:ilvl w:val="0"/>
          <w:numId w:val="20"/>
        </w:numPr>
        <w:jc w:val="both"/>
        <w:rPr>
          <w:sz w:val="20"/>
        </w:rPr>
      </w:pPr>
      <w:r w:rsidRPr="006B0DE9">
        <w:rPr>
          <w:sz w:val="20"/>
        </w:rPr>
        <w:t>Los recursos para el resultado III.4 (Fortalecimiento de los mecanismos de cooperación) están relacionados con el proyecto de la A.D. sobre la P.I. y la creación de diseños para fomentar las actividades comerciales en los países en desarrollo y los PMA propuesto, estando sujetos a la aprobación por parte del CDIP, y se refieren principalmente a Misiones del personal; a Conferencias y a Servicios contractuales individuales.</w:t>
      </w:r>
    </w:p>
    <w:p w:rsidR="00F8358E" w:rsidRDefault="00F8358E" w:rsidP="004046B6">
      <w:pPr>
        <w:widowControl w:val="0"/>
        <w:autoSpaceDE w:val="0"/>
        <w:autoSpaceDN w:val="0"/>
        <w:adjustRightInd w:val="0"/>
        <w:jc w:val="center"/>
        <w:rPr>
          <w:b/>
          <w:bCs/>
          <w:iCs/>
          <w:sz w:val="20"/>
        </w:rPr>
      </w:pPr>
    </w:p>
    <w:p w:rsidR="00F8358E" w:rsidRPr="00F8358E" w:rsidRDefault="00F8358E" w:rsidP="004046B6">
      <w:pPr>
        <w:widowControl w:val="0"/>
        <w:autoSpaceDE w:val="0"/>
        <w:autoSpaceDN w:val="0"/>
        <w:adjustRightInd w:val="0"/>
        <w:jc w:val="center"/>
        <w:rPr>
          <w:b/>
          <w:bCs/>
          <w:iCs/>
          <w:sz w:val="20"/>
        </w:rPr>
      </w:pPr>
    </w:p>
    <w:p w:rsidR="004046B6" w:rsidRPr="00C75C7E" w:rsidRDefault="00026F22" w:rsidP="009B58F5">
      <w:pPr>
        <w:keepNext/>
        <w:widowControl w:val="0"/>
        <w:autoSpaceDE w:val="0"/>
        <w:autoSpaceDN w:val="0"/>
        <w:adjustRightInd w:val="0"/>
        <w:jc w:val="center"/>
        <w:rPr>
          <w:b/>
          <w:bCs/>
          <w:iCs/>
          <w:sz w:val="20"/>
          <w:lang w:val="es-ES_tradnl"/>
        </w:rPr>
      </w:pPr>
      <w:r>
        <w:rPr>
          <w:b/>
          <w:bCs/>
          <w:iCs/>
          <w:sz w:val="20"/>
          <w:lang w:val="es-ES_tradnl"/>
        </w:rPr>
        <w:t xml:space="preserve">Programa 2:  </w:t>
      </w:r>
      <w:r w:rsidR="004046B6" w:rsidRPr="00C75C7E">
        <w:rPr>
          <w:b/>
          <w:bCs/>
          <w:iCs/>
          <w:sz w:val="20"/>
          <w:lang w:val="es-ES_tradnl"/>
        </w:rPr>
        <w:t>Recursos por resultado</w:t>
      </w:r>
    </w:p>
    <w:p w:rsidR="004046B6" w:rsidRPr="00C75C7E" w:rsidRDefault="004046B6" w:rsidP="009B58F5">
      <w:pPr>
        <w:keepNext/>
        <w:widowControl w:val="0"/>
        <w:autoSpaceDE w:val="0"/>
        <w:autoSpaceDN w:val="0"/>
        <w:adjustRightInd w:val="0"/>
        <w:jc w:val="center"/>
        <w:rPr>
          <w:bCs/>
          <w:i/>
          <w:sz w:val="20"/>
          <w:lang w:val="es-ES_tradnl"/>
        </w:rPr>
      </w:pPr>
      <w:r w:rsidRPr="00C75C7E">
        <w:rPr>
          <w:bCs/>
          <w:i/>
          <w:sz w:val="20"/>
          <w:lang w:val="es-ES_tradnl"/>
        </w:rPr>
        <w:t>(en miles de francos suizos)</w:t>
      </w:r>
    </w:p>
    <w:p w:rsidR="004046B6" w:rsidRPr="00C75C7E" w:rsidRDefault="004046B6" w:rsidP="009B58F5">
      <w:pPr>
        <w:keepNext/>
        <w:widowControl w:val="0"/>
        <w:autoSpaceDE w:val="0"/>
        <w:autoSpaceDN w:val="0"/>
        <w:adjustRightInd w:val="0"/>
        <w:jc w:val="center"/>
        <w:rPr>
          <w:sz w:val="20"/>
          <w:lang w:val="es-ES_tradnl"/>
        </w:rPr>
      </w:pPr>
    </w:p>
    <w:p w:rsidR="004046B6" w:rsidRPr="00C75C7E" w:rsidRDefault="00214E52" w:rsidP="004046B6">
      <w:pPr>
        <w:widowControl w:val="0"/>
        <w:autoSpaceDE w:val="0"/>
        <w:autoSpaceDN w:val="0"/>
        <w:adjustRightInd w:val="0"/>
        <w:jc w:val="center"/>
        <w:rPr>
          <w:sz w:val="20"/>
          <w:lang w:val="es-ES_tradnl"/>
        </w:rPr>
      </w:pPr>
      <w:r w:rsidRPr="00214E52">
        <w:rPr>
          <w:noProof/>
          <w:lang w:val="en-US" w:eastAsia="en-US"/>
        </w:rPr>
        <w:drawing>
          <wp:inline distT="0" distB="0" distL="0" distR="0" wp14:anchorId="05962AC0" wp14:editId="6CF2C03F">
            <wp:extent cx="5762625" cy="2838450"/>
            <wp:effectExtent l="0" t="0" r="9525"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62625" cy="2838450"/>
                    </a:xfrm>
                    <a:prstGeom prst="rect">
                      <a:avLst/>
                    </a:prstGeom>
                    <a:noFill/>
                    <a:ln>
                      <a:noFill/>
                    </a:ln>
                  </pic:spPr>
                </pic:pic>
              </a:graphicData>
            </a:graphic>
          </wp:inline>
        </w:drawing>
      </w:r>
      <w:r w:rsidR="00026F22" w:rsidRPr="00026F22">
        <w:t xml:space="preserve"> </w:t>
      </w:r>
    </w:p>
    <w:p w:rsidR="004046B6" w:rsidRPr="00C75C7E" w:rsidRDefault="004046B6" w:rsidP="004046B6">
      <w:pPr>
        <w:widowControl w:val="0"/>
        <w:autoSpaceDE w:val="0"/>
        <w:autoSpaceDN w:val="0"/>
        <w:adjustRightInd w:val="0"/>
        <w:rPr>
          <w:sz w:val="20"/>
          <w:lang w:val="es-ES_tradnl"/>
        </w:rPr>
      </w:pPr>
    </w:p>
    <w:p w:rsidR="004046B6" w:rsidRPr="00C75C7E" w:rsidRDefault="004046B6" w:rsidP="004046B6">
      <w:pPr>
        <w:widowControl w:val="0"/>
        <w:autoSpaceDE w:val="0"/>
        <w:autoSpaceDN w:val="0"/>
        <w:adjustRightInd w:val="0"/>
        <w:rPr>
          <w:sz w:val="20"/>
          <w:lang w:val="es-ES_tradnl"/>
        </w:rPr>
      </w:pPr>
      <w:r w:rsidRPr="00C75C7E">
        <w:rPr>
          <w:sz w:val="16"/>
          <w:szCs w:val="16"/>
          <w:lang w:val="es-ES_tradnl"/>
        </w:rPr>
        <w:t>Nota: Se ha reexpresado el presupuesto aprobado de 2012/13 y el presupuesto de dicho bienio después de las transferencias, por resultado previsto, para reflejar el marco de resultados de la Organización propuesto para 2014/15.</w:t>
      </w:r>
    </w:p>
    <w:p w:rsidR="004046B6" w:rsidRPr="00C75C7E" w:rsidRDefault="004046B6" w:rsidP="004046B6">
      <w:pPr>
        <w:widowControl w:val="0"/>
        <w:autoSpaceDE w:val="0"/>
        <w:autoSpaceDN w:val="0"/>
        <w:adjustRightInd w:val="0"/>
        <w:rPr>
          <w:sz w:val="20"/>
          <w:lang w:val="es-ES_tradnl"/>
        </w:rPr>
      </w:pPr>
    </w:p>
    <w:p w:rsidR="004046B6" w:rsidRPr="00C75C7E" w:rsidRDefault="004046B6" w:rsidP="004046B6">
      <w:pPr>
        <w:widowControl w:val="0"/>
        <w:jc w:val="both"/>
        <w:rPr>
          <w:sz w:val="20"/>
          <w:lang w:val="es-ES_tradnl"/>
        </w:rPr>
      </w:pPr>
    </w:p>
    <w:p w:rsidR="004046B6" w:rsidRPr="00C75C7E" w:rsidRDefault="00026F22" w:rsidP="004046B6">
      <w:pPr>
        <w:keepNext/>
        <w:widowControl w:val="0"/>
        <w:autoSpaceDE w:val="0"/>
        <w:autoSpaceDN w:val="0"/>
        <w:adjustRightInd w:val="0"/>
        <w:ind w:firstLine="567"/>
        <w:jc w:val="center"/>
        <w:rPr>
          <w:b/>
          <w:bCs/>
          <w:iCs/>
          <w:sz w:val="20"/>
          <w:lang w:val="es-ES_tradnl"/>
        </w:rPr>
      </w:pPr>
      <w:r>
        <w:rPr>
          <w:b/>
          <w:bCs/>
          <w:iCs/>
          <w:sz w:val="20"/>
          <w:lang w:val="es-ES_tradnl"/>
        </w:rPr>
        <w:lastRenderedPageBreak/>
        <w:t xml:space="preserve">Programa 2:  </w:t>
      </w:r>
      <w:r w:rsidR="004046B6" w:rsidRPr="00C75C7E">
        <w:rPr>
          <w:b/>
          <w:bCs/>
          <w:iCs/>
          <w:sz w:val="20"/>
          <w:lang w:val="es-ES_tradnl"/>
        </w:rPr>
        <w:t>Recursos por objeto de gasto</w:t>
      </w:r>
    </w:p>
    <w:p w:rsidR="004046B6" w:rsidRPr="00C75C7E" w:rsidRDefault="004046B6" w:rsidP="004046B6">
      <w:pPr>
        <w:keepNext/>
        <w:widowControl w:val="0"/>
        <w:jc w:val="center"/>
        <w:rPr>
          <w:i/>
          <w:sz w:val="18"/>
          <w:szCs w:val="18"/>
          <w:lang w:val="es-ES_tradnl"/>
        </w:rPr>
      </w:pPr>
      <w:r w:rsidRPr="00C75C7E">
        <w:rPr>
          <w:bCs/>
          <w:i/>
          <w:sz w:val="20"/>
          <w:lang w:val="es-ES_tradnl"/>
        </w:rPr>
        <w:t>(en miles de francos suizos)</w:t>
      </w:r>
    </w:p>
    <w:p w:rsidR="004046B6" w:rsidRDefault="004046B6" w:rsidP="004046B6">
      <w:pPr>
        <w:keepNext/>
        <w:widowControl w:val="0"/>
        <w:jc w:val="center"/>
        <w:rPr>
          <w:i/>
          <w:sz w:val="18"/>
          <w:szCs w:val="18"/>
          <w:lang w:val="es-ES_tradnl"/>
        </w:rPr>
      </w:pPr>
    </w:p>
    <w:p w:rsidR="00872D10" w:rsidRPr="00C75C7E" w:rsidRDefault="00C40A11" w:rsidP="004046B6">
      <w:pPr>
        <w:keepNext/>
        <w:widowControl w:val="0"/>
        <w:jc w:val="center"/>
        <w:rPr>
          <w:i/>
          <w:sz w:val="18"/>
          <w:szCs w:val="18"/>
          <w:lang w:val="es-ES_tradnl"/>
        </w:rPr>
      </w:pPr>
      <w:r>
        <w:rPr>
          <w:noProof/>
          <w:lang w:val="en-US" w:eastAsia="en-US"/>
        </w:rPr>
        <w:drawing>
          <wp:inline distT="0" distB="0" distL="0" distR="0" wp14:anchorId="37C61494" wp14:editId="45105233">
            <wp:extent cx="5936615" cy="6182360"/>
            <wp:effectExtent l="0" t="0" r="6985" b="889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936615" cy="6182360"/>
                    </a:xfrm>
                    <a:prstGeom prst="rect">
                      <a:avLst/>
                    </a:prstGeom>
                    <a:noFill/>
                    <a:ln>
                      <a:noFill/>
                    </a:ln>
                  </pic:spPr>
                </pic:pic>
              </a:graphicData>
            </a:graphic>
          </wp:inline>
        </w:drawing>
      </w:r>
    </w:p>
    <w:p w:rsidR="00872D10" w:rsidRDefault="00872D10" w:rsidP="004046B6">
      <w:pPr>
        <w:widowControl w:val="0"/>
        <w:rPr>
          <w:sz w:val="16"/>
          <w:szCs w:val="16"/>
          <w:lang w:val="es-ES_tradnl"/>
        </w:rPr>
      </w:pPr>
    </w:p>
    <w:p w:rsidR="004046B6" w:rsidRPr="00C75C7E" w:rsidRDefault="004046B6" w:rsidP="004046B6">
      <w:pPr>
        <w:widowControl w:val="0"/>
        <w:rPr>
          <w:sz w:val="16"/>
          <w:szCs w:val="16"/>
          <w:lang w:val="es-ES_tradnl"/>
        </w:rPr>
      </w:pPr>
      <w:r w:rsidRPr="00C75C7E">
        <w:rPr>
          <w:sz w:val="16"/>
          <w:szCs w:val="16"/>
          <w:lang w:val="es-ES_tradnl"/>
        </w:rPr>
        <w:t>Notas:</w:t>
      </w:r>
    </w:p>
    <w:p w:rsidR="004046B6" w:rsidRPr="00C75C7E" w:rsidRDefault="004046B6" w:rsidP="004046B6">
      <w:pPr>
        <w:widowControl w:val="0"/>
        <w:rPr>
          <w:sz w:val="16"/>
          <w:szCs w:val="16"/>
          <w:u w:val="single"/>
          <w:lang w:val="es-ES_tradnl"/>
        </w:rPr>
      </w:pPr>
    </w:p>
    <w:p w:rsidR="004046B6" w:rsidRDefault="002370D4" w:rsidP="002370D4">
      <w:pPr>
        <w:widowControl w:val="0"/>
        <w:rPr>
          <w:sz w:val="16"/>
          <w:szCs w:val="16"/>
          <w:lang w:val="es-ES_tradnl"/>
        </w:rPr>
      </w:pPr>
      <w:r>
        <w:rPr>
          <w:sz w:val="16"/>
          <w:szCs w:val="16"/>
          <w:lang w:val="es-ES_tradnl"/>
        </w:rPr>
        <w:t xml:space="preserve">1)  </w:t>
      </w:r>
      <w:r w:rsidR="004046B6" w:rsidRPr="00C75C7E">
        <w:rPr>
          <w:sz w:val="16"/>
          <w:szCs w:val="16"/>
          <w:lang w:val="es-ES_tradnl"/>
        </w:rPr>
        <w:t>El presupuesto aprobado de 2012/13 y el presupuesto de dicho bienio después de las transferencias se reexpresan sobre la base de la estructura de categorías de costos propuesta para 2014/15.</w:t>
      </w:r>
    </w:p>
    <w:p w:rsidR="004046B6" w:rsidRPr="00C75C7E" w:rsidRDefault="004046B6" w:rsidP="004046B6">
      <w:pPr>
        <w:widowControl w:val="0"/>
        <w:rPr>
          <w:sz w:val="16"/>
          <w:szCs w:val="16"/>
          <w:lang w:val="es-ES_tradnl"/>
        </w:rPr>
      </w:pPr>
    </w:p>
    <w:p w:rsidR="004046B6" w:rsidRDefault="006D4AE3" w:rsidP="004046B6">
      <w:pPr>
        <w:widowControl w:val="0"/>
        <w:rPr>
          <w:rFonts w:cs="ArialMT"/>
          <w:sz w:val="16"/>
          <w:szCs w:val="16"/>
          <w:lang w:val="es-ES_tradnl"/>
        </w:rPr>
      </w:pPr>
      <w:r>
        <w:rPr>
          <w:sz w:val="16"/>
          <w:szCs w:val="16"/>
          <w:lang w:val="es-ES_tradnl"/>
        </w:rPr>
        <w:t xml:space="preserve">2)  </w:t>
      </w:r>
      <w:r w:rsidR="004046B6" w:rsidRPr="00C75C7E">
        <w:rPr>
          <w:sz w:val="16"/>
          <w:szCs w:val="16"/>
          <w:lang w:val="es-ES_tradnl"/>
        </w:rPr>
        <w:t xml:space="preserve">El presupuesto después de las transferencias refleja el presupuesto de los programas ajustado tras las transferencias efectuadas en 2012/13 en virtud del artículo 5.5 del Reglamento Financiero. Para más información sobre el presupuesto de 2012/13 después de las transferencias, cabe remitirse al cuadro que figura en el Anexo I (Presupuesto después de las transferencias, por programa) del presente documento y al documento WO/PBC/20/2 (Informe sobre el rendimiento de los programas en 2012).  </w:t>
      </w:r>
      <w:r w:rsidR="004046B6" w:rsidRPr="00C75C7E">
        <w:rPr>
          <w:rFonts w:cs="ArialMT"/>
          <w:sz w:val="16"/>
          <w:szCs w:val="16"/>
          <w:lang w:val="es-ES_tradnl"/>
        </w:rPr>
        <w:t>Los costos de personal del presupuesto de 2012/13 después de las transferencias representan los gastos reales efectuados hasta el 31 de marzo de 2013 y los importes presupuestados pa</w:t>
      </w:r>
      <w:r w:rsidR="004046B6">
        <w:rPr>
          <w:rFonts w:cs="ArialMT"/>
          <w:sz w:val="16"/>
          <w:szCs w:val="16"/>
          <w:lang w:val="es-ES_tradnl"/>
        </w:rPr>
        <w:t>ra los nueve meses restantes de </w:t>
      </w:r>
      <w:r w:rsidR="004046B6" w:rsidRPr="00C75C7E">
        <w:rPr>
          <w:rFonts w:cs="ArialMT"/>
          <w:sz w:val="16"/>
          <w:szCs w:val="16"/>
          <w:lang w:val="es-ES_tradnl"/>
        </w:rPr>
        <w:t xml:space="preserve">2013, sobre la base de costos estándar. </w:t>
      </w:r>
    </w:p>
    <w:p w:rsidR="004046B6" w:rsidRPr="00C75C7E" w:rsidRDefault="004046B6" w:rsidP="004046B6">
      <w:pPr>
        <w:widowControl w:val="0"/>
        <w:rPr>
          <w:sz w:val="16"/>
          <w:szCs w:val="16"/>
          <w:lang w:val="es-ES_tradnl"/>
        </w:rPr>
      </w:pPr>
    </w:p>
    <w:p w:rsidR="004046B6" w:rsidRDefault="006D4AE3" w:rsidP="004046B6">
      <w:pPr>
        <w:widowControl w:val="0"/>
        <w:tabs>
          <w:tab w:val="left" w:pos="567"/>
        </w:tabs>
        <w:rPr>
          <w:sz w:val="16"/>
          <w:szCs w:val="16"/>
          <w:lang w:val="es-ES_tradnl"/>
        </w:rPr>
      </w:pPr>
      <w:r>
        <w:rPr>
          <w:sz w:val="16"/>
          <w:szCs w:val="16"/>
          <w:lang w:val="es-ES_tradnl"/>
        </w:rPr>
        <w:t xml:space="preserve">3)  </w:t>
      </w:r>
      <w:r w:rsidR="004046B6" w:rsidRPr="00C75C7E">
        <w:rPr>
          <w:sz w:val="16"/>
          <w:szCs w:val="16"/>
          <w:lang w:val="es-ES_tradnl"/>
        </w:rPr>
        <w:t>Para más información sobre los puestos del programa cabe remitirse al cuadro que figura en el Anexo II.</w:t>
      </w:r>
    </w:p>
    <w:p w:rsidR="004046B6" w:rsidRPr="00C75C7E" w:rsidRDefault="004046B6" w:rsidP="004046B6">
      <w:pPr>
        <w:widowControl w:val="0"/>
        <w:tabs>
          <w:tab w:val="left" w:pos="567"/>
        </w:tabs>
        <w:rPr>
          <w:sz w:val="16"/>
          <w:szCs w:val="16"/>
          <w:lang w:val="es-ES_tradnl"/>
        </w:rPr>
      </w:pPr>
    </w:p>
    <w:p w:rsidR="004046B6" w:rsidRPr="00C75C7E" w:rsidRDefault="006D4AE3" w:rsidP="004046B6">
      <w:pPr>
        <w:widowControl w:val="0"/>
        <w:rPr>
          <w:sz w:val="20"/>
          <w:lang w:val="es-ES_tradnl"/>
        </w:rPr>
      </w:pPr>
      <w:r>
        <w:rPr>
          <w:sz w:val="16"/>
          <w:szCs w:val="16"/>
          <w:lang w:val="es-ES_tradnl"/>
        </w:rPr>
        <w:t xml:space="preserve">4)  </w:t>
      </w:r>
      <w:r w:rsidR="004046B6" w:rsidRPr="00C75C7E">
        <w:rPr>
          <w:sz w:val="16"/>
          <w:szCs w:val="16"/>
          <w:lang w:val="es-ES_tradnl"/>
        </w:rPr>
        <w:t>Incluye el proyecto de la A.D. sobre “La P.I. y la creación de diseños para fomentar las actividades comerciales en los países en desarrollo y los países menos adelantados (PMA)”.</w:t>
      </w:r>
    </w:p>
    <w:p w:rsidR="00F8358E" w:rsidRPr="006D4AE3" w:rsidRDefault="004046B6" w:rsidP="006D4AE3">
      <w:pPr>
        <w:pStyle w:val="Heading3"/>
        <w:tabs>
          <w:tab w:val="left" w:pos="1985"/>
        </w:tabs>
        <w:rPr>
          <w:b/>
          <w:iCs/>
          <w:caps/>
          <w:u w:val="none"/>
        </w:rPr>
      </w:pPr>
      <w:r w:rsidRPr="00C75C7E">
        <w:rPr>
          <w:sz w:val="20"/>
          <w:lang w:val="es-ES_tradnl"/>
        </w:rPr>
        <w:br w:type="page"/>
      </w:r>
      <w:bookmarkStart w:id="22" w:name="_Toc356567749"/>
      <w:bookmarkStart w:id="23" w:name="_Toc358816687"/>
      <w:r w:rsidR="006D4AE3" w:rsidRPr="006D4AE3">
        <w:rPr>
          <w:b/>
          <w:iCs/>
          <w:caps/>
          <w:u w:val="none"/>
        </w:rPr>
        <w:lastRenderedPageBreak/>
        <w:t>PROGRAMA 3</w:t>
      </w:r>
      <w:r w:rsidR="006D4AE3" w:rsidRPr="006D4AE3">
        <w:rPr>
          <w:b/>
          <w:iCs/>
          <w:caps/>
          <w:u w:val="none"/>
        </w:rPr>
        <w:tab/>
      </w:r>
      <w:bookmarkEnd w:id="22"/>
      <w:r w:rsidR="006D4AE3" w:rsidRPr="006D4AE3">
        <w:rPr>
          <w:b/>
          <w:iCs/>
          <w:caps/>
          <w:u w:val="none"/>
        </w:rPr>
        <w:t>DERECHO DE AUTOR Y DERECHOS CONEXOS</w:t>
      </w:r>
      <w:bookmarkEnd w:id="23"/>
    </w:p>
    <w:p w:rsidR="00F8358E" w:rsidRPr="006B0DE9" w:rsidRDefault="00F8358E" w:rsidP="00F8358E">
      <w:pPr>
        <w:widowControl w:val="0"/>
        <w:tabs>
          <w:tab w:val="left" w:pos="2268"/>
        </w:tabs>
        <w:ind w:left="2268" w:hanging="2268"/>
        <w:rPr>
          <w:bCs/>
          <w:sz w:val="20"/>
        </w:rPr>
      </w:pPr>
    </w:p>
    <w:p w:rsidR="00F8358E" w:rsidRPr="006B0DE9" w:rsidRDefault="00F8358E" w:rsidP="00F8358E">
      <w:pPr>
        <w:widowControl w:val="0"/>
        <w:tabs>
          <w:tab w:val="left" w:pos="2268"/>
        </w:tabs>
        <w:ind w:left="2268" w:hanging="2268"/>
        <w:rPr>
          <w:bCs/>
          <w:sz w:val="20"/>
        </w:rPr>
      </w:pPr>
    </w:p>
    <w:p w:rsidR="00F8358E" w:rsidRPr="006B0DE9" w:rsidRDefault="00F8358E" w:rsidP="00F8358E">
      <w:pPr>
        <w:pStyle w:val="BodyTextIndent"/>
        <w:widowControl w:val="0"/>
        <w:ind w:left="1985" w:hanging="1985"/>
        <w:jc w:val="both"/>
        <w:rPr>
          <w:rFonts w:ascii="Arial" w:hAnsi="Arial" w:cs="Arial"/>
          <w:sz w:val="22"/>
          <w:szCs w:val="22"/>
          <w:lang w:val="es-ES"/>
        </w:rPr>
      </w:pPr>
      <w:r w:rsidRPr="006B0DE9">
        <w:rPr>
          <w:rFonts w:ascii="Arial" w:hAnsi="Arial" w:cs="Arial"/>
          <w:sz w:val="22"/>
          <w:szCs w:val="22"/>
          <w:lang w:val="es-ES"/>
        </w:rPr>
        <w:t>CONTEXTO DE PLANIFICACIÓN</w:t>
      </w:r>
    </w:p>
    <w:p w:rsidR="00F8358E" w:rsidRPr="006B0DE9" w:rsidRDefault="00F8358E" w:rsidP="00F8358E">
      <w:pPr>
        <w:widowControl w:val="0"/>
        <w:autoSpaceDE w:val="0"/>
        <w:autoSpaceDN w:val="0"/>
        <w:adjustRightInd w:val="0"/>
        <w:rPr>
          <w:sz w:val="20"/>
        </w:rPr>
      </w:pPr>
    </w:p>
    <w:p w:rsidR="00F8358E" w:rsidRPr="006B0DE9" w:rsidRDefault="00F8358E" w:rsidP="00BA276E">
      <w:pPr>
        <w:widowControl w:val="0"/>
        <w:numPr>
          <w:ilvl w:val="0"/>
          <w:numId w:val="21"/>
        </w:numPr>
        <w:autoSpaceDE w:val="0"/>
        <w:autoSpaceDN w:val="0"/>
        <w:adjustRightInd w:val="0"/>
        <w:jc w:val="both"/>
        <w:rPr>
          <w:sz w:val="20"/>
        </w:rPr>
      </w:pPr>
      <w:r w:rsidRPr="006B0DE9">
        <w:rPr>
          <w:sz w:val="20"/>
        </w:rPr>
        <w:t>En el Plan Estratégico a Mediano Plazo (PEMP) para 2010/15 se destacan varios cambios importantes en el entorno a nivel mundial, con los consiguientes desafíos y oportunidades para la OMPI.  Se considera que esto es aún más evidente en el ámbito del derecho de autor</w:t>
      </w:r>
      <w:r w:rsidR="00026F22">
        <w:rPr>
          <w:sz w:val="20"/>
        </w:rPr>
        <w:t xml:space="preserve"> y los derechos conexos</w:t>
      </w:r>
      <w:r w:rsidRPr="006B0DE9">
        <w:rPr>
          <w:sz w:val="20"/>
        </w:rPr>
        <w:t>, en el que la tecnología digital</w:t>
      </w:r>
      <w:r>
        <w:rPr>
          <w:sz w:val="20"/>
        </w:rPr>
        <w:t>,</w:t>
      </w:r>
      <w:r w:rsidRPr="006B0DE9">
        <w:rPr>
          <w:sz w:val="20"/>
        </w:rPr>
        <w:t xml:space="preserve"> y sobre todo Internet</w:t>
      </w:r>
      <w:r>
        <w:rPr>
          <w:sz w:val="20"/>
        </w:rPr>
        <w:t>,</w:t>
      </w:r>
      <w:r w:rsidRPr="006B0DE9">
        <w:rPr>
          <w:sz w:val="20"/>
        </w:rPr>
        <w:t xml:space="preserve"> han cambiado de forma irreversible la fisonomía de las industrias culturales y creativas.</w:t>
      </w:r>
    </w:p>
    <w:p w:rsidR="00F8358E" w:rsidRPr="006B0DE9" w:rsidRDefault="00F8358E" w:rsidP="00F8358E">
      <w:pPr>
        <w:widowControl w:val="0"/>
        <w:autoSpaceDE w:val="0"/>
        <w:autoSpaceDN w:val="0"/>
        <w:adjustRightInd w:val="0"/>
        <w:jc w:val="both"/>
        <w:rPr>
          <w:sz w:val="20"/>
        </w:rPr>
      </w:pPr>
    </w:p>
    <w:p w:rsidR="00F8358E" w:rsidRPr="006B0DE9" w:rsidRDefault="00F8358E" w:rsidP="00BA276E">
      <w:pPr>
        <w:widowControl w:val="0"/>
        <w:numPr>
          <w:ilvl w:val="0"/>
          <w:numId w:val="21"/>
        </w:numPr>
        <w:autoSpaceDE w:val="0"/>
        <w:autoSpaceDN w:val="0"/>
        <w:adjustRightInd w:val="0"/>
        <w:jc w:val="both"/>
        <w:rPr>
          <w:sz w:val="20"/>
        </w:rPr>
      </w:pPr>
      <w:r w:rsidRPr="006B0DE9">
        <w:rPr>
          <w:sz w:val="20"/>
        </w:rPr>
        <w:t>Estos son los aspectos y desafíos que son pertinentes y que lo seguirán siendo durante el bienio próximo.</w:t>
      </w:r>
    </w:p>
    <w:p w:rsidR="00F8358E" w:rsidRPr="006B0DE9" w:rsidRDefault="00F8358E" w:rsidP="00F8358E">
      <w:pPr>
        <w:widowControl w:val="0"/>
        <w:rPr>
          <w:sz w:val="20"/>
          <w:u w:val="single"/>
        </w:rPr>
      </w:pPr>
    </w:p>
    <w:p w:rsidR="00F8358E" w:rsidRPr="006B0DE9" w:rsidRDefault="00F8358E" w:rsidP="00F8358E">
      <w:pPr>
        <w:widowControl w:val="0"/>
        <w:rPr>
          <w:sz w:val="20"/>
          <w:u w:val="single"/>
        </w:rPr>
      </w:pPr>
      <w:r w:rsidRPr="006B0DE9">
        <w:rPr>
          <w:sz w:val="20"/>
          <w:u w:val="single"/>
        </w:rPr>
        <w:t>Labor normativa y de política</w:t>
      </w:r>
    </w:p>
    <w:p w:rsidR="00F8358E" w:rsidRPr="006B0DE9" w:rsidRDefault="00F8358E" w:rsidP="00F8358E">
      <w:pPr>
        <w:widowControl w:val="0"/>
        <w:rPr>
          <w:sz w:val="20"/>
          <w:u w:val="single"/>
        </w:rPr>
      </w:pPr>
    </w:p>
    <w:p w:rsidR="00F8358E" w:rsidRPr="006B0DE9" w:rsidRDefault="00F8358E" w:rsidP="00BA276E">
      <w:pPr>
        <w:widowControl w:val="0"/>
        <w:numPr>
          <w:ilvl w:val="0"/>
          <w:numId w:val="21"/>
        </w:numPr>
        <w:autoSpaceDE w:val="0"/>
        <w:autoSpaceDN w:val="0"/>
        <w:adjustRightInd w:val="0"/>
        <w:jc w:val="both"/>
        <w:rPr>
          <w:sz w:val="20"/>
        </w:rPr>
      </w:pPr>
      <w:r w:rsidRPr="006B0DE9">
        <w:rPr>
          <w:sz w:val="20"/>
        </w:rPr>
        <w:t>Los Estados miembros han reconocido cuáles son las actividades normativas que se han de llevar a cabo y aún hay algunas cuestiones pendientes de solución.  A medida que van finalizando las negociaciones de los distintos tratados, la Secretaría ha de responder a las solicitudes de asesoramiento legislativo que le formulan los Estados miembros a fin de ajustar sus respectivas legislaciones nacionales a las disposiciones de los tratados de la OMPI.</w:t>
      </w:r>
    </w:p>
    <w:p w:rsidR="00F8358E" w:rsidRPr="006B0DE9" w:rsidRDefault="00F8358E" w:rsidP="00F8358E">
      <w:pPr>
        <w:widowControl w:val="0"/>
        <w:autoSpaceDE w:val="0"/>
        <w:autoSpaceDN w:val="0"/>
        <w:adjustRightInd w:val="0"/>
        <w:jc w:val="both"/>
        <w:rPr>
          <w:sz w:val="20"/>
        </w:rPr>
      </w:pPr>
    </w:p>
    <w:p w:rsidR="00F8358E" w:rsidRPr="006B0DE9" w:rsidRDefault="00F8358E" w:rsidP="00F8358E">
      <w:pPr>
        <w:widowControl w:val="0"/>
        <w:autoSpaceDE w:val="0"/>
        <w:autoSpaceDN w:val="0"/>
        <w:adjustRightInd w:val="0"/>
        <w:jc w:val="both"/>
        <w:rPr>
          <w:sz w:val="20"/>
          <w:u w:val="single"/>
        </w:rPr>
      </w:pPr>
      <w:r w:rsidRPr="006B0DE9">
        <w:rPr>
          <w:sz w:val="20"/>
          <w:u w:val="single"/>
        </w:rPr>
        <w:t>Asistencia técnica a los países en desarrollo y los PMA</w:t>
      </w:r>
    </w:p>
    <w:p w:rsidR="00F8358E" w:rsidRPr="006B0DE9" w:rsidRDefault="00F8358E" w:rsidP="00F8358E">
      <w:pPr>
        <w:widowControl w:val="0"/>
        <w:autoSpaceDE w:val="0"/>
        <w:autoSpaceDN w:val="0"/>
        <w:adjustRightInd w:val="0"/>
        <w:jc w:val="both"/>
        <w:rPr>
          <w:sz w:val="20"/>
        </w:rPr>
      </w:pPr>
    </w:p>
    <w:p w:rsidR="00F8358E" w:rsidRPr="006B0DE9" w:rsidRDefault="00F8358E" w:rsidP="00BA276E">
      <w:pPr>
        <w:widowControl w:val="0"/>
        <w:numPr>
          <w:ilvl w:val="0"/>
          <w:numId w:val="21"/>
        </w:numPr>
        <w:autoSpaceDE w:val="0"/>
        <w:autoSpaceDN w:val="0"/>
        <w:adjustRightInd w:val="0"/>
        <w:jc w:val="both"/>
        <w:rPr>
          <w:sz w:val="20"/>
        </w:rPr>
      </w:pPr>
      <w:r w:rsidRPr="006B0DE9">
        <w:rPr>
          <w:bCs/>
          <w:sz w:val="20"/>
        </w:rPr>
        <w:t xml:space="preserve">Facilitar el uso de la P.I. en aras del desarrollo es una de las metas estratégicas de la OMPI.  Para los países en desarrollo resulta muy atractivo responder al desafío que supone utilizar el sistema de derecho de autor </w:t>
      </w:r>
      <w:r w:rsidR="00026F22">
        <w:rPr>
          <w:bCs/>
          <w:sz w:val="20"/>
        </w:rPr>
        <w:t xml:space="preserve">y de derechos conexos </w:t>
      </w:r>
      <w:r w:rsidRPr="006B0DE9">
        <w:rPr>
          <w:bCs/>
          <w:sz w:val="20"/>
        </w:rPr>
        <w:t>para explotar su cultura.  La OMPI redoblará sus esfuerzos a fin de dar respuesta a esta demanda creciente.</w:t>
      </w:r>
    </w:p>
    <w:p w:rsidR="00F8358E" w:rsidRPr="006B0DE9" w:rsidRDefault="00F8358E" w:rsidP="00F8358E">
      <w:pPr>
        <w:widowControl w:val="0"/>
        <w:autoSpaceDE w:val="0"/>
        <w:autoSpaceDN w:val="0"/>
        <w:adjustRightInd w:val="0"/>
        <w:jc w:val="both"/>
        <w:rPr>
          <w:sz w:val="20"/>
        </w:rPr>
      </w:pPr>
    </w:p>
    <w:p w:rsidR="00F8358E" w:rsidRPr="006B0DE9" w:rsidRDefault="00F8358E" w:rsidP="00F8358E">
      <w:pPr>
        <w:widowControl w:val="0"/>
        <w:autoSpaceDE w:val="0"/>
        <w:autoSpaceDN w:val="0"/>
        <w:adjustRightInd w:val="0"/>
        <w:jc w:val="both"/>
        <w:rPr>
          <w:sz w:val="20"/>
          <w:u w:val="single"/>
        </w:rPr>
      </w:pPr>
      <w:r w:rsidRPr="006B0DE9">
        <w:rPr>
          <w:sz w:val="20"/>
          <w:u w:val="single"/>
        </w:rPr>
        <w:t>Fomentar el desarrollo de infraestructura en el ámbito del derecho de autor</w:t>
      </w:r>
    </w:p>
    <w:p w:rsidR="00F8358E" w:rsidRPr="006B0DE9" w:rsidRDefault="00F8358E" w:rsidP="00F8358E">
      <w:pPr>
        <w:widowControl w:val="0"/>
        <w:autoSpaceDE w:val="0"/>
        <w:autoSpaceDN w:val="0"/>
        <w:adjustRightInd w:val="0"/>
        <w:jc w:val="both"/>
        <w:rPr>
          <w:sz w:val="20"/>
        </w:rPr>
      </w:pPr>
    </w:p>
    <w:p w:rsidR="00F8358E" w:rsidRPr="006B0DE9" w:rsidRDefault="00F8358E" w:rsidP="00BA276E">
      <w:pPr>
        <w:widowControl w:val="0"/>
        <w:numPr>
          <w:ilvl w:val="0"/>
          <w:numId w:val="21"/>
        </w:numPr>
        <w:autoSpaceDE w:val="0"/>
        <w:autoSpaceDN w:val="0"/>
        <w:adjustRightInd w:val="0"/>
        <w:jc w:val="both"/>
        <w:rPr>
          <w:sz w:val="20"/>
        </w:rPr>
      </w:pPr>
      <w:r w:rsidRPr="006B0DE9">
        <w:rPr>
          <w:sz w:val="20"/>
        </w:rPr>
        <w:t xml:space="preserve">Para que los países en desarrollo puedan aprovechar el potencial económico que tiene su cultura es absolutamente necesario que </w:t>
      </w:r>
      <w:r>
        <w:rPr>
          <w:sz w:val="20"/>
        </w:rPr>
        <w:t xml:space="preserve">utilicen de forma eficaz </w:t>
      </w:r>
      <w:r w:rsidRPr="006B0DE9">
        <w:rPr>
          <w:sz w:val="20"/>
        </w:rPr>
        <w:t>el sistema de derecho de autor en el entorno digital.  Esto supone un desafío para la OMPI, que ha de responder a las necesidades que se plantean en materia de formación y facilitar el acceso a los sistemas mundiales de gestión de datos.</w:t>
      </w:r>
    </w:p>
    <w:p w:rsidR="00F8358E" w:rsidRPr="006B0DE9" w:rsidRDefault="00F8358E" w:rsidP="00F8358E">
      <w:pPr>
        <w:widowControl w:val="0"/>
        <w:autoSpaceDE w:val="0"/>
        <w:autoSpaceDN w:val="0"/>
        <w:adjustRightInd w:val="0"/>
        <w:jc w:val="both"/>
        <w:rPr>
          <w:sz w:val="20"/>
        </w:rPr>
      </w:pPr>
    </w:p>
    <w:p w:rsidR="00F8358E" w:rsidRPr="006B0DE9" w:rsidRDefault="00F8358E" w:rsidP="00F8358E">
      <w:pPr>
        <w:widowControl w:val="0"/>
        <w:autoSpaceDE w:val="0"/>
        <w:autoSpaceDN w:val="0"/>
        <w:adjustRightInd w:val="0"/>
        <w:jc w:val="both"/>
        <w:rPr>
          <w:sz w:val="20"/>
        </w:rPr>
      </w:pPr>
    </w:p>
    <w:p w:rsidR="00F8358E" w:rsidRPr="006B0DE9" w:rsidRDefault="00F8358E" w:rsidP="00F8358E">
      <w:pPr>
        <w:widowControl w:val="0"/>
        <w:autoSpaceDE w:val="0"/>
        <w:autoSpaceDN w:val="0"/>
        <w:adjustRightInd w:val="0"/>
        <w:jc w:val="both"/>
        <w:rPr>
          <w:sz w:val="20"/>
        </w:rPr>
      </w:pPr>
      <w:r w:rsidRPr="006B0DE9">
        <w:rPr>
          <w:sz w:val="20"/>
        </w:rPr>
        <w:t>ESTRATEGIAS DE EJECUCIÓN</w:t>
      </w:r>
    </w:p>
    <w:p w:rsidR="00F8358E" w:rsidRPr="006B0DE9" w:rsidRDefault="00F8358E" w:rsidP="00F8358E">
      <w:pPr>
        <w:widowControl w:val="0"/>
        <w:autoSpaceDE w:val="0"/>
        <w:autoSpaceDN w:val="0"/>
        <w:adjustRightInd w:val="0"/>
        <w:jc w:val="both"/>
        <w:rPr>
          <w:sz w:val="20"/>
        </w:rPr>
      </w:pPr>
    </w:p>
    <w:p w:rsidR="00F8358E" w:rsidRPr="006B0DE9" w:rsidRDefault="00F8358E" w:rsidP="00BA276E">
      <w:pPr>
        <w:widowControl w:val="0"/>
        <w:numPr>
          <w:ilvl w:val="0"/>
          <w:numId w:val="21"/>
        </w:numPr>
        <w:autoSpaceDE w:val="0"/>
        <w:autoSpaceDN w:val="0"/>
        <w:adjustRightInd w:val="0"/>
        <w:jc w:val="both"/>
        <w:rPr>
          <w:sz w:val="20"/>
        </w:rPr>
      </w:pPr>
      <w:r w:rsidRPr="006B0DE9">
        <w:rPr>
          <w:bCs/>
          <w:sz w:val="20"/>
        </w:rPr>
        <w:t>Ante esta perspectiva, en el próximo bienio el programa se centrará en las prioridades siguientes:</w:t>
      </w:r>
    </w:p>
    <w:p w:rsidR="00F8358E" w:rsidRPr="006B0DE9" w:rsidRDefault="00F8358E" w:rsidP="00F8358E">
      <w:pPr>
        <w:widowControl w:val="0"/>
        <w:rPr>
          <w:sz w:val="20"/>
        </w:rPr>
      </w:pPr>
    </w:p>
    <w:p w:rsidR="00F8358E" w:rsidRPr="006B0DE9" w:rsidRDefault="00F8358E" w:rsidP="00F8358E">
      <w:pPr>
        <w:widowControl w:val="0"/>
        <w:rPr>
          <w:sz w:val="20"/>
          <w:u w:val="single"/>
        </w:rPr>
      </w:pPr>
      <w:r w:rsidRPr="006B0DE9">
        <w:rPr>
          <w:sz w:val="20"/>
          <w:u w:val="single"/>
        </w:rPr>
        <w:t>Labor normativa y de política</w:t>
      </w:r>
    </w:p>
    <w:p w:rsidR="00F8358E" w:rsidRPr="006B0DE9" w:rsidRDefault="00F8358E" w:rsidP="00F8358E">
      <w:pPr>
        <w:widowControl w:val="0"/>
        <w:rPr>
          <w:sz w:val="20"/>
        </w:rPr>
      </w:pPr>
    </w:p>
    <w:p w:rsidR="00F8358E" w:rsidRPr="006B0DE9" w:rsidRDefault="00F8358E" w:rsidP="00BA276E">
      <w:pPr>
        <w:widowControl w:val="0"/>
        <w:numPr>
          <w:ilvl w:val="0"/>
          <w:numId w:val="21"/>
        </w:numPr>
        <w:autoSpaceDE w:val="0"/>
        <w:autoSpaceDN w:val="0"/>
        <w:adjustRightInd w:val="0"/>
        <w:jc w:val="both"/>
        <w:rPr>
          <w:sz w:val="20"/>
        </w:rPr>
      </w:pPr>
      <w:r w:rsidRPr="006B0DE9">
        <w:rPr>
          <w:sz w:val="20"/>
        </w:rPr>
        <w:t>El desarrollo de las actividades normativas relacionadas con el derecho de autor y los derechos conexos se centrará en facilitar las negociaciones de los tratados, atender las solicitudes que formulen los Estados miembros con respecto a la aplicación de nuevos tratados y prestar asesoramiento legislativo.  Los nuevos tratados que han de aplicarse son el Tratado de Beijing</w:t>
      </w:r>
      <w:r w:rsidR="00990DF3">
        <w:rPr>
          <w:sz w:val="20"/>
        </w:rPr>
        <w:t xml:space="preserve"> sobre Interpretaciones y Ejecuciones Audiovisuales</w:t>
      </w:r>
      <w:r w:rsidRPr="006B0DE9">
        <w:rPr>
          <w:sz w:val="20"/>
        </w:rPr>
        <w:t xml:space="preserve"> y la propuesta de Tratado de Marrakech</w:t>
      </w:r>
      <w:r w:rsidR="00990DF3" w:rsidRPr="00990DF3">
        <w:rPr>
          <w:sz w:val="20"/>
        </w:rPr>
        <w:t xml:space="preserve"> para facilitar el acceso a las obras publicadas a las personas ciegas, con discapacidad visual o con otras dificultades para acceder al texto impreso</w:t>
      </w:r>
      <w:r w:rsidRPr="006B0DE9">
        <w:rPr>
          <w:sz w:val="20"/>
        </w:rPr>
        <w:t>, y se espera que ambos generen una cantidad significativa de solicitudes de asesoramiento legislativo en el marco de las iniciativas de ratificación y de aplicación por parte de los Estados miembros.  La labor de facilitación tendrá que ver con la propuesta de tratado sobre la radiodifusión y con los debates relativos a las normas en materia de derecho de autor relacionadas con otras excepciones y limitaciones que se están manteniendo en la actualidad en el marco del SCCR.  En el ámbito de las políticas, se prestará atención especial a las oportunidades y desafíos que Internet</w:t>
      </w:r>
      <w:r>
        <w:rPr>
          <w:sz w:val="20"/>
        </w:rPr>
        <w:t xml:space="preserve"> y las tecnologías digitales </w:t>
      </w:r>
      <w:r w:rsidRPr="006B0DE9">
        <w:rPr>
          <w:sz w:val="20"/>
        </w:rPr>
        <w:t>plantean de forma permanente al sistema de derecho de autor.</w:t>
      </w:r>
    </w:p>
    <w:p w:rsidR="00F8358E" w:rsidRPr="006B0DE9" w:rsidRDefault="00F8358E" w:rsidP="00F8358E">
      <w:pPr>
        <w:widowControl w:val="0"/>
        <w:autoSpaceDE w:val="0"/>
        <w:autoSpaceDN w:val="0"/>
        <w:adjustRightInd w:val="0"/>
        <w:jc w:val="both"/>
        <w:rPr>
          <w:sz w:val="20"/>
        </w:rPr>
      </w:pPr>
    </w:p>
    <w:p w:rsidR="00F8358E" w:rsidRPr="006B0DE9" w:rsidRDefault="00F8358E" w:rsidP="00990DF3">
      <w:pPr>
        <w:keepNext/>
        <w:keepLines/>
        <w:widowControl w:val="0"/>
        <w:autoSpaceDE w:val="0"/>
        <w:autoSpaceDN w:val="0"/>
        <w:adjustRightInd w:val="0"/>
        <w:jc w:val="both"/>
        <w:rPr>
          <w:sz w:val="20"/>
          <w:u w:val="single"/>
        </w:rPr>
      </w:pPr>
      <w:r w:rsidRPr="006B0DE9">
        <w:rPr>
          <w:sz w:val="20"/>
          <w:u w:val="single"/>
        </w:rPr>
        <w:lastRenderedPageBreak/>
        <w:t>Asistencia técnica a los países en desarrollo y los PMA</w:t>
      </w:r>
    </w:p>
    <w:p w:rsidR="00F8358E" w:rsidRPr="006B0DE9" w:rsidRDefault="00F8358E" w:rsidP="00990DF3">
      <w:pPr>
        <w:keepNext/>
        <w:keepLines/>
        <w:widowControl w:val="0"/>
        <w:autoSpaceDE w:val="0"/>
        <w:autoSpaceDN w:val="0"/>
        <w:adjustRightInd w:val="0"/>
        <w:jc w:val="both"/>
        <w:rPr>
          <w:sz w:val="20"/>
        </w:rPr>
      </w:pPr>
    </w:p>
    <w:p w:rsidR="00F8358E" w:rsidRPr="006B0DE9" w:rsidRDefault="00F8358E" w:rsidP="00990DF3">
      <w:pPr>
        <w:keepNext/>
        <w:keepLines/>
        <w:widowControl w:val="0"/>
        <w:numPr>
          <w:ilvl w:val="0"/>
          <w:numId w:val="21"/>
        </w:numPr>
        <w:autoSpaceDE w:val="0"/>
        <w:autoSpaceDN w:val="0"/>
        <w:adjustRightInd w:val="0"/>
        <w:jc w:val="both"/>
        <w:rPr>
          <w:sz w:val="20"/>
        </w:rPr>
      </w:pPr>
      <w:r w:rsidRPr="006B0DE9">
        <w:rPr>
          <w:sz w:val="20"/>
        </w:rPr>
        <w:t>La asistencia técnica que se presta a los países en desarrollo y los PMA seguirá centrándose en an</w:t>
      </w:r>
      <w:r>
        <w:rPr>
          <w:sz w:val="20"/>
        </w:rPr>
        <w:t>imar a los países en desarrollo</w:t>
      </w:r>
      <w:r w:rsidRPr="006B0DE9">
        <w:rPr>
          <w:sz w:val="20"/>
        </w:rPr>
        <w:t xml:space="preserve"> a utilizar el sistema de derecho de autor </w:t>
      </w:r>
      <w:r w:rsidR="00990DF3">
        <w:rPr>
          <w:sz w:val="20"/>
        </w:rPr>
        <w:t xml:space="preserve">y de derechos conexos </w:t>
      </w:r>
      <w:r w:rsidRPr="006B0DE9">
        <w:rPr>
          <w:sz w:val="20"/>
        </w:rPr>
        <w:t>para explotar el potencial económico que tiene su cultura.  Tanto en el PEMP como en las metas estratégicas, en la A.D. y en los resultados previstos se reconoce la importancia que tiene la asistencia técnica para los países en desarrollo.  Se van a redoblar los esfuerzos a fin de garantizar la sostenibilidad de los resultados prácticos y cuantificables que se obtengan en los países en desarrollo y los PMA.</w:t>
      </w:r>
    </w:p>
    <w:p w:rsidR="00F8358E" w:rsidRPr="006B0DE9" w:rsidRDefault="00F8358E" w:rsidP="006A15F5"/>
    <w:p w:rsidR="00F8358E" w:rsidRPr="006B0DE9" w:rsidRDefault="00F8358E" w:rsidP="00BA276E">
      <w:pPr>
        <w:widowControl w:val="0"/>
        <w:numPr>
          <w:ilvl w:val="0"/>
          <w:numId w:val="21"/>
        </w:numPr>
        <w:autoSpaceDE w:val="0"/>
        <w:autoSpaceDN w:val="0"/>
        <w:adjustRightInd w:val="0"/>
        <w:jc w:val="both"/>
        <w:rPr>
          <w:sz w:val="20"/>
        </w:rPr>
      </w:pPr>
      <w:r w:rsidRPr="006B0DE9">
        <w:rPr>
          <w:sz w:val="20"/>
        </w:rPr>
        <w:t>La asistencia técnica se basará en las necesidades de los países, que están siendo identificadas en colaboración con las Oficinas Regionales.  Durante este bienio se recurrirá más a consultores regionales a la hora de ejecutar las actividades nacionales y regionales</w:t>
      </w:r>
      <w:r>
        <w:rPr>
          <w:sz w:val="20"/>
        </w:rPr>
        <w:t>,</w:t>
      </w:r>
      <w:r w:rsidRPr="006B0DE9">
        <w:rPr>
          <w:sz w:val="20"/>
        </w:rPr>
        <w:t xml:space="preserve"> y el personal de la OMPI dedicará más tiempo a desarrollar enfoques estratégicos que se ajusten a las necesidades individuales de cada país.</w:t>
      </w:r>
    </w:p>
    <w:p w:rsidR="00F8358E" w:rsidRPr="006B0DE9" w:rsidRDefault="00F8358E" w:rsidP="00F8358E">
      <w:pPr>
        <w:widowControl w:val="0"/>
        <w:autoSpaceDE w:val="0"/>
        <w:autoSpaceDN w:val="0"/>
        <w:adjustRightInd w:val="0"/>
        <w:jc w:val="both"/>
        <w:rPr>
          <w:sz w:val="20"/>
        </w:rPr>
      </w:pPr>
    </w:p>
    <w:p w:rsidR="00F8358E" w:rsidRPr="006B0DE9" w:rsidRDefault="00F8358E" w:rsidP="00F8358E">
      <w:pPr>
        <w:widowControl w:val="0"/>
        <w:autoSpaceDE w:val="0"/>
        <w:autoSpaceDN w:val="0"/>
        <w:adjustRightInd w:val="0"/>
        <w:jc w:val="both"/>
        <w:rPr>
          <w:sz w:val="20"/>
          <w:u w:val="single"/>
        </w:rPr>
      </w:pPr>
      <w:r w:rsidRPr="006B0DE9">
        <w:rPr>
          <w:sz w:val="20"/>
          <w:u w:val="single"/>
        </w:rPr>
        <w:t>Fomentar el desarrollo de infraestructura en el ámbito del derecho de autor</w:t>
      </w:r>
    </w:p>
    <w:p w:rsidR="00F8358E" w:rsidRPr="006B0DE9" w:rsidRDefault="00F8358E" w:rsidP="00F8358E">
      <w:pPr>
        <w:widowControl w:val="0"/>
        <w:autoSpaceDE w:val="0"/>
        <w:autoSpaceDN w:val="0"/>
        <w:adjustRightInd w:val="0"/>
        <w:jc w:val="both"/>
        <w:rPr>
          <w:sz w:val="20"/>
        </w:rPr>
      </w:pPr>
    </w:p>
    <w:p w:rsidR="00F8358E" w:rsidRPr="006B0DE9" w:rsidRDefault="00F8358E" w:rsidP="00BA276E">
      <w:pPr>
        <w:widowControl w:val="0"/>
        <w:numPr>
          <w:ilvl w:val="0"/>
          <w:numId w:val="21"/>
        </w:numPr>
        <w:autoSpaceDE w:val="0"/>
        <w:autoSpaceDN w:val="0"/>
        <w:adjustRightInd w:val="0"/>
        <w:jc w:val="both"/>
        <w:rPr>
          <w:sz w:val="20"/>
        </w:rPr>
      </w:pPr>
      <w:r w:rsidRPr="006B0DE9">
        <w:rPr>
          <w:sz w:val="20"/>
        </w:rPr>
        <w:t>La labor en este ámbito se centrará en fortalecer la gestión colectiva y la función que desempeña en el mercado digital.  Los países en desarrollo tendrán que fortalecer su</w:t>
      </w:r>
      <w:r>
        <w:rPr>
          <w:sz w:val="20"/>
        </w:rPr>
        <w:t>s</w:t>
      </w:r>
      <w:r w:rsidRPr="006B0DE9">
        <w:rPr>
          <w:sz w:val="20"/>
        </w:rPr>
        <w:t xml:space="preserve"> marcos jurídicos, sus oficinas de derecho de autor y en especial sus sociedades de gestión colectiva para poder llevar a cabo las actividades encaminadas a animarles a utilizar el sistema de derecho de</w:t>
      </w:r>
      <w:r>
        <w:rPr>
          <w:sz w:val="20"/>
        </w:rPr>
        <w:t xml:space="preserve"> autor</w:t>
      </w:r>
      <w:r w:rsidR="00D06458">
        <w:rPr>
          <w:sz w:val="20"/>
        </w:rPr>
        <w:t xml:space="preserve"> y de derechos conexos</w:t>
      </w:r>
      <w:r>
        <w:rPr>
          <w:sz w:val="20"/>
        </w:rPr>
        <w:t xml:space="preserve"> para explotar su cultura.</w:t>
      </w:r>
    </w:p>
    <w:p w:rsidR="00F8358E" w:rsidRPr="006B0DE9" w:rsidRDefault="00F8358E" w:rsidP="00F8358E">
      <w:pPr>
        <w:widowControl w:val="0"/>
        <w:autoSpaceDE w:val="0"/>
        <w:autoSpaceDN w:val="0"/>
        <w:adjustRightInd w:val="0"/>
        <w:jc w:val="both"/>
        <w:rPr>
          <w:sz w:val="20"/>
        </w:rPr>
      </w:pPr>
    </w:p>
    <w:p w:rsidR="00F8358E" w:rsidRPr="006B0DE9" w:rsidRDefault="00F8358E" w:rsidP="00BA276E">
      <w:pPr>
        <w:widowControl w:val="0"/>
        <w:numPr>
          <w:ilvl w:val="0"/>
          <w:numId w:val="21"/>
        </w:numPr>
        <w:autoSpaceDE w:val="0"/>
        <w:autoSpaceDN w:val="0"/>
        <w:adjustRightInd w:val="0"/>
        <w:jc w:val="both"/>
        <w:rPr>
          <w:sz w:val="20"/>
        </w:rPr>
      </w:pPr>
      <w:r w:rsidRPr="006B0DE9">
        <w:rPr>
          <w:sz w:val="20"/>
        </w:rPr>
        <w:t xml:space="preserve">Se continuará evaluando la contribución económica que realizan </w:t>
      </w:r>
      <w:r w:rsidR="003A4B0F" w:rsidRPr="006B0DE9">
        <w:rPr>
          <w:sz w:val="20"/>
        </w:rPr>
        <w:t xml:space="preserve">al </w:t>
      </w:r>
      <w:r w:rsidR="003A4B0F">
        <w:rPr>
          <w:sz w:val="20"/>
        </w:rPr>
        <w:t>PIB</w:t>
      </w:r>
      <w:r w:rsidR="003A4B0F" w:rsidRPr="006B0DE9">
        <w:rPr>
          <w:sz w:val="20"/>
        </w:rPr>
        <w:t xml:space="preserve"> </w:t>
      </w:r>
      <w:r w:rsidRPr="006B0DE9">
        <w:rPr>
          <w:sz w:val="20"/>
        </w:rPr>
        <w:t>las industrias que dependen del derecho de autor, recurriendo para ello en mayor medida a la subcontratación.  Se están desarrollando módulos de formación por Internet, se cuenta con un ambicioso programa encaminado a mejorar la transparencia, la rendición de cuentas y la gobernanza de los organismos de gestión colectiva (OGC), que se encuentra aún en fase de planificación y, por otra parte, ya se ha comenzado a perfeccionar el programa informático WIPOCOS a fin de mejorar las funciones auxiliares de gestión de los OGC.</w:t>
      </w:r>
    </w:p>
    <w:p w:rsidR="00F8358E" w:rsidRPr="006B0DE9" w:rsidRDefault="00F8358E" w:rsidP="00F8358E">
      <w:pPr>
        <w:widowControl w:val="0"/>
        <w:autoSpaceDE w:val="0"/>
        <w:autoSpaceDN w:val="0"/>
        <w:adjustRightInd w:val="0"/>
        <w:jc w:val="both"/>
        <w:rPr>
          <w:sz w:val="20"/>
        </w:rPr>
      </w:pPr>
      <w:r w:rsidRPr="006B0DE9">
        <w:rPr>
          <w:sz w:val="20"/>
        </w:rPr>
        <w:t xml:space="preserve"> </w:t>
      </w:r>
    </w:p>
    <w:p w:rsidR="00F8358E" w:rsidRPr="006B0DE9" w:rsidRDefault="00F8358E" w:rsidP="00BA276E">
      <w:pPr>
        <w:widowControl w:val="0"/>
        <w:numPr>
          <w:ilvl w:val="0"/>
          <w:numId w:val="21"/>
        </w:numPr>
        <w:autoSpaceDE w:val="0"/>
        <w:autoSpaceDN w:val="0"/>
        <w:adjustRightInd w:val="0"/>
        <w:jc w:val="both"/>
        <w:rPr>
          <w:sz w:val="20"/>
        </w:rPr>
      </w:pPr>
      <w:r w:rsidRPr="006B0DE9">
        <w:rPr>
          <w:sz w:val="20"/>
        </w:rPr>
        <w:t>Además, es necesario ampliar la labor inicial que se viene desarrollando hacia una gestión mundial de los datos musicales, de manera que se incluyan todos los contenidos que se encuentran en Internet, es decir, música, películas, fotos, libros, etcétera.</w:t>
      </w:r>
    </w:p>
    <w:p w:rsidR="00F8358E" w:rsidRPr="006B0DE9" w:rsidRDefault="00F8358E" w:rsidP="00F8358E">
      <w:pPr>
        <w:widowControl w:val="0"/>
        <w:autoSpaceDE w:val="0"/>
        <w:autoSpaceDN w:val="0"/>
        <w:adjustRightInd w:val="0"/>
        <w:jc w:val="both"/>
        <w:rPr>
          <w:sz w:val="20"/>
        </w:rPr>
      </w:pPr>
    </w:p>
    <w:p w:rsidR="00F8358E" w:rsidRDefault="00F8358E" w:rsidP="00BA276E">
      <w:pPr>
        <w:widowControl w:val="0"/>
        <w:numPr>
          <w:ilvl w:val="0"/>
          <w:numId w:val="21"/>
        </w:numPr>
        <w:autoSpaceDE w:val="0"/>
        <w:autoSpaceDN w:val="0"/>
        <w:adjustRightInd w:val="0"/>
        <w:jc w:val="both"/>
        <w:rPr>
          <w:sz w:val="20"/>
        </w:rPr>
      </w:pPr>
      <w:r w:rsidRPr="006B0DE9">
        <w:rPr>
          <w:sz w:val="20"/>
        </w:rPr>
        <w:t>Se va a desarrollar una estructura permanente para suministrar a nivel internacional materiales protegidos por derecho de autor en formatos accesibles</w:t>
      </w:r>
      <w:r w:rsidR="00D06458">
        <w:rPr>
          <w:sz w:val="20"/>
        </w:rPr>
        <w:t xml:space="preserve"> paralelamente a la aplicación del Tratado de Marrakech</w:t>
      </w:r>
      <w:r w:rsidRPr="006B0DE9">
        <w:rPr>
          <w:sz w:val="20"/>
        </w:rPr>
        <w:t xml:space="preserve">. </w:t>
      </w:r>
      <w:r w:rsidR="00D06458">
        <w:rPr>
          <w:sz w:val="20"/>
        </w:rPr>
        <w:t xml:space="preserve"> Continuará avanzando la labor </w:t>
      </w:r>
      <w:r w:rsidRPr="006B0DE9">
        <w:rPr>
          <w:sz w:val="20"/>
        </w:rPr>
        <w:t>encaminad</w:t>
      </w:r>
      <w:r w:rsidR="00D06458">
        <w:rPr>
          <w:sz w:val="20"/>
        </w:rPr>
        <w:t>a</w:t>
      </w:r>
      <w:r w:rsidRPr="006B0DE9">
        <w:rPr>
          <w:sz w:val="20"/>
        </w:rPr>
        <w:t xml:space="preserve"> a poner en funcionamiento la infraestructura de tecnologías de la información (T.I.) y el marco </w:t>
      </w:r>
      <w:r w:rsidR="00D06458">
        <w:rPr>
          <w:sz w:val="20"/>
        </w:rPr>
        <w:t>organizativo del proyecto TIGAR</w:t>
      </w:r>
      <w:r w:rsidRPr="006B0DE9">
        <w:rPr>
          <w:sz w:val="20"/>
        </w:rPr>
        <w:t>.  Estos trabajos serán objeto de ampliación y reestructuración en el marco de una fundación que integrará a las distintas partes interesadas, con sujeción a la aprobación de los Estados miembros.</w:t>
      </w:r>
    </w:p>
    <w:p w:rsidR="00D06458" w:rsidRDefault="00D06458" w:rsidP="00D06458">
      <w:pPr>
        <w:widowControl w:val="0"/>
        <w:autoSpaceDE w:val="0"/>
        <w:autoSpaceDN w:val="0"/>
        <w:adjustRightInd w:val="0"/>
        <w:jc w:val="both"/>
        <w:rPr>
          <w:sz w:val="20"/>
        </w:rPr>
      </w:pPr>
    </w:p>
    <w:p w:rsidR="00D06458" w:rsidRPr="006B0DE9" w:rsidRDefault="00D06458" w:rsidP="00BA276E">
      <w:pPr>
        <w:widowControl w:val="0"/>
        <w:numPr>
          <w:ilvl w:val="0"/>
          <w:numId w:val="21"/>
        </w:numPr>
        <w:autoSpaceDE w:val="0"/>
        <w:autoSpaceDN w:val="0"/>
        <w:adjustRightInd w:val="0"/>
        <w:jc w:val="both"/>
        <w:rPr>
          <w:sz w:val="20"/>
        </w:rPr>
      </w:pPr>
      <w:r>
        <w:rPr>
          <w:sz w:val="20"/>
        </w:rPr>
        <w:t>La Secretaría continuará empeñada en que la ejecución de esas actividades tenga debidamente en cuenta las recomendaciones 1, 6, 12 a 17, 19 y 20 de la Agenda para el Desarrollo.</w:t>
      </w:r>
    </w:p>
    <w:p w:rsidR="00F8358E" w:rsidRPr="006B0DE9" w:rsidRDefault="00F8358E" w:rsidP="00F8358E">
      <w:pPr>
        <w:widowControl w:val="0"/>
        <w:autoSpaceDE w:val="0"/>
        <w:autoSpaceDN w:val="0"/>
        <w:adjustRightInd w:val="0"/>
        <w:rPr>
          <w:sz w:val="20"/>
        </w:rPr>
      </w:pPr>
    </w:p>
    <w:p w:rsidR="00BF3618" w:rsidRDefault="00BF3618" w:rsidP="004046B6">
      <w:pPr>
        <w:widowControl w:val="0"/>
        <w:autoSpaceDE w:val="0"/>
        <w:autoSpaceDN w:val="0"/>
        <w:adjustRightInd w:val="0"/>
        <w:rPr>
          <w:szCs w:val="22"/>
        </w:rPr>
      </w:pPr>
    </w:p>
    <w:p w:rsidR="004046B6" w:rsidRPr="00C75C7E" w:rsidRDefault="004046B6" w:rsidP="004046B6">
      <w:pPr>
        <w:widowControl w:val="0"/>
        <w:autoSpaceDE w:val="0"/>
        <w:autoSpaceDN w:val="0"/>
        <w:adjustRightInd w:val="0"/>
        <w:rPr>
          <w:sz w:val="20"/>
        </w:rPr>
      </w:pPr>
      <w:r w:rsidRPr="00C75C7E">
        <w:rPr>
          <w:szCs w:val="22"/>
        </w:rPr>
        <w:t>PRINCIPALES RIESGOS Y ESTRATEGIAS DE MITIGACIÓN</w:t>
      </w:r>
    </w:p>
    <w:p w:rsidR="004046B6" w:rsidRPr="00C75C7E" w:rsidRDefault="004046B6" w:rsidP="004046B6">
      <w:pPr>
        <w:widowControl w:val="0"/>
        <w:autoSpaceDE w:val="0"/>
        <w:autoSpaceDN w:val="0"/>
        <w:adjustRightInd w:val="0"/>
        <w:rPr>
          <w:sz w:val="20"/>
        </w:rPr>
      </w:pPr>
    </w:p>
    <w:tbl>
      <w:tblPr>
        <w:tblW w:w="0" w:type="auto"/>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678"/>
        <w:gridCol w:w="4678"/>
      </w:tblGrid>
      <w:tr w:rsidR="004046B6" w:rsidRPr="00C75C7E" w:rsidTr="00900936">
        <w:trPr>
          <w:trHeight w:val="417"/>
        </w:trPr>
        <w:tc>
          <w:tcPr>
            <w:tcW w:w="4678" w:type="dxa"/>
            <w:tcBorders>
              <w:top w:val="single" w:sz="4" w:space="0" w:color="auto"/>
              <w:bottom w:val="single" w:sz="4" w:space="0" w:color="auto"/>
            </w:tcBorders>
            <w:shd w:val="clear" w:color="auto" w:fill="CCFFFF"/>
            <w:tcMar>
              <w:top w:w="113" w:type="dxa"/>
              <w:bottom w:w="113" w:type="dxa"/>
            </w:tcMar>
            <w:vAlign w:val="center"/>
          </w:tcPr>
          <w:p w:rsidR="004046B6" w:rsidRPr="00C75C7E" w:rsidRDefault="004046B6" w:rsidP="00900936">
            <w:pPr>
              <w:widowControl w:val="0"/>
              <w:autoSpaceDE w:val="0"/>
              <w:autoSpaceDN w:val="0"/>
              <w:adjustRightInd w:val="0"/>
              <w:ind w:right="-59"/>
              <w:jc w:val="center"/>
              <w:rPr>
                <w:b/>
                <w:sz w:val="18"/>
                <w:szCs w:val="18"/>
              </w:rPr>
            </w:pPr>
            <w:r w:rsidRPr="00C75C7E">
              <w:rPr>
                <w:b/>
                <w:sz w:val="18"/>
                <w:szCs w:val="18"/>
              </w:rPr>
              <w:t>Riesgos en el logro de los resultados del programa</w:t>
            </w:r>
          </w:p>
        </w:tc>
        <w:tc>
          <w:tcPr>
            <w:tcW w:w="4678" w:type="dxa"/>
            <w:tcBorders>
              <w:top w:val="single" w:sz="4" w:space="0" w:color="auto"/>
              <w:bottom w:val="single" w:sz="4" w:space="0" w:color="auto"/>
            </w:tcBorders>
            <w:shd w:val="clear" w:color="auto" w:fill="CCFFFF"/>
            <w:tcMar>
              <w:top w:w="113" w:type="dxa"/>
              <w:bottom w:w="113" w:type="dxa"/>
            </w:tcMar>
            <w:vAlign w:val="center"/>
          </w:tcPr>
          <w:p w:rsidR="004046B6" w:rsidRPr="00C75C7E" w:rsidRDefault="004046B6" w:rsidP="00900936">
            <w:pPr>
              <w:widowControl w:val="0"/>
              <w:autoSpaceDE w:val="0"/>
              <w:autoSpaceDN w:val="0"/>
              <w:adjustRightInd w:val="0"/>
              <w:ind w:right="-59"/>
              <w:jc w:val="center"/>
              <w:rPr>
                <w:b/>
                <w:sz w:val="18"/>
                <w:szCs w:val="18"/>
              </w:rPr>
            </w:pPr>
            <w:r w:rsidRPr="00C75C7E">
              <w:rPr>
                <w:b/>
                <w:sz w:val="18"/>
                <w:szCs w:val="18"/>
              </w:rPr>
              <w:t xml:space="preserve">Planes de mitigación ejecutados o en ejecución </w:t>
            </w:r>
          </w:p>
        </w:tc>
      </w:tr>
      <w:tr w:rsidR="004046B6" w:rsidRPr="00C75C7E" w:rsidTr="00900936">
        <w:trPr>
          <w:trHeight w:val="894"/>
        </w:trPr>
        <w:tc>
          <w:tcPr>
            <w:tcW w:w="4678" w:type="dxa"/>
            <w:tcBorders>
              <w:top w:val="single" w:sz="4" w:space="0" w:color="auto"/>
            </w:tcBorders>
            <w:shd w:val="clear" w:color="auto" w:fill="auto"/>
            <w:tcMar>
              <w:top w:w="113" w:type="dxa"/>
              <w:bottom w:w="113" w:type="dxa"/>
            </w:tcMar>
          </w:tcPr>
          <w:p w:rsidR="004046B6" w:rsidRPr="00C75C7E" w:rsidRDefault="004046B6" w:rsidP="00900936">
            <w:pPr>
              <w:widowControl w:val="0"/>
              <w:tabs>
                <w:tab w:val="left" w:pos="1170"/>
              </w:tabs>
              <w:rPr>
                <w:sz w:val="16"/>
                <w:szCs w:val="16"/>
              </w:rPr>
            </w:pPr>
            <w:r w:rsidRPr="00C75C7E">
              <w:rPr>
                <w:sz w:val="16"/>
                <w:szCs w:val="16"/>
              </w:rPr>
              <w:t>Tecnología e innovación:  la incapacidad del sistema de derecho de autor para adaptarse a los rápidos cambios tecnológicos y de los medios de comunicación puede menoscabar la pertinencia del sistema de derecho de autor.</w:t>
            </w:r>
          </w:p>
        </w:tc>
        <w:tc>
          <w:tcPr>
            <w:tcW w:w="4678" w:type="dxa"/>
            <w:tcBorders>
              <w:top w:val="single" w:sz="4" w:space="0" w:color="auto"/>
            </w:tcBorders>
            <w:shd w:val="clear" w:color="auto" w:fill="auto"/>
            <w:tcMar>
              <w:top w:w="113" w:type="dxa"/>
              <w:bottom w:w="113" w:type="dxa"/>
            </w:tcMar>
          </w:tcPr>
          <w:p w:rsidR="004046B6" w:rsidRPr="00C75C7E" w:rsidRDefault="004046B6" w:rsidP="00900936">
            <w:pPr>
              <w:widowControl w:val="0"/>
              <w:autoSpaceDE w:val="0"/>
              <w:autoSpaceDN w:val="0"/>
              <w:adjustRightInd w:val="0"/>
              <w:ind w:right="-59"/>
              <w:rPr>
                <w:sz w:val="16"/>
                <w:szCs w:val="16"/>
              </w:rPr>
            </w:pPr>
            <w:r w:rsidRPr="00C75C7E">
              <w:rPr>
                <w:sz w:val="16"/>
                <w:szCs w:val="16"/>
              </w:rPr>
              <w:t>Mantenimiento de las actividades e iniciativas de sensibilización para demostrar la importancia del derecho de autor y confirmar su utilidad y adecuación en el cambiante panorama tecnológico.</w:t>
            </w:r>
          </w:p>
        </w:tc>
      </w:tr>
    </w:tbl>
    <w:p w:rsidR="004046B6" w:rsidRPr="00C75C7E" w:rsidRDefault="004046B6" w:rsidP="004046B6">
      <w:pPr>
        <w:widowControl w:val="0"/>
        <w:autoSpaceDE w:val="0"/>
        <w:autoSpaceDN w:val="0"/>
        <w:adjustRightInd w:val="0"/>
        <w:rPr>
          <w:sz w:val="20"/>
        </w:rPr>
      </w:pPr>
    </w:p>
    <w:p w:rsidR="004046B6" w:rsidRPr="00C75C7E" w:rsidRDefault="004046B6" w:rsidP="004046B6">
      <w:pPr>
        <w:widowControl w:val="0"/>
        <w:tabs>
          <w:tab w:val="left" w:pos="567"/>
          <w:tab w:val="left" w:pos="1985"/>
        </w:tabs>
        <w:jc w:val="both"/>
        <w:rPr>
          <w:bCs/>
          <w:sz w:val="20"/>
        </w:rPr>
      </w:pPr>
    </w:p>
    <w:p w:rsidR="004046B6" w:rsidRPr="00C75C7E" w:rsidRDefault="004046B6" w:rsidP="009B58F5">
      <w:pPr>
        <w:keepNext/>
        <w:widowControl w:val="0"/>
        <w:tabs>
          <w:tab w:val="left" w:pos="567"/>
          <w:tab w:val="left" w:pos="1985"/>
        </w:tabs>
        <w:jc w:val="both"/>
        <w:rPr>
          <w:bCs/>
          <w:szCs w:val="22"/>
          <w:lang w:val="es-ES_tradnl"/>
        </w:rPr>
      </w:pPr>
      <w:r w:rsidRPr="00C75C7E">
        <w:rPr>
          <w:bCs/>
          <w:szCs w:val="22"/>
          <w:lang w:val="es-ES_tradnl"/>
        </w:rPr>
        <w:lastRenderedPageBreak/>
        <w:t>MARCO DE RESULTADOS</w:t>
      </w:r>
    </w:p>
    <w:p w:rsidR="004046B6" w:rsidRPr="00C75C7E" w:rsidRDefault="004046B6" w:rsidP="009B58F5">
      <w:pPr>
        <w:keepNext/>
        <w:widowControl w:val="0"/>
        <w:autoSpaceDE w:val="0"/>
        <w:autoSpaceDN w:val="0"/>
        <w:adjustRightInd w:val="0"/>
        <w:jc w:val="both"/>
        <w:rPr>
          <w:szCs w:val="22"/>
          <w:lang w:val="es-ES_tradnl"/>
        </w:rPr>
      </w:pPr>
    </w:p>
    <w:tbl>
      <w:tblPr>
        <w:tblW w:w="4914"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348"/>
        <w:gridCol w:w="2848"/>
        <w:gridCol w:w="2171"/>
        <w:gridCol w:w="2039"/>
      </w:tblGrid>
      <w:tr w:rsidR="004046B6" w:rsidRPr="00C75C7E" w:rsidTr="00900936">
        <w:trPr>
          <w:cantSplit/>
          <w:trHeight w:val="615"/>
          <w:tblHeader/>
        </w:trPr>
        <w:tc>
          <w:tcPr>
            <w:tcW w:w="1248" w:type="pct"/>
            <w:tcBorders>
              <w:top w:val="single" w:sz="4" w:space="0" w:color="auto"/>
              <w:bottom w:val="single" w:sz="4" w:space="0" w:color="auto"/>
            </w:tcBorders>
            <w:shd w:val="clear" w:color="auto" w:fill="CCFFFF"/>
            <w:tcMar>
              <w:top w:w="113" w:type="dxa"/>
            </w:tcMar>
            <w:vAlign w:val="center"/>
          </w:tcPr>
          <w:p w:rsidR="004046B6" w:rsidRPr="00C75C7E" w:rsidRDefault="004046B6" w:rsidP="009B58F5">
            <w:pPr>
              <w:keepNext/>
              <w:widowControl w:val="0"/>
              <w:spacing w:after="120"/>
              <w:jc w:val="center"/>
              <w:rPr>
                <w:b/>
                <w:bCs/>
                <w:sz w:val="18"/>
                <w:szCs w:val="18"/>
                <w:lang w:val="es-ES_tradnl"/>
              </w:rPr>
            </w:pPr>
            <w:r w:rsidRPr="00C75C7E">
              <w:rPr>
                <w:b/>
                <w:bCs/>
                <w:sz w:val="18"/>
                <w:szCs w:val="18"/>
                <w:lang w:val="es-ES_tradnl"/>
              </w:rPr>
              <w:t>Resultados previstos</w:t>
            </w:r>
          </w:p>
        </w:tc>
        <w:tc>
          <w:tcPr>
            <w:tcW w:w="1514" w:type="pct"/>
            <w:tcBorders>
              <w:top w:val="single" w:sz="4" w:space="0" w:color="auto"/>
              <w:bottom w:val="single" w:sz="4" w:space="0" w:color="auto"/>
            </w:tcBorders>
            <w:shd w:val="clear" w:color="auto" w:fill="CCFFFF"/>
            <w:tcMar>
              <w:top w:w="113" w:type="dxa"/>
            </w:tcMar>
            <w:vAlign w:val="center"/>
          </w:tcPr>
          <w:p w:rsidR="004046B6" w:rsidRPr="00C75C7E" w:rsidRDefault="004046B6" w:rsidP="009B58F5">
            <w:pPr>
              <w:keepNext/>
              <w:widowControl w:val="0"/>
              <w:spacing w:after="120"/>
              <w:jc w:val="center"/>
              <w:rPr>
                <w:b/>
                <w:bCs/>
                <w:sz w:val="18"/>
                <w:szCs w:val="18"/>
                <w:lang w:val="es-ES_tradnl"/>
              </w:rPr>
            </w:pPr>
            <w:r w:rsidRPr="00C75C7E">
              <w:rPr>
                <w:b/>
                <w:bCs/>
                <w:sz w:val="18"/>
                <w:szCs w:val="18"/>
                <w:lang w:val="es-ES_tradnl"/>
              </w:rPr>
              <w:t>Indicadores de rendimiento</w:t>
            </w:r>
          </w:p>
        </w:tc>
        <w:tc>
          <w:tcPr>
            <w:tcW w:w="1154" w:type="pct"/>
            <w:tcBorders>
              <w:top w:val="single" w:sz="4" w:space="0" w:color="auto"/>
              <w:bottom w:val="single" w:sz="4" w:space="0" w:color="auto"/>
            </w:tcBorders>
            <w:shd w:val="clear" w:color="auto" w:fill="CCFFFF"/>
            <w:tcMar>
              <w:top w:w="113" w:type="dxa"/>
            </w:tcMar>
            <w:vAlign w:val="center"/>
          </w:tcPr>
          <w:p w:rsidR="004046B6" w:rsidRPr="00C75C7E" w:rsidRDefault="004046B6" w:rsidP="009B58F5">
            <w:pPr>
              <w:keepNext/>
              <w:widowControl w:val="0"/>
              <w:spacing w:after="120"/>
              <w:ind w:left="85"/>
              <w:jc w:val="center"/>
              <w:rPr>
                <w:b/>
                <w:bCs/>
                <w:sz w:val="18"/>
                <w:szCs w:val="18"/>
                <w:lang w:val="es-ES_tradnl"/>
              </w:rPr>
            </w:pPr>
            <w:r w:rsidRPr="00C75C7E">
              <w:rPr>
                <w:b/>
                <w:bCs/>
                <w:sz w:val="18"/>
                <w:szCs w:val="18"/>
                <w:lang w:val="es-ES_tradnl"/>
              </w:rPr>
              <w:t>Referencia</w:t>
            </w:r>
          </w:p>
        </w:tc>
        <w:tc>
          <w:tcPr>
            <w:tcW w:w="1084" w:type="pct"/>
            <w:tcBorders>
              <w:top w:val="single" w:sz="4" w:space="0" w:color="auto"/>
              <w:bottom w:val="single" w:sz="4" w:space="0" w:color="auto"/>
            </w:tcBorders>
            <w:shd w:val="clear" w:color="auto" w:fill="CCFFFF"/>
            <w:tcMar>
              <w:top w:w="113" w:type="dxa"/>
            </w:tcMar>
            <w:vAlign w:val="center"/>
          </w:tcPr>
          <w:p w:rsidR="004046B6" w:rsidRPr="00C75C7E" w:rsidRDefault="004046B6" w:rsidP="009B58F5">
            <w:pPr>
              <w:keepNext/>
              <w:widowControl w:val="0"/>
              <w:tabs>
                <w:tab w:val="left" w:pos="1871"/>
              </w:tabs>
              <w:spacing w:after="120"/>
              <w:ind w:right="49"/>
              <w:jc w:val="center"/>
              <w:rPr>
                <w:b/>
                <w:bCs/>
                <w:sz w:val="18"/>
                <w:szCs w:val="18"/>
                <w:lang w:val="es-ES_tradnl"/>
              </w:rPr>
            </w:pPr>
            <w:r w:rsidRPr="00C75C7E">
              <w:rPr>
                <w:b/>
                <w:bCs/>
                <w:sz w:val="18"/>
                <w:szCs w:val="18"/>
                <w:lang w:val="es-ES_tradnl"/>
              </w:rPr>
              <w:t>Objetivos</w:t>
            </w:r>
          </w:p>
        </w:tc>
      </w:tr>
      <w:tr w:rsidR="004046B6" w:rsidRPr="00C75C7E" w:rsidTr="00900936">
        <w:trPr>
          <w:cantSplit/>
          <w:trHeight w:val="1495"/>
        </w:trPr>
        <w:tc>
          <w:tcPr>
            <w:tcW w:w="1248" w:type="pct"/>
            <w:tcBorders>
              <w:top w:val="single" w:sz="4" w:space="0" w:color="auto"/>
            </w:tcBorders>
            <w:shd w:val="clear" w:color="auto" w:fill="auto"/>
            <w:tcMar>
              <w:top w:w="113" w:type="dxa"/>
            </w:tcMar>
          </w:tcPr>
          <w:p w:rsidR="004046B6" w:rsidRPr="00C75C7E" w:rsidRDefault="004046B6" w:rsidP="00900936">
            <w:pPr>
              <w:widowControl w:val="0"/>
              <w:rPr>
                <w:sz w:val="16"/>
                <w:szCs w:val="16"/>
                <w:lang w:val="es-ES_tradnl"/>
              </w:rPr>
            </w:pPr>
            <w:r w:rsidRPr="00C75C7E">
              <w:rPr>
                <w:sz w:val="16"/>
                <w:szCs w:val="16"/>
                <w:lang w:val="es-ES_tradnl"/>
              </w:rPr>
              <w:t xml:space="preserve">I.1. Mejor cooperación entre los Estados miembros en lo que atañe a la elaboración de marcos normativos internacionales equilibrados para la P.I. y </w:t>
            </w:r>
            <w:r w:rsidR="00956F2F">
              <w:rPr>
                <w:sz w:val="16"/>
                <w:szCs w:val="16"/>
                <w:lang w:val="es-ES_tradnl"/>
              </w:rPr>
              <w:t>fomento de acuerdos sobre</w:t>
            </w:r>
            <w:r w:rsidR="00491731">
              <w:rPr>
                <w:sz w:val="16"/>
                <w:szCs w:val="16"/>
                <w:lang w:val="es-ES_tradnl"/>
              </w:rPr>
              <w:t xml:space="preserve"> las cuestiones específicas</w:t>
            </w:r>
            <w:r w:rsidRPr="00C75C7E">
              <w:rPr>
                <w:sz w:val="16"/>
                <w:szCs w:val="16"/>
                <w:lang w:val="es-ES_tradnl"/>
              </w:rPr>
              <w:t xml:space="preserve"> respecto de las que se acuerdan instrumentos internacionales.</w:t>
            </w:r>
          </w:p>
        </w:tc>
        <w:tc>
          <w:tcPr>
            <w:tcW w:w="1514" w:type="pct"/>
            <w:tcBorders>
              <w:top w:val="single" w:sz="4" w:space="0" w:color="auto"/>
            </w:tcBorders>
            <w:shd w:val="clear" w:color="auto" w:fill="auto"/>
            <w:tcMar>
              <w:top w:w="113" w:type="dxa"/>
            </w:tcMar>
          </w:tcPr>
          <w:p w:rsidR="004046B6" w:rsidRPr="00C75C7E" w:rsidRDefault="004046B6" w:rsidP="00900936">
            <w:pPr>
              <w:widowControl w:val="0"/>
              <w:rPr>
                <w:sz w:val="16"/>
                <w:szCs w:val="16"/>
                <w:lang w:val="es-ES_tradnl"/>
              </w:rPr>
            </w:pPr>
            <w:r w:rsidRPr="00C75C7E">
              <w:rPr>
                <w:sz w:val="16"/>
                <w:szCs w:val="16"/>
                <w:lang w:val="es-ES_tradnl"/>
              </w:rPr>
              <w:t>Avances para llegar a un acuerdo sobre las cuestiones que figuran en el orden del día del SCCR.</w:t>
            </w:r>
          </w:p>
        </w:tc>
        <w:tc>
          <w:tcPr>
            <w:tcW w:w="1154" w:type="pct"/>
            <w:tcBorders>
              <w:top w:val="single" w:sz="4" w:space="0" w:color="auto"/>
            </w:tcBorders>
            <w:shd w:val="clear" w:color="auto" w:fill="FFFFFF"/>
            <w:tcMar>
              <w:top w:w="113" w:type="dxa"/>
            </w:tcMar>
          </w:tcPr>
          <w:p w:rsidR="004046B6" w:rsidRPr="00C75C7E" w:rsidRDefault="004046B6" w:rsidP="00900936">
            <w:pPr>
              <w:widowControl w:val="0"/>
              <w:rPr>
                <w:sz w:val="16"/>
                <w:szCs w:val="16"/>
                <w:lang w:val="es-ES_tradnl"/>
              </w:rPr>
            </w:pPr>
            <w:r w:rsidRPr="00C75C7E">
              <w:rPr>
                <w:sz w:val="16"/>
                <w:szCs w:val="16"/>
                <w:lang w:val="es-ES_tradnl" w:bidi="th-TH"/>
              </w:rPr>
              <w:t>Un tratado adoptado en el bienio 2012/13 (hasta la fecha).  Dos conferencias diplomáticas convocadas en el bienio 2012/13.</w:t>
            </w:r>
          </w:p>
        </w:tc>
        <w:tc>
          <w:tcPr>
            <w:tcW w:w="1084" w:type="pct"/>
            <w:tcBorders>
              <w:top w:val="single" w:sz="4" w:space="0" w:color="auto"/>
            </w:tcBorders>
            <w:shd w:val="clear" w:color="auto" w:fill="auto"/>
            <w:tcMar>
              <w:top w:w="113" w:type="dxa"/>
            </w:tcMar>
          </w:tcPr>
          <w:p w:rsidR="004046B6" w:rsidRPr="00C75C7E" w:rsidRDefault="004046B6" w:rsidP="00900936">
            <w:pPr>
              <w:widowControl w:val="0"/>
              <w:ind w:right="381"/>
              <w:rPr>
                <w:bCs/>
                <w:sz w:val="16"/>
                <w:szCs w:val="16"/>
                <w:lang w:val="es-ES_tradnl"/>
              </w:rPr>
            </w:pPr>
            <w:r w:rsidRPr="00C75C7E">
              <w:rPr>
                <w:bCs/>
                <w:sz w:val="16"/>
                <w:szCs w:val="16"/>
                <w:lang w:val="es-ES_tradnl"/>
              </w:rPr>
              <w:t>Una conferencia diplomática convocada y un tratado adoptado en el bienio 2014/15.</w:t>
            </w:r>
          </w:p>
        </w:tc>
      </w:tr>
      <w:tr w:rsidR="004046B6" w:rsidRPr="00C75C7E" w:rsidTr="00900936">
        <w:trPr>
          <w:cantSplit/>
        </w:trPr>
        <w:tc>
          <w:tcPr>
            <w:tcW w:w="1248" w:type="pct"/>
            <w:vMerge w:val="restart"/>
            <w:shd w:val="clear" w:color="auto" w:fill="auto"/>
            <w:tcMar>
              <w:top w:w="113" w:type="dxa"/>
            </w:tcMar>
          </w:tcPr>
          <w:p w:rsidR="004046B6" w:rsidRPr="00C75C7E" w:rsidRDefault="004046B6" w:rsidP="00900936">
            <w:pPr>
              <w:widowControl w:val="0"/>
              <w:rPr>
                <w:sz w:val="16"/>
                <w:szCs w:val="16"/>
                <w:lang w:val="es-ES_tradnl"/>
              </w:rPr>
            </w:pPr>
            <w:r w:rsidRPr="00C75C7E">
              <w:rPr>
                <w:sz w:val="16"/>
                <w:szCs w:val="16"/>
                <w:lang w:val="es-ES_tradnl"/>
              </w:rPr>
              <w:t>I.2. Marcos de P.I. adaptados y equilibrados en el ámbito legislativo, reglamentario y de política.</w:t>
            </w:r>
          </w:p>
        </w:tc>
        <w:tc>
          <w:tcPr>
            <w:tcW w:w="1514" w:type="pct"/>
            <w:shd w:val="clear" w:color="auto" w:fill="auto"/>
            <w:tcMar>
              <w:top w:w="113" w:type="dxa"/>
            </w:tcMar>
          </w:tcPr>
          <w:p w:rsidR="004046B6" w:rsidRPr="00C75C7E" w:rsidRDefault="004046B6" w:rsidP="00900936">
            <w:pPr>
              <w:widowControl w:val="0"/>
              <w:rPr>
                <w:sz w:val="16"/>
                <w:szCs w:val="16"/>
                <w:lang w:val="es-ES_tradnl"/>
              </w:rPr>
            </w:pPr>
            <w:r w:rsidRPr="00C75C7E">
              <w:rPr>
                <w:sz w:val="16"/>
                <w:szCs w:val="16"/>
                <w:lang w:val="es-ES_tradnl"/>
              </w:rPr>
              <w:t>Número de países que han ratificado el Tratado de Beijing.</w:t>
            </w:r>
          </w:p>
        </w:tc>
        <w:tc>
          <w:tcPr>
            <w:tcW w:w="1154" w:type="pct"/>
            <w:shd w:val="clear" w:color="auto" w:fill="FFFFFF"/>
            <w:tcMar>
              <w:top w:w="113" w:type="dxa"/>
            </w:tcMar>
          </w:tcPr>
          <w:p w:rsidR="004046B6" w:rsidRPr="00C75C7E" w:rsidRDefault="004046B6" w:rsidP="00900936">
            <w:pPr>
              <w:widowControl w:val="0"/>
              <w:rPr>
                <w:sz w:val="16"/>
                <w:szCs w:val="16"/>
                <w:lang w:val="es-ES_tradnl"/>
              </w:rPr>
            </w:pPr>
            <w:r w:rsidRPr="00C75C7E">
              <w:rPr>
                <w:sz w:val="16"/>
                <w:szCs w:val="16"/>
                <w:lang w:val="es-ES_tradnl" w:bidi="th-TH"/>
              </w:rPr>
              <w:t>Ninguna.</w:t>
            </w:r>
          </w:p>
        </w:tc>
        <w:tc>
          <w:tcPr>
            <w:tcW w:w="1084" w:type="pct"/>
            <w:shd w:val="clear" w:color="auto" w:fill="auto"/>
            <w:tcMar>
              <w:top w:w="113" w:type="dxa"/>
            </w:tcMar>
          </w:tcPr>
          <w:p w:rsidR="004046B6" w:rsidRPr="00C75C7E" w:rsidRDefault="004046B6" w:rsidP="00900936">
            <w:pPr>
              <w:widowControl w:val="0"/>
              <w:ind w:right="51"/>
              <w:rPr>
                <w:bCs/>
                <w:sz w:val="16"/>
                <w:szCs w:val="16"/>
                <w:lang w:val="es-ES_tradnl"/>
              </w:rPr>
            </w:pPr>
            <w:r w:rsidRPr="00C75C7E">
              <w:rPr>
                <w:bCs/>
                <w:sz w:val="16"/>
                <w:szCs w:val="16"/>
                <w:lang w:val="es-ES_tradnl"/>
              </w:rPr>
              <w:t>30 países.</w:t>
            </w:r>
          </w:p>
        </w:tc>
      </w:tr>
      <w:tr w:rsidR="004046B6" w:rsidRPr="00C75C7E" w:rsidTr="00900936">
        <w:trPr>
          <w:cantSplit/>
          <w:trHeight w:val="724"/>
        </w:trPr>
        <w:tc>
          <w:tcPr>
            <w:tcW w:w="1248" w:type="pct"/>
            <w:vMerge/>
            <w:shd w:val="clear" w:color="auto" w:fill="auto"/>
            <w:tcMar>
              <w:top w:w="113" w:type="dxa"/>
            </w:tcMar>
          </w:tcPr>
          <w:p w:rsidR="004046B6" w:rsidRPr="00C75C7E" w:rsidRDefault="004046B6" w:rsidP="00900936">
            <w:pPr>
              <w:widowControl w:val="0"/>
              <w:rPr>
                <w:sz w:val="16"/>
                <w:szCs w:val="16"/>
                <w:lang w:val="es-ES_tradnl"/>
              </w:rPr>
            </w:pPr>
          </w:p>
        </w:tc>
        <w:tc>
          <w:tcPr>
            <w:tcW w:w="1514" w:type="pct"/>
            <w:shd w:val="clear" w:color="auto" w:fill="auto"/>
            <w:tcMar>
              <w:top w:w="113" w:type="dxa"/>
            </w:tcMar>
          </w:tcPr>
          <w:p w:rsidR="004046B6" w:rsidRPr="00C75C7E" w:rsidRDefault="004046B6" w:rsidP="00900936">
            <w:pPr>
              <w:widowControl w:val="0"/>
              <w:rPr>
                <w:sz w:val="16"/>
                <w:szCs w:val="16"/>
                <w:lang w:val="es-ES_tradnl"/>
              </w:rPr>
            </w:pPr>
            <w:r w:rsidRPr="00C75C7E">
              <w:rPr>
                <w:sz w:val="16"/>
                <w:szCs w:val="16"/>
                <w:lang w:val="es-ES_tradnl"/>
              </w:rPr>
              <w:t>Número y porcentaje de países que han presentado comentarios positivos sobre el asesoramiento legislativo de la OMPI.</w:t>
            </w:r>
          </w:p>
        </w:tc>
        <w:tc>
          <w:tcPr>
            <w:tcW w:w="1154" w:type="pct"/>
            <w:shd w:val="clear" w:color="auto" w:fill="FFFFFF"/>
            <w:tcMar>
              <w:top w:w="113" w:type="dxa"/>
            </w:tcMar>
          </w:tcPr>
          <w:p w:rsidR="004046B6" w:rsidRPr="00C75C7E" w:rsidRDefault="004046B6" w:rsidP="00900936">
            <w:pPr>
              <w:widowControl w:val="0"/>
              <w:rPr>
                <w:sz w:val="16"/>
                <w:szCs w:val="16"/>
                <w:lang w:val="es-ES_tradnl"/>
              </w:rPr>
            </w:pPr>
            <w:r w:rsidRPr="00C75C7E">
              <w:rPr>
                <w:sz w:val="16"/>
                <w:szCs w:val="16"/>
                <w:lang w:val="es-ES_tradnl"/>
              </w:rPr>
              <w:t>No se dispone de datos.</w:t>
            </w:r>
          </w:p>
        </w:tc>
        <w:tc>
          <w:tcPr>
            <w:tcW w:w="1084" w:type="pct"/>
            <w:shd w:val="clear" w:color="auto" w:fill="auto"/>
            <w:tcMar>
              <w:top w:w="113" w:type="dxa"/>
            </w:tcMar>
          </w:tcPr>
          <w:p w:rsidR="004046B6" w:rsidRPr="00C75C7E" w:rsidRDefault="004046B6" w:rsidP="00900936">
            <w:pPr>
              <w:widowControl w:val="0"/>
              <w:ind w:right="381"/>
              <w:rPr>
                <w:bCs/>
                <w:sz w:val="16"/>
                <w:szCs w:val="16"/>
                <w:lang w:val="es-ES_tradnl"/>
              </w:rPr>
            </w:pPr>
            <w:r w:rsidRPr="00C75C7E">
              <w:rPr>
                <w:bCs/>
                <w:sz w:val="16"/>
                <w:szCs w:val="16"/>
                <w:lang w:val="es-ES_tradnl"/>
              </w:rPr>
              <w:t xml:space="preserve">15 países. </w:t>
            </w:r>
          </w:p>
        </w:tc>
      </w:tr>
      <w:tr w:rsidR="004046B6" w:rsidRPr="00C75C7E" w:rsidTr="00900936">
        <w:trPr>
          <w:cantSplit/>
        </w:trPr>
        <w:tc>
          <w:tcPr>
            <w:tcW w:w="1248" w:type="pct"/>
            <w:vMerge/>
            <w:shd w:val="clear" w:color="auto" w:fill="auto"/>
            <w:tcMar>
              <w:top w:w="113" w:type="dxa"/>
            </w:tcMar>
          </w:tcPr>
          <w:p w:rsidR="004046B6" w:rsidRPr="00C75C7E" w:rsidRDefault="004046B6" w:rsidP="00900936">
            <w:pPr>
              <w:widowControl w:val="0"/>
              <w:rPr>
                <w:sz w:val="16"/>
                <w:szCs w:val="16"/>
                <w:lang w:val="es-ES_tradnl"/>
              </w:rPr>
            </w:pPr>
          </w:p>
        </w:tc>
        <w:tc>
          <w:tcPr>
            <w:tcW w:w="1514" w:type="pct"/>
            <w:shd w:val="clear" w:color="auto" w:fill="auto"/>
            <w:tcMar>
              <w:top w:w="113" w:type="dxa"/>
            </w:tcMar>
          </w:tcPr>
          <w:p w:rsidR="004046B6" w:rsidRPr="00C75C7E" w:rsidRDefault="004046B6" w:rsidP="00900936">
            <w:pPr>
              <w:widowControl w:val="0"/>
              <w:rPr>
                <w:sz w:val="16"/>
                <w:szCs w:val="16"/>
                <w:lang w:val="es-ES_tradnl"/>
              </w:rPr>
            </w:pPr>
            <w:r w:rsidRPr="00C75C7E">
              <w:rPr>
                <w:sz w:val="16"/>
                <w:szCs w:val="16"/>
                <w:lang w:val="es-ES_tradnl"/>
              </w:rPr>
              <w:t>Número de ratificaciones de los Tratados Internet de la OMPI.</w:t>
            </w:r>
          </w:p>
        </w:tc>
        <w:tc>
          <w:tcPr>
            <w:tcW w:w="1154" w:type="pct"/>
            <w:shd w:val="clear" w:color="auto" w:fill="FFFFFF"/>
            <w:tcMar>
              <w:top w:w="113" w:type="dxa"/>
            </w:tcMar>
          </w:tcPr>
          <w:p w:rsidR="004046B6" w:rsidRPr="00C75C7E" w:rsidRDefault="004046B6" w:rsidP="00900936">
            <w:pPr>
              <w:widowControl w:val="0"/>
              <w:rPr>
                <w:sz w:val="16"/>
                <w:szCs w:val="16"/>
                <w:lang w:val="es-ES_tradnl"/>
              </w:rPr>
            </w:pPr>
            <w:r w:rsidRPr="00C75C7E">
              <w:rPr>
                <w:sz w:val="16"/>
                <w:szCs w:val="16"/>
                <w:lang w:val="es-ES_tradnl" w:bidi="th-TH"/>
              </w:rPr>
              <w:t>181 (al final de 2012).</w:t>
            </w:r>
          </w:p>
        </w:tc>
        <w:tc>
          <w:tcPr>
            <w:tcW w:w="1084" w:type="pct"/>
            <w:shd w:val="clear" w:color="auto" w:fill="auto"/>
            <w:tcMar>
              <w:top w:w="113" w:type="dxa"/>
            </w:tcMar>
          </w:tcPr>
          <w:p w:rsidR="004046B6" w:rsidRPr="00C75C7E" w:rsidRDefault="004046B6" w:rsidP="00900936">
            <w:pPr>
              <w:widowControl w:val="0"/>
              <w:tabs>
                <w:tab w:val="left" w:pos="2051"/>
              </w:tabs>
              <w:ind w:right="381"/>
              <w:rPr>
                <w:bCs/>
                <w:sz w:val="16"/>
                <w:szCs w:val="16"/>
                <w:lang w:val="es-ES_tradnl"/>
              </w:rPr>
            </w:pPr>
            <w:r w:rsidRPr="00C75C7E">
              <w:rPr>
                <w:bCs/>
                <w:sz w:val="16"/>
                <w:szCs w:val="16"/>
                <w:lang w:val="es-ES_tradnl"/>
              </w:rPr>
              <w:t>190</w:t>
            </w:r>
          </w:p>
        </w:tc>
      </w:tr>
      <w:tr w:rsidR="004046B6" w:rsidRPr="00C75C7E" w:rsidTr="00900936">
        <w:trPr>
          <w:cantSplit/>
        </w:trPr>
        <w:tc>
          <w:tcPr>
            <w:tcW w:w="1248" w:type="pct"/>
            <w:vMerge/>
            <w:shd w:val="clear" w:color="auto" w:fill="auto"/>
            <w:tcMar>
              <w:top w:w="113" w:type="dxa"/>
            </w:tcMar>
          </w:tcPr>
          <w:p w:rsidR="004046B6" w:rsidRPr="00C75C7E" w:rsidRDefault="004046B6" w:rsidP="00900936">
            <w:pPr>
              <w:widowControl w:val="0"/>
              <w:rPr>
                <w:sz w:val="16"/>
                <w:szCs w:val="16"/>
                <w:lang w:val="es-ES_tradnl"/>
              </w:rPr>
            </w:pPr>
          </w:p>
        </w:tc>
        <w:tc>
          <w:tcPr>
            <w:tcW w:w="1514" w:type="pct"/>
            <w:shd w:val="clear" w:color="auto" w:fill="auto"/>
            <w:tcMar>
              <w:top w:w="113" w:type="dxa"/>
            </w:tcMar>
          </w:tcPr>
          <w:p w:rsidR="004046B6" w:rsidRPr="00C75C7E" w:rsidRDefault="004046B6" w:rsidP="00900936">
            <w:pPr>
              <w:widowControl w:val="0"/>
              <w:rPr>
                <w:sz w:val="16"/>
                <w:szCs w:val="16"/>
                <w:lang w:val="es-ES_tradnl"/>
              </w:rPr>
            </w:pPr>
            <w:r w:rsidRPr="00C75C7E">
              <w:rPr>
                <w:sz w:val="16"/>
                <w:szCs w:val="16"/>
                <w:lang w:val="es-ES_tradnl"/>
              </w:rPr>
              <w:t>Número de países que han ratificado el Tratado de Marrakech sobre las personas con discapacidad visual.</w:t>
            </w:r>
          </w:p>
        </w:tc>
        <w:tc>
          <w:tcPr>
            <w:tcW w:w="1154" w:type="pct"/>
            <w:shd w:val="clear" w:color="auto" w:fill="FFFFFF"/>
            <w:tcMar>
              <w:top w:w="113" w:type="dxa"/>
            </w:tcMar>
          </w:tcPr>
          <w:p w:rsidR="004046B6" w:rsidRPr="00C75C7E" w:rsidRDefault="004046B6" w:rsidP="00900936">
            <w:pPr>
              <w:widowControl w:val="0"/>
              <w:rPr>
                <w:sz w:val="16"/>
                <w:szCs w:val="16"/>
                <w:lang w:val="es-ES_tradnl"/>
              </w:rPr>
            </w:pPr>
            <w:r w:rsidRPr="00C75C7E">
              <w:rPr>
                <w:sz w:val="16"/>
                <w:szCs w:val="16"/>
                <w:lang w:val="es-ES_tradnl" w:bidi="th-TH"/>
              </w:rPr>
              <w:t>Ninguna.</w:t>
            </w:r>
          </w:p>
        </w:tc>
        <w:tc>
          <w:tcPr>
            <w:tcW w:w="1084" w:type="pct"/>
            <w:shd w:val="clear" w:color="auto" w:fill="auto"/>
            <w:tcMar>
              <w:top w:w="113" w:type="dxa"/>
            </w:tcMar>
          </w:tcPr>
          <w:p w:rsidR="004046B6" w:rsidRPr="00C75C7E" w:rsidRDefault="00D06458" w:rsidP="00900936">
            <w:pPr>
              <w:widowControl w:val="0"/>
              <w:rPr>
                <w:sz w:val="16"/>
                <w:szCs w:val="16"/>
                <w:lang w:val="es-ES_tradnl"/>
              </w:rPr>
            </w:pPr>
            <w:r>
              <w:rPr>
                <w:sz w:val="16"/>
                <w:szCs w:val="16"/>
                <w:lang w:val="es-ES_tradnl" w:bidi="th-TH"/>
              </w:rPr>
              <w:t>2</w:t>
            </w:r>
            <w:r w:rsidR="004046B6" w:rsidRPr="00C75C7E">
              <w:rPr>
                <w:sz w:val="16"/>
                <w:szCs w:val="16"/>
                <w:lang w:val="es-ES_tradnl" w:bidi="th-TH"/>
              </w:rPr>
              <w:t>0 países.</w:t>
            </w:r>
          </w:p>
        </w:tc>
      </w:tr>
      <w:tr w:rsidR="004046B6" w:rsidRPr="00C75C7E" w:rsidTr="00900936">
        <w:trPr>
          <w:cantSplit/>
        </w:trPr>
        <w:tc>
          <w:tcPr>
            <w:tcW w:w="1248" w:type="pct"/>
            <w:vMerge w:val="restart"/>
            <w:shd w:val="clear" w:color="auto" w:fill="auto"/>
            <w:tcMar>
              <w:top w:w="113" w:type="dxa"/>
            </w:tcMar>
          </w:tcPr>
          <w:p w:rsidR="004046B6" w:rsidRPr="00C75C7E" w:rsidRDefault="004046B6" w:rsidP="00900936">
            <w:pPr>
              <w:widowControl w:val="0"/>
              <w:rPr>
                <w:sz w:val="16"/>
                <w:szCs w:val="16"/>
                <w:lang w:val="es-ES_tradnl"/>
              </w:rPr>
            </w:pPr>
            <w:r w:rsidRPr="00C75C7E">
              <w:rPr>
                <w:sz w:val="16"/>
                <w:szCs w:val="16"/>
                <w:lang w:val="es-ES_tradnl"/>
              </w:rPr>
              <w:t>III.2 Mejora de las capacidades en el ámbito de los recursos humanos para hacer frente al amplio espectro de exigencias que supone la utilización eficaz de la P.I. en aras del desarrollo en los países en desarrollo, PMA y países con economías en transición.</w:t>
            </w:r>
          </w:p>
        </w:tc>
        <w:tc>
          <w:tcPr>
            <w:tcW w:w="1514" w:type="pct"/>
            <w:shd w:val="clear" w:color="auto" w:fill="auto"/>
            <w:tcMar>
              <w:top w:w="113" w:type="dxa"/>
            </w:tcMar>
          </w:tcPr>
          <w:p w:rsidR="004046B6" w:rsidRPr="00C75C7E" w:rsidRDefault="004046B6" w:rsidP="00900936">
            <w:pPr>
              <w:widowControl w:val="0"/>
              <w:rPr>
                <w:sz w:val="16"/>
                <w:szCs w:val="16"/>
                <w:lang w:val="es-ES_tradnl"/>
              </w:rPr>
            </w:pPr>
            <w:r w:rsidRPr="00C75C7E">
              <w:rPr>
                <w:sz w:val="16"/>
                <w:szCs w:val="16"/>
                <w:lang w:val="es-ES_tradnl"/>
              </w:rPr>
              <w:t>Número de gobiernos y de OGC que firman acuerdos con la OMPI para elaborar una nueva norma de garantía de calidad en materia de transparencia, rendición de cuentas y gobernanza.</w:t>
            </w:r>
          </w:p>
        </w:tc>
        <w:tc>
          <w:tcPr>
            <w:tcW w:w="1154" w:type="pct"/>
            <w:shd w:val="clear" w:color="auto" w:fill="FFFFFF"/>
            <w:tcMar>
              <w:top w:w="113" w:type="dxa"/>
            </w:tcMar>
          </w:tcPr>
          <w:p w:rsidR="004046B6" w:rsidRPr="00C75C7E" w:rsidRDefault="00FE2187" w:rsidP="00900936">
            <w:pPr>
              <w:widowControl w:val="0"/>
              <w:rPr>
                <w:sz w:val="16"/>
                <w:szCs w:val="16"/>
                <w:lang w:val="es-ES_tradnl"/>
              </w:rPr>
            </w:pPr>
            <w:r>
              <w:rPr>
                <w:sz w:val="16"/>
                <w:szCs w:val="16"/>
                <w:lang w:val="es-ES_tradnl" w:bidi="th-TH"/>
              </w:rPr>
              <w:t>No disponible.</w:t>
            </w:r>
          </w:p>
        </w:tc>
        <w:tc>
          <w:tcPr>
            <w:tcW w:w="1084" w:type="pct"/>
            <w:shd w:val="clear" w:color="auto" w:fill="auto"/>
            <w:tcMar>
              <w:top w:w="113" w:type="dxa"/>
            </w:tcMar>
          </w:tcPr>
          <w:p w:rsidR="004046B6" w:rsidRPr="00C75C7E" w:rsidRDefault="004046B6" w:rsidP="00900936">
            <w:pPr>
              <w:widowControl w:val="0"/>
              <w:ind w:right="381"/>
              <w:rPr>
                <w:bCs/>
                <w:sz w:val="16"/>
                <w:szCs w:val="16"/>
                <w:lang w:val="es-ES_tradnl"/>
              </w:rPr>
            </w:pPr>
            <w:r w:rsidRPr="00C75C7E">
              <w:rPr>
                <w:bCs/>
                <w:sz w:val="16"/>
                <w:szCs w:val="16"/>
                <w:lang w:val="es-ES_tradnl"/>
              </w:rPr>
              <w:t>Cuatro gobiernos y seis OGC.</w:t>
            </w:r>
          </w:p>
        </w:tc>
      </w:tr>
      <w:tr w:rsidR="004046B6" w:rsidRPr="00C75C7E" w:rsidTr="00900936">
        <w:trPr>
          <w:cantSplit/>
        </w:trPr>
        <w:tc>
          <w:tcPr>
            <w:tcW w:w="1248" w:type="pct"/>
            <w:vMerge/>
            <w:shd w:val="clear" w:color="auto" w:fill="auto"/>
            <w:tcMar>
              <w:top w:w="113" w:type="dxa"/>
            </w:tcMar>
          </w:tcPr>
          <w:p w:rsidR="004046B6" w:rsidRPr="00C75C7E" w:rsidRDefault="004046B6" w:rsidP="00900936">
            <w:pPr>
              <w:widowControl w:val="0"/>
              <w:rPr>
                <w:sz w:val="16"/>
                <w:szCs w:val="16"/>
                <w:lang w:val="es-ES_tradnl"/>
              </w:rPr>
            </w:pPr>
          </w:p>
        </w:tc>
        <w:tc>
          <w:tcPr>
            <w:tcW w:w="1514" w:type="pct"/>
            <w:shd w:val="clear" w:color="auto" w:fill="auto"/>
            <w:tcMar>
              <w:top w:w="113" w:type="dxa"/>
            </w:tcMar>
          </w:tcPr>
          <w:p w:rsidR="004046B6" w:rsidRPr="00C75C7E" w:rsidRDefault="004046B6" w:rsidP="00900936">
            <w:pPr>
              <w:widowControl w:val="0"/>
              <w:rPr>
                <w:sz w:val="16"/>
                <w:szCs w:val="16"/>
                <w:lang w:val="es-ES_tradnl"/>
              </w:rPr>
            </w:pPr>
            <w:r w:rsidRPr="00C75C7E">
              <w:rPr>
                <w:sz w:val="16"/>
                <w:szCs w:val="16"/>
                <w:lang w:val="es-ES_tradnl"/>
              </w:rPr>
              <w:t>Porcentaje de creadores satisfechos con la formación proporcionada sobre el uso de la información y los datos de derecho de autor para la gestión eficaz de sus derechos de autor.</w:t>
            </w:r>
          </w:p>
        </w:tc>
        <w:tc>
          <w:tcPr>
            <w:tcW w:w="1154" w:type="pct"/>
            <w:shd w:val="clear" w:color="auto" w:fill="FFFFFF"/>
            <w:tcMar>
              <w:top w:w="113" w:type="dxa"/>
            </w:tcMar>
          </w:tcPr>
          <w:p w:rsidR="004046B6" w:rsidRPr="00C75C7E" w:rsidRDefault="004046B6" w:rsidP="00900936">
            <w:pPr>
              <w:widowControl w:val="0"/>
              <w:rPr>
                <w:sz w:val="16"/>
                <w:szCs w:val="16"/>
                <w:lang w:val="es-ES_tradnl"/>
              </w:rPr>
            </w:pPr>
            <w:r w:rsidRPr="00C75C7E">
              <w:rPr>
                <w:sz w:val="16"/>
                <w:szCs w:val="16"/>
                <w:lang w:val="es-ES_tradnl" w:bidi="th-TH"/>
              </w:rPr>
              <w:t>Aún no se ha iniciado.</w:t>
            </w:r>
          </w:p>
        </w:tc>
        <w:tc>
          <w:tcPr>
            <w:tcW w:w="1084" w:type="pct"/>
            <w:shd w:val="clear" w:color="auto" w:fill="auto"/>
            <w:tcMar>
              <w:top w:w="113" w:type="dxa"/>
            </w:tcMar>
          </w:tcPr>
          <w:p w:rsidR="004046B6" w:rsidRPr="00C75C7E" w:rsidRDefault="004046B6" w:rsidP="00900936">
            <w:pPr>
              <w:widowControl w:val="0"/>
              <w:tabs>
                <w:tab w:val="left" w:pos="2051"/>
              </w:tabs>
              <w:ind w:right="381"/>
              <w:rPr>
                <w:bCs/>
                <w:sz w:val="16"/>
                <w:szCs w:val="16"/>
                <w:lang w:val="es-ES_tradnl"/>
              </w:rPr>
            </w:pPr>
            <w:r w:rsidRPr="00C75C7E">
              <w:rPr>
                <w:bCs/>
                <w:sz w:val="16"/>
                <w:szCs w:val="16"/>
                <w:lang w:val="es-ES_tradnl"/>
              </w:rPr>
              <w:t>60%</w:t>
            </w:r>
          </w:p>
        </w:tc>
      </w:tr>
      <w:tr w:rsidR="004046B6" w:rsidRPr="00C75C7E" w:rsidTr="00900936">
        <w:trPr>
          <w:cantSplit/>
        </w:trPr>
        <w:tc>
          <w:tcPr>
            <w:tcW w:w="1248" w:type="pct"/>
            <w:vMerge/>
            <w:shd w:val="clear" w:color="auto" w:fill="auto"/>
            <w:tcMar>
              <w:top w:w="113" w:type="dxa"/>
            </w:tcMar>
          </w:tcPr>
          <w:p w:rsidR="004046B6" w:rsidRPr="00C75C7E" w:rsidRDefault="004046B6" w:rsidP="00900936">
            <w:pPr>
              <w:widowControl w:val="0"/>
              <w:rPr>
                <w:sz w:val="16"/>
                <w:szCs w:val="16"/>
                <w:lang w:val="es-ES_tradnl"/>
              </w:rPr>
            </w:pPr>
          </w:p>
        </w:tc>
        <w:tc>
          <w:tcPr>
            <w:tcW w:w="1514" w:type="pct"/>
            <w:shd w:val="clear" w:color="auto" w:fill="auto"/>
            <w:tcMar>
              <w:top w:w="113" w:type="dxa"/>
            </w:tcMar>
          </w:tcPr>
          <w:p w:rsidR="004046B6" w:rsidRPr="00C75C7E" w:rsidRDefault="004046B6" w:rsidP="00900936">
            <w:pPr>
              <w:widowControl w:val="0"/>
              <w:rPr>
                <w:sz w:val="16"/>
                <w:szCs w:val="16"/>
                <w:lang w:val="es-ES_tradnl"/>
              </w:rPr>
            </w:pPr>
            <w:r w:rsidRPr="00C75C7E">
              <w:rPr>
                <w:sz w:val="16"/>
                <w:szCs w:val="16"/>
                <w:lang w:val="es-ES_tradnl"/>
              </w:rPr>
              <w:t>Porcentaje de participantes en reuniones y talleres de creación de capacidad sobre cuestiones de derecho de autor que expresaron satisfacción al respecto.</w:t>
            </w:r>
          </w:p>
        </w:tc>
        <w:tc>
          <w:tcPr>
            <w:tcW w:w="1154" w:type="pct"/>
            <w:shd w:val="clear" w:color="auto" w:fill="FFFFFF"/>
            <w:tcMar>
              <w:top w:w="113" w:type="dxa"/>
            </w:tcMar>
          </w:tcPr>
          <w:p w:rsidR="004046B6" w:rsidRPr="00C75C7E" w:rsidRDefault="004046B6" w:rsidP="00900936">
            <w:pPr>
              <w:widowControl w:val="0"/>
              <w:rPr>
                <w:sz w:val="16"/>
                <w:szCs w:val="16"/>
                <w:lang w:val="es-ES_tradnl" w:bidi="th-TH"/>
              </w:rPr>
            </w:pPr>
            <w:r w:rsidRPr="00C75C7E">
              <w:rPr>
                <w:sz w:val="16"/>
                <w:szCs w:val="16"/>
                <w:lang w:val="es-ES_tradnl" w:bidi="th-TH"/>
              </w:rPr>
              <w:t>Índice de satisfacción del 70%.</w:t>
            </w:r>
          </w:p>
          <w:p w:rsidR="004046B6" w:rsidRPr="00C75C7E" w:rsidRDefault="004046B6" w:rsidP="00900936">
            <w:pPr>
              <w:widowControl w:val="0"/>
              <w:rPr>
                <w:sz w:val="16"/>
                <w:szCs w:val="16"/>
                <w:lang w:val="es-ES_tradnl"/>
              </w:rPr>
            </w:pPr>
          </w:p>
        </w:tc>
        <w:tc>
          <w:tcPr>
            <w:tcW w:w="1084" w:type="pct"/>
            <w:shd w:val="clear" w:color="auto" w:fill="auto"/>
            <w:tcMar>
              <w:top w:w="113" w:type="dxa"/>
            </w:tcMar>
          </w:tcPr>
          <w:p w:rsidR="004046B6" w:rsidRPr="00C75C7E" w:rsidRDefault="004046B6" w:rsidP="00900936">
            <w:pPr>
              <w:widowControl w:val="0"/>
              <w:ind w:right="51"/>
              <w:rPr>
                <w:bCs/>
                <w:sz w:val="16"/>
                <w:szCs w:val="16"/>
                <w:lang w:val="es-ES_tradnl"/>
              </w:rPr>
            </w:pPr>
            <w:r w:rsidRPr="00C75C7E">
              <w:rPr>
                <w:bCs/>
                <w:sz w:val="16"/>
                <w:szCs w:val="16"/>
                <w:lang w:val="es-ES_tradnl"/>
              </w:rPr>
              <w:t>70%  de acuerdo o completamente de acuerdo.</w:t>
            </w:r>
          </w:p>
        </w:tc>
      </w:tr>
      <w:tr w:rsidR="004046B6" w:rsidRPr="00C75C7E" w:rsidTr="00900936">
        <w:trPr>
          <w:cantSplit/>
        </w:trPr>
        <w:tc>
          <w:tcPr>
            <w:tcW w:w="1248" w:type="pct"/>
            <w:vMerge/>
            <w:shd w:val="clear" w:color="auto" w:fill="auto"/>
            <w:tcMar>
              <w:top w:w="113" w:type="dxa"/>
            </w:tcMar>
          </w:tcPr>
          <w:p w:rsidR="004046B6" w:rsidRPr="00C75C7E" w:rsidRDefault="004046B6" w:rsidP="00900936">
            <w:pPr>
              <w:widowControl w:val="0"/>
              <w:rPr>
                <w:sz w:val="16"/>
                <w:szCs w:val="16"/>
                <w:lang w:val="es-ES_tradnl"/>
              </w:rPr>
            </w:pPr>
          </w:p>
        </w:tc>
        <w:tc>
          <w:tcPr>
            <w:tcW w:w="1514" w:type="pct"/>
            <w:shd w:val="clear" w:color="auto" w:fill="auto"/>
            <w:tcMar>
              <w:top w:w="113" w:type="dxa"/>
            </w:tcMar>
          </w:tcPr>
          <w:p w:rsidR="004046B6" w:rsidRPr="00C75C7E" w:rsidRDefault="004046B6" w:rsidP="00900936">
            <w:pPr>
              <w:widowControl w:val="0"/>
              <w:rPr>
                <w:sz w:val="16"/>
                <w:szCs w:val="16"/>
                <w:lang w:val="es-ES_tradnl"/>
              </w:rPr>
            </w:pPr>
            <w:r w:rsidRPr="00C75C7E">
              <w:rPr>
                <w:sz w:val="16"/>
                <w:szCs w:val="16"/>
                <w:lang w:val="es-ES_tradnl"/>
              </w:rPr>
              <w:t xml:space="preserve">Número de Estados miembros que toman iniciativas para mejorar el uso del sistema de derecho de autor </w:t>
            </w:r>
            <w:r w:rsidR="00D06458">
              <w:rPr>
                <w:sz w:val="16"/>
                <w:szCs w:val="16"/>
                <w:lang w:val="es-ES_tradnl"/>
              </w:rPr>
              <w:t xml:space="preserve">y derechos conexos </w:t>
            </w:r>
            <w:r w:rsidRPr="00C75C7E">
              <w:rPr>
                <w:sz w:val="16"/>
                <w:szCs w:val="16"/>
                <w:lang w:val="es-ES_tradnl"/>
              </w:rPr>
              <w:t>a fin de explotar el potencial económico de sus obras y productos culturales.</w:t>
            </w:r>
          </w:p>
        </w:tc>
        <w:tc>
          <w:tcPr>
            <w:tcW w:w="1154" w:type="pct"/>
            <w:shd w:val="clear" w:color="auto" w:fill="FFFFFF"/>
            <w:tcMar>
              <w:top w:w="113" w:type="dxa"/>
            </w:tcMar>
          </w:tcPr>
          <w:p w:rsidR="004046B6" w:rsidRPr="00C75C7E" w:rsidRDefault="004046B6" w:rsidP="00900936">
            <w:pPr>
              <w:widowControl w:val="0"/>
              <w:rPr>
                <w:sz w:val="16"/>
                <w:szCs w:val="16"/>
                <w:lang w:val="es-ES_tradnl"/>
              </w:rPr>
            </w:pPr>
            <w:r w:rsidRPr="00C75C7E">
              <w:rPr>
                <w:sz w:val="16"/>
                <w:szCs w:val="16"/>
                <w:lang w:val="es-ES_tradnl" w:bidi="th-TH"/>
              </w:rPr>
              <w:t>60% de países que solicitaron asistencia técnica.</w:t>
            </w:r>
          </w:p>
        </w:tc>
        <w:tc>
          <w:tcPr>
            <w:tcW w:w="1084" w:type="pct"/>
            <w:shd w:val="clear" w:color="auto" w:fill="auto"/>
            <w:tcMar>
              <w:top w:w="113" w:type="dxa"/>
            </w:tcMar>
          </w:tcPr>
          <w:p w:rsidR="004046B6" w:rsidRPr="00C75C7E" w:rsidRDefault="004046B6" w:rsidP="00900936">
            <w:pPr>
              <w:widowControl w:val="0"/>
              <w:ind w:right="51"/>
              <w:rPr>
                <w:bCs/>
                <w:sz w:val="16"/>
                <w:szCs w:val="16"/>
                <w:lang w:val="es-ES_tradnl"/>
              </w:rPr>
            </w:pPr>
            <w:r w:rsidRPr="00C75C7E">
              <w:rPr>
                <w:bCs/>
                <w:sz w:val="16"/>
                <w:szCs w:val="16"/>
                <w:lang w:val="es-ES_tradnl"/>
              </w:rPr>
              <w:t>60% de países que recibieron asistencia.</w:t>
            </w:r>
          </w:p>
        </w:tc>
      </w:tr>
      <w:tr w:rsidR="004046B6" w:rsidRPr="00C75C7E" w:rsidTr="00900936">
        <w:trPr>
          <w:cantSplit/>
          <w:trHeight w:val="991"/>
        </w:trPr>
        <w:tc>
          <w:tcPr>
            <w:tcW w:w="1248" w:type="pct"/>
            <w:shd w:val="clear" w:color="auto" w:fill="auto"/>
            <w:tcMar>
              <w:top w:w="113" w:type="dxa"/>
            </w:tcMar>
          </w:tcPr>
          <w:p w:rsidR="004046B6" w:rsidRPr="00C75C7E" w:rsidRDefault="004046B6" w:rsidP="00900936">
            <w:pPr>
              <w:widowControl w:val="0"/>
              <w:tabs>
                <w:tab w:val="right" w:pos="2835"/>
              </w:tabs>
              <w:spacing w:after="60"/>
              <w:rPr>
                <w:sz w:val="16"/>
                <w:szCs w:val="16"/>
                <w:lang w:val="es-ES_tradnl"/>
              </w:rPr>
            </w:pPr>
            <w:r w:rsidRPr="00C75C7E">
              <w:rPr>
                <w:sz w:val="16"/>
                <w:szCs w:val="16"/>
                <w:lang w:val="es-ES_tradnl"/>
              </w:rPr>
              <w:t>IV.2. Mejora del acceso y uso de información y conocimientos de P.I. por parte de instituciones de P.I. y el público para fomentar la innovación y la creatividad.</w:t>
            </w:r>
            <w:r w:rsidRPr="00C75C7E">
              <w:rPr>
                <w:sz w:val="15"/>
                <w:szCs w:val="15"/>
                <w:lang w:val="es-ES_tradnl"/>
              </w:rPr>
              <w:t xml:space="preserve"> </w:t>
            </w:r>
          </w:p>
        </w:tc>
        <w:tc>
          <w:tcPr>
            <w:tcW w:w="1514" w:type="pct"/>
            <w:shd w:val="clear" w:color="auto" w:fill="auto"/>
            <w:tcMar>
              <w:top w:w="113" w:type="dxa"/>
            </w:tcMar>
          </w:tcPr>
          <w:p w:rsidR="004046B6" w:rsidRPr="00C75C7E" w:rsidRDefault="004046B6" w:rsidP="00900936">
            <w:pPr>
              <w:widowControl w:val="0"/>
              <w:rPr>
                <w:sz w:val="16"/>
                <w:szCs w:val="16"/>
                <w:lang w:val="es-ES_tradnl"/>
              </w:rPr>
            </w:pPr>
            <w:r w:rsidRPr="00C75C7E">
              <w:rPr>
                <w:sz w:val="16"/>
                <w:szCs w:val="16"/>
                <w:lang w:val="es-ES_tradnl"/>
              </w:rPr>
              <w:t xml:space="preserve">Número de intermediarios de confianza y titulares de </w:t>
            </w:r>
            <w:r w:rsidR="00335765">
              <w:rPr>
                <w:sz w:val="16"/>
                <w:szCs w:val="16"/>
                <w:lang w:val="es-ES_tradnl"/>
              </w:rPr>
              <w:t>derechos que se han adherido a l</w:t>
            </w:r>
            <w:r w:rsidRPr="00C75C7E">
              <w:rPr>
                <w:sz w:val="16"/>
                <w:szCs w:val="16"/>
                <w:lang w:val="es-ES_tradnl"/>
              </w:rPr>
              <w:t>a red de sistemas TIGAR, incluidos los procedentes de países en desarrollo y PMA.</w:t>
            </w:r>
          </w:p>
        </w:tc>
        <w:tc>
          <w:tcPr>
            <w:tcW w:w="1154" w:type="pct"/>
            <w:shd w:val="clear" w:color="auto" w:fill="FFFFFF"/>
            <w:tcMar>
              <w:top w:w="113" w:type="dxa"/>
            </w:tcMar>
          </w:tcPr>
          <w:p w:rsidR="004046B6" w:rsidRPr="00C75C7E" w:rsidRDefault="004046B6" w:rsidP="00900936">
            <w:pPr>
              <w:widowControl w:val="0"/>
              <w:rPr>
                <w:sz w:val="16"/>
                <w:szCs w:val="16"/>
                <w:lang w:val="es-ES_tradnl" w:bidi="th-TH"/>
              </w:rPr>
            </w:pPr>
            <w:r w:rsidRPr="00C75C7E">
              <w:rPr>
                <w:sz w:val="16"/>
                <w:szCs w:val="16"/>
                <w:lang w:val="es-ES_tradnl" w:bidi="th-TH"/>
              </w:rPr>
              <w:t>19 intermediarios de confianza y 40 titulares de derechos.</w:t>
            </w:r>
          </w:p>
          <w:p w:rsidR="004046B6" w:rsidRPr="00C75C7E" w:rsidRDefault="004046B6" w:rsidP="00900936">
            <w:pPr>
              <w:widowControl w:val="0"/>
              <w:rPr>
                <w:sz w:val="16"/>
                <w:szCs w:val="16"/>
                <w:lang w:val="es-ES_tradnl"/>
              </w:rPr>
            </w:pPr>
          </w:p>
        </w:tc>
        <w:tc>
          <w:tcPr>
            <w:tcW w:w="1084" w:type="pct"/>
            <w:shd w:val="clear" w:color="auto" w:fill="auto"/>
            <w:tcMar>
              <w:top w:w="113" w:type="dxa"/>
            </w:tcMar>
          </w:tcPr>
          <w:p w:rsidR="004046B6" w:rsidRPr="00C75C7E" w:rsidRDefault="004046B6" w:rsidP="00900936">
            <w:pPr>
              <w:widowControl w:val="0"/>
              <w:ind w:right="51"/>
              <w:rPr>
                <w:bCs/>
                <w:sz w:val="16"/>
                <w:szCs w:val="16"/>
                <w:lang w:val="es-ES_tradnl"/>
              </w:rPr>
            </w:pPr>
            <w:r w:rsidRPr="00C75C7E">
              <w:rPr>
                <w:bCs/>
                <w:sz w:val="16"/>
                <w:szCs w:val="16"/>
                <w:lang w:val="es-ES_tradnl"/>
              </w:rPr>
              <w:t>24 intermediarios de confianza y 46 titulares de derechos (en total).</w:t>
            </w:r>
          </w:p>
        </w:tc>
      </w:tr>
      <w:tr w:rsidR="004046B6" w:rsidRPr="00C75C7E" w:rsidTr="00900936">
        <w:trPr>
          <w:cantSplit/>
        </w:trPr>
        <w:tc>
          <w:tcPr>
            <w:tcW w:w="1248" w:type="pct"/>
            <w:shd w:val="clear" w:color="auto" w:fill="auto"/>
            <w:tcMar>
              <w:top w:w="113" w:type="dxa"/>
            </w:tcMar>
          </w:tcPr>
          <w:p w:rsidR="004046B6" w:rsidRPr="00C75C7E" w:rsidRDefault="004046B6" w:rsidP="00900936">
            <w:pPr>
              <w:widowControl w:val="0"/>
              <w:rPr>
                <w:sz w:val="16"/>
                <w:szCs w:val="16"/>
                <w:lang w:val="es-ES_tradnl"/>
              </w:rPr>
            </w:pPr>
          </w:p>
        </w:tc>
        <w:tc>
          <w:tcPr>
            <w:tcW w:w="1514" w:type="pct"/>
            <w:shd w:val="clear" w:color="auto" w:fill="auto"/>
            <w:tcMar>
              <w:top w:w="113" w:type="dxa"/>
            </w:tcMar>
          </w:tcPr>
          <w:p w:rsidR="004046B6" w:rsidRPr="00C75C7E" w:rsidRDefault="004046B6" w:rsidP="00900936">
            <w:pPr>
              <w:widowControl w:val="0"/>
              <w:rPr>
                <w:sz w:val="16"/>
                <w:szCs w:val="16"/>
                <w:lang w:val="es-ES_tradnl"/>
              </w:rPr>
            </w:pPr>
            <w:r w:rsidRPr="00C75C7E">
              <w:rPr>
                <w:sz w:val="16"/>
                <w:szCs w:val="16"/>
                <w:lang w:val="es-ES_tradnl"/>
              </w:rPr>
              <w:t>Número de obras protegidas por derecho de autor distribuidas entre intermediarios de confianza y puestas a disposición de las personas con discapacidad visual a escala internacional por medio de la red de sistemas TIGAR.</w:t>
            </w:r>
          </w:p>
        </w:tc>
        <w:tc>
          <w:tcPr>
            <w:tcW w:w="1154" w:type="pct"/>
            <w:shd w:val="clear" w:color="auto" w:fill="FFFFFF"/>
            <w:tcMar>
              <w:top w:w="113" w:type="dxa"/>
            </w:tcMar>
          </w:tcPr>
          <w:p w:rsidR="004046B6" w:rsidRPr="00C75C7E" w:rsidRDefault="004046B6" w:rsidP="00900936">
            <w:pPr>
              <w:widowControl w:val="0"/>
              <w:rPr>
                <w:sz w:val="16"/>
                <w:szCs w:val="16"/>
                <w:lang w:val="es-ES_tradnl" w:bidi="th-TH"/>
              </w:rPr>
            </w:pPr>
            <w:r w:rsidRPr="00C75C7E">
              <w:rPr>
                <w:sz w:val="16"/>
                <w:szCs w:val="16"/>
                <w:lang w:val="es-ES_tradnl" w:bidi="th-TH"/>
              </w:rPr>
              <w:t>400</w:t>
            </w:r>
          </w:p>
          <w:p w:rsidR="004046B6" w:rsidRPr="00C75C7E" w:rsidRDefault="004046B6" w:rsidP="00900936">
            <w:pPr>
              <w:widowControl w:val="0"/>
              <w:rPr>
                <w:sz w:val="16"/>
                <w:szCs w:val="16"/>
                <w:lang w:val="es-ES_tradnl"/>
              </w:rPr>
            </w:pPr>
          </w:p>
        </w:tc>
        <w:tc>
          <w:tcPr>
            <w:tcW w:w="1084" w:type="pct"/>
            <w:shd w:val="clear" w:color="auto" w:fill="auto"/>
            <w:tcMar>
              <w:top w:w="113" w:type="dxa"/>
            </w:tcMar>
          </w:tcPr>
          <w:p w:rsidR="004046B6" w:rsidRPr="00C75C7E" w:rsidRDefault="004046B6" w:rsidP="00900936">
            <w:pPr>
              <w:widowControl w:val="0"/>
              <w:ind w:right="161"/>
              <w:rPr>
                <w:bCs/>
                <w:sz w:val="16"/>
                <w:szCs w:val="16"/>
                <w:lang w:val="es-ES_tradnl"/>
              </w:rPr>
            </w:pPr>
            <w:r w:rsidRPr="00C75C7E">
              <w:rPr>
                <w:bCs/>
                <w:sz w:val="16"/>
                <w:szCs w:val="16"/>
                <w:lang w:val="es-ES_tradnl"/>
              </w:rPr>
              <w:t>1.000 en total.</w:t>
            </w:r>
          </w:p>
        </w:tc>
      </w:tr>
      <w:tr w:rsidR="004046B6" w:rsidRPr="00C75C7E" w:rsidTr="00900936">
        <w:trPr>
          <w:cantSplit/>
        </w:trPr>
        <w:tc>
          <w:tcPr>
            <w:tcW w:w="1248" w:type="pct"/>
            <w:shd w:val="clear" w:color="auto" w:fill="auto"/>
            <w:tcMar>
              <w:top w:w="113" w:type="dxa"/>
            </w:tcMar>
          </w:tcPr>
          <w:p w:rsidR="004046B6" w:rsidRPr="00C75C7E" w:rsidRDefault="004046B6" w:rsidP="00900936">
            <w:pPr>
              <w:widowControl w:val="0"/>
              <w:rPr>
                <w:sz w:val="16"/>
                <w:szCs w:val="16"/>
                <w:lang w:val="es-ES_tradnl"/>
              </w:rPr>
            </w:pPr>
          </w:p>
        </w:tc>
        <w:tc>
          <w:tcPr>
            <w:tcW w:w="1514" w:type="pct"/>
            <w:shd w:val="clear" w:color="auto" w:fill="auto"/>
            <w:tcMar>
              <w:top w:w="113" w:type="dxa"/>
            </w:tcMar>
          </w:tcPr>
          <w:p w:rsidR="004046B6" w:rsidRPr="00C75C7E" w:rsidRDefault="004046B6" w:rsidP="00900936">
            <w:pPr>
              <w:widowControl w:val="0"/>
              <w:rPr>
                <w:sz w:val="16"/>
                <w:szCs w:val="16"/>
                <w:lang w:val="es-ES_tradnl"/>
              </w:rPr>
            </w:pPr>
            <w:r w:rsidRPr="00C75C7E">
              <w:rPr>
                <w:sz w:val="16"/>
                <w:szCs w:val="16"/>
                <w:lang w:val="es-ES_tradnl"/>
              </w:rPr>
              <w:t>Porcentaje de personas satisfechas con el apoyo al fortalecimiento de capacidades en infraestructura de derecho de autor.</w:t>
            </w:r>
          </w:p>
        </w:tc>
        <w:tc>
          <w:tcPr>
            <w:tcW w:w="1154" w:type="pct"/>
            <w:shd w:val="clear" w:color="auto" w:fill="FFFFFF"/>
            <w:tcMar>
              <w:top w:w="113" w:type="dxa"/>
            </w:tcMar>
          </w:tcPr>
          <w:p w:rsidR="004046B6" w:rsidRPr="00C75C7E" w:rsidRDefault="004046B6" w:rsidP="00900936">
            <w:pPr>
              <w:widowControl w:val="0"/>
              <w:rPr>
                <w:sz w:val="16"/>
                <w:szCs w:val="16"/>
                <w:lang w:val="es-ES_tradnl" w:bidi="th-TH"/>
              </w:rPr>
            </w:pPr>
            <w:r w:rsidRPr="00C75C7E">
              <w:rPr>
                <w:sz w:val="16"/>
                <w:szCs w:val="16"/>
                <w:lang w:val="es-ES_tradnl" w:bidi="th-TH"/>
              </w:rPr>
              <w:t xml:space="preserve">No se dispone de datos. </w:t>
            </w:r>
          </w:p>
        </w:tc>
        <w:tc>
          <w:tcPr>
            <w:tcW w:w="1084" w:type="pct"/>
            <w:shd w:val="clear" w:color="auto" w:fill="auto"/>
            <w:tcMar>
              <w:top w:w="113" w:type="dxa"/>
            </w:tcMar>
          </w:tcPr>
          <w:p w:rsidR="004046B6" w:rsidRPr="00C75C7E" w:rsidRDefault="004046B6" w:rsidP="00900936">
            <w:pPr>
              <w:widowControl w:val="0"/>
              <w:ind w:right="161"/>
              <w:rPr>
                <w:bCs/>
                <w:sz w:val="16"/>
                <w:szCs w:val="16"/>
                <w:lang w:val="es-ES_tradnl"/>
              </w:rPr>
            </w:pPr>
            <w:r w:rsidRPr="00C75C7E">
              <w:rPr>
                <w:bCs/>
                <w:sz w:val="16"/>
                <w:szCs w:val="16"/>
                <w:lang w:val="es-ES_tradnl"/>
              </w:rPr>
              <w:t>60%</w:t>
            </w:r>
          </w:p>
        </w:tc>
      </w:tr>
      <w:tr w:rsidR="004046B6" w:rsidRPr="00C75C7E" w:rsidTr="00900936">
        <w:trPr>
          <w:cantSplit/>
        </w:trPr>
        <w:tc>
          <w:tcPr>
            <w:tcW w:w="1248" w:type="pct"/>
            <w:shd w:val="clear" w:color="auto" w:fill="auto"/>
            <w:tcMar>
              <w:top w:w="113" w:type="dxa"/>
            </w:tcMar>
          </w:tcPr>
          <w:p w:rsidR="004046B6" w:rsidRPr="00C75C7E" w:rsidRDefault="004046B6" w:rsidP="00900936">
            <w:pPr>
              <w:widowControl w:val="0"/>
              <w:rPr>
                <w:sz w:val="16"/>
                <w:szCs w:val="16"/>
                <w:lang w:val="es-ES_tradnl"/>
              </w:rPr>
            </w:pPr>
          </w:p>
        </w:tc>
        <w:tc>
          <w:tcPr>
            <w:tcW w:w="1514" w:type="pct"/>
            <w:shd w:val="clear" w:color="auto" w:fill="auto"/>
            <w:tcMar>
              <w:top w:w="113" w:type="dxa"/>
            </w:tcMar>
          </w:tcPr>
          <w:p w:rsidR="004046B6" w:rsidRPr="00C75C7E" w:rsidRDefault="004046B6" w:rsidP="00900936">
            <w:pPr>
              <w:widowControl w:val="0"/>
              <w:rPr>
                <w:sz w:val="16"/>
                <w:szCs w:val="16"/>
                <w:lang w:val="es-ES_tradnl"/>
              </w:rPr>
            </w:pPr>
            <w:r w:rsidRPr="00C75C7E">
              <w:rPr>
                <w:sz w:val="16"/>
                <w:szCs w:val="16"/>
                <w:lang w:val="es-ES_tradnl"/>
              </w:rPr>
              <w:t>Número de instituciones que utilizan el sistema GDA.</w:t>
            </w:r>
          </w:p>
        </w:tc>
        <w:tc>
          <w:tcPr>
            <w:tcW w:w="1154" w:type="pct"/>
            <w:shd w:val="clear" w:color="auto" w:fill="FFFFFF"/>
            <w:tcMar>
              <w:top w:w="113" w:type="dxa"/>
            </w:tcMar>
          </w:tcPr>
          <w:p w:rsidR="004046B6" w:rsidRPr="00C75C7E" w:rsidRDefault="004046B6" w:rsidP="00900936">
            <w:pPr>
              <w:widowControl w:val="0"/>
              <w:rPr>
                <w:sz w:val="16"/>
                <w:szCs w:val="16"/>
                <w:lang w:val="es-ES_tradnl" w:bidi="th-TH"/>
              </w:rPr>
            </w:pPr>
            <w:r w:rsidRPr="00C75C7E">
              <w:rPr>
                <w:sz w:val="16"/>
                <w:szCs w:val="16"/>
                <w:lang w:val="es-ES_tradnl" w:bidi="th-TH"/>
              </w:rPr>
              <w:t>15</w:t>
            </w:r>
          </w:p>
        </w:tc>
        <w:tc>
          <w:tcPr>
            <w:tcW w:w="1084" w:type="pct"/>
            <w:shd w:val="clear" w:color="auto" w:fill="auto"/>
            <w:tcMar>
              <w:top w:w="113" w:type="dxa"/>
            </w:tcMar>
          </w:tcPr>
          <w:p w:rsidR="004046B6" w:rsidRPr="00C75C7E" w:rsidRDefault="004046B6" w:rsidP="00900936">
            <w:pPr>
              <w:widowControl w:val="0"/>
              <w:ind w:right="161"/>
              <w:rPr>
                <w:bCs/>
                <w:sz w:val="16"/>
                <w:szCs w:val="16"/>
                <w:lang w:val="es-ES_tradnl"/>
              </w:rPr>
            </w:pPr>
            <w:r w:rsidRPr="00C75C7E">
              <w:rPr>
                <w:bCs/>
                <w:sz w:val="16"/>
                <w:szCs w:val="16"/>
                <w:lang w:val="es-ES_tradnl"/>
              </w:rPr>
              <w:t xml:space="preserve">15 </w:t>
            </w:r>
          </w:p>
        </w:tc>
      </w:tr>
      <w:tr w:rsidR="004046B6" w:rsidRPr="00C75C7E" w:rsidTr="00900936">
        <w:trPr>
          <w:cantSplit/>
        </w:trPr>
        <w:tc>
          <w:tcPr>
            <w:tcW w:w="1248" w:type="pct"/>
            <w:shd w:val="clear" w:color="auto" w:fill="auto"/>
            <w:tcMar>
              <w:top w:w="113" w:type="dxa"/>
            </w:tcMar>
          </w:tcPr>
          <w:p w:rsidR="004046B6" w:rsidRPr="00C75C7E" w:rsidRDefault="004046B6" w:rsidP="00900936">
            <w:pPr>
              <w:widowControl w:val="0"/>
              <w:rPr>
                <w:sz w:val="16"/>
                <w:szCs w:val="16"/>
                <w:lang w:val="es-ES_tradnl"/>
              </w:rPr>
            </w:pPr>
          </w:p>
        </w:tc>
        <w:tc>
          <w:tcPr>
            <w:tcW w:w="1514" w:type="pct"/>
            <w:shd w:val="clear" w:color="auto" w:fill="auto"/>
            <w:tcMar>
              <w:top w:w="113" w:type="dxa"/>
            </w:tcMar>
          </w:tcPr>
          <w:p w:rsidR="004046B6" w:rsidRPr="00C75C7E" w:rsidRDefault="004046B6" w:rsidP="00900936">
            <w:pPr>
              <w:widowControl w:val="0"/>
              <w:rPr>
                <w:sz w:val="16"/>
                <w:szCs w:val="16"/>
                <w:lang w:val="es-ES_tradnl"/>
              </w:rPr>
            </w:pPr>
            <w:r w:rsidRPr="00C75C7E">
              <w:rPr>
                <w:sz w:val="16"/>
                <w:szCs w:val="16"/>
                <w:lang w:val="es-ES_tradnl"/>
              </w:rPr>
              <w:t>Uso de la base de datos de la OMPI sobre gestión colectiva de los derechos.</w:t>
            </w:r>
          </w:p>
        </w:tc>
        <w:tc>
          <w:tcPr>
            <w:tcW w:w="1154" w:type="pct"/>
            <w:shd w:val="clear" w:color="auto" w:fill="FFFFFF"/>
            <w:tcMar>
              <w:top w:w="113" w:type="dxa"/>
            </w:tcMar>
          </w:tcPr>
          <w:p w:rsidR="004046B6" w:rsidRPr="00C75C7E" w:rsidRDefault="004046B6" w:rsidP="00900936">
            <w:pPr>
              <w:widowControl w:val="0"/>
              <w:rPr>
                <w:sz w:val="16"/>
                <w:szCs w:val="16"/>
                <w:lang w:val="es-ES_tradnl" w:bidi="th-TH"/>
              </w:rPr>
            </w:pPr>
            <w:r w:rsidRPr="00C75C7E">
              <w:rPr>
                <w:sz w:val="16"/>
                <w:szCs w:val="16"/>
                <w:lang w:val="es-ES_tradnl" w:bidi="th-TH"/>
              </w:rPr>
              <w:t>No se dispone de datos.</w:t>
            </w:r>
          </w:p>
          <w:p w:rsidR="004046B6" w:rsidRPr="00C75C7E" w:rsidRDefault="004046B6" w:rsidP="00900936">
            <w:pPr>
              <w:widowControl w:val="0"/>
              <w:rPr>
                <w:sz w:val="16"/>
                <w:szCs w:val="16"/>
                <w:lang w:val="es-ES_tradnl" w:bidi="th-TH"/>
              </w:rPr>
            </w:pPr>
          </w:p>
        </w:tc>
        <w:tc>
          <w:tcPr>
            <w:tcW w:w="1084" w:type="pct"/>
            <w:shd w:val="clear" w:color="auto" w:fill="auto"/>
            <w:tcMar>
              <w:top w:w="113" w:type="dxa"/>
            </w:tcMar>
          </w:tcPr>
          <w:p w:rsidR="004046B6" w:rsidRPr="00C75C7E" w:rsidRDefault="004046B6" w:rsidP="00900936">
            <w:pPr>
              <w:widowControl w:val="0"/>
              <w:ind w:right="161"/>
              <w:rPr>
                <w:bCs/>
                <w:sz w:val="16"/>
                <w:szCs w:val="16"/>
                <w:lang w:val="es-ES_tradnl"/>
              </w:rPr>
            </w:pPr>
            <w:r w:rsidRPr="00C75C7E">
              <w:rPr>
                <w:bCs/>
                <w:sz w:val="16"/>
                <w:szCs w:val="16"/>
                <w:lang w:val="es-ES_tradnl"/>
              </w:rPr>
              <w:t>100 usuarios.</w:t>
            </w:r>
          </w:p>
        </w:tc>
      </w:tr>
      <w:tr w:rsidR="004046B6" w:rsidRPr="00C75C7E" w:rsidTr="00900936">
        <w:trPr>
          <w:cantSplit/>
        </w:trPr>
        <w:tc>
          <w:tcPr>
            <w:tcW w:w="1248" w:type="pct"/>
            <w:shd w:val="clear" w:color="auto" w:fill="auto"/>
            <w:tcMar>
              <w:top w:w="113" w:type="dxa"/>
            </w:tcMar>
          </w:tcPr>
          <w:p w:rsidR="004046B6" w:rsidRPr="00C75C7E" w:rsidRDefault="004046B6" w:rsidP="00900936">
            <w:pPr>
              <w:widowControl w:val="0"/>
              <w:rPr>
                <w:sz w:val="16"/>
                <w:szCs w:val="16"/>
                <w:lang w:val="es-ES_tradnl"/>
              </w:rPr>
            </w:pPr>
          </w:p>
        </w:tc>
        <w:tc>
          <w:tcPr>
            <w:tcW w:w="1514" w:type="pct"/>
            <w:shd w:val="clear" w:color="auto" w:fill="auto"/>
            <w:tcMar>
              <w:top w:w="113" w:type="dxa"/>
            </w:tcMar>
          </w:tcPr>
          <w:p w:rsidR="004046B6" w:rsidRPr="00C75C7E" w:rsidRDefault="004046B6" w:rsidP="00900936">
            <w:pPr>
              <w:widowControl w:val="0"/>
              <w:rPr>
                <w:sz w:val="16"/>
                <w:szCs w:val="16"/>
                <w:lang w:val="es-ES_tradnl"/>
              </w:rPr>
            </w:pPr>
            <w:r w:rsidRPr="00C75C7E">
              <w:rPr>
                <w:sz w:val="16"/>
                <w:szCs w:val="16"/>
                <w:lang w:val="es-ES_tradnl"/>
              </w:rPr>
              <w:t>Número de instrumentos jurídicos, directrices, declaraciones de principios distintas de tratados acordados o suscritos por las partes interesadas en ámbitos como los de la P.I. y el deporte y el derecho de autor en el entorno digital.</w:t>
            </w:r>
          </w:p>
        </w:tc>
        <w:tc>
          <w:tcPr>
            <w:tcW w:w="1154" w:type="pct"/>
            <w:shd w:val="clear" w:color="auto" w:fill="FFFFFF"/>
            <w:tcMar>
              <w:top w:w="113" w:type="dxa"/>
            </w:tcMar>
          </w:tcPr>
          <w:p w:rsidR="004046B6" w:rsidRPr="00C75C7E" w:rsidRDefault="004046B6" w:rsidP="00900936">
            <w:pPr>
              <w:widowControl w:val="0"/>
              <w:rPr>
                <w:sz w:val="16"/>
                <w:szCs w:val="16"/>
                <w:lang w:val="es-ES_tradnl" w:bidi="th-TH"/>
              </w:rPr>
            </w:pPr>
            <w:r w:rsidRPr="00C75C7E">
              <w:rPr>
                <w:sz w:val="16"/>
                <w:szCs w:val="16"/>
                <w:lang w:val="es-ES_tradnl" w:bidi="th-TH"/>
              </w:rPr>
              <w:t>Uno (Examen de la OMPI de las consideraciones contractuales en el sector audiovisual).</w:t>
            </w:r>
          </w:p>
          <w:p w:rsidR="004046B6" w:rsidRPr="00C75C7E" w:rsidRDefault="004046B6" w:rsidP="00900936">
            <w:pPr>
              <w:widowControl w:val="0"/>
              <w:rPr>
                <w:sz w:val="16"/>
                <w:szCs w:val="16"/>
                <w:lang w:val="es-ES_tradnl"/>
              </w:rPr>
            </w:pPr>
          </w:p>
        </w:tc>
        <w:tc>
          <w:tcPr>
            <w:tcW w:w="1084" w:type="pct"/>
            <w:shd w:val="clear" w:color="auto" w:fill="auto"/>
            <w:tcMar>
              <w:top w:w="113" w:type="dxa"/>
            </w:tcMar>
          </w:tcPr>
          <w:p w:rsidR="004046B6" w:rsidRPr="00C75C7E" w:rsidRDefault="004046B6" w:rsidP="00900936">
            <w:pPr>
              <w:widowControl w:val="0"/>
              <w:ind w:right="51"/>
              <w:rPr>
                <w:bCs/>
                <w:sz w:val="16"/>
                <w:szCs w:val="16"/>
                <w:lang w:val="es-ES_tradnl"/>
              </w:rPr>
            </w:pPr>
            <w:r w:rsidRPr="00C75C7E">
              <w:rPr>
                <w:bCs/>
                <w:sz w:val="16"/>
                <w:szCs w:val="16"/>
                <w:lang w:val="es-ES_tradnl"/>
              </w:rPr>
              <w:t>Uno.</w:t>
            </w:r>
          </w:p>
        </w:tc>
      </w:tr>
      <w:tr w:rsidR="004046B6" w:rsidRPr="00C75C7E" w:rsidTr="00900936">
        <w:trPr>
          <w:cantSplit/>
        </w:trPr>
        <w:tc>
          <w:tcPr>
            <w:tcW w:w="1248" w:type="pct"/>
            <w:shd w:val="clear" w:color="auto" w:fill="auto"/>
            <w:tcMar>
              <w:top w:w="113" w:type="dxa"/>
            </w:tcMar>
          </w:tcPr>
          <w:p w:rsidR="004046B6" w:rsidRPr="00C75C7E" w:rsidRDefault="004046B6" w:rsidP="00900936">
            <w:pPr>
              <w:widowControl w:val="0"/>
              <w:rPr>
                <w:sz w:val="16"/>
                <w:szCs w:val="16"/>
                <w:lang w:val="es-ES_tradnl"/>
              </w:rPr>
            </w:pPr>
            <w:r w:rsidRPr="00C75C7E">
              <w:rPr>
                <w:sz w:val="16"/>
                <w:szCs w:val="16"/>
                <w:lang w:val="es-ES_tradnl"/>
              </w:rPr>
              <w:t>IV.4. Mejora en la infraestructura técnica y de conocimientos de las oficinas y demás instituciones de P.I. que l</w:t>
            </w:r>
            <w:r w:rsidR="00177006">
              <w:rPr>
                <w:sz w:val="16"/>
                <w:szCs w:val="16"/>
                <w:lang w:val="es-ES_tradnl"/>
              </w:rPr>
              <w:t>es permita</w:t>
            </w:r>
            <w:r w:rsidRPr="00C75C7E">
              <w:rPr>
                <w:sz w:val="16"/>
                <w:szCs w:val="16"/>
                <w:lang w:val="es-ES_tradnl"/>
              </w:rPr>
              <w:t xml:space="preserve"> prestar mejores servicios (más económicos, más rápidos y de mejor calidad) a sus partes interesadas.</w:t>
            </w:r>
          </w:p>
        </w:tc>
        <w:tc>
          <w:tcPr>
            <w:tcW w:w="1514" w:type="pct"/>
            <w:shd w:val="clear" w:color="auto" w:fill="auto"/>
            <w:tcMar>
              <w:top w:w="113" w:type="dxa"/>
            </w:tcMar>
          </w:tcPr>
          <w:p w:rsidR="004046B6" w:rsidRPr="00C75C7E" w:rsidRDefault="004046B6" w:rsidP="00900936">
            <w:pPr>
              <w:widowControl w:val="0"/>
              <w:rPr>
                <w:sz w:val="16"/>
                <w:szCs w:val="16"/>
                <w:lang w:val="es-ES_tradnl"/>
              </w:rPr>
            </w:pPr>
            <w:r w:rsidRPr="00C75C7E">
              <w:rPr>
                <w:sz w:val="16"/>
                <w:szCs w:val="16"/>
                <w:lang w:val="es-ES_tradnl"/>
              </w:rPr>
              <w:t>Número de gobiernos y OGC que firman acuerdos con la OMPI para reestructurar WIPOCOS.</w:t>
            </w:r>
          </w:p>
        </w:tc>
        <w:tc>
          <w:tcPr>
            <w:tcW w:w="1154" w:type="pct"/>
            <w:shd w:val="clear" w:color="auto" w:fill="FFFFFF"/>
            <w:tcMar>
              <w:top w:w="113" w:type="dxa"/>
            </w:tcMar>
          </w:tcPr>
          <w:p w:rsidR="004046B6" w:rsidRPr="00C75C7E" w:rsidRDefault="004046B6" w:rsidP="00900936">
            <w:pPr>
              <w:widowControl w:val="0"/>
              <w:rPr>
                <w:sz w:val="16"/>
                <w:szCs w:val="16"/>
                <w:lang w:val="es-ES_tradnl" w:bidi="th-TH"/>
              </w:rPr>
            </w:pPr>
            <w:r w:rsidRPr="00C75C7E">
              <w:rPr>
                <w:sz w:val="16"/>
                <w:szCs w:val="16"/>
                <w:lang w:val="es-ES_tradnl" w:bidi="th-TH"/>
              </w:rPr>
              <w:t>Aún no se ha iniciado.</w:t>
            </w:r>
          </w:p>
          <w:p w:rsidR="004046B6" w:rsidRPr="00C75C7E" w:rsidRDefault="004046B6" w:rsidP="00900936">
            <w:pPr>
              <w:widowControl w:val="0"/>
              <w:rPr>
                <w:sz w:val="16"/>
                <w:szCs w:val="16"/>
                <w:lang w:val="es-ES_tradnl" w:bidi="th-TH"/>
              </w:rPr>
            </w:pPr>
          </w:p>
          <w:p w:rsidR="004046B6" w:rsidRPr="00C75C7E" w:rsidRDefault="004046B6" w:rsidP="00900936">
            <w:pPr>
              <w:widowControl w:val="0"/>
              <w:rPr>
                <w:sz w:val="16"/>
                <w:szCs w:val="16"/>
                <w:lang w:val="es-ES_tradnl" w:bidi="th-TH"/>
              </w:rPr>
            </w:pPr>
          </w:p>
        </w:tc>
        <w:tc>
          <w:tcPr>
            <w:tcW w:w="1084" w:type="pct"/>
            <w:shd w:val="clear" w:color="auto" w:fill="auto"/>
            <w:tcMar>
              <w:top w:w="113" w:type="dxa"/>
            </w:tcMar>
          </w:tcPr>
          <w:p w:rsidR="004046B6" w:rsidRPr="00C75C7E" w:rsidRDefault="004046B6" w:rsidP="00900936">
            <w:pPr>
              <w:widowControl w:val="0"/>
              <w:ind w:right="161"/>
              <w:rPr>
                <w:bCs/>
                <w:sz w:val="16"/>
                <w:szCs w:val="16"/>
                <w:lang w:val="es-ES_tradnl"/>
              </w:rPr>
            </w:pPr>
            <w:r w:rsidRPr="00C75C7E">
              <w:rPr>
                <w:bCs/>
                <w:sz w:val="16"/>
                <w:szCs w:val="16"/>
                <w:lang w:val="es-ES_tradnl"/>
              </w:rPr>
              <w:t>Cuatro gobiernos y cinco OGC.</w:t>
            </w:r>
          </w:p>
        </w:tc>
      </w:tr>
      <w:tr w:rsidR="004046B6" w:rsidRPr="00C75C7E" w:rsidTr="00900936">
        <w:trPr>
          <w:cantSplit/>
        </w:trPr>
        <w:tc>
          <w:tcPr>
            <w:tcW w:w="1248" w:type="pct"/>
            <w:shd w:val="clear" w:color="auto" w:fill="auto"/>
            <w:tcMar>
              <w:top w:w="113" w:type="dxa"/>
            </w:tcMar>
          </w:tcPr>
          <w:p w:rsidR="004046B6" w:rsidRPr="00C75C7E" w:rsidRDefault="004046B6" w:rsidP="00900936">
            <w:pPr>
              <w:widowControl w:val="0"/>
              <w:ind w:right="-151"/>
              <w:rPr>
                <w:sz w:val="16"/>
                <w:szCs w:val="16"/>
                <w:lang w:val="es-ES_tradnl"/>
              </w:rPr>
            </w:pPr>
          </w:p>
        </w:tc>
        <w:tc>
          <w:tcPr>
            <w:tcW w:w="1514" w:type="pct"/>
            <w:shd w:val="clear" w:color="auto" w:fill="auto"/>
            <w:tcMar>
              <w:top w:w="113" w:type="dxa"/>
            </w:tcMar>
          </w:tcPr>
          <w:p w:rsidR="004046B6" w:rsidRPr="00C75C7E" w:rsidRDefault="004046B6" w:rsidP="00900936">
            <w:pPr>
              <w:widowControl w:val="0"/>
              <w:ind w:right="-151"/>
              <w:rPr>
                <w:sz w:val="16"/>
                <w:szCs w:val="16"/>
                <w:lang w:val="es-ES_tradnl"/>
              </w:rPr>
            </w:pPr>
            <w:r w:rsidRPr="00C75C7E">
              <w:rPr>
                <w:sz w:val="16"/>
                <w:szCs w:val="16"/>
                <w:lang w:val="es-ES_tradnl"/>
              </w:rPr>
              <w:t xml:space="preserve">Número de OGC de países en desarrollo y PMA que participan en las redes regionales y mundiales facilitadas por la OMPI. </w:t>
            </w:r>
          </w:p>
        </w:tc>
        <w:tc>
          <w:tcPr>
            <w:tcW w:w="1154" w:type="pct"/>
            <w:shd w:val="clear" w:color="auto" w:fill="FFFFFF"/>
            <w:tcMar>
              <w:top w:w="113" w:type="dxa"/>
            </w:tcMar>
          </w:tcPr>
          <w:p w:rsidR="004046B6" w:rsidRPr="00C75C7E" w:rsidRDefault="004046B6" w:rsidP="00900936">
            <w:pPr>
              <w:widowControl w:val="0"/>
              <w:ind w:right="-151"/>
              <w:rPr>
                <w:sz w:val="16"/>
                <w:szCs w:val="16"/>
                <w:lang w:val="es-ES_tradnl" w:bidi="th-TH"/>
              </w:rPr>
            </w:pPr>
            <w:r w:rsidRPr="00C75C7E">
              <w:rPr>
                <w:sz w:val="16"/>
                <w:szCs w:val="16"/>
                <w:lang w:val="es-ES_tradnl" w:bidi="th-TH"/>
              </w:rPr>
              <w:t>0 (cero).</w:t>
            </w:r>
          </w:p>
          <w:p w:rsidR="004046B6" w:rsidRPr="00C75C7E" w:rsidRDefault="004046B6" w:rsidP="00900936">
            <w:pPr>
              <w:widowControl w:val="0"/>
              <w:ind w:right="-151"/>
              <w:rPr>
                <w:sz w:val="16"/>
                <w:szCs w:val="16"/>
                <w:lang w:val="es-ES_tradnl" w:bidi="th-TH"/>
              </w:rPr>
            </w:pPr>
          </w:p>
        </w:tc>
        <w:tc>
          <w:tcPr>
            <w:tcW w:w="1084" w:type="pct"/>
            <w:shd w:val="clear" w:color="auto" w:fill="auto"/>
            <w:tcMar>
              <w:top w:w="113" w:type="dxa"/>
            </w:tcMar>
          </w:tcPr>
          <w:p w:rsidR="004046B6" w:rsidRPr="00C75C7E" w:rsidRDefault="004046B6" w:rsidP="00900936">
            <w:pPr>
              <w:widowControl w:val="0"/>
              <w:ind w:right="-151"/>
              <w:rPr>
                <w:bCs/>
                <w:sz w:val="16"/>
                <w:szCs w:val="16"/>
                <w:lang w:val="es-ES_tradnl"/>
              </w:rPr>
            </w:pPr>
            <w:r w:rsidRPr="00C75C7E">
              <w:rPr>
                <w:bCs/>
                <w:sz w:val="16"/>
                <w:szCs w:val="16"/>
                <w:lang w:val="es-ES_tradnl"/>
              </w:rPr>
              <w:t>10</w:t>
            </w:r>
          </w:p>
        </w:tc>
      </w:tr>
      <w:tr w:rsidR="004046B6" w:rsidRPr="00C75C7E" w:rsidTr="00900936">
        <w:trPr>
          <w:cantSplit/>
        </w:trPr>
        <w:tc>
          <w:tcPr>
            <w:tcW w:w="1248" w:type="pct"/>
            <w:shd w:val="clear" w:color="auto" w:fill="auto"/>
            <w:tcMar>
              <w:top w:w="113" w:type="dxa"/>
            </w:tcMar>
          </w:tcPr>
          <w:p w:rsidR="004046B6" w:rsidRPr="00C75C7E" w:rsidRDefault="004046B6" w:rsidP="00900936">
            <w:pPr>
              <w:widowControl w:val="0"/>
              <w:ind w:right="-151"/>
              <w:rPr>
                <w:sz w:val="16"/>
                <w:szCs w:val="16"/>
                <w:lang w:val="es-ES_tradnl"/>
              </w:rPr>
            </w:pPr>
          </w:p>
        </w:tc>
        <w:tc>
          <w:tcPr>
            <w:tcW w:w="1514" w:type="pct"/>
            <w:shd w:val="clear" w:color="auto" w:fill="auto"/>
            <w:tcMar>
              <w:top w:w="113" w:type="dxa"/>
            </w:tcMar>
          </w:tcPr>
          <w:p w:rsidR="004046B6" w:rsidRPr="00C75C7E" w:rsidRDefault="004046B6" w:rsidP="00900936">
            <w:pPr>
              <w:widowControl w:val="0"/>
              <w:ind w:right="-151"/>
              <w:rPr>
                <w:sz w:val="16"/>
                <w:szCs w:val="16"/>
                <w:lang w:val="es-ES_tradnl"/>
              </w:rPr>
            </w:pPr>
            <w:r w:rsidRPr="00C75C7E">
              <w:rPr>
                <w:sz w:val="16"/>
                <w:szCs w:val="16"/>
                <w:lang w:val="es-ES_tradnl"/>
              </w:rPr>
              <w:t>Porcentaje de gobiernos que informan favorablemente acerca de la eficacia y la gobernanza de las oficinas de derecho de autor y otras instituciones en el país.</w:t>
            </w:r>
          </w:p>
        </w:tc>
        <w:tc>
          <w:tcPr>
            <w:tcW w:w="1154" w:type="pct"/>
            <w:shd w:val="clear" w:color="auto" w:fill="FFFFFF"/>
            <w:tcMar>
              <w:top w:w="113" w:type="dxa"/>
            </w:tcMar>
          </w:tcPr>
          <w:p w:rsidR="004046B6" w:rsidRPr="00C75C7E" w:rsidRDefault="004046B6" w:rsidP="00900936">
            <w:pPr>
              <w:widowControl w:val="0"/>
              <w:ind w:right="-151"/>
              <w:rPr>
                <w:sz w:val="16"/>
                <w:szCs w:val="16"/>
                <w:lang w:val="es-ES_tradnl" w:bidi="th-TH"/>
              </w:rPr>
            </w:pPr>
            <w:r w:rsidRPr="00C75C7E">
              <w:rPr>
                <w:sz w:val="16"/>
                <w:szCs w:val="16"/>
                <w:lang w:val="es-ES_tradnl" w:bidi="th-TH"/>
              </w:rPr>
              <w:t>Índice de satisfacción del 80%.</w:t>
            </w:r>
          </w:p>
          <w:p w:rsidR="004046B6" w:rsidRPr="00C75C7E" w:rsidRDefault="004046B6" w:rsidP="00900936">
            <w:pPr>
              <w:widowControl w:val="0"/>
              <w:ind w:right="-151"/>
              <w:rPr>
                <w:sz w:val="16"/>
                <w:szCs w:val="16"/>
                <w:lang w:val="es-ES_tradnl" w:bidi="th-TH"/>
              </w:rPr>
            </w:pPr>
          </w:p>
          <w:p w:rsidR="004046B6" w:rsidRPr="00C75C7E" w:rsidRDefault="004046B6" w:rsidP="00900936">
            <w:pPr>
              <w:widowControl w:val="0"/>
              <w:ind w:right="-151"/>
              <w:rPr>
                <w:sz w:val="16"/>
                <w:szCs w:val="16"/>
                <w:lang w:val="es-ES_tradnl" w:bidi="th-TH"/>
              </w:rPr>
            </w:pPr>
          </w:p>
          <w:p w:rsidR="004046B6" w:rsidRPr="00C75C7E" w:rsidRDefault="004046B6" w:rsidP="00900936">
            <w:pPr>
              <w:widowControl w:val="0"/>
              <w:ind w:right="-151"/>
              <w:rPr>
                <w:sz w:val="16"/>
                <w:szCs w:val="16"/>
                <w:lang w:val="es-ES_tradnl"/>
              </w:rPr>
            </w:pPr>
          </w:p>
        </w:tc>
        <w:tc>
          <w:tcPr>
            <w:tcW w:w="1084" w:type="pct"/>
            <w:shd w:val="clear" w:color="auto" w:fill="auto"/>
            <w:tcMar>
              <w:top w:w="113" w:type="dxa"/>
            </w:tcMar>
          </w:tcPr>
          <w:p w:rsidR="004046B6" w:rsidRPr="00C75C7E" w:rsidRDefault="004046B6" w:rsidP="00900936">
            <w:pPr>
              <w:widowControl w:val="0"/>
              <w:ind w:right="-151"/>
              <w:rPr>
                <w:bCs/>
                <w:sz w:val="16"/>
                <w:szCs w:val="16"/>
                <w:lang w:val="es-ES_tradnl"/>
              </w:rPr>
            </w:pPr>
            <w:r w:rsidRPr="00C75C7E">
              <w:rPr>
                <w:bCs/>
                <w:sz w:val="16"/>
                <w:szCs w:val="16"/>
                <w:lang w:val="es-ES_tradnl"/>
              </w:rPr>
              <w:t>80% de los países que reciben asistencia técnica.</w:t>
            </w:r>
          </w:p>
        </w:tc>
      </w:tr>
      <w:tr w:rsidR="004046B6" w:rsidRPr="00C75C7E" w:rsidTr="00900936">
        <w:trPr>
          <w:cantSplit/>
          <w:trHeight w:val="542"/>
        </w:trPr>
        <w:tc>
          <w:tcPr>
            <w:tcW w:w="1248" w:type="pct"/>
            <w:shd w:val="clear" w:color="auto" w:fill="auto"/>
            <w:tcMar>
              <w:top w:w="113" w:type="dxa"/>
            </w:tcMar>
          </w:tcPr>
          <w:p w:rsidR="004046B6" w:rsidRPr="00C75C7E" w:rsidRDefault="004046B6" w:rsidP="00900936">
            <w:pPr>
              <w:widowControl w:val="0"/>
              <w:tabs>
                <w:tab w:val="right" w:pos="2835"/>
              </w:tabs>
              <w:spacing w:after="60"/>
              <w:rPr>
                <w:sz w:val="15"/>
                <w:szCs w:val="15"/>
                <w:lang w:val="es-ES_tradnl"/>
              </w:rPr>
            </w:pPr>
            <w:r w:rsidRPr="00C75C7E">
              <w:rPr>
                <w:sz w:val="16"/>
                <w:szCs w:val="16"/>
                <w:lang w:val="es-ES_tradnl"/>
              </w:rPr>
              <w:t>V.2. Ampliación y mejora del uso de los análisis económicos de la OMPI en la formulación de políticas.</w:t>
            </w:r>
            <w:r w:rsidRPr="00C75C7E">
              <w:rPr>
                <w:sz w:val="15"/>
                <w:szCs w:val="15"/>
                <w:lang w:val="es-ES_tradnl"/>
              </w:rPr>
              <w:t xml:space="preserve"> </w:t>
            </w:r>
          </w:p>
          <w:p w:rsidR="004046B6" w:rsidRPr="00C75C7E" w:rsidRDefault="004046B6" w:rsidP="00900936">
            <w:pPr>
              <w:widowControl w:val="0"/>
              <w:rPr>
                <w:sz w:val="16"/>
                <w:szCs w:val="16"/>
                <w:lang w:val="es-ES_tradnl"/>
              </w:rPr>
            </w:pPr>
          </w:p>
        </w:tc>
        <w:tc>
          <w:tcPr>
            <w:tcW w:w="1514" w:type="pct"/>
            <w:shd w:val="clear" w:color="auto" w:fill="auto"/>
            <w:tcMar>
              <w:top w:w="113" w:type="dxa"/>
            </w:tcMar>
          </w:tcPr>
          <w:p w:rsidR="004046B6" w:rsidRPr="00C75C7E" w:rsidRDefault="004046B6" w:rsidP="00900936">
            <w:pPr>
              <w:widowControl w:val="0"/>
              <w:rPr>
                <w:sz w:val="16"/>
                <w:szCs w:val="16"/>
                <w:lang w:val="es-ES_tradnl"/>
              </w:rPr>
            </w:pPr>
            <w:r w:rsidRPr="00C75C7E">
              <w:rPr>
                <w:sz w:val="16"/>
                <w:szCs w:val="16"/>
                <w:lang w:val="es-ES_tradnl"/>
              </w:rPr>
              <w:t>Uso de estudios económicos de la OMPI sobre derecho de autor en la toma de decisiones de gobiernos y ONG.</w:t>
            </w:r>
          </w:p>
        </w:tc>
        <w:tc>
          <w:tcPr>
            <w:tcW w:w="1154" w:type="pct"/>
            <w:shd w:val="clear" w:color="auto" w:fill="FFFFFF"/>
            <w:tcMar>
              <w:top w:w="113" w:type="dxa"/>
            </w:tcMar>
          </w:tcPr>
          <w:p w:rsidR="004046B6" w:rsidRPr="00C75C7E" w:rsidRDefault="004046B6" w:rsidP="00900936">
            <w:pPr>
              <w:widowControl w:val="0"/>
              <w:rPr>
                <w:sz w:val="16"/>
                <w:szCs w:val="16"/>
                <w:lang w:val="es-ES_tradnl" w:bidi="th-TH"/>
              </w:rPr>
            </w:pPr>
            <w:r w:rsidRPr="00C75C7E">
              <w:rPr>
                <w:sz w:val="16"/>
                <w:szCs w:val="16"/>
                <w:lang w:val="es-ES_tradnl" w:bidi="th-TH"/>
              </w:rPr>
              <w:t>Ocho gobiernos u ONG que utilizan los estudios de la OMPI.</w:t>
            </w:r>
          </w:p>
        </w:tc>
        <w:tc>
          <w:tcPr>
            <w:tcW w:w="1084" w:type="pct"/>
            <w:shd w:val="clear" w:color="auto" w:fill="auto"/>
            <w:tcMar>
              <w:top w:w="113" w:type="dxa"/>
            </w:tcMar>
          </w:tcPr>
          <w:p w:rsidR="004046B6" w:rsidRPr="00C75C7E" w:rsidRDefault="004046B6" w:rsidP="00900936">
            <w:pPr>
              <w:widowControl w:val="0"/>
              <w:ind w:right="161"/>
              <w:rPr>
                <w:bCs/>
                <w:sz w:val="16"/>
                <w:szCs w:val="16"/>
                <w:lang w:val="es-ES_tradnl"/>
              </w:rPr>
            </w:pPr>
            <w:r w:rsidRPr="00C75C7E">
              <w:rPr>
                <w:bCs/>
                <w:sz w:val="16"/>
                <w:szCs w:val="16"/>
                <w:lang w:val="es-ES_tradnl"/>
              </w:rPr>
              <w:t>12 gobiernos u ONG que utilizan los estudios de la OMPI. (en total)</w:t>
            </w:r>
          </w:p>
        </w:tc>
      </w:tr>
      <w:tr w:rsidR="004046B6" w:rsidRPr="00C75C7E" w:rsidTr="00900936">
        <w:trPr>
          <w:cantSplit/>
        </w:trPr>
        <w:tc>
          <w:tcPr>
            <w:tcW w:w="1248" w:type="pct"/>
            <w:shd w:val="clear" w:color="auto" w:fill="auto"/>
            <w:tcMar>
              <w:top w:w="113" w:type="dxa"/>
            </w:tcMar>
          </w:tcPr>
          <w:p w:rsidR="004046B6" w:rsidRPr="00C75C7E" w:rsidRDefault="004046B6" w:rsidP="00900936">
            <w:pPr>
              <w:widowControl w:val="0"/>
              <w:rPr>
                <w:sz w:val="16"/>
                <w:szCs w:val="16"/>
                <w:lang w:val="es-ES_tradnl"/>
              </w:rPr>
            </w:pPr>
          </w:p>
        </w:tc>
        <w:tc>
          <w:tcPr>
            <w:tcW w:w="1514" w:type="pct"/>
            <w:shd w:val="clear" w:color="auto" w:fill="auto"/>
            <w:tcMar>
              <w:top w:w="113" w:type="dxa"/>
            </w:tcMar>
          </w:tcPr>
          <w:p w:rsidR="004046B6" w:rsidRPr="00C75C7E" w:rsidRDefault="004046B6" w:rsidP="00900936">
            <w:pPr>
              <w:widowControl w:val="0"/>
              <w:rPr>
                <w:sz w:val="16"/>
                <w:szCs w:val="16"/>
                <w:lang w:val="es-ES_tradnl"/>
              </w:rPr>
            </w:pPr>
            <w:r w:rsidRPr="00C75C7E">
              <w:rPr>
                <w:sz w:val="16"/>
                <w:szCs w:val="16"/>
                <w:lang w:val="es-ES_tradnl"/>
              </w:rPr>
              <w:t>Iniciativas nacionales para elaborar nuevas estadísticas sobre las industrias creativas teniendo en cuenta la labor de la OMPI en ese ámbito.</w:t>
            </w:r>
          </w:p>
        </w:tc>
        <w:tc>
          <w:tcPr>
            <w:tcW w:w="1154" w:type="pct"/>
            <w:shd w:val="clear" w:color="auto" w:fill="FFFFFF"/>
            <w:tcMar>
              <w:top w:w="113" w:type="dxa"/>
            </w:tcMar>
          </w:tcPr>
          <w:p w:rsidR="004046B6" w:rsidRPr="00C75C7E" w:rsidRDefault="004046B6" w:rsidP="00900936">
            <w:pPr>
              <w:widowControl w:val="0"/>
              <w:rPr>
                <w:sz w:val="16"/>
                <w:szCs w:val="16"/>
                <w:lang w:val="es-ES_tradnl" w:bidi="th-TH"/>
              </w:rPr>
            </w:pPr>
            <w:r w:rsidRPr="00C75C7E">
              <w:rPr>
                <w:sz w:val="16"/>
                <w:szCs w:val="16"/>
                <w:lang w:val="es-ES_tradnl" w:bidi="th-TH"/>
              </w:rPr>
              <w:t>10 iniciativas nacionales.</w:t>
            </w:r>
          </w:p>
          <w:p w:rsidR="004046B6" w:rsidRPr="00C75C7E" w:rsidRDefault="004046B6" w:rsidP="00900936">
            <w:pPr>
              <w:widowControl w:val="0"/>
              <w:rPr>
                <w:sz w:val="16"/>
                <w:szCs w:val="16"/>
                <w:lang w:val="es-ES_tradnl" w:bidi="th-TH"/>
              </w:rPr>
            </w:pPr>
          </w:p>
        </w:tc>
        <w:tc>
          <w:tcPr>
            <w:tcW w:w="1084" w:type="pct"/>
            <w:shd w:val="clear" w:color="auto" w:fill="auto"/>
            <w:tcMar>
              <w:top w:w="113" w:type="dxa"/>
            </w:tcMar>
          </w:tcPr>
          <w:p w:rsidR="004046B6" w:rsidRPr="00C75C7E" w:rsidRDefault="004046B6" w:rsidP="00900936">
            <w:pPr>
              <w:widowControl w:val="0"/>
              <w:ind w:right="161"/>
              <w:rPr>
                <w:bCs/>
                <w:sz w:val="16"/>
                <w:szCs w:val="16"/>
                <w:lang w:val="es-ES_tradnl"/>
              </w:rPr>
            </w:pPr>
            <w:r w:rsidRPr="00C75C7E">
              <w:rPr>
                <w:bCs/>
                <w:sz w:val="16"/>
                <w:szCs w:val="16"/>
                <w:lang w:val="es-ES_tradnl"/>
              </w:rPr>
              <w:t>15 (en total)</w:t>
            </w:r>
          </w:p>
        </w:tc>
      </w:tr>
    </w:tbl>
    <w:p w:rsidR="004046B6" w:rsidRDefault="004046B6" w:rsidP="004046B6">
      <w:pPr>
        <w:widowControl w:val="0"/>
        <w:autoSpaceDE w:val="0"/>
        <w:autoSpaceDN w:val="0"/>
        <w:adjustRightInd w:val="0"/>
        <w:jc w:val="both"/>
        <w:rPr>
          <w:szCs w:val="22"/>
          <w:lang w:val="es-ES_tradnl"/>
        </w:rPr>
      </w:pPr>
    </w:p>
    <w:p w:rsidR="00546AD7" w:rsidRPr="006B0DE9" w:rsidRDefault="00546AD7" w:rsidP="00546AD7">
      <w:pPr>
        <w:widowControl w:val="0"/>
        <w:autoSpaceDE w:val="0"/>
        <w:autoSpaceDN w:val="0"/>
        <w:adjustRightInd w:val="0"/>
        <w:jc w:val="both"/>
        <w:rPr>
          <w:szCs w:val="22"/>
        </w:rPr>
      </w:pPr>
    </w:p>
    <w:p w:rsidR="00546AD7" w:rsidRPr="006B0DE9" w:rsidRDefault="00546AD7" w:rsidP="00546AD7">
      <w:pPr>
        <w:widowControl w:val="0"/>
        <w:autoSpaceDE w:val="0"/>
        <w:autoSpaceDN w:val="0"/>
        <w:adjustRightInd w:val="0"/>
        <w:jc w:val="both"/>
        <w:rPr>
          <w:szCs w:val="22"/>
        </w:rPr>
      </w:pPr>
      <w:r w:rsidRPr="006B0DE9">
        <w:rPr>
          <w:szCs w:val="22"/>
        </w:rPr>
        <w:t>RECURSOS PARA EL PROGRAMA 3</w:t>
      </w:r>
    </w:p>
    <w:p w:rsidR="00546AD7" w:rsidRPr="006B0DE9" w:rsidRDefault="00546AD7" w:rsidP="00546AD7">
      <w:pPr>
        <w:widowControl w:val="0"/>
        <w:autoSpaceDE w:val="0"/>
        <w:autoSpaceDN w:val="0"/>
        <w:adjustRightInd w:val="0"/>
        <w:jc w:val="both"/>
        <w:rPr>
          <w:sz w:val="20"/>
        </w:rPr>
      </w:pPr>
    </w:p>
    <w:p w:rsidR="00546AD7" w:rsidRPr="006B0DE9" w:rsidRDefault="00546AD7" w:rsidP="00546AD7">
      <w:pPr>
        <w:widowControl w:val="0"/>
        <w:autoSpaceDE w:val="0"/>
        <w:autoSpaceDN w:val="0"/>
        <w:adjustRightInd w:val="0"/>
        <w:jc w:val="both"/>
        <w:rPr>
          <w:sz w:val="20"/>
        </w:rPr>
      </w:pPr>
    </w:p>
    <w:p w:rsidR="00546AD7" w:rsidRPr="006B0DE9" w:rsidRDefault="00546AD7" w:rsidP="00BA276E">
      <w:pPr>
        <w:widowControl w:val="0"/>
        <w:numPr>
          <w:ilvl w:val="0"/>
          <w:numId w:val="21"/>
        </w:numPr>
        <w:autoSpaceDE w:val="0"/>
        <w:autoSpaceDN w:val="0"/>
        <w:adjustRightInd w:val="0"/>
        <w:jc w:val="both"/>
        <w:rPr>
          <w:sz w:val="20"/>
        </w:rPr>
      </w:pPr>
      <w:r w:rsidRPr="006B0DE9">
        <w:rPr>
          <w:sz w:val="20"/>
        </w:rPr>
        <w:t xml:space="preserve">Los recursos que se destinan al resultado I.1 (Elaboración de marcos normativos internacionales equilibrados para la P.I.) en el bienio 2014/15 son inferiores a los del presupuesto para el bienio 2012/13 después de la transferencias, debido a que no se incluye </w:t>
      </w:r>
      <w:r w:rsidR="003A4B0F">
        <w:rPr>
          <w:sz w:val="20"/>
        </w:rPr>
        <w:t>ninguna partida</w:t>
      </w:r>
      <w:r w:rsidRPr="006B0DE9">
        <w:rPr>
          <w:sz w:val="20"/>
        </w:rPr>
        <w:t xml:space="preserve"> para la celebración de una conferencia diplomática en el marco de este programa durante el bienio próximo.  Esto provoca una reducción en las líneas “Misiones del personal”, “Viajes de terceros” y “Conferencias”.</w:t>
      </w:r>
    </w:p>
    <w:p w:rsidR="00546AD7" w:rsidRPr="006B0DE9" w:rsidRDefault="00546AD7" w:rsidP="009B58F5">
      <w:pPr>
        <w:widowControl w:val="0"/>
        <w:jc w:val="both"/>
        <w:rPr>
          <w:sz w:val="20"/>
        </w:rPr>
      </w:pPr>
    </w:p>
    <w:p w:rsidR="00546AD7" w:rsidRPr="006B0DE9" w:rsidRDefault="00546AD7" w:rsidP="00BA276E">
      <w:pPr>
        <w:widowControl w:val="0"/>
        <w:numPr>
          <w:ilvl w:val="0"/>
          <w:numId w:val="21"/>
        </w:numPr>
        <w:autoSpaceDE w:val="0"/>
        <w:autoSpaceDN w:val="0"/>
        <w:adjustRightInd w:val="0"/>
        <w:jc w:val="both"/>
        <w:rPr>
          <w:sz w:val="20"/>
        </w:rPr>
      </w:pPr>
      <w:r>
        <w:rPr>
          <w:sz w:val="20"/>
        </w:rPr>
        <w:t>S</w:t>
      </w:r>
      <w:r w:rsidRPr="006B0DE9">
        <w:rPr>
          <w:sz w:val="20"/>
        </w:rPr>
        <w:t xml:space="preserve">e incrementa </w:t>
      </w:r>
      <w:r>
        <w:rPr>
          <w:sz w:val="20"/>
        </w:rPr>
        <w:t>l</w:t>
      </w:r>
      <w:r w:rsidRPr="006B0DE9">
        <w:rPr>
          <w:sz w:val="20"/>
        </w:rPr>
        <w:t>a propuesta de recursos en relación con el resultado I.2 (Asesoramiento legislativo) debido a que se espera que la aplicación del Tratado de Beijing y de la propuesta de Tratado de Marrakech traigan consigo un aumento de las solicitudes de asesoramiento legislativo.</w:t>
      </w:r>
    </w:p>
    <w:p w:rsidR="00546AD7" w:rsidRPr="006B0DE9" w:rsidRDefault="00546AD7" w:rsidP="00546AD7">
      <w:pPr>
        <w:widowControl w:val="0"/>
      </w:pPr>
    </w:p>
    <w:p w:rsidR="00546AD7" w:rsidRPr="006B0DE9" w:rsidRDefault="00546AD7" w:rsidP="00BA276E">
      <w:pPr>
        <w:widowControl w:val="0"/>
        <w:numPr>
          <w:ilvl w:val="0"/>
          <w:numId w:val="21"/>
        </w:numPr>
        <w:autoSpaceDE w:val="0"/>
        <w:autoSpaceDN w:val="0"/>
        <w:adjustRightInd w:val="0"/>
        <w:jc w:val="both"/>
        <w:rPr>
          <w:sz w:val="20"/>
        </w:rPr>
      </w:pPr>
      <w:r w:rsidRPr="006B0DE9">
        <w:rPr>
          <w:sz w:val="20"/>
        </w:rPr>
        <w:t>El aumento de los recursos destinados al resultado III.2 (Mejora de las capacidades en el ámbito de los recursos humanos) se debe fundamentalmente a la continuación del proyecto de la A.D. sobre Fortalecimiento y desarrollo del sector audiovisual en Burkina Faso y en determinados países de África durante el bienio 2014/15, prestando más atención al fortalecimiento de la gestión colectiva.  Esto produce un ligero aumento en la línea “Becas de formación”.</w:t>
      </w:r>
    </w:p>
    <w:p w:rsidR="00546AD7" w:rsidRPr="006B0DE9" w:rsidRDefault="00546AD7" w:rsidP="00546AD7">
      <w:pPr>
        <w:widowControl w:val="0"/>
        <w:jc w:val="both"/>
        <w:rPr>
          <w:sz w:val="20"/>
        </w:rPr>
      </w:pPr>
    </w:p>
    <w:p w:rsidR="00546AD7" w:rsidRPr="006B0DE9" w:rsidRDefault="00546AD7" w:rsidP="00214E52">
      <w:pPr>
        <w:keepNext/>
        <w:keepLines/>
        <w:widowControl w:val="0"/>
        <w:numPr>
          <w:ilvl w:val="0"/>
          <w:numId w:val="21"/>
        </w:numPr>
        <w:autoSpaceDE w:val="0"/>
        <w:autoSpaceDN w:val="0"/>
        <w:adjustRightInd w:val="0"/>
        <w:jc w:val="both"/>
        <w:rPr>
          <w:sz w:val="20"/>
        </w:rPr>
      </w:pPr>
      <w:r w:rsidRPr="006B0DE9">
        <w:rPr>
          <w:sz w:val="20"/>
        </w:rPr>
        <w:lastRenderedPageBreak/>
        <w:t>La disminución de los recursos destinados al resultado IV.4 (Mejora en la infraestructura técnica y de conocimientos) se debe a la aplicación del modelo estándar para la ejecución de proyectos y actividades en materia de infraestructuras orientados hacia el exterior</w:t>
      </w:r>
      <w:r>
        <w:rPr>
          <w:sz w:val="20"/>
        </w:rPr>
        <w:t>,</w:t>
      </w:r>
      <w:r w:rsidRPr="006B0DE9">
        <w:rPr>
          <w:sz w:val="20"/>
        </w:rPr>
        <w:t xml:space="preserve"> que contribuyen a la consecución de la </w:t>
      </w:r>
      <w:r w:rsidR="003C43BF">
        <w:rPr>
          <w:sz w:val="20"/>
        </w:rPr>
        <w:t>m</w:t>
      </w:r>
      <w:r w:rsidRPr="006B0DE9">
        <w:rPr>
          <w:sz w:val="20"/>
        </w:rPr>
        <w:t xml:space="preserve">eta </w:t>
      </w:r>
      <w:r w:rsidR="003C43BF">
        <w:rPr>
          <w:sz w:val="20"/>
        </w:rPr>
        <w:t>e</w:t>
      </w:r>
      <w:r w:rsidRPr="006B0DE9">
        <w:rPr>
          <w:sz w:val="20"/>
        </w:rPr>
        <w:t>stratégica IV</w:t>
      </w:r>
      <w:r>
        <w:rPr>
          <w:sz w:val="20"/>
        </w:rPr>
        <w:t>,</w:t>
      </w:r>
      <w:r w:rsidRPr="006B0DE9">
        <w:rPr>
          <w:sz w:val="20"/>
        </w:rPr>
        <w:t xml:space="preserve"> y a que los programas especializados están tomando la iniciativa en materia comercial y los programas relacionados con la infraestructura mundial están asumiendo la responsabilidad respecto del desarrollo y la puesta en práctica de los componentes técnicos de T.I. asociados.  Esto ha hecho que sea necesario redistribuir los recursos de personal así como disminuir los recursos no relativos al personal en la línea “Otros servicios contractuales”.</w:t>
      </w:r>
    </w:p>
    <w:p w:rsidR="00546AD7" w:rsidRPr="006B0DE9" w:rsidRDefault="00546AD7" w:rsidP="00546AD7">
      <w:pPr>
        <w:widowControl w:val="0"/>
        <w:jc w:val="both"/>
        <w:rPr>
          <w:sz w:val="20"/>
        </w:rPr>
      </w:pPr>
    </w:p>
    <w:p w:rsidR="00546AD7" w:rsidRPr="006B0DE9" w:rsidRDefault="00546AD7" w:rsidP="00BA276E">
      <w:pPr>
        <w:widowControl w:val="0"/>
        <w:numPr>
          <w:ilvl w:val="0"/>
          <w:numId w:val="21"/>
        </w:numPr>
        <w:autoSpaceDE w:val="0"/>
        <w:autoSpaceDN w:val="0"/>
        <w:adjustRightInd w:val="0"/>
        <w:jc w:val="both"/>
        <w:rPr>
          <w:sz w:val="20"/>
        </w:rPr>
      </w:pPr>
      <w:r w:rsidRPr="006B0DE9">
        <w:rPr>
          <w:sz w:val="20"/>
        </w:rPr>
        <w:t>La disminución de la propuesta de recursos para estudios sobre el derecho de autor en el marco del resultado V.2 (Ampliación y mejora del uso de los análisis económicos de la OMPI) es el reflejo del objetivo de reducir ligeramente el número de este tipo de estudios que se realicen durante el bienio próximo en comparación con el bienio 2012/13.  Esto se traduce en una disminución de los recursos, sobre todo en lo que respecta a Misiones del personal.</w:t>
      </w:r>
    </w:p>
    <w:p w:rsidR="00546AD7" w:rsidRPr="006B0DE9" w:rsidRDefault="00546AD7" w:rsidP="00546AD7">
      <w:pPr>
        <w:widowControl w:val="0"/>
        <w:autoSpaceDE w:val="0"/>
        <w:autoSpaceDN w:val="0"/>
        <w:adjustRightInd w:val="0"/>
        <w:jc w:val="both"/>
        <w:rPr>
          <w:sz w:val="20"/>
        </w:rPr>
      </w:pPr>
    </w:p>
    <w:p w:rsidR="00546AD7" w:rsidRPr="00C75C7E" w:rsidRDefault="00546AD7" w:rsidP="004046B6">
      <w:pPr>
        <w:widowControl w:val="0"/>
        <w:autoSpaceDE w:val="0"/>
        <w:autoSpaceDN w:val="0"/>
        <w:adjustRightInd w:val="0"/>
        <w:jc w:val="both"/>
        <w:rPr>
          <w:szCs w:val="22"/>
          <w:lang w:val="es-ES_tradnl"/>
        </w:rPr>
      </w:pPr>
    </w:p>
    <w:p w:rsidR="004046B6" w:rsidRPr="00C75C7E" w:rsidRDefault="00D06458" w:rsidP="00DB66CC">
      <w:pPr>
        <w:widowControl w:val="0"/>
        <w:autoSpaceDE w:val="0"/>
        <w:autoSpaceDN w:val="0"/>
        <w:adjustRightInd w:val="0"/>
        <w:jc w:val="center"/>
        <w:rPr>
          <w:b/>
          <w:bCs/>
          <w:iCs/>
          <w:sz w:val="20"/>
          <w:lang w:val="es-ES_tradnl"/>
        </w:rPr>
      </w:pPr>
      <w:r>
        <w:rPr>
          <w:b/>
          <w:bCs/>
          <w:iCs/>
          <w:sz w:val="20"/>
          <w:lang w:val="es-ES_tradnl"/>
        </w:rPr>
        <w:t xml:space="preserve">Programa 3:  </w:t>
      </w:r>
      <w:r w:rsidR="004046B6" w:rsidRPr="00C75C7E">
        <w:rPr>
          <w:b/>
          <w:bCs/>
          <w:iCs/>
          <w:sz w:val="20"/>
          <w:lang w:val="es-ES_tradnl"/>
        </w:rPr>
        <w:t>Recursos por resultado</w:t>
      </w:r>
    </w:p>
    <w:p w:rsidR="004046B6" w:rsidRPr="00C75C7E" w:rsidRDefault="004046B6" w:rsidP="00DB66CC">
      <w:pPr>
        <w:widowControl w:val="0"/>
        <w:autoSpaceDE w:val="0"/>
        <w:autoSpaceDN w:val="0"/>
        <w:adjustRightInd w:val="0"/>
        <w:jc w:val="center"/>
        <w:rPr>
          <w:b/>
          <w:i/>
          <w:sz w:val="18"/>
          <w:szCs w:val="18"/>
          <w:lang w:val="es-ES_tradnl"/>
        </w:rPr>
      </w:pPr>
      <w:r w:rsidRPr="00C75C7E">
        <w:rPr>
          <w:bCs/>
          <w:i/>
          <w:sz w:val="20"/>
          <w:lang w:val="es-ES_tradnl"/>
        </w:rPr>
        <w:t>(en miles de francos suizos)</w:t>
      </w:r>
    </w:p>
    <w:p w:rsidR="004046B6" w:rsidRPr="00C75C7E" w:rsidRDefault="004046B6" w:rsidP="00DB66CC">
      <w:pPr>
        <w:widowControl w:val="0"/>
        <w:autoSpaceDE w:val="0"/>
        <w:autoSpaceDN w:val="0"/>
        <w:adjustRightInd w:val="0"/>
        <w:jc w:val="center"/>
        <w:rPr>
          <w:i/>
          <w:sz w:val="18"/>
          <w:szCs w:val="18"/>
          <w:lang w:val="es-ES_tradnl"/>
        </w:rPr>
      </w:pPr>
    </w:p>
    <w:p w:rsidR="004046B6" w:rsidRPr="00C75C7E" w:rsidRDefault="00214E52" w:rsidP="00DB66CC">
      <w:pPr>
        <w:widowControl w:val="0"/>
        <w:autoSpaceDE w:val="0"/>
        <w:autoSpaceDN w:val="0"/>
        <w:adjustRightInd w:val="0"/>
        <w:jc w:val="center"/>
        <w:rPr>
          <w:sz w:val="18"/>
          <w:szCs w:val="18"/>
          <w:lang w:val="es-ES_tradnl"/>
        </w:rPr>
      </w:pPr>
      <w:r w:rsidRPr="00214E52">
        <w:rPr>
          <w:noProof/>
          <w:lang w:val="en-US" w:eastAsia="en-US"/>
        </w:rPr>
        <w:drawing>
          <wp:inline distT="0" distB="0" distL="0" distR="0" wp14:anchorId="1E2E3F9A" wp14:editId="6F4ABEF3">
            <wp:extent cx="5934075" cy="3848100"/>
            <wp:effectExtent l="0" t="0" r="9525"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934075" cy="3848100"/>
                    </a:xfrm>
                    <a:prstGeom prst="rect">
                      <a:avLst/>
                    </a:prstGeom>
                    <a:noFill/>
                    <a:ln>
                      <a:noFill/>
                    </a:ln>
                  </pic:spPr>
                </pic:pic>
              </a:graphicData>
            </a:graphic>
          </wp:inline>
        </w:drawing>
      </w:r>
      <w:r w:rsidR="000F4438" w:rsidRPr="000F4438">
        <w:t xml:space="preserve"> </w:t>
      </w:r>
    </w:p>
    <w:p w:rsidR="004046B6" w:rsidRPr="00C75C7E" w:rsidRDefault="004046B6" w:rsidP="004046B6">
      <w:pPr>
        <w:widowControl w:val="0"/>
        <w:autoSpaceDE w:val="0"/>
        <w:autoSpaceDN w:val="0"/>
        <w:adjustRightInd w:val="0"/>
        <w:rPr>
          <w:sz w:val="18"/>
          <w:szCs w:val="18"/>
          <w:lang w:val="es-ES_tradnl"/>
        </w:rPr>
      </w:pPr>
    </w:p>
    <w:p w:rsidR="004046B6" w:rsidRPr="00C75C7E" w:rsidRDefault="004046B6" w:rsidP="004046B6">
      <w:pPr>
        <w:widowControl w:val="0"/>
        <w:autoSpaceDE w:val="0"/>
        <w:autoSpaceDN w:val="0"/>
        <w:adjustRightInd w:val="0"/>
        <w:rPr>
          <w:sz w:val="20"/>
          <w:lang w:val="es-ES_tradnl"/>
        </w:rPr>
      </w:pPr>
      <w:r w:rsidRPr="00C75C7E">
        <w:rPr>
          <w:sz w:val="16"/>
          <w:szCs w:val="16"/>
          <w:lang w:val="es-ES_tradnl"/>
        </w:rPr>
        <w:t xml:space="preserve">Nota: </w:t>
      </w:r>
      <w:r>
        <w:rPr>
          <w:sz w:val="16"/>
          <w:szCs w:val="16"/>
          <w:lang w:val="es-ES_tradnl"/>
        </w:rPr>
        <w:t xml:space="preserve"> </w:t>
      </w:r>
      <w:r w:rsidRPr="00C75C7E">
        <w:rPr>
          <w:sz w:val="16"/>
          <w:szCs w:val="16"/>
          <w:lang w:val="es-ES_tradnl"/>
        </w:rPr>
        <w:t>Se ha reexpresado el presupuesto aprobado de 2012/13 y el presupuesto de dicho bienio después de las transferencias, por resultado previsto, para reflejar el marco de resultados de la Organización propuesto para 2014/15.</w:t>
      </w:r>
    </w:p>
    <w:p w:rsidR="004046B6" w:rsidRPr="00C75C7E" w:rsidRDefault="004046B6" w:rsidP="004046B6">
      <w:pPr>
        <w:widowControl w:val="0"/>
        <w:autoSpaceDE w:val="0"/>
        <w:autoSpaceDN w:val="0"/>
        <w:adjustRightInd w:val="0"/>
        <w:rPr>
          <w:sz w:val="18"/>
          <w:szCs w:val="18"/>
          <w:lang w:val="es-ES_tradnl"/>
        </w:rPr>
      </w:pPr>
    </w:p>
    <w:p w:rsidR="004046B6" w:rsidRPr="00C75C7E" w:rsidRDefault="004046B6" w:rsidP="004046B6">
      <w:pPr>
        <w:widowControl w:val="0"/>
        <w:autoSpaceDE w:val="0"/>
        <w:autoSpaceDN w:val="0"/>
        <w:adjustRightInd w:val="0"/>
        <w:rPr>
          <w:sz w:val="18"/>
          <w:szCs w:val="18"/>
          <w:lang w:val="es-ES_tradnl"/>
        </w:rPr>
      </w:pPr>
    </w:p>
    <w:p w:rsidR="004046B6" w:rsidRPr="00C75C7E" w:rsidRDefault="000F4438" w:rsidP="009B58F5">
      <w:pPr>
        <w:keepNext/>
        <w:widowControl w:val="0"/>
        <w:autoSpaceDE w:val="0"/>
        <w:autoSpaceDN w:val="0"/>
        <w:adjustRightInd w:val="0"/>
        <w:jc w:val="center"/>
        <w:rPr>
          <w:b/>
          <w:bCs/>
          <w:iCs/>
          <w:sz w:val="20"/>
          <w:lang w:val="es-ES_tradnl"/>
        </w:rPr>
      </w:pPr>
      <w:r>
        <w:rPr>
          <w:b/>
          <w:bCs/>
          <w:iCs/>
          <w:sz w:val="20"/>
          <w:lang w:val="es-ES_tradnl"/>
        </w:rPr>
        <w:lastRenderedPageBreak/>
        <w:t xml:space="preserve">Programa 3:  </w:t>
      </w:r>
      <w:r w:rsidR="004046B6" w:rsidRPr="00C75C7E">
        <w:rPr>
          <w:b/>
          <w:bCs/>
          <w:iCs/>
          <w:sz w:val="20"/>
          <w:lang w:val="es-ES_tradnl"/>
        </w:rPr>
        <w:t>Recursos por objeto de gasto</w:t>
      </w:r>
    </w:p>
    <w:p w:rsidR="004046B6" w:rsidRPr="00C75C7E" w:rsidRDefault="004046B6" w:rsidP="009B58F5">
      <w:pPr>
        <w:keepNext/>
        <w:widowControl w:val="0"/>
        <w:autoSpaceDE w:val="0"/>
        <w:autoSpaceDN w:val="0"/>
        <w:adjustRightInd w:val="0"/>
        <w:jc w:val="center"/>
        <w:rPr>
          <w:i/>
          <w:sz w:val="18"/>
          <w:szCs w:val="18"/>
          <w:lang w:val="es-ES_tradnl"/>
        </w:rPr>
      </w:pPr>
      <w:r w:rsidRPr="00C75C7E">
        <w:rPr>
          <w:bCs/>
          <w:i/>
          <w:sz w:val="20"/>
          <w:lang w:val="es-ES_tradnl"/>
        </w:rPr>
        <w:t>(en miles de francos suizos)</w:t>
      </w:r>
    </w:p>
    <w:p w:rsidR="004046B6" w:rsidRDefault="004046B6" w:rsidP="009B58F5">
      <w:pPr>
        <w:keepNext/>
        <w:widowControl w:val="0"/>
        <w:autoSpaceDE w:val="0"/>
        <w:autoSpaceDN w:val="0"/>
        <w:adjustRightInd w:val="0"/>
        <w:jc w:val="center"/>
        <w:rPr>
          <w:sz w:val="20"/>
          <w:lang w:val="es-ES_tradnl"/>
        </w:rPr>
      </w:pPr>
    </w:p>
    <w:p w:rsidR="00723CAF" w:rsidRPr="00C75C7E" w:rsidRDefault="00C40A11" w:rsidP="009B58F5">
      <w:pPr>
        <w:keepNext/>
        <w:widowControl w:val="0"/>
        <w:autoSpaceDE w:val="0"/>
        <w:autoSpaceDN w:val="0"/>
        <w:adjustRightInd w:val="0"/>
        <w:jc w:val="center"/>
        <w:rPr>
          <w:sz w:val="20"/>
          <w:lang w:val="es-ES_tradnl"/>
        </w:rPr>
      </w:pPr>
      <w:r>
        <w:rPr>
          <w:noProof/>
          <w:lang w:val="en-US" w:eastAsia="en-US"/>
        </w:rPr>
        <w:drawing>
          <wp:inline distT="0" distB="0" distL="0" distR="0" wp14:anchorId="218C5F79" wp14:editId="21376DB7">
            <wp:extent cx="5936615" cy="6209665"/>
            <wp:effectExtent l="0" t="0" r="6985" b="63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936615" cy="6209665"/>
                    </a:xfrm>
                    <a:prstGeom prst="rect">
                      <a:avLst/>
                    </a:prstGeom>
                    <a:noFill/>
                    <a:ln>
                      <a:noFill/>
                    </a:ln>
                  </pic:spPr>
                </pic:pic>
              </a:graphicData>
            </a:graphic>
          </wp:inline>
        </w:drawing>
      </w:r>
    </w:p>
    <w:p w:rsidR="004046B6" w:rsidRPr="00C75C7E" w:rsidRDefault="004046B6" w:rsidP="0079447F">
      <w:pPr>
        <w:widowControl w:val="0"/>
        <w:autoSpaceDE w:val="0"/>
        <w:autoSpaceDN w:val="0"/>
        <w:adjustRightInd w:val="0"/>
        <w:rPr>
          <w:sz w:val="20"/>
          <w:lang w:val="es-ES_tradnl"/>
        </w:rPr>
      </w:pPr>
    </w:p>
    <w:p w:rsidR="004046B6" w:rsidRPr="00C75C7E" w:rsidRDefault="004046B6" w:rsidP="004046B6">
      <w:pPr>
        <w:widowControl w:val="0"/>
        <w:rPr>
          <w:sz w:val="16"/>
          <w:szCs w:val="16"/>
          <w:lang w:val="es-ES_tradnl"/>
        </w:rPr>
      </w:pPr>
      <w:r w:rsidRPr="00C75C7E">
        <w:rPr>
          <w:sz w:val="16"/>
          <w:szCs w:val="16"/>
          <w:lang w:val="es-ES_tradnl"/>
        </w:rPr>
        <w:t>Notas:</w:t>
      </w:r>
    </w:p>
    <w:p w:rsidR="004046B6" w:rsidRPr="00C75C7E" w:rsidRDefault="004046B6" w:rsidP="004046B6">
      <w:pPr>
        <w:widowControl w:val="0"/>
        <w:rPr>
          <w:sz w:val="16"/>
          <w:szCs w:val="16"/>
          <w:u w:val="single"/>
          <w:lang w:val="es-ES_tradnl"/>
        </w:rPr>
      </w:pPr>
    </w:p>
    <w:p w:rsidR="004046B6" w:rsidRDefault="00450C3A" w:rsidP="00450C3A">
      <w:pPr>
        <w:widowControl w:val="0"/>
        <w:rPr>
          <w:sz w:val="16"/>
          <w:szCs w:val="16"/>
          <w:lang w:val="es-ES_tradnl"/>
        </w:rPr>
      </w:pPr>
      <w:r>
        <w:rPr>
          <w:sz w:val="16"/>
          <w:szCs w:val="16"/>
          <w:lang w:val="es-ES_tradnl"/>
        </w:rPr>
        <w:t xml:space="preserve">1)  </w:t>
      </w:r>
      <w:r w:rsidR="004046B6" w:rsidRPr="00C75C7E">
        <w:rPr>
          <w:sz w:val="16"/>
          <w:szCs w:val="16"/>
          <w:lang w:val="es-ES_tradnl"/>
        </w:rPr>
        <w:t>El presupuesto aprobado de 2012/13 y el presupuesto de dicho bienio después de las transferencias se reexpresan sobre la base de la estructura de categorías de costos propuesta para 2014/15.</w:t>
      </w:r>
    </w:p>
    <w:p w:rsidR="004046B6" w:rsidRPr="00C75C7E" w:rsidRDefault="004046B6" w:rsidP="004046B6">
      <w:pPr>
        <w:widowControl w:val="0"/>
        <w:rPr>
          <w:sz w:val="16"/>
          <w:szCs w:val="16"/>
          <w:lang w:val="es-ES_tradnl"/>
        </w:rPr>
      </w:pPr>
    </w:p>
    <w:p w:rsidR="004046B6" w:rsidRDefault="00450C3A" w:rsidP="004046B6">
      <w:pPr>
        <w:widowControl w:val="0"/>
        <w:rPr>
          <w:rFonts w:cs="ArialMT"/>
          <w:sz w:val="16"/>
          <w:szCs w:val="16"/>
          <w:lang w:val="es-ES_tradnl"/>
        </w:rPr>
      </w:pPr>
      <w:r>
        <w:rPr>
          <w:sz w:val="16"/>
          <w:szCs w:val="16"/>
          <w:lang w:val="es-ES_tradnl"/>
        </w:rPr>
        <w:t xml:space="preserve">2)  </w:t>
      </w:r>
      <w:r w:rsidR="004046B6" w:rsidRPr="00C75C7E">
        <w:rPr>
          <w:sz w:val="16"/>
          <w:szCs w:val="16"/>
          <w:lang w:val="es-ES_tradnl"/>
        </w:rPr>
        <w:t xml:space="preserve">El presupuesto después de las transferencias refleja el presupuesto de los programas ajustado tras las transferencias efectuadas en 2012/13 en virtud del artículo 5.5 del Reglamento Financiero. Para más información sobre el presupuesto de 2012/13 después de las transferencias, cabe remitirse al cuadro que figura en el Anexo I (Presupuesto después de las transferencias, por programa) del presente documento y al documento WO/PBC/20/2 (Informe sobre el rendimiento de los programas en 2012).  </w:t>
      </w:r>
      <w:r w:rsidR="004046B6" w:rsidRPr="00C75C7E">
        <w:rPr>
          <w:rFonts w:cs="ArialMT"/>
          <w:sz w:val="16"/>
          <w:szCs w:val="16"/>
          <w:lang w:val="es-ES_tradnl"/>
        </w:rPr>
        <w:t xml:space="preserve">Los costos de personal del presupuesto de 2012/13 después de las transferencias representan los gastos reales efectuados hasta el 31 de marzo de 2013 y los importes presupuestados para los nueve meses restantes de 2013, sobre la base de costos estándar. </w:t>
      </w:r>
    </w:p>
    <w:p w:rsidR="004046B6" w:rsidRPr="00C75C7E" w:rsidRDefault="004046B6" w:rsidP="004046B6">
      <w:pPr>
        <w:widowControl w:val="0"/>
        <w:rPr>
          <w:sz w:val="16"/>
          <w:szCs w:val="16"/>
          <w:lang w:val="es-ES_tradnl"/>
        </w:rPr>
      </w:pPr>
    </w:p>
    <w:p w:rsidR="004046B6" w:rsidRDefault="00450C3A" w:rsidP="004046B6">
      <w:pPr>
        <w:widowControl w:val="0"/>
        <w:rPr>
          <w:sz w:val="16"/>
          <w:szCs w:val="16"/>
          <w:lang w:val="es-ES_tradnl"/>
        </w:rPr>
      </w:pPr>
      <w:r>
        <w:rPr>
          <w:sz w:val="16"/>
          <w:szCs w:val="16"/>
          <w:lang w:val="es-ES_tradnl"/>
        </w:rPr>
        <w:t xml:space="preserve">3)  </w:t>
      </w:r>
      <w:r w:rsidR="004046B6" w:rsidRPr="00C75C7E">
        <w:rPr>
          <w:sz w:val="16"/>
          <w:szCs w:val="16"/>
          <w:lang w:val="es-ES_tradnl"/>
        </w:rPr>
        <w:t xml:space="preserve">Para más información sobre los puestos del </w:t>
      </w:r>
      <w:r w:rsidR="004046B6" w:rsidRPr="005440D4">
        <w:rPr>
          <w:rFonts w:cs="ArialMT"/>
          <w:sz w:val="16"/>
          <w:szCs w:val="16"/>
          <w:lang w:val="es-ES_tradnl"/>
        </w:rPr>
        <w:t>programa</w:t>
      </w:r>
      <w:r w:rsidR="004046B6" w:rsidRPr="00C75C7E">
        <w:rPr>
          <w:sz w:val="16"/>
          <w:szCs w:val="16"/>
          <w:lang w:val="es-ES_tradnl"/>
        </w:rPr>
        <w:t xml:space="preserve"> cabe remitirse al cuadro que figura en el Anexo II.</w:t>
      </w:r>
    </w:p>
    <w:p w:rsidR="004046B6" w:rsidRPr="00C75C7E" w:rsidRDefault="004046B6" w:rsidP="004046B6">
      <w:pPr>
        <w:widowControl w:val="0"/>
        <w:rPr>
          <w:sz w:val="16"/>
          <w:szCs w:val="16"/>
          <w:lang w:val="es-ES_tradnl"/>
        </w:rPr>
      </w:pPr>
    </w:p>
    <w:p w:rsidR="004046B6" w:rsidRDefault="00450C3A" w:rsidP="004046B6">
      <w:pPr>
        <w:widowControl w:val="0"/>
        <w:rPr>
          <w:sz w:val="16"/>
          <w:szCs w:val="16"/>
          <w:lang w:val="es-ES_tradnl"/>
        </w:rPr>
      </w:pPr>
      <w:r>
        <w:rPr>
          <w:sz w:val="16"/>
          <w:szCs w:val="16"/>
          <w:lang w:val="es-ES_tradnl"/>
        </w:rPr>
        <w:t>4</w:t>
      </w:r>
      <w:r w:rsidR="0079447F">
        <w:rPr>
          <w:sz w:val="16"/>
          <w:szCs w:val="16"/>
          <w:lang w:val="es-ES_tradnl"/>
        </w:rPr>
        <w:t>)</w:t>
      </w:r>
      <w:r>
        <w:rPr>
          <w:sz w:val="16"/>
          <w:szCs w:val="16"/>
          <w:lang w:val="es-ES_tradnl"/>
        </w:rPr>
        <w:t xml:space="preserve">  </w:t>
      </w:r>
      <w:r w:rsidR="004046B6" w:rsidRPr="00C75C7E">
        <w:rPr>
          <w:sz w:val="16"/>
          <w:szCs w:val="16"/>
          <w:lang w:val="es-ES_tradnl"/>
        </w:rPr>
        <w:t>Incluye el proyecto de la A.D. sobre “Fortalecimiento y desarrollo del sector audiovisual en Burkina Faso y en determinados países de África”.</w:t>
      </w:r>
    </w:p>
    <w:p w:rsidR="00DB66CC" w:rsidRDefault="00DB66CC" w:rsidP="004046B6">
      <w:pPr>
        <w:widowControl w:val="0"/>
        <w:rPr>
          <w:sz w:val="16"/>
          <w:szCs w:val="16"/>
          <w:lang w:val="es-ES_tradnl"/>
        </w:rPr>
      </w:pPr>
    </w:p>
    <w:p w:rsidR="00DB66CC" w:rsidRPr="00C75C7E" w:rsidRDefault="00DB66CC" w:rsidP="004046B6">
      <w:pPr>
        <w:widowControl w:val="0"/>
        <w:rPr>
          <w:sz w:val="16"/>
          <w:szCs w:val="16"/>
          <w:lang w:val="es-ES_tradnl"/>
        </w:rPr>
      </w:pPr>
    </w:p>
    <w:p w:rsidR="004046B6" w:rsidRPr="00C75C7E" w:rsidRDefault="004046B6" w:rsidP="009B58F5">
      <w:pPr>
        <w:keepNext/>
        <w:widowControl w:val="0"/>
        <w:jc w:val="center"/>
        <w:rPr>
          <w:sz w:val="16"/>
          <w:szCs w:val="16"/>
          <w:lang w:val="es-ES_tradnl"/>
        </w:rPr>
      </w:pPr>
      <w:r w:rsidRPr="00C75C7E">
        <w:rPr>
          <w:sz w:val="18"/>
          <w:szCs w:val="18"/>
          <w:lang w:val="es-ES_tradnl"/>
        </w:rPr>
        <w:lastRenderedPageBreak/>
        <w:t>Fondos fiduciarios disponibles potencialmente para su utilización en 2014/15*</w:t>
      </w:r>
    </w:p>
    <w:p w:rsidR="004046B6" w:rsidRPr="00C75C7E" w:rsidRDefault="004046B6" w:rsidP="009B58F5">
      <w:pPr>
        <w:keepNext/>
        <w:widowControl w:val="0"/>
        <w:jc w:val="center"/>
        <w:rPr>
          <w:sz w:val="18"/>
          <w:szCs w:val="18"/>
          <w:lang w:val="es-ES_tradnl"/>
        </w:rPr>
      </w:pPr>
      <w:r w:rsidRPr="00C75C7E">
        <w:rPr>
          <w:iCs/>
          <w:sz w:val="18"/>
          <w:szCs w:val="18"/>
          <w:lang w:val="es-ES_tradnl"/>
        </w:rPr>
        <w:t>(en miles de francos suizos)</w:t>
      </w:r>
    </w:p>
    <w:p w:rsidR="004046B6" w:rsidRPr="0079447F" w:rsidRDefault="004046B6" w:rsidP="0079447F">
      <w:pPr>
        <w:keepNext/>
        <w:widowControl w:val="0"/>
        <w:jc w:val="center"/>
        <w:rPr>
          <w:sz w:val="18"/>
          <w:szCs w:val="18"/>
          <w:lang w:val="es-ES_tradnl"/>
        </w:rPr>
      </w:pPr>
    </w:p>
    <w:p w:rsidR="004046B6" w:rsidRPr="00C75C7E" w:rsidRDefault="00C40A11" w:rsidP="00DB66CC">
      <w:pPr>
        <w:widowControl w:val="0"/>
        <w:ind w:left="1134"/>
        <w:rPr>
          <w:sz w:val="16"/>
          <w:szCs w:val="16"/>
          <w:lang w:val="es-ES_tradnl"/>
        </w:rPr>
      </w:pPr>
      <w:r>
        <w:rPr>
          <w:noProof/>
          <w:lang w:val="en-US" w:eastAsia="en-US"/>
        </w:rPr>
        <w:drawing>
          <wp:inline distT="0" distB="0" distL="0" distR="0" wp14:anchorId="6678C744" wp14:editId="428167FA">
            <wp:extent cx="4217035" cy="832485"/>
            <wp:effectExtent l="0" t="0" r="0" b="5715"/>
            <wp:docPr id="2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217035" cy="832485"/>
                    </a:xfrm>
                    <a:prstGeom prst="rect">
                      <a:avLst/>
                    </a:prstGeom>
                    <a:noFill/>
                    <a:ln>
                      <a:noFill/>
                    </a:ln>
                  </pic:spPr>
                </pic:pic>
              </a:graphicData>
            </a:graphic>
          </wp:inline>
        </w:drawing>
      </w:r>
    </w:p>
    <w:p w:rsidR="004046B6" w:rsidRPr="00C75C7E" w:rsidRDefault="004046B6" w:rsidP="004046B6">
      <w:pPr>
        <w:widowControl w:val="0"/>
        <w:ind w:left="1134"/>
        <w:rPr>
          <w:sz w:val="16"/>
          <w:szCs w:val="16"/>
          <w:lang w:val="es-ES_tradnl"/>
        </w:rPr>
      </w:pPr>
    </w:p>
    <w:p w:rsidR="004046B6" w:rsidRPr="00C75C7E" w:rsidRDefault="004046B6" w:rsidP="004046B6">
      <w:pPr>
        <w:widowControl w:val="0"/>
        <w:ind w:left="1134"/>
        <w:jc w:val="both"/>
        <w:rPr>
          <w:sz w:val="16"/>
          <w:szCs w:val="16"/>
          <w:lang w:val="es-ES_tradnl"/>
        </w:rPr>
      </w:pPr>
      <w:r w:rsidRPr="00C75C7E">
        <w:rPr>
          <w:sz w:val="16"/>
          <w:szCs w:val="16"/>
          <w:lang w:val="es-ES_tradnl"/>
        </w:rPr>
        <w:t>*  A título informativo únicamente.  Para más información cabe remitirse al Anexo VIII.</w:t>
      </w:r>
    </w:p>
    <w:p w:rsidR="004046B6" w:rsidRPr="00C75C7E" w:rsidRDefault="004046B6" w:rsidP="004046B6">
      <w:pPr>
        <w:widowControl w:val="0"/>
        <w:ind w:left="1134"/>
        <w:jc w:val="both"/>
        <w:rPr>
          <w:sz w:val="16"/>
          <w:szCs w:val="16"/>
          <w:lang w:val="es-ES_tradnl"/>
        </w:rPr>
      </w:pPr>
    </w:p>
    <w:p w:rsidR="004046B6" w:rsidRPr="00C75C7E" w:rsidRDefault="004046B6" w:rsidP="004046B6">
      <w:pPr>
        <w:widowControl w:val="0"/>
        <w:ind w:left="1134"/>
        <w:jc w:val="both"/>
        <w:rPr>
          <w:sz w:val="16"/>
          <w:szCs w:val="16"/>
          <w:lang w:val="es-ES_tradnl"/>
        </w:rPr>
      </w:pPr>
      <w:r w:rsidRPr="00C75C7E">
        <w:rPr>
          <w:sz w:val="16"/>
          <w:szCs w:val="16"/>
          <w:lang w:val="es-ES_tradnl"/>
        </w:rPr>
        <w:t>**  En las cifras no se han incluido los intereses ni los ajustes cambiarios.  Cabe observar asimismo que estos fondos se destinan generalmente a actividades que cubren un período que va más allá de un solo bienio, a medida que se reciben los ingresos y se incurre en gastos.</w:t>
      </w:r>
    </w:p>
    <w:p w:rsidR="004046B6" w:rsidRPr="00C75C7E" w:rsidRDefault="004046B6" w:rsidP="004046B6">
      <w:pPr>
        <w:widowControl w:val="0"/>
        <w:ind w:left="1134"/>
        <w:jc w:val="both"/>
        <w:rPr>
          <w:sz w:val="16"/>
          <w:szCs w:val="16"/>
          <w:lang w:val="es-ES_tradnl"/>
        </w:rPr>
      </w:pPr>
    </w:p>
    <w:p w:rsidR="004046B6" w:rsidRPr="00C75C7E" w:rsidRDefault="004046B6" w:rsidP="004046B6">
      <w:pPr>
        <w:widowControl w:val="0"/>
        <w:ind w:left="1134"/>
        <w:jc w:val="both"/>
        <w:rPr>
          <w:sz w:val="16"/>
          <w:szCs w:val="16"/>
          <w:lang w:val="es-ES_tradnl"/>
        </w:rPr>
      </w:pPr>
      <w:r w:rsidRPr="00C75C7E">
        <w:rPr>
          <w:sz w:val="16"/>
          <w:szCs w:val="16"/>
          <w:lang w:val="es-ES_tradnl"/>
        </w:rPr>
        <w:t>***  Las contribuciones anuales varían y se han observado fluctuaciones de un año a otro.</w:t>
      </w:r>
    </w:p>
    <w:p w:rsidR="004046B6" w:rsidRPr="00C75C7E" w:rsidRDefault="004046B6" w:rsidP="004046B6">
      <w:pPr>
        <w:widowControl w:val="0"/>
        <w:ind w:left="1134"/>
        <w:jc w:val="both"/>
        <w:rPr>
          <w:sz w:val="16"/>
          <w:szCs w:val="16"/>
          <w:lang w:val="es-ES_tradnl"/>
        </w:rPr>
      </w:pPr>
    </w:p>
    <w:p w:rsidR="004046B6" w:rsidRPr="00C75C7E" w:rsidRDefault="004046B6" w:rsidP="004046B6">
      <w:pPr>
        <w:widowControl w:val="0"/>
        <w:ind w:left="1134"/>
        <w:jc w:val="both"/>
        <w:rPr>
          <w:sz w:val="16"/>
          <w:szCs w:val="16"/>
          <w:lang w:val="es-ES_tradnl"/>
        </w:rPr>
      </w:pPr>
      <w:r w:rsidRPr="00C75C7E">
        <w:rPr>
          <w:sz w:val="16"/>
          <w:szCs w:val="16"/>
          <w:lang w:val="es-ES_tradnl"/>
        </w:rPr>
        <w:t>****  Las cifras expuestas en esta columna son puramente indicativas y se basan en patrones de financiación anteriores.  Además, no representan los compromisos de los Estados miembros salvo cuando quedan incluidos en el acuerdo de fondos fiduciarios.</w:t>
      </w:r>
    </w:p>
    <w:p w:rsidR="004046B6" w:rsidRPr="00C75C7E" w:rsidRDefault="004046B6" w:rsidP="004046B6">
      <w:pPr>
        <w:widowControl w:val="0"/>
        <w:jc w:val="both"/>
        <w:rPr>
          <w:bCs/>
          <w:sz w:val="20"/>
          <w:lang w:val="es-ES_tradnl"/>
        </w:rPr>
      </w:pPr>
    </w:p>
    <w:p w:rsidR="004046B6" w:rsidRPr="00C75C7E" w:rsidRDefault="004046B6" w:rsidP="004046B6">
      <w:pPr>
        <w:widowControl w:val="0"/>
        <w:jc w:val="both"/>
        <w:rPr>
          <w:bCs/>
          <w:sz w:val="20"/>
          <w:lang w:val="es-ES_tradnl"/>
        </w:rPr>
      </w:pPr>
    </w:p>
    <w:p w:rsidR="00546AD7" w:rsidRPr="00450C3A" w:rsidRDefault="006A3205" w:rsidP="00450C3A">
      <w:pPr>
        <w:pStyle w:val="Heading3"/>
        <w:tabs>
          <w:tab w:val="left" w:pos="1985"/>
        </w:tabs>
        <w:ind w:left="1985" w:hanging="1985"/>
        <w:rPr>
          <w:b/>
          <w:iCs/>
          <w:caps/>
          <w:u w:val="none"/>
        </w:rPr>
      </w:pPr>
      <w:r>
        <w:rPr>
          <w:bCs w:val="0"/>
          <w:szCs w:val="22"/>
        </w:rPr>
        <w:br w:type="page"/>
      </w:r>
      <w:bookmarkStart w:id="24" w:name="_Toc356567750"/>
      <w:bookmarkStart w:id="25" w:name="_Toc358816688"/>
      <w:r w:rsidR="006A15F5" w:rsidRPr="00450C3A">
        <w:rPr>
          <w:b/>
          <w:iCs/>
          <w:u w:val="none"/>
        </w:rPr>
        <w:lastRenderedPageBreak/>
        <w:t>PROGRAMA 4</w:t>
      </w:r>
      <w:r w:rsidR="006A15F5" w:rsidRPr="00450C3A">
        <w:rPr>
          <w:b/>
          <w:iCs/>
          <w:u w:val="none"/>
        </w:rPr>
        <w:tab/>
      </w:r>
      <w:bookmarkEnd w:id="24"/>
      <w:r w:rsidR="006A15F5" w:rsidRPr="00450C3A">
        <w:rPr>
          <w:b/>
          <w:iCs/>
          <w:u w:val="none"/>
        </w:rPr>
        <w:t>CONOCIMIENTOS TRADICIONALES, EXPRESIONES CULTURALES TRADICIONALES Y RECURSOS GENÉTICOS</w:t>
      </w:r>
      <w:bookmarkEnd w:id="25"/>
    </w:p>
    <w:p w:rsidR="00546AD7" w:rsidRPr="00546AD7" w:rsidRDefault="00546AD7" w:rsidP="00546AD7">
      <w:pPr>
        <w:widowControl w:val="0"/>
        <w:tabs>
          <w:tab w:val="left" w:pos="2268"/>
        </w:tabs>
        <w:ind w:left="2268" w:hanging="2268"/>
        <w:rPr>
          <w:rFonts w:eastAsia="Times New Roman" w:cs="Times New Roman"/>
          <w:bCs/>
          <w:sz w:val="20"/>
          <w:lang w:eastAsia="en-US"/>
        </w:rPr>
      </w:pPr>
    </w:p>
    <w:p w:rsidR="00546AD7" w:rsidRPr="00546AD7" w:rsidRDefault="00546AD7" w:rsidP="00546AD7">
      <w:pPr>
        <w:widowControl w:val="0"/>
        <w:tabs>
          <w:tab w:val="left" w:pos="2268"/>
        </w:tabs>
        <w:ind w:left="2268" w:hanging="2268"/>
        <w:rPr>
          <w:rFonts w:eastAsia="Times New Roman" w:cs="Times New Roman"/>
          <w:bCs/>
          <w:sz w:val="20"/>
          <w:lang w:eastAsia="en-US"/>
        </w:rPr>
      </w:pPr>
    </w:p>
    <w:p w:rsidR="00546AD7" w:rsidRPr="00546AD7" w:rsidRDefault="00546AD7" w:rsidP="00546AD7">
      <w:pPr>
        <w:widowControl w:val="0"/>
        <w:ind w:left="1985" w:hanging="1985"/>
        <w:jc w:val="both"/>
        <w:rPr>
          <w:rFonts w:eastAsia="Times New Roman"/>
          <w:szCs w:val="22"/>
          <w:lang w:eastAsia="en-US"/>
        </w:rPr>
      </w:pPr>
      <w:r w:rsidRPr="00546AD7">
        <w:rPr>
          <w:rFonts w:eastAsia="Times New Roman"/>
          <w:szCs w:val="22"/>
          <w:lang w:eastAsia="en-US"/>
        </w:rPr>
        <w:t>CONTEXTO DE PLANIFICACIÓN</w:t>
      </w:r>
    </w:p>
    <w:p w:rsidR="00546AD7" w:rsidRPr="00546AD7" w:rsidRDefault="00546AD7" w:rsidP="00546AD7">
      <w:pPr>
        <w:widowControl w:val="0"/>
        <w:tabs>
          <w:tab w:val="num" w:pos="709"/>
        </w:tabs>
        <w:ind w:left="1140" w:hanging="1140"/>
        <w:rPr>
          <w:rFonts w:eastAsia="Times New Roman"/>
          <w:bCs/>
          <w:sz w:val="20"/>
          <w:lang w:eastAsia="en-US"/>
        </w:rPr>
      </w:pPr>
    </w:p>
    <w:p w:rsidR="00546AD7" w:rsidRPr="00546AD7" w:rsidRDefault="00546AD7" w:rsidP="00BA276E">
      <w:pPr>
        <w:widowControl w:val="0"/>
        <w:numPr>
          <w:ilvl w:val="0"/>
          <w:numId w:val="22"/>
        </w:numPr>
        <w:jc w:val="both"/>
        <w:rPr>
          <w:rFonts w:eastAsia="Times New Roman"/>
          <w:color w:val="000000"/>
          <w:sz w:val="20"/>
          <w:lang w:eastAsia="en-US"/>
        </w:rPr>
      </w:pPr>
      <w:r w:rsidRPr="00546AD7">
        <w:rPr>
          <w:rFonts w:eastAsia="Times New Roman"/>
          <w:bCs/>
          <w:sz w:val="20"/>
          <w:lang w:eastAsia="en-US"/>
        </w:rPr>
        <w:t>El objetivo de este programa es aumentar la eficacia en la utilización de los principios y sistemas de propiedad intelectual (P.I.) actuales y nuevos, para la protección equilibrada de los conocimientos tradicionales (CC.TT.) y las expresiones culturales tradicionales (ECT) contra la apropiación indebida, y para la reglamentación adecuada de la relación que existe entre la P.I. y los recursos genéticos (RR.GG.), en particular en lo tocante al acceso a los RR.GG. y a la participación equitativa en los beneficios que se derivan de ellos.  Trabajar hacia la consecución de estos objetivos permitirá a los Estados miembros, los pueblos indígenas y las comunidades locales y demás partes interesadas profundizar en la relación que existe entre sus políticas en materia de P.I., CC.TT., ECT, y RR.GG., de una parte, y sus estrategias de desarrollo así como sus políticas culturales y de innovación nacionales, de otra.  En sintonía con la A.D., la consecución de estos objetivos mejorará la capacidad de los países en desarrollo, los PMA, los pueblos indígenas y las comunidades locales de aprovechar las ventajas desde el punto de vista económico, tecnológico y cultural.</w:t>
      </w:r>
    </w:p>
    <w:p w:rsidR="00546AD7" w:rsidRPr="00546AD7" w:rsidRDefault="00546AD7" w:rsidP="00546AD7">
      <w:pPr>
        <w:widowControl w:val="0"/>
        <w:tabs>
          <w:tab w:val="num" w:pos="709"/>
        </w:tabs>
        <w:jc w:val="both"/>
        <w:rPr>
          <w:rFonts w:eastAsia="Times New Roman"/>
          <w:color w:val="000000"/>
          <w:sz w:val="20"/>
          <w:lang w:eastAsia="en-US"/>
        </w:rPr>
      </w:pPr>
    </w:p>
    <w:p w:rsidR="00546AD7" w:rsidRPr="00546AD7" w:rsidRDefault="00546AD7" w:rsidP="00BA276E">
      <w:pPr>
        <w:widowControl w:val="0"/>
        <w:numPr>
          <w:ilvl w:val="0"/>
          <w:numId w:val="22"/>
        </w:numPr>
        <w:jc w:val="both"/>
        <w:rPr>
          <w:rFonts w:eastAsia="Times New Roman"/>
          <w:bCs/>
          <w:sz w:val="20"/>
          <w:lang w:eastAsia="en-US"/>
        </w:rPr>
      </w:pPr>
      <w:r w:rsidRPr="00546AD7">
        <w:rPr>
          <w:rFonts w:eastAsia="Times New Roman"/>
          <w:bCs/>
          <w:sz w:val="20"/>
          <w:lang w:eastAsia="en-US"/>
        </w:rPr>
        <w:t>Las negociaciones internacionales se mantienen en el Comité Intergubernamental sobre Propiedad Intelectual y Recursos Genéticos, Conocimientos Tradicionales y Folclore (el CIG).  En virtud de su mandato para el bienio 2012/</w:t>
      </w:r>
      <w:r w:rsidR="003A4B0F">
        <w:rPr>
          <w:rFonts w:eastAsia="Times New Roman"/>
          <w:bCs/>
          <w:sz w:val="20"/>
          <w:lang w:eastAsia="en-US"/>
        </w:rPr>
        <w:t>13, se pidió al CIG que presentara</w:t>
      </w:r>
      <w:r w:rsidRPr="00546AD7">
        <w:rPr>
          <w:rFonts w:eastAsia="Times New Roman"/>
          <w:bCs/>
          <w:sz w:val="20"/>
          <w:lang w:eastAsia="en-US"/>
        </w:rPr>
        <w:t xml:space="preserve"> en el período de sesiones de la Asamblea General de la OMPI que se celebrará en septiembre de 2013 el texto de dicho instrumento (o instrumentos) con el objetivo de tomar una decisión respecto de la celebración de una conferencia diplomática.  En caso de que la decisión de la Asamblea General de septiembre de 2013 sea favorable, lo más probable es que la conferencia mencionada se celebre durante el bienio 2014/15 y que esté precedida por la continuación de las negociaciones en curso y más reuniones preparatorias.  Por consiguiente, es probable que en el transcurso del bienio 2014/15 continúen manteniéndose negociaciones internacionales, con el consiguiente complemento necesario constituido por apoyo práctico y fortalecimiento de las capacidades, que podría incluir la asistencia para la aplicación en los sistemas nacionales y regionales correspondientes de los instrumentos internacionales que puedan adoptarse.</w:t>
      </w:r>
    </w:p>
    <w:p w:rsidR="00546AD7" w:rsidRPr="00546AD7" w:rsidRDefault="00546AD7" w:rsidP="00546AD7">
      <w:pPr>
        <w:widowControl w:val="0"/>
        <w:tabs>
          <w:tab w:val="num" w:pos="709"/>
        </w:tabs>
        <w:jc w:val="both"/>
        <w:rPr>
          <w:rFonts w:eastAsia="Times New Roman"/>
          <w:bCs/>
          <w:sz w:val="20"/>
          <w:lang w:eastAsia="en-US"/>
        </w:rPr>
      </w:pPr>
    </w:p>
    <w:p w:rsidR="00546AD7" w:rsidRPr="00546AD7" w:rsidRDefault="00546AD7" w:rsidP="00BA276E">
      <w:pPr>
        <w:widowControl w:val="0"/>
        <w:numPr>
          <w:ilvl w:val="0"/>
          <w:numId w:val="22"/>
        </w:numPr>
        <w:jc w:val="both"/>
        <w:rPr>
          <w:rFonts w:eastAsia="Times New Roman"/>
          <w:bCs/>
          <w:szCs w:val="22"/>
          <w:lang w:eastAsia="en-US"/>
        </w:rPr>
      </w:pPr>
      <w:r w:rsidRPr="00546AD7">
        <w:rPr>
          <w:rFonts w:eastAsia="Times New Roman"/>
          <w:bCs/>
          <w:sz w:val="20"/>
          <w:lang w:eastAsia="en-US"/>
        </w:rPr>
        <w:t>En el plano internacional, los resultados dependen de</w:t>
      </w:r>
      <w:r w:rsidR="003E09D4">
        <w:rPr>
          <w:rFonts w:eastAsia="Times New Roman"/>
          <w:bCs/>
          <w:sz w:val="20"/>
          <w:lang w:eastAsia="en-US"/>
        </w:rPr>
        <w:t xml:space="preserve"> las decisiones de</w:t>
      </w:r>
      <w:r w:rsidRPr="00546AD7">
        <w:rPr>
          <w:rFonts w:eastAsia="Times New Roman"/>
          <w:bCs/>
          <w:sz w:val="20"/>
          <w:lang w:eastAsia="en-US"/>
        </w:rPr>
        <w:t xml:space="preserve"> los Estados miembros.  </w:t>
      </w:r>
      <w:r w:rsidR="003E09D4">
        <w:rPr>
          <w:rFonts w:eastAsia="Times New Roman"/>
          <w:bCs/>
          <w:sz w:val="20"/>
          <w:lang w:eastAsia="en-US"/>
        </w:rPr>
        <w:t>S</w:t>
      </w:r>
      <w:r w:rsidRPr="00546AD7">
        <w:rPr>
          <w:rFonts w:eastAsia="Times New Roman"/>
          <w:bCs/>
          <w:sz w:val="20"/>
          <w:lang w:eastAsia="en-US"/>
        </w:rPr>
        <w:t xml:space="preserve">igue habiendo diferencias en lo que respecta a </w:t>
      </w:r>
      <w:r w:rsidR="003E09D4">
        <w:rPr>
          <w:rFonts w:eastAsia="Times New Roman"/>
          <w:bCs/>
          <w:sz w:val="20"/>
          <w:lang w:eastAsia="en-US"/>
        </w:rPr>
        <w:t>varias cuestiones</w:t>
      </w:r>
      <w:r w:rsidRPr="00546AD7">
        <w:rPr>
          <w:rFonts w:eastAsia="Times New Roman"/>
          <w:bCs/>
          <w:sz w:val="20"/>
          <w:lang w:eastAsia="en-US"/>
        </w:rPr>
        <w:t>.  Otro desafío es el que tiene que ver con la participación y la representación, puesto que los pueblos indígenas y las comunidades locales en particular se encuentran con obstáculos a la hora de promover sus intereses en materia de P.I. en los foros intergubernamentales.</w:t>
      </w:r>
    </w:p>
    <w:p w:rsidR="00546AD7" w:rsidRPr="00546AD7" w:rsidRDefault="00546AD7" w:rsidP="00546AD7">
      <w:pPr>
        <w:widowControl w:val="0"/>
        <w:tabs>
          <w:tab w:val="num" w:pos="709"/>
        </w:tabs>
        <w:jc w:val="both"/>
        <w:rPr>
          <w:rFonts w:eastAsia="Times New Roman"/>
          <w:bCs/>
          <w:sz w:val="20"/>
          <w:lang w:eastAsia="en-US"/>
        </w:rPr>
      </w:pPr>
    </w:p>
    <w:p w:rsidR="00546AD7" w:rsidRPr="00546AD7" w:rsidRDefault="00546AD7" w:rsidP="00546AD7">
      <w:pPr>
        <w:widowControl w:val="0"/>
        <w:tabs>
          <w:tab w:val="num" w:pos="709"/>
        </w:tabs>
        <w:jc w:val="both"/>
        <w:rPr>
          <w:rFonts w:eastAsia="Times New Roman"/>
          <w:bCs/>
          <w:sz w:val="20"/>
          <w:lang w:eastAsia="en-US"/>
        </w:rPr>
      </w:pPr>
    </w:p>
    <w:p w:rsidR="00546AD7" w:rsidRPr="00546AD7" w:rsidRDefault="00546AD7" w:rsidP="00546AD7">
      <w:pPr>
        <w:widowControl w:val="0"/>
        <w:tabs>
          <w:tab w:val="num" w:pos="709"/>
        </w:tabs>
        <w:jc w:val="both"/>
        <w:rPr>
          <w:rFonts w:eastAsia="Times New Roman"/>
          <w:bCs/>
          <w:szCs w:val="22"/>
          <w:lang w:eastAsia="en-US"/>
        </w:rPr>
      </w:pPr>
      <w:r w:rsidRPr="00546AD7">
        <w:rPr>
          <w:rFonts w:eastAsia="Times New Roman"/>
          <w:bCs/>
          <w:szCs w:val="22"/>
          <w:lang w:eastAsia="en-US"/>
        </w:rPr>
        <w:t>ESTRATEGIAS DE EJECUCIÓN</w:t>
      </w:r>
    </w:p>
    <w:p w:rsidR="00546AD7" w:rsidRPr="00546AD7" w:rsidRDefault="00546AD7" w:rsidP="00546AD7">
      <w:pPr>
        <w:widowControl w:val="0"/>
        <w:tabs>
          <w:tab w:val="num" w:pos="709"/>
        </w:tabs>
        <w:jc w:val="both"/>
        <w:rPr>
          <w:rFonts w:eastAsia="Times New Roman"/>
          <w:bCs/>
          <w:sz w:val="20"/>
          <w:lang w:eastAsia="en-US"/>
        </w:rPr>
      </w:pPr>
    </w:p>
    <w:p w:rsidR="00546AD7" w:rsidRPr="00546AD7" w:rsidRDefault="00546AD7" w:rsidP="00BA276E">
      <w:pPr>
        <w:widowControl w:val="0"/>
        <w:numPr>
          <w:ilvl w:val="0"/>
          <w:numId w:val="22"/>
        </w:numPr>
        <w:jc w:val="both"/>
        <w:rPr>
          <w:rFonts w:eastAsia="Times New Roman"/>
          <w:bCs/>
          <w:sz w:val="20"/>
          <w:lang w:eastAsia="en-US"/>
        </w:rPr>
      </w:pPr>
      <w:r w:rsidRPr="00546AD7">
        <w:rPr>
          <w:rFonts w:eastAsia="Times New Roman"/>
          <w:bCs/>
          <w:sz w:val="20"/>
          <w:lang w:eastAsia="en-US"/>
        </w:rPr>
        <w:t xml:space="preserve">Por tratarse de un proceso impulsado por los Estados miembros, la consecución de resultados en el ámbito internacional depende en gran medida de factores externos y en particular de las decisiones de los Estados miembros.  </w:t>
      </w:r>
      <w:r w:rsidRPr="00546AD7">
        <w:rPr>
          <w:rFonts w:eastAsia="Times New Roman"/>
          <w:sz w:val="20"/>
          <w:lang w:eastAsia="en-US"/>
        </w:rPr>
        <w:t xml:space="preserve">La Secretaría de la OMPI intenta desempeñar un papel receptivo de apoyo y facilitar el trabajo, y hacerlo además con profesionalidad, eficacia y neutralidad.  Entre los resultados del programa se incluyen, en primer lugar, crear un entorno propicio al mantenimiento de negociaciones bien orientadas entre los Estados miembros y otros copartícipes del CIG, lo que podría conducir al entendimiento y al acercamiento de posturas en </w:t>
      </w:r>
      <w:r w:rsidR="003E09D4">
        <w:rPr>
          <w:rFonts w:eastAsia="Times New Roman"/>
          <w:sz w:val="20"/>
          <w:lang w:eastAsia="en-US"/>
        </w:rPr>
        <w:t>torno a</w:t>
      </w:r>
      <w:r w:rsidRPr="00546AD7">
        <w:rPr>
          <w:rFonts w:eastAsia="Times New Roman"/>
          <w:sz w:val="20"/>
          <w:lang w:eastAsia="en-US"/>
        </w:rPr>
        <w:t xml:space="preserve"> los objetivos y aspectos fundamentales y, con posterioridad, a la adopción de uno o varios instrumentos jurídicos internacionales.  Un segundo resultado </w:t>
      </w:r>
      <w:r w:rsidR="003E09D4">
        <w:rPr>
          <w:rFonts w:eastAsia="Times New Roman"/>
          <w:sz w:val="20"/>
          <w:lang w:eastAsia="en-US"/>
        </w:rPr>
        <w:t>ser</w:t>
      </w:r>
      <w:r w:rsidRPr="00546AD7">
        <w:rPr>
          <w:rFonts w:eastAsia="Times New Roman"/>
          <w:sz w:val="20"/>
          <w:lang w:eastAsia="en-US"/>
        </w:rPr>
        <w:t xml:space="preserve">ía sensibilizar a los Estados, los pueblos indígenas y las comunidades locales y demás partes interesadas respecto de la gran importancia que tiene la relación que existe entre la P.I. y los CC.TT., las ECT y los RR.GG. para las estrategias de desarrollo y </w:t>
      </w:r>
      <w:r w:rsidRPr="00546AD7">
        <w:rPr>
          <w:rFonts w:eastAsia="Times New Roman"/>
          <w:bCs/>
          <w:sz w:val="20"/>
          <w:lang w:eastAsia="en-US"/>
        </w:rPr>
        <w:t>las políticas culturales y de innovación</w:t>
      </w:r>
      <w:r w:rsidRPr="00546AD7">
        <w:rPr>
          <w:rFonts w:eastAsia="Times New Roman"/>
          <w:sz w:val="20"/>
          <w:lang w:eastAsia="en-US"/>
        </w:rPr>
        <w:t xml:space="preserve"> nacionales</w:t>
      </w:r>
      <w:r w:rsidRPr="00546AD7">
        <w:rPr>
          <w:rFonts w:eastAsia="Times New Roman"/>
          <w:bCs/>
          <w:sz w:val="20"/>
          <w:lang w:eastAsia="en-US"/>
        </w:rPr>
        <w:t xml:space="preserve">, y más concretamente para aumentar la capacidad de aplicar los principios y los sistemas de P.I. a fin de proteger los CC.TT. y las ECT de manera eficaz y gestionar </w:t>
      </w:r>
      <w:r w:rsidR="003E09D4">
        <w:rPr>
          <w:rFonts w:eastAsia="Times New Roman"/>
          <w:bCs/>
          <w:sz w:val="20"/>
          <w:lang w:eastAsia="en-US"/>
        </w:rPr>
        <w:t>el nexo</w:t>
      </w:r>
      <w:r w:rsidRPr="00546AD7">
        <w:rPr>
          <w:rFonts w:eastAsia="Times New Roman"/>
          <w:bCs/>
          <w:sz w:val="20"/>
          <w:lang w:eastAsia="en-US"/>
        </w:rPr>
        <w:t xml:space="preserve"> que existe entre la P.I. y el acceso a los RR.GG. y la participación equitativa en los beneficios que se derivan de ellos.</w:t>
      </w:r>
    </w:p>
    <w:p w:rsidR="00546AD7" w:rsidRPr="00546AD7" w:rsidRDefault="00546AD7" w:rsidP="00546AD7">
      <w:pPr>
        <w:widowControl w:val="0"/>
        <w:jc w:val="both"/>
        <w:rPr>
          <w:rFonts w:eastAsia="Times New Roman"/>
          <w:bCs/>
          <w:sz w:val="20"/>
          <w:lang w:eastAsia="en-US"/>
        </w:rPr>
      </w:pPr>
    </w:p>
    <w:p w:rsidR="00546AD7" w:rsidRPr="00546AD7" w:rsidRDefault="00546AD7" w:rsidP="003E09D4">
      <w:pPr>
        <w:keepNext/>
        <w:keepLines/>
        <w:widowControl w:val="0"/>
        <w:numPr>
          <w:ilvl w:val="0"/>
          <w:numId w:val="22"/>
        </w:numPr>
        <w:jc w:val="both"/>
        <w:rPr>
          <w:rFonts w:eastAsia="Times New Roman"/>
          <w:bCs/>
          <w:sz w:val="20"/>
          <w:lang w:eastAsia="en-US"/>
        </w:rPr>
      </w:pPr>
      <w:r w:rsidRPr="00546AD7">
        <w:rPr>
          <w:rFonts w:eastAsia="Times New Roman"/>
          <w:bCs/>
          <w:sz w:val="20"/>
          <w:lang w:eastAsia="en-US"/>
        </w:rPr>
        <w:lastRenderedPageBreak/>
        <w:t>Al abordar los objetivos, desafíos y cuestiones expuestos con anterioridad y a fin de obtener estos resultados, se procurará en el marco de este programa aplicar las siguientes estrategias interrelacionadas y complementarias:</w:t>
      </w:r>
    </w:p>
    <w:p w:rsidR="00546AD7" w:rsidRPr="00546AD7" w:rsidRDefault="00546AD7" w:rsidP="003E09D4">
      <w:pPr>
        <w:keepNext/>
        <w:keepLines/>
        <w:widowControl w:val="0"/>
        <w:jc w:val="both"/>
        <w:rPr>
          <w:rFonts w:eastAsia="Times New Roman"/>
          <w:bCs/>
          <w:sz w:val="20"/>
          <w:lang w:eastAsia="en-US"/>
        </w:rPr>
      </w:pPr>
    </w:p>
    <w:p w:rsidR="00546AD7" w:rsidRPr="00546AD7" w:rsidRDefault="00546AD7" w:rsidP="003E09D4">
      <w:pPr>
        <w:keepNext/>
        <w:keepLines/>
        <w:widowControl w:val="0"/>
        <w:numPr>
          <w:ilvl w:val="0"/>
          <w:numId w:val="23"/>
        </w:numPr>
        <w:tabs>
          <w:tab w:val="clear" w:pos="513"/>
        </w:tabs>
        <w:spacing w:after="120"/>
        <w:ind w:left="1134" w:hanging="567"/>
        <w:jc w:val="both"/>
        <w:rPr>
          <w:rFonts w:eastAsia="Times New Roman"/>
          <w:bCs/>
          <w:sz w:val="20"/>
          <w:lang w:eastAsia="ja-JP"/>
        </w:rPr>
      </w:pPr>
      <w:r w:rsidRPr="00546AD7">
        <w:rPr>
          <w:rFonts w:eastAsia="Times New Roman"/>
          <w:bCs/>
          <w:sz w:val="20"/>
          <w:lang w:eastAsia="ja-JP"/>
        </w:rPr>
        <w:t>prestar apoyo profesional y neutral en labores administrativas y de fondo en el marco de las negociaciones del CIG y de las reuniones conexas, así como en la conferencia diplomática si se celebra;  respaldar las cuestiones administrativas relacionadas con las iniciativas destinadas a favorecer la participación de los representantes de las comunidades indígenas y locales en la labor de la OMPI, y ello incluye la gestión práctica del Fondo de la OMPI de Contribuciones Voluntarias para las Comunidades Indígenas y Locales Acreditadas;  y mantener una estrecha coordinación y cooperación con otros organismos y foros intergubernamentales;</w:t>
      </w:r>
    </w:p>
    <w:p w:rsidR="00546AD7" w:rsidRPr="00546AD7" w:rsidRDefault="00546AD7" w:rsidP="00BA276E">
      <w:pPr>
        <w:widowControl w:val="0"/>
        <w:numPr>
          <w:ilvl w:val="0"/>
          <w:numId w:val="23"/>
        </w:numPr>
        <w:tabs>
          <w:tab w:val="clear" w:pos="513"/>
        </w:tabs>
        <w:spacing w:after="120"/>
        <w:ind w:left="1134" w:hanging="567"/>
        <w:jc w:val="both"/>
        <w:rPr>
          <w:rFonts w:eastAsia="Times New Roman"/>
          <w:sz w:val="20"/>
          <w:lang w:eastAsia="en-US"/>
        </w:rPr>
      </w:pPr>
      <w:r w:rsidRPr="00546AD7">
        <w:rPr>
          <w:rFonts w:eastAsia="Times New Roman"/>
          <w:sz w:val="20"/>
          <w:lang w:eastAsia="en-US"/>
        </w:rPr>
        <w:t xml:space="preserve">elaborar y </w:t>
      </w:r>
      <w:r w:rsidRPr="00450C3A">
        <w:rPr>
          <w:rFonts w:eastAsia="Times New Roman"/>
          <w:bCs/>
          <w:sz w:val="20"/>
          <w:lang w:eastAsia="ja-JP"/>
        </w:rPr>
        <w:t>aplicar</w:t>
      </w:r>
      <w:r w:rsidRPr="00546AD7">
        <w:rPr>
          <w:rFonts w:eastAsia="Times New Roman"/>
          <w:sz w:val="20"/>
          <w:lang w:eastAsia="en-US"/>
        </w:rPr>
        <w:t xml:space="preserve">, según se </w:t>
      </w:r>
      <w:r w:rsidRPr="0079447F">
        <w:rPr>
          <w:rFonts w:eastAsia="Times New Roman"/>
          <w:bCs/>
          <w:sz w:val="20"/>
          <w:lang w:eastAsia="ja-JP"/>
        </w:rPr>
        <w:t>solicite</w:t>
      </w:r>
      <w:r w:rsidRPr="00546AD7">
        <w:rPr>
          <w:rFonts w:eastAsia="Times New Roman"/>
          <w:sz w:val="20"/>
          <w:lang w:eastAsia="en-US"/>
        </w:rPr>
        <w:t>, un conjunto ágil e integrado de recursos prácticos, programas e instrumentos pertinentes para que el fortalecimiento de las capacidades y la asistencia técnica jurídica sean eficaces, de conformidad con las estrategias de desarrollo y las políticas culturales y de innovación nacionales;  y</w:t>
      </w:r>
    </w:p>
    <w:p w:rsidR="00546AD7" w:rsidRDefault="00546AD7" w:rsidP="00BA276E">
      <w:pPr>
        <w:widowControl w:val="0"/>
        <w:numPr>
          <w:ilvl w:val="0"/>
          <w:numId w:val="23"/>
        </w:numPr>
        <w:tabs>
          <w:tab w:val="clear" w:pos="513"/>
        </w:tabs>
        <w:spacing w:after="120"/>
        <w:ind w:left="1134" w:hanging="567"/>
        <w:jc w:val="both"/>
        <w:rPr>
          <w:rFonts w:eastAsia="Times New Roman"/>
          <w:sz w:val="20"/>
          <w:lang w:eastAsia="en-US"/>
        </w:rPr>
      </w:pPr>
      <w:r w:rsidRPr="00546AD7">
        <w:rPr>
          <w:rFonts w:eastAsia="Times New Roman"/>
          <w:sz w:val="20"/>
          <w:lang w:eastAsia="en-US"/>
        </w:rPr>
        <w:t>prestar asesoramiento, según se solicite, en relación con los aspectos relacionados con la P.I. del desarrollo de tecnologías de la información y las comunicaciones (TIC) e infraestructuras de otro tipo en el plano nacional, regional e internacional, por ejemplo, bases de datos, inventarios, registros y otras plataformas, así como instituciones, administraciones y organismos, para complementar y poner en práctica los marcos políticos y jurídicos que los Estados y las comunidades puedan crear.</w:t>
      </w:r>
    </w:p>
    <w:p w:rsidR="0079447F" w:rsidRPr="0079447F" w:rsidRDefault="0079447F" w:rsidP="0079447F">
      <w:pPr>
        <w:widowControl w:val="0"/>
        <w:jc w:val="both"/>
        <w:rPr>
          <w:rFonts w:eastAsia="Times New Roman"/>
          <w:bCs/>
          <w:sz w:val="20"/>
          <w:lang w:eastAsia="en-US"/>
        </w:rPr>
      </w:pPr>
    </w:p>
    <w:p w:rsidR="00546AD7" w:rsidRPr="00546AD7" w:rsidRDefault="00546AD7" w:rsidP="00BA276E">
      <w:pPr>
        <w:widowControl w:val="0"/>
        <w:numPr>
          <w:ilvl w:val="0"/>
          <w:numId w:val="22"/>
        </w:numPr>
        <w:jc w:val="both"/>
        <w:rPr>
          <w:sz w:val="20"/>
        </w:rPr>
      </w:pPr>
      <w:r w:rsidRPr="00546AD7">
        <w:rPr>
          <w:rFonts w:eastAsia="Times New Roman"/>
          <w:bCs/>
          <w:sz w:val="20"/>
          <w:lang w:eastAsia="en-US"/>
        </w:rPr>
        <w:t>El objeto de la recomendación 18 de la A.D. es la conclusión con éxito de las negociaciones del CIG.  Las actividades normativas del CIG están orientadas hacia los Estados miembros, tienen carácter participativo y se basan en consultas abiertas y equilibradas (recomendaciones 15, 21 y 42), tienen en cuenta el dominio público (recomendaciones 16 y 20) y las flexibilidades establecidas en los acuerdos de P.I. (recomendaciones 12, 14 y 17), y contribuyen a los objetivos de desarrollo de las Naciones Unidas (recomendación 22).  Este programa contribuye de manera directa y expresa al desarrollo y a la aplicación de las recomendaciones de la A.D., en particular velando por que la asistencia técnica esté orientada a potenciar el desarrollo y obedezca a una demanda (recom</w:t>
      </w:r>
      <w:r w:rsidRPr="00546AD7">
        <w:rPr>
          <w:sz w:val="20"/>
        </w:rPr>
        <w:t>endaciones 1 y 12), prestando asistencia a los grupos regionales para formular o aplicar políticas y marcos regionales (recomendaciones 10, 11, 13 y 14), prestando asistencia legislativa y política en materia de legislación nacional a determinados Estados miembros (recomendaciones 11, 13 y 14), sensibilizando en relación con las cuestiones de la P.I. que están relacionadas con los CC.TT., las ECT, y los RR.GG. (recomendación 3) y cooperando en cuestiones relacionadas con la P.I. con los organismos de las Naciones Unidas (recomendación 40).</w:t>
      </w:r>
    </w:p>
    <w:p w:rsidR="00546AD7" w:rsidRPr="00546AD7" w:rsidRDefault="00546AD7" w:rsidP="00546AD7">
      <w:pPr>
        <w:widowControl w:val="0"/>
        <w:jc w:val="both"/>
        <w:rPr>
          <w:sz w:val="20"/>
        </w:rPr>
      </w:pPr>
    </w:p>
    <w:p w:rsidR="00546AD7" w:rsidRPr="00546AD7" w:rsidRDefault="00546AD7" w:rsidP="00BA276E">
      <w:pPr>
        <w:widowControl w:val="0"/>
        <w:numPr>
          <w:ilvl w:val="0"/>
          <w:numId w:val="22"/>
        </w:numPr>
        <w:jc w:val="both"/>
        <w:rPr>
          <w:rFonts w:eastAsia="Times New Roman"/>
          <w:bCs/>
          <w:sz w:val="20"/>
          <w:lang w:eastAsia="en-US"/>
        </w:rPr>
      </w:pPr>
      <w:r w:rsidRPr="00546AD7">
        <w:rPr>
          <w:rFonts w:eastAsia="Times New Roman"/>
          <w:bCs/>
          <w:sz w:val="20"/>
          <w:lang w:eastAsia="en-US"/>
        </w:rPr>
        <w:t>Los resultados previstos del programa 4 se lograrán también mediante la cooperación y coordinación, según proceda, con otros programas de la OMPI, especialmente el programa 1 (Derecho de patentes), el programa 3 (Derecho de autor y derechos conexos), el programa 7 (</w:t>
      </w:r>
      <w:r w:rsidRPr="00546AD7">
        <w:rPr>
          <w:rFonts w:eastAsia="Times New Roman"/>
          <w:bCs/>
          <w:iCs/>
          <w:sz w:val="20"/>
          <w:lang w:eastAsia="en-US"/>
        </w:rPr>
        <w:t>Centro de Arbitraje y Mediación de la OMPI</w:t>
      </w:r>
      <w:r w:rsidRPr="00546AD7">
        <w:rPr>
          <w:rFonts w:eastAsia="Times New Roman"/>
          <w:bCs/>
          <w:sz w:val="20"/>
          <w:lang w:eastAsia="en-US"/>
        </w:rPr>
        <w:t>), el programa 8 (Coordinación de la Agenda para el Desarrollo), el programa 9 (Países Africanos, Árabes, de América Latina y el Caribe, de Asia y el Pacífico y países menos adelantados), el programa 10 (Cooperación con determinados países de Europa y Asia), el programa 14 (Servicios de acceso a la información y a los conocimientos) y el programa 18 (La P.I. y los desafíos mundiales).</w:t>
      </w:r>
    </w:p>
    <w:p w:rsidR="00546AD7" w:rsidRPr="00546AD7" w:rsidRDefault="00546AD7" w:rsidP="00546AD7">
      <w:pPr>
        <w:widowControl w:val="0"/>
        <w:jc w:val="both"/>
        <w:rPr>
          <w:rFonts w:eastAsia="Times New Roman"/>
          <w:bCs/>
          <w:sz w:val="20"/>
          <w:lang w:eastAsia="en-US"/>
        </w:rPr>
      </w:pPr>
    </w:p>
    <w:p w:rsidR="006A3205" w:rsidRDefault="006A3205" w:rsidP="004046B6">
      <w:pPr>
        <w:widowControl w:val="0"/>
        <w:jc w:val="both"/>
        <w:rPr>
          <w:bCs/>
          <w:szCs w:val="22"/>
        </w:rPr>
      </w:pPr>
    </w:p>
    <w:p w:rsidR="004046B6" w:rsidRPr="00C75C7E" w:rsidRDefault="004046B6" w:rsidP="0079447F">
      <w:pPr>
        <w:keepNext/>
        <w:widowControl w:val="0"/>
        <w:jc w:val="both"/>
        <w:rPr>
          <w:bCs/>
          <w:szCs w:val="22"/>
        </w:rPr>
      </w:pPr>
      <w:r w:rsidRPr="00C75C7E">
        <w:rPr>
          <w:bCs/>
          <w:szCs w:val="22"/>
        </w:rPr>
        <w:t xml:space="preserve">PRINCIPALES RIESGOS Y ESTRATEGIAS DE MITIGACIÓN  </w:t>
      </w:r>
    </w:p>
    <w:p w:rsidR="004046B6" w:rsidRPr="00C75C7E" w:rsidRDefault="004046B6" w:rsidP="0079447F">
      <w:pPr>
        <w:keepNext/>
        <w:widowControl w:val="0"/>
        <w:jc w:val="both"/>
        <w:rPr>
          <w:szCs w:val="24"/>
        </w:rPr>
      </w:pPr>
    </w:p>
    <w:tbl>
      <w:tblPr>
        <w:tblW w:w="9356"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140"/>
        <w:gridCol w:w="5216"/>
      </w:tblGrid>
      <w:tr w:rsidR="004046B6" w:rsidRPr="00C75C7E" w:rsidTr="00962ADA">
        <w:trPr>
          <w:trHeight w:val="458"/>
          <w:tblHeader/>
        </w:trPr>
        <w:tc>
          <w:tcPr>
            <w:tcW w:w="4140" w:type="dxa"/>
            <w:tcBorders>
              <w:top w:val="single" w:sz="4" w:space="0" w:color="auto"/>
              <w:bottom w:val="single" w:sz="4" w:space="0" w:color="auto"/>
            </w:tcBorders>
            <w:shd w:val="clear" w:color="auto" w:fill="CCFFFF"/>
            <w:tcMar>
              <w:top w:w="113" w:type="dxa"/>
            </w:tcMar>
            <w:vAlign w:val="center"/>
          </w:tcPr>
          <w:p w:rsidR="004046B6" w:rsidRPr="00C75C7E" w:rsidRDefault="004046B6" w:rsidP="0079447F">
            <w:pPr>
              <w:keepNext/>
              <w:widowControl w:val="0"/>
              <w:autoSpaceDE w:val="0"/>
              <w:autoSpaceDN w:val="0"/>
              <w:adjustRightInd w:val="0"/>
              <w:ind w:right="-59"/>
              <w:jc w:val="center"/>
              <w:rPr>
                <w:b/>
                <w:bCs/>
                <w:iCs/>
                <w:sz w:val="18"/>
                <w:szCs w:val="18"/>
              </w:rPr>
            </w:pPr>
            <w:r w:rsidRPr="00C75C7E">
              <w:rPr>
                <w:b/>
                <w:bCs/>
                <w:iCs/>
                <w:sz w:val="18"/>
                <w:szCs w:val="18"/>
              </w:rPr>
              <w:t>Riesgos en el logro de los resultados del programa</w:t>
            </w:r>
          </w:p>
        </w:tc>
        <w:tc>
          <w:tcPr>
            <w:tcW w:w="5216" w:type="dxa"/>
            <w:tcBorders>
              <w:top w:val="single" w:sz="4" w:space="0" w:color="auto"/>
              <w:bottom w:val="single" w:sz="4" w:space="0" w:color="auto"/>
            </w:tcBorders>
            <w:shd w:val="clear" w:color="auto" w:fill="CCFFFF"/>
            <w:tcMar>
              <w:top w:w="113" w:type="dxa"/>
            </w:tcMar>
            <w:vAlign w:val="center"/>
          </w:tcPr>
          <w:p w:rsidR="004046B6" w:rsidRPr="00C75C7E" w:rsidRDefault="004046B6" w:rsidP="0079447F">
            <w:pPr>
              <w:keepNext/>
              <w:widowControl w:val="0"/>
              <w:autoSpaceDE w:val="0"/>
              <w:autoSpaceDN w:val="0"/>
              <w:adjustRightInd w:val="0"/>
              <w:ind w:right="-59"/>
              <w:jc w:val="center"/>
              <w:rPr>
                <w:b/>
                <w:bCs/>
                <w:iCs/>
                <w:sz w:val="18"/>
                <w:szCs w:val="18"/>
              </w:rPr>
            </w:pPr>
            <w:r w:rsidRPr="00C75C7E">
              <w:rPr>
                <w:b/>
                <w:bCs/>
                <w:iCs/>
                <w:sz w:val="18"/>
                <w:szCs w:val="18"/>
              </w:rPr>
              <w:t>Planes de mitigación ejecutados o en ejecución</w:t>
            </w:r>
          </w:p>
        </w:tc>
      </w:tr>
      <w:tr w:rsidR="004046B6" w:rsidRPr="00C75C7E" w:rsidTr="003E09D4">
        <w:trPr>
          <w:trHeight w:val="1129"/>
        </w:trPr>
        <w:tc>
          <w:tcPr>
            <w:tcW w:w="4140" w:type="dxa"/>
            <w:tcBorders>
              <w:top w:val="single" w:sz="4" w:space="0" w:color="auto"/>
            </w:tcBorders>
            <w:shd w:val="clear" w:color="auto" w:fill="auto"/>
            <w:tcMar>
              <w:top w:w="113" w:type="dxa"/>
            </w:tcMar>
          </w:tcPr>
          <w:p w:rsidR="004046B6" w:rsidRPr="00C75C7E" w:rsidRDefault="003E09D4" w:rsidP="003E09D4">
            <w:pPr>
              <w:widowControl w:val="0"/>
              <w:autoSpaceDE w:val="0"/>
              <w:autoSpaceDN w:val="0"/>
              <w:adjustRightInd w:val="0"/>
              <w:ind w:right="-59"/>
              <w:rPr>
                <w:sz w:val="16"/>
                <w:szCs w:val="16"/>
              </w:rPr>
            </w:pPr>
            <w:r>
              <w:rPr>
                <w:bCs/>
                <w:sz w:val="16"/>
                <w:szCs w:val="16"/>
              </w:rPr>
              <w:t>Incapacidad de</w:t>
            </w:r>
            <w:r w:rsidR="004046B6" w:rsidRPr="00C75C7E">
              <w:rPr>
                <w:bCs/>
                <w:sz w:val="16"/>
                <w:szCs w:val="16"/>
              </w:rPr>
              <w:t>l</w:t>
            </w:r>
            <w:r>
              <w:rPr>
                <w:bCs/>
                <w:sz w:val="16"/>
                <w:szCs w:val="16"/>
              </w:rPr>
              <w:t xml:space="preserve"> CIG</w:t>
            </w:r>
            <w:r w:rsidR="004046B6" w:rsidRPr="00C75C7E">
              <w:rPr>
                <w:bCs/>
                <w:sz w:val="16"/>
                <w:szCs w:val="16"/>
              </w:rPr>
              <w:t xml:space="preserve"> de </w:t>
            </w:r>
            <w:r>
              <w:rPr>
                <w:bCs/>
                <w:sz w:val="16"/>
                <w:szCs w:val="16"/>
              </w:rPr>
              <w:t>alcanzar un acuerdo sobre</w:t>
            </w:r>
            <w:r w:rsidR="004046B6" w:rsidRPr="00C75C7E">
              <w:rPr>
                <w:bCs/>
                <w:sz w:val="16"/>
                <w:szCs w:val="16"/>
              </w:rPr>
              <w:t xml:space="preserve"> un instrumento jurídico internacional (o varios).</w:t>
            </w:r>
          </w:p>
        </w:tc>
        <w:tc>
          <w:tcPr>
            <w:tcW w:w="5216" w:type="dxa"/>
            <w:tcBorders>
              <w:top w:val="single" w:sz="4" w:space="0" w:color="auto"/>
            </w:tcBorders>
            <w:shd w:val="clear" w:color="auto" w:fill="auto"/>
            <w:tcMar>
              <w:top w:w="113" w:type="dxa"/>
            </w:tcMar>
          </w:tcPr>
          <w:p w:rsidR="004046B6" w:rsidRPr="00C75C7E" w:rsidRDefault="004046B6" w:rsidP="00900936">
            <w:pPr>
              <w:widowControl w:val="0"/>
              <w:autoSpaceDE w:val="0"/>
              <w:autoSpaceDN w:val="0"/>
              <w:adjustRightInd w:val="0"/>
              <w:ind w:right="-59"/>
              <w:rPr>
                <w:sz w:val="16"/>
                <w:szCs w:val="16"/>
              </w:rPr>
            </w:pPr>
            <w:r w:rsidRPr="00C75C7E">
              <w:rPr>
                <w:bCs/>
                <w:sz w:val="16"/>
                <w:szCs w:val="16"/>
              </w:rPr>
              <w:t>La Secretaría hará todo lo posible, en el alcance de sus recursos, para facilitar y crear un clima favorable a las negociaciones, por ejemplo, facilitando información precisa y objetiva sobre las cuestiones que se están examinando en el CIG y prestando servicios administrativos eficientes y neutrales así como apoyo eficiente y eficaz al Presidente del CIG.</w:t>
            </w:r>
          </w:p>
        </w:tc>
      </w:tr>
      <w:tr w:rsidR="004046B6" w:rsidRPr="00C75C7E" w:rsidTr="003E09D4">
        <w:trPr>
          <w:trHeight w:val="1332"/>
        </w:trPr>
        <w:tc>
          <w:tcPr>
            <w:tcW w:w="4140" w:type="dxa"/>
            <w:shd w:val="clear" w:color="auto" w:fill="auto"/>
            <w:tcMar>
              <w:top w:w="113" w:type="dxa"/>
            </w:tcMar>
          </w:tcPr>
          <w:p w:rsidR="004046B6" w:rsidRPr="00C75C7E" w:rsidRDefault="004046B6" w:rsidP="00900936">
            <w:pPr>
              <w:widowControl w:val="0"/>
              <w:autoSpaceDE w:val="0"/>
              <w:autoSpaceDN w:val="0"/>
              <w:adjustRightInd w:val="0"/>
              <w:ind w:right="-59"/>
              <w:rPr>
                <w:bCs/>
                <w:sz w:val="16"/>
                <w:szCs w:val="16"/>
              </w:rPr>
            </w:pPr>
            <w:r w:rsidRPr="00C75C7E">
              <w:rPr>
                <w:sz w:val="16"/>
                <w:szCs w:val="16"/>
              </w:rPr>
              <w:lastRenderedPageBreak/>
              <w:t>El CIG perderá su pertinencia si los Estados miembros dejan de considerar como cuestiones de P.I. prioritarias los CC.TT., las ECT y los RR.GG. o si estiman que es más probable lograr resultados favorables en otros foros.</w:t>
            </w:r>
          </w:p>
        </w:tc>
        <w:tc>
          <w:tcPr>
            <w:tcW w:w="5216" w:type="dxa"/>
            <w:shd w:val="clear" w:color="auto" w:fill="auto"/>
            <w:tcMar>
              <w:top w:w="113" w:type="dxa"/>
            </w:tcMar>
          </w:tcPr>
          <w:p w:rsidR="004046B6" w:rsidRPr="00C75C7E" w:rsidRDefault="004046B6" w:rsidP="00900936">
            <w:pPr>
              <w:widowControl w:val="0"/>
              <w:autoSpaceDE w:val="0"/>
              <w:autoSpaceDN w:val="0"/>
              <w:adjustRightInd w:val="0"/>
              <w:ind w:right="-59"/>
              <w:rPr>
                <w:bCs/>
                <w:sz w:val="16"/>
                <w:szCs w:val="16"/>
              </w:rPr>
            </w:pPr>
            <w:r w:rsidRPr="00C75C7E">
              <w:rPr>
                <w:sz w:val="16"/>
                <w:szCs w:val="16"/>
              </w:rPr>
              <w:t>La Secretaría lleva a cabo iniciativas de sensibilización sobre la importancia de las políticas de P.I. relacionadas con los CC.TT., las ECT y los RR.GG.  También sigue de cerca las negociaciones que se celebran en otras instancias para poder facilitar a los Estados miembros información neutral sobre la labor del CIG en dichas instancias y se coordina con otras Secretarías para evitar la duplicación de tareas y, así, la confusión que podría causar entre los Estados miembros.</w:t>
            </w:r>
          </w:p>
        </w:tc>
      </w:tr>
    </w:tbl>
    <w:p w:rsidR="004046B6" w:rsidRPr="00C75C7E" w:rsidRDefault="004046B6" w:rsidP="006A15F5"/>
    <w:p w:rsidR="004046B6" w:rsidRPr="00C75C7E" w:rsidRDefault="004046B6" w:rsidP="006A15F5">
      <w:pPr>
        <w:rPr>
          <w:szCs w:val="22"/>
        </w:rPr>
      </w:pPr>
    </w:p>
    <w:p w:rsidR="004046B6" w:rsidRPr="00C75C7E" w:rsidRDefault="004046B6" w:rsidP="004046B6">
      <w:pPr>
        <w:widowControl w:val="0"/>
        <w:tabs>
          <w:tab w:val="left" w:pos="567"/>
          <w:tab w:val="left" w:pos="1985"/>
        </w:tabs>
        <w:jc w:val="both"/>
        <w:rPr>
          <w:bCs/>
          <w:sz w:val="20"/>
          <w:lang w:val="es-ES_tradnl"/>
        </w:rPr>
      </w:pPr>
      <w:r w:rsidRPr="00C75C7E">
        <w:rPr>
          <w:bCs/>
          <w:szCs w:val="22"/>
          <w:lang w:val="es-ES_tradnl"/>
        </w:rPr>
        <w:t>MARCO DE RESULTADOS</w:t>
      </w:r>
    </w:p>
    <w:p w:rsidR="004046B6" w:rsidRPr="00C75C7E" w:rsidRDefault="004046B6" w:rsidP="004046B6">
      <w:pPr>
        <w:widowControl w:val="0"/>
        <w:tabs>
          <w:tab w:val="left" w:pos="567"/>
          <w:tab w:val="left" w:pos="1985"/>
        </w:tabs>
        <w:jc w:val="both"/>
        <w:rPr>
          <w:bCs/>
          <w:sz w:val="20"/>
          <w:lang w:val="es-ES_tradnl"/>
        </w:rPr>
      </w:pPr>
    </w:p>
    <w:tbl>
      <w:tblPr>
        <w:tblW w:w="4888"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50"/>
        <w:gridCol w:w="2847"/>
        <w:gridCol w:w="2057"/>
        <w:gridCol w:w="2103"/>
      </w:tblGrid>
      <w:tr w:rsidR="004046B6" w:rsidRPr="00C75C7E" w:rsidTr="003E09D4">
        <w:trPr>
          <w:cantSplit/>
          <w:trHeight w:val="397"/>
        </w:trPr>
        <w:tc>
          <w:tcPr>
            <w:tcW w:w="1255" w:type="pct"/>
            <w:tcBorders>
              <w:top w:val="single" w:sz="4" w:space="0" w:color="auto"/>
              <w:left w:val="single" w:sz="4" w:space="0" w:color="auto"/>
              <w:bottom w:val="single" w:sz="4" w:space="0" w:color="auto"/>
            </w:tcBorders>
            <w:shd w:val="clear" w:color="auto" w:fill="CCFFFF"/>
            <w:vAlign w:val="center"/>
          </w:tcPr>
          <w:p w:rsidR="004046B6" w:rsidRPr="00C75C7E" w:rsidRDefault="004046B6" w:rsidP="00900936">
            <w:pPr>
              <w:widowControl w:val="0"/>
              <w:spacing w:after="120"/>
              <w:jc w:val="center"/>
              <w:rPr>
                <w:b/>
                <w:bCs/>
                <w:sz w:val="18"/>
                <w:szCs w:val="18"/>
                <w:lang w:val="es-ES_tradnl"/>
              </w:rPr>
            </w:pPr>
            <w:r w:rsidRPr="00C75C7E">
              <w:rPr>
                <w:b/>
                <w:bCs/>
                <w:sz w:val="18"/>
                <w:szCs w:val="18"/>
                <w:lang w:val="es-ES_tradnl"/>
              </w:rPr>
              <w:t>Resultados previstos</w:t>
            </w:r>
          </w:p>
        </w:tc>
        <w:tc>
          <w:tcPr>
            <w:tcW w:w="1521" w:type="pct"/>
            <w:tcBorders>
              <w:top w:val="single" w:sz="4" w:space="0" w:color="auto"/>
              <w:bottom w:val="single" w:sz="4" w:space="0" w:color="auto"/>
            </w:tcBorders>
            <w:shd w:val="clear" w:color="auto" w:fill="CCFFFF"/>
            <w:tcMar>
              <w:top w:w="110" w:type="dxa"/>
            </w:tcMar>
            <w:vAlign w:val="center"/>
          </w:tcPr>
          <w:p w:rsidR="004046B6" w:rsidRPr="00C75C7E" w:rsidRDefault="004046B6" w:rsidP="00900936">
            <w:pPr>
              <w:widowControl w:val="0"/>
              <w:spacing w:after="120"/>
              <w:jc w:val="center"/>
              <w:rPr>
                <w:b/>
                <w:sz w:val="18"/>
                <w:szCs w:val="18"/>
                <w:lang w:val="es-ES_tradnl"/>
              </w:rPr>
            </w:pPr>
            <w:r w:rsidRPr="00C75C7E">
              <w:rPr>
                <w:b/>
                <w:sz w:val="18"/>
                <w:szCs w:val="18"/>
                <w:lang w:val="es-ES_tradnl"/>
              </w:rPr>
              <w:t>Indicadores de rendimiento</w:t>
            </w:r>
          </w:p>
        </w:tc>
        <w:tc>
          <w:tcPr>
            <w:tcW w:w="1099" w:type="pct"/>
            <w:tcBorders>
              <w:top w:val="single" w:sz="4" w:space="0" w:color="auto"/>
              <w:bottom w:val="single" w:sz="4" w:space="0" w:color="auto"/>
            </w:tcBorders>
            <w:shd w:val="clear" w:color="auto" w:fill="CCFFFF"/>
            <w:tcMar>
              <w:top w:w="110" w:type="dxa"/>
            </w:tcMar>
            <w:vAlign w:val="center"/>
          </w:tcPr>
          <w:p w:rsidR="004046B6" w:rsidRPr="00C75C7E" w:rsidRDefault="004046B6" w:rsidP="00900936">
            <w:pPr>
              <w:widowControl w:val="0"/>
              <w:spacing w:after="120"/>
              <w:ind w:left="85"/>
              <w:jc w:val="center"/>
              <w:rPr>
                <w:sz w:val="18"/>
                <w:szCs w:val="18"/>
                <w:lang w:val="es-ES_tradnl"/>
              </w:rPr>
            </w:pPr>
            <w:r w:rsidRPr="00C75C7E">
              <w:rPr>
                <w:b/>
                <w:bCs/>
                <w:sz w:val="18"/>
                <w:szCs w:val="18"/>
                <w:lang w:val="es-ES_tradnl"/>
              </w:rPr>
              <w:t>Referencia</w:t>
            </w:r>
          </w:p>
        </w:tc>
        <w:tc>
          <w:tcPr>
            <w:tcW w:w="1124" w:type="pct"/>
            <w:tcBorders>
              <w:top w:val="single" w:sz="4" w:space="0" w:color="auto"/>
              <w:bottom w:val="single" w:sz="4" w:space="0" w:color="auto"/>
              <w:right w:val="single" w:sz="4" w:space="0" w:color="auto"/>
            </w:tcBorders>
            <w:shd w:val="clear" w:color="auto" w:fill="CCFFFF"/>
            <w:tcMar>
              <w:top w:w="110" w:type="dxa"/>
            </w:tcMar>
            <w:vAlign w:val="center"/>
          </w:tcPr>
          <w:p w:rsidR="004046B6" w:rsidRPr="00C75C7E" w:rsidRDefault="004046B6" w:rsidP="00900936">
            <w:pPr>
              <w:widowControl w:val="0"/>
              <w:tabs>
                <w:tab w:val="left" w:pos="1433"/>
              </w:tabs>
              <w:spacing w:after="120"/>
              <w:ind w:right="222"/>
              <w:jc w:val="center"/>
              <w:rPr>
                <w:b/>
                <w:bCs/>
                <w:sz w:val="18"/>
                <w:szCs w:val="18"/>
                <w:lang w:val="es-ES_tradnl"/>
              </w:rPr>
            </w:pPr>
            <w:r w:rsidRPr="00C75C7E">
              <w:rPr>
                <w:b/>
                <w:bCs/>
                <w:sz w:val="18"/>
                <w:szCs w:val="18"/>
                <w:lang w:val="es-ES_tradnl"/>
              </w:rPr>
              <w:t>Objetivos</w:t>
            </w:r>
          </w:p>
        </w:tc>
      </w:tr>
      <w:tr w:rsidR="004046B6" w:rsidRPr="00C75C7E" w:rsidTr="003E09D4">
        <w:trPr>
          <w:cantSplit/>
        </w:trPr>
        <w:tc>
          <w:tcPr>
            <w:tcW w:w="1255" w:type="pct"/>
            <w:tcBorders>
              <w:top w:val="single" w:sz="4" w:space="0" w:color="auto"/>
            </w:tcBorders>
            <w:shd w:val="clear" w:color="auto" w:fill="auto"/>
            <w:tcMar>
              <w:top w:w="113" w:type="dxa"/>
              <w:bottom w:w="85" w:type="dxa"/>
            </w:tcMar>
          </w:tcPr>
          <w:p w:rsidR="004046B6" w:rsidRPr="00C75C7E" w:rsidRDefault="004046B6" w:rsidP="003E09D4">
            <w:pPr>
              <w:widowControl w:val="0"/>
              <w:rPr>
                <w:sz w:val="16"/>
                <w:szCs w:val="16"/>
                <w:lang w:val="es-ES_tradnl"/>
              </w:rPr>
            </w:pPr>
            <w:r w:rsidRPr="00C75C7E">
              <w:rPr>
                <w:sz w:val="16"/>
                <w:szCs w:val="16"/>
                <w:lang w:val="es-ES_tradnl"/>
              </w:rPr>
              <w:t xml:space="preserve">I.1. Mejor cooperación entre los Estados miembros en lo que atañe a la elaboración de marcos normativos internacionales equilibrados para la P.I. y </w:t>
            </w:r>
            <w:r w:rsidR="00956F2F">
              <w:rPr>
                <w:sz w:val="16"/>
                <w:szCs w:val="16"/>
                <w:lang w:val="es-ES_tradnl"/>
              </w:rPr>
              <w:t xml:space="preserve">fomento de </w:t>
            </w:r>
            <w:r w:rsidR="003E09D4">
              <w:rPr>
                <w:sz w:val="16"/>
                <w:szCs w:val="16"/>
                <w:lang w:val="es-ES_tradnl"/>
              </w:rPr>
              <w:t>acuerdos</w:t>
            </w:r>
            <w:r w:rsidR="00956F2F">
              <w:rPr>
                <w:sz w:val="16"/>
                <w:szCs w:val="16"/>
                <w:lang w:val="es-ES_tradnl"/>
              </w:rPr>
              <w:t xml:space="preserve"> sobre</w:t>
            </w:r>
            <w:r w:rsidR="00491731">
              <w:rPr>
                <w:sz w:val="16"/>
                <w:szCs w:val="16"/>
                <w:lang w:val="es-ES_tradnl"/>
              </w:rPr>
              <w:t xml:space="preserve"> las cuestiones específicas</w:t>
            </w:r>
            <w:r w:rsidRPr="00C75C7E">
              <w:rPr>
                <w:sz w:val="16"/>
                <w:szCs w:val="16"/>
                <w:lang w:val="es-ES_tradnl"/>
              </w:rPr>
              <w:t xml:space="preserve"> respecto de las que se acuerdan instrumentos internacionales.</w:t>
            </w:r>
          </w:p>
        </w:tc>
        <w:tc>
          <w:tcPr>
            <w:tcW w:w="1521" w:type="pct"/>
            <w:tcBorders>
              <w:top w:val="single" w:sz="4" w:space="0" w:color="auto"/>
            </w:tcBorders>
            <w:shd w:val="clear" w:color="auto" w:fill="auto"/>
            <w:tcMar>
              <w:top w:w="113" w:type="dxa"/>
              <w:bottom w:w="85" w:type="dxa"/>
            </w:tcMar>
          </w:tcPr>
          <w:p w:rsidR="004046B6" w:rsidRPr="00C75C7E" w:rsidRDefault="004046B6" w:rsidP="003E09D4">
            <w:pPr>
              <w:widowControl w:val="0"/>
              <w:rPr>
                <w:sz w:val="16"/>
                <w:szCs w:val="16"/>
                <w:lang w:val="es-ES_tradnl"/>
              </w:rPr>
            </w:pPr>
            <w:r w:rsidRPr="00C75C7E">
              <w:rPr>
                <w:sz w:val="16"/>
                <w:szCs w:val="16"/>
                <w:lang w:val="es-ES_tradnl"/>
              </w:rPr>
              <w:t>A</w:t>
            </w:r>
            <w:r w:rsidR="003E09D4">
              <w:rPr>
                <w:sz w:val="16"/>
                <w:szCs w:val="16"/>
                <w:lang w:val="es-ES_tradnl"/>
              </w:rPr>
              <w:t>cuerdo</w:t>
            </w:r>
            <w:r w:rsidRPr="00C75C7E">
              <w:rPr>
                <w:sz w:val="16"/>
                <w:szCs w:val="16"/>
                <w:lang w:val="es-ES_tradnl"/>
              </w:rPr>
              <w:t xml:space="preserve"> en las negociaciones del CIG </w:t>
            </w:r>
            <w:r w:rsidR="003E09D4">
              <w:rPr>
                <w:sz w:val="16"/>
                <w:szCs w:val="16"/>
                <w:lang w:val="es-ES_tradnl"/>
              </w:rPr>
              <w:t>sobre</w:t>
            </w:r>
            <w:r w:rsidRPr="00C75C7E">
              <w:rPr>
                <w:sz w:val="16"/>
                <w:szCs w:val="16"/>
                <w:lang w:val="es-ES_tradnl"/>
              </w:rPr>
              <w:t xml:space="preserve"> uno o varios instrumentos jurídicos internacionales</w:t>
            </w:r>
            <w:r w:rsidR="003E09D4">
              <w:rPr>
                <w:sz w:val="16"/>
                <w:szCs w:val="16"/>
                <w:lang w:val="es-ES_tradnl"/>
              </w:rPr>
              <w:t xml:space="preserve"> relativos a los CC.TT., ECT y RR.GG.</w:t>
            </w:r>
          </w:p>
        </w:tc>
        <w:tc>
          <w:tcPr>
            <w:tcW w:w="1099" w:type="pct"/>
            <w:tcBorders>
              <w:top w:val="single" w:sz="4" w:space="0" w:color="auto"/>
            </w:tcBorders>
            <w:shd w:val="clear" w:color="auto" w:fill="FFFFFF"/>
            <w:tcMar>
              <w:top w:w="113" w:type="dxa"/>
              <w:bottom w:w="85" w:type="dxa"/>
            </w:tcMar>
          </w:tcPr>
          <w:p w:rsidR="004046B6" w:rsidRPr="00C75C7E" w:rsidRDefault="004046B6" w:rsidP="00900936">
            <w:pPr>
              <w:widowControl w:val="0"/>
              <w:rPr>
                <w:sz w:val="16"/>
                <w:szCs w:val="16"/>
                <w:lang w:val="es-ES_tradnl" w:bidi="th-TH"/>
              </w:rPr>
            </w:pPr>
            <w:r w:rsidRPr="00C75C7E">
              <w:rPr>
                <w:sz w:val="16"/>
                <w:szCs w:val="16"/>
                <w:lang w:val="es-ES_tradnl" w:bidi="th-TH"/>
              </w:rPr>
              <w:t>Negociaciones en curso en el marco del mandato del CIG c</w:t>
            </w:r>
            <w:r w:rsidR="00335765">
              <w:rPr>
                <w:sz w:val="16"/>
                <w:szCs w:val="16"/>
                <w:lang w:val="es-ES_tradnl" w:bidi="th-TH"/>
              </w:rPr>
              <w:t xml:space="preserve">orrespondiente a 2012-2013 y </w:t>
            </w:r>
            <w:r w:rsidRPr="00C75C7E">
              <w:rPr>
                <w:sz w:val="16"/>
                <w:szCs w:val="16"/>
                <w:lang w:val="es-ES_tradnl" w:bidi="th-TH"/>
              </w:rPr>
              <w:t>programa de trabajo de 2013.</w:t>
            </w:r>
          </w:p>
          <w:p w:rsidR="004046B6" w:rsidRPr="00C75C7E" w:rsidRDefault="004046B6" w:rsidP="00900936">
            <w:pPr>
              <w:widowControl w:val="0"/>
              <w:rPr>
                <w:sz w:val="16"/>
                <w:szCs w:val="16"/>
                <w:lang w:val="es-ES_tradnl" w:bidi="th-TH"/>
              </w:rPr>
            </w:pPr>
          </w:p>
          <w:p w:rsidR="004046B6" w:rsidRPr="00C75C7E" w:rsidRDefault="004046B6" w:rsidP="00900936">
            <w:pPr>
              <w:widowControl w:val="0"/>
              <w:rPr>
                <w:sz w:val="16"/>
                <w:szCs w:val="16"/>
                <w:lang w:val="es-ES_tradnl"/>
              </w:rPr>
            </w:pPr>
          </w:p>
        </w:tc>
        <w:tc>
          <w:tcPr>
            <w:tcW w:w="1124" w:type="pct"/>
            <w:tcBorders>
              <w:top w:val="single" w:sz="4" w:space="0" w:color="auto"/>
            </w:tcBorders>
            <w:shd w:val="clear" w:color="auto" w:fill="auto"/>
            <w:tcMar>
              <w:top w:w="113" w:type="dxa"/>
              <w:bottom w:w="85" w:type="dxa"/>
            </w:tcMar>
          </w:tcPr>
          <w:p w:rsidR="004046B6" w:rsidRPr="00C75C7E" w:rsidRDefault="004046B6" w:rsidP="003E09D4">
            <w:pPr>
              <w:widowControl w:val="0"/>
              <w:rPr>
                <w:bCs/>
                <w:sz w:val="16"/>
                <w:szCs w:val="16"/>
                <w:lang w:val="es-ES_tradnl"/>
              </w:rPr>
            </w:pPr>
            <w:r w:rsidRPr="00C75C7E">
              <w:rPr>
                <w:bCs/>
                <w:sz w:val="16"/>
                <w:szCs w:val="16"/>
                <w:lang w:val="es-ES_tradnl"/>
              </w:rPr>
              <w:t>Adopción de uno o varios instrumentos internacionales</w:t>
            </w:r>
            <w:r w:rsidR="003E09D4">
              <w:rPr>
                <w:bCs/>
                <w:sz w:val="16"/>
                <w:szCs w:val="16"/>
                <w:lang w:val="es-ES_tradnl"/>
              </w:rPr>
              <w:t xml:space="preserve"> en una conferencia diplomática.</w:t>
            </w:r>
          </w:p>
        </w:tc>
      </w:tr>
      <w:tr w:rsidR="004046B6" w:rsidRPr="00C75C7E" w:rsidTr="003E09D4">
        <w:trPr>
          <w:cantSplit/>
        </w:trPr>
        <w:tc>
          <w:tcPr>
            <w:tcW w:w="1255" w:type="pct"/>
            <w:shd w:val="clear" w:color="auto" w:fill="auto"/>
            <w:tcMar>
              <w:top w:w="113" w:type="dxa"/>
              <w:bottom w:w="85" w:type="dxa"/>
            </w:tcMar>
          </w:tcPr>
          <w:p w:rsidR="004046B6" w:rsidRPr="00C75C7E" w:rsidRDefault="004046B6" w:rsidP="00900936">
            <w:pPr>
              <w:widowControl w:val="0"/>
              <w:rPr>
                <w:sz w:val="16"/>
                <w:szCs w:val="16"/>
                <w:lang w:val="es-ES_tradnl"/>
              </w:rPr>
            </w:pPr>
            <w:r w:rsidRPr="00C75C7E">
              <w:rPr>
                <w:sz w:val="16"/>
                <w:szCs w:val="16"/>
                <w:lang w:val="es-ES_tradnl"/>
              </w:rPr>
              <w:t>III.2 Mejora de las capacidades en el ámbito de los recursos humanos para hacer frente al amplio espectro de exigencias que supone la utilización eficaz de la P.I. en aras del desarrollo en los países en desarrollo, PMA y países con economías en transición.</w:t>
            </w:r>
          </w:p>
        </w:tc>
        <w:tc>
          <w:tcPr>
            <w:tcW w:w="1521" w:type="pct"/>
            <w:shd w:val="clear" w:color="auto" w:fill="auto"/>
            <w:tcMar>
              <w:top w:w="113" w:type="dxa"/>
              <w:bottom w:w="85" w:type="dxa"/>
            </w:tcMar>
          </w:tcPr>
          <w:p w:rsidR="004046B6" w:rsidRPr="00C75C7E" w:rsidRDefault="004046B6" w:rsidP="00900936">
            <w:pPr>
              <w:widowControl w:val="0"/>
              <w:rPr>
                <w:sz w:val="16"/>
                <w:szCs w:val="16"/>
                <w:lang w:val="es-ES_tradnl"/>
              </w:rPr>
            </w:pPr>
            <w:r w:rsidRPr="00C75C7E">
              <w:rPr>
                <w:sz w:val="16"/>
                <w:szCs w:val="16"/>
                <w:lang w:val="es-ES_tradnl"/>
              </w:rPr>
              <w:t>Porcentaje de participantes en actividades de la OMPI que afirman haber fomentado la capacidad de comprender y utilizar principios, sistemas y herramientas de P.I. para la protección de los CC.TT. y las ECT, y para la gestión de la relación existente entre la P.I. y los RR.GG.</w:t>
            </w:r>
          </w:p>
        </w:tc>
        <w:tc>
          <w:tcPr>
            <w:tcW w:w="1099" w:type="pct"/>
            <w:shd w:val="clear" w:color="auto" w:fill="FFFFFF"/>
            <w:tcMar>
              <w:top w:w="113" w:type="dxa"/>
              <w:bottom w:w="85" w:type="dxa"/>
            </w:tcMar>
          </w:tcPr>
          <w:p w:rsidR="004046B6" w:rsidRPr="00C75C7E" w:rsidRDefault="004046B6" w:rsidP="00900936">
            <w:pPr>
              <w:widowControl w:val="0"/>
              <w:rPr>
                <w:sz w:val="16"/>
                <w:szCs w:val="16"/>
                <w:lang w:val="es-ES_tradnl" w:bidi="th-TH"/>
              </w:rPr>
            </w:pPr>
            <w:r w:rsidRPr="00C75C7E">
              <w:rPr>
                <w:sz w:val="16"/>
                <w:szCs w:val="16"/>
                <w:lang w:val="es-ES_tradnl" w:bidi="th-TH"/>
              </w:rPr>
              <w:t>Aún no está disponible.</w:t>
            </w:r>
          </w:p>
          <w:p w:rsidR="004046B6" w:rsidRPr="00C75C7E" w:rsidRDefault="004046B6" w:rsidP="00900936">
            <w:pPr>
              <w:widowControl w:val="0"/>
              <w:rPr>
                <w:sz w:val="16"/>
                <w:szCs w:val="16"/>
                <w:lang w:val="es-ES_tradnl" w:bidi="th-TH"/>
              </w:rPr>
            </w:pPr>
          </w:p>
          <w:p w:rsidR="004046B6" w:rsidRPr="00C75C7E" w:rsidRDefault="004046B6" w:rsidP="00900936">
            <w:pPr>
              <w:widowControl w:val="0"/>
              <w:rPr>
                <w:sz w:val="16"/>
                <w:szCs w:val="16"/>
                <w:lang w:val="es-ES_tradnl" w:bidi="th-TH"/>
              </w:rPr>
            </w:pPr>
          </w:p>
          <w:p w:rsidR="004046B6" w:rsidRPr="00C75C7E" w:rsidRDefault="004046B6" w:rsidP="00900936">
            <w:pPr>
              <w:widowControl w:val="0"/>
              <w:rPr>
                <w:sz w:val="16"/>
                <w:szCs w:val="16"/>
                <w:lang w:val="es-ES_tradnl"/>
              </w:rPr>
            </w:pPr>
          </w:p>
        </w:tc>
        <w:tc>
          <w:tcPr>
            <w:tcW w:w="1124" w:type="pct"/>
            <w:shd w:val="clear" w:color="auto" w:fill="auto"/>
            <w:tcMar>
              <w:top w:w="113" w:type="dxa"/>
              <w:bottom w:w="85" w:type="dxa"/>
            </w:tcMar>
          </w:tcPr>
          <w:p w:rsidR="004046B6" w:rsidRPr="00C75C7E" w:rsidRDefault="004046B6" w:rsidP="00900936">
            <w:pPr>
              <w:widowControl w:val="0"/>
              <w:tabs>
                <w:tab w:val="left" w:pos="2051"/>
              </w:tabs>
              <w:ind w:right="381"/>
              <w:rPr>
                <w:bCs/>
                <w:sz w:val="16"/>
                <w:szCs w:val="16"/>
                <w:lang w:val="es-ES_tradnl"/>
              </w:rPr>
            </w:pPr>
            <w:r w:rsidRPr="00C75C7E">
              <w:rPr>
                <w:bCs/>
                <w:sz w:val="16"/>
                <w:szCs w:val="16"/>
                <w:lang w:val="es-ES_tradnl"/>
              </w:rPr>
              <w:t>80%</w:t>
            </w:r>
          </w:p>
        </w:tc>
      </w:tr>
    </w:tbl>
    <w:p w:rsidR="004046B6" w:rsidRPr="00C75C7E" w:rsidRDefault="004046B6" w:rsidP="004046B6">
      <w:pPr>
        <w:widowControl w:val="0"/>
        <w:tabs>
          <w:tab w:val="left" w:pos="567"/>
          <w:tab w:val="left" w:pos="1985"/>
        </w:tabs>
        <w:rPr>
          <w:bCs/>
          <w:sz w:val="20"/>
          <w:lang w:val="es-ES_tradnl"/>
        </w:rPr>
      </w:pPr>
    </w:p>
    <w:p w:rsidR="004046B6" w:rsidRDefault="004046B6" w:rsidP="004046B6">
      <w:pPr>
        <w:widowControl w:val="0"/>
        <w:rPr>
          <w:sz w:val="20"/>
          <w:lang w:val="es-ES_tradnl"/>
        </w:rPr>
      </w:pPr>
    </w:p>
    <w:p w:rsidR="00546AD7" w:rsidRPr="006B0DE9" w:rsidRDefault="00546AD7" w:rsidP="00546AD7">
      <w:pPr>
        <w:widowControl w:val="0"/>
        <w:autoSpaceDE w:val="0"/>
        <w:autoSpaceDN w:val="0"/>
        <w:adjustRightInd w:val="0"/>
        <w:jc w:val="both"/>
        <w:rPr>
          <w:szCs w:val="22"/>
        </w:rPr>
      </w:pPr>
      <w:r w:rsidRPr="006B0DE9">
        <w:rPr>
          <w:szCs w:val="22"/>
        </w:rPr>
        <w:t>RECURSOS PARA EL PROGRAMA 4</w:t>
      </w:r>
    </w:p>
    <w:p w:rsidR="00546AD7" w:rsidRPr="006B0DE9" w:rsidRDefault="00546AD7" w:rsidP="00546AD7">
      <w:pPr>
        <w:widowControl w:val="0"/>
        <w:autoSpaceDE w:val="0"/>
        <w:autoSpaceDN w:val="0"/>
        <w:adjustRightInd w:val="0"/>
        <w:rPr>
          <w:sz w:val="20"/>
        </w:rPr>
      </w:pPr>
    </w:p>
    <w:p w:rsidR="00546AD7" w:rsidRPr="006B0DE9" w:rsidRDefault="00546AD7" w:rsidP="00BA276E">
      <w:pPr>
        <w:widowControl w:val="0"/>
        <w:numPr>
          <w:ilvl w:val="0"/>
          <w:numId w:val="22"/>
        </w:numPr>
        <w:jc w:val="both"/>
        <w:rPr>
          <w:sz w:val="20"/>
        </w:rPr>
      </w:pPr>
      <w:r w:rsidRPr="006B0DE9">
        <w:rPr>
          <w:sz w:val="20"/>
        </w:rPr>
        <w:t>El aumento de recursos destinados al resultado I.1 (Elaboración de marcos normativos internacionales equilibrados para la P.I.) guarda relación principalmente con la provisión que se ha realizado para la eventual celebración de una conferencia diplomática en el transcurso del bienio 2014/15 (aumentos en Viajes de terceros y Conferencias).</w:t>
      </w:r>
    </w:p>
    <w:p w:rsidR="00546AD7" w:rsidRPr="006B0DE9" w:rsidRDefault="00546AD7" w:rsidP="00546AD7">
      <w:pPr>
        <w:widowControl w:val="0"/>
        <w:jc w:val="both"/>
        <w:rPr>
          <w:sz w:val="20"/>
        </w:rPr>
      </w:pPr>
    </w:p>
    <w:p w:rsidR="00546AD7" w:rsidRPr="006B0DE9" w:rsidRDefault="00546AD7" w:rsidP="00BA276E">
      <w:pPr>
        <w:widowControl w:val="0"/>
        <w:numPr>
          <w:ilvl w:val="0"/>
          <w:numId w:val="22"/>
        </w:numPr>
        <w:jc w:val="both"/>
        <w:rPr>
          <w:bCs/>
          <w:sz w:val="20"/>
        </w:rPr>
      </w:pPr>
      <w:r w:rsidRPr="006B0DE9">
        <w:rPr>
          <w:sz w:val="20"/>
        </w:rPr>
        <w:t>La magnitud del proceso del CIG y la gran atención que se le ha prestado le han restado recursos al resultado III.2 (Mejora de las capacidades en el ámbito de los recursos humanos).</w:t>
      </w:r>
    </w:p>
    <w:p w:rsidR="00546AD7" w:rsidRPr="006B0DE9" w:rsidRDefault="00546AD7" w:rsidP="00546AD7">
      <w:pPr>
        <w:widowControl w:val="0"/>
        <w:jc w:val="both"/>
        <w:rPr>
          <w:bCs/>
          <w:sz w:val="20"/>
        </w:rPr>
      </w:pPr>
    </w:p>
    <w:p w:rsidR="00546AD7" w:rsidRPr="00546AD7" w:rsidRDefault="00546AD7" w:rsidP="004046B6">
      <w:pPr>
        <w:widowControl w:val="0"/>
        <w:rPr>
          <w:sz w:val="20"/>
        </w:rPr>
      </w:pPr>
    </w:p>
    <w:p w:rsidR="004046B6" w:rsidRPr="00C75C7E" w:rsidRDefault="003E09D4" w:rsidP="0079447F">
      <w:pPr>
        <w:keepNext/>
        <w:widowControl w:val="0"/>
        <w:autoSpaceDE w:val="0"/>
        <w:autoSpaceDN w:val="0"/>
        <w:adjustRightInd w:val="0"/>
        <w:jc w:val="center"/>
        <w:rPr>
          <w:b/>
          <w:bCs/>
          <w:iCs/>
          <w:sz w:val="20"/>
          <w:lang w:val="es-ES_tradnl"/>
        </w:rPr>
      </w:pPr>
      <w:r>
        <w:rPr>
          <w:b/>
          <w:bCs/>
          <w:iCs/>
          <w:sz w:val="20"/>
          <w:lang w:val="es-ES_tradnl"/>
        </w:rPr>
        <w:lastRenderedPageBreak/>
        <w:t xml:space="preserve">Programa 4:  </w:t>
      </w:r>
      <w:r w:rsidR="004046B6" w:rsidRPr="00C75C7E">
        <w:rPr>
          <w:b/>
          <w:bCs/>
          <w:iCs/>
          <w:sz w:val="20"/>
          <w:lang w:val="es-ES_tradnl"/>
        </w:rPr>
        <w:t>Recursos por resultado</w:t>
      </w:r>
    </w:p>
    <w:p w:rsidR="004046B6" w:rsidRPr="00C75C7E" w:rsidRDefault="004046B6" w:rsidP="0079447F">
      <w:pPr>
        <w:keepNext/>
        <w:widowControl w:val="0"/>
        <w:autoSpaceDE w:val="0"/>
        <w:autoSpaceDN w:val="0"/>
        <w:adjustRightInd w:val="0"/>
        <w:jc w:val="center"/>
        <w:rPr>
          <w:bCs/>
          <w:i/>
          <w:sz w:val="20"/>
          <w:lang w:val="es-ES_tradnl"/>
        </w:rPr>
      </w:pPr>
      <w:r w:rsidRPr="00C75C7E">
        <w:rPr>
          <w:bCs/>
          <w:i/>
          <w:sz w:val="20"/>
          <w:lang w:val="es-ES_tradnl"/>
        </w:rPr>
        <w:t>(en miles de francos suizos)</w:t>
      </w:r>
    </w:p>
    <w:p w:rsidR="004046B6" w:rsidRPr="00C75C7E" w:rsidRDefault="004046B6" w:rsidP="0079447F">
      <w:pPr>
        <w:keepNext/>
        <w:widowControl w:val="0"/>
        <w:autoSpaceDE w:val="0"/>
        <w:autoSpaceDN w:val="0"/>
        <w:adjustRightInd w:val="0"/>
        <w:jc w:val="center"/>
        <w:rPr>
          <w:lang w:val="es-ES_tradnl"/>
        </w:rPr>
      </w:pPr>
    </w:p>
    <w:p w:rsidR="004046B6" w:rsidRPr="00C75C7E" w:rsidRDefault="00EE69B6" w:rsidP="0079447F">
      <w:pPr>
        <w:keepNext/>
        <w:widowControl w:val="0"/>
        <w:autoSpaceDE w:val="0"/>
        <w:autoSpaceDN w:val="0"/>
        <w:adjustRightInd w:val="0"/>
        <w:jc w:val="center"/>
        <w:rPr>
          <w:lang w:val="es-ES_tradnl"/>
        </w:rPr>
      </w:pPr>
      <w:r w:rsidRPr="00EE69B6">
        <w:rPr>
          <w:noProof/>
          <w:lang w:val="en-US" w:eastAsia="en-US"/>
        </w:rPr>
        <w:drawing>
          <wp:inline distT="0" distB="0" distL="0" distR="0" wp14:anchorId="797EA75A" wp14:editId="0AE7171E">
            <wp:extent cx="5940425" cy="2124266"/>
            <wp:effectExtent l="0" t="0" r="3175" b="9525"/>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940425" cy="2124266"/>
                    </a:xfrm>
                    <a:prstGeom prst="rect">
                      <a:avLst/>
                    </a:prstGeom>
                    <a:noFill/>
                    <a:ln>
                      <a:noFill/>
                    </a:ln>
                  </pic:spPr>
                </pic:pic>
              </a:graphicData>
            </a:graphic>
          </wp:inline>
        </w:drawing>
      </w:r>
    </w:p>
    <w:p w:rsidR="004046B6" w:rsidRPr="00C75C7E" w:rsidRDefault="004046B6" w:rsidP="006A3205">
      <w:pPr>
        <w:widowControl w:val="0"/>
        <w:autoSpaceDE w:val="0"/>
        <w:autoSpaceDN w:val="0"/>
        <w:adjustRightInd w:val="0"/>
        <w:rPr>
          <w:sz w:val="20"/>
          <w:lang w:val="es-ES_tradnl"/>
        </w:rPr>
      </w:pPr>
    </w:p>
    <w:p w:rsidR="004046B6" w:rsidRPr="00C75C7E" w:rsidRDefault="004046B6" w:rsidP="004046B6">
      <w:pPr>
        <w:widowControl w:val="0"/>
        <w:autoSpaceDE w:val="0"/>
        <w:autoSpaceDN w:val="0"/>
        <w:adjustRightInd w:val="0"/>
        <w:rPr>
          <w:sz w:val="20"/>
          <w:lang w:val="es-ES_tradnl"/>
        </w:rPr>
      </w:pPr>
      <w:r w:rsidRPr="00C75C7E">
        <w:rPr>
          <w:sz w:val="16"/>
          <w:szCs w:val="16"/>
          <w:lang w:val="es-ES_tradnl"/>
        </w:rPr>
        <w:t>Nota: Se ha reexpresado el presupuesto aprobado de 2012/13 y el presupuesto de dicho bienio después de las transferencias, por resultado previsto, para reflejar el marco de resultados de la Organización propuesto para 2014/15.</w:t>
      </w:r>
    </w:p>
    <w:p w:rsidR="004046B6" w:rsidRPr="00C75C7E" w:rsidRDefault="004046B6" w:rsidP="004046B6">
      <w:pPr>
        <w:widowControl w:val="0"/>
        <w:autoSpaceDE w:val="0"/>
        <w:autoSpaceDN w:val="0"/>
        <w:adjustRightInd w:val="0"/>
        <w:rPr>
          <w:sz w:val="20"/>
          <w:lang w:val="es-ES_tradnl"/>
        </w:rPr>
      </w:pPr>
    </w:p>
    <w:p w:rsidR="004046B6" w:rsidRPr="00C75C7E" w:rsidRDefault="004046B6" w:rsidP="004046B6">
      <w:pPr>
        <w:widowControl w:val="0"/>
        <w:jc w:val="both"/>
        <w:rPr>
          <w:sz w:val="20"/>
          <w:lang w:val="es-ES_tradnl"/>
        </w:rPr>
      </w:pPr>
    </w:p>
    <w:p w:rsidR="004046B6" w:rsidRPr="00C75C7E" w:rsidRDefault="003E09D4" w:rsidP="0079447F">
      <w:pPr>
        <w:keepNext/>
        <w:widowControl w:val="0"/>
        <w:autoSpaceDE w:val="0"/>
        <w:autoSpaceDN w:val="0"/>
        <w:adjustRightInd w:val="0"/>
        <w:ind w:firstLine="567"/>
        <w:jc w:val="center"/>
        <w:rPr>
          <w:b/>
          <w:bCs/>
          <w:iCs/>
          <w:sz w:val="20"/>
          <w:lang w:val="es-ES_tradnl"/>
        </w:rPr>
      </w:pPr>
      <w:r>
        <w:rPr>
          <w:b/>
          <w:bCs/>
          <w:iCs/>
          <w:sz w:val="20"/>
          <w:lang w:val="es-ES_tradnl"/>
        </w:rPr>
        <w:lastRenderedPageBreak/>
        <w:t xml:space="preserve">Programa 4:  </w:t>
      </w:r>
      <w:r w:rsidR="004046B6" w:rsidRPr="00C75C7E">
        <w:rPr>
          <w:b/>
          <w:bCs/>
          <w:iCs/>
          <w:sz w:val="20"/>
          <w:lang w:val="es-ES_tradnl"/>
        </w:rPr>
        <w:t>Recursos por objeto de gasto</w:t>
      </w:r>
    </w:p>
    <w:p w:rsidR="004046B6" w:rsidRPr="00C75C7E" w:rsidRDefault="004046B6" w:rsidP="0079447F">
      <w:pPr>
        <w:keepNext/>
        <w:widowControl w:val="0"/>
        <w:autoSpaceDE w:val="0"/>
        <w:autoSpaceDN w:val="0"/>
        <w:adjustRightInd w:val="0"/>
        <w:ind w:firstLine="567"/>
        <w:jc w:val="center"/>
        <w:rPr>
          <w:bCs/>
          <w:i/>
          <w:sz w:val="20"/>
          <w:lang w:val="es-ES_tradnl"/>
        </w:rPr>
      </w:pPr>
      <w:r w:rsidRPr="00C75C7E">
        <w:rPr>
          <w:bCs/>
          <w:i/>
          <w:sz w:val="20"/>
          <w:lang w:val="es-ES_tradnl"/>
        </w:rPr>
        <w:t>(en miles de francos suizos)</w:t>
      </w:r>
    </w:p>
    <w:p w:rsidR="004046B6" w:rsidRDefault="004046B6" w:rsidP="0079447F">
      <w:pPr>
        <w:keepNext/>
        <w:widowControl w:val="0"/>
        <w:autoSpaceDE w:val="0"/>
        <w:autoSpaceDN w:val="0"/>
        <w:adjustRightInd w:val="0"/>
        <w:jc w:val="center"/>
        <w:rPr>
          <w:lang w:val="es-ES_tradnl"/>
        </w:rPr>
      </w:pPr>
    </w:p>
    <w:p w:rsidR="00723CAF" w:rsidRPr="00C75C7E" w:rsidRDefault="00C40A11" w:rsidP="0079447F">
      <w:pPr>
        <w:keepNext/>
        <w:widowControl w:val="0"/>
        <w:autoSpaceDE w:val="0"/>
        <w:autoSpaceDN w:val="0"/>
        <w:adjustRightInd w:val="0"/>
        <w:jc w:val="center"/>
        <w:rPr>
          <w:lang w:val="es-ES_tradnl"/>
        </w:rPr>
      </w:pPr>
      <w:r>
        <w:rPr>
          <w:noProof/>
          <w:lang w:val="en-US" w:eastAsia="en-US"/>
        </w:rPr>
        <w:drawing>
          <wp:inline distT="0" distB="0" distL="0" distR="0" wp14:anchorId="5E6E9145" wp14:editId="52C7E6D2">
            <wp:extent cx="5936615" cy="5739130"/>
            <wp:effectExtent l="0" t="0" r="698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936615" cy="5739130"/>
                    </a:xfrm>
                    <a:prstGeom prst="rect">
                      <a:avLst/>
                    </a:prstGeom>
                    <a:noFill/>
                    <a:ln>
                      <a:noFill/>
                    </a:ln>
                  </pic:spPr>
                </pic:pic>
              </a:graphicData>
            </a:graphic>
          </wp:inline>
        </w:drawing>
      </w:r>
    </w:p>
    <w:p w:rsidR="004046B6" w:rsidRPr="00C75C7E" w:rsidRDefault="004046B6" w:rsidP="004046B6">
      <w:pPr>
        <w:widowControl w:val="0"/>
        <w:autoSpaceDE w:val="0"/>
        <w:autoSpaceDN w:val="0"/>
        <w:adjustRightInd w:val="0"/>
        <w:rPr>
          <w:sz w:val="20"/>
          <w:lang w:val="es-ES_tradnl"/>
        </w:rPr>
      </w:pPr>
    </w:p>
    <w:p w:rsidR="004046B6" w:rsidRPr="00C75C7E" w:rsidRDefault="004046B6" w:rsidP="004046B6">
      <w:pPr>
        <w:widowControl w:val="0"/>
        <w:rPr>
          <w:sz w:val="16"/>
          <w:szCs w:val="16"/>
          <w:lang w:val="es-ES_tradnl"/>
        </w:rPr>
      </w:pPr>
      <w:r w:rsidRPr="00C75C7E">
        <w:rPr>
          <w:sz w:val="16"/>
          <w:szCs w:val="16"/>
          <w:lang w:val="es-ES_tradnl"/>
        </w:rPr>
        <w:t>Notas:</w:t>
      </w:r>
    </w:p>
    <w:p w:rsidR="004046B6" w:rsidRPr="00C75C7E" w:rsidRDefault="004046B6" w:rsidP="004046B6">
      <w:pPr>
        <w:widowControl w:val="0"/>
        <w:rPr>
          <w:sz w:val="16"/>
          <w:szCs w:val="16"/>
          <w:u w:val="single"/>
          <w:lang w:val="es-ES_tradnl"/>
        </w:rPr>
      </w:pPr>
    </w:p>
    <w:p w:rsidR="004046B6" w:rsidRDefault="006A3205" w:rsidP="004046B6">
      <w:pPr>
        <w:widowControl w:val="0"/>
        <w:rPr>
          <w:sz w:val="16"/>
          <w:szCs w:val="16"/>
          <w:lang w:val="es-ES_tradnl"/>
        </w:rPr>
      </w:pPr>
      <w:r>
        <w:rPr>
          <w:sz w:val="16"/>
          <w:szCs w:val="16"/>
          <w:lang w:val="es-ES_tradnl"/>
        </w:rPr>
        <w:t xml:space="preserve">1)  </w:t>
      </w:r>
      <w:r w:rsidR="004046B6" w:rsidRPr="00C75C7E">
        <w:rPr>
          <w:sz w:val="16"/>
          <w:szCs w:val="16"/>
          <w:lang w:val="es-ES_tradnl"/>
        </w:rPr>
        <w:t>El presupuesto aprobado de 2012/13 y el presupuesto de dicho bienio después de las transferencias se reexpresan sobre la base de la estructura de categorías de costos propuesta para 2014/15.</w:t>
      </w:r>
    </w:p>
    <w:p w:rsidR="004046B6" w:rsidRPr="00C75C7E" w:rsidRDefault="004046B6" w:rsidP="004046B6">
      <w:pPr>
        <w:widowControl w:val="0"/>
        <w:rPr>
          <w:sz w:val="16"/>
          <w:szCs w:val="16"/>
          <w:lang w:val="es-ES_tradnl"/>
        </w:rPr>
      </w:pPr>
    </w:p>
    <w:p w:rsidR="004046B6" w:rsidRDefault="004046B6" w:rsidP="004046B6">
      <w:pPr>
        <w:widowControl w:val="0"/>
        <w:rPr>
          <w:rFonts w:cs="ArialMT"/>
          <w:sz w:val="16"/>
          <w:szCs w:val="16"/>
          <w:lang w:val="es-ES_tradnl"/>
        </w:rPr>
      </w:pPr>
      <w:r>
        <w:rPr>
          <w:sz w:val="16"/>
          <w:szCs w:val="16"/>
          <w:lang w:val="es-ES_tradnl"/>
        </w:rPr>
        <w:t>2)</w:t>
      </w:r>
      <w:r w:rsidR="006A3205">
        <w:rPr>
          <w:sz w:val="16"/>
          <w:szCs w:val="16"/>
          <w:lang w:val="es-ES_tradnl"/>
        </w:rPr>
        <w:t xml:space="preserve">  </w:t>
      </w:r>
      <w:r w:rsidRPr="00C75C7E">
        <w:rPr>
          <w:sz w:val="16"/>
          <w:szCs w:val="16"/>
          <w:lang w:val="es-ES_tradnl"/>
        </w:rPr>
        <w:t xml:space="preserve">El presupuesto después de las transferencias refleja el presupuesto de los programas ajustado tras las transferencias efectuadas en 2012/13 en virtud del artículo 5.5 del Reglamento Financiero. Para más información sobre el presupuesto de 2012/13 después de las transferencias, cabe remitirse al cuadro que figura en el Anexo I (Presupuesto después de las transferencias, por programa) del presente documento y al documento WO/PBC/20/2 (Informe sobre el rendimiento de los programas en 2012).  </w:t>
      </w:r>
      <w:r w:rsidRPr="00C75C7E">
        <w:rPr>
          <w:rFonts w:cs="ArialMT"/>
          <w:sz w:val="16"/>
          <w:szCs w:val="16"/>
          <w:lang w:val="es-ES_tradnl"/>
        </w:rPr>
        <w:t xml:space="preserve">Los costos de personal del presupuesto de 2012/13 después de las transferencias representan los gastos reales efectuados hasta el 31 de marzo de 2013 y los importes presupuestados para los nueve meses restantes de 2013, sobre la base de costos estándar. </w:t>
      </w:r>
    </w:p>
    <w:p w:rsidR="004046B6" w:rsidRPr="00C75C7E" w:rsidRDefault="004046B6" w:rsidP="004046B6">
      <w:pPr>
        <w:widowControl w:val="0"/>
        <w:rPr>
          <w:sz w:val="16"/>
          <w:szCs w:val="16"/>
          <w:lang w:val="es-ES_tradnl"/>
        </w:rPr>
      </w:pPr>
    </w:p>
    <w:p w:rsidR="004046B6" w:rsidRPr="00C75C7E" w:rsidRDefault="004046B6" w:rsidP="004046B6">
      <w:pPr>
        <w:widowControl w:val="0"/>
        <w:spacing w:after="120"/>
        <w:rPr>
          <w:sz w:val="16"/>
          <w:szCs w:val="16"/>
          <w:lang w:val="es-ES_tradnl"/>
        </w:rPr>
      </w:pPr>
      <w:r>
        <w:rPr>
          <w:sz w:val="16"/>
          <w:szCs w:val="16"/>
          <w:lang w:val="es-ES_tradnl"/>
        </w:rPr>
        <w:t>3)</w:t>
      </w:r>
      <w:r w:rsidR="006A3205">
        <w:rPr>
          <w:sz w:val="16"/>
          <w:szCs w:val="16"/>
          <w:lang w:val="es-ES_tradnl"/>
        </w:rPr>
        <w:t xml:space="preserve">  </w:t>
      </w:r>
      <w:r w:rsidRPr="00C75C7E">
        <w:rPr>
          <w:sz w:val="16"/>
          <w:szCs w:val="16"/>
          <w:lang w:val="es-ES_tradnl"/>
        </w:rPr>
        <w:t>Para más información sobre los puestos del programa cabe remitirse al cuadro que figura en el Anexo II.</w:t>
      </w:r>
    </w:p>
    <w:p w:rsidR="00DA2E7F" w:rsidRDefault="00DA2E7F" w:rsidP="00FF779C">
      <w:pPr>
        <w:widowControl w:val="0"/>
        <w:tabs>
          <w:tab w:val="num" w:pos="690"/>
        </w:tabs>
        <w:jc w:val="both"/>
        <w:rPr>
          <w:sz w:val="20"/>
          <w:lang w:val="es-ES_tradnl"/>
        </w:rPr>
      </w:pPr>
    </w:p>
    <w:p w:rsidR="00900936" w:rsidRDefault="00900936" w:rsidP="00FF779C">
      <w:pPr>
        <w:widowControl w:val="0"/>
        <w:tabs>
          <w:tab w:val="num" w:pos="690"/>
        </w:tabs>
        <w:jc w:val="both"/>
        <w:rPr>
          <w:sz w:val="20"/>
          <w:lang w:val="es-ES_tradnl"/>
        </w:rPr>
      </w:pPr>
    </w:p>
    <w:p w:rsidR="00900936" w:rsidRDefault="00900936" w:rsidP="00FF779C">
      <w:pPr>
        <w:widowControl w:val="0"/>
        <w:tabs>
          <w:tab w:val="num" w:pos="690"/>
        </w:tabs>
        <w:jc w:val="both"/>
        <w:rPr>
          <w:sz w:val="20"/>
          <w:lang w:val="es-ES_tradnl"/>
        </w:rPr>
        <w:sectPr w:rsidR="00900936" w:rsidSect="00FF362A">
          <w:headerReference w:type="default" r:id="rId54"/>
          <w:headerReference w:type="first" r:id="rId55"/>
          <w:pgSz w:w="11907" w:h="16840" w:code="9"/>
          <w:pgMar w:top="567" w:right="1134" w:bottom="1418" w:left="1418" w:header="510" w:footer="1021" w:gutter="0"/>
          <w:cols w:space="720"/>
          <w:titlePg/>
        </w:sectPr>
      </w:pPr>
    </w:p>
    <w:p w:rsidR="003E09D4" w:rsidRDefault="00450C3A" w:rsidP="00450C3A">
      <w:pPr>
        <w:pStyle w:val="Heading2"/>
        <w:jc w:val="center"/>
        <w:rPr>
          <w:rFonts w:eastAsia="Times New Roman"/>
          <w:b/>
          <w:bCs w:val="0"/>
          <w:iCs w:val="0"/>
          <w:caps w:val="0"/>
          <w:sz w:val="24"/>
          <w:szCs w:val="24"/>
          <w:lang w:eastAsia="da-DK"/>
        </w:rPr>
      </w:pPr>
      <w:bookmarkStart w:id="26" w:name="_Toc356567751"/>
      <w:bookmarkStart w:id="27" w:name="_Toc358816689"/>
      <w:r w:rsidRPr="008541BE">
        <w:rPr>
          <w:rFonts w:eastAsia="Times New Roman"/>
          <w:b/>
          <w:bCs w:val="0"/>
          <w:iCs w:val="0"/>
          <w:caps w:val="0"/>
          <w:sz w:val="24"/>
          <w:szCs w:val="24"/>
          <w:lang w:eastAsia="da-DK"/>
        </w:rPr>
        <w:lastRenderedPageBreak/>
        <w:t xml:space="preserve">META </w:t>
      </w:r>
      <w:r w:rsidRPr="008541BE">
        <w:rPr>
          <w:b/>
          <w:caps w:val="0"/>
          <w:sz w:val="24"/>
          <w:szCs w:val="24"/>
          <w:lang w:val="es-ES_tradnl" w:eastAsia="da-DK"/>
        </w:rPr>
        <w:t>ESTRATÉGICA</w:t>
      </w:r>
      <w:r w:rsidRPr="008541BE">
        <w:rPr>
          <w:rFonts w:eastAsia="Times New Roman"/>
          <w:b/>
          <w:bCs w:val="0"/>
          <w:iCs w:val="0"/>
          <w:caps w:val="0"/>
          <w:sz w:val="24"/>
          <w:szCs w:val="24"/>
          <w:lang w:eastAsia="da-DK"/>
        </w:rPr>
        <w:t xml:space="preserve"> II</w:t>
      </w:r>
    </w:p>
    <w:bookmarkEnd w:id="26"/>
    <w:p w:rsidR="00546AD7" w:rsidRPr="008541BE" w:rsidRDefault="00450C3A" w:rsidP="00450C3A">
      <w:pPr>
        <w:pStyle w:val="Heading2"/>
        <w:jc w:val="center"/>
        <w:rPr>
          <w:rFonts w:eastAsia="Times New Roman"/>
          <w:b/>
          <w:bCs w:val="0"/>
          <w:iCs w:val="0"/>
          <w:caps w:val="0"/>
          <w:sz w:val="24"/>
          <w:szCs w:val="24"/>
          <w:lang w:eastAsia="da-DK"/>
        </w:rPr>
      </w:pPr>
      <w:r w:rsidRPr="008541BE">
        <w:rPr>
          <w:rFonts w:eastAsia="Times New Roman"/>
          <w:b/>
          <w:bCs w:val="0"/>
          <w:iCs w:val="0"/>
          <w:caps w:val="0"/>
          <w:sz w:val="24"/>
          <w:szCs w:val="24"/>
          <w:lang w:eastAsia="da-DK"/>
        </w:rPr>
        <w:t>PRESTACIÓN DE SERVICIOS MUNDIALES DE P.I. DE CALIDAD</w:t>
      </w:r>
      <w:bookmarkEnd w:id="27"/>
    </w:p>
    <w:p w:rsidR="00546AD7" w:rsidRPr="00546AD7" w:rsidRDefault="00546AD7" w:rsidP="00546AD7">
      <w:pPr>
        <w:widowControl w:val="0"/>
        <w:tabs>
          <w:tab w:val="left" w:pos="1701"/>
        </w:tabs>
        <w:ind w:left="1701" w:hanging="1701"/>
        <w:jc w:val="center"/>
        <w:rPr>
          <w:rFonts w:eastAsia="Times New Roman"/>
          <w:bCs/>
          <w:caps/>
          <w:sz w:val="20"/>
          <w:lang w:eastAsia="en-US"/>
        </w:rPr>
      </w:pPr>
    </w:p>
    <w:p w:rsidR="00546AD7" w:rsidRPr="00546AD7" w:rsidRDefault="00546AD7" w:rsidP="00546AD7">
      <w:pPr>
        <w:widowControl w:val="0"/>
        <w:tabs>
          <w:tab w:val="left" w:pos="1701"/>
        </w:tabs>
        <w:ind w:left="1701" w:hanging="1701"/>
        <w:jc w:val="center"/>
        <w:rPr>
          <w:rFonts w:eastAsia="Times New Roman"/>
          <w:bCs/>
          <w:caps/>
          <w:sz w:val="20"/>
          <w:lang w:eastAsia="en-US"/>
        </w:rPr>
      </w:pPr>
    </w:p>
    <w:p w:rsidR="00546AD7" w:rsidRPr="00546AD7" w:rsidRDefault="00546AD7" w:rsidP="00546AD7">
      <w:pPr>
        <w:widowControl w:val="0"/>
        <w:autoSpaceDE w:val="0"/>
        <w:autoSpaceDN w:val="0"/>
        <w:adjustRightInd w:val="0"/>
        <w:jc w:val="both"/>
        <w:rPr>
          <w:rFonts w:ascii="Times New Roman" w:eastAsia="Times New Roman" w:hAnsi="Times New Roman" w:cs="Times New Roman"/>
          <w:sz w:val="24"/>
          <w:lang w:eastAsia="en-US"/>
        </w:rPr>
      </w:pPr>
      <w:r w:rsidRPr="00546AD7">
        <w:rPr>
          <w:rFonts w:eastAsia="Times New Roman"/>
          <w:sz w:val="20"/>
          <w:lang w:eastAsia="en-US"/>
        </w:rPr>
        <w:t>Esta meta estratégica engloba los principales servicios de la OMPI, que son también las principales fuentes de ingresos de la Organización.  Su finalidad es velar por que los sistemas mundiales y los servicios de solución extrajudicial de controversias sean la opción número uno de los usuarios, ofreciendo con ese fin servicios interesantes y rentables que les aporten valor añadido.</w:t>
      </w:r>
    </w:p>
    <w:p w:rsidR="00546AD7" w:rsidRPr="00546AD7" w:rsidRDefault="00546AD7" w:rsidP="00546AD7">
      <w:pPr>
        <w:widowControl w:val="0"/>
        <w:tabs>
          <w:tab w:val="left" w:pos="1701"/>
        </w:tabs>
        <w:ind w:left="1701" w:hanging="1701"/>
        <w:jc w:val="center"/>
        <w:rPr>
          <w:rFonts w:eastAsia="Times New Roman"/>
          <w:bCs/>
          <w:caps/>
          <w:sz w:val="20"/>
          <w:lang w:eastAsia="en-US"/>
        </w:rPr>
      </w:pPr>
    </w:p>
    <w:tbl>
      <w:tblPr>
        <w:tblW w:w="4855"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173"/>
        <w:gridCol w:w="3628"/>
        <w:gridCol w:w="2492"/>
      </w:tblGrid>
      <w:tr w:rsidR="0063482E" w:rsidRPr="00C75C7E" w:rsidTr="00EF3DB5">
        <w:trPr>
          <w:cantSplit/>
          <w:tblHeader/>
        </w:trPr>
        <w:tc>
          <w:tcPr>
            <w:tcW w:w="1707" w:type="pct"/>
            <w:tcBorders>
              <w:top w:val="single" w:sz="4" w:space="0" w:color="auto"/>
              <w:bottom w:val="single" w:sz="4" w:space="0" w:color="auto"/>
            </w:tcBorders>
            <w:shd w:val="clear" w:color="auto" w:fill="CCFFFF"/>
            <w:tcMar>
              <w:top w:w="113" w:type="dxa"/>
              <w:bottom w:w="113" w:type="dxa"/>
            </w:tcMar>
            <w:vAlign w:val="center"/>
          </w:tcPr>
          <w:p w:rsidR="0063482E" w:rsidRPr="00C75C7E" w:rsidRDefault="0063482E" w:rsidP="00EF3DB5">
            <w:pPr>
              <w:widowControl w:val="0"/>
              <w:spacing w:after="120"/>
              <w:jc w:val="center"/>
              <w:rPr>
                <w:b/>
                <w:bCs/>
                <w:sz w:val="18"/>
                <w:szCs w:val="18"/>
                <w:lang w:val="es-ES_tradnl"/>
              </w:rPr>
            </w:pPr>
            <w:r w:rsidRPr="00C75C7E">
              <w:rPr>
                <w:b/>
                <w:bCs/>
                <w:sz w:val="18"/>
                <w:szCs w:val="18"/>
                <w:lang w:val="es-ES_tradnl"/>
              </w:rPr>
              <w:t>Resultados previstos</w:t>
            </w:r>
          </w:p>
        </w:tc>
        <w:tc>
          <w:tcPr>
            <w:tcW w:w="1952" w:type="pct"/>
            <w:tcBorders>
              <w:top w:val="single" w:sz="4" w:space="0" w:color="auto"/>
              <w:bottom w:val="single" w:sz="4" w:space="0" w:color="auto"/>
            </w:tcBorders>
            <w:shd w:val="clear" w:color="auto" w:fill="CCFFFF"/>
            <w:tcMar>
              <w:top w:w="113" w:type="dxa"/>
              <w:bottom w:w="113" w:type="dxa"/>
            </w:tcMar>
            <w:vAlign w:val="center"/>
          </w:tcPr>
          <w:p w:rsidR="0063482E" w:rsidRPr="00C75C7E" w:rsidRDefault="0063482E" w:rsidP="00EF3DB5">
            <w:pPr>
              <w:widowControl w:val="0"/>
              <w:spacing w:after="120"/>
              <w:jc w:val="center"/>
              <w:rPr>
                <w:b/>
                <w:sz w:val="18"/>
                <w:szCs w:val="18"/>
                <w:lang w:val="es-ES_tradnl"/>
              </w:rPr>
            </w:pPr>
            <w:r w:rsidRPr="00C75C7E">
              <w:rPr>
                <w:b/>
                <w:sz w:val="18"/>
                <w:szCs w:val="18"/>
                <w:lang w:val="es-ES_tradnl"/>
              </w:rPr>
              <w:t>Indicadores de rendimiento</w:t>
            </w:r>
          </w:p>
        </w:tc>
        <w:tc>
          <w:tcPr>
            <w:tcW w:w="1341" w:type="pct"/>
            <w:tcBorders>
              <w:top w:val="single" w:sz="4" w:space="0" w:color="auto"/>
              <w:bottom w:val="single" w:sz="4" w:space="0" w:color="auto"/>
            </w:tcBorders>
            <w:shd w:val="clear" w:color="auto" w:fill="CCFFFF"/>
            <w:tcMar>
              <w:top w:w="113" w:type="dxa"/>
              <w:bottom w:w="113" w:type="dxa"/>
            </w:tcMar>
            <w:vAlign w:val="center"/>
          </w:tcPr>
          <w:p w:rsidR="0063482E" w:rsidRPr="00C75C7E" w:rsidRDefault="0063482E" w:rsidP="00EF3DB5">
            <w:pPr>
              <w:widowControl w:val="0"/>
              <w:spacing w:after="120"/>
              <w:ind w:left="85"/>
              <w:jc w:val="center"/>
              <w:rPr>
                <w:sz w:val="18"/>
                <w:szCs w:val="18"/>
                <w:lang w:val="es-ES_tradnl"/>
              </w:rPr>
            </w:pPr>
            <w:r w:rsidRPr="00C75C7E">
              <w:rPr>
                <w:b/>
                <w:bCs/>
                <w:sz w:val="18"/>
                <w:szCs w:val="18"/>
                <w:lang w:val="es-ES_tradnl"/>
              </w:rPr>
              <w:t>Programas responsables</w:t>
            </w:r>
          </w:p>
        </w:tc>
      </w:tr>
      <w:tr w:rsidR="0063482E" w:rsidRPr="00C75C7E" w:rsidTr="00EF3DB5">
        <w:trPr>
          <w:cantSplit/>
        </w:trPr>
        <w:tc>
          <w:tcPr>
            <w:tcW w:w="1707" w:type="pct"/>
            <w:shd w:val="clear" w:color="auto" w:fill="auto"/>
            <w:tcMar>
              <w:top w:w="113" w:type="dxa"/>
              <w:bottom w:w="113" w:type="dxa"/>
            </w:tcMar>
          </w:tcPr>
          <w:p w:rsidR="0063482E" w:rsidRPr="00C75C7E" w:rsidRDefault="0063482E" w:rsidP="005C32FC">
            <w:pPr>
              <w:widowControl w:val="0"/>
              <w:rPr>
                <w:sz w:val="16"/>
                <w:szCs w:val="16"/>
                <w:lang w:val="es-ES_tradnl"/>
              </w:rPr>
            </w:pPr>
            <w:r w:rsidRPr="00C75C7E">
              <w:rPr>
                <w:sz w:val="16"/>
                <w:szCs w:val="16"/>
                <w:lang w:val="es-ES_tradnl"/>
              </w:rPr>
              <w:t xml:space="preserve">II.1. Fomento del uso de la vía del PCT para la presentación de solicitudes </w:t>
            </w:r>
            <w:r w:rsidR="005C32FC">
              <w:rPr>
                <w:sz w:val="16"/>
                <w:szCs w:val="16"/>
                <w:lang w:val="es-ES_tradnl"/>
              </w:rPr>
              <w:t xml:space="preserve">internacionales </w:t>
            </w:r>
            <w:r w:rsidRPr="00C75C7E">
              <w:rPr>
                <w:sz w:val="16"/>
                <w:szCs w:val="16"/>
                <w:lang w:val="es-ES_tradnl"/>
              </w:rPr>
              <w:t>de patente.</w:t>
            </w:r>
          </w:p>
        </w:tc>
        <w:tc>
          <w:tcPr>
            <w:tcW w:w="1952" w:type="pct"/>
            <w:shd w:val="clear" w:color="auto" w:fill="auto"/>
            <w:tcMar>
              <w:top w:w="113" w:type="dxa"/>
              <w:bottom w:w="113" w:type="dxa"/>
            </w:tcMar>
          </w:tcPr>
          <w:p w:rsidR="0063482E" w:rsidRPr="00C75C7E" w:rsidRDefault="0063482E" w:rsidP="00EF3DB5">
            <w:pPr>
              <w:widowControl w:val="0"/>
              <w:rPr>
                <w:sz w:val="16"/>
                <w:szCs w:val="16"/>
                <w:lang w:val="es-ES_tradnl"/>
              </w:rPr>
            </w:pPr>
            <w:r w:rsidRPr="00C75C7E">
              <w:rPr>
                <w:sz w:val="16"/>
                <w:szCs w:val="16"/>
                <w:lang w:val="es-ES_tradnl"/>
              </w:rPr>
              <w:t>Nivel de satisfacción de los usuarios del PCT respecto de los servicios de información y formación destinados a los usuarios.</w:t>
            </w:r>
          </w:p>
        </w:tc>
        <w:tc>
          <w:tcPr>
            <w:tcW w:w="1341" w:type="pct"/>
            <w:shd w:val="clear" w:color="auto" w:fill="FFFFFF"/>
            <w:tcMar>
              <w:top w:w="113" w:type="dxa"/>
              <w:bottom w:w="113" w:type="dxa"/>
            </w:tcMar>
          </w:tcPr>
          <w:p w:rsidR="0063482E" w:rsidRPr="00C75C7E" w:rsidRDefault="0063482E" w:rsidP="00EF3DB5">
            <w:pPr>
              <w:widowControl w:val="0"/>
              <w:ind w:left="441"/>
              <w:rPr>
                <w:sz w:val="16"/>
                <w:szCs w:val="16"/>
                <w:lang w:val="es-ES_tradnl"/>
              </w:rPr>
            </w:pPr>
            <w:r w:rsidRPr="00C75C7E">
              <w:rPr>
                <w:sz w:val="16"/>
                <w:szCs w:val="16"/>
                <w:lang w:val="es-ES_tradnl" w:bidi="th-TH"/>
              </w:rPr>
              <w:t>Programa  5</w:t>
            </w:r>
          </w:p>
        </w:tc>
      </w:tr>
      <w:tr w:rsidR="0063482E" w:rsidRPr="00C75C7E" w:rsidTr="00EF3DB5">
        <w:trPr>
          <w:cantSplit/>
          <w:trHeight w:val="456"/>
        </w:trPr>
        <w:tc>
          <w:tcPr>
            <w:tcW w:w="1707" w:type="pct"/>
            <w:shd w:val="clear" w:color="auto" w:fill="auto"/>
            <w:tcMar>
              <w:top w:w="113" w:type="dxa"/>
              <w:bottom w:w="113" w:type="dxa"/>
            </w:tcMar>
          </w:tcPr>
          <w:p w:rsidR="0063482E" w:rsidRPr="00C75C7E" w:rsidRDefault="0063482E" w:rsidP="00EF3DB5">
            <w:pPr>
              <w:widowControl w:val="0"/>
              <w:rPr>
                <w:sz w:val="16"/>
                <w:szCs w:val="16"/>
                <w:lang w:val="es-ES_tradnl"/>
              </w:rPr>
            </w:pPr>
          </w:p>
        </w:tc>
        <w:tc>
          <w:tcPr>
            <w:tcW w:w="1952" w:type="pct"/>
            <w:shd w:val="clear" w:color="auto" w:fill="auto"/>
            <w:tcMar>
              <w:top w:w="113" w:type="dxa"/>
              <w:bottom w:w="113" w:type="dxa"/>
            </w:tcMar>
          </w:tcPr>
          <w:p w:rsidR="0063482E" w:rsidRPr="00C75C7E" w:rsidRDefault="0063482E" w:rsidP="00EF3DB5">
            <w:pPr>
              <w:widowControl w:val="0"/>
              <w:rPr>
                <w:sz w:val="16"/>
                <w:szCs w:val="16"/>
                <w:lang w:val="es-ES_tradnl"/>
              </w:rPr>
            </w:pPr>
            <w:r w:rsidRPr="00C75C7E">
              <w:rPr>
                <w:sz w:val="16"/>
                <w:szCs w:val="16"/>
                <w:lang w:val="es-ES_tradnl"/>
              </w:rPr>
              <w:t>Satisfacción de las oficinas y de las Administraciones internacionales respecto de las actividades de cooperación del PCT.</w:t>
            </w:r>
          </w:p>
        </w:tc>
        <w:tc>
          <w:tcPr>
            <w:tcW w:w="1341" w:type="pct"/>
            <w:shd w:val="clear" w:color="auto" w:fill="FFFFFF"/>
            <w:tcMar>
              <w:top w:w="113" w:type="dxa"/>
              <w:bottom w:w="113" w:type="dxa"/>
            </w:tcMar>
          </w:tcPr>
          <w:p w:rsidR="0063482E" w:rsidRPr="00C75C7E" w:rsidRDefault="0063482E" w:rsidP="00EF3DB5">
            <w:pPr>
              <w:widowControl w:val="0"/>
              <w:ind w:left="441"/>
              <w:rPr>
                <w:sz w:val="16"/>
                <w:szCs w:val="16"/>
                <w:lang w:val="es-ES_tradnl" w:bidi="th-TH"/>
              </w:rPr>
            </w:pPr>
            <w:r w:rsidRPr="00C75C7E">
              <w:rPr>
                <w:sz w:val="16"/>
                <w:szCs w:val="16"/>
                <w:lang w:val="es-ES_tradnl" w:bidi="th-TH"/>
              </w:rPr>
              <w:t>Programa  5</w:t>
            </w:r>
          </w:p>
        </w:tc>
      </w:tr>
      <w:tr w:rsidR="0063482E" w:rsidRPr="00C75C7E" w:rsidTr="00EF3DB5">
        <w:trPr>
          <w:cantSplit/>
          <w:trHeight w:val="311"/>
        </w:trPr>
        <w:tc>
          <w:tcPr>
            <w:tcW w:w="1707" w:type="pct"/>
            <w:shd w:val="clear" w:color="auto" w:fill="auto"/>
            <w:tcMar>
              <w:top w:w="113" w:type="dxa"/>
              <w:bottom w:w="113" w:type="dxa"/>
            </w:tcMar>
          </w:tcPr>
          <w:p w:rsidR="0063482E" w:rsidRPr="00C75C7E" w:rsidRDefault="0063482E" w:rsidP="00EF3DB5">
            <w:pPr>
              <w:widowControl w:val="0"/>
              <w:rPr>
                <w:sz w:val="16"/>
                <w:szCs w:val="16"/>
                <w:lang w:val="es-ES_tradnl"/>
              </w:rPr>
            </w:pPr>
          </w:p>
        </w:tc>
        <w:tc>
          <w:tcPr>
            <w:tcW w:w="1952" w:type="pct"/>
            <w:shd w:val="clear" w:color="auto" w:fill="auto"/>
            <w:tcMar>
              <w:top w:w="113" w:type="dxa"/>
              <w:bottom w:w="113" w:type="dxa"/>
            </w:tcMar>
          </w:tcPr>
          <w:p w:rsidR="0063482E" w:rsidRPr="00C75C7E" w:rsidRDefault="0063482E" w:rsidP="003E09D4">
            <w:pPr>
              <w:widowControl w:val="0"/>
              <w:rPr>
                <w:sz w:val="16"/>
                <w:szCs w:val="16"/>
                <w:lang w:val="es-ES_tradnl"/>
              </w:rPr>
            </w:pPr>
            <w:r w:rsidRPr="00C75C7E">
              <w:rPr>
                <w:sz w:val="16"/>
                <w:szCs w:val="16"/>
                <w:lang w:val="es-ES_tradnl"/>
              </w:rPr>
              <w:t>Número de solicit</w:t>
            </w:r>
            <w:r w:rsidR="003E09D4">
              <w:rPr>
                <w:sz w:val="16"/>
                <w:szCs w:val="16"/>
                <w:lang w:val="es-ES_tradnl"/>
              </w:rPr>
              <w:t>udes</w:t>
            </w:r>
            <w:r w:rsidRPr="00C75C7E">
              <w:rPr>
                <w:sz w:val="16"/>
                <w:szCs w:val="16"/>
                <w:lang w:val="es-ES_tradnl"/>
              </w:rPr>
              <w:t xml:space="preserve"> PCT procedentes de países con economías en transición y países desarrollados.</w:t>
            </w:r>
          </w:p>
        </w:tc>
        <w:tc>
          <w:tcPr>
            <w:tcW w:w="1341" w:type="pct"/>
            <w:shd w:val="clear" w:color="auto" w:fill="FFFFFF"/>
            <w:tcMar>
              <w:top w:w="113" w:type="dxa"/>
              <w:bottom w:w="113" w:type="dxa"/>
            </w:tcMar>
          </w:tcPr>
          <w:p w:rsidR="0063482E" w:rsidRPr="00C75C7E" w:rsidRDefault="0063482E" w:rsidP="00EF3DB5">
            <w:pPr>
              <w:widowControl w:val="0"/>
              <w:ind w:left="441"/>
              <w:rPr>
                <w:sz w:val="16"/>
                <w:szCs w:val="16"/>
                <w:lang w:val="es-ES_tradnl" w:bidi="th-TH"/>
              </w:rPr>
            </w:pPr>
            <w:r w:rsidRPr="00C75C7E">
              <w:rPr>
                <w:sz w:val="16"/>
                <w:szCs w:val="16"/>
                <w:lang w:val="es-ES_tradnl" w:bidi="th-TH"/>
              </w:rPr>
              <w:t>Programa  10</w:t>
            </w:r>
          </w:p>
        </w:tc>
      </w:tr>
      <w:tr w:rsidR="0063482E" w:rsidRPr="00C75C7E" w:rsidTr="00EF3DB5">
        <w:trPr>
          <w:cantSplit/>
          <w:trHeight w:val="263"/>
        </w:trPr>
        <w:tc>
          <w:tcPr>
            <w:tcW w:w="1707" w:type="pct"/>
            <w:shd w:val="clear" w:color="auto" w:fill="auto"/>
            <w:tcMar>
              <w:top w:w="113" w:type="dxa"/>
              <w:bottom w:w="113" w:type="dxa"/>
            </w:tcMar>
          </w:tcPr>
          <w:p w:rsidR="0063482E" w:rsidRPr="00C75C7E" w:rsidRDefault="0063482E" w:rsidP="00EF3DB5">
            <w:pPr>
              <w:widowControl w:val="0"/>
              <w:rPr>
                <w:sz w:val="16"/>
                <w:szCs w:val="16"/>
                <w:lang w:val="es-ES_tradnl"/>
              </w:rPr>
            </w:pPr>
          </w:p>
        </w:tc>
        <w:tc>
          <w:tcPr>
            <w:tcW w:w="1952" w:type="pct"/>
            <w:shd w:val="clear" w:color="auto" w:fill="auto"/>
            <w:tcMar>
              <w:top w:w="113" w:type="dxa"/>
              <w:bottom w:w="113" w:type="dxa"/>
            </w:tcMar>
          </w:tcPr>
          <w:p w:rsidR="0063482E" w:rsidRPr="00C75C7E" w:rsidRDefault="0063482E" w:rsidP="00EF3DB5">
            <w:pPr>
              <w:widowControl w:val="0"/>
              <w:rPr>
                <w:sz w:val="16"/>
                <w:szCs w:val="16"/>
                <w:lang w:val="es-ES_tradnl"/>
              </w:rPr>
            </w:pPr>
            <w:r w:rsidRPr="00C75C7E">
              <w:rPr>
                <w:sz w:val="16"/>
                <w:szCs w:val="16"/>
                <w:lang w:val="es-ES_tradnl"/>
              </w:rPr>
              <w:t>Porcentaje de solicitudes presentadas en virtud del PCT.</w:t>
            </w:r>
          </w:p>
        </w:tc>
        <w:tc>
          <w:tcPr>
            <w:tcW w:w="1341" w:type="pct"/>
            <w:shd w:val="clear" w:color="auto" w:fill="FFFFFF"/>
            <w:tcMar>
              <w:top w:w="113" w:type="dxa"/>
              <w:bottom w:w="113" w:type="dxa"/>
            </w:tcMar>
          </w:tcPr>
          <w:p w:rsidR="0063482E" w:rsidRPr="00C75C7E" w:rsidRDefault="0063482E" w:rsidP="00EF3DB5">
            <w:pPr>
              <w:widowControl w:val="0"/>
              <w:ind w:left="441"/>
              <w:rPr>
                <w:sz w:val="16"/>
                <w:szCs w:val="16"/>
                <w:lang w:val="es-ES_tradnl" w:bidi="th-TH"/>
              </w:rPr>
            </w:pPr>
            <w:r w:rsidRPr="00C75C7E">
              <w:rPr>
                <w:sz w:val="16"/>
                <w:szCs w:val="16"/>
                <w:lang w:val="es-ES_tradnl" w:bidi="th-TH"/>
              </w:rPr>
              <w:t>Programa  20</w:t>
            </w:r>
          </w:p>
        </w:tc>
      </w:tr>
      <w:tr w:rsidR="0063482E" w:rsidRPr="00C75C7E" w:rsidTr="00EF3DB5">
        <w:trPr>
          <w:cantSplit/>
          <w:trHeight w:val="672"/>
        </w:trPr>
        <w:tc>
          <w:tcPr>
            <w:tcW w:w="1707" w:type="pct"/>
            <w:shd w:val="clear" w:color="auto" w:fill="auto"/>
            <w:tcMar>
              <w:top w:w="113" w:type="dxa"/>
              <w:bottom w:w="113" w:type="dxa"/>
            </w:tcMar>
          </w:tcPr>
          <w:p w:rsidR="0063482E" w:rsidRPr="00C75C7E" w:rsidRDefault="0063482E" w:rsidP="00EF3DB5">
            <w:pPr>
              <w:widowControl w:val="0"/>
              <w:rPr>
                <w:sz w:val="16"/>
                <w:szCs w:val="16"/>
                <w:lang w:val="es-ES_tradnl"/>
              </w:rPr>
            </w:pPr>
          </w:p>
        </w:tc>
        <w:tc>
          <w:tcPr>
            <w:tcW w:w="1952" w:type="pct"/>
            <w:shd w:val="clear" w:color="auto" w:fill="auto"/>
            <w:tcMar>
              <w:top w:w="113" w:type="dxa"/>
              <w:bottom w:w="113" w:type="dxa"/>
            </w:tcMar>
          </w:tcPr>
          <w:p w:rsidR="0063482E" w:rsidRPr="00C75C7E" w:rsidRDefault="0063482E" w:rsidP="00EF3DB5">
            <w:pPr>
              <w:widowControl w:val="0"/>
              <w:rPr>
                <w:sz w:val="16"/>
                <w:szCs w:val="16"/>
                <w:lang w:val="es-ES_tradnl"/>
              </w:rPr>
            </w:pPr>
            <w:r w:rsidRPr="00C75C7E">
              <w:rPr>
                <w:sz w:val="16"/>
                <w:szCs w:val="16"/>
                <w:lang w:val="es-ES_tradnl"/>
              </w:rPr>
              <w:t>Porcentaje de encargados de la adopción de políticas, funcionarios gubernamentales, profesionales de la P.I. y participantes en talleres con un mayor conocimiento del PCT y los temas conexos.</w:t>
            </w:r>
          </w:p>
        </w:tc>
        <w:tc>
          <w:tcPr>
            <w:tcW w:w="1341" w:type="pct"/>
            <w:shd w:val="clear" w:color="auto" w:fill="FFFFFF"/>
            <w:tcMar>
              <w:top w:w="113" w:type="dxa"/>
              <w:bottom w:w="113" w:type="dxa"/>
            </w:tcMar>
          </w:tcPr>
          <w:p w:rsidR="0063482E" w:rsidRPr="00C75C7E" w:rsidRDefault="0063482E" w:rsidP="00EF3DB5">
            <w:pPr>
              <w:widowControl w:val="0"/>
              <w:ind w:left="441"/>
              <w:rPr>
                <w:sz w:val="16"/>
                <w:szCs w:val="16"/>
                <w:lang w:val="es-ES_tradnl" w:bidi="th-TH"/>
              </w:rPr>
            </w:pPr>
            <w:r w:rsidRPr="00C75C7E">
              <w:rPr>
                <w:sz w:val="16"/>
                <w:szCs w:val="16"/>
                <w:lang w:val="es-ES_tradnl" w:bidi="th-TH"/>
              </w:rPr>
              <w:t>Programa  20</w:t>
            </w:r>
          </w:p>
        </w:tc>
      </w:tr>
      <w:tr w:rsidR="0063482E" w:rsidRPr="00C75C7E" w:rsidTr="00EF3DB5">
        <w:trPr>
          <w:cantSplit/>
          <w:trHeight w:val="786"/>
        </w:trPr>
        <w:tc>
          <w:tcPr>
            <w:tcW w:w="1707" w:type="pct"/>
            <w:shd w:val="clear" w:color="auto" w:fill="auto"/>
            <w:tcMar>
              <w:top w:w="113" w:type="dxa"/>
              <w:bottom w:w="113" w:type="dxa"/>
            </w:tcMar>
          </w:tcPr>
          <w:p w:rsidR="0063482E" w:rsidRPr="00C75C7E" w:rsidRDefault="0063482E" w:rsidP="00EF3DB5">
            <w:pPr>
              <w:widowControl w:val="0"/>
              <w:autoSpaceDE w:val="0"/>
              <w:autoSpaceDN w:val="0"/>
              <w:adjustRightInd w:val="0"/>
              <w:rPr>
                <w:sz w:val="16"/>
                <w:szCs w:val="16"/>
                <w:lang w:val="es-ES_tradnl" w:bidi="th-TH"/>
              </w:rPr>
            </w:pPr>
            <w:r w:rsidRPr="00C75C7E">
              <w:rPr>
                <w:sz w:val="16"/>
                <w:szCs w:val="16"/>
                <w:lang w:val="es-ES_tradnl"/>
              </w:rPr>
              <w:t xml:space="preserve">II.2 </w:t>
            </w:r>
            <w:r w:rsidRPr="00C75C7E">
              <w:rPr>
                <w:sz w:val="16"/>
                <w:szCs w:val="16"/>
                <w:lang w:val="es-ES_tradnl" w:bidi="th-TH"/>
              </w:rPr>
              <w:t xml:space="preserve">Mejora del sistema del PCT. </w:t>
            </w:r>
          </w:p>
          <w:p w:rsidR="0063482E" w:rsidRPr="00C75C7E" w:rsidRDefault="0063482E" w:rsidP="00EF3DB5">
            <w:pPr>
              <w:widowControl w:val="0"/>
              <w:rPr>
                <w:sz w:val="16"/>
                <w:szCs w:val="16"/>
                <w:lang w:val="es-ES_tradnl"/>
              </w:rPr>
            </w:pPr>
          </w:p>
        </w:tc>
        <w:tc>
          <w:tcPr>
            <w:tcW w:w="1952" w:type="pct"/>
            <w:shd w:val="clear" w:color="auto" w:fill="auto"/>
            <w:tcMar>
              <w:top w:w="113" w:type="dxa"/>
              <w:bottom w:w="113" w:type="dxa"/>
            </w:tcMar>
          </w:tcPr>
          <w:p w:rsidR="0063482E" w:rsidRPr="00C75C7E" w:rsidRDefault="0063482E" w:rsidP="00EF3DB5">
            <w:pPr>
              <w:widowControl w:val="0"/>
              <w:rPr>
                <w:sz w:val="16"/>
                <w:szCs w:val="16"/>
                <w:lang w:val="es-ES_tradnl"/>
              </w:rPr>
            </w:pPr>
            <w:r w:rsidRPr="00C75C7E">
              <w:rPr>
                <w:sz w:val="16"/>
                <w:szCs w:val="16"/>
                <w:lang w:val="es-ES_tradnl"/>
              </w:rPr>
              <w:t>Continuo desarrollo del sistema del PCT, sobre todo gracias a la aplicación de las recomendaciones de la hoja de ruta del PCT suscritas por los Estados miembros del PCT.</w:t>
            </w:r>
          </w:p>
        </w:tc>
        <w:tc>
          <w:tcPr>
            <w:tcW w:w="1341" w:type="pct"/>
            <w:shd w:val="clear" w:color="auto" w:fill="FFFFFF"/>
            <w:tcMar>
              <w:top w:w="113" w:type="dxa"/>
              <w:bottom w:w="113" w:type="dxa"/>
            </w:tcMar>
          </w:tcPr>
          <w:p w:rsidR="0063482E" w:rsidRPr="00C75C7E" w:rsidRDefault="0063482E" w:rsidP="00EF3DB5">
            <w:pPr>
              <w:widowControl w:val="0"/>
              <w:ind w:left="441"/>
              <w:rPr>
                <w:sz w:val="16"/>
                <w:szCs w:val="16"/>
                <w:lang w:val="es-ES_tradnl" w:bidi="th-TH"/>
              </w:rPr>
            </w:pPr>
            <w:r w:rsidRPr="00C75C7E">
              <w:rPr>
                <w:sz w:val="16"/>
                <w:szCs w:val="16"/>
                <w:lang w:val="es-ES_tradnl" w:bidi="th-TH"/>
              </w:rPr>
              <w:t>Programa  5</w:t>
            </w:r>
          </w:p>
        </w:tc>
      </w:tr>
      <w:tr w:rsidR="0063482E" w:rsidRPr="00C75C7E" w:rsidTr="00EF3DB5">
        <w:trPr>
          <w:cantSplit/>
          <w:trHeight w:val="499"/>
        </w:trPr>
        <w:tc>
          <w:tcPr>
            <w:tcW w:w="1707" w:type="pct"/>
            <w:shd w:val="clear" w:color="auto" w:fill="auto"/>
            <w:tcMar>
              <w:top w:w="113" w:type="dxa"/>
              <w:bottom w:w="113" w:type="dxa"/>
            </w:tcMar>
          </w:tcPr>
          <w:p w:rsidR="0063482E" w:rsidRPr="00C75C7E" w:rsidRDefault="0063482E" w:rsidP="00EF3DB5">
            <w:pPr>
              <w:widowControl w:val="0"/>
              <w:rPr>
                <w:sz w:val="16"/>
                <w:szCs w:val="16"/>
                <w:lang w:val="es-ES_tradnl"/>
              </w:rPr>
            </w:pPr>
          </w:p>
        </w:tc>
        <w:tc>
          <w:tcPr>
            <w:tcW w:w="1952" w:type="pct"/>
            <w:shd w:val="clear" w:color="auto" w:fill="auto"/>
            <w:tcMar>
              <w:top w:w="113" w:type="dxa"/>
              <w:bottom w:w="113" w:type="dxa"/>
            </w:tcMar>
          </w:tcPr>
          <w:p w:rsidR="0063482E" w:rsidRPr="00C75C7E" w:rsidRDefault="0063482E" w:rsidP="00EF3DB5">
            <w:pPr>
              <w:widowControl w:val="0"/>
              <w:rPr>
                <w:sz w:val="16"/>
                <w:szCs w:val="16"/>
                <w:lang w:val="es-ES_tradnl"/>
              </w:rPr>
            </w:pPr>
            <w:r w:rsidRPr="00C75C7E">
              <w:rPr>
                <w:sz w:val="16"/>
                <w:szCs w:val="16"/>
                <w:lang w:val="es-ES_tradnl"/>
              </w:rPr>
              <w:t>Mejora de los servicios electrónicos dirigidos a solicitantes, terceros, oficinas y Administraciones.</w:t>
            </w:r>
          </w:p>
        </w:tc>
        <w:tc>
          <w:tcPr>
            <w:tcW w:w="1341" w:type="pct"/>
            <w:shd w:val="clear" w:color="auto" w:fill="FFFFFF"/>
            <w:tcMar>
              <w:top w:w="113" w:type="dxa"/>
              <w:bottom w:w="113" w:type="dxa"/>
            </w:tcMar>
          </w:tcPr>
          <w:p w:rsidR="0063482E" w:rsidRPr="00C75C7E" w:rsidRDefault="0063482E" w:rsidP="00EF3DB5">
            <w:pPr>
              <w:widowControl w:val="0"/>
              <w:ind w:left="441"/>
              <w:rPr>
                <w:sz w:val="16"/>
                <w:szCs w:val="16"/>
                <w:lang w:val="es-ES_tradnl" w:bidi="th-TH"/>
              </w:rPr>
            </w:pPr>
            <w:r w:rsidRPr="00C75C7E">
              <w:rPr>
                <w:sz w:val="16"/>
                <w:szCs w:val="16"/>
                <w:lang w:val="es-ES_tradnl" w:bidi="th-TH"/>
              </w:rPr>
              <w:t>Programa  5</w:t>
            </w:r>
          </w:p>
        </w:tc>
      </w:tr>
      <w:tr w:rsidR="0063482E" w:rsidRPr="00C75C7E" w:rsidTr="00EF3DB5">
        <w:trPr>
          <w:cantSplit/>
          <w:trHeight w:val="297"/>
        </w:trPr>
        <w:tc>
          <w:tcPr>
            <w:tcW w:w="1707" w:type="pct"/>
            <w:shd w:val="clear" w:color="auto" w:fill="auto"/>
            <w:tcMar>
              <w:top w:w="113" w:type="dxa"/>
              <w:bottom w:w="113" w:type="dxa"/>
            </w:tcMar>
          </w:tcPr>
          <w:p w:rsidR="0063482E" w:rsidRPr="00C75C7E" w:rsidRDefault="0063482E" w:rsidP="00EF3DB5">
            <w:pPr>
              <w:widowControl w:val="0"/>
              <w:rPr>
                <w:sz w:val="16"/>
                <w:szCs w:val="16"/>
                <w:lang w:val="es-ES_tradnl"/>
              </w:rPr>
            </w:pPr>
            <w:r w:rsidRPr="00C75C7E">
              <w:rPr>
                <w:sz w:val="16"/>
                <w:szCs w:val="16"/>
                <w:lang w:val="es-ES_tradnl"/>
              </w:rPr>
              <w:t>II.3. Mejora de la productividad y de la calidad de los servicios en las operaciones del PCT.</w:t>
            </w:r>
          </w:p>
        </w:tc>
        <w:tc>
          <w:tcPr>
            <w:tcW w:w="1952" w:type="pct"/>
            <w:shd w:val="clear" w:color="auto" w:fill="auto"/>
            <w:tcMar>
              <w:top w:w="113" w:type="dxa"/>
              <w:bottom w:w="113" w:type="dxa"/>
            </w:tcMar>
          </w:tcPr>
          <w:p w:rsidR="0063482E" w:rsidRPr="00C75C7E" w:rsidRDefault="0063482E" w:rsidP="00EF3DB5">
            <w:pPr>
              <w:widowControl w:val="0"/>
              <w:rPr>
                <w:sz w:val="16"/>
                <w:szCs w:val="16"/>
                <w:lang w:val="es-ES_tradnl"/>
              </w:rPr>
            </w:pPr>
            <w:r w:rsidRPr="00C75C7E">
              <w:rPr>
                <w:sz w:val="16"/>
                <w:szCs w:val="16"/>
                <w:lang w:val="es-ES_tradnl"/>
              </w:rPr>
              <w:t>Costo unitario de tramitación de las solicitudes.</w:t>
            </w:r>
          </w:p>
        </w:tc>
        <w:tc>
          <w:tcPr>
            <w:tcW w:w="1341" w:type="pct"/>
            <w:shd w:val="clear" w:color="auto" w:fill="FFFFFF"/>
            <w:tcMar>
              <w:top w:w="113" w:type="dxa"/>
              <w:bottom w:w="113" w:type="dxa"/>
            </w:tcMar>
          </w:tcPr>
          <w:p w:rsidR="0063482E" w:rsidRPr="00C75C7E" w:rsidRDefault="0063482E" w:rsidP="00EF3DB5">
            <w:pPr>
              <w:widowControl w:val="0"/>
              <w:ind w:left="441"/>
              <w:rPr>
                <w:sz w:val="16"/>
                <w:szCs w:val="16"/>
                <w:lang w:val="es-ES_tradnl" w:bidi="th-TH"/>
              </w:rPr>
            </w:pPr>
            <w:r w:rsidRPr="00C75C7E">
              <w:rPr>
                <w:sz w:val="16"/>
                <w:szCs w:val="16"/>
                <w:lang w:val="es-ES_tradnl" w:bidi="th-TH"/>
              </w:rPr>
              <w:t>Programa  5</w:t>
            </w:r>
          </w:p>
        </w:tc>
      </w:tr>
      <w:tr w:rsidR="0063482E" w:rsidRPr="00C75C7E" w:rsidTr="00EF3DB5">
        <w:trPr>
          <w:cantSplit/>
          <w:trHeight w:val="328"/>
        </w:trPr>
        <w:tc>
          <w:tcPr>
            <w:tcW w:w="1707" w:type="pct"/>
            <w:shd w:val="clear" w:color="auto" w:fill="auto"/>
            <w:tcMar>
              <w:top w:w="113" w:type="dxa"/>
              <w:bottom w:w="113" w:type="dxa"/>
            </w:tcMar>
          </w:tcPr>
          <w:p w:rsidR="0063482E" w:rsidRPr="00C75C7E" w:rsidRDefault="0063482E" w:rsidP="00EF3DB5">
            <w:pPr>
              <w:widowControl w:val="0"/>
              <w:rPr>
                <w:sz w:val="16"/>
                <w:szCs w:val="16"/>
                <w:lang w:val="es-ES_tradnl"/>
              </w:rPr>
            </w:pPr>
          </w:p>
        </w:tc>
        <w:tc>
          <w:tcPr>
            <w:tcW w:w="1952" w:type="pct"/>
            <w:shd w:val="clear" w:color="auto" w:fill="auto"/>
            <w:tcMar>
              <w:top w:w="113" w:type="dxa"/>
              <w:bottom w:w="113" w:type="dxa"/>
            </w:tcMar>
          </w:tcPr>
          <w:p w:rsidR="0063482E" w:rsidRPr="00C75C7E" w:rsidRDefault="0063482E" w:rsidP="00EF3DB5">
            <w:pPr>
              <w:widowControl w:val="0"/>
              <w:rPr>
                <w:sz w:val="16"/>
                <w:szCs w:val="16"/>
                <w:lang w:val="es-ES_tradnl"/>
              </w:rPr>
            </w:pPr>
            <w:r w:rsidRPr="00C75C7E">
              <w:rPr>
                <w:sz w:val="16"/>
                <w:szCs w:val="16"/>
                <w:lang w:val="es-ES_tradnl"/>
              </w:rPr>
              <w:t>Calidad global del examen de forma (incluido el tiempo empleado).</w:t>
            </w:r>
          </w:p>
        </w:tc>
        <w:tc>
          <w:tcPr>
            <w:tcW w:w="1341" w:type="pct"/>
            <w:shd w:val="clear" w:color="auto" w:fill="FFFFFF"/>
            <w:tcMar>
              <w:top w:w="113" w:type="dxa"/>
              <w:bottom w:w="113" w:type="dxa"/>
            </w:tcMar>
          </w:tcPr>
          <w:p w:rsidR="0063482E" w:rsidRPr="00C75C7E" w:rsidRDefault="0063482E" w:rsidP="00EF3DB5">
            <w:pPr>
              <w:widowControl w:val="0"/>
              <w:ind w:left="441"/>
              <w:rPr>
                <w:sz w:val="16"/>
                <w:szCs w:val="16"/>
                <w:lang w:val="es-ES_tradnl" w:bidi="th-TH"/>
              </w:rPr>
            </w:pPr>
            <w:r w:rsidRPr="00C75C7E">
              <w:rPr>
                <w:sz w:val="16"/>
                <w:szCs w:val="16"/>
                <w:lang w:val="es-ES_tradnl" w:bidi="th-TH"/>
              </w:rPr>
              <w:t>Programa  5</w:t>
            </w:r>
          </w:p>
        </w:tc>
      </w:tr>
      <w:tr w:rsidR="0063482E" w:rsidRPr="00C75C7E" w:rsidTr="00EF3DB5">
        <w:trPr>
          <w:cantSplit/>
          <w:trHeight w:val="201"/>
        </w:trPr>
        <w:tc>
          <w:tcPr>
            <w:tcW w:w="1707" w:type="pct"/>
            <w:shd w:val="clear" w:color="auto" w:fill="auto"/>
            <w:tcMar>
              <w:top w:w="113" w:type="dxa"/>
              <w:bottom w:w="113" w:type="dxa"/>
            </w:tcMar>
          </w:tcPr>
          <w:p w:rsidR="0063482E" w:rsidRPr="00C75C7E" w:rsidRDefault="0063482E" w:rsidP="00EF3DB5">
            <w:pPr>
              <w:widowControl w:val="0"/>
              <w:rPr>
                <w:sz w:val="16"/>
                <w:szCs w:val="16"/>
                <w:lang w:val="es-ES_tradnl"/>
              </w:rPr>
            </w:pPr>
          </w:p>
        </w:tc>
        <w:tc>
          <w:tcPr>
            <w:tcW w:w="1952" w:type="pct"/>
            <w:shd w:val="clear" w:color="auto" w:fill="auto"/>
            <w:tcMar>
              <w:top w:w="113" w:type="dxa"/>
              <w:bottom w:w="113" w:type="dxa"/>
            </w:tcMar>
          </w:tcPr>
          <w:p w:rsidR="0063482E" w:rsidRPr="00C75C7E" w:rsidRDefault="0063482E" w:rsidP="00EF3DB5">
            <w:pPr>
              <w:widowControl w:val="0"/>
              <w:rPr>
                <w:sz w:val="16"/>
                <w:szCs w:val="16"/>
                <w:lang w:val="es-ES_tradnl"/>
              </w:rPr>
            </w:pPr>
            <w:r w:rsidRPr="00C75C7E">
              <w:rPr>
                <w:sz w:val="16"/>
                <w:szCs w:val="16"/>
                <w:lang w:val="es-ES_tradnl"/>
              </w:rPr>
              <w:t>Calidad de las traducciones.</w:t>
            </w:r>
          </w:p>
        </w:tc>
        <w:tc>
          <w:tcPr>
            <w:tcW w:w="1341" w:type="pct"/>
            <w:shd w:val="clear" w:color="auto" w:fill="FFFFFF"/>
            <w:tcMar>
              <w:top w:w="113" w:type="dxa"/>
              <w:bottom w:w="113" w:type="dxa"/>
            </w:tcMar>
          </w:tcPr>
          <w:p w:rsidR="0063482E" w:rsidRPr="00C75C7E" w:rsidRDefault="0063482E" w:rsidP="00EF3DB5">
            <w:pPr>
              <w:widowControl w:val="0"/>
              <w:ind w:left="441"/>
              <w:rPr>
                <w:sz w:val="16"/>
                <w:szCs w:val="16"/>
                <w:lang w:val="es-ES_tradnl" w:bidi="th-TH"/>
              </w:rPr>
            </w:pPr>
            <w:r w:rsidRPr="00C75C7E">
              <w:rPr>
                <w:sz w:val="16"/>
                <w:szCs w:val="16"/>
                <w:lang w:val="es-ES_tradnl" w:bidi="th-TH"/>
              </w:rPr>
              <w:t>Programa  5</w:t>
            </w:r>
          </w:p>
        </w:tc>
      </w:tr>
      <w:tr w:rsidR="0063482E" w:rsidRPr="00C75C7E" w:rsidTr="00EF3DB5">
        <w:trPr>
          <w:cantSplit/>
          <w:trHeight w:val="307"/>
        </w:trPr>
        <w:tc>
          <w:tcPr>
            <w:tcW w:w="1707" w:type="pct"/>
            <w:shd w:val="clear" w:color="auto" w:fill="auto"/>
            <w:tcMar>
              <w:top w:w="113" w:type="dxa"/>
              <w:bottom w:w="113" w:type="dxa"/>
            </w:tcMar>
          </w:tcPr>
          <w:p w:rsidR="0063482E" w:rsidRPr="00C75C7E" w:rsidRDefault="0063482E" w:rsidP="00EF3DB5">
            <w:pPr>
              <w:widowControl w:val="0"/>
              <w:rPr>
                <w:sz w:val="16"/>
                <w:szCs w:val="16"/>
                <w:lang w:val="es-ES_tradnl"/>
              </w:rPr>
            </w:pPr>
          </w:p>
        </w:tc>
        <w:tc>
          <w:tcPr>
            <w:tcW w:w="1952" w:type="pct"/>
            <w:shd w:val="clear" w:color="auto" w:fill="auto"/>
            <w:tcMar>
              <w:top w:w="113" w:type="dxa"/>
              <w:bottom w:w="113" w:type="dxa"/>
            </w:tcMar>
          </w:tcPr>
          <w:p w:rsidR="0063482E" w:rsidRPr="00C75C7E" w:rsidRDefault="0063482E" w:rsidP="00EF3DB5">
            <w:pPr>
              <w:widowControl w:val="0"/>
              <w:tabs>
                <w:tab w:val="left" w:pos="1860"/>
              </w:tabs>
              <w:rPr>
                <w:sz w:val="16"/>
                <w:szCs w:val="16"/>
                <w:lang w:val="es-ES_tradnl"/>
              </w:rPr>
            </w:pPr>
            <w:r w:rsidRPr="00C75C7E">
              <w:rPr>
                <w:sz w:val="16"/>
                <w:szCs w:val="16"/>
                <w:lang w:val="es-ES_tradnl"/>
              </w:rPr>
              <w:t>Plazos de traducción de los informes.</w:t>
            </w:r>
          </w:p>
        </w:tc>
        <w:tc>
          <w:tcPr>
            <w:tcW w:w="1341" w:type="pct"/>
            <w:shd w:val="clear" w:color="auto" w:fill="FFFFFF"/>
            <w:tcMar>
              <w:top w:w="113" w:type="dxa"/>
              <w:bottom w:w="113" w:type="dxa"/>
            </w:tcMar>
          </w:tcPr>
          <w:p w:rsidR="0063482E" w:rsidRPr="00C75C7E" w:rsidRDefault="0063482E" w:rsidP="00EF3DB5">
            <w:pPr>
              <w:widowControl w:val="0"/>
              <w:ind w:left="441"/>
              <w:rPr>
                <w:sz w:val="16"/>
                <w:szCs w:val="16"/>
                <w:lang w:val="es-ES_tradnl" w:bidi="th-TH"/>
              </w:rPr>
            </w:pPr>
            <w:r w:rsidRPr="00C75C7E">
              <w:rPr>
                <w:sz w:val="16"/>
                <w:szCs w:val="16"/>
                <w:lang w:val="es-ES_tradnl" w:bidi="th-TH"/>
              </w:rPr>
              <w:t>Programa  5</w:t>
            </w:r>
          </w:p>
        </w:tc>
      </w:tr>
      <w:tr w:rsidR="0063482E" w:rsidRPr="00C75C7E" w:rsidTr="00EF3DB5">
        <w:trPr>
          <w:cantSplit/>
          <w:trHeight w:val="315"/>
        </w:trPr>
        <w:tc>
          <w:tcPr>
            <w:tcW w:w="1707" w:type="pct"/>
            <w:shd w:val="clear" w:color="auto" w:fill="auto"/>
            <w:tcMar>
              <w:top w:w="113" w:type="dxa"/>
              <w:bottom w:w="113" w:type="dxa"/>
            </w:tcMar>
          </w:tcPr>
          <w:p w:rsidR="0063482E" w:rsidRPr="00C75C7E" w:rsidRDefault="0063482E" w:rsidP="00EF3DB5">
            <w:pPr>
              <w:widowControl w:val="0"/>
              <w:rPr>
                <w:sz w:val="16"/>
                <w:szCs w:val="16"/>
                <w:lang w:val="es-ES_tradnl"/>
              </w:rPr>
            </w:pPr>
          </w:p>
        </w:tc>
        <w:tc>
          <w:tcPr>
            <w:tcW w:w="1952" w:type="pct"/>
            <w:shd w:val="clear" w:color="auto" w:fill="auto"/>
            <w:tcMar>
              <w:top w:w="113" w:type="dxa"/>
              <w:bottom w:w="113" w:type="dxa"/>
            </w:tcMar>
          </w:tcPr>
          <w:p w:rsidR="0063482E" w:rsidRPr="00C75C7E" w:rsidRDefault="0063482E" w:rsidP="00EF3DB5">
            <w:pPr>
              <w:widowControl w:val="0"/>
              <w:rPr>
                <w:sz w:val="16"/>
                <w:szCs w:val="16"/>
                <w:lang w:val="es-ES_tradnl"/>
              </w:rPr>
            </w:pPr>
            <w:r w:rsidRPr="00C75C7E">
              <w:rPr>
                <w:sz w:val="16"/>
                <w:szCs w:val="16"/>
                <w:lang w:val="es-ES_tradnl"/>
              </w:rPr>
              <w:t>Calidad del desarrollo de programas informáticos.</w:t>
            </w:r>
          </w:p>
        </w:tc>
        <w:tc>
          <w:tcPr>
            <w:tcW w:w="1341" w:type="pct"/>
            <w:shd w:val="clear" w:color="auto" w:fill="FFFFFF"/>
            <w:tcMar>
              <w:top w:w="113" w:type="dxa"/>
              <w:bottom w:w="113" w:type="dxa"/>
            </w:tcMar>
          </w:tcPr>
          <w:p w:rsidR="0063482E" w:rsidRPr="00C75C7E" w:rsidRDefault="0063482E" w:rsidP="00EF3DB5">
            <w:pPr>
              <w:widowControl w:val="0"/>
              <w:ind w:left="441"/>
              <w:rPr>
                <w:sz w:val="16"/>
                <w:szCs w:val="16"/>
                <w:lang w:val="es-ES_tradnl" w:bidi="th-TH"/>
              </w:rPr>
            </w:pPr>
            <w:r w:rsidRPr="00C75C7E">
              <w:rPr>
                <w:sz w:val="16"/>
                <w:szCs w:val="16"/>
                <w:lang w:val="es-ES_tradnl" w:bidi="th-TH"/>
              </w:rPr>
              <w:t>Programa  5</w:t>
            </w:r>
          </w:p>
        </w:tc>
      </w:tr>
      <w:tr w:rsidR="0063482E" w:rsidRPr="00C75C7E" w:rsidTr="00EF3DB5">
        <w:trPr>
          <w:cantSplit/>
          <w:trHeight w:val="323"/>
        </w:trPr>
        <w:tc>
          <w:tcPr>
            <w:tcW w:w="1707" w:type="pct"/>
            <w:shd w:val="clear" w:color="auto" w:fill="auto"/>
            <w:tcMar>
              <w:top w:w="113" w:type="dxa"/>
              <w:bottom w:w="113" w:type="dxa"/>
            </w:tcMar>
          </w:tcPr>
          <w:p w:rsidR="0063482E" w:rsidRPr="00C75C7E" w:rsidRDefault="0063482E" w:rsidP="00EF3DB5">
            <w:pPr>
              <w:widowControl w:val="0"/>
              <w:rPr>
                <w:sz w:val="16"/>
                <w:szCs w:val="16"/>
                <w:lang w:val="es-ES_tradnl"/>
              </w:rPr>
            </w:pPr>
          </w:p>
        </w:tc>
        <w:tc>
          <w:tcPr>
            <w:tcW w:w="1952" w:type="pct"/>
            <w:shd w:val="clear" w:color="auto" w:fill="auto"/>
            <w:tcMar>
              <w:top w:w="113" w:type="dxa"/>
              <w:bottom w:w="113" w:type="dxa"/>
            </w:tcMar>
          </w:tcPr>
          <w:p w:rsidR="0063482E" w:rsidRPr="00C75C7E" w:rsidRDefault="0063482E" w:rsidP="00EF3DB5">
            <w:pPr>
              <w:widowControl w:val="0"/>
              <w:rPr>
                <w:sz w:val="16"/>
                <w:szCs w:val="16"/>
                <w:lang w:val="es-ES_tradnl"/>
              </w:rPr>
            </w:pPr>
            <w:r w:rsidRPr="00C75C7E">
              <w:rPr>
                <w:sz w:val="16"/>
                <w:szCs w:val="16"/>
                <w:lang w:val="es-ES_tradnl"/>
              </w:rPr>
              <w:t>Niveles de los servicios prestados por los sistemas de información.</w:t>
            </w:r>
          </w:p>
        </w:tc>
        <w:tc>
          <w:tcPr>
            <w:tcW w:w="1341" w:type="pct"/>
            <w:shd w:val="clear" w:color="auto" w:fill="FFFFFF"/>
            <w:tcMar>
              <w:top w:w="113" w:type="dxa"/>
              <w:bottom w:w="113" w:type="dxa"/>
            </w:tcMar>
          </w:tcPr>
          <w:p w:rsidR="0063482E" w:rsidRPr="00C75C7E" w:rsidRDefault="0063482E" w:rsidP="00EF3DB5">
            <w:pPr>
              <w:widowControl w:val="0"/>
              <w:ind w:left="441"/>
              <w:rPr>
                <w:sz w:val="16"/>
                <w:szCs w:val="16"/>
                <w:lang w:val="es-ES_tradnl" w:bidi="th-TH"/>
              </w:rPr>
            </w:pPr>
            <w:r w:rsidRPr="00C75C7E">
              <w:rPr>
                <w:sz w:val="16"/>
                <w:szCs w:val="16"/>
                <w:lang w:val="es-ES_tradnl" w:bidi="th-TH"/>
              </w:rPr>
              <w:t>Programa  5</w:t>
            </w:r>
          </w:p>
        </w:tc>
      </w:tr>
      <w:tr w:rsidR="0063482E" w:rsidRPr="00C75C7E" w:rsidTr="00EF3DB5">
        <w:trPr>
          <w:cantSplit/>
          <w:trHeight w:val="589"/>
        </w:trPr>
        <w:tc>
          <w:tcPr>
            <w:tcW w:w="1707" w:type="pct"/>
            <w:shd w:val="clear" w:color="auto" w:fill="auto"/>
            <w:tcMar>
              <w:top w:w="113" w:type="dxa"/>
              <w:bottom w:w="113" w:type="dxa"/>
            </w:tcMar>
          </w:tcPr>
          <w:p w:rsidR="0063482E" w:rsidRPr="00C75C7E" w:rsidRDefault="0063482E" w:rsidP="00EF3DB5">
            <w:pPr>
              <w:widowControl w:val="0"/>
              <w:rPr>
                <w:sz w:val="16"/>
                <w:szCs w:val="16"/>
                <w:lang w:val="es-ES_tradnl"/>
              </w:rPr>
            </w:pPr>
            <w:r w:rsidRPr="00C75C7E">
              <w:rPr>
                <w:sz w:val="16"/>
                <w:szCs w:val="16"/>
                <w:lang w:val="es-ES_tradnl"/>
              </w:rPr>
              <w:t>II.4. Ampliación y mejora del uso del sistema de La Haya por los países en desarrollo y los PMA, entre otros.</w:t>
            </w:r>
          </w:p>
        </w:tc>
        <w:tc>
          <w:tcPr>
            <w:tcW w:w="1952" w:type="pct"/>
            <w:shd w:val="clear" w:color="auto" w:fill="auto"/>
            <w:tcMar>
              <w:top w:w="113" w:type="dxa"/>
              <w:bottom w:w="113" w:type="dxa"/>
            </w:tcMar>
          </w:tcPr>
          <w:p w:rsidR="0063482E" w:rsidRPr="00C75C7E" w:rsidRDefault="0063482E" w:rsidP="00EF3DB5">
            <w:pPr>
              <w:widowControl w:val="0"/>
              <w:rPr>
                <w:sz w:val="16"/>
                <w:szCs w:val="16"/>
                <w:lang w:val="es-ES_tradnl"/>
              </w:rPr>
            </w:pPr>
            <w:r w:rsidRPr="00C75C7E">
              <w:rPr>
                <w:sz w:val="16"/>
                <w:szCs w:val="16"/>
                <w:lang w:val="es-ES_tradnl"/>
              </w:rPr>
              <w:t>Número de solicitantes del sistema de La Haya procedentes de países con economías en transición y países desarrollados.</w:t>
            </w:r>
          </w:p>
        </w:tc>
        <w:tc>
          <w:tcPr>
            <w:tcW w:w="1341" w:type="pct"/>
            <w:shd w:val="clear" w:color="auto" w:fill="FFFFFF"/>
            <w:tcMar>
              <w:top w:w="113" w:type="dxa"/>
              <w:bottom w:w="113" w:type="dxa"/>
            </w:tcMar>
          </w:tcPr>
          <w:p w:rsidR="0063482E" w:rsidRPr="00C75C7E" w:rsidRDefault="0063482E" w:rsidP="00EF3DB5">
            <w:pPr>
              <w:widowControl w:val="0"/>
              <w:ind w:left="441"/>
              <w:rPr>
                <w:sz w:val="16"/>
                <w:szCs w:val="16"/>
                <w:lang w:val="es-ES_tradnl" w:bidi="th-TH"/>
              </w:rPr>
            </w:pPr>
            <w:r w:rsidRPr="00C75C7E">
              <w:rPr>
                <w:sz w:val="16"/>
                <w:szCs w:val="16"/>
                <w:lang w:val="es-ES_tradnl" w:bidi="th-TH"/>
              </w:rPr>
              <w:t>Programa  10</w:t>
            </w:r>
          </w:p>
        </w:tc>
      </w:tr>
      <w:tr w:rsidR="0063482E" w:rsidRPr="00C75C7E" w:rsidTr="00EF3DB5">
        <w:trPr>
          <w:cantSplit/>
          <w:trHeight w:val="589"/>
        </w:trPr>
        <w:tc>
          <w:tcPr>
            <w:tcW w:w="1707" w:type="pct"/>
            <w:shd w:val="clear" w:color="auto" w:fill="auto"/>
            <w:tcMar>
              <w:top w:w="113" w:type="dxa"/>
              <w:bottom w:w="113" w:type="dxa"/>
            </w:tcMar>
          </w:tcPr>
          <w:p w:rsidR="0063482E" w:rsidRPr="00C75C7E" w:rsidRDefault="0063482E" w:rsidP="00EF3DB5">
            <w:pPr>
              <w:widowControl w:val="0"/>
              <w:rPr>
                <w:sz w:val="16"/>
                <w:szCs w:val="16"/>
                <w:lang w:val="es-ES_tradnl"/>
              </w:rPr>
            </w:pPr>
          </w:p>
        </w:tc>
        <w:tc>
          <w:tcPr>
            <w:tcW w:w="1952" w:type="pct"/>
            <w:shd w:val="clear" w:color="auto" w:fill="auto"/>
            <w:tcMar>
              <w:top w:w="113" w:type="dxa"/>
              <w:bottom w:w="113" w:type="dxa"/>
            </w:tcMar>
          </w:tcPr>
          <w:p w:rsidR="0063482E" w:rsidRPr="00C75C7E" w:rsidRDefault="0063482E" w:rsidP="00EF3DB5">
            <w:pPr>
              <w:widowControl w:val="0"/>
              <w:rPr>
                <w:sz w:val="16"/>
                <w:szCs w:val="16"/>
                <w:lang w:val="es-ES_tradnl"/>
              </w:rPr>
            </w:pPr>
            <w:r w:rsidRPr="00C75C7E">
              <w:rPr>
                <w:sz w:val="16"/>
                <w:szCs w:val="16"/>
                <w:lang w:val="es-ES_tradnl"/>
              </w:rPr>
              <w:t>Número de países que han formulado o adoptado políticas en las que se expone su adhesión al Arreglo de La Haya.</w:t>
            </w:r>
          </w:p>
        </w:tc>
        <w:tc>
          <w:tcPr>
            <w:tcW w:w="1341" w:type="pct"/>
            <w:shd w:val="clear" w:color="auto" w:fill="FFFFFF"/>
            <w:tcMar>
              <w:top w:w="113" w:type="dxa"/>
              <w:bottom w:w="113" w:type="dxa"/>
            </w:tcMar>
          </w:tcPr>
          <w:p w:rsidR="0063482E" w:rsidRPr="00C75C7E" w:rsidRDefault="0063482E" w:rsidP="00EF3DB5">
            <w:pPr>
              <w:widowControl w:val="0"/>
              <w:ind w:left="441"/>
              <w:rPr>
                <w:sz w:val="16"/>
                <w:szCs w:val="16"/>
                <w:lang w:val="es-ES_tradnl" w:bidi="th-TH"/>
              </w:rPr>
            </w:pPr>
            <w:r w:rsidRPr="00C75C7E">
              <w:rPr>
                <w:sz w:val="16"/>
                <w:szCs w:val="16"/>
                <w:lang w:val="es-ES_tradnl" w:bidi="th-TH"/>
              </w:rPr>
              <w:t>Programa  20</w:t>
            </w:r>
          </w:p>
        </w:tc>
      </w:tr>
      <w:tr w:rsidR="0063482E" w:rsidRPr="00C75C7E" w:rsidTr="00EF3DB5">
        <w:trPr>
          <w:cantSplit/>
          <w:trHeight w:val="589"/>
        </w:trPr>
        <w:tc>
          <w:tcPr>
            <w:tcW w:w="1707" w:type="pct"/>
            <w:shd w:val="clear" w:color="auto" w:fill="auto"/>
            <w:tcMar>
              <w:top w:w="113" w:type="dxa"/>
              <w:bottom w:w="113" w:type="dxa"/>
            </w:tcMar>
          </w:tcPr>
          <w:p w:rsidR="0063482E" w:rsidRPr="00C75C7E" w:rsidRDefault="0063482E" w:rsidP="00EF3DB5">
            <w:pPr>
              <w:widowControl w:val="0"/>
              <w:rPr>
                <w:sz w:val="16"/>
                <w:szCs w:val="16"/>
                <w:lang w:val="es-ES_tradnl"/>
              </w:rPr>
            </w:pPr>
          </w:p>
        </w:tc>
        <w:tc>
          <w:tcPr>
            <w:tcW w:w="1952" w:type="pct"/>
            <w:shd w:val="clear" w:color="auto" w:fill="auto"/>
            <w:tcMar>
              <w:top w:w="113" w:type="dxa"/>
              <w:bottom w:w="113" w:type="dxa"/>
            </w:tcMar>
          </w:tcPr>
          <w:p w:rsidR="0063482E" w:rsidRPr="00C75C7E" w:rsidRDefault="0063482E" w:rsidP="00EF3DB5">
            <w:pPr>
              <w:widowControl w:val="0"/>
              <w:rPr>
                <w:sz w:val="16"/>
                <w:szCs w:val="16"/>
                <w:lang w:val="es-ES_tradnl"/>
              </w:rPr>
            </w:pPr>
            <w:r w:rsidRPr="00C75C7E">
              <w:rPr>
                <w:sz w:val="16"/>
                <w:szCs w:val="16"/>
                <w:lang w:val="es-ES_tradnl"/>
              </w:rPr>
              <w:t>Porcentaje de encargados de la adopción de políticas, funcionarios gubernamentales, profesionales de la P.I. y participantes en talleres con un mayor conocimiento del sistema de La Haya.</w:t>
            </w:r>
          </w:p>
        </w:tc>
        <w:tc>
          <w:tcPr>
            <w:tcW w:w="1341" w:type="pct"/>
            <w:shd w:val="clear" w:color="auto" w:fill="FFFFFF"/>
            <w:tcMar>
              <w:top w:w="113" w:type="dxa"/>
              <w:bottom w:w="113" w:type="dxa"/>
            </w:tcMar>
          </w:tcPr>
          <w:p w:rsidR="0063482E" w:rsidRPr="00C75C7E" w:rsidRDefault="0063482E" w:rsidP="00EF3DB5">
            <w:pPr>
              <w:widowControl w:val="0"/>
              <w:ind w:left="441"/>
              <w:rPr>
                <w:sz w:val="16"/>
                <w:szCs w:val="16"/>
                <w:lang w:val="es-ES_tradnl" w:bidi="th-TH"/>
              </w:rPr>
            </w:pPr>
            <w:r w:rsidRPr="00C75C7E">
              <w:rPr>
                <w:sz w:val="16"/>
                <w:szCs w:val="16"/>
                <w:lang w:val="es-ES_tradnl" w:bidi="th-TH"/>
              </w:rPr>
              <w:t>Programa  20</w:t>
            </w:r>
          </w:p>
        </w:tc>
      </w:tr>
      <w:tr w:rsidR="0063482E" w:rsidRPr="00C75C7E" w:rsidTr="00EF3DB5">
        <w:trPr>
          <w:cantSplit/>
          <w:trHeight w:val="402"/>
        </w:trPr>
        <w:tc>
          <w:tcPr>
            <w:tcW w:w="1707" w:type="pct"/>
            <w:shd w:val="clear" w:color="auto" w:fill="auto"/>
            <w:tcMar>
              <w:top w:w="113" w:type="dxa"/>
              <w:bottom w:w="113" w:type="dxa"/>
            </w:tcMar>
          </w:tcPr>
          <w:p w:rsidR="0063482E" w:rsidRPr="00C75C7E" w:rsidRDefault="0063482E" w:rsidP="00EF3DB5">
            <w:pPr>
              <w:widowControl w:val="0"/>
              <w:rPr>
                <w:sz w:val="16"/>
                <w:szCs w:val="16"/>
                <w:lang w:val="es-ES_tradnl"/>
              </w:rPr>
            </w:pPr>
          </w:p>
        </w:tc>
        <w:tc>
          <w:tcPr>
            <w:tcW w:w="1952" w:type="pct"/>
            <w:shd w:val="clear" w:color="auto" w:fill="auto"/>
            <w:tcMar>
              <w:top w:w="113" w:type="dxa"/>
              <w:bottom w:w="113" w:type="dxa"/>
            </w:tcMar>
          </w:tcPr>
          <w:p w:rsidR="0063482E" w:rsidRPr="00C75C7E" w:rsidRDefault="0063482E" w:rsidP="00EF3DB5">
            <w:pPr>
              <w:widowControl w:val="0"/>
              <w:rPr>
                <w:sz w:val="16"/>
                <w:szCs w:val="16"/>
                <w:lang w:val="es-ES_tradnl"/>
              </w:rPr>
            </w:pPr>
            <w:r w:rsidRPr="00C75C7E">
              <w:rPr>
                <w:sz w:val="16"/>
                <w:szCs w:val="16"/>
                <w:lang w:val="es-ES_tradnl"/>
              </w:rPr>
              <w:t>Número de partes contratantes en el sistema de La Haya de la región de Asia y el Pacífico.</w:t>
            </w:r>
          </w:p>
        </w:tc>
        <w:tc>
          <w:tcPr>
            <w:tcW w:w="1341" w:type="pct"/>
            <w:shd w:val="clear" w:color="auto" w:fill="FFFFFF"/>
            <w:tcMar>
              <w:top w:w="113" w:type="dxa"/>
              <w:bottom w:w="113" w:type="dxa"/>
            </w:tcMar>
          </w:tcPr>
          <w:p w:rsidR="0063482E" w:rsidRPr="00C75C7E" w:rsidRDefault="0063482E" w:rsidP="00EF3DB5">
            <w:pPr>
              <w:widowControl w:val="0"/>
              <w:ind w:left="441"/>
              <w:rPr>
                <w:sz w:val="16"/>
                <w:szCs w:val="16"/>
                <w:lang w:val="es-ES_tradnl" w:bidi="th-TH"/>
              </w:rPr>
            </w:pPr>
            <w:r w:rsidRPr="00C75C7E">
              <w:rPr>
                <w:sz w:val="16"/>
                <w:szCs w:val="16"/>
                <w:lang w:val="es-ES_tradnl" w:bidi="th-TH"/>
              </w:rPr>
              <w:t>Programa  20</w:t>
            </w:r>
          </w:p>
        </w:tc>
      </w:tr>
      <w:tr w:rsidR="0063482E" w:rsidRPr="00C75C7E" w:rsidTr="00EF3DB5">
        <w:trPr>
          <w:cantSplit/>
          <w:trHeight w:val="332"/>
        </w:trPr>
        <w:tc>
          <w:tcPr>
            <w:tcW w:w="1707" w:type="pct"/>
            <w:shd w:val="clear" w:color="auto" w:fill="auto"/>
            <w:tcMar>
              <w:top w:w="113" w:type="dxa"/>
              <w:bottom w:w="113" w:type="dxa"/>
            </w:tcMar>
          </w:tcPr>
          <w:p w:rsidR="0063482E" w:rsidRPr="00C75C7E" w:rsidRDefault="0063482E" w:rsidP="00EF3DB5">
            <w:pPr>
              <w:widowControl w:val="0"/>
              <w:rPr>
                <w:sz w:val="16"/>
                <w:szCs w:val="16"/>
                <w:lang w:val="es-ES_tradnl"/>
              </w:rPr>
            </w:pPr>
          </w:p>
        </w:tc>
        <w:tc>
          <w:tcPr>
            <w:tcW w:w="1952" w:type="pct"/>
            <w:shd w:val="clear" w:color="auto" w:fill="auto"/>
            <w:tcMar>
              <w:top w:w="113" w:type="dxa"/>
              <w:bottom w:w="113" w:type="dxa"/>
            </w:tcMar>
          </w:tcPr>
          <w:p w:rsidR="0063482E" w:rsidRPr="00C75C7E" w:rsidRDefault="0063482E" w:rsidP="00EF3DB5">
            <w:pPr>
              <w:widowControl w:val="0"/>
              <w:rPr>
                <w:sz w:val="16"/>
                <w:szCs w:val="16"/>
                <w:lang w:val="es-ES_tradnl"/>
              </w:rPr>
            </w:pPr>
            <w:r w:rsidRPr="00C75C7E">
              <w:rPr>
                <w:sz w:val="16"/>
                <w:szCs w:val="16"/>
                <w:lang w:val="es-ES_tradnl"/>
              </w:rPr>
              <w:t>Número de miembros del Acta de La Haya (1999).</w:t>
            </w:r>
          </w:p>
        </w:tc>
        <w:tc>
          <w:tcPr>
            <w:tcW w:w="1341" w:type="pct"/>
            <w:shd w:val="clear" w:color="auto" w:fill="FFFFFF"/>
            <w:tcMar>
              <w:top w:w="113" w:type="dxa"/>
              <w:bottom w:w="113" w:type="dxa"/>
            </w:tcMar>
          </w:tcPr>
          <w:p w:rsidR="0063482E" w:rsidRPr="00C75C7E" w:rsidRDefault="0063482E" w:rsidP="00EF3DB5">
            <w:pPr>
              <w:widowControl w:val="0"/>
              <w:ind w:left="441"/>
              <w:rPr>
                <w:sz w:val="16"/>
                <w:szCs w:val="16"/>
                <w:lang w:val="es-ES_tradnl" w:bidi="th-TH"/>
              </w:rPr>
            </w:pPr>
            <w:r w:rsidRPr="00C75C7E">
              <w:rPr>
                <w:sz w:val="16"/>
                <w:szCs w:val="16"/>
                <w:lang w:val="es-ES_tradnl" w:bidi="th-TH"/>
              </w:rPr>
              <w:t>Programa  31</w:t>
            </w:r>
          </w:p>
        </w:tc>
      </w:tr>
      <w:tr w:rsidR="0063482E" w:rsidRPr="00C75C7E" w:rsidTr="00EF3DB5">
        <w:trPr>
          <w:cantSplit/>
          <w:trHeight w:val="382"/>
        </w:trPr>
        <w:tc>
          <w:tcPr>
            <w:tcW w:w="1707" w:type="pct"/>
            <w:shd w:val="clear" w:color="auto" w:fill="auto"/>
            <w:tcMar>
              <w:top w:w="113" w:type="dxa"/>
              <w:bottom w:w="113" w:type="dxa"/>
            </w:tcMar>
          </w:tcPr>
          <w:p w:rsidR="0063482E" w:rsidRPr="00C75C7E" w:rsidRDefault="0063482E" w:rsidP="00EF3DB5">
            <w:pPr>
              <w:widowControl w:val="0"/>
              <w:rPr>
                <w:sz w:val="16"/>
                <w:szCs w:val="16"/>
                <w:lang w:val="es-ES_tradnl"/>
              </w:rPr>
            </w:pPr>
          </w:p>
        </w:tc>
        <w:tc>
          <w:tcPr>
            <w:tcW w:w="1952" w:type="pct"/>
            <w:shd w:val="clear" w:color="auto" w:fill="auto"/>
            <w:tcMar>
              <w:top w:w="113" w:type="dxa"/>
              <w:bottom w:w="113" w:type="dxa"/>
            </w:tcMar>
          </w:tcPr>
          <w:p w:rsidR="0063482E" w:rsidRPr="00C75C7E" w:rsidRDefault="0063482E" w:rsidP="00EF3DB5">
            <w:pPr>
              <w:widowControl w:val="0"/>
              <w:rPr>
                <w:sz w:val="16"/>
                <w:szCs w:val="16"/>
                <w:lang w:val="es-ES_tradnl"/>
              </w:rPr>
            </w:pPr>
            <w:r w:rsidRPr="00C75C7E">
              <w:rPr>
                <w:sz w:val="16"/>
                <w:szCs w:val="16"/>
                <w:lang w:val="es-ES_tradnl"/>
              </w:rPr>
              <w:t xml:space="preserve">Porcentaje de oficinas que proporcionan información sobre el sistema de La Haya. </w:t>
            </w:r>
          </w:p>
        </w:tc>
        <w:tc>
          <w:tcPr>
            <w:tcW w:w="1341" w:type="pct"/>
            <w:shd w:val="clear" w:color="auto" w:fill="FFFFFF"/>
            <w:tcMar>
              <w:top w:w="113" w:type="dxa"/>
              <w:bottom w:w="113" w:type="dxa"/>
            </w:tcMar>
          </w:tcPr>
          <w:p w:rsidR="0063482E" w:rsidRPr="00C75C7E" w:rsidRDefault="0063482E" w:rsidP="00EF3DB5">
            <w:pPr>
              <w:widowControl w:val="0"/>
              <w:ind w:left="441"/>
              <w:rPr>
                <w:sz w:val="16"/>
                <w:szCs w:val="16"/>
                <w:lang w:val="es-ES_tradnl" w:bidi="th-TH"/>
              </w:rPr>
            </w:pPr>
            <w:r w:rsidRPr="00C75C7E">
              <w:rPr>
                <w:sz w:val="16"/>
                <w:szCs w:val="16"/>
                <w:lang w:val="es-ES_tradnl" w:bidi="th-TH"/>
              </w:rPr>
              <w:t>Programa  31</w:t>
            </w:r>
          </w:p>
        </w:tc>
      </w:tr>
      <w:tr w:rsidR="0063482E" w:rsidRPr="00C75C7E" w:rsidTr="00EF3DB5">
        <w:trPr>
          <w:cantSplit/>
          <w:trHeight w:val="317"/>
        </w:trPr>
        <w:tc>
          <w:tcPr>
            <w:tcW w:w="1707" w:type="pct"/>
            <w:shd w:val="clear" w:color="auto" w:fill="auto"/>
            <w:tcMar>
              <w:top w:w="113" w:type="dxa"/>
              <w:bottom w:w="113" w:type="dxa"/>
            </w:tcMar>
          </w:tcPr>
          <w:p w:rsidR="0063482E" w:rsidRPr="00C75C7E" w:rsidRDefault="0063482E" w:rsidP="00EF3DB5">
            <w:pPr>
              <w:widowControl w:val="0"/>
              <w:rPr>
                <w:sz w:val="16"/>
                <w:szCs w:val="16"/>
                <w:lang w:val="es-ES_tradnl"/>
              </w:rPr>
            </w:pPr>
          </w:p>
        </w:tc>
        <w:tc>
          <w:tcPr>
            <w:tcW w:w="1952" w:type="pct"/>
            <w:shd w:val="clear" w:color="auto" w:fill="auto"/>
            <w:tcMar>
              <w:top w:w="113" w:type="dxa"/>
              <w:bottom w:w="113" w:type="dxa"/>
            </w:tcMar>
          </w:tcPr>
          <w:p w:rsidR="0063482E" w:rsidRPr="00C75C7E" w:rsidRDefault="0063482E" w:rsidP="00EF3DB5">
            <w:pPr>
              <w:widowControl w:val="0"/>
              <w:rPr>
                <w:sz w:val="16"/>
                <w:szCs w:val="16"/>
                <w:lang w:val="es-ES_tradnl"/>
              </w:rPr>
            </w:pPr>
            <w:r w:rsidRPr="00C75C7E">
              <w:rPr>
                <w:sz w:val="16"/>
                <w:szCs w:val="16"/>
                <w:lang w:val="es-ES_tradnl"/>
              </w:rPr>
              <w:t>Solicitudes de registro y renovaciones en virtud del sistema de La Haya.</w:t>
            </w:r>
          </w:p>
        </w:tc>
        <w:tc>
          <w:tcPr>
            <w:tcW w:w="1341" w:type="pct"/>
            <w:shd w:val="clear" w:color="auto" w:fill="FFFFFF"/>
            <w:tcMar>
              <w:top w:w="113" w:type="dxa"/>
              <w:bottom w:w="113" w:type="dxa"/>
            </w:tcMar>
          </w:tcPr>
          <w:p w:rsidR="0063482E" w:rsidRPr="00C75C7E" w:rsidRDefault="0063482E" w:rsidP="00EF3DB5">
            <w:pPr>
              <w:widowControl w:val="0"/>
              <w:ind w:left="441"/>
              <w:rPr>
                <w:sz w:val="16"/>
                <w:szCs w:val="16"/>
                <w:lang w:val="es-ES_tradnl" w:bidi="th-TH"/>
              </w:rPr>
            </w:pPr>
            <w:r w:rsidRPr="00C75C7E">
              <w:rPr>
                <w:sz w:val="16"/>
                <w:szCs w:val="16"/>
                <w:lang w:val="es-ES_tradnl" w:bidi="th-TH"/>
              </w:rPr>
              <w:t>Programa  31</w:t>
            </w:r>
          </w:p>
        </w:tc>
      </w:tr>
      <w:tr w:rsidR="0063482E" w:rsidRPr="00C75C7E" w:rsidTr="00EF3DB5">
        <w:trPr>
          <w:cantSplit/>
          <w:trHeight w:val="478"/>
        </w:trPr>
        <w:tc>
          <w:tcPr>
            <w:tcW w:w="1707" w:type="pct"/>
            <w:shd w:val="clear" w:color="auto" w:fill="auto"/>
            <w:tcMar>
              <w:top w:w="113" w:type="dxa"/>
              <w:bottom w:w="113" w:type="dxa"/>
            </w:tcMar>
          </w:tcPr>
          <w:p w:rsidR="0063482E" w:rsidRPr="00C75C7E" w:rsidRDefault="0063482E" w:rsidP="00EF3DB5">
            <w:pPr>
              <w:widowControl w:val="0"/>
              <w:tabs>
                <w:tab w:val="right" w:pos="2835"/>
              </w:tabs>
              <w:spacing w:after="60"/>
              <w:rPr>
                <w:sz w:val="16"/>
                <w:szCs w:val="16"/>
                <w:lang w:val="es-ES_tradnl"/>
              </w:rPr>
            </w:pPr>
            <w:r w:rsidRPr="00C75C7E">
              <w:rPr>
                <w:sz w:val="16"/>
                <w:szCs w:val="16"/>
                <w:lang w:val="es-ES_tradnl"/>
              </w:rPr>
              <w:t>II.5. Mejora de la productividad y de la calidad de los servicios en las operaciones del sistema de La Haya.</w:t>
            </w:r>
          </w:p>
          <w:p w:rsidR="0063482E" w:rsidRPr="00C75C7E" w:rsidRDefault="0063482E" w:rsidP="00EF3DB5">
            <w:pPr>
              <w:widowControl w:val="0"/>
              <w:rPr>
                <w:sz w:val="16"/>
                <w:szCs w:val="16"/>
                <w:lang w:val="es-ES_tradnl"/>
              </w:rPr>
            </w:pPr>
          </w:p>
        </w:tc>
        <w:tc>
          <w:tcPr>
            <w:tcW w:w="1952" w:type="pct"/>
            <w:shd w:val="clear" w:color="auto" w:fill="auto"/>
            <w:tcMar>
              <w:top w:w="113" w:type="dxa"/>
              <w:bottom w:w="113" w:type="dxa"/>
            </w:tcMar>
          </w:tcPr>
          <w:p w:rsidR="0063482E" w:rsidRPr="00C75C7E" w:rsidRDefault="0063482E" w:rsidP="00EF3DB5">
            <w:pPr>
              <w:widowControl w:val="0"/>
              <w:rPr>
                <w:sz w:val="16"/>
                <w:szCs w:val="16"/>
                <w:lang w:val="es-ES_tradnl"/>
              </w:rPr>
            </w:pPr>
            <w:r w:rsidRPr="00C75C7E">
              <w:rPr>
                <w:sz w:val="16"/>
                <w:szCs w:val="16"/>
                <w:lang w:val="es-ES_tradnl"/>
              </w:rPr>
              <w:t>Predominio del Acta de Ginebra (1999) en el sistema de La Haya.</w:t>
            </w:r>
          </w:p>
        </w:tc>
        <w:tc>
          <w:tcPr>
            <w:tcW w:w="1341" w:type="pct"/>
            <w:shd w:val="clear" w:color="auto" w:fill="FFFFFF"/>
            <w:tcMar>
              <w:top w:w="113" w:type="dxa"/>
              <w:bottom w:w="113" w:type="dxa"/>
            </w:tcMar>
          </w:tcPr>
          <w:p w:rsidR="0063482E" w:rsidRPr="00C75C7E" w:rsidRDefault="0063482E" w:rsidP="00EF3DB5">
            <w:pPr>
              <w:widowControl w:val="0"/>
              <w:ind w:left="441"/>
              <w:rPr>
                <w:sz w:val="16"/>
                <w:szCs w:val="16"/>
                <w:lang w:val="es-ES_tradnl" w:bidi="th-TH"/>
              </w:rPr>
            </w:pPr>
            <w:r w:rsidRPr="00C75C7E">
              <w:rPr>
                <w:sz w:val="16"/>
                <w:szCs w:val="16"/>
                <w:lang w:val="es-ES_tradnl" w:bidi="th-TH"/>
              </w:rPr>
              <w:t>Programa  31</w:t>
            </w:r>
          </w:p>
        </w:tc>
      </w:tr>
      <w:tr w:rsidR="0063482E" w:rsidRPr="00C75C7E" w:rsidTr="00EF3DB5">
        <w:trPr>
          <w:cantSplit/>
          <w:trHeight w:val="589"/>
        </w:trPr>
        <w:tc>
          <w:tcPr>
            <w:tcW w:w="1707" w:type="pct"/>
            <w:shd w:val="clear" w:color="auto" w:fill="auto"/>
            <w:tcMar>
              <w:top w:w="113" w:type="dxa"/>
              <w:bottom w:w="113" w:type="dxa"/>
            </w:tcMar>
          </w:tcPr>
          <w:p w:rsidR="0063482E" w:rsidRPr="00C75C7E" w:rsidRDefault="0063482E" w:rsidP="00EF3DB5">
            <w:pPr>
              <w:widowControl w:val="0"/>
              <w:rPr>
                <w:sz w:val="16"/>
                <w:szCs w:val="16"/>
                <w:lang w:val="es-ES_tradnl"/>
              </w:rPr>
            </w:pPr>
          </w:p>
        </w:tc>
        <w:tc>
          <w:tcPr>
            <w:tcW w:w="1952" w:type="pct"/>
            <w:shd w:val="clear" w:color="auto" w:fill="auto"/>
            <w:tcMar>
              <w:top w:w="113" w:type="dxa"/>
              <w:bottom w:w="113" w:type="dxa"/>
            </w:tcMar>
          </w:tcPr>
          <w:p w:rsidR="0063482E" w:rsidRPr="00C75C7E" w:rsidRDefault="0063482E" w:rsidP="00EF3DB5">
            <w:pPr>
              <w:widowControl w:val="0"/>
              <w:rPr>
                <w:sz w:val="16"/>
                <w:szCs w:val="16"/>
                <w:lang w:val="es-ES_tradnl"/>
              </w:rPr>
            </w:pPr>
            <w:r w:rsidRPr="00C75C7E">
              <w:rPr>
                <w:sz w:val="16"/>
                <w:szCs w:val="16"/>
                <w:lang w:val="es-ES_tradnl"/>
              </w:rPr>
              <w:t>Avances en la mejora del marco jurídico.</w:t>
            </w:r>
          </w:p>
        </w:tc>
        <w:tc>
          <w:tcPr>
            <w:tcW w:w="1341" w:type="pct"/>
            <w:shd w:val="clear" w:color="auto" w:fill="FFFFFF"/>
            <w:tcMar>
              <w:top w:w="113" w:type="dxa"/>
              <w:bottom w:w="113" w:type="dxa"/>
            </w:tcMar>
          </w:tcPr>
          <w:p w:rsidR="0063482E" w:rsidRPr="00C75C7E" w:rsidRDefault="0063482E" w:rsidP="00EF3DB5">
            <w:pPr>
              <w:widowControl w:val="0"/>
              <w:ind w:left="441"/>
              <w:rPr>
                <w:sz w:val="16"/>
                <w:szCs w:val="16"/>
                <w:lang w:val="es-ES_tradnl" w:bidi="th-TH"/>
              </w:rPr>
            </w:pPr>
            <w:r w:rsidRPr="00C75C7E">
              <w:rPr>
                <w:sz w:val="16"/>
                <w:szCs w:val="16"/>
                <w:lang w:val="es-ES_tradnl" w:bidi="th-TH"/>
              </w:rPr>
              <w:t>Programa  31</w:t>
            </w:r>
          </w:p>
        </w:tc>
      </w:tr>
      <w:tr w:rsidR="0063482E" w:rsidRPr="00C75C7E" w:rsidTr="00EF3DB5">
        <w:trPr>
          <w:cantSplit/>
          <w:trHeight w:val="461"/>
        </w:trPr>
        <w:tc>
          <w:tcPr>
            <w:tcW w:w="1707" w:type="pct"/>
            <w:shd w:val="clear" w:color="auto" w:fill="auto"/>
            <w:tcMar>
              <w:top w:w="113" w:type="dxa"/>
              <w:bottom w:w="113" w:type="dxa"/>
            </w:tcMar>
          </w:tcPr>
          <w:p w:rsidR="0063482E" w:rsidRPr="00C75C7E" w:rsidRDefault="0063482E" w:rsidP="00EF3DB5">
            <w:pPr>
              <w:widowControl w:val="0"/>
              <w:rPr>
                <w:sz w:val="16"/>
                <w:szCs w:val="16"/>
                <w:lang w:val="es-ES_tradnl"/>
              </w:rPr>
            </w:pPr>
          </w:p>
        </w:tc>
        <w:tc>
          <w:tcPr>
            <w:tcW w:w="1952" w:type="pct"/>
            <w:shd w:val="clear" w:color="auto" w:fill="auto"/>
            <w:tcMar>
              <w:top w:w="113" w:type="dxa"/>
              <w:bottom w:w="113" w:type="dxa"/>
            </w:tcMar>
          </w:tcPr>
          <w:p w:rsidR="0063482E" w:rsidRPr="00C75C7E" w:rsidRDefault="0063482E" w:rsidP="00EF3DB5">
            <w:pPr>
              <w:widowControl w:val="0"/>
              <w:rPr>
                <w:sz w:val="16"/>
                <w:szCs w:val="16"/>
                <w:lang w:val="es-ES_tradnl"/>
              </w:rPr>
            </w:pPr>
            <w:r w:rsidRPr="00C75C7E">
              <w:rPr>
                <w:sz w:val="16"/>
                <w:szCs w:val="16"/>
                <w:lang w:val="es-ES_tradnl"/>
              </w:rPr>
              <w:t>Flexibilidad de los datos inscritos en el Registro Internacional.</w:t>
            </w:r>
          </w:p>
        </w:tc>
        <w:tc>
          <w:tcPr>
            <w:tcW w:w="1341" w:type="pct"/>
            <w:shd w:val="clear" w:color="auto" w:fill="FFFFFF"/>
            <w:tcMar>
              <w:top w:w="113" w:type="dxa"/>
              <w:bottom w:w="113" w:type="dxa"/>
            </w:tcMar>
          </w:tcPr>
          <w:p w:rsidR="0063482E" w:rsidRPr="00C75C7E" w:rsidRDefault="0063482E" w:rsidP="00EF3DB5">
            <w:pPr>
              <w:widowControl w:val="0"/>
              <w:ind w:left="441"/>
              <w:rPr>
                <w:sz w:val="16"/>
                <w:szCs w:val="16"/>
                <w:lang w:val="es-ES_tradnl" w:bidi="th-TH"/>
              </w:rPr>
            </w:pPr>
            <w:r w:rsidRPr="00C75C7E">
              <w:rPr>
                <w:sz w:val="16"/>
                <w:szCs w:val="16"/>
                <w:lang w:val="es-ES_tradnl" w:bidi="th-TH"/>
              </w:rPr>
              <w:t>Programa  31</w:t>
            </w:r>
          </w:p>
        </w:tc>
      </w:tr>
      <w:tr w:rsidR="0063482E" w:rsidRPr="00C75C7E" w:rsidTr="00EF3DB5">
        <w:trPr>
          <w:cantSplit/>
          <w:trHeight w:val="301"/>
        </w:trPr>
        <w:tc>
          <w:tcPr>
            <w:tcW w:w="1707" w:type="pct"/>
            <w:shd w:val="clear" w:color="auto" w:fill="auto"/>
            <w:tcMar>
              <w:top w:w="113" w:type="dxa"/>
              <w:bottom w:w="113" w:type="dxa"/>
            </w:tcMar>
          </w:tcPr>
          <w:p w:rsidR="0063482E" w:rsidRPr="00C75C7E" w:rsidRDefault="0063482E" w:rsidP="00EF3DB5">
            <w:pPr>
              <w:widowControl w:val="0"/>
              <w:rPr>
                <w:sz w:val="16"/>
                <w:szCs w:val="16"/>
                <w:lang w:val="es-ES_tradnl"/>
              </w:rPr>
            </w:pPr>
          </w:p>
        </w:tc>
        <w:tc>
          <w:tcPr>
            <w:tcW w:w="1952" w:type="pct"/>
            <w:shd w:val="clear" w:color="auto" w:fill="auto"/>
            <w:tcMar>
              <w:top w:w="113" w:type="dxa"/>
              <w:bottom w:w="113" w:type="dxa"/>
            </w:tcMar>
          </w:tcPr>
          <w:p w:rsidR="0063482E" w:rsidRPr="00C75C7E" w:rsidRDefault="0063482E" w:rsidP="00EF3DB5">
            <w:pPr>
              <w:widowControl w:val="0"/>
              <w:rPr>
                <w:sz w:val="16"/>
                <w:szCs w:val="16"/>
                <w:lang w:val="es-ES_tradnl"/>
              </w:rPr>
            </w:pPr>
            <w:r w:rsidRPr="00C75C7E">
              <w:rPr>
                <w:sz w:val="16"/>
                <w:szCs w:val="16"/>
                <w:lang w:val="es-ES_tradnl"/>
              </w:rPr>
              <w:t>Número de procedimientos automatizados.</w:t>
            </w:r>
          </w:p>
        </w:tc>
        <w:tc>
          <w:tcPr>
            <w:tcW w:w="1341" w:type="pct"/>
            <w:shd w:val="clear" w:color="auto" w:fill="FFFFFF"/>
            <w:tcMar>
              <w:top w:w="113" w:type="dxa"/>
              <w:bottom w:w="113" w:type="dxa"/>
            </w:tcMar>
          </w:tcPr>
          <w:p w:rsidR="0063482E" w:rsidRPr="00C75C7E" w:rsidRDefault="0063482E" w:rsidP="00EF3DB5">
            <w:pPr>
              <w:widowControl w:val="0"/>
              <w:ind w:left="441"/>
              <w:rPr>
                <w:sz w:val="16"/>
                <w:szCs w:val="16"/>
                <w:lang w:val="es-ES_tradnl" w:bidi="th-TH"/>
              </w:rPr>
            </w:pPr>
            <w:r w:rsidRPr="00C75C7E">
              <w:rPr>
                <w:sz w:val="16"/>
                <w:szCs w:val="16"/>
                <w:lang w:val="es-ES_tradnl" w:bidi="th-TH"/>
              </w:rPr>
              <w:t>Programa  31</w:t>
            </w:r>
          </w:p>
        </w:tc>
      </w:tr>
      <w:tr w:rsidR="0063482E" w:rsidRPr="00C75C7E" w:rsidTr="00EF3DB5">
        <w:trPr>
          <w:cantSplit/>
          <w:trHeight w:val="509"/>
        </w:trPr>
        <w:tc>
          <w:tcPr>
            <w:tcW w:w="1707" w:type="pct"/>
            <w:shd w:val="clear" w:color="auto" w:fill="auto"/>
            <w:tcMar>
              <w:top w:w="113" w:type="dxa"/>
              <w:bottom w:w="113" w:type="dxa"/>
            </w:tcMar>
          </w:tcPr>
          <w:p w:rsidR="0063482E" w:rsidRPr="00C75C7E" w:rsidRDefault="0063482E" w:rsidP="00EF3DB5">
            <w:pPr>
              <w:widowControl w:val="0"/>
              <w:rPr>
                <w:sz w:val="16"/>
                <w:szCs w:val="16"/>
                <w:lang w:val="es-ES_tradnl"/>
              </w:rPr>
            </w:pPr>
            <w:r w:rsidRPr="00C75C7E">
              <w:rPr>
                <w:sz w:val="16"/>
                <w:szCs w:val="16"/>
                <w:lang w:val="es-ES_tradnl"/>
              </w:rPr>
              <w:t>II. 6 Ampliación y mejora del uso de los sistemas de Madrid y de Lisboa por los países en desarrollo y los PMA, entre otros.</w:t>
            </w:r>
          </w:p>
        </w:tc>
        <w:tc>
          <w:tcPr>
            <w:tcW w:w="1952" w:type="pct"/>
            <w:shd w:val="clear" w:color="auto" w:fill="auto"/>
            <w:tcMar>
              <w:top w:w="113" w:type="dxa"/>
              <w:bottom w:w="113" w:type="dxa"/>
            </w:tcMar>
          </w:tcPr>
          <w:p w:rsidR="0063482E" w:rsidRPr="00C75C7E" w:rsidRDefault="0063482E" w:rsidP="00EF3DB5">
            <w:pPr>
              <w:widowControl w:val="0"/>
              <w:rPr>
                <w:sz w:val="16"/>
                <w:szCs w:val="16"/>
                <w:lang w:val="es-ES_tradnl"/>
              </w:rPr>
            </w:pPr>
            <w:r w:rsidRPr="00C75C7E">
              <w:rPr>
                <w:sz w:val="16"/>
                <w:szCs w:val="16"/>
                <w:lang w:val="es-ES_tradnl"/>
              </w:rPr>
              <w:t>Ampliación de la cobertura geográfica (Madrid).</w:t>
            </w:r>
          </w:p>
        </w:tc>
        <w:tc>
          <w:tcPr>
            <w:tcW w:w="1341" w:type="pct"/>
            <w:shd w:val="clear" w:color="auto" w:fill="FFFFFF"/>
            <w:tcMar>
              <w:top w:w="113" w:type="dxa"/>
              <w:bottom w:w="113" w:type="dxa"/>
            </w:tcMar>
          </w:tcPr>
          <w:p w:rsidR="0063482E" w:rsidRPr="00C75C7E" w:rsidRDefault="0063482E" w:rsidP="00EF3DB5">
            <w:pPr>
              <w:widowControl w:val="0"/>
              <w:ind w:left="441"/>
              <w:rPr>
                <w:sz w:val="16"/>
                <w:szCs w:val="16"/>
                <w:lang w:val="es-ES_tradnl" w:bidi="th-TH"/>
              </w:rPr>
            </w:pPr>
            <w:r w:rsidRPr="00C75C7E">
              <w:rPr>
                <w:sz w:val="16"/>
                <w:szCs w:val="16"/>
                <w:lang w:val="es-ES_tradnl" w:bidi="th-TH"/>
              </w:rPr>
              <w:t>Programa  6</w:t>
            </w:r>
          </w:p>
        </w:tc>
      </w:tr>
      <w:tr w:rsidR="0063482E" w:rsidRPr="00C75C7E" w:rsidTr="00EF3DB5">
        <w:trPr>
          <w:cantSplit/>
          <w:trHeight w:val="361"/>
        </w:trPr>
        <w:tc>
          <w:tcPr>
            <w:tcW w:w="1707" w:type="pct"/>
            <w:shd w:val="clear" w:color="auto" w:fill="auto"/>
            <w:tcMar>
              <w:top w:w="113" w:type="dxa"/>
              <w:bottom w:w="113" w:type="dxa"/>
            </w:tcMar>
          </w:tcPr>
          <w:p w:rsidR="0063482E" w:rsidRPr="00C75C7E" w:rsidRDefault="0063482E" w:rsidP="00EF3DB5">
            <w:pPr>
              <w:widowControl w:val="0"/>
              <w:rPr>
                <w:sz w:val="16"/>
                <w:szCs w:val="16"/>
                <w:lang w:val="es-ES_tradnl"/>
              </w:rPr>
            </w:pPr>
          </w:p>
        </w:tc>
        <w:tc>
          <w:tcPr>
            <w:tcW w:w="1952" w:type="pct"/>
            <w:shd w:val="clear" w:color="auto" w:fill="auto"/>
            <w:tcMar>
              <w:top w:w="113" w:type="dxa"/>
              <w:bottom w:w="113" w:type="dxa"/>
            </w:tcMar>
          </w:tcPr>
          <w:p w:rsidR="0063482E" w:rsidRPr="00C75C7E" w:rsidRDefault="0063482E" w:rsidP="00EF3DB5">
            <w:pPr>
              <w:widowControl w:val="0"/>
              <w:rPr>
                <w:sz w:val="16"/>
                <w:szCs w:val="16"/>
                <w:lang w:val="es-ES_tradnl"/>
              </w:rPr>
            </w:pPr>
            <w:r w:rsidRPr="00C75C7E">
              <w:rPr>
                <w:sz w:val="16"/>
                <w:szCs w:val="16"/>
                <w:lang w:val="es-ES_tradnl"/>
              </w:rPr>
              <w:t>Ampliación de la cobertura geográfica (Lisboa).</w:t>
            </w:r>
          </w:p>
        </w:tc>
        <w:tc>
          <w:tcPr>
            <w:tcW w:w="1341" w:type="pct"/>
            <w:shd w:val="clear" w:color="auto" w:fill="FFFFFF"/>
            <w:tcMar>
              <w:top w:w="113" w:type="dxa"/>
              <w:bottom w:w="113" w:type="dxa"/>
            </w:tcMar>
          </w:tcPr>
          <w:p w:rsidR="0063482E" w:rsidRPr="00C75C7E" w:rsidRDefault="0063482E" w:rsidP="00EF3DB5">
            <w:pPr>
              <w:widowControl w:val="0"/>
              <w:ind w:left="441"/>
              <w:rPr>
                <w:sz w:val="16"/>
                <w:szCs w:val="16"/>
                <w:lang w:val="es-ES_tradnl" w:bidi="th-TH"/>
              </w:rPr>
            </w:pPr>
            <w:r w:rsidRPr="00C75C7E">
              <w:rPr>
                <w:sz w:val="16"/>
                <w:szCs w:val="16"/>
                <w:lang w:val="es-ES_tradnl" w:bidi="th-TH"/>
              </w:rPr>
              <w:t>Programa  6</w:t>
            </w:r>
          </w:p>
        </w:tc>
      </w:tr>
      <w:tr w:rsidR="0063482E" w:rsidRPr="00C75C7E" w:rsidTr="00EF3DB5">
        <w:trPr>
          <w:cantSplit/>
          <w:trHeight w:val="589"/>
        </w:trPr>
        <w:tc>
          <w:tcPr>
            <w:tcW w:w="1707" w:type="pct"/>
            <w:shd w:val="clear" w:color="auto" w:fill="auto"/>
            <w:tcMar>
              <w:top w:w="113" w:type="dxa"/>
              <w:bottom w:w="113" w:type="dxa"/>
            </w:tcMar>
          </w:tcPr>
          <w:p w:rsidR="0063482E" w:rsidRPr="00C75C7E" w:rsidRDefault="0063482E" w:rsidP="00EF3DB5">
            <w:pPr>
              <w:widowControl w:val="0"/>
              <w:rPr>
                <w:sz w:val="16"/>
                <w:szCs w:val="16"/>
                <w:lang w:val="es-ES_tradnl"/>
              </w:rPr>
            </w:pPr>
          </w:p>
        </w:tc>
        <w:tc>
          <w:tcPr>
            <w:tcW w:w="1952" w:type="pct"/>
            <w:shd w:val="clear" w:color="auto" w:fill="auto"/>
            <w:tcMar>
              <w:top w:w="113" w:type="dxa"/>
              <w:bottom w:w="113" w:type="dxa"/>
            </w:tcMar>
          </w:tcPr>
          <w:p w:rsidR="0063482E" w:rsidRPr="00C75C7E" w:rsidRDefault="0063482E" w:rsidP="00EF3DB5">
            <w:pPr>
              <w:widowControl w:val="0"/>
              <w:rPr>
                <w:sz w:val="16"/>
                <w:szCs w:val="16"/>
                <w:lang w:val="es-ES_tradnl"/>
              </w:rPr>
            </w:pPr>
            <w:r w:rsidRPr="00C75C7E">
              <w:rPr>
                <w:sz w:val="16"/>
                <w:szCs w:val="16"/>
                <w:lang w:val="es-ES_tradnl"/>
              </w:rPr>
              <w:t>Adopción de disposiciones que agilicen o modernicen el marco jurídico del sistema de Lisboa.</w:t>
            </w:r>
          </w:p>
        </w:tc>
        <w:tc>
          <w:tcPr>
            <w:tcW w:w="1341" w:type="pct"/>
            <w:shd w:val="clear" w:color="auto" w:fill="FFFFFF"/>
            <w:tcMar>
              <w:top w:w="113" w:type="dxa"/>
              <w:bottom w:w="113" w:type="dxa"/>
            </w:tcMar>
          </w:tcPr>
          <w:p w:rsidR="0063482E" w:rsidRPr="00C75C7E" w:rsidRDefault="0063482E" w:rsidP="00EF3DB5">
            <w:pPr>
              <w:widowControl w:val="0"/>
              <w:ind w:left="441"/>
              <w:rPr>
                <w:sz w:val="16"/>
                <w:szCs w:val="16"/>
                <w:lang w:val="es-ES_tradnl" w:bidi="th-TH"/>
              </w:rPr>
            </w:pPr>
            <w:r w:rsidRPr="00C75C7E">
              <w:rPr>
                <w:sz w:val="16"/>
                <w:szCs w:val="16"/>
                <w:lang w:val="es-ES_tradnl" w:bidi="th-TH"/>
              </w:rPr>
              <w:t>Programa  6</w:t>
            </w:r>
          </w:p>
        </w:tc>
      </w:tr>
      <w:tr w:rsidR="0063482E" w:rsidRPr="00C75C7E" w:rsidTr="00EF3DB5">
        <w:trPr>
          <w:cantSplit/>
          <w:trHeight w:val="329"/>
        </w:trPr>
        <w:tc>
          <w:tcPr>
            <w:tcW w:w="1707" w:type="pct"/>
            <w:shd w:val="clear" w:color="auto" w:fill="auto"/>
            <w:tcMar>
              <w:top w:w="113" w:type="dxa"/>
              <w:bottom w:w="113" w:type="dxa"/>
            </w:tcMar>
          </w:tcPr>
          <w:p w:rsidR="0063482E" w:rsidRPr="00C75C7E" w:rsidRDefault="0063482E" w:rsidP="00EF3DB5">
            <w:pPr>
              <w:widowControl w:val="0"/>
              <w:rPr>
                <w:sz w:val="16"/>
                <w:szCs w:val="16"/>
                <w:lang w:val="es-ES_tradnl"/>
              </w:rPr>
            </w:pPr>
          </w:p>
        </w:tc>
        <w:tc>
          <w:tcPr>
            <w:tcW w:w="1952" w:type="pct"/>
            <w:shd w:val="clear" w:color="auto" w:fill="auto"/>
            <w:tcMar>
              <w:top w:w="113" w:type="dxa"/>
              <w:bottom w:w="113" w:type="dxa"/>
            </w:tcMar>
          </w:tcPr>
          <w:p w:rsidR="0063482E" w:rsidRPr="00C75C7E" w:rsidRDefault="0063482E" w:rsidP="00EF3DB5">
            <w:pPr>
              <w:widowControl w:val="0"/>
              <w:rPr>
                <w:sz w:val="16"/>
                <w:szCs w:val="16"/>
                <w:lang w:val="es-ES_tradnl"/>
              </w:rPr>
            </w:pPr>
            <w:r w:rsidRPr="00C75C7E">
              <w:rPr>
                <w:sz w:val="16"/>
                <w:szCs w:val="16"/>
                <w:lang w:val="es-ES_tradnl"/>
              </w:rPr>
              <w:t>Número de solicitudes internacionales (Madrid).</w:t>
            </w:r>
          </w:p>
        </w:tc>
        <w:tc>
          <w:tcPr>
            <w:tcW w:w="1341" w:type="pct"/>
            <w:shd w:val="clear" w:color="auto" w:fill="FFFFFF"/>
            <w:tcMar>
              <w:top w:w="113" w:type="dxa"/>
              <w:bottom w:w="113" w:type="dxa"/>
            </w:tcMar>
          </w:tcPr>
          <w:p w:rsidR="0063482E" w:rsidRPr="00C75C7E" w:rsidRDefault="0063482E" w:rsidP="00EF3DB5">
            <w:pPr>
              <w:widowControl w:val="0"/>
              <w:ind w:left="441"/>
              <w:rPr>
                <w:sz w:val="16"/>
                <w:szCs w:val="16"/>
                <w:lang w:val="es-ES_tradnl" w:bidi="th-TH"/>
              </w:rPr>
            </w:pPr>
            <w:r w:rsidRPr="00C75C7E">
              <w:rPr>
                <w:sz w:val="16"/>
                <w:szCs w:val="16"/>
                <w:lang w:val="es-ES_tradnl" w:bidi="th-TH"/>
              </w:rPr>
              <w:t>Programa  6</w:t>
            </w:r>
          </w:p>
        </w:tc>
      </w:tr>
      <w:tr w:rsidR="0063482E" w:rsidRPr="00C75C7E" w:rsidTr="00EF3DB5">
        <w:trPr>
          <w:cantSplit/>
          <w:trHeight w:val="502"/>
        </w:trPr>
        <w:tc>
          <w:tcPr>
            <w:tcW w:w="1707" w:type="pct"/>
            <w:shd w:val="clear" w:color="auto" w:fill="auto"/>
            <w:tcMar>
              <w:top w:w="113" w:type="dxa"/>
              <w:bottom w:w="113" w:type="dxa"/>
            </w:tcMar>
          </w:tcPr>
          <w:p w:rsidR="0063482E" w:rsidRPr="00C75C7E" w:rsidRDefault="0063482E" w:rsidP="00EF3DB5">
            <w:pPr>
              <w:widowControl w:val="0"/>
              <w:rPr>
                <w:sz w:val="16"/>
                <w:szCs w:val="16"/>
                <w:lang w:val="es-ES_tradnl"/>
              </w:rPr>
            </w:pPr>
          </w:p>
        </w:tc>
        <w:tc>
          <w:tcPr>
            <w:tcW w:w="1952" w:type="pct"/>
            <w:shd w:val="clear" w:color="auto" w:fill="auto"/>
            <w:tcMar>
              <w:top w:w="113" w:type="dxa"/>
              <w:bottom w:w="113" w:type="dxa"/>
            </w:tcMar>
          </w:tcPr>
          <w:p w:rsidR="0063482E" w:rsidRPr="00C75C7E" w:rsidRDefault="0063482E" w:rsidP="00EF3DB5">
            <w:pPr>
              <w:widowControl w:val="0"/>
              <w:rPr>
                <w:sz w:val="16"/>
                <w:szCs w:val="16"/>
                <w:lang w:val="es-ES_tradnl"/>
              </w:rPr>
            </w:pPr>
            <w:r w:rsidRPr="00C75C7E">
              <w:rPr>
                <w:sz w:val="16"/>
                <w:szCs w:val="16"/>
                <w:lang w:val="es-ES_tradnl"/>
              </w:rPr>
              <w:t>Porcentaje de oficinas que proporcionan información actualizada sobre el sistema de Madrid.</w:t>
            </w:r>
          </w:p>
        </w:tc>
        <w:tc>
          <w:tcPr>
            <w:tcW w:w="1341" w:type="pct"/>
            <w:shd w:val="clear" w:color="auto" w:fill="FFFFFF"/>
            <w:tcMar>
              <w:top w:w="113" w:type="dxa"/>
              <w:bottom w:w="113" w:type="dxa"/>
            </w:tcMar>
          </w:tcPr>
          <w:p w:rsidR="0063482E" w:rsidRPr="00C75C7E" w:rsidRDefault="0063482E" w:rsidP="00EF3DB5">
            <w:pPr>
              <w:widowControl w:val="0"/>
              <w:ind w:left="441"/>
              <w:rPr>
                <w:sz w:val="16"/>
                <w:szCs w:val="16"/>
                <w:lang w:val="es-ES_tradnl" w:bidi="th-TH"/>
              </w:rPr>
            </w:pPr>
            <w:r w:rsidRPr="00C75C7E">
              <w:rPr>
                <w:sz w:val="16"/>
                <w:szCs w:val="16"/>
                <w:lang w:val="es-ES_tradnl" w:bidi="th-TH"/>
              </w:rPr>
              <w:t>Programa  6</w:t>
            </w:r>
          </w:p>
        </w:tc>
      </w:tr>
      <w:tr w:rsidR="0063482E" w:rsidRPr="00C75C7E" w:rsidTr="00EF3DB5">
        <w:trPr>
          <w:cantSplit/>
          <w:trHeight w:val="589"/>
        </w:trPr>
        <w:tc>
          <w:tcPr>
            <w:tcW w:w="1707" w:type="pct"/>
            <w:shd w:val="clear" w:color="auto" w:fill="auto"/>
            <w:tcMar>
              <w:top w:w="113" w:type="dxa"/>
              <w:bottom w:w="113" w:type="dxa"/>
            </w:tcMar>
          </w:tcPr>
          <w:p w:rsidR="0063482E" w:rsidRPr="00C75C7E" w:rsidRDefault="0063482E" w:rsidP="00EF3DB5">
            <w:pPr>
              <w:widowControl w:val="0"/>
              <w:rPr>
                <w:sz w:val="16"/>
                <w:szCs w:val="16"/>
                <w:lang w:val="es-ES_tradnl"/>
              </w:rPr>
            </w:pPr>
          </w:p>
        </w:tc>
        <w:tc>
          <w:tcPr>
            <w:tcW w:w="1952" w:type="pct"/>
            <w:shd w:val="clear" w:color="auto" w:fill="auto"/>
            <w:tcMar>
              <w:top w:w="113" w:type="dxa"/>
              <w:bottom w:w="113" w:type="dxa"/>
            </w:tcMar>
          </w:tcPr>
          <w:p w:rsidR="0063482E" w:rsidRPr="00C75C7E" w:rsidRDefault="0063482E" w:rsidP="00EF3DB5">
            <w:pPr>
              <w:widowControl w:val="0"/>
              <w:rPr>
                <w:sz w:val="16"/>
                <w:szCs w:val="16"/>
                <w:lang w:val="es-ES_tradnl"/>
              </w:rPr>
            </w:pPr>
            <w:r w:rsidRPr="00C75C7E">
              <w:rPr>
                <w:sz w:val="16"/>
                <w:szCs w:val="16"/>
                <w:lang w:val="es-ES_tradnl"/>
              </w:rPr>
              <w:t>Porcentaje de participantes en las actividades del sistema de Lisboa que están satisfechos y manifiestan haber mejorado sus conocimientos tras haber participado en las actividades.</w:t>
            </w:r>
          </w:p>
        </w:tc>
        <w:tc>
          <w:tcPr>
            <w:tcW w:w="1341" w:type="pct"/>
            <w:shd w:val="clear" w:color="auto" w:fill="FFFFFF"/>
            <w:tcMar>
              <w:top w:w="113" w:type="dxa"/>
              <w:bottom w:w="113" w:type="dxa"/>
            </w:tcMar>
          </w:tcPr>
          <w:p w:rsidR="0063482E" w:rsidRPr="00C75C7E" w:rsidRDefault="0063482E" w:rsidP="00EF3DB5">
            <w:pPr>
              <w:widowControl w:val="0"/>
              <w:ind w:left="441"/>
              <w:rPr>
                <w:sz w:val="16"/>
                <w:szCs w:val="16"/>
                <w:lang w:val="es-ES_tradnl" w:bidi="th-TH"/>
              </w:rPr>
            </w:pPr>
            <w:r w:rsidRPr="00C75C7E">
              <w:rPr>
                <w:sz w:val="16"/>
                <w:szCs w:val="16"/>
                <w:lang w:val="es-ES_tradnl" w:bidi="th-TH"/>
              </w:rPr>
              <w:t>Programa  6</w:t>
            </w:r>
          </w:p>
        </w:tc>
      </w:tr>
      <w:tr w:rsidR="0063482E" w:rsidRPr="00C75C7E" w:rsidTr="00EF3DB5">
        <w:trPr>
          <w:cantSplit/>
          <w:trHeight w:val="589"/>
        </w:trPr>
        <w:tc>
          <w:tcPr>
            <w:tcW w:w="1707" w:type="pct"/>
            <w:shd w:val="clear" w:color="auto" w:fill="auto"/>
            <w:tcMar>
              <w:top w:w="113" w:type="dxa"/>
              <w:bottom w:w="113" w:type="dxa"/>
            </w:tcMar>
          </w:tcPr>
          <w:p w:rsidR="0063482E" w:rsidRPr="00C75C7E" w:rsidRDefault="0063482E" w:rsidP="00EF3DB5">
            <w:pPr>
              <w:widowControl w:val="0"/>
              <w:rPr>
                <w:sz w:val="16"/>
                <w:szCs w:val="16"/>
                <w:lang w:val="es-ES_tradnl"/>
              </w:rPr>
            </w:pPr>
          </w:p>
        </w:tc>
        <w:tc>
          <w:tcPr>
            <w:tcW w:w="1952" w:type="pct"/>
            <w:shd w:val="clear" w:color="auto" w:fill="auto"/>
            <w:tcMar>
              <w:top w:w="113" w:type="dxa"/>
              <w:bottom w:w="113" w:type="dxa"/>
            </w:tcMar>
          </w:tcPr>
          <w:p w:rsidR="0063482E" w:rsidRPr="00C75C7E" w:rsidRDefault="0063482E" w:rsidP="00EF3DB5">
            <w:pPr>
              <w:widowControl w:val="0"/>
              <w:rPr>
                <w:sz w:val="16"/>
                <w:szCs w:val="16"/>
                <w:lang w:val="es-ES_tradnl"/>
              </w:rPr>
            </w:pPr>
            <w:r w:rsidRPr="00C75C7E">
              <w:rPr>
                <w:sz w:val="16"/>
                <w:szCs w:val="16"/>
                <w:lang w:val="es-ES_tradnl"/>
              </w:rPr>
              <w:t>Número y proporción de registros en vigor del sistema de Lisboa procedentes de países en desarrollo y PMA.</w:t>
            </w:r>
          </w:p>
        </w:tc>
        <w:tc>
          <w:tcPr>
            <w:tcW w:w="1341" w:type="pct"/>
            <w:shd w:val="clear" w:color="auto" w:fill="FFFFFF"/>
            <w:tcMar>
              <w:top w:w="113" w:type="dxa"/>
              <w:bottom w:w="113" w:type="dxa"/>
            </w:tcMar>
          </w:tcPr>
          <w:p w:rsidR="0063482E" w:rsidRPr="00C75C7E" w:rsidRDefault="0063482E" w:rsidP="00EF3DB5">
            <w:pPr>
              <w:widowControl w:val="0"/>
              <w:ind w:left="441"/>
              <w:rPr>
                <w:sz w:val="16"/>
                <w:szCs w:val="16"/>
                <w:lang w:val="es-ES_tradnl" w:bidi="th-TH"/>
              </w:rPr>
            </w:pPr>
            <w:r w:rsidRPr="00C75C7E">
              <w:rPr>
                <w:sz w:val="16"/>
                <w:szCs w:val="16"/>
                <w:lang w:val="es-ES_tradnl" w:bidi="th-TH"/>
              </w:rPr>
              <w:t>Programa  6</w:t>
            </w:r>
          </w:p>
        </w:tc>
      </w:tr>
      <w:tr w:rsidR="0063482E" w:rsidRPr="00C75C7E" w:rsidTr="00EF3DB5">
        <w:trPr>
          <w:cantSplit/>
          <w:trHeight w:val="283"/>
        </w:trPr>
        <w:tc>
          <w:tcPr>
            <w:tcW w:w="1707" w:type="pct"/>
            <w:shd w:val="clear" w:color="auto" w:fill="auto"/>
            <w:tcMar>
              <w:top w:w="113" w:type="dxa"/>
              <w:bottom w:w="113" w:type="dxa"/>
            </w:tcMar>
          </w:tcPr>
          <w:p w:rsidR="0063482E" w:rsidRPr="00C75C7E" w:rsidRDefault="0063482E" w:rsidP="00EF3DB5">
            <w:pPr>
              <w:widowControl w:val="0"/>
              <w:rPr>
                <w:sz w:val="16"/>
                <w:szCs w:val="16"/>
                <w:lang w:val="es-ES_tradnl"/>
              </w:rPr>
            </w:pPr>
          </w:p>
        </w:tc>
        <w:tc>
          <w:tcPr>
            <w:tcW w:w="1952" w:type="pct"/>
            <w:shd w:val="clear" w:color="auto" w:fill="auto"/>
            <w:tcMar>
              <w:top w:w="113" w:type="dxa"/>
              <w:bottom w:w="113" w:type="dxa"/>
            </w:tcMar>
          </w:tcPr>
          <w:p w:rsidR="0063482E" w:rsidRPr="00C75C7E" w:rsidRDefault="0063482E" w:rsidP="00EF3DB5">
            <w:pPr>
              <w:widowControl w:val="0"/>
              <w:rPr>
                <w:sz w:val="16"/>
                <w:szCs w:val="16"/>
                <w:lang w:val="es-ES_tradnl"/>
              </w:rPr>
            </w:pPr>
            <w:r w:rsidRPr="00C75C7E">
              <w:rPr>
                <w:sz w:val="16"/>
                <w:szCs w:val="16"/>
                <w:lang w:val="es-ES_tradnl"/>
              </w:rPr>
              <w:t>Disminución del número de irregularidades (Madrid).</w:t>
            </w:r>
          </w:p>
        </w:tc>
        <w:tc>
          <w:tcPr>
            <w:tcW w:w="1341" w:type="pct"/>
            <w:shd w:val="clear" w:color="auto" w:fill="FFFFFF"/>
            <w:tcMar>
              <w:top w:w="113" w:type="dxa"/>
              <w:bottom w:w="113" w:type="dxa"/>
            </w:tcMar>
          </w:tcPr>
          <w:p w:rsidR="0063482E" w:rsidRPr="00C75C7E" w:rsidRDefault="0063482E" w:rsidP="00EF3DB5">
            <w:pPr>
              <w:widowControl w:val="0"/>
              <w:ind w:left="441"/>
              <w:rPr>
                <w:sz w:val="16"/>
                <w:szCs w:val="16"/>
                <w:lang w:val="es-ES_tradnl" w:bidi="th-TH"/>
              </w:rPr>
            </w:pPr>
            <w:r w:rsidRPr="00C75C7E">
              <w:rPr>
                <w:sz w:val="16"/>
                <w:szCs w:val="16"/>
                <w:lang w:val="es-ES_tradnl" w:bidi="th-TH"/>
              </w:rPr>
              <w:t>Programa  6</w:t>
            </w:r>
          </w:p>
        </w:tc>
      </w:tr>
      <w:tr w:rsidR="0063482E" w:rsidRPr="00C75C7E" w:rsidTr="00EF3DB5">
        <w:trPr>
          <w:cantSplit/>
          <w:trHeight w:val="589"/>
        </w:trPr>
        <w:tc>
          <w:tcPr>
            <w:tcW w:w="1707" w:type="pct"/>
            <w:shd w:val="clear" w:color="auto" w:fill="auto"/>
            <w:tcMar>
              <w:top w:w="113" w:type="dxa"/>
              <w:bottom w:w="113" w:type="dxa"/>
            </w:tcMar>
          </w:tcPr>
          <w:p w:rsidR="0063482E" w:rsidRPr="00C75C7E" w:rsidRDefault="0063482E" w:rsidP="00EF3DB5">
            <w:pPr>
              <w:widowControl w:val="0"/>
              <w:rPr>
                <w:sz w:val="16"/>
                <w:szCs w:val="16"/>
                <w:lang w:val="es-ES_tradnl"/>
              </w:rPr>
            </w:pPr>
          </w:p>
        </w:tc>
        <w:tc>
          <w:tcPr>
            <w:tcW w:w="1952" w:type="pct"/>
            <w:shd w:val="clear" w:color="auto" w:fill="auto"/>
            <w:tcMar>
              <w:top w:w="113" w:type="dxa"/>
              <w:bottom w:w="113" w:type="dxa"/>
            </w:tcMar>
          </w:tcPr>
          <w:p w:rsidR="0063482E" w:rsidRPr="00C75C7E" w:rsidRDefault="0063482E" w:rsidP="00EF3DB5">
            <w:pPr>
              <w:widowControl w:val="0"/>
              <w:rPr>
                <w:sz w:val="16"/>
                <w:szCs w:val="16"/>
                <w:lang w:val="es-ES_tradnl"/>
              </w:rPr>
            </w:pPr>
            <w:r w:rsidRPr="00C75C7E">
              <w:rPr>
                <w:sz w:val="16"/>
                <w:szCs w:val="16"/>
                <w:lang w:val="es-ES_tradnl"/>
              </w:rPr>
              <w:t>Número de solicitantes de los sistemas de Madrid y de Lisboa procedentes de países con economías en transición y países desarrollados.</w:t>
            </w:r>
          </w:p>
        </w:tc>
        <w:tc>
          <w:tcPr>
            <w:tcW w:w="1341" w:type="pct"/>
            <w:shd w:val="clear" w:color="auto" w:fill="FFFFFF"/>
            <w:tcMar>
              <w:top w:w="113" w:type="dxa"/>
              <w:bottom w:w="113" w:type="dxa"/>
            </w:tcMar>
          </w:tcPr>
          <w:p w:rsidR="0063482E" w:rsidRPr="00C75C7E" w:rsidRDefault="0063482E" w:rsidP="00EF3DB5">
            <w:pPr>
              <w:widowControl w:val="0"/>
              <w:ind w:left="441"/>
              <w:rPr>
                <w:sz w:val="16"/>
                <w:szCs w:val="16"/>
                <w:lang w:val="es-ES_tradnl" w:bidi="th-TH"/>
              </w:rPr>
            </w:pPr>
            <w:r w:rsidRPr="00C75C7E">
              <w:rPr>
                <w:sz w:val="16"/>
                <w:szCs w:val="16"/>
                <w:lang w:val="es-ES_tradnl" w:bidi="th-TH"/>
              </w:rPr>
              <w:t>Programa  10</w:t>
            </w:r>
          </w:p>
        </w:tc>
      </w:tr>
      <w:tr w:rsidR="0063482E" w:rsidRPr="00C75C7E" w:rsidTr="00EF3DB5">
        <w:trPr>
          <w:cantSplit/>
          <w:trHeight w:val="589"/>
        </w:trPr>
        <w:tc>
          <w:tcPr>
            <w:tcW w:w="1707" w:type="pct"/>
            <w:shd w:val="clear" w:color="auto" w:fill="auto"/>
            <w:tcMar>
              <w:top w:w="113" w:type="dxa"/>
              <w:bottom w:w="113" w:type="dxa"/>
            </w:tcMar>
          </w:tcPr>
          <w:p w:rsidR="0063482E" w:rsidRPr="00C75C7E" w:rsidRDefault="0063482E" w:rsidP="00EF3DB5">
            <w:pPr>
              <w:widowControl w:val="0"/>
              <w:rPr>
                <w:sz w:val="16"/>
                <w:szCs w:val="16"/>
                <w:lang w:val="es-ES_tradnl"/>
              </w:rPr>
            </w:pPr>
          </w:p>
        </w:tc>
        <w:tc>
          <w:tcPr>
            <w:tcW w:w="1952" w:type="pct"/>
            <w:shd w:val="clear" w:color="auto" w:fill="auto"/>
            <w:tcMar>
              <w:top w:w="113" w:type="dxa"/>
              <w:bottom w:w="113" w:type="dxa"/>
            </w:tcMar>
          </w:tcPr>
          <w:p w:rsidR="0063482E" w:rsidRPr="00C75C7E" w:rsidRDefault="0063482E" w:rsidP="00EF3DB5">
            <w:pPr>
              <w:widowControl w:val="0"/>
              <w:rPr>
                <w:sz w:val="16"/>
                <w:szCs w:val="16"/>
                <w:lang w:val="es-ES_tradnl"/>
              </w:rPr>
            </w:pPr>
            <w:r w:rsidRPr="00C75C7E">
              <w:rPr>
                <w:sz w:val="16"/>
                <w:szCs w:val="16"/>
                <w:lang w:val="es-ES_tradnl"/>
              </w:rPr>
              <w:t>Número de países que han formulado o adoptado políticas en las que se expone su adhesión al Protocolo de Madrid.</w:t>
            </w:r>
          </w:p>
        </w:tc>
        <w:tc>
          <w:tcPr>
            <w:tcW w:w="1341" w:type="pct"/>
            <w:shd w:val="clear" w:color="auto" w:fill="FFFFFF"/>
            <w:tcMar>
              <w:top w:w="113" w:type="dxa"/>
              <w:bottom w:w="113" w:type="dxa"/>
            </w:tcMar>
          </w:tcPr>
          <w:p w:rsidR="0063482E" w:rsidRPr="00C75C7E" w:rsidRDefault="0063482E" w:rsidP="00EF3DB5">
            <w:pPr>
              <w:widowControl w:val="0"/>
              <w:ind w:left="441"/>
              <w:rPr>
                <w:sz w:val="16"/>
                <w:szCs w:val="16"/>
                <w:lang w:val="es-ES_tradnl" w:bidi="th-TH"/>
              </w:rPr>
            </w:pPr>
            <w:r w:rsidRPr="00C75C7E">
              <w:rPr>
                <w:sz w:val="16"/>
                <w:szCs w:val="16"/>
                <w:lang w:val="es-ES_tradnl" w:bidi="th-TH"/>
              </w:rPr>
              <w:t>Programa  20</w:t>
            </w:r>
          </w:p>
        </w:tc>
      </w:tr>
      <w:tr w:rsidR="0063482E" w:rsidRPr="00C75C7E" w:rsidTr="00EF3DB5">
        <w:trPr>
          <w:cantSplit/>
          <w:trHeight w:val="589"/>
        </w:trPr>
        <w:tc>
          <w:tcPr>
            <w:tcW w:w="1707" w:type="pct"/>
            <w:shd w:val="clear" w:color="auto" w:fill="auto"/>
            <w:tcMar>
              <w:top w:w="113" w:type="dxa"/>
              <w:bottom w:w="113" w:type="dxa"/>
            </w:tcMar>
          </w:tcPr>
          <w:p w:rsidR="0063482E" w:rsidRPr="00C75C7E" w:rsidRDefault="0063482E" w:rsidP="00EF3DB5">
            <w:pPr>
              <w:widowControl w:val="0"/>
              <w:rPr>
                <w:sz w:val="16"/>
                <w:szCs w:val="16"/>
                <w:lang w:val="es-ES_tradnl"/>
              </w:rPr>
            </w:pPr>
          </w:p>
        </w:tc>
        <w:tc>
          <w:tcPr>
            <w:tcW w:w="1952" w:type="pct"/>
            <w:shd w:val="clear" w:color="auto" w:fill="auto"/>
            <w:tcMar>
              <w:top w:w="113" w:type="dxa"/>
              <w:bottom w:w="113" w:type="dxa"/>
            </w:tcMar>
          </w:tcPr>
          <w:p w:rsidR="0063482E" w:rsidRPr="00C75C7E" w:rsidRDefault="0063482E" w:rsidP="00EF3DB5">
            <w:pPr>
              <w:widowControl w:val="0"/>
              <w:rPr>
                <w:sz w:val="16"/>
                <w:szCs w:val="16"/>
                <w:lang w:val="es-ES_tradnl"/>
              </w:rPr>
            </w:pPr>
            <w:r w:rsidRPr="00C75C7E">
              <w:rPr>
                <w:sz w:val="16"/>
                <w:szCs w:val="16"/>
                <w:lang w:val="es-ES_tradnl"/>
              </w:rPr>
              <w:t>Porcentaje de participantes satisfechos en talleres/seminarios sobre temas relacionados con el sistema de Madrid.</w:t>
            </w:r>
          </w:p>
        </w:tc>
        <w:tc>
          <w:tcPr>
            <w:tcW w:w="1341" w:type="pct"/>
            <w:shd w:val="clear" w:color="auto" w:fill="FFFFFF"/>
            <w:tcMar>
              <w:top w:w="113" w:type="dxa"/>
              <w:bottom w:w="113" w:type="dxa"/>
            </w:tcMar>
          </w:tcPr>
          <w:p w:rsidR="0063482E" w:rsidRPr="00C75C7E" w:rsidRDefault="0063482E" w:rsidP="00EF3DB5">
            <w:pPr>
              <w:widowControl w:val="0"/>
              <w:ind w:left="441"/>
              <w:rPr>
                <w:sz w:val="16"/>
                <w:szCs w:val="16"/>
                <w:lang w:val="es-ES_tradnl" w:bidi="th-TH"/>
              </w:rPr>
            </w:pPr>
            <w:r w:rsidRPr="00C75C7E">
              <w:rPr>
                <w:sz w:val="16"/>
                <w:szCs w:val="16"/>
                <w:lang w:val="es-ES_tradnl" w:bidi="th-TH"/>
              </w:rPr>
              <w:t>Programa  20</w:t>
            </w:r>
          </w:p>
        </w:tc>
      </w:tr>
      <w:tr w:rsidR="0063482E" w:rsidRPr="00C75C7E" w:rsidTr="00EF3DB5">
        <w:trPr>
          <w:cantSplit/>
          <w:trHeight w:val="402"/>
        </w:trPr>
        <w:tc>
          <w:tcPr>
            <w:tcW w:w="1707" w:type="pct"/>
            <w:shd w:val="clear" w:color="auto" w:fill="auto"/>
            <w:tcMar>
              <w:top w:w="113" w:type="dxa"/>
              <w:bottom w:w="113" w:type="dxa"/>
            </w:tcMar>
          </w:tcPr>
          <w:p w:rsidR="0063482E" w:rsidRPr="00C75C7E" w:rsidRDefault="0063482E" w:rsidP="00EF3DB5">
            <w:pPr>
              <w:widowControl w:val="0"/>
              <w:rPr>
                <w:sz w:val="16"/>
                <w:szCs w:val="16"/>
                <w:lang w:val="es-ES_tradnl"/>
              </w:rPr>
            </w:pPr>
          </w:p>
        </w:tc>
        <w:tc>
          <w:tcPr>
            <w:tcW w:w="1952" w:type="pct"/>
            <w:shd w:val="clear" w:color="auto" w:fill="auto"/>
            <w:tcMar>
              <w:top w:w="113" w:type="dxa"/>
              <w:bottom w:w="113" w:type="dxa"/>
            </w:tcMar>
          </w:tcPr>
          <w:p w:rsidR="0063482E" w:rsidRPr="00C75C7E" w:rsidRDefault="0063482E" w:rsidP="00EF3DB5">
            <w:pPr>
              <w:widowControl w:val="0"/>
              <w:rPr>
                <w:sz w:val="16"/>
                <w:szCs w:val="16"/>
                <w:lang w:val="es-ES_tradnl"/>
              </w:rPr>
            </w:pPr>
            <w:r w:rsidRPr="00C75C7E">
              <w:rPr>
                <w:sz w:val="16"/>
                <w:szCs w:val="16"/>
                <w:lang w:val="es-ES_tradnl"/>
              </w:rPr>
              <w:t>Número de Partes Contratantes en el Protocolo de Madrid.</w:t>
            </w:r>
          </w:p>
        </w:tc>
        <w:tc>
          <w:tcPr>
            <w:tcW w:w="1341" w:type="pct"/>
            <w:shd w:val="clear" w:color="auto" w:fill="FFFFFF"/>
            <w:tcMar>
              <w:top w:w="113" w:type="dxa"/>
              <w:bottom w:w="113" w:type="dxa"/>
            </w:tcMar>
          </w:tcPr>
          <w:p w:rsidR="0063482E" w:rsidRPr="00C75C7E" w:rsidRDefault="0063482E" w:rsidP="00EF3DB5">
            <w:pPr>
              <w:widowControl w:val="0"/>
              <w:ind w:left="441"/>
              <w:rPr>
                <w:sz w:val="16"/>
                <w:szCs w:val="16"/>
                <w:lang w:val="es-ES_tradnl" w:bidi="th-TH"/>
              </w:rPr>
            </w:pPr>
            <w:r w:rsidRPr="00C75C7E">
              <w:rPr>
                <w:sz w:val="16"/>
                <w:szCs w:val="16"/>
                <w:lang w:val="es-ES_tradnl" w:bidi="th-TH"/>
              </w:rPr>
              <w:t>Programa  20</w:t>
            </w:r>
          </w:p>
        </w:tc>
      </w:tr>
      <w:tr w:rsidR="0063482E" w:rsidRPr="00C75C7E" w:rsidTr="00EF3DB5">
        <w:trPr>
          <w:cantSplit/>
          <w:trHeight w:val="222"/>
        </w:trPr>
        <w:tc>
          <w:tcPr>
            <w:tcW w:w="1707" w:type="pct"/>
            <w:shd w:val="clear" w:color="auto" w:fill="auto"/>
            <w:tcMar>
              <w:top w:w="113" w:type="dxa"/>
              <w:bottom w:w="113" w:type="dxa"/>
            </w:tcMar>
          </w:tcPr>
          <w:p w:rsidR="0063482E" w:rsidRPr="00C75C7E" w:rsidRDefault="0063482E" w:rsidP="00EF3DB5">
            <w:pPr>
              <w:widowControl w:val="0"/>
              <w:rPr>
                <w:sz w:val="16"/>
                <w:szCs w:val="16"/>
                <w:lang w:val="es-ES_tradnl"/>
              </w:rPr>
            </w:pPr>
          </w:p>
        </w:tc>
        <w:tc>
          <w:tcPr>
            <w:tcW w:w="1952" w:type="pct"/>
            <w:shd w:val="clear" w:color="auto" w:fill="auto"/>
            <w:tcMar>
              <w:top w:w="113" w:type="dxa"/>
              <w:bottom w:w="113" w:type="dxa"/>
            </w:tcMar>
          </w:tcPr>
          <w:p w:rsidR="0063482E" w:rsidRPr="00C75C7E" w:rsidRDefault="0063482E" w:rsidP="00EF3DB5">
            <w:pPr>
              <w:widowControl w:val="0"/>
              <w:rPr>
                <w:sz w:val="16"/>
                <w:szCs w:val="16"/>
                <w:lang w:val="es-ES_tradnl"/>
              </w:rPr>
            </w:pPr>
            <w:r w:rsidRPr="00C75C7E">
              <w:rPr>
                <w:sz w:val="16"/>
                <w:szCs w:val="16"/>
                <w:lang w:val="es-ES_tradnl"/>
              </w:rPr>
              <w:t>Número de nuevos registros (sistema de Madrid).</w:t>
            </w:r>
          </w:p>
        </w:tc>
        <w:tc>
          <w:tcPr>
            <w:tcW w:w="1341" w:type="pct"/>
            <w:shd w:val="clear" w:color="auto" w:fill="FFFFFF"/>
            <w:tcMar>
              <w:top w:w="113" w:type="dxa"/>
              <w:bottom w:w="113" w:type="dxa"/>
            </w:tcMar>
          </w:tcPr>
          <w:p w:rsidR="0063482E" w:rsidRPr="00C75C7E" w:rsidRDefault="0063482E" w:rsidP="00EF3DB5">
            <w:pPr>
              <w:widowControl w:val="0"/>
              <w:ind w:left="441"/>
              <w:rPr>
                <w:sz w:val="16"/>
                <w:szCs w:val="16"/>
                <w:lang w:val="es-ES_tradnl" w:bidi="th-TH"/>
              </w:rPr>
            </w:pPr>
            <w:r w:rsidRPr="00C75C7E">
              <w:rPr>
                <w:sz w:val="16"/>
                <w:szCs w:val="16"/>
                <w:lang w:val="es-ES_tradnl" w:bidi="th-TH"/>
              </w:rPr>
              <w:t>Programa  20</w:t>
            </w:r>
          </w:p>
        </w:tc>
      </w:tr>
      <w:tr w:rsidR="0063482E" w:rsidRPr="00C75C7E" w:rsidTr="00EF3DB5">
        <w:trPr>
          <w:cantSplit/>
          <w:trHeight w:val="134"/>
        </w:trPr>
        <w:tc>
          <w:tcPr>
            <w:tcW w:w="1707" w:type="pct"/>
            <w:shd w:val="clear" w:color="auto" w:fill="auto"/>
            <w:tcMar>
              <w:top w:w="113" w:type="dxa"/>
              <w:bottom w:w="113" w:type="dxa"/>
            </w:tcMar>
          </w:tcPr>
          <w:p w:rsidR="0063482E" w:rsidRPr="00C75C7E" w:rsidRDefault="0063482E" w:rsidP="00EF3DB5">
            <w:pPr>
              <w:widowControl w:val="0"/>
              <w:rPr>
                <w:sz w:val="16"/>
                <w:szCs w:val="16"/>
                <w:lang w:val="es-ES_tradnl"/>
              </w:rPr>
            </w:pPr>
          </w:p>
        </w:tc>
        <w:tc>
          <w:tcPr>
            <w:tcW w:w="1952" w:type="pct"/>
            <w:shd w:val="clear" w:color="auto" w:fill="auto"/>
            <w:tcMar>
              <w:top w:w="113" w:type="dxa"/>
              <w:bottom w:w="113" w:type="dxa"/>
            </w:tcMar>
          </w:tcPr>
          <w:p w:rsidR="0063482E" w:rsidRPr="00C75C7E" w:rsidRDefault="0063482E" w:rsidP="00EF3DB5">
            <w:pPr>
              <w:widowControl w:val="0"/>
              <w:rPr>
                <w:sz w:val="16"/>
                <w:szCs w:val="16"/>
                <w:lang w:val="es-ES_tradnl"/>
              </w:rPr>
            </w:pPr>
            <w:r w:rsidRPr="00C75C7E">
              <w:rPr>
                <w:sz w:val="16"/>
                <w:szCs w:val="16"/>
                <w:lang w:val="es-ES_tradnl"/>
              </w:rPr>
              <w:t>Número de renovaciones (sistema de Madrid).</w:t>
            </w:r>
          </w:p>
        </w:tc>
        <w:tc>
          <w:tcPr>
            <w:tcW w:w="1341" w:type="pct"/>
            <w:shd w:val="clear" w:color="auto" w:fill="FFFFFF"/>
            <w:tcMar>
              <w:top w:w="113" w:type="dxa"/>
              <w:bottom w:w="113" w:type="dxa"/>
            </w:tcMar>
          </w:tcPr>
          <w:p w:rsidR="0063482E" w:rsidRPr="00C75C7E" w:rsidRDefault="0063482E" w:rsidP="00EF3DB5">
            <w:pPr>
              <w:widowControl w:val="0"/>
              <w:ind w:left="441"/>
              <w:rPr>
                <w:sz w:val="16"/>
                <w:szCs w:val="16"/>
                <w:lang w:val="es-ES_tradnl" w:bidi="th-TH"/>
              </w:rPr>
            </w:pPr>
            <w:r w:rsidRPr="00C75C7E">
              <w:rPr>
                <w:sz w:val="16"/>
                <w:szCs w:val="16"/>
                <w:lang w:val="es-ES_tradnl" w:bidi="th-TH"/>
              </w:rPr>
              <w:t>Programa  20</w:t>
            </w:r>
          </w:p>
        </w:tc>
      </w:tr>
      <w:tr w:rsidR="0063482E" w:rsidRPr="00C75C7E" w:rsidTr="00EF3DB5">
        <w:trPr>
          <w:cantSplit/>
          <w:trHeight w:val="447"/>
        </w:trPr>
        <w:tc>
          <w:tcPr>
            <w:tcW w:w="1707" w:type="pct"/>
            <w:shd w:val="clear" w:color="auto" w:fill="auto"/>
            <w:tcMar>
              <w:top w:w="113" w:type="dxa"/>
              <w:bottom w:w="113" w:type="dxa"/>
            </w:tcMar>
          </w:tcPr>
          <w:p w:rsidR="0063482E" w:rsidRPr="00C75C7E" w:rsidRDefault="0063482E" w:rsidP="00EF3DB5">
            <w:pPr>
              <w:widowControl w:val="0"/>
              <w:rPr>
                <w:sz w:val="16"/>
                <w:szCs w:val="16"/>
                <w:lang w:val="es-ES_tradnl"/>
              </w:rPr>
            </w:pPr>
            <w:r w:rsidRPr="00C75C7E">
              <w:rPr>
                <w:sz w:val="16"/>
                <w:szCs w:val="16"/>
                <w:lang w:val="es-ES_tradnl"/>
              </w:rPr>
              <w:t>II.7. Mejora de la productividad y de la calidad de los servicios en las operaciones de los sistemas de Madrid y de Lisboa.</w:t>
            </w:r>
          </w:p>
        </w:tc>
        <w:tc>
          <w:tcPr>
            <w:tcW w:w="1952" w:type="pct"/>
            <w:shd w:val="clear" w:color="auto" w:fill="auto"/>
            <w:tcMar>
              <w:top w:w="113" w:type="dxa"/>
              <w:bottom w:w="113" w:type="dxa"/>
            </w:tcMar>
          </w:tcPr>
          <w:p w:rsidR="0063482E" w:rsidRPr="00C75C7E" w:rsidRDefault="0063482E" w:rsidP="00EF3DB5">
            <w:pPr>
              <w:widowControl w:val="0"/>
              <w:rPr>
                <w:sz w:val="16"/>
                <w:szCs w:val="16"/>
                <w:lang w:val="es-ES_tradnl"/>
              </w:rPr>
            </w:pPr>
            <w:r w:rsidRPr="00C75C7E">
              <w:rPr>
                <w:sz w:val="16"/>
                <w:szCs w:val="16"/>
                <w:lang w:val="es-ES_tradnl"/>
              </w:rPr>
              <w:t>Avances en la agilización y simplificación del marco jurídico del sistema de Madrid.</w:t>
            </w:r>
          </w:p>
        </w:tc>
        <w:tc>
          <w:tcPr>
            <w:tcW w:w="1341" w:type="pct"/>
            <w:shd w:val="clear" w:color="auto" w:fill="FFFFFF"/>
            <w:tcMar>
              <w:top w:w="113" w:type="dxa"/>
              <w:bottom w:w="113" w:type="dxa"/>
            </w:tcMar>
          </w:tcPr>
          <w:p w:rsidR="0063482E" w:rsidRPr="00C75C7E" w:rsidRDefault="0063482E" w:rsidP="00EF3DB5">
            <w:pPr>
              <w:widowControl w:val="0"/>
              <w:ind w:left="441"/>
              <w:rPr>
                <w:sz w:val="16"/>
                <w:szCs w:val="16"/>
                <w:lang w:val="es-ES_tradnl" w:bidi="th-TH"/>
              </w:rPr>
            </w:pPr>
            <w:r w:rsidRPr="00C75C7E">
              <w:rPr>
                <w:sz w:val="16"/>
                <w:szCs w:val="16"/>
                <w:lang w:val="es-ES_tradnl" w:bidi="th-TH"/>
              </w:rPr>
              <w:t>Programa  6</w:t>
            </w:r>
          </w:p>
        </w:tc>
      </w:tr>
      <w:tr w:rsidR="0063482E" w:rsidRPr="00C75C7E" w:rsidTr="00EF3DB5">
        <w:trPr>
          <w:cantSplit/>
          <w:trHeight w:val="742"/>
        </w:trPr>
        <w:tc>
          <w:tcPr>
            <w:tcW w:w="1707" w:type="pct"/>
            <w:shd w:val="clear" w:color="auto" w:fill="auto"/>
            <w:tcMar>
              <w:top w:w="113" w:type="dxa"/>
              <w:bottom w:w="113" w:type="dxa"/>
            </w:tcMar>
          </w:tcPr>
          <w:p w:rsidR="0063482E" w:rsidRPr="00C75C7E" w:rsidRDefault="0063482E" w:rsidP="00EF3DB5">
            <w:pPr>
              <w:widowControl w:val="0"/>
              <w:rPr>
                <w:sz w:val="16"/>
                <w:szCs w:val="16"/>
                <w:lang w:val="es-ES_tradnl"/>
              </w:rPr>
            </w:pPr>
          </w:p>
        </w:tc>
        <w:tc>
          <w:tcPr>
            <w:tcW w:w="1952" w:type="pct"/>
            <w:shd w:val="clear" w:color="auto" w:fill="auto"/>
            <w:tcMar>
              <w:top w:w="113" w:type="dxa"/>
              <w:bottom w:w="113" w:type="dxa"/>
            </w:tcMar>
          </w:tcPr>
          <w:p w:rsidR="0063482E" w:rsidRPr="00C75C7E" w:rsidRDefault="0063482E" w:rsidP="00EF3DB5">
            <w:pPr>
              <w:widowControl w:val="0"/>
              <w:rPr>
                <w:sz w:val="16"/>
                <w:szCs w:val="16"/>
                <w:lang w:val="es-ES_tradnl"/>
              </w:rPr>
            </w:pPr>
            <w:r w:rsidRPr="00C75C7E">
              <w:rPr>
                <w:sz w:val="16"/>
                <w:szCs w:val="16"/>
                <w:lang w:val="es-ES_tradnl"/>
              </w:rPr>
              <w:t xml:space="preserve">Número de registros. </w:t>
            </w:r>
          </w:p>
          <w:p w:rsidR="0063482E" w:rsidRPr="00C75C7E" w:rsidRDefault="0063482E" w:rsidP="00EF3DB5">
            <w:pPr>
              <w:widowControl w:val="0"/>
              <w:rPr>
                <w:sz w:val="16"/>
                <w:szCs w:val="16"/>
                <w:lang w:val="es-ES_tradnl"/>
              </w:rPr>
            </w:pPr>
            <w:r w:rsidRPr="00C75C7E">
              <w:rPr>
                <w:sz w:val="16"/>
                <w:szCs w:val="16"/>
                <w:lang w:val="es-ES_tradnl"/>
              </w:rPr>
              <w:t xml:space="preserve">Número de renovaciones tramitadas. </w:t>
            </w:r>
          </w:p>
          <w:p w:rsidR="0063482E" w:rsidRPr="00C75C7E" w:rsidRDefault="0063482E" w:rsidP="00EF3DB5">
            <w:pPr>
              <w:widowControl w:val="0"/>
              <w:rPr>
                <w:sz w:val="16"/>
                <w:szCs w:val="16"/>
                <w:lang w:val="es-ES_tradnl"/>
              </w:rPr>
            </w:pPr>
            <w:r w:rsidRPr="00C75C7E">
              <w:rPr>
                <w:sz w:val="16"/>
                <w:szCs w:val="16"/>
                <w:lang w:val="es-ES_tradnl"/>
              </w:rPr>
              <w:t>Número de modificaciones, incluidas las designaciones posteriores (Madrid)</w:t>
            </w:r>
          </w:p>
        </w:tc>
        <w:tc>
          <w:tcPr>
            <w:tcW w:w="1341" w:type="pct"/>
            <w:shd w:val="clear" w:color="auto" w:fill="FFFFFF"/>
            <w:tcMar>
              <w:top w:w="113" w:type="dxa"/>
              <w:bottom w:w="113" w:type="dxa"/>
            </w:tcMar>
          </w:tcPr>
          <w:p w:rsidR="0063482E" w:rsidRPr="00C75C7E" w:rsidRDefault="0063482E" w:rsidP="00EF3DB5">
            <w:pPr>
              <w:widowControl w:val="0"/>
              <w:ind w:left="441"/>
              <w:rPr>
                <w:sz w:val="16"/>
                <w:szCs w:val="16"/>
                <w:lang w:val="es-ES_tradnl" w:bidi="th-TH"/>
              </w:rPr>
            </w:pPr>
            <w:r w:rsidRPr="00C75C7E">
              <w:rPr>
                <w:sz w:val="16"/>
                <w:szCs w:val="16"/>
                <w:lang w:val="es-ES_tradnl" w:bidi="th-TH"/>
              </w:rPr>
              <w:t>Programa  6</w:t>
            </w:r>
          </w:p>
        </w:tc>
      </w:tr>
      <w:tr w:rsidR="0063482E" w:rsidRPr="00C75C7E" w:rsidTr="00EF3DB5">
        <w:trPr>
          <w:cantSplit/>
          <w:trHeight w:val="315"/>
        </w:trPr>
        <w:tc>
          <w:tcPr>
            <w:tcW w:w="1707" w:type="pct"/>
            <w:shd w:val="clear" w:color="auto" w:fill="auto"/>
            <w:tcMar>
              <w:top w:w="113" w:type="dxa"/>
              <w:bottom w:w="113" w:type="dxa"/>
            </w:tcMar>
          </w:tcPr>
          <w:p w:rsidR="0063482E" w:rsidRPr="00C75C7E" w:rsidRDefault="0063482E" w:rsidP="00EF3DB5">
            <w:pPr>
              <w:widowControl w:val="0"/>
              <w:rPr>
                <w:sz w:val="16"/>
                <w:szCs w:val="16"/>
                <w:lang w:val="es-ES_tradnl"/>
              </w:rPr>
            </w:pPr>
          </w:p>
        </w:tc>
        <w:tc>
          <w:tcPr>
            <w:tcW w:w="1952" w:type="pct"/>
            <w:shd w:val="clear" w:color="auto" w:fill="auto"/>
            <w:tcMar>
              <w:top w:w="113" w:type="dxa"/>
              <w:bottom w:w="113" w:type="dxa"/>
            </w:tcMar>
          </w:tcPr>
          <w:p w:rsidR="0063482E" w:rsidRPr="00C75C7E" w:rsidRDefault="0063482E" w:rsidP="00EF3DB5">
            <w:pPr>
              <w:widowControl w:val="0"/>
              <w:rPr>
                <w:sz w:val="16"/>
                <w:szCs w:val="16"/>
                <w:lang w:val="es-ES_tradnl"/>
              </w:rPr>
            </w:pPr>
            <w:r w:rsidRPr="00C75C7E">
              <w:rPr>
                <w:sz w:val="16"/>
                <w:szCs w:val="16"/>
                <w:lang w:val="es-ES_tradnl"/>
              </w:rPr>
              <w:t>Traducción de las solicitudes de manera puntual (Madrid).</w:t>
            </w:r>
          </w:p>
        </w:tc>
        <w:tc>
          <w:tcPr>
            <w:tcW w:w="1341" w:type="pct"/>
            <w:shd w:val="clear" w:color="auto" w:fill="FFFFFF"/>
            <w:tcMar>
              <w:top w:w="113" w:type="dxa"/>
              <w:bottom w:w="113" w:type="dxa"/>
            </w:tcMar>
          </w:tcPr>
          <w:p w:rsidR="0063482E" w:rsidRPr="00C75C7E" w:rsidRDefault="0063482E" w:rsidP="00EF3DB5">
            <w:pPr>
              <w:widowControl w:val="0"/>
              <w:ind w:left="441"/>
              <w:rPr>
                <w:sz w:val="16"/>
                <w:szCs w:val="16"/>
                <w:lang w:val="es-ES_tradnl" w:bidi="th-TH"/>
              </w:rPr>
            </w:pPr>
            <w:r w:rsidRPr="00C75C7E">
              <w:rPr>
                <w:sz w:val="16"/>
                <w:szCs w:val="16"/>
                <w:lang w:val="es-ES_tradnl" w:bidi="th-TH"/>
              </w:rPr>
              <w:t>Programa  6</w:t>
            </w:r>
          </w:p>
        </w:tc>
      </w:tr>
      <w:tr w:rsidR="0063482E" w:rsidRPr="00C75C7E" w:rsidTr="00EF3DB5">
        <w:trPr>
          <w:cantSplit/>
          <w:trHeight w:val="267"/>
        </w:trPr>
        <w:tc>
          <w:tcPr>
            <w:tcW w:w="1707" w:type="pct"/>
            <w:shd w:val="clear" w:color="auto" w:fill="auto"/>
            <w:tcMar>
              <w:top w:w="113" w:type="dxa"/>
              <w:bottom w:w="113" w:type="dxa"/>
            </w:tcMar>
          </w:tcPr>
          <w:p w:rsidR="0063482E" w:rsidRPr="00C75C7E" w:rsidRDefault="0063482E" w:rsidP="00EF3DB5">
            <w:pPr>
              <w:widowControl w:val="0"/>
              <w:rPr>
                <w:sz w:val="16"/>
                <w:szCs w:val="16"/>
                <w:lang w:val="es-ES_tradnl"/>
              </w:rPr>
            </w:pPr>
          </w:p>
        </w:tc>
        <w:tc>
          <w:tcPr>
            <w:tcW w:w="1952" w:type="pct"/>
            <w:shd w:val="clear" w:color="auto" w:fill="auto"/>
            <w:tcMar>
              <w:top w:w="113" w:type="dxa"/>
              <w:bottom w:w="113" w:type="dxa"/>
            </w:tcMar>
          </w:tcPr>
          <w:p w:rsidR="0063482E" w:rsidRPr="00C75C7E" w:rsidRDefault="0063482E" w:rsidP="00EF3DB5">
            <w:pPr>
              <w:widowControl w:val="0"/>
              <w:rPr>
                <w:sz w:val="16"/>
                <w:szCs w:val="16"/>
                <w:lang w:val="es-ES_tradnl"/>
              </w:rPr>
            </w:pPr>
            <w:r w:rsidRPr="00C75C7E">
              <w:rPr>
                <w:sz w:val="16"/>
                <w:szCs w:val="16"/>
                <w:lang w:val="es-ES_tradnl"/>
              </w:rPr>
              <w:t>Disminución del número de correcciones (Madrid).</w:t>
            </w:r>
          </w:p>
        </w:tc>
        <w:tc>
          <w:tcPr>
            <w:tcW w:w="1341" w:type="pct"/>
            <w:shd w:val="clear" w:color="auto" w:fill="FFFFFF"/>
            <w:tcMar>
              <w:top w:w="113" w:type="dxa"/>
              <w:bottom w:w="113" w:type="dxa"/>
            </w:tcMar>
          </w:tcPr>
          <w:p w:rsidR="0063482E" w:rsidRPr="00C75C7E" w:rsidRDefault="0063482E" w:rsidP="00EF3DB5">
            <w:pPr>
              <w:widowControl w:val="0"/>
              <w:ind w:left="441"/>
              <w:rPr>
                <w:sz w:val="16"/>
                <w:szCs w:val="16"/>
                <w:lang w:val="es-ES_tradnl" w:bidi="th-TH"/>
              </w:rPr>
            </w:pPr>
            <w:r w:rsidRPr="00C75C7E">
              <w:rPr>
                <w:sz w:val="16"/>
                <w:szCs w:val="16"/>
                <w:lang w:val="es-ES_tradnl" w:bidi="th-TH"/>
              </w:rPr>
              <w:t>Programa  6</w:t>
            </w:r>
          </w:p>
        </w:tc>
      </w:tr>
      <w:tr w:rsidR="0063482E" w:rsidRPr="00C75C7E" w:rsidTr="00EF3DB5">
        <w:trPr>
          <w:cantSplit/>
          <w:trHeight w:val="205"/>
        </w:trPr>
        <w:tc>
          <w:tcPr>
            <w:tcW w:w="1707" w:type="pct"/>
            <w:shd w:val="clear" w:color="auto" w:fill="auto"/>
            <w:tcMar>
              <w:top w:w="113" w:type="dxa"/>
              <w:bottom w:w="113" w:type="dxa"/>
            </w:tcMar>
          </w:tcPr>
          <w:p w:rsidR="0063482E" w:rsidRPr="00C75C7E" w:rsidRDefault="0063482E" w:rsidP="00EF3DB5">
            <w:pPr>
              <w:widowControl w:val="0"/>
              <w:rPr>
                <w:sz w:val="16"/>
                <w:szCs w:val="16"/>
                <w:lang w:val="es-ES_tradnl"/>
              </w:rPr>
            </w:pPr>
          </w:p>
        </w:tc>
        <w:tc>
          <w:tcPr>
            <w:tcW w:w="1952" w:type="pct"/>
            <w:shd w:val="clear" w:color="auto" w:fill="auto"/>
            <w:tcMar>
              <w:top w:w="113" w:type="dxa"/>
              <w:bottom w:w="113" w:type="dxa"/>
            </w:tcMar>
          </w:tcPr>
          <w:p w:rsidR="0063482E" w:rsidRPr="00C75C7E" w:rsidRDefault="0063482E" w:rsidP="00EF3DB5">
            <w:pPr>
              <w:widowControl w:val="0"/>
              <w:rPr>
                <w:sz w:val="16"/>
                <w:szCs w:val="16"/>
                <w:lang w:val="es-ES_tradnl"/>
              </w:rPr>
            </w:pPr>
            <w:r w:rsidRPr="00C75C7E">
              <w:rPr>
                <w:sz w:val="16"/>
                <w:szCs w:val="16"/>
                <w:lang w:val="es-ES_tradnl"/>
              </w:rPr>
              <w:t>Aumento de la satisfacción de los clientes (Madrid).</w:t>
            </w:r>
          </w:p>
        </w:tc>
        <w:tc>
          <w:tcPr>
            <w:tcW w:w="1341" w:type="pct"/>
            <w:shd w:val="clear" w:color="auto" w:fill="FFFFFF"/>
            <w:tcMar>
              <w:top w:w="113" w:type="dxa"/>
              <w:bottom w:w="113" w:type="dxa"/>
            </w:tcMar>
          </w:tcPr>
          <w:p w:rsidR="0063482E" w:rsidRPr="00C75C7E" w:rsidRDefault="0063482E" w:rsidP="00EF3DB5">
            <w:pPr>
              <w:widowControl w:val="0"/>
              <w:ind w:left="441"/>
              <w:rPr>
                <w:sz w:val="16"/>
                <w:szCs w:val="16"/>
                <w:lang w:val="es-ES_tradnl" w:bidi="th-TH"/>
              </w:rPr>
            </w:pPr>
            <w:r w:rsidRPr="00C75C7E">
              <w:rPr>
                <w:sz w:val="16"/>
                <w:szCs w:val="16"/>
                <w:lang w:val="es-ES_tradnl" w:bidi="th-TH"/>
              </w:rPr>
              <w:t>Programa  6</w:t>
            </w:r>
          </w:p>
        </w:tc>
      </w:tr>
      <w:tr w:rsidR="0063482E" w:rsidRPr="00C75C7E" w:rsidTr="00EF3DB5">
        <w:trPr>
          <w:cantSplit/>
          <w:trHeight w:val="131"/>
        </w:trPr>
        <w:tc>
          <w:tcPr>
            <w:tcW w:w="1707" w:type="pct"/>
            <w:shd w:val="clear" w:color="auto" w:fill="auto"/>
            <w:tcMar>
              <w:top w:w="113" w:type="dxa"/>
              <w:bottom w:w="113" w:type="dxa"/>
            </w:tcMar>
          </w:tcPr>
          <w:p w:rsidR="0063482E" w:rsidRPr="00C75C7E" w:rsidRDefault="0063482E" w:rsidP="00EF3DB5">
            <w:pPr>
              <w:widowControl w:val="0"/>
              <w:rPr>
                <w:sz w:val="16"/>
                <w:szCs w:val="16"/>
                <w:lang w:val="es-ES_tradnl"/>
              </w:rPr>
            </w:pPr>
          </w:p>
        </w:tc>
        <w:tc>
          <w:tcPr>
            <w:tcW w:w="1952" w:type="pct"/>
            <w:shd w:val="clear" w:color="auto" w:fill="auto"/>
            <w:tcMar>
              <w:top w:w="113" w:type="dxa"/>
              <w:bottom w:w="113" w:type="dxa"/>
            </w:tcMar>
          </w:tcPr>
          <w:p w:rsidR="0063482E" w:rsidRPr="00C75C7E" w:rsidRDefault="0063482E" w:rsidP="00EF3DB5">
            <w:pPr>
              <w:widowControl w:val="0"/>
              <w:rPr>
                <w:sz w:val="16"/>
                <w:szCs w:val="16"/>
                <w:lang w:val="es-ES_tradnl"/>
              </w:rPr>
            </w:pPr>
            <w:r w:rsidRPr="00C75C7E">
              <w:rPr>
                <w:sz w:val="16"/>
                <w:szCs w:val="16"/>
                <w:lang w:val="es-ES_tradnl"/>
              </w:rPr>
              <w:t>Aumento del uso del intercambio electrónico (Madrid).</w:t>
            </w:r>
          </w:p>
        </w:tc>
        <w:tc>
          <w:tcPr>
            <w:tcW w:w="1341" w:type="pct"/>
            <w:shd w:val="clear" w:color="auto" w:fill="FFFFFF"/>
            <w:tcMar>
              <w:top w:w="113" w:type="dxa"/>
              <w:bottom w:w="113" w:type="dxa"/>
            </w:tcMar>
          </w:tcPr>
          <w:p w:rsidR="0063482E" w:rsidRPr="00C75C7E" w:rsidRDefault="0063482E" w:rsidP="00EF3DB5">
            <w:pPr>
              <w:widowControl w:val="0"/>
              <w:ind w:left="441"/>
              <w:rPr>
                <w:sz w:val="16"/>
                <w:szCs w:val="16"/>
                <w:lang w:val="es-ES_tradnl" w:bidi="th-TH"/>
              </w:rPr>
            </w:pPr>
            <w:r w:rsidRPr="00C75C7E">
              <w:rPr>
                <w:sz w:val="16"/>
                <w:szCs w:val="16"/>
                <w:lang w:val="es-ES_tradnl" w:bidi="th-TH"/>
              </w:rPr>
              <w:t>Programa  6</w:t>
            </w:r>
          </w:p>
        </w:tc>
      </w:tr>
      <w:tr w:rsidR="0063482E" w:rsidRPr="00C75C7E" w:rsidTr="00EF3DB5">
        <w:trPr>
          <w:cantSplit/>
          <w:trHeight w:val="264"/>
        </w:trPr>
        <w:tc>
          <w:tcPr>
            <w:tcW w:w="1707" w:type="pct"/>
            <w:shd w:val="clear" w:color="auto" w:fill="auto"/>
            <w:tcMar>
              <w:top w:w="113" w:type="dxa"/>
              <w:bottom w:w="113" w:type="dxa"/>
            </w:tcMar>
          </w:tcPr>
          <w:p w:rsidR="0063482E" w:rsidRPr="00C75C7E" w:rsidRDefault="0063482E" w:rsidP="00EF3DB5">
            <w:pPr>
              <w:widowControl w:val="0"/>
              <w:rPr>
                <w:sz w:val="16"/>
                <w:szCs w:val="16"/>
                <w:lang w:val="es-ES_tradnl"/>
              </w:rPr>
            </w:pPr>
          </w:p>
        </w:tc>
        <w:tc>
          <w:tcPr>
            <w:tcW w:w="1952" w:type="pct"/>
            <w:shd w:val="clear" w:color="auto" w:fill="auto"/>
            <w:tcMar>
              <w:top w:w="113" w:type="dxa"/>
              <w:bottom w:w="113" w:type="dxa"/>
            </w:tcMar>
          </w:tcPr>
          <w:p w:rsidR="0063482E" w:rsidRPr="00C75C7E" w:rsidRDefault="0063482E" w:rsidP="00EF3DB5">
            <w:pPr>
              <w:widowControl w:val="0"/>
              <w:rPr>
                <w:sz w:val="16"/>
                <w:szCs w:val="16"/>
                <w:lang w:val="es-ES_tradnl"/>
              </w:rPr>
            </w:pPr>
            <w:r w:rsidRPr="00C75C7E">
              <w:rPr>
                <w:sz w:val="16"/>
                <w:szCs w:val="16"/>
                <w:lang w:val="es-ES_tradnl"/>
              </w:rPr>
              <w:t>Perfeccionamiento del Registro Internacional electrónico del sistema de Lisboa.</w:t>
            </w:r>
          </w:p>
        </w:tc>
        <w:tc>
          <w:tcPr>
            <w:tcW w:w="1341" w:type="pct"/>
            <w:shd w:val="clear" w:color="auto" w:fill="FFFFFF"/>
            <w:tcMar>
              <w:top w:w="113" w:type="dxa"/>
              <w:bottom w:w="113" w:type="dxa"/>
            </w:tcMar>
          </w:tcPr>
          <w:p w:rsidR="0063482E" w:rsidRPr="00C75C7E" w:rsidRDefault="0063482E" w:rsidP="00EF3DB5">
            <w:pPr>
              <w:widowControl w:val="0"/>
              <w:ind w:left="441"/>
              <w:rPr>
                <w:sz w:val="16"/>
                <w:szCs w:val="16"/>
                <w:lang w:val="es-ES_tradnl" w:bidi="th-TH"/>
              </w:rPr>
            </w:pPr>
            <w:r w:rsidRPr="00C75C7E">
              <w:rPr>
                <w:sz w:val="16"/>
                <w:szCs w:val="16"/>
                <w:lang w:val="es-ES_tradnl" w:bidi="th-TH"/>
              </w:rPr>
              <w:t>Programa  6</w:t>
            </w:r>
          </w:p>
        </w:tc>
      </w:tr>
      <w:tr w:rsidR="0063482E" w:rsidRPr="00C75C7E" w:rsidTr="00EF3DB5">
        <w:trPr>
          <w:cantSplit/>
          <w:trHeight w:val="383"/>
        </w:trPr>
        <w:tc>
          <w:tcPr>
            <w:tcW w:w="1707" w:type="pct"/>
            <w:shd w:val="clear" w:color="auto" w:fill="auto"/>
            <w:tcMar>
              <w:top w:w="113" w:type="dxa"/>
              <w:bottom w:w="113" w:type="dxa"/>
            </w:tcMar>
          </w:tcPr>
          <w:p w:rsidR="0063482E" w:rsidRPr="00C75C7E" w:rsidRDefault="0063482E" w:rsidP="00EF3DB5">
            <w:pPr>
              <w:widowControl w:val="0"/>
              <w:rPr>
                <w:sz w:val="16"/>
                <w:szCs w:val="16"/>
                <w:lang w:val="es-ES_tradnl"/>
              </w:rPr>
            </w:pPr>
          </w:p>
        </w:tc>
        <w:tc>
          <w:tcPr>
            <w:tcW w:w="1952" w:type="pct"/>
            <w:shd w:val="clear" w:color="auto" w:fill="auto"/>
            <w:tcMar>
              <w:top w:w="113" w:type="dxa"/>
              <w:bottom w:w="113" w:type="dxa"/>
            </w:tcMar>
          </w:tcPr>
          <w:p w:rsidR="0063482E" w:rsidRPr="00C75C7E" w:rsidRDefault="0063482E" w:rsidP="00EF3DB5">
            <w:pPr>
              <w:widowControl w:val="0"/>
              <w:rPr>
                <w:sz w:val="16"/>
                <w:szCs w:val="16"/>
                <w:lang w:val="es-ES_tradnl"/>
              </w:rPr>
            </w:pPr>
            <w:r w:rsidRPr="00C75C7E">
              <w:rPr>
                <w:sz w:val="16"/>
                <w:szCs w:val="16"/>
                <w:lang w:val="es-ES_tradnl"/>
              </w:rPr>
              <w:t>Perfeccionamiento de los medios de comunicación y publicación electrónicos en el marco de los procedimientos del Arreglo de Lisboa.</w:t>
            </w:r>
          </w:p>
        </w:tc>
        <w:tc>
          <w:tcPr>
            <w:tcW w:w="1341" w:type="pct"/>
            <w:shd w:val="clear" w:color="auto" w:fill="FFFFFF"/>
            <w:tcMar>
              <w:top w:w="113" w:type="dxa"/>
              <w:bottom w:w="113" w:type="dxa"/>
            </w:tcMar>
          </w:tcPr>
          <w:p w:rsidR="0063482E" w:rsidRPr="00C75C7E" w:rsidRDefault="0063482E" w:rsidP="00EF3DB5">
            <w:pPr>
              <w:widowControl w:val="0"/>
              <w:ind w:left="441"/>
              <w:rPr>
                <w:sz w:val="16"/>
                <w:szCs w:val="16"/>
                <w:lang w:val="es-ES_tradnl" w:bidi="th-TH"/>
              </w:rPr>
            </w:pPr>
            <w:r w:rsidRPr="00C75C7E">
              <w:rPr>
                <w:sz w:val="16"/>
                <w:szCs w:val="16"/>
                <w:lang w:val="es-ES_tradnl" w:bidi="th-TH"/>
              </w:rPr>
              <w:t>Programa  6</w:t>
            </w:r>
          </w:p>
        </w:tc>
      </w:tr>
      <w:tr w:rsidR="0063482E" w:rsidRPr="00C75C7E" w:rsidTr="00EF3DB5">
        <w:trPr>
          <w:cantSplit/>
          <w:trHeight w:val="589"/>
        </w:trPr>
        <w:tc>
          <w:tcPr>
            <w:tcW w:w="1707" w:type="pct"/>
            <w:shd w:val="clear" w:color="auto" w:fill="auto"/>
            <w:tcMar>
              <w:top w:w="113" w:type="dxa"/>
              <w:bottom w:w="113" w:type="dxa"/>
            </w:tcMar>
          </w:tcPr>
          <w:p w:rsidR="0063482E" w:rsidRPr="00C75C7E" w:rsidRDefault="0063482E" w:rsidP="00EF3DB5">
            <w:pPr>
              <w:widowControl w:val="0"/>
              <w:rPr>
                <w:sz w:val="16"/>
                <w:szCs w:val="16"/>
                <w:lang w:val="es-ES_tradnl"/>
              </w:rPr>
            </w:pPr>
            <w:r w:rsidRPr="00C75C7E">
              <w:rPr>
                <w:sz w:val="16"/>
                <w:szCs w:val="16"/>
                <w:lang w:val="es-ES_tradnl"/>
              </w:rPr>
              <w:t>II.8. Las controversias nacionales e internacionales en materia de P.I. se evitan o resuelven cada vez con más frecuencia mediante procedimientos de mediación, arbitraje y demás métodos de solución extrajudicial de controversias.</w:t>
            </w:r>
          </w:p>
        </w:tc>
        <w:tc>
          <w:tcPr>
            <w:tcW w:w="1952" w:type="pct"/>
            <w:shd w:val="clear" w:color="auto" w:fill="auto"/>
            <w:tcMar>
              <w:top w:w="113" w:type="dxa"/>
              <w:bottom w:w="113" w:type="dxa"/>
            </w:tcMar>
          </w:tcPr>
          <w:p w:rsidR="0063482E" w:rsidRPr="00C75C7E" w:rsidRDefault="0063482E" w:rsidP="00EF3DB5">
            <w:pPr>
              <w:widowControl w:val="0"/>
              <w:rPr>
                <w:sz w:val="16"/>
                <w:szCs w:val="16"/>
                <w:lang w:val="es-ES_tradnl"/>
              </w:rPr>
            </w:pPr>
            <w:r w:rsidRPr="00C75C7E">
              <w:rPr>
                <w:sz w:val="16"/>
                <w:szCs w:val="16"/>
                <w:lang w:val="es-ES_tradnl"/>
              </w:rPr>
              <w:t>Se considera cada vez más la posibilidad de utilizar servicios de solución extrajudicial de controversias en las transacciones sobre propiedad intelectual, entre otros medios, valiéndose de los procedimientos de la OMPI.</w:t>
            </w:r>
          </w:p>
        </w:tc>
        <w:tc>
          <w:tcPr>
            <w:tcW w:w="1341" w:type="pct"/>
            <w:shd w:val="clear" w:color="auto" w:fill="FFFFFF"/>
            <w:tcMar>
              <w:top w:w="113" w:type="dxa"/>
              <w:bottom w:w="113" w:type="dxa"/>
            </w:tcMar>
          </w:tcPr>
          <w:p w:rsidR="0063482E" w:rsidRPr="00C75C7E" w:rsidRDefault="0063482E" w:rsidP="00EF3DB5">
            <w:pPr>
              <w:widowControl w:val="0"/>
              <w:ind w:left="441"/>
              <w:rPr>
                <w:sz w:val="16"/>
                <w:szCs w:val="16"/>
                <w:lang w:val="es-ES_tradnl" w:bidi="th-TH"/>
              </w:rPr>
            </w:pPr>
            <w:r w:rsidRPr="00C75C7E">
              <w:rPr>
                <w:sz w:val="16"/>
                <w:szCs w:val="16"/>
                <w:lang w:val="es-ES_tradnl" w:bidi="th-TH"/>
              </w:rPr>
              <w:t>Programa  7</w:t>
            </w:r>
          </w:p>
          <w:p w:rsidR="0063482E" w:rsidRPr="00C75C7E" w:rsidRDefault="0063482E" w:rsidP="00EF3DB5">
            <w:pPr>
              <w:widowControl w:val="0"/>
              <w:ind w:left="441"/>
              <w:rPr>
                <w:sz w:val="16"/>
                <w:szCs w:val="16"/>
                <w:lang w:val="es-ES_tradnl" w:bidi="th-TH"/>
              </w:rPr>
            </w:pPr>
            <w:r w:rsidRPr="00C75C7E">
              <w:rPr>
                <w:sz w:val="16"/>
                <w:szCs w:val="16"/>
                <w:lang w:val="es-ES_tradnl" w:bidi="th-TH"/>
              </w:rPr>
              <w:t>Programa  20</w:t>
            </w:r>
          </w:p>
        </w:tc>
      </w:tr>
      <w:tr w:rsidR="0063482E" w:rsidRPr="00C75C7E" w:rsidTr="00EF3DB5">
        <w:trPr>
          <w:cantSplit/>
          <w:trHeight w:val="428"/>
        </w:trPr>
        <w:tc>
          <w:tcPr>
            <w:tcW w:w="1707" w:type="pct"/>
            <w:shd w:val="clear" w:color="auto" w:fill="auto"/>
            <w:tcMar>
              <w:top w:w="113" w:type="dxa"/>
              <w:bottom w:w="113" w:type="dxa"/>
            </w:tcMar>
          </w:tcPr>
          <w:p w:rsidR="0063482E" w:rsidRPr="00C75C7E" w:rsidRDefault="0063482E" w:rsidP="00EF3DB5">
            <w:pPr>
              <w:widowControl w:val="0"/>
              <w:rPr>
                <w:sz w:val="16"/>
                <w:szCs w:val="16"/>
                <w:lang w:val="es-ES_tradnl"/>
              </w:rPr>
            </w:pPr>
          </w:p>
        </w:tc>
        <w:tc>
          <w:tcPr>
            <w:tcW w:w="1952" w:type="pct"/>
            <w:shd w:val="clear" w:color="auto" w:fill="auto"/>
            <w:tcMar>
              <w:top w:w="113" w:type="dxa"/>
              <w:bottom w:w="113" w:type="dxa"/>
            </w:tcMar>
          </w:tcPr>
          <w:p w:rsidR="0063482E" w:rsidRPr="00C75C7E" w:rsidRDefault="0063482E" w:rsidP="00EF3DB5">
            <w:pPr>
              <w:widowControl w:val="0"/>
              <w:rPr>
                <w:sz w:val="16"/>
                <w:szCs w:val="16"/>
                <w:lang w:val="es-ES_tradnl"/>
              </w:rPr>
            </w:pPr>
            <w:r w:rsidRPr="00C75C7E">
              <w:rPr>
                <w:sz w:val="16"/>
                <w:szCs w:val="16"/>
                <w:lang w:val="es-ES_tradnl"/>
              </w:rPr>
              <w:t>Políticas de solución extrajudicial de controversias en cuya elaboración y aplicación ha participado el Centro.</w:t>
            </w:r>
          </w:p>
        </w:tc>
        <w:tc>
          <w:tcPr>
            <w:tcW w:w="1341" w:type="pct"/>
            <w:shd w:val="clear" w:color="auto" w:fill="FFFFFF"/>
            <w:tcMar>
              <w:top w:w="113" w:type="dxa"/>
              <w:bottom w:w="113" w:type="dxa"/>
            </w:tcMar>
          </w:tcPr>
          <w:p w:rsidR="0063482E" w:rsidRPr="00C75C7E" w:rsidRDefault="0063482E" w:rsidP="00EF3DB5">
            <w:pPr>
              <w:widowControl w:val="0"/>
              <w:ind w:left="441"/>
              <w:rPr>
                <w:sz w:val="16"/>
                <w:szCs w:val="16"/>
                <w:lang w:val="es-ES_tradnl" w:bidi="th-TH"/>
              </w:rPr>
            </w:pPr>
            <w:r w:rsidRPr="00C75C7E">
              <w:rPr>
                <w:sz w:val="16"/>
                <w:szCs w:val="16"/>
                <w:lang w:val="es-ES_tradnl" w:bidi="th-TH"/>
              </w:rPr>
              <w:t>Programa  7</w:t>
            </w:r>
          </w:p>
        </w:tc>
      </w:tr>
      <w:tr w:rsidR="0063482E" w:rsidRPr="00C75C7E" w:rsidTr="00EF3DB5">
        <w:trPr>
          <w:cantSplit/>
          <w:trHeight w:val="379"/>
        </w:trPr>
        <w:tc>
          <w:tcPr>
            <w:tcW w:w="1707" w:type="pct"/>
            <w:shd w:val="clear" w:color="auto" w:fill="auto"/>
            <w:tcMar>
              <w:top w:w="113" w:type="dxa"/>
              <w:bottom w:w="113" w:type="dxa"/>
            </w:tcMar>
          </w:tcPr>
          <w:p w:rsidR="0063482E" w:rsidRPr="00C75C7E" w:rsidRDefault="0063482E" w:rsidP="00EF3DB5">
            <w:pPr>
              <w:widowControl w:val="0"/>
              <w:rPr>
                <w:sz w:val="16"/>
                <w:szCs w:val="16"/>
                <w:lang w:val="es-ES_tradnl"/>
              </w:rPr>
            </w:pPr>
          </w:p>
        </w:tc>
        <w:tc>
          <w:tcPr>
            <w:tcW w:w="1952" w:type="pct"/>
            <w:shd w:val="clear" w:color="auto" w:fill="auto"/>
            <w:tcMar>
              <w:top w:w="113" w:type="dxa"/>
              <w:bottom w:w="113" w:type="dxa"/>
            </w:tcMar>
          </w:tcPr>
          <w:p w:rsidR="0063482E" w:rsidRPr="00C75C7E" w:rsidRDefault="0063482E" w:rsidP="00EF3DB5">
            <w:pPr>
              <w:widowControl w:val="0"/>
              <w:rPr>
                <w:sz w:val="16"/>
                <w:szCs w:val="16"/>
                <w:lang w:val="es-ES_tradnl"/>
              </w:rPr>
            </w:pPr>
            <w:r w:rsidRPr="00C75C7E">
              <w:rPr>
                <w:sz w:val="16"/>
                <w:szCs w:val="16"/>
                <w:lang w:val="es-ES_tradnl"/>
              </w:rPr>
              <w:t>Número de usuarios de países con economías en transición y países desarrollados que utilizan los servicios del Centro de Arbitraje y Mediación.</w:t>
            </w:r>
          </w:p>
        </w:tc>
        <w:tc>
          <w:tcPr>
            <w:tcW w:w="1341" w:type="pct"/>
            <w:shd w:val="clear" w:color="auto" w:fill="FFFFFF"/>
            <w:tcMar>
              <w:top w:w="113" w:type="dxa"/>
              <w:bottom w:w="113" w:type="dxa"/>
            </w:tcMar>
          </w:tcPr>
          <w:p w:rsidR="0063482E" w:rsidRPr="00C75C7E" w:rsidRDefault="0063482E" w:rsidP="00EF3DB5">
            <w:pPr>
              <w:widowControl w:val="0"/>
              <w:ind w:left="441"/>
              <w:rPr>
                <w:sz w:val="16"/>
                <w:szCs w:val="16"/>
                <w:lang w:val="es-ES_tradnl" w:bidi="th-TH"/>
              </w:rPr>
            </w:pPr>
            <w:r w:rsidRPr="00C75C7E">
              <w:rPr>
                <w:sz w:val="16"/>
                <w:szCs w:val="16"/>
                <w:lang w:val="es-ES_tradnl" w:bidi="th-TH"/>
              </w:rPr>
              <w:t>Programa  10</w:t>
            </w:r>
          </w:p>
        </w:tc>
      </w:tr>
      <w:tr w:rsidR="0063482E" w:rsidRPr="00C75C7E" w:rsidTr="00EF3DB5">
        <w:trPr>
          <w:cantSplit/>
          <w:trHeight w:val="303"/>
        </w:trPr>
        <w:tc>
          <w:tcPr>
            <w:tcW w:w="1707" w:type="pct"/>
            <w:shd w:val="clear" w:color="auto" w:fill="auto"/>
            <w:tcMar>
              <w:top w:w="113" w:type="dxa"/>
              <w:bottom w:w="113" w:type="dxa"/>
            </w:tcMar>
          </w:tcPr>
          <w:p w:rsidR="0063482E" w:rsidRPr="00C75C7E" w:rsidRDefault="0063482E" w:rsidP="00EF3DB5">
            <w:pPr>
              <w:widowControl w:val="0"/>
              <w:rPr>
                <w:sz w:val="16"/>
                <w:szCs w:val="16"/>
                <w:lang w:val="es-ES_tradnl"/>
              </w:rPr>
            </w:pPr>
            <w:r w:rsidRPr="00C75C7E">
              <w:rPr>
                <w:sz w:val="16"/>
                <w:szCs w:val="16"/>
                <w:lang w:val="es-ES_tradnl"/>
              </w:rPr>
              <w:t>II.9 Protección eficaz de la propiedad intelectual en los gTLD y los ccTLD.</w:t>
            </w:r>
          </w:p>
        </w:tc>
        <w:tc>
          <w:tcPr>
            <w:tcW w:w="1952" w:type="pct"/>
            <w:shd w:val="clear" w:color="auto" w:fill="auto"/>
            <w:tcMar>
              <w:top w:w="113" w:type="dxa"/>
              <w:bottom w:w="113" w:type="dxa"/>
            </w:tcMar>
          </w:tcPr>
          <w:p w:rsidR="0063482E" w:rsidRPr="00C75C7E" w:rsidRDefault="0063482E" w:rsidP="00EF3DB5">
            <w:pPr>
              <w:widowControl w:val="0"/>
              <w:rPr>
                <w:sz w:val="16"/>
                <w:szCs w:val="16"/>
                <w:lang w:val="es-ES_tradnl"/>
              </w:rPr>
            </w:pPr>
            <w:r w:rsidRPr="00C75C7E">
              <w:rPr>
                <w:sz w:val="16"/>
                <w:szCs w:val="16"/>
                <w:lang w:val="es-ES_tradnl"/>
              </w:rPr>
              <w:t>Número de procedimientos relativos a los gTLD administrados en virtud de la Política Uniforme.</w:t>
            </w:r>
          </w:p>
        </w:tc>
        <w:tc>
          <w:tcPr>
            <w:tcW w:w="1341" w:type="pct"/>
            <w:shd w:val="clear" w:color="auto" w:fill="FFFFFF"/>
            <w:tcMar>
              <w:top w:w="113" w:type="dxa"/>
              <w:bottom w:w="113" w:type="dxa"/>
            </w:tcMar>
          </w:tcPr>
          <w:p w:rsidR="0063482E" w:rsidRPr="00C75C7E" w:rsidRDefault="0063482E" w:rsidP="00EF3DB5">
            <w:pPr>
              <w:widowControl w:val="0"/>
              <w:ind w:left="441"/>
              <w:rPr>
                <w:sz w:val="16"/>
                <w:szCs w:val="16"/>
                <w:lang w:val="es-ES_tradnl" w:bidi="th-TH"/>
              </w:rPr>
            </w:pPr>
            <w:r w:rsidRPr="00C75C7E">
              <w:rPr>
                <w:sz w:val="16"/>
                <w:szCs w:val="16"/>
                <w:lang w:val="es-ES_tradnl" w:bidi="th-TH"/>
              </w:rPr>
              <w:t>Programa  7</w:t>
            </w:r>
          </w:p>
        </w:tc>
      </w:tr>
      <w:tr w:rsidR="0063482E" w:rsidRPr="00C75C7E" w:rsidTr="00EF3DB5">
        <w:trPr>
          <w:cantSplit/>
          <w:trHeight w:val="255"/>
        </w:trPr>
        <w:tc>
          <w:tcPr>
            <w:tcW w:w="1707" w:type="pct"/>
            <w:shd w:val="clear" w:color="auto" w:fill="auto"/>
            <w:tcMar>
              <w:top w:w="113" w:type="dxa"/>
              <w:bottom w:w="113" w:type="dxa"/>
            </w:tcMar>
          </w:tcPr>
          <w:p w:rsidR="0063482E" w:rsidRPr="00C75C7E" w:rsidRDefault="0063482E" w:rsidP="00EF3DB5">
            <w:pPr>
              <w:widowControl w:val="0"/>
              <w:rPr>
                <w:sz w:val="16"/>
                <w:szCs w:val="16"/>
                <w:lang w:val="es-ES_tradnl"/>
              </w:rPr>
            </w:pPr>
          </w:p>
        </w:tc>
        <w:tc>
          <w:tcPr>
            <w:tcW w:w="1952" w:type="pct"/>
            <w:shd w:val="clear" w:color="auto" w:fill="auto"/>
            <w:tcMar>
              <w:top w:w="113" w:type="dxa"/>
              <w:bottom w:w="113" w:type="dxa"/>
            </w:tcMar>
          </w:tcPr>
          <w:p w:rsidR="0063482E" w:rsidRPr="00C75C7E" w:rsidRDefault="0063482E" w:rsidP="00EF3DB5">
            <w:pPr>
              <w:widowControl w:val="0"/>
              <w:rPr>
                <w:sz w:val="16"/>
                <w:szCs w:val="16"/>
                <w:lang w:val="es-ES_tradnl"/>
              </w:rPr>
            </w:pPr>
            <w:r w:rsidRPr="00C75C7E">
              <w:rPr>
                <w:sz w:val="16"/>
                <w:szCs w:val="16"/>
                <w:lang w:val="es-ES_tradnl"/>
              </w:rPr>
              <w:t>Número de procedimientos relativos a los ccTLD administrados en virtud de la Política Uniforme.</w:t>
            </w:r>
          </w:p>
        </w:tc>
        <w:tc>
          <w:tcPr>
            <w:tcW w:w="1341" w:type="pct"/>
            <w:shd w:val="clear" w:color="auto" w:fill="FFFFFF"/>
            <w:tcMar>
              <w:top w:w="113" w:type="dxa"/>
              <w:bottom w:w="113" w:type="dxa"/>
            </w:tcMar>
          </w:tcPr>
          <w:p w:rsidR="0063482E" w:rsidRPr="00C75C7E" w:rsidRDefault="0063482E" w:rsidP="00EF3DB5">
            <w:pPr>
              <w:widowControl w:val="0"/>
              <w:ind w:left="441"/>
              <w:rPr>
                <w:sz w:val="16"/>
                <w:szCs w:val="16"/>
                <w:lang w:val="es-ES_tradnl" w:bidi="th-TH"/>
              </w:rPr>
            </w:pPr>
            <w:r w:rsidRPr="00C75C7E">
              <w:rPr>
                <w:sz w:val="16"/>
                <w:szCs w:val="16"/>
                <w:lang w:val="es-ES_tradnl" w:bidi="th-TH"/>
              </w:rPr>
              <w:t>Programa  7</w:t>
            </w:r>
          </w:p>
        </w:tc>
      </w:tr>
      <w:tr w:rsidR="0063482E" w:rsidRPr="00C75C7E" w:rsidTr="00EF3DB5">
        <w:trPr>
          <w:cantSplit/>
          <w:trHeight w:val="566"/>
        </w:trPr>
        <w:tc>
          <w:tcPr>
            <w:tcW w:w="1707" w:type="pct"/>
            <w:shd w:val="clear" w:color="auto" w:fill="auto"/>
            <w:tcMar>
              <w:top w:w="113" w:type="dxa"/>
              <w:bottom w:w="113" w:type="dxa"/>
            </w:tcMar>
          </w:tcPr>
          <w:p w:rsidR="0063482E" w:rsidRPr="00C75C7E" w:rsidRDefault="0063482E" w:rsidP="00EF3DB5">
            <w:pPr>
              <w:widowControl w:val="0"/>
              <w:rPr>
                <w:sz w:val="16"/>
                <w:szCs w:val="16"/>
                <w:lang w:val="es-ES_tradnl"/>
              </w:rPr>
            </w:pPr>
          </w:p>
        </w:tc>
        <w:tc>
          <w:tcPr>
            <w:tcW w:w="1952" w:type="pct"/>
            <w:shd w:val="clear" w:color="auto" w:fill="auto"/>
            <w:tcMar>
              <w:top w:w="113" w:type="dxa"/>
              <w:bottom w:w="113" w:type="dxa"/>
            </w:tcMar>
          </w:tcPr>
          <w:p w:rsidR="0063482E" w:rsidRPr="00C75C7E" w:rsidRDefault="0063482E" w:rsidP="003A4B0F">
            <w:pPr>
              <w:widowControl w:val="0"/>
              <w:rPr>
                <w:sz w:val="16"/>
                <w:szCs w:val="16"/>
                <w:lang w:val="es-ES_tradnl"/>
              </w:rPr>
            </w:pPr>
            <w:r w:rsidRPr="00C75C7E">
              <w:rPr>
                <w:sz w:val="16"/>
                <w:szCs w:val="16"/>
                <w:lang w:val="es-ES_tradnl"/>
              </w:rPr>
              <w:t>Políticas de solución extrajudicial de controversias en</w:t>
            </w:r>
            <w:r w:rsidR="003A4B0F">
              <w:rPr>
                <w:sz w:val="16"/>
                <w:szCs w:val="16"/>
                <w:lang w:val="es-ES_tradnl"/>
              </w:rPr>
              <w:t xml:space="preserve"> el Sistema de Nombres de Dominio </w:t>
            </w:r>
            <w:r w:rsidRPr="00C75C7E">
              <w:rPr>
                <w:sz w:val="16"/>
                <w:szCs w:val="16"/>
                <w:lang w:val="es-ES_tradnl"/>
              </w:rPr>
              <w:t>cuya elaboración y aplicación ha participado el Centro.</w:t>
            </w:r>
          </w:p>
        </w:tc>
        <w:tc>
          <w:tcPr>
            <w:tcW w:w="1341" w:type="pct"/>
            <w:shd w:val="clear" w:color="auto" w:fill="FFFFFF"/>
            <w:tcMar>
              <w:top w:w="113" w:type="dxa"/>
              <w:bottom w:w="113" w:type="dxa"/>
            </w:tcMar>
          </w:tcPr>
          <w:p w:rsidR="0063482E" w:rsidRPr="00C75C7E" w:rsidRDefault="0063482E" w:rsidP="00EF3DB5">
            <w:pPr>
              <w:widowControl w:val="0"/>
              <w:ind w:left="441"/>
              <w:rPr>
                <w:sz w:val="16"/>
                <w:szCs w:val="16"/>
                <w:lang w:val="es-ES_tradnl" w:bidi="th-TH"/>
              </w:rPr>
            </w:pPr>
            <w:r w:rsidRPr="00C75C7E">
              <w:rPr>
                <w:sz w:val="16"/>
                <w:szCs w:val="16"/>
                <w:lang w:val="es-ES_tradnl" w:bidi="th-TH"/>
              </w:rPr>
              <w:t>Programa  7</w:t>
            </w:r>
          </w:p>
        </w:tc>
      </w:tr>
      <w:tr w:rsidR="0063482E" w:rsidRPr="00C75C7E" w:rsidTr="00EF3DB5">
        <w:trPr>
          <w:cantSplit/>
          <w:trHeight w:val="500"/>
        </w:trPr>
        <w:tc>
          <w:tcPr>
            <w:tcW w:w="1707" w:type="pct"/>
            <w:shd w:val="clear" w:color="auto" w:fill="auto"/>
            <w:tcMar>
              <w:top w:w="113" w:type="dxa"/>
              <w:bottom w:w="113" w:type="dxa"/>
            </w:tcMar>
          </w:tcPr>
          <w:p w:rsidR="0063482E" w:rsidRPr="00C75C7E" w:rsidRDefault="0063482E" w:rsidP="00EF3DB5">
            <w:pPr>
              <w:widowControl w:val="0"/>
              <w:rPr>
                <w:sz w:val="16"/>
                <w:szCs w:val="16"/>
                <w:lang w:val="es-ES_tradnl"/>
              </w:rPr>
            </w:pPr>
          </w:p>
        </w:tc>
        <w:tc>
          <w:tcPr>
            <w:tcW w:w="1952" w:type="pct"/>
            <w:shd w:val="clear" w:color="auto" w:fill="auto"/>
            <w:tcMar>
              <w:top w:w="113" w:type="dxa"/>
              <w:bottom w:w="113" w:type="dxa"/>
            </w:tcMar>
          </w:tcPr>
          <w:p w:rsidR="0063482E" w:rsidRPr="00C75C7E" w:rsidRDefault="0063482E" w:rsidP="00EF3DB5">
            <w:pPr>
              <w:widowControl w:val="0"/>
              <w:rPr>
                <w:sz w:val="16"/>
                <w:szCs w:val="16"/>
                <w:lang w:val="es-ES_tradnl"/>
              </w:rPr>
            </w:pPr>
            <w:r w:rsidRPr="00C75C7E">
              <w:rPr>
                <w:sz w:val="16"/>
                <w:szCs w:val="16"/>
                <w:lang w:val="es-ES_tradnl"/>
              </w:rPr>
              <w:t>Número de administradores de ccTLD que disponen de mecanismos de protección de P.I. concebidos o administrados por la OMPI de conformidad con las normas internacionales.</w:t>
            </w:r>
          </w:p>
        </w:tc>
        <w:tc>
          <w:tcPr>
            <w:tcW w:w="1341" w:type="pct"/>
            <w:shd w:val="clear" w:color="auto" w:fill="FFFFFF"/>
            <w:tcMar>
              <w:top w:w="113" w:type="dxa"/>
              <w:bottom w:w="113" w:type="dxa"/>
            </w:tcMar>
          </w:tcPr>
          <w:p w:rsidR="0063482E" w:rsidRPr="00C75C7E" w:rsidRDefault="0063482E" w:rsidP="00EF3DB5">
            <w:pPr>
              <w:widowControl w:val="0"/>
              <w:ind w:left="441"/>
              <w:rPr>
                <w:sz w:val="16"/>
                <w:szCs w:val="16"/>
                <w:lang w:val="es-ES_tradnl" w:bidi="th-TH"/>
              </w:rPr>
            </w:pPr>
            <w:r w:rsidRPr="00C75C7E">
              <w:rPr>
                <w:sz w:val="16"/>
                <w:szCs w:val="16"/>
                <w:lang w:val="es-ES_tradnl" w:bidi="th-TH"/>
              </w:rPr>
              <w:t>Programa  7</w:t>
            </w:r>
          </w:p>
        </w:tc>
      </w:tr>
    </w:tbl>
    <w:p w:rsidR="0063482E" w:rsidRPr="00C75C7E" w:rsidRDefault="0063482E" w:rsidP="0063482E">
      <w:pPr>
        <w:widowControl w:val="0"/>
        <w:tabs>
          <w:tab w:val="left" w:pos="0"/>
        </w:tabs>
        <w:rPr>
          <w:b/>
          <w:iCs/>
          <w:sz w:val="20"/>
          <w:lang w:val="es-ES_tradnl"/>
        </w:rPr>
      </w:pPr>
    </w:p>
    <w:p w:rsidR="00546AD7" w:rsidRPr="00450C3A" w:rsidRDefault="0063482E" w:rsidP="00450C3A">
      <w:pPr>
        <w:pStyle w:val="Heading3"/>
        <w:tabs>
          <w:tab w:val="left" w:pos="1985"/>
        </w:tabs>
        <w:rPr>
          <w:b/>
          <w:iCs/>
          <w:caps/>
          <w:u w:val="none"/>
        </w:rPr>
      </w:pPr>
      <w:r w:rsidRPr="00C75C7E">
        <w:rPr>
          <w:lang w:val="es-ES_tradnl"/>
        </w:rPr>
        <w:br w:type="page"/>
      </w:r>
      <w:bookmarkStart w:id="28" w:name="_Toc356567752"/>
      <w:bookmarkStart w:id="29" w:name="_Toc358816690"/>
      <w:r w:rsidR="006A15F5" w:rsidRPr="00450C3A">
        <w:rPr>
          <w:b/>
          <w:iCs/>
          <w:u w:val="none"/>
        </w:rPr>
        <w:lastRenderedPageBreak/>
        <w:t>PROGRAMA 5</w:t>
      </w:r>
      <w:r w:rsidR="006A15F5" w:rsidRPr="00450C3A">
        <w:rPr>
          <w:b/>
          <w:iCs/>
          <w:u w:val="none"/>
        </w:rPr>
        <w:tab/>
      </w:r>
      <w:bookmarkEnd w:id="28"/>
      <w:r w:rsidR="006A15F5" w:rsidRPr="00450C3A">
        <w:rPr>
          <w:b/>
          <w:iCs/>
          <w:u w:val="none"/>
        </w:rPr>
        <w:t>SISTEMA DEL PCT</w:t>
      </w:r>
      <w:bookmarkEnd w:id="29"/>
    </w:p>
    <w:p w:rsidR="00546AD7" w:rsidRPr="00546AD7" w:rsidRDefault="00546AD7" w:rsidP="00546AD7">
      <w:pPr>
        <w:widowControl w:val="0"/>
        <w:tabs>
          <w:tab w:val="left" w:pos="2268"/>
        </w:tabs>
        <w:ind w:left="2268" w:hanging="2268"/>
        <w:rPr>
          <w:rFonts w:eastAsia="Times New Roman" w:cs="Times New Roman"/>
          <w:bCs/>
          <w:sz w:val="20"/>
          <w:lang w:eastAsia="en-US"/>
        </w:rPr>
      </w:pPr>
    </w:p>
    <w:p w:rsidR="00546AD7" w:rsidRPr="00546AD7" w:rsidRDefault="00546AD7" w:rsidP="00546AD7">
      <w:pPr>
        <w:widowControl w:val="0"/>
        <w:tabs>
          <w:tab w:val="left" w:pos="2268"/>
        </w:tabs>
        <w:ind w:left="2268" w:hanging="2268"/>
        <w:rPr>
          <w:rFonts w:eastAsia="Times New Roman" w:cs="Times New Roman"/>
          <w:bCs/>
          <w:sz w:val="20"/>
          <w:lang w:eastAsia="en-US"/>
        </w:rPr>
      </w:pPr>
    </w:p>
    <w:p w:rsidR="00546AD7" w:rsidRPr="00546AD7" w:rsidRDefault="00546AD7" w:rsidP="00546AD7">
      <w:pPr>
        <w:widowControl w:val="0"/>
        <w:ind w:left="1985" w:hanging="1985"/>
        <w:jc w:val="both"/>
        <w:rPr>
          <w:rFonts w:eastAsia="Times New Roman"/>
          <w:szCs w:val="22"/>
          <w:lang w:eastAsia="en-US"/>
        </w:rPr>
      </w:pPr>
      <w:r w:rsidRPr="00546AD7">
        <w:rPr>
          <w:rFonts w:eastAsia="Times New Roman"/>
          <w:szCs w:val="22"/>
          <w:lang w:eastAsia="en-US"/>
        </w:rPr>
        <w:t>CONTEXTO DE PLANIFICACIÓN</w:t>
      </w:r>
    </w:p>
    <w:p w:rsidR="00546AD7" w:rsidRPr="00546AD7" w:rsidRDefault="00546AD7" w:rsidP="00546AD7">
      <w:pPr>
        <w:widowControl w:val="0"/>
        <w:tabs>
          <w:tab w:val="left" w:pos="567"/>
          <w:tab w:val="left" w:pos="1985"/>
        </w:tabs>
        <w:jc w:val="both"/>
        <w:rPr>
          <w:rFonts w:eastAsia="Times New Roman"/>
          <w:bCs/>
          <w:sz w:val="20"/>
          <w:lang w:eastAsia="en-US"/>
        </w:rPr>
      </w:pPr>
    </w:p>
    <w:p w:rsidR="00546AD7" w:rsidRPr="00546AD7" w:rsidRDefault="00546AD7" w:rsidP="00BA276E">
      <w:pPr>
        <w:widowControl w:val="0"/>
        <w:numPr>
          <w:ilvl w:val="0"/>
          <w:numId w:val="24"/>
        </w:numPr>
        <w:jc w:val="both"/>
        <w:rPr>
          <w:rFonts w:eastAsia="Times New Roman"/>
          <w:bCs/>
          <w:sz w:val="20"/>
          <w:lang w:eastAsia="ja-JP"/>
        </w:rPr>
      </w:pPr>
      <w:r w:rsidRPr="00546AD7">
        <w:rPr>
          <w:rFonts w:eastAsia="Times New Roman"/>
          <w:sz w:val="20"/>
          <w:lang w:eastAsia="en-US"/>
        </w:rPr>
        <w:t>El 75% de los ingresos de la OMPI proceden del sistema del PCT.  Necesariamente, la gran mayoría de los gastos del programa se asignan a su funcionamiento.  Asimismo, el 54% de las solicitudes internacionales se presentan utilizando el PCT.  Sin embargo, para mantener y consolidar el PCT como la vía preferida por los usuarios del sistema internacional de patentes en el próximo bienio, será necesario velar por que el programa 5 haga frente a los desafíos que plantea un mercado mundial de servicios de patentes cada vez más dinámico, caracterizado por los elementos siguientes:</w:t>
      </w:r>
    </w:p>
    <w:p w:rsidR="00546AD7" w:rsidRPr="00546AD7" w:rsidRDefault="00546AD7" w:rsidP="00546AD7">
      <w:pPr>
        <w:widowControl w:val="0"/>
        <w:jc w:val="both"/>
        <w:rPr>
          <w:rFonts w:eastAsia="Times New Roman"/>
          <w:bCs/>
          <w:sz w:val="20"/>
          <w:lang w:eastAsia="ja-JP"/>
        </w:rPr>
      </w:pPr>
    </w:p>
    <w:p w:rsidR="00546AD7" w:rsidRPr="00546AD7" w:rsidRDefault="00546AD7" w:rsidP="00BA276E">
      <w:pPr>
        <w:widowControl w:val="0"/>
        <w:numPr>
          <w:ilvl w:val="0"/>
          <w:numId w:val="25"/>
        </w:numPr>
        <w:spacing w:after="120"/>
        <w:ind w:left="1134" w:hanging="567"/>
        <w:jc w:val="both"/>
        <w:rPr>
          <w:rFonts w:eastAsia="Times New Roman"/>
          <w:bCs/>
          <w:sz w:val="20"/>
          <w:lang w:eastAsia="ja-JP"/>
        </w:rPr>
      </w:pPr>
      <w:r w:rsidRPr="00546AD7">
        <w:rPr>
          <w:rFonts w:eastAsia="Times New Roman"/>
          <w:bCs/>
          <w:sz w:val="20"/>
          <w:lang w:eastAsia="ja-JP"/>
        </w:rPr>
        <w:t>la mira puesta en la calidad y la puntualidad de los informes internacionales;</w:t>
      </w:r>
    </w:p>
    <w:p w:rsidR="00546AD7" w:rsidRPr="00546AD7" w:rsidRDefault="00546AD7" w:rsidP="00BA276E">
      <w:pPr>
        <w:widowControl w:val="0"/>
        <w:numPr>
          <w:ilvl w:val="0"/>
          <w:numId w:val="25"/>
        </w:numPr>
        <w:spacing w:after="120"/>
        <w:ind w:left="1134" w:hanging="567"/>
        <w:jc w:val="both"/>
        <w:rPr>
          <w:rFonts w:eastAsia="Times New Roman"/>
          <w:bCs/>
          <w:sz w:val="20"/>
          <w:lang w:eastAsia="ja-JP"/>
        </w:rPr>
      </w:pPr>
      <w:r w:rsidRPr="00546AD7">
        <w:rPr>
          <w:rFonts w:eastAsia="Times New Roman"/>
          <w:bCs/>
          <w:sz w:val="20"/>
          <w:lang w:eastAsia="ja-JP"/>
        </w:rPr>
        <w:t>el espectro geográfico cada vez más variado que abarca la protección por patente;</w:t>
      </w:r>
    </w:p>
    <w:p w:rsidR="00546AD7" w:rsidRPr="00546AD7" w:rsidRDefault="00546AD7" w:rsidP="00BA276E">
      <w:pPr>
        <w:widowControl w:val="0"/>
        <w:numPr>
          <w:ilvl w:val="0"/>
          <w:numId w:val="25"/>
        </w:numPr>
        <w:spacing w:after="120"/>
        <w:ind w:left="1134" w:hanging="567"/>
        <w:jc w:val="both"/>
        <w:rPr>
          <w:rFonts w:eastAsia="Times New Roman"/>
          <w:bCs/>
          <w:sz w:val="20"/>
          <w:lang w:eastAsia="ja-JP"/>
        </w:rPr>
      </w:pPr>
      <w:r w:rsidRPr="00546AD7">
        <w:rPr>
          <w:rFonts w:eastAsia="Times New Roman"/>
          <w:bCs/>
          <w:sz w:val="20"/>
          <w:lang w:eastAsia="ja-JP"/>
        </w:rPr>
        <w:t>la diversidad lingüística cada vez mayor del estado de la técnica;</w:t>
      </w:r>
    </w:p>
    <w:p w:rsidR="00546AD7" w:rsidRPr="00546AD7" w:rsidRDefault="00546AD7" w:rsidP="00BA276E">
      <w:pPr>
        <w:widowControl w:val="0"/>
        <w:numPr>
          <w:ilvl w:val="0"/>
          <w:numId w:val="25"/>
        </w:numPr>
        <w:spacing w:after="120"/>
        <w:ind w:left="1134" w:hanging="567"/>
        <w:jc w:val="both"/>
        <w:rPr>
          <w:rFonts w:eastAsia="Times New Roman"/>
          <w:bCs/>
          <w:sz w:val="20"/>
          <w:lang w:eastAsia="ja-JP"/>
        </w:rPr>
      </w:pPr>
      <w:r w:rsidRPr="00546AD7">
        <w:rPr>
          <w:rFonts w:eastAsia="Times New Roman"/>
          <w:bCs/>
          <w:sz w:val="20"/>
          <w:lang w:eastAsia="ja-JP"/>
        </w:rPr>
        <w:t>la participación limitada en el PCT de la mayoría de los países en desarrollo y los países menos adelantados (PMA);</w:t>
      </w:r>
    </w:p>
    <w:p w:rsidR="00546AD7" w:rsidRPr="00546AD7" w:rsidRDefault="00546AD7" w:rsidP="00BA276E">
      <w:pPr>
        <w:widowControl w:val="0"/>
        <w:numPr>
          <w:ilvl w:val="0"/>
          <w:numId w:val="25"/>
        </w:numPr>
        <w:spacing w:after="120"/>
        <w:ind w:left="1134" w:hanging="567"/>
        <w:jc w:val="both"/>
        <w:rPr>
          <w:rFonts w:eastAsia="Times New Roman"/>
          <w:bCs/>
          <w:sz w:val="20"/>
          <w:lang w:eastAsia="ja-JP"/>
        </w:rPr>
      </w:pPr>
      <w:r w:rsidRPr="00546AD7">
        <w:rPr>
          <w:rFonts w:eastAsia="Times New Roman"/>
          <w:bCs/>
          <w:sz w:val="20"/>
          <w:lang w:eastAsia="ja-JP"/>
        </w:rPr>
        <w:t>la demanda cada vez mayor de capacitación por parte de los usuarios del PCT nuevos y existentes</w:t>
      </w:r>
      <w:r w:rsidRPr="00546AD7">
        <w:rPr>
          <w:rFonts w:eastAsia="Times New Roman"/>
          <w:bCs/>
          <w:sz w:val="20"/>
          <w:lang w:eastAsia="en-US"/>
        </w:rPr>
        <w:t>;</w:t>
      </w:r>
    </w:p>
    <w:p w:rsidR="00546AD7" w:rsidRPr="00546AD7" w:rsidRDefault="00546AD7" w:rsidP="00BA276E">
      <w:pPr>
        <w:widowControl w:val="0"/>
        <w:numPr>
          <w:ilvl w:val="0"/>
          <w:numId w:val="25"/>
        </w:numPr>
        <w:spacing w:after="120"/>
        <w:ind w:left="1134" w:hanging="567"/>
        <w:jc w:val="both"/>
        <w:rPr>
          <w:rFonts w:eastAsia="Times New Roman"/>
          <w:bCs/>
          <w:sz w:val="20"/>
          <w:lang w:eastAsia="ja-JP"/>
        </w:rPr>
      </w:pPr>
      <w:r w:rsidRPr="00546AD7">
        <w:rPr>
          <w:rFonts w:eastAsia="Times New Roman"/>
          <w:bCs/>
          <w:sz w:val="20"/>
          <w:lang w:eastAsia="ja-JP"/>
        </w:rPr>
        <w:t>las variaciones en la forma y el alcance de uso del PCT en relación con otros métodos</w:t>
      </w:r>
      <w:r w:rsidRPr="00546AD7">
        <w:rPr>
          <w:rFonts w:eastAsia="Times New Roman"/>
          <w:bCs/>
          <w:sz w:val="20"/>
          <w:lang w:eastAsia="en-US"/>
        </w:rPr>
        <w:t>;</w:t>
      </w:r>
    </w:p>
    <w:p w:rsidR="00546AD7" w:rsidRPr="00546AD7" w:rsidRDefault="00546AD7" w:rsidP="00BA276E">
      <w:pPr>
        <w:widowControl w:val="0"/>
        <w:numPr>
          <w:ilvl w:val="0"/>
          <w:numId w:val="25"/>
        </w:numPr>
        <w:spacing w:after="120"/>
        <w:ind w:left="1134" w:hanging="567"/>
        <w:jc w:val="both"/>
        <w:rPr>
          <w:rFonts w:eastAsia="Times New Roman"/>
          <w:bCs/>
          <w:sz w:val="20"/>
          <w:lang w:eastAsia="ja-JP"/>
        </w:rPr>
      </w:pPr>
      <w:r w:rsidRPr="00546AD7">
        <w:rPr>
          <w:rFonts w:eastAsia="Times New Roman"/>
          <w:bCs/>
          <w:sz w:val="20"/>
          <w:lang w:eastAsia="ja-JP"/>
        </w:rPr>
        <w:t>la disponibilidad de nuevas tecnologías de la información y las comunicaciones (TIC).</w:t>
      </w:r>
    </w:p>
    <w:p w:rsidR="00546AD7" w:rsidRPr="00546AD7" w:rsidRDefault="00546AD7" w:rsidP="00546AD7">
      <w:pPr>
        <w:widowControl w:val="0"/>
        <w:tabs>
          <w:tab w:val="left" w:pos="567"/>
          <w:tab w:val="left" w:pos="1985"/>
        </w:tabs>
        <w:jc w:val="both"/>
        <w:rPr>
          <w:rFonts w:eastAsia="Times New Roman"/>
          <w:bCs/>
          <w:sz w:val="20"/>
          <w:lang w:eastAsia="en-US"/>
        </w:rPr>
      </w:pPr>
    </w:p>
    <w:p w:rsidR="00546AD7" w:rsidRPr="00546AD7" w:rsidRDefault="00546AD7" w:rsidP="00546AD7">
      <w:pPr>
        <w:widowControl w:val="0"/>
        <w:tabs>
          <w:tab w:val="left" w:pos="567"/>
          <w:tab w:val="left" w:pos="1985"/>
        </w:tabs>
        <w:jc w:val="both"/>
        <w:rPr>
          <w:rFonts w:eastAsia="Times New Roman"/>
          <w:bCs/>
          <w:sz w:val="20"/>
          <w:lang w:eastAsia="en-US"/>
        </w:rPr>
      </w:pPr>
    </w:p>
    <w:p w:rsidR="00546AD7" w:rsidRPr="00546AD7" w:rsidRDefault="00546AD7" w:rsidP="00546AD7">
      <w:pPr>
        <w:widowControl w:val="0"/>
        <w:tabs>
          <w:tab w:val="left" w:pos="567"/>
          <w:tab w:val="left" w:pos="1985"/>
        </w:tabs>
        <w:jc w:val="both"/>
        <w:rPr>
          <w:rFonts w:eastAsia="Times New Roman"/>
          <w:bCs/>
          <w:szCs w:val="22"/>
          <w:lang w:eastAsia="en-US"/>
        </w:rPr>
      </w:pPr>
      <w:r w:rsidRPr="00546AD7">
        <w:rPr>
          <w:rFonts w:eastAsia="Times New Roman"/>
          <w:bCs/>
          <w:szCs w:val="22"/>
          <w:lang w:eastAsia="en-US"/>
        </w:rPr>
        <w:t>ESTRATEGIAS DE EJECUCIÓN</w:t>
      </w:r>
    </w:p>
    <w:p w:rsidR="00546AD7" w:rsidRPr="00546AD7" w:rsidRDefault="00546AD7" w:rsidP="00546AD7">
      <w:pPr>
        <w:widowControl w:val="0"/>
        <w:tabs>
          <w:tab w:val="left" w:pos="567"/>
          <w:tab w:val="left" w:pos="1985"/>
        </w:tabs>
        <w:jc w:val="both"/>
        <w:rPr>
          <w:rFonts w:eastAsia="Times New Roman"/>
          <w:bCs/>
          <w:sz w:val="20"/>
          <w:lang w:eastAsia="en-US"/>
        </w:rPr>
      </w:pPr>
    </w:p>
    <w:p w:rsidR="00546AD7" w:rsidRPr="00546AD7" w:rsidRDefault="00546AD7" w:rsidP="00BA276E">
      <w:pPr>
        <w:widowControl w:val="0"/>
        <w:numPr>
          <w:ilvl w:val="0"/>
          <w:numId w:val="24"/>
        </w:numPr>
        <w:jc w:val="both"/>
        <w:rPr>
          <w:rFonts w:eastAsia="Times New Roman"/>
          <w:bCs/>
          <w:sz w:val="20"/>
          <w:lang w:eastAsia="en-US"/>
        </w:rPr>
      </w:pPr>
      <w:r w:rsidRPr="00546AD7">
        <w:rPr>
          <w:rFonts w:eastAsia="Times New Roman"/>
          <w:bCs/>
          <w:sz w:val="20"/>
          <w:lang w:eastAsia="ja-JP"/>
        </w:rPr>
        <w:t>La participación de todas las partes interesadas es fundamental para el funcionamiento óptimo del sistema del PCT.  Por lo tanto, el programa girará en torno a la comunicación y la cooperación entre las partes interesadas.  Se aplicarán las siguientes estrategias de ejecución:</w:t>
      </w:r>
    </w:p>
    <w:p w:rsidR="00546AD7" w:rsidRPr="00546AD7" w:rsidRDefault="00546AD7" w:rsidP="00546AD7">
      <w:pPr>
        <w:widowControl w:val="0"/>
        <w:tabs>
          <w:tab w:val="left" w:pos="1985"/>
          <w:tab w:val="left" w:pos="2552"/>
        </w:tabs>
        <w:spacing w:after="60"/>
        <w:jc w:val="both"/>
        <w:rPr>
          <w:rFonts w:eastAsia="Times New Roman"/>
          <w:sz w:val="20"/>
          <w:lang w:eastAsia="en-US"/>
        </w:rPr>
      </w:pPr>
    </w:p>
    <w:p w:rsidR="00546AD7" w:rsidRPr="00546AD7" w:rsidRDefault="00546AD7" w:rsidP="00BA276E">
      <w:pPr>
        <w:widowControl w:val="0"/>
        <w:numPr>
          <w:ilvl w:val="0"/>
          <w:numId w:val="25"/>
        </w:numPr>
        <w:spacing w:after="120"/>
        <w:ind w:left="1134" w:hanging="567"/>
        <w:jc w:val="both"/>
        <w:rPr>
          <w:rFonts w:eastAsia="Times New Roman"/>
          <w:sz w:val="20"/>
          <w:lang w:eastAsia="en-US"/>
        </w:rPr>
      </w:pPr>
      <w:r w:rsidRPr="00546AD7">
        <w:rPr>
          <w:rFonts w:eastAsia="Times New Roman"/>
          <w:bCs/>
          <w:sz w:val="20"/>
          <w:lang w:eastAsia="ja-JP"/>
        </w:rPr>
        <w:t xml:space="preserve">respaldar los esfuerzos dedicados por las </w:t>
      </w:r>
      <w:r w:rsidR="003A4B0F" w:rsidRPr="00546AD7">
        <w:rPr>
          <w:rFonts w:eastAsia="Times New Roman"/>
          <w:bCs/>
          <w:sz w:val="20"/>
          <w:lang w:eastAsia="ja-JP"/>
        </w:rPr>
        <w:t xml:space="preserve">Administraciones </w:t>
      </w:r>
      <w:r w:rsidRPr="00546AD7">
        <w:rPr>
          <w:rFonts w:eastAsia="Times New Roman"/>
          <w:bCs/>
          <w:sz w:val="20"/>
          <w:lang w:eastAsia="ja-JP"/>
        </w:rPr>
        <w:t>internacionales al mejoramiento de la calidad y la puntualidad de sus procedimientos, y ello incluye elaborar parámetros de calidad y estudiar la posibilidad de realizar en colaboración el examen de las solicitudes PCT y la búsqueda correspondiente</w:t>
      </w:r>
      <w:r w:rsidRPr="00546AD7">
        <w:rPr>
          <w:rFonts w:eastAsia="Times New Roman"/>
          <w:sz w:val="20"/>
          <w:lang w:eastAsia="en-US"/>
        </w:rPr>
        <w:t>;</w:t>
      </w:r>
    </w:p>
    <w:p w:rsidR="00546AD7" w:rsidRPr="00546AD7" w:rsidRDefault="00546AD7" w:rsidP="00BA276E">
      <w:pPr>
        <w:widowControl w:val="0"/>
        <w:numPr>
          <w:ilvl w:val="0"/>
          <w:numId w:val="25"/>
        </w:numPr>
        <w:spacing w:after="120"/>
        <w:ind w:left="1134" w:hanging="567"/>
        <w:jc w:val="both"/>
        <w:rPr>
          <w:rFonts w:eastAsia="Times New Roman"/>
          <w:sz w:val="20"/>
          <w:lang w:eastAsia="en-US"/>
        </w:rPr>
      </w:pPr>
      <w:r w:rsidRPr="00546AD7">
        <w:rPr>
          <w:rFonts w:eastAsia="Times New Roman"/>
          <w:bCs/>
          <w:sz w:val="20"/>
          <w:lang w:eastAsia="ja-JP"/>
        </w:rPr>
        <w:t xml:space="preserve">mejorar y ampliar la plataforma de Internet “ePCT” a fin de que los solicitantes, las oficinas y las </w:t>
      </w:r>
      <w:r w:rsidR="003A4B0F" w:rsidRPr="00546AD7">
        <w:rPr>
          <w:rFonts w:eastAsia="Times New Roman"/>
          <w:bCs/>
          <w:sz w:val="20"/>
          <w:lang w:eastAsia="ja-JP"/>
        </w:rPr>
        <w:t xml:space="preserve">Administraciones </w:t>
      </w:r>
      <w:r w:rsidRPr="00546AD7">
        <w:rPr>
          <w:rFonts w:eastAsia="Times New Roman"/>
          <w:bCs/>
          <w:sz w:val="20"/>
          <w:lang w:eastAsia="ja-JP"/>
        </w:rPr>
        <w:t>puedan interactuar con el sistema del PCT</w:t>
      </w:r>
      <w:r w:rsidRPr="00546AD7">
        <w:rPr>
          <w:rFonts w:eastAsia="Times New Roman"/>
          <w:sz w:val="20"/>
          <w:lang w:eastAsia="en-US"/>
        </w:rPr>
        <w:t>;</w:t>
      </w:r>
    </w:p>
    <w:p w:rsidR="00546AD7" w:rsidRPr="00546AD7" w:rsidRDefault="00546AD7" w:rsidP="00BA276E">
      <w:pPr>
        <w:widowControl w:val="0"/>
        <w:numPr>
          <w:ilvl w:val="0"/>
          <w:numId w:val="25"/>
        </w:numPr>
        <w:spacing w:after="120"/>
        <w:ind w:left="1134" w:hanging="567"/>
        <w:jc w:val="both"/>
        <w:rPr>
          <w:rFonts w:eastAsia="Times New Roman"/>
          <w:sz w:val="20"/>
          <w:lang w:eastAsia="en-US"/>
        </w:rPr>
      </w:pPr>
      <w:r w:rsidRPr="00546AD7">
        <w:rPr>
          <w:rFonts w:eastAsia="Times New Roman"/>
          <w:bCs/>
          <w:sz w:val="20"/>
          <w:lang w:eastAsia="ja-JP"/>
        </w:rPr>
        <w:t>seguir estudiando nuevas maneras de mejorar el sistema del PCT, aplicando al mismo tiempo las medidas específicas que hayan sido aprobadas por los Estados miembros</w:t>
      </w:r>
      <w:r w:rsidRPr="00546AD7">
        <w:rPr>
          <w:rFonts w:eastAsia="Times New Roman"/>
          <w:sz w:val="20"/>
          <w:lang w:eastAsia="en-US"/>
        </w:rPr>
        <w:t>;</w:t>
      </w:r>
    </w:p>
    <w:p w:rsidR="00546AD7" w:rsidRPr="00546AD7" w:rsidRDefault="00546AD7" w:rsidP="00BA276E">
      <w:pPr>
        <w:widowControl w:val="0"/>
        <w:numPr>
          <w:ilvl w:val="0"/>
          <w:numId w:val="25"/>
        </w:numPr>
        <w:spacing w:after="120"/>
        <w:ind w:left="1134" w:hanging="567"/>
        <w:jc w:val="both"/>
        <w:rPr>
          <w:rFonts w:eastAsia="Times New Roman"/>
          <w:sz w:val="20"/>
          <w:lang w:eastAsia="en-US"/>
        </w:rPr>
      </w:pPr>
      <w:r w:rsidRPr="00546AD7">
        <w:rPr>
          <w:rFonts w:eastAsia="Times New Roman"/>
          <w:bCs/>
          <w:sz w:val="20"/>
          <w:lang w:eastAsia="ja-JP"/>
        </w:rPr>
        <w:t>seguir coordinándose con los programas 9, 10, 12, 13 y 14 en lo que atañe a la asistencia técnica y el fortalecimiento de las capacidades en el ámbito del PCT para los países en desarrollo y los PMA</w:t>
      </w:r>
      <w:r w:rsidRPr="00546AD7">
        <w:rPr>
          <w:rFonts w:eastAsia="Times New Roman"/>
          <w:sz w:val="20"/>
          <w:lang w:eastAsia="en-US"/>
        </w:rPr>
        <w:t>;</w:t>
      </w:r>
    </w:p>
    <w:p w:rsidR="00546AD7" w:rsidRPr="00546AD7" w:rsidRDefault="00546AD7" w:rsidP="00BA276E">
      <w:pPr>
        <w:widowControl w:val="0"/>
        <w:numPr>
          <w:ilvl w:val="0"/>
          <w:numId w:val="25"/>
        </w:numPr>
        <w:spacing w:after="120"/>
        <w:ind w:left="1134" w:hanging="567"/>
        <w:jc w:val="both"/>
        <w:rPr>
          <w:rFonts w:eastAsia="Times New Roman"/>
          <w:sz w:val="20"/>
          <w:lang w:eastAsia="en-US"/>
        </w:rPr>
      </w:pPr>
      <w:r w:rsidRPr="00546AD7">
        <w:rPr>
          <w:rFonts w:eastAsia="Times New Roman"/>
          <w:bCs/>
          <w:sz w:val="20"/>
          <w:lang w:eastAsia="ja-JP"/>
        </w:rPr>
        <w:t>dar mayor publicidad al PCT entre los clientes actuales y potenciales que no lo utilizan lo suficiente</w:t>
      </w:r>
      <w:r w:rsidRPr="00546AD7">
        <w:rPr>
          <w:rFonts w:eastAsia="Times New Roman"/>
          <w:sz w:val="20"/>
          <w:lang w:eastAsia="en-US"/>
        </w:rPr>
        <w:t>;</w:t>
      </w:r>
    </w:p>
    <w:p w:rsidR="00546AD7" w:rsidRPr="00546AD7" w:rsidRDefault="00546AD7" w:rsidP="00BA276E">
      <w:pPr>
        <w:widowControl w:val="0"/>
        <w:numPr>
          <w:ilvl w:val="0"/>
          <w:numId w:val="25"/>
        </w:numPr>
        <w:spacing w:after="120"/>
        <w:ind w:left="1134" w:hanging="567"/>
        <w:jc w:val="both"/>
        <w:rPr>
          <w:rFonts w:eastAsia="Times New Roman"/>
          <w:sz w:val="20"/>
          <w:lang w:eastAsia="en-US"/>
        </w:rPr>
      </w:pPr>
      <w:r w:rsidRPr="00546AD7">
        <w:rPr>
          <w:rFonts w:eastAsia="Times New Roman"/>
          <w:bCs/>
          <w:sz w:val="20"/>
          <w:lang w:eastAsia="ja-JP"/>
        </w:rPr>
        <w:t>mejorar las comunicaciones con los clientes y las partes interesadas del PCT mediante encuestas y otras actividades de divulgación destinadas a reconocer las necesidades y mejorar la eficacia de los servicios prestados en el marco del PCT;</w:t>
      </w:r>
    </w:p>
    <w:p w:rsidR="00546AD7" w:rsidRPr="00546AD7" w:rsidRDefault="00546AD7" w:rsidP="00BA276E">
      <w:pPr>
        <w:widowControl w:val="0"/>
        <w:numPr>
          <w:ilvl w:val="0"/>
          <w:numId w:val="25"/>
        </w:numPr>
        <w:spacing w:after="120"/>
        <w:ind w:left="1134" w:hanging="567"/>
        <w:jc w:val="both"/>
        <w:rPr>
          <w:rFonts w:eastAsia="Times New Roman"/>
          <w:sz w:val="20"/>
          <w:lang w:eastAsia="en-US"/>
        </w:rPr>
      </w:pPr>
      <w:r w:rsidRPr="00546AD7">
        <w:rPr>
          <w:rFonts w:eastAsia="Times New Roman"/>
          <w:bCs/>
          <w:sz w:val="20"/>
          <w:lang w:eastAsia="ja-JP"/>
        </w:rPr>
        <w:t>impartir capacitación a un mayor número de usuarios del PCT, valiéndose de métodos tecnológicos como los seminarios en Internet y las videoconferencias</w:t>
      </w:r>
      <w:r w:rsidRPr="00546AD7">
        <w:rPr>
          <w:rFonts w:eastAsia="Times New Roman"/>
          <w:sz w:val="20"/>
          <w:lang w:eastAsia="en-US"/>
        </w:rPr>
        <w:t>;</w:t>
      </w:r>
    </w:p>
    <w:p w:rsidR="00546AD7" w:rsidRPr="00546AD7" w:rsidRDefault="00546AD7" w:rsidP="00BA276E">
      <w:pPr>
        <w:widowControl w:val="0"/>
        <w:numPr>
          <w:ilvl w:val="0"/>
          <w:numId w:val="25"/>
        </w:numPr>
        <w:spacing w:after="120"/>
        <w:ind w:left="1134" w:hanging="567"/>
        <w:jc w:val="both"/>
        <w:rPr>
          <w:rFonts w:eastAsia="Times New Roman"/>
          <w:sz w:val="20"/>
          <w:lang w:eastAsia="en-US"/>
        </w:rPr>
      </w:pPr>
      <w:r w:rsidRPr="00546AD7">
        <w:rPr>
          <w:rFonts w:eastAsia="Times New Roman"/>
          <w:bCs/>
          <w:sz w:val="20"/>
          <w:lang w:eastAsia="ja-JP"/>
        </w:rPr>
        <w:t>agilizar la preparación y difusión de la información sobre el PCT</w:t>
      </w:r>
      <w:r w:rsidRPr="00546AD7">
        <w:rPr>
          <w:rFonts w:eastAsia="Times New Roman"/>
          <w:sz w:val="20"/>
          <w:lang w:eastAsia="en-US"/>
        </w:rPr>
        <w:t>;</w:t>
      </w:r>
    </w:p>
    <w:p w:rsidR="00546AD7" w:rsidRPr="00546AD7" w:rsidRDefault="00546AD7" w:rsidP="00BA276E">
      <w:pPr>
        <w:widowControl w:val="0"/>
        <w:numPr>
          <w:ilvl w:val="0"/>
          <w:numId w:val="25"/>
        </w:numPr>
        <w:spacing w:after="120"/>
        <w:ind w:left="1134" w:hanging="567"/>
        <w:jc w:val="both"/>
        <w:rPr>
          <w:rFonts w:eastAsia="Times New Roman"/>
          <w:sz w:val="20"/>
          <w:lang w:eastAsia="en-US"/>
        </w:rPr>
      </w:pPr>
      <w:r w:rsidRPr="00546AD7">
        <w:rPr>
          <w:rFonts w:eastAsia="Times New Roman"/>
          <w:bCs/>
          <w:sz w:val="20"/>
          <w:lang w:eastAsia="ja-JP"/>
        </w:rPr>
        <w:t>seguir ajustando la composición del personal y la asignación global de recursos para adaptarse a las pautas geográficas cambiantes de la demanda del PCT</w:t>
      </w:r>
      <w:r w:rsidRPr="00546AD7">
        <w:rPr>
          <w:rFonts w:eastAsia="Times New Roman"/>
          <w:sz w:val="20"/>
          <w:lang w:eastAsia="en-US"/>
        </w:rPr>
        <w:t>;</w:t>
      </w:r>
    </w:p>
    <w:p w:rsidR="00546AD7" w:rsidRPr="00546AD7" w:rsidRDefault="00546AD7" w:rsidP="00BA276E">
      <w:pPr>
        <w:widowControl w:val="0"/>
        <w:numPr>
          <w:ilvl w:val="0"/>
          <w:numId w:val="25"/>
        </w:numPr>
        <w:spacing w:after="120"/>
        <w:ind w:left="1134" w:hanging="567"/>
        <w:jc w:val="both"/>
        <w:rPr>
          <w:rFonts w:eastAsia="Times New Roman"/>
          <w:sz w:val="20"/>
          <w:lang w:eastAsia="en-US"/>
        </w:rPr>
      </w:pPr>
      <w:r w:rsidRPr="00546AD7">
        <w:rPr>
          <w:rFonts w:eastAsia="Times New Roman"/>
          <w:bCs/>
          <w:sz w:val="20"/>
          <w:lang w:eastAsia="ja-JP"/>
        </w:rPr>
        <w:lastRenderedPageBreak/>
        <w:t>seguir estudiando y aplicando las medidas de control de costos y mejorando la eficiencia en el funcionamiento del PCT</w:t>
      </w:r>
      <w:r w:rsidRPr="00546AD7">
        <w:rPr>
          <w:rFonts w:eastAsia="Times New Roman"/>
          <w:sz w:val="20"/>
          <w:lang w:eastAsia="en-US"/>
        </w:rPr>
        <w:t>.</w:t>
      </w:r>
    </w:p>
    <w:p w:rsidR="0063482E" w:rsidRDefault="0063482E" w:rsidP="0063482E">
      <w:pPr>
        <w:widowControl w:val="0"/>
        <w:jc w:val="both"/>
        <w:rPr>
          <w:bCs/>
          <w:szCs w:val="22"/>
        </w:rPr>
      </w:pPr>
    </w:p>
    <w:p w:rsidR="00546AD7" w:rsidRDefault="00546AD7" w:rsidP="0063482E">
      <w:pPr>
        <w:widowControl w:val="0"/>
        <w:jc w:val="both"/>
        <w:rPr>
          <w:bCs/>
          <w:szCs w:val="22"/>
        </w:rPr>
      </w:pPr>
    </w:p>
    <w:p w:rsidR="0063482E" w:rsidRPr="00C75C7E" w:rsidRDefault="0063482E" w:rsidP="0063482E">
      <w:pPr>
        <w:widowControl w:val="0"/>
        <w:tabs>
          <w:tab w:val="left" w:pos="-6237"/>
        </w:tabs>
        <w:jc w:val="both"/>
        <w:rPr>
          <w:bCs/>
          <w:szCs w:val="22"/>
        </w:rPr>
      </w:pPr>
      <w:r w:rsidRPr="00C75C7E">
        <w:rPr>
          <w:bCs/>
          <w:szCs w:val="22"/>
        </w:rPr>
        <w:t>PRINCIPALES RIESGOS Y ESTRATEGIAS DE MITIGACIÓN</w:t>
      </w:r>
    </w:p>
    <w:p w:rsidR="0063482E" w:rsidRPr="00C75C7E" w:rsidRDefault="0063482E" w:rsidP="0063482E">
      <w:pPr>
        <w:widowControl w:val="0"/>
        <w:tabs>
          <w:tab w:val="left" w:pos="567"/>
          <w:tab w:val="left" w:pos="1985"/>
        </w:tabs>
        <w:jc w:val="both"/>
        <w:rPr>
          <w:bCs/>
          <w:sz w:val="20"/>
        </w:rPr>
      </w:pPr>
    </w:p>
    <w:tbl>
      <w:tblPr>
        <w:tblW w:w="0" w:type="auto"/>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535"/>
        <w:gridCol w:w="4858"/>
      </w:tblGrid>
      <w:tr w:rsidR="0063482E" w:rsidRPr="00C75C7E" w:rsidTr="00962ADA">
        <w:trPr>
          <w:trHeight w:val="514"/>
        </w:trPr>
        <w:tc>
          <w:tcPr>
            <w:tcW w:w="4535" w:type="dxa"/>
            <w:tcBorders>
              <w:top w:val="single" w:sz="4" w:space="0" w:color="auto"/>
              <w:bottom w:val="single" w:sz="4" w:space="0" w:color="auto"/>
            </w:tcBorders>
            <w:shd w:val="clear" w:color="auto" w:fill="CCFFFF"/>
            <w:tcMar>
              <w:top w:w="113" w:type="dxa"/>
            </w:tcMar>
            <w:vAlign w:val="center"/>
          </w:tcPr>
          <w:p w:rsidR="0063482E" w:rsidRPr="00C75C7E" w:rsidRDefault="0063482E" w:rsidP="00962ADA">
            <w:pPr>
              <w:widowControl w:val="0"/>
              <w:autoSpaceDE w:val="0"/>
              <w:autoSpaceDN w:val="0"/>
              <w:adjustRightInd w:val="0"/>
              <w:ind w:right="-59"/>
              <w:jc w:val="center"/>
              <w:rPr>
                <w:b/>
                <w:sz w:val="18"/>
                <w:szCs w:val="18"/>
              </w:rPr>
            </w:pPr>
            <w:r w:rsidRPr="00C75C7E">
              <w:rPr>
                <w:b/>
                <w:sz w:val="18"/>
                <w:szCs w:val="18"/>
              </w:rPr>
              <w:t>Riesgos en el logro de los resultados del programa</w:t>
            </w:r>
          </w:p>
        </w:tc>
        <w:tc>
          <w:tcPr>
            <w:tcW w:w="4858" w:type="dxa"/>
            <w:tcBorders>
              <w:top w:val="single" w:sz="4" w:space="0" w:color="auto"/>
              <w:bottom w:val="single" w:sz="4" w:space="0" w:color="auto"/>
            </w:tcBorders>
            <w:shd w:val="clear" w:color="auto" w:fill="CCFFFF"/>
            <w:tcMar>
              <w:top w:w="113" w:type="dxa"/>
            </w:tcMar>
            <w:vAlign w:val="center"/>
          </w:tcPr>
          <w:p w:rsidR="0063482E" w:rsidRPr="00C75C7E" w:rsidRDefault="0063482E" w:rsidP="00962ADA">
            <w:pPr>
              <w:widowControl w:val="0"/>
              <w:autoSpaceDE w:val="0"/>
              <w:autoSpaceDN w:val="0"/>
              <w:adjustRightInd w:val="0"/>
              <w:ind w:right="-59"/>
              <w:rPr>
                <w:b/>
                <w:sz w:val="18"/>
                <w:szCs w:val="18"/>
              </w:rPr>
            </w:pPr>
            <w:r w:rsidRPr="00C75C7E">
              <w:rPr>
                <w:b/>
                <w:sz w:val="18"/>
                <w:szCs w:val="18"/>
              </w:rPr>
              <w:t xml:space="preserve">Planes de mitigación ejecutados o en ejecución </w:t>
            </w:r>
          </w:p>
        </w:tc>
      </w:tr>
      <w:tr w:rsidR="0063482E" w:rsidRPr="00C75C7E" w:rsidTr="00962ADA">
        <w:trPr>
          <w:trHeight w:val="668"/>
        </w:trPr>
        <w:tc>
          <w:tcPr>
            <w:tcW w:w="4535" w:type="dxa"/>
            <w:tcBorders>
              <w:top w:val="single" w:sz="4" w:space="0" w:color="auto"/>
              <w:bottom w:val="nil"/>
            </w:tcBorders>
            <w:shd w:val="clear" w:color="auto" w:fill="auto"/>
            <w:tcMar>
              <w:top w:w="113" w:type="dxa"/>
            </w:tcMar>
          </w:tcPr>
          <w:p w:rsidR="0063482E" w:rsidRPr="00C75C7E" w:rsidRDefault="0063482E" w:rsidP="00EF3DB5">
            <w:pPr>
              <w:widowControl w:val="0"/>
              <w:rPr>
                <w:sz w:val="16"/>
                <w:szCs w:val="16"/>
              </w:rPr>
            </w:pPr>
            <w:r w:rsidRPr="00C75C7E">
              <w:rPr>
                <w:sz w:val="16"/>
                <w:szCs w:val="16"/>
              </w:rPr>
              <w:t>Disminución del número de solicitudes presentadas en virtud del PCT, en términos absolutos o relativos con respecto a las solicitudes presentadas mediante el Convenio de París.</w:t>
            </w:r>
          </w:p>
        </w:tc>
        <w:tc>
          <w:tcPr>
            <w:tcW w:w="4858" w:type="dxa"/>
            <w:tcBorders>
              <w:top w:val="single" w:sz="4" w:space="0" w:color="auto"/>
              <w:bottom w:val="nil"/>
            </w:tcBorders>
            <w:shd w:val="clear" w:color="auto" w:fill="auto"/>
            <w:tcMar>
              <w:top w:w="113" w:type="dxa"/>
            </w:tcMar>
          </w:tcPr>
          <w:p w:rsidR="0063482E" w:rsidRPr="00C75C7E" w:rsidRDefault="0063482E" w:rsidP="00EF3DB5">
            <w:pPr>
              <w:widowControl w:val="0"/>
              <w:rPr>
                <w:sz w:val="16"/>
                <w:szCs w:val="16"/>
              </w:rPr>
            </w:pPr>
            <w:r w:rsidRPr="00C75C7E">
              <w:rPr>
                <w:sz w:val="16"/>
                <w:szCs w:val="16"/>
              </w:rPr>
              <w:t>Se seguirá fomentando el PCT entre todos los usuarios como el instrumento más útil y eficiente para proteger la innovación en los mercados internacionales.</w:t>
            </w:r>
          </w:p>
        </w:tc>
      </w:tr>
      <w:tr w:rsidR="0063482E" w:rsidRPr="00C75C7E" w:rsidTr="00962ADA">
        <w:trPr>
          <w:trHeight w:val="1574"/>
        </w:trPr>
        <w:tc>
          <w:tcPr>
            <w:tcW w:w="4535" w:type="dxa"/>
            <w:tcBorders>
              <w:top w:val="nil"/>
              <w:bottom w:val="nil"/>
            </w:tcBorders>
            <w:shd w:val="clear" w:color="auto" w:fill="auto"/>
            <w:tcMar>
              <w:top w:w="113" w:type="dxa"/>
            </w:tcMar>
          </w:tcPr>
          <w:p w:rsidR="0063482E" w:rsidRPr="00C75C7E" w:rsidRDefault="0063482E" w:rsidP="00EF3DB5">
            <w:pPr>
              <w:widowControl w:val="0"/>
              <w:rPr>
                <w:sz w:val="16"/>
                <w:szCs w:val="16"/>
              </w:rPr>
            </w:pPr>
            <w:r w:rsidRPr="00C75C7E">
              <w:rPr>
                <w:sz w:val="16"/>
                <w:szCs w:val="16"/>
              </w:rPr>
              <w:t>Interrupción prolongada de las actividades del PCT.</w:t>
            </w:r>
          </w:p>
          <w:p w:rsidR="0063482E" w:rsidRDefault="0063482E" w:rsidP="00EF3DB5">
            <w:pPr>
              <w:widowControl w:val="0"/>
              <w:rPr>
                <w:sz w:val="16"/>
                <w:szCs w:val="16"/>
              </w:rPr>
            </w:pPr>
          </w:p>
          <w:p w:rsidR="00962ADA" w:rsidRPr="00C75C7E" w:rsidRDefault="00962ADA" w:rsidP="00EF3DB5">
            <w:pPr>
              <w:widowControl w:val="0"/>
              <w:rPr>
                <w:sz w:val="16"/>
                <w:szCs w:val="16"/>
              </w:rPr>
            </w:pPr>
          </w:p>
          <w:p w:rsidR="0063482E" w:rsidRPr="00C75C7E" w:rsidRDefault="0063482E" w:rsidP="00EF3DB5">
            <w:pPr>
              <w:widowControl w:val="0"/>
              <w:rPr>
                <w:sz w:val="16"/>
                <w:szCs w:val="16"/>
              </w:rPr>
            </w:pPr>
            <w:r w:rsidRPr="00C75C7E">
              <w:rPr>
                <w:sz w:val="16"/>
                <w:szCs w:val="16"/>
              </w:rPr>
              <w:t>Si la Oficina Internacional no puede tramitar documentos, incluso durante un plazo breve, el volumen de trabajo acumulado aumenta rápidamente.  Unos pocos días de interrupción de la actividad pueden ocasionar varias semanas de trabajo atrasado.</w:t>
            </w:r>
          </w:p>
        </w:tc>
        <w:tc>
          <w:tcPr>
            <w:tcW w:w="4858" w:type="dxa"/>
            <w:tcBorders>
              <w:top w:val="nil"/>
              <w:bottom w:val="nil"/>
            </w:tcBorders>
            <w:shd w:val="clear" w:color="auto" w:fill="auto"/>
            <w:tcMar>
              <w:top w:w="113" w:type="dxa"/>
            </w:tcMar>
          </w:tcPr>
          <w:p w:rsidR="0063482E" w:rsidRPr="00C75C7E" w:rsidRDefault="0063482E" w:rsidP="00EF3DB5">
            <w:pPr>
              <w:widowControl w:val="0"/>
              <w:rPr>
                <w:sz w:val="16"/>
                <w:szCs w:val="16"/>
              </w:rPr>
            </w:pPr>
            <w:r w:rsidRPr="00C75C7E">
              <w:rPr>
                <w:sz w:val="16"/>
                <w:szCs w:val="16"/>
              </w:rPr>
              <w:t>Aplicación y ejecución periódica de pruebas del plan de gestión de la continuidad de las operaciones.</w:t>
            </w:r>
          </w:p>
          <w:p w:rsidR="0063482E" w:rsidRPr="00C75C7E" w:rsidRDefault="0063482E" w:rsidP="00EF3DB5">
            <w:pPr>
              <w:widowControl w:val="0"/>
              <w:rPr>
                <w:sz w:val="16"/>
                <w:szCs w:val="16"/>
              </w:rPr>
            </w:pPr>
          </w:p>
          <w:p w:rsidR="0063482E" w:rsidRPr="00C75C7E" w:rsidRDefault="0063482E" w:rsidP="00EF3DB5">
            <w:pPr>
              <w:widowControl w:val="0"/>
              <w:autoSpaceDE w:val="0"/>
              <w:autoSpaceDN w:val="0"/>
              <w:adjustRightInd w:val="0"/>
              <w:ind w:right="-59"/>
              <w:rPr>
                <w:sz w:val="16"/>
                <w:szCs w:val="16"/>
              </w:rPr>
            </w:pPr>
            <w:r w:rsidRPr="00C75C7E">
              <w:rPr>
                <w:sz w:val="16"/>
                <w:szCs w:val="16"/>
              </w:rPr>
              <w:t>La finalidad del plan de gestión de la continuidad de las operaciones es asegurar que, en los períodos de interrupción, la labor de la Oficina Internacional pueda efectuarse en la medida suficiente como para evitar que la calidad de los servicios prestados a los usuarios y oficinas del PCT se degrade a niveles inaceptables.</w:t>
            </w:r>
          </w:p>
        </w:tc>
      </w:tr>
      <w:tr w:rsidR="0063482E" w:rsidRPr="00C75C7E" w:rsidTr="00962ADA">
        <w:trPr>
          <w:trHeight w:val="1031"/>
        </w:trPr>
        <w:tc>
          <w:tcPr>
            <w:tcW w:w="4535" w:type="dxa"/>
            <w:tcBorders>
              <w:top w:val="nil"/>
            </w:tcBorders>
            <w:shd w:val="clear" w:color="auto" w:fill="auto"/>
            <w:tcMar>
              <w:top w:w="113" w:type="dxa"/>
            </w:tcMar>
          </w:tcPr>
          <w:p w:rsidR="0063482E" w:rsidRPr="00C75C7E" w:rsidRDefault="0063482E" w:rsidP="00EF3DB5">
            <w:pPr>
              <w:widowControl w:val="0"/>
              <w:rPr>
                <w:sz w:val="16"/>
                <w:szCs w:val="16"/>
              </w:rPr>
            </w:pPr>
            <w:r w:rsidRPr="00C75C7E">
              <w:rPr>
                <w:sz w:val="16"/>
                <w:szCs w:val="16"/>
              </w:rPr>
              <w:t>Divulgación intencionada o involuntaria de información confidencial.</w:t>
            </w:r>
          </w:p>
        </w:tc>
        <w:tc>
          <w:tcPr>
            <w:tcW w:w="4858" w:type="dxa"/>
            <w:tcBorders>
              <w:top w:val="nil"/>
            </w:tcBorders>
            <w:shd w:val="clear" w:color="auto" w:fill="auto"/>
            <w:tcMar>
              <w:top w:w="113" w:type="dxa"/>
            </w:tcMar>
          </w:tcPr>
          <w:p w:rsidR="0063482E" w:rsidRPr="00C75C7E" w:rsidDel="00C266CB" w:rsidRDefault="0063482E" w:rsidP="00EF3DB5">
            <w:pPr>
              <w:widowControl w:val="0"/>
              <w:rPr>
                <w:sz w:val="16"/>
                <w:szCs w:val="16"/>
              </w:rPr>
            </w:pPr>
            <w:r w:rsidRPr="00C75C7E">
              <w:rPr>
                <w:sz w:val="16"/>
                <w:szCs w:val="16"/>
              </w:rPr>
              <w:t>Programa continuo de sensibilización destinado al personal competente:  seguir aplicando los más modernos mecanismos de control del entorno físico y electrónico;  seguir mejorando la vigilancia estratégica;  mantener un alto grado de supervisión de los proveedores de servicios de traducción subcontratados.</w:t>
            </w:r>
          </w:p>
        </w:tc>
      </w:tr>
    </w:tbl>
    <w:p w:rsidR="0063482E" w:rsidRPr="00C75C7E" w:rsidRDefault="0063482E" w:rsidP="0063482E">
      <w:pPr>
        <w:widowControl w:val="0"/>
        <w:tabs>
          <w:tab w:val="left" w:pos="567"/>
          <w:tab w:val="left" w:pos="1985"/>
        </w:tabs>
        <w:jc w:val="both"/>
        <w:rPr>
          <w:bCs/>
          <w:sz w:val="20"/>
        </w:rPr>
      </w:pPr>
    </w:p>
    <w:p w:rsidR="0063482E" w:rsidRPr="00C75C7E" w:rsidRDefault="0063482E" w:rsidP="0063482E">
      <w:pPr>
        <w:widowControl w:val="0"/>
        <w:tabs>
          <w:tab w:val="left" w:pos="567"/>
          <w:tab w:val="left" w:pos="1985"/>
        </w:tabs>
        <w:jc w:val="both"/>
        <w:rPr>
          <w:bCs/>
          <w:sz w:val="20"/>
        </w:rPr>
      </w:pPr>
    </w:p>
    <w:p w:rsidR="0063482E" w:rsidRPr="00C75C7E" w:rsidRDefault="0063482E" w:rsidP="0063482E">
      <w:pPr>
        <w:widowControl w:val="0"/>
        <w:tabs>
          <w:tab w:val="left" w:pos="567"/>
          <w:tab w:val="left" w:pos="1985"/>
        </w:tabs>
        <w:jc w:val="both"/>
        <w:rPr>
          <w:bCs/>
          <w:szCs w:val="22"/>
          <w:lang w:val="es-ES_tradnl"/>
        </w:rPr>
      </w:pPr>
      <w:r w:rsidRPr="00C75C7E">
        <w:rPr>
          <w:bCs/>
          <w:szCs w:val="22"/>
          <w:lang w:val="es-ES_tradnl"/>
        </w:rPr>
        <w:t>MARCO DE RESULTADOS</w:t>
      </w:r>
    </w:p>
    <w:p w:rsidR="0063482E" w:rsidRPr="00C75C7E" w:rsidRDefault="0063482E" w:rsidP="0063482E">
      <w:pPr>
        <w:widowControl w:val="0"/>
        <w:rPr>
          <w:sz w:val="20"/>
          <w:lang w:val="es-ES_tradnl"/>
        </w:rPr>
      </w:pPr>
    </w:p>
    <w:tbl>
      <w:tblPr>
        <w:tblW w:w="4914"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50"/>
        <w:gridCol w:w="2848"/>
        <w:gridCol w:w="2056"/>
        <w:gridCol w:w="2152"/>
      </w:tblGrid>
      <w:tr w:rsidR="0063482E" w:rsidRPr="00C75C7E" w:rsidTr="00EF3DB5">
        <w:trPr>
          <w:cantSplit/>
          <w:trHeight w:val="419"/>
          <w:tblHeader/>
        </w:trPr>
        <w:tc>
          <w:tcPr>
            <w:tcW w:w="1249" w:type="pct"/>
            <w:tcBorders>
              <w:top w:val="single" w:sz="4" w:space="0" w:color="auto"/>
              <w:bottom w:val="single" w:sz="4" w:space="0" w:color="auto"/>
            </w:tcBorders>
            <w:shd w:val="clear" w:color="auto" w:fill="CCFFFF"/>
            <w:vAlign w:val="center"/>
          </w:tcPr>
          <w:p w:rsidR="0063482E" w:rsidRPr="00C75C7E" w:rsidRDefault="0063482E" w:rsidP="00EF3DB5">
            <w:pPr>
              <w:widowControl w:val="0"/>
              <w:spacing w:after="120"/>
              <w:jc w:val="center"/>
              <w:rPr>
                <w:b/>
                <w:bCs/>
                <w:sz w:val="18"/>
                <w:szCs w:val="18"/>
                <w:lang w:val="es-ES_tradnl"/>
              </w:rPr>
            </w:pPr>
            <w:r w:rsidRPr="00C75C7E">
              <w:rPr>
                <w:b/>
                <w:bCs/>
                <w:sz w:val="18"/>
                <w:szCs w:val="18"/>
                <w:lang w:val="es-ES_tradnl"/>
              </w:rPr>
              <w:t>Resultados previstos</w:t>
            </w:r>
          </w:p>
        </w:tc>
        <w:tc>
          <w:tcPr>
            <w:tcW w:w="1514" w:type="pct"/>
            <w:tcBorders>
              <w:top w:val="single" w:sz="4" w:space="0" w:color="auto"/>
              <w:bottom w:val="single" w:sz="4" w:space="0" w:color="auto"/>
            </w:tcBorders>
            <w:shd w:val="clear" w:color="auto" w:fill="CCFFFF"/>
            <w:tcMar>
              <w:top w:w="110" w:type="dxa"/>
            </w:tcMar>
            <w:vAlign w:val="center"/>
          </w:tcPr>
          <w:p w:rsidR="0063482E" w:rsidRPr="00C75C7E" w:rsidRDefault="0063482E" w:rsidP="00EF3DB5">
            <w:pPr>
              <w:widowControl w:val="0"/>
              <w:spacing w:after="120"/>
              <w:jc w:val="center"/>
              <w:rPr>
                <w:b/>
                <w:sz w:val="18"/>
                <w:szCs w:val="18"/>
                <w:lang w:val="es-ES_tradnl"/>
              </w:rPr>
            </w:pPr>
            <w:r w:rsidRPr="00C75C7E">
              <w:rPr>
                <w:b/>
                <w:sz w:val="18"/>
                <w:szCs w:val="18"/>
                <w:lang w:val="es-ES_tradnl"/>
              </w:rPr>
              <w:t>Indicadores de rendimiento</w:t>
            </w:r>
          </w:p>
        </w:tc>
        <w:tc>
          <w:tcPr>
            <w:tcW w:w="1093" w:type="pct"/>
            <w:tcBorders>
              <w:top w:val="single" w:sz="4" w:space="0" w:color="auto"/>
              <w:bottom w:val="single" w:sz="4" w:space="0" w:color="auto"/>
            </w:tcBorders>
            <w:shd w:val="clear" w:color="auto" w:fill="CCFFFF"/>
            <w:tcMar>
              <w:top w:w="110" w:type="dxa"/>
            </w:tcMar>
            <w:vAlign w:val="center"/>
          </w:tcPr>
          <w:p w:rsidR="0063482E" w:rsidRPr="00C75C7E" w:rsidRDefault="0063482E" w:rsidP="00EF3DB5">
            <w:pPr>
              <w:widowControl w:val="0"/>
              <w:spacing w:after="120"/>
              <w:ind w:left="85"/>
              <w:jc w:val="center"/>
              <w:rPr>
                <w:sz w:val="18"/>
                <w:szCs w:val="18"/>
                <w:lang w:val="es-ES_tradnl"/>
              </w:rPr>
            </w:pPr>
            <w:r w:rsidRPr="00C75C7E">
              <w:rPr>
                <w:b/>
                <w:bCs/>
                <w:sz w:val="18"/>
                <w:szCs w:val="18"/>
                <w:lang w:val="es-ES_tradnl"/>
              </w:rPr>
              <w:t>Referencia</w:t>
            </w:r>
          </w:p>
        </w:tc>
        <w:tc>
          <w:tcPr>
            <w:tcW w:w="1144" w:type="pct"/>
            <w:tcBorders>
              <w:top w:val="single" w:sz="4" w:space="0" w:color="auto"/>
              <w:bottom w:val="single" w:sz="4" w:space="0" w:color="auto"/>
            </w:tcBorders>
            <w:shd w:val="clear" w:color="auto" w:fill="CCFFFF"/>
            <w:tcMar>
              <w:top w:w="110" w:type="dxa"/>
            </w:tcMar>
            <w:vAlign w:val="center"/>
          </w:tcPr>
          <w:p w:rsidR="0063482E" w:rsidRPr="00C75C7E" w:rsidRDefault="0063482E" w:rsidP="00EF3DB5">
            <w:pPr>
              <w:widowControl w:val="0"/>
              <w:spacing w:after="120"/>
              <w:ind w:right="1"/>
              <w:jc w:val="center"/>
              <w:rPr>
                <w:b/>
                <w:bCs/>
                <w:sz w:val="18"/>
                <w:szCs w:val="18"/>
                <w:lang w:val="es-ES_tradnl"/>
              </w:rPr>
            </w:pPr>
            <w:r w:rsidRPr="00C75C7E">
              <w:rPr>
                <w:b/>
                <w:bCs/>
                <w:sz w:val="18"/>
                <w:szCs w:val="18"/>
                <w:lang w:val="es-ES_tradnl"/>
              </w:rPr>
              <w:t>Objetivos</w:t>
            </w:r>
          </w:p>
        </w:tc>
      </w:tr>
      <w:tr w:rsidR="0063482E" w:rsidRPr="00C75C7E" w:rsidTr="00EF3DB5">
        <w:trPr>
          <w:cantSplit/>
        </w:trPr>
        <w:tc>
          <w:tcPr>
            <w:tcW w:w="1249" w:type="pct"/>
            <w:vMerge w:val="restart"/>
            <w:tcBorders>
              <w:top w:val="single" w:sz="4" w:space="0" w:color="auto"/>
            </w:tcBorders>
            <w:shd w:val="clear" w:color="auto" w:fill="auto"/>
            <w:tcMar>
              <w:top w:w="113" w:type="dxa"/>
            </w:tcMar>
          </w:tcPr>
          <w:p w:rsidR="0063482E" w:rsidRPr="00C75C7E" w:rsidRDefault="0063482E" w:rsidP="005C32FC">
            <w:pPr>
              <w:widowControl w:val="0"/>
              <w:rPr>
                <w:sz w:val="16"/>
                <w:szCs w:val="16"/>
                <w:lang w:val="es-ES_tradnl"/>
              </w:rPr>
            </w:pPr>
            <w:r w:rsidRPr="00C75C7E">
              <w:rPr>
                <w:sz w:val="16"/>
                <w:szCs w:val="16"/>
                <w:lang w:val="es-ES_tradnl"/>
              </w:rPr>
              <w:t xml:space="preserve">II.1. Fomento del uso de la vía del PCT para la presentación de solicitudes </w:t>
            </w:r>
            <w:r w:rsidR="005C32FC">
              <w:rPr>
                <w:sz w:val="16"/>
                <w:szCs w:val="16"/>
                <w:lang w:val="es-ES_tradnl"/>
              </w:rPr>
              <w:t xml:space="preserve">internacionales </w:t>
            </w:r>
            <w:r w:rsidRPr="00C75C7E">
              <w:rPr>
                <w:sz w:val="16"/>
                <w:szCs w:val="16"/>
                <w:lang w:val="es-ES_tradnl"/>
              </w:rPr>
              <w:t>de patente.</w:t>
            </w:r>
          </w:p>
        </w:tc>
        <w:tc>
          <w:tcPr>
            <w:tcW w:w="1514" w:type="pct"/>
            <w:tcBorders>
              <w:top w:val="single" w:sz="4" w:space="0" w:color="auto"/>
            </w:tcBorders>
            <w:shd w:val="clear" w:color="auto" w:fill="auto"/>
            <w:tcMar>
              <w:top w:w="113" w:type="dxa"/>
            </w:tcMar>
          </w:tcPr>
          <w:p w:rsidR="0063482E" w:rsidRPr="00C75C7E" w:rsidRDefault="0063482E" w:rsidP="00EF3DB5">
            <w:pPr>
              <w:widowControl w:val="0"/>
              <w:rPr>
                <w:sz w:val="16"/>
                <w:szCs w:val="16"/>
                <w:lang w:val="es-ES_tradnl"/>
              </w:rPr>
            </w:pPr>
            <w:r w:rsidRPr="00C75C7E">
              <w:rPr>
                <w:sz w:val="16"/>
                <w:szCs w:val="16"/>
                <w:lang w:val="es-ES_tradnl"/>
              </w:rPr>
              <w:t>Nivel de satisfacción de los usuarios del PCT respecto de los servicios de información y formación destinados a los usuarios.</w:t>
            </w:r>
          </w:p>
        </w:tc>
        <w:tc>
          <w:tcPr>
            <w:tcW w:w="1093" w:type="pct"/>
            <w:tcBorders>
              <w:top w:val="single" w:sz="4" w:space="0" w:color="auto"/>
            </w:tcBorders>
            <w:shd w:val="clear" w:color="auto" w:fill="FFFFFF"/>
            <w:tcMar>
              <w:top w:w="113" w:type="dxa"/>
            </w:tcMar>
          </w:tcPr>
          <w:p w:rsidR="0063482E" w:rsidRPr="00C75C7E" w:rsidRDefault="0063482E" w:rsidP="00EF3DB5">
            <w:pPr>
              <w:widowControl w:val="0"/>
              <w:rPr>
                <w:sz w:val="16"/>
                <w:szCs w:val="16"/>
                <w:lang w:val="es-ES_tradnl"/>
              </w:rPr>
            </w:pPr>
            <w:r w:rsidRPr="00C75C7E">
              <w:rPr>
                <w:sz w:val="16"/>
                <w:szCs w:val="16"/>
                <w:lang w:val="es-ES_tradnl"/>
              </w:rPr>
              <w:t>Nivel de satisfacción existente en 2009 entre los usuarios del PCT respecto de los servicios de información y formación destinados a los usuarios.</w:t>
            </w:r>
          </w:p>
        </w:tc>
        <w:tc>
          <w:tcPr>
            <w:tcW w:w="1144" w:type="pct"/>
            <w:tcBorders>
              <w:top w:val="single" w:sz="4" w:space="0" w:color="auto"/>
            </w:tcBorders>
            <w:shd w:val="clear" w:color="auto" w:fill="auto"/>
            <w:tcMar>
              <w:top w:w="110" w:type="dxa"/>
            </w:tcMar>
          </w:tcPr>
          <w:p w:rsidR="0063482E" w:rsidRPr="00C75C7E" w:rsidRDefault="0063482E" w:rsidP="00EF3DB5">
            <w:pPr>
              <w:widowControl w:val="0"/>
              <w:tabs>
                <w:tab w:val="left" w:pos="2051"/>
              </w:tabs>
              <w:ind w:right="381"/>
              <w:rPr>
                <w:bCs/>
                <w:sz w:val="16"/>
                <w:szCs w:val="16"/>
                <w:lang w:val="es-ES_tradnl"/>
              </w:rPr>
            </w:pPr>
            <w:r w:rsidRPr="00C75C7E">
              <w:rPr>
                <w:bCs/>
                <w:sz w:val="16"/>
                <w:szCs w:val="16"/>
                <w:lang w:val="es-ES_tradnl"/>
              </w:rPr>
              <w:t xml:space="preserve">Mantenimiento o aumento del nivel de satisfacción existente en 2009 entre los usuarios del PCT. </w:t>
            </w:r>
          </w:p>
        </w:tc>
      </w:tr>
      <w:tr w:rsidR="0063482E" w:rsidRPr="00C75C7E" w:rsidTr="00EF3DB5">
        <w:trPr>
          <w:cantSplit/>
          <w:trHeight w:val="1279"/>
        </w:trPr>
        <w:tc>
          <w:tcPr>
            <w:tcW w:w="1249" w:type="pct"/>
            <w:vMerge/>
            <w:shd w:val="clear" w:color="auto" w:fill="auto"/>
            <w:tcMar>
              <w:top w:w="113" w:type="dxa"/>
            </w:tcMar>
          </w:tcPr>
          <w:p w:rsidR="0063482E" w:rsidRPr="00C75C7E" w:rsidRDefault="0063482E" w:rsidP="00EF3DB5">
            <w:pPr>
              <w:widowControl w:val="0"/>
              <w:rPr>
                <w:sz w:val="16"/>
                <w:szCs w:val="16"/>
                <w:lang w:val="es-ES_tradnl"/>
              </w:rPr>
            </w:pPr>
          </w:p>
        </w:tc>
        <w:tc>
          <w:tcPr>
            <w:tcW w:w="1514" w:type="pct"/>
            <w:shd w:val="clear" w:color="auto" w:fill="auto"/>
            <w:tcMar>
              <w:top w:w="113" w:type="dxa"/>
            </w:tcMar>
          </w:tcPr>
          <w:p w:rsidR="0063482E" w:rsidRPr="00C75C7E" w:rsidRDefault="0063482E" w:rsidP="00EF3DB5">
            <w:pPr>
              <w:widowControl w:val="0"/>
              <w:rPr>
                <w:sz w:val="16"/>
                <w:szCs w:val="16"/>
                <w:lang w:val="es-ES_tradnl"/>
              </w:rPr>
            </w:pPr>
            <w:r w:rsidRPr="00C75C7E">
              <w:rPr>
                <w:sz w:val="16"/>
                <w:szCs w:val="16"/>
                <w:lang w:val="es-ES_tradnl"/>
              </w:rPr>
              <w:t>Satisfacción de las oficinas y de las Administraciones internacionales respecto de las actividades de cooperación del PCT.</w:t>
            </w:r>
          </w:p>
        </w:tc>
        <w:tc>
          <w:tcPr>
            <w:tcW w:w="1093" w:type="pct"/>
            <w:shd w:val="clear" w:color="auto" w:fill="FFFFFF"/>
            <w:tcMar>
              <w:top w:w="113" w:type="dxa"/>
            </w:tcMar>
          </w:tcPr>
          <w:p w:rsidR="0063482E" w:rsidRPr="00C75C7E" w:rsidRDefault="0063482E" w:rsidP="00EF3DB5">
            <w:pPr>
              <w:widowControl w:val="0"/>
              <w:rPr>
                <w:sz w:val="16"/>
                <w:szCs w:val="16"/>
                <w:lang w:val="es-ES_tradnl" w:bidi="th-TH"/>
              </w:rPr>
            </w:pPr>
            <w:r w:rsidRPr="00C75C7E">
              <w:rPr>
                <w:sz w:val="16"/>
                <w:szCs w:val="16"/>
                <w:lang w:val="es-ES_tradnl" w:bidi="th-TH"/>
              </w:rPr>
              <w:t>59 encuestados se mostraron satisfechos con las actividades en 2011 (el 95% de los 62  participantes en las actividades/ el 86% de los 69 encuestados).</w:t>
            </w:r>
          </w:p>
          <w:p w:rsidR="0063482E" w:rsidRPr="00C75C7E" w:rsidRDefault="0063482E" w:rsidP="00EF3DB5">
            <w:pPr>
              <w:widowControl w:val="0"/>
              <w:rPr>
                <w:sz w:val="16"/>
                <w:szCs w:val="16"/>
                <w:lang w:val="es-ES_tradnl" w:bidi="th-TH"/>
              </w:rPr>
            </w:pPr>
          </w:p>
        </w:tc>
        <w:tc>
          <w:tcPr>
            <w:tcW w:w="1144" w:type="pct"/>
            <w:shd w:val="clear" w:color="auto" w:fill="auto"/>
            <w:tcMar>
              <w:top w:w="110" w:type="dxa"/>
            </w:tcMar>
          </w:tcPr>
          <w:p w:rsidR="0063482E" w:rsidRPr="00C75C7E" w:rsidRDefault="0063482E" w:rsidP="00EF3DB5">
            <w:pPr>
              <w:widowControl w:val="0"/>
              <w:ind w:right="161"/>
              <w:rPr>
                <w:bCs/>
                <w:sz w:val="16"/>
                <w:szCs w:val="16"/>
                <w:lang w:val="es-ES_tradnl"/>
              </w:rPr>
            </w:pPr>
            <w:r w:rsidRPr="00C75C7E">
              <w:rPr>
                <w:bCs/>
                <w:sz w:val="16"/>
                <w:szCs w:val="16"/>
                <w:lang w:val="es-ES_tradnl"/>
              </w:rPr>
              <w:t>Mantenimiento del nivel de satisfacción existente en 2011 entre las Oficinas y las Administraciones internacionales.</w:t>
            </w:r>
          </w:p>
        </w:tc>
      </w:tr>
      <w:tr w:rsidR="0063482E" w:rsidRPr="00C75C7E" w:rsidTr="00EF3DB5">
        <w:trPr>
          <w:cantSplit/>
          <w:trHeight w:val="346"/>
        </w:trPr>
        <w:tc>
          <w:tcPr>
            <w:tcW w:w="1249" w:type="pct"/>
            <w:vMerge w:val="restart"/>
            <w:shd w:val="clear" w:color="auto" w:fill="auto"/>
            <w:tcMar>
              <w:top w:w="113" w:type="dxa"/>
            </w:tcMar>
          </w:tcPr>
          <w:p w:rsidR="0063482E" w:rsidRPr="00C75C7E" w:rsidRDefault="0063482E" w:rsidP="00EF3DB5">
            <w:pPr>
              <w:widowControl w:val="0"/>
              <w:autoSpaceDE w:val="0"/>
              <w:autoSpaceDN w:val="0"/>
              <w:adjustRightInd w:val="0"/>
              <w:rPr>
                <w:sz w:val="15"/>
                <w:szCs w:val="15"/>
                <w:lang w:val="es-ES_tradnl" w:bidi="th-TH"/>
              </w:rPr>
            </w:pPr>
            <w:r w:rsidRPr="00C75C7E">
              <w:rPr>
                <w:sz w:val="16"/>
                <w:szCs w:val="16"/>
                <w:lang w:val="es-ES_tradnl"/>
              </w:rPr>
              <w:t xml:space="preserve">II.2 </w:t>
            </w:r>
            <w:r w:rsidRPr="00C75C7E">
              <w:rPr>
                <w:sz w:val="15"/>
                <w:szCs w:val="15"/>
                <w:lang w:val="es-ES_tradnl" w:bidi="th-TH"/>
              </w:rPr>
              <w:t xml:space="preserve"> </w:t>
            </w:r>
            <w:r w:rsidRPr="00C75C7E">
              <w:rPr>
                <w:sz w:val="16"/>
                <w:szCs w:val="16"/>
                <w:lang w:val="es-ES_tradnl" w:bidi="th-TH"/>
              </w:rPr>
              <w:t>Mejora del sistema del PCT.</w:t>
            </w:r>
          </w:p>
          <w:p w:rsidR="0063482E" w:rsidRPr="00C75C7E" w:rsidRDefault="0063482E" w:rsidP="00EF3DB5">
            <w:pPr>
              <w:widowControl w:val="0"/>
              <w:rPr>
                <w:sz w:val="16"/>
                <w:szCs w:val="16"/>
                <w:lang w:val="es-ES_tradnl"/>
              </w:rPr>
            </w:pPr>
          </w:p>
        </w:tc>
        <w:tc>
          <w:tcPr>
            <w:tcW w:w="1514" w:type="pct"/>
            <w:shd w:val="clear" w:color="auto" w:fill="auto"/>
            <w:tcMar>
              <w:top w:w="113" w:type="dxa"/>
            </w:tcMar>
          </w:tcPr>
          <w:p w:rsidR="0063482E" w:rsidRPr="00C75C7E" w:rsidRDefault="0063482E" w:rsidP="00EF3DB5">
            <w:pPr>
              <w:widowControl w:val="0"/>
              <w:rPr>
                <w:sz w:val="16"/>
                <w:szCs w:val="16"/>
                <w:lang w:val="es-ES_tradnl"/>
              </w:rPr>
            </w:pPr>
            <w:r w:rsidRPr="00C75C7E">
              <w:rPr>
                <w:sz w:val="16"/>
                <w:szCs w:val="16"/>
                <w:lang w:val="es-ES_tradnl"/>
              </w:rPr>
              <w:t>Continuo desarrollo del sistema del PCT, sobre todo gracias a la aplicación de las recomendaciones de la hoja de ruta del PCT suscritas por los Estados miembros del PCT.</w:t>
            </w:r>
          </w:p>
        </w:tc>
        <w:tc>
          <w:tcPr>
            <w:tcW w:w="1093" w:type="pct"/>
            <w:shd w:val="clear" w:color="auto" w:fill="FFFFFF"/>
            <w:tcMar>
              <w:top w:w="113" w:type="dxa"/>
            </w:tcMar>
          </w:tcPr>
          <w:p w:rsidR="0063482E" w:rsidRPr="00C75C7E" w:rsidRDefault="0063482E" w:rsidP="00EF3DB5">
            <w:pPr>
              <w:widowControl w:val="0"/>
              <w:rPr>
                <w:sz w:val="16"/>
                <w:szCs w:val="16"/>
                <w:lang w:val="es-ES_tradnl" w:bidi="th-TH"/>
              </w:rPr>
            </w:pPr>
            <w:r w:rsidRPr="00C75C7E">
              <w:rPr>
                <w:sz w:val="16"/>
                <w:szCs w:val="16"/>
                <w:lang w:val="es-ES_tradnl" w:bidi="th-TH"/>
              </w:rPr>
              <w:t>Decisiones de los órganos pertinentes del PCT hasta el final de 2013.</w:t>
            </w:r>
          </w:p>
        </w:tc>
        <w:tc>
          <w:tcPr>
            <w:tcW w:w="1144" w:type="pct"/>
            <w:shd w:val="clear" w:color="auto" w:fill="auto"/>
            <w:tcMar>
              <w:top w:w="110" w:type="dxa"/>
            </w:tcMar>
          </w:tcPr>
          <w:p w:rsidR="0063482E" w:rsidRPr="00C75C7E" w:rsidRDefault="0063482E" w:rsidP="00EF3DB5">
            <w:pPr>
              <w:widowControl w:val="0"/>
              <w:ind w:right="161"/>
              <w:rPr>
                <w:bCs/>
                <w:sz w:val="16"/>
                <w:szCs w:val="16"/>
                <w:lang w:val="es-ES_tradnl"/>
              </w:rPr>
            </w:pPr>
            <w:r w:rsidRPr="00C75C7E">
              <w:rPr>
                <w:bCs/>
                <w:sz w:val="16"/>
                <w:szCs w:val="16"/>
                <w:lang w:val="es-ES_tradnl"/>
              </w:rPr>
              <w:t>Decisiones de los órganos pertinentes del PCT hasta el final de 2015.</w:t>
            </w:r>
          </w:p>
        </w:tc>
      </w:tr>
      <w:tr w:rsidR="0063482E" w:rsidRPr="00C75C7E" w:rsidTr="00EF3DB5">
        <w:trPr>
          <w:cantSplit/>
          <w:trHeight w:val="1412"/>
        </w:trPr>
        <w:tc>
          <w:tcPr>
            <w:tcW w:w="1249" w:type="pct"/>
            <w:vMerge/>
            <w:shd w:val="clear" w:color="auto" w:fill="auto"/>
            <w:tcMar>
              <w:top w:w="113" w:type="dxa"/>
            </w:tcMar>
          </w:tcPr>
          <w:p w:rsidR="0063482E" w:rsidRPr="00C75C7E" w:rsidRDefault="0063482E" w:rsidP="00EF3DB5">
            <w:pPr>
              <w:widowControl w:val="0"/>
              <w:rPr>
                <w:sz w:val="16"/>
                <w:szCs w:val="16"/>
                <w:lang w:val="es-ES_tradnl"/>
              </w:rPr>
            </w:pPr>
          </w:p>
        </w:tc>
        <w:tc>
          <w:tcPr>
            <w:tcW w:w="1514" w:type="pct"/>
            <w:shd w:val="clear" w:color="auto" w:fill="auto"/>
            <w:tcMar>
              <w:top w:w="113" w:type="dxa"/>
            </w:tcMar>
          </w:tcPr>
          <w:p w:rsidR="0063482E" w:rsidRPr="00C75C7E" w:rsidRDefault="0063482E" w:rsidP="00EF3DB5">
            <w:pPr>
              <w:widowControl w:val="0"/>
              <w:rPr>
                <w:sz w:val="16"/>
                <w:szCs w:val="16"/>
                <w:lang w:val="es-ES_tradnl"/>
              </w:rPr>
            </w:pPr>
            <w:r w:rsidRPr="00C75C7E">
              <w:rPr>
                <w:sz w:val="16"/>
                <w:szCs w:val="16"/>
                <w:lang w:val="es-ES_tradnl"/>
              </w:rPr>
              <w:t>Mejora de los servicios electrónicos dirigidos a solicitantes, terceros, oficinas y Administraciones.</w:t>
            </w:r>
          </w:p>
        </w:tc>
        <w:tc>
          <w:tcPr>
            <w:tcW w:w="1093" w:type="pct"/>
            <w:shd w:val="clear" w:color="auto" w:fill="FFFFFF"/>
            <w:tcMar>
              <w:top w:w="113" w:type="dxa"/>
            </w:tcMar>
          </w:tcPr>
          <w:p w:rsidR="0063482E" w:rsidRPr="00C75C7E" w:rsidRDefault="0063482E" w:rsidP="00EF3DB5">
            <w:pPr>
              <w:widowControl w:val="0"/>
              <w:rPr>
                <w:sz w:val="16"/>
                <w:szCs w:val="16"/>
                <w:lang w:val="es-ES_tradnl" w:bidi="th-TH"/>
              </w:rPr>
            </w:pPr>
            <w:r w:rsidRPr="00C75C7E">
              <w:rPr>
                <w:sz w:val="16"/>
                <w:szCs w:val="16"/>
                <w:lang w:val="es-ES_tradnl" w:bidi="th-TH"/>
              </w:rPr>
              <w:t>Número de transacciones efectuadas por medio de los servicios ePCT al final de 2013 para:</w:t>
            </w:r>
            <w:r w:rsidRPr="00C75C7E">
              <w:rPr>
                <w:sz w:val="16"/>
                <w:szCs w:val="16"/>
                <w:lang w:val="es-ES_tradnl" w:bidi="th-TH"/>
              </w:rPr>
              <w:br/>
              <w:t xml:space="preserve"> -- solicitantes;</w:t>
            </w:r>
            <w:r w:rsidRPr="00C75C7E">
              <w:rPr>
                <w:sz w:val="16"/>
                <w:szCs w:val="16"/>
                <w:lang w:val="es-ES_tradnl" w:bidi="th-TH"/>
              </w:rPr>
              <w:br/>
              <w:t xml:space="preserve"> -- terceros; </w:t>
            </w:r>
            <w:r w:rsidRPr="00C75C7E">
              <w:rPr>
                <w:sz w:val="16"/>
                <w:szCs w:val="16"/>
                <w:lang w:val="es-ES_tradnl" w:bidi="th-TH"/>
              </w:rPr>
              <w:br/>
              <w:t xml:space="preserve"> -- Oficinas;  y</w:t>
            </w:r>
            <w:r w:rsidRPr="00C75C7E">
              <w:rPr>
                <w:sz w:val="16"/>
                <w:szCs w:val="16"/>
                <w:lang w:val="es-ES_tradnl" w:bidi="th-TH"/>
              </w:rPr>
              <w:br/>
              <w:t xml:space="preserve"> -- Administraciones</w:t>
            </w:r>
          </w:p>
          <w:p w:rsidR="0063482E" w:rsidRPr="00C75C7E" w:rsidRDefault="0063482E" w:rsidP="00EF3DB5">
            <w:pPr>
              <w:widowControl w:val="0"/>
              <w:rPr>
                <w:sz w:val="16"/>
                <w:szCs w:val="16"/>
                <w:lang w:val="es-ES_tradnl" w:bidi="th-TH"/>
              </w:rPr>
            </w:pPr>
          </w:p>
        </w:tc>
        <w:tc>
          <w:tcPr>
            <w:tcW w:w="1144" w:type="pct"/>
            <w:shd w:val="clear" w:color="auto" w:fill="auto"/>
            <w:tcMar>
              <w:top w:w="110" w:type="dxa"/>
            </w:tcMar>
          </w:tcPr>
          <w:p w:rsidR="0063482E" w:rsidRPr="00C75C7E" w:rsidRDefault="0063482E" w:rsidP="00EF3DB5">
            <w:pPr>
              <w:widowControl w:val="0"/>
              <w:ind w:right="161"/>
              <w:rPr>
                <w:bCs/>
                <w:sz w:val="16"/>
                <w:szCs w:val="16"/>
                <w:lang w:val="es-ES_tradnl"/>
              </w:rPr>
            </w:pPr>
            <w:r w:rsidRPr="00C75C7E">
              <w:rPr>
                <w:bCs/>
                <w:sz w:val="16"/>
                <w:szCs w:val="16"/>
                <w:lang w:val="es-ES_tradnl"/>
              </w:rPr>
              <w:t>Aumento del número</w:t>
            </w:r>
            <w:r w:rsidRPr="00C75C7E">
              <w:rPr>
                <w:lang w:val="es-ES_tradnl"/>
              </w:rPr>
              <w:t xml:space="preserve"> </w:t>
            </w:r>
            <w:r w:rsidRPr="00C75C7E">
              <w:rPr>
                <w:bCs/>
                <w:sz w:val="16"/>
                <w:szCs w:val="16"/>
                <w:lang w:val="es-ES_tradnl"/>
              </w:rPr>
              <w:t>de transacciones efectuadas por medio de los servicios ePCT para :</w:t>
            </w:r>
            <w:r w:rsidRPr="00C75C7E">
              <w:rPr>
                <w:bCs/>
                <w:sz w:val="16"/>
                <w:szCs w:val="16"/>
                <w:lang w:val="es-ES_tradnl"/>
              </w:rPr>
              <w:br/>
              <w:t xml:space="preserve"> -- solicitantes;</w:t>
            </w:r>
          </w:p>
          <w:p w:rsidR="0063482E" w:rsidRPr="00C75C7E" w:rsidRDefault="0063482E" w:rsidP="00EF3DB5">
            <w:pPr>
              <w:widowControl w:val="0"/>
              <w:ind w:right="161"/>
              <w:rPr>
                <w:bCs/>
                <w:sz w:val="16"/>
                <w:szCs w:val="16"/>
                <w:lang w:val="es-ES_tradnl"/>
              </w:rPr>
            </w:pPr>
            <w:r w:rsidRPr="00C75C7E">
              <w:rPr>
                <w:bCs/>
                <w:sz w:val="16"/>
                <w:szCs w:val="16"/>
                <w:lang w:val="es-ES_tradnl"/>
              </w:rPr>
              <w:t xml:space="preserve"> -- terceros; </w:t>
            </w:r>
          </w:p>
          <w:p w:rsidR="0063482E" w:rsidRPr="00C75C7E" w:rsidRDefault="0063482E" w:rsidP="00EF3DB5">
            <w:pPr>
              <w:widowControl w:val="0"/>
              <w:ind w:right="161"/>
              <w:rPr>
                <w:bCs/>
                <w:sz w:val="16"/>
                <w:szCs w:val="16"/>
                <w:lang w:val="es-ES_tradnl"/>
              </w:rPr>
            </w:pPr>
            <w:r w:rsidRPr="00C75C7E">
              <w:rPr>
                <w:bCs/>
                <w:sz w:val="16"/>
                <w:szCs w:val="16"/>
                <w:lang w:val="es-ES_tradnl"/>
              </w:rPr>
              <w:t xml:space="preserve"> -- Oficinas;  y</w:t>
            </w:r>
          </w:p>
          <w:p w:rsidR="0063482E" w:rsidRPr="00C75C7E" w:rsidRDefault="0063482E" w:rsidP="00EF3DB5">
            <w:pPr>
              <w:widowControl w:val="0"/>
              <w:ind w:right="161"/>
              <w:rPr>
                <w:bCs/>
                <w:sz w:val="16"/>
                <w:szCs w:val="16"/>
                <w:lang w:val="es-ES_tradnl"/>
              </w:rPr>
            </w:pPr>
            <w:r w:rsidRPr="00C75C7E">
              <w:rPr>
                <w:bCs/>
                <w:sz w:val="16"/>
                <w:szCs w:val="16"/>
                <w:lang w:val="es-ES_tradnl"/>
              </w:rPr>
              <w:t xml:space="preserve"> -- Administraciones</w:t>
            </w:r>
          </w:p>
        </w:tc>
      </w:tr>
      <w:tr w:rsidR="0063482E" w:rsidRPr="00C75C7E" w:rsidTr="00EF3DB5">
        <w:trPr>
          <w:cantSplit/>
          <w:trHeight w:val="330"/>
        </w:trPr>
        <w:tc>
          <w:tcPr>
            <w:tcW w:w="1249" w:type="pct"/>
            <w:shd w:val="clear" w:color="auto" w:fill="auto"/>
            <w:tcMar>
              <w:top w:w="113" w:type="dxa"/>
            </w:tcMar>
          </w:tcPr>
          <w:p w:rsidR="0063482E" w:rsidRPr="00C75C7E" w:rsidRDefault="0063482E" w:rsidP="00EF3DB5">
            <w:pPr>
              <w:widowControl w:val="0"/>
              <w:rPr>
                <w:sz w:val="16"/>
                <w:szCs w:val="16"/>
                <w:lang w:val="es-ES_tradnl"/>
              </w:rPr>
            </w:pPr>
            <w:r w:rsidRPr="00C75C7E">
              <w:rPr>
                <w:sz w:val="16"/>
                <w:szCs w:val="16"/>
                <w:lang w:val="es-ES_tradnl"/>
              </w:rPr>
              <w:t>II.3. Mejora de la productividad y de la calidad de los servicios en las operaciones del PCT.</w:t>
            </w:r>
          </w:p>
        </w:tc>
        <w:tc>
          <w:tcPr>
            <w:tcW w:w="1514" w:type="pct"/>
            <w:shd w:val="clear" w:color="auto" w:fill="auto"/>
            <w:tcMar>
              <w:top w:w="113" w:type="dxa"/>
            </w:tcMar>
          </w:tcPr>
          <w:p w:rsidR="0063482E" w:rsidRPr="00C75C7E" w:rsidRDefault="0063482E" w:rsidP="00EF3DB5">
            <w:pPr>
              <w:widowControl w:val="0"/>
              <w:rPr>
                <w:sz w:val="16"/>
                <w:szCs w:val="16"/>
                <w:lang w:val="es-ES_tradnl"/>
              </w:rPr>
            </w:pPr>
            <w:r w:rsidRPr="00C75C7E">
              <w:rPr>
                <w:sz w:val="16"/>
                <w:szCs w:val="16"/>
                <w:lang w:val="es-ES_tradnl"/>
              </w:rPr>
              <w:t>Costo unitario de tramitación de las solicitudes.</w:t>
            </w:r>
          </w:p>
        </w:tc>
        <w:tc>
          <w:tcPr>
            <w:tcW w:w="1093" w:type="pct"/>
            <w:shd w:val="clear" w:color="auto" w:fill="FFFFFF"/>
            <w:tcMar>
              <w:top w:w="113" w:type="dxa"/>
            </w:tcMar>
          </w:tcPr>
          <w:p w:rsidR="0063482E" w:rsidRPr="00C75C7E" w:rsidRDefault="0063482E" w:rsidP="00EF3DB5">
            <w:pPr>
              <w:widowControl w:val="0"/>
              <w:rPr>
                <w:sz w:val="16"/>
                <w:szCs w:val="16"/>
                <w:lang w:val="es-ES_tradnl" w:bidi="th-TH"/>
              </w:rPr>
            </w:pPr>
            <w:r w:rsidRPr="00C75C7E">
              <w:rPr>
                <w:sz w:val="16"/>
                <w:szCs w:val="16"/>
                <w:lang w:val="es-ES_tradnl" w:bidi="th-TH"/>
              </w:rPr>
              <w:t>Costo unitario en 2013.</w:t>
            </w:r>
          </w:p>
          <w:p w:rsidR="0063482E" w:rsidRPr="00C75C7E" w:rsidRDefault="0063482E" w:rsidP="00EF3DB5">
            <w:pPr>
              <w:widowControl w:val="0"/>
              <w:rPr>
                <w:sz w:val="16"/>
                <w:szCs w:val="16"/>
                <w:lang w:val="es-ES_tradnl" w:bidi="th-TH"/>
              </w:rPr>
            </w:pPr>
          </w:p>
        </w:tc>
        <w:tc>
          <w:tcPr>
            <w:tcW w:w="1144" w:type="pct"/>
            <w:shd w:val="clear" w:color="auto" w:fill="auto"/>
            <w:tcMar>
              <w:top w:w="110" w:type="dxa"/>
            </w:tcMar>
          </w:tcPr>
          <w:p w:rsidR="0063482E" w:rsidRPr="00C75C7E" w:rsidRDefault="0063482E" w:rsidP="00EF3DB5">
            <w:pPr>
              <w:widowControl w:val="0"/>
              <w:ind w:right="161"/>
              <w:rPr>
                <w:bCs/>
                <w:sz w:val="16"/>
                <w:szCs w:val="16"/>
                <w:lang w:val="es-ES_tradnl"/>
              </w:rPr>
            </w:pPr>
            <w:r w:rsidRPr="00C75C7E">
              <w:rPr>
                <w:bCs/>
                <w:sz w:val="16"/>
                <w:szCs w:val="16"/>
                <w:lang w:val="es-ES_tradnl"/>
              </w:rPr>
              <w:t>Menor costo unitario.</w:t>
            </w:r>
          </w:p>
        </w:tc>
      </w:tr>
      <w:tr w:rsidR="0063482E" w:rsidRPr="00C75C7E" w:rsidTr="00EF3DB5">
        <w:trPr>
          <w:cantSplit/>
          <w:trHeight w:val="422"/>
        </w:trPr>
        <w:tc>
          <w:tcPr>
            <w:tcW w:w="1249" w:type="pct"/>
            <w:vMerge w:val="restart"/>
            <w:shd w:val="clear" w:color="auto" w:fill="auto"/>
            <w:tcMar>
              <w:top w:w="113" w:type="dxa"/>
            </w:tcMar>
          </w:tcPr>
          <w:p w:rsidR="0063482E" w:rsidRPr="00C75C7E" w:rsidRDefault="0063482E" w:rsidP="00EF3DB5">
            <w:pPr>
              <w:widowControl w:val="0"/>
              <w:rPr>
                <w:sz w:val="16"/>
                <w:szCs w:val="16"/>
                <w:lang w:val="es-ES_tradnl"/>
              </w:rPr>
            </w:pPr>
          </w:p>
        </w:tc>
        <w:tc>
          <w:tcPr>
            <w:tcW w:w="1514" w:type="pct"/>
            <w:shd w:val="clear" w:color="auto" w:fill="auto"/>
            <w:tcMar>
              <w:top w:w="113" w:type="dxa"/>
            </w:tcMar>
          </w:tcPr>
          <w:p w:rsidR="0063482E" w:rsidRPr="00C75C7E" w:rsidRDefault="0063482E" w:rsidP="00EF3DB5">
            <w:pPr>
              <w:widowControl w:val="0"/>
              <w:rPr>
                <w:sz w:val="16"/>
                <w:szCs w:val="16"/>
                <w:lang w:val="es-ES_tradnl"/>
              </w:rPr>
            </w:pPr>
            <w:r w:rsidRPr="00C75C7E">
              <w:rPr>
                <w:sz w:val="16"/>
                <w:szCs w:val="16"/>
                <w:lang w:val="es-ES_tradnl"/>
              </w:rPr>
              <w:t>Calidad global del examen de forma (incluido el tiempo empleado).</w:t>
            </w:r>
          </w:p>
        </w:tc>
        <w:tc>
          <w:tcPr>
            <w:tcW w:w="1093" w:type="pct"/>
            <w:shd w:val="clear" w:color="auto" w:fill="FFFFFF"/>
            <w:tcMar>
              <w:top w:w="113" w:type="dxa"/>
            </w:tcMar>
          </w:tcPr>
          <w:p w:rsidR="0063482E" w:rsidRPr="00C75C7E" w:rsidRDefault="0063482E" w:rsidP="00EF3DB5">
            <w:pPr>
              <w:widowControl w:val="0"/>
              <w:rPr>
                <w:sz w:val="16"/>
                <w:szCs w:val="16"/>
                <w:lang w:val="es-ES_tradnl" w:bidi="th-TH"/>
              </w:rPr>
            </w:pPr>
            <w:r w:rsidRPr="00C75C7E">
              <w:rPr>
                <w:sz w:val="16"/>
                <w:szCs w:val="16"/>
                <w:lang w:val="es-ES_tradnl" w:bidi="th-TH"/>
              </w:rPr>
              <w:t>Promedio de los tres últimos años.</w:t>
            </w:r>
          </w:p>
          <w:p w:rsidR="0063482E" w:rsidRPr="00C75C7E" w:rsidRDefault="0063482E" w:rsidP="00EF3DB5">
            <w:pPr>
              <w:widowControl w:val="0"/>
              <w:rPr>
                <w:sz w:val="16"/>
                <w:szCs w:val="16"/>
                <w:lang w:val="es-ES_tradnl" w:bidi="th-TH"/>
              </w:rPr>
            </w:pPr>
          </w:p>
        </w:tc>
        <w:tc>
          <w:tcPr>
            <w:tcW w:w="1144" w:type="pct"/>
            <w:shd w:val="clear" w:color="auto" w:fill="auto"/>
            <w:tcMar>
              <w:top w:w="110" w:type="dxa"/>
            </w:tcMar>
          </w:tcPr>
          <w:p w:rsidR="0063482E" w:rsidRPr="00C75C7E" w:rsidRDefault="0063482E" w:rsidP="00EF3DB5">
            <w:pPr>
              <w:widowControl w:val="0"/>
              <w:ind w:right="161"/>
              <w:rPr>
                <w:bCs/>
                <w:sz w:val="16"/>
                <w:szCs w:val="16"/>
                <w:lang w:val="es-ES_tradnl"/>
              </w:rPr>
            </w:pPr>
            <w:r w:rsidRPr="00C75C7E">
              <w:rPr>
                <w:bCs/>
                <w:sz w:val="16"/>
                <w:szCs w:val="16"/>
                <w:lang w:val="es-ES_tradnl"/>
              </w:rPr>
              <w:t>Mayor calidad.</w:t>
            </w:r>
          </w:p>
        </w:tc>
      </w:tr>
      <w:tr w:rsidR="0063482E" w:rsidRPr="00C75C7E" w:rsidTr="00EF3DB5">
        <w:trPr>
          <w:cantSplit/>
          <w:trHeight w:val="470"/>
        </w:trPr>
        <w:tc>
          <w:tcPr>
            <w:tcW w:w="1249" w:type="pct"/>
            <w:vMerge/>
            <w:shd w:val="clear" w:color="auto" w:fill="auto"/>
            <w:tcMar>
              <w:top w:w="113" w:type="dxa"/>
            </w:tcMar>
          </w:tcPr>
          <w:p w:rsidR="0063482E" w:rsidRPr="00C75C7E" w:rsidRDefault="0063482E" w:rsidP="00EF3DB5">
            <w:pPr>
              <w:widowControl w:val="0"/>
              <w:rPr>
                <w:sz w:val="16"/>
                <w:szCs w:val="16"/>
                <w:lang w:val="es-ES_tradnl"/>
              </w:rPr>
            </w:pPr>
          </w:p>
        </w:tc>
        <w:tc>
          <w:tcPr>
            <w:tcW w:w="1514" w:type="pct"/>
            <w:shd w:val="clear" w:color="auto" w:fill="auto"/>
            <w:tcMar>
              <w:top w:w="113" w:type="dxa"/>
            </w:tcMar>
          </w:tcPr>
          <w:p w:rsidR="0063482E" w:rsidRPr="00C75C7E" w:rsidRDefault="0063482E" w:rsidP="00EF3DB5">
            <w:pPr>
              <w:widowControl w:val="0"/>
              <w:rPr>
                <w:sz w:val="16"/>
                <w:szCs w:val="16"/>
                <w:lang w:val="es-ES_tradnl"/>
              </w:rPr>
            </w:pPr>
            <w:r w:rsidRPr="00C75C7E">
              <w:rPr>
                <w:sz w:val="16"/>
                <w:szCs w:val="16"/>
                <w:lang w:val="es-ES_tradnl"/>
              </w:rPr>
              <w:t>Calidad de las traducciones.</w:t>
            </w:r>
          </w:p>
        </w:tc>
        <w:tc>
          <w:tcPr>
            <w:tcW w:w="1093" w:type="pct"/>
            <w:shd w:val="clear" w:color="auto" w:fill="FFFFFF"/>
            <w:tcMar>
              <w:top w:w="113" w:type="dxa"/>
            </w:tcMar>
          </w:tcPr>
          <w:p w:rsidR="0063482E" w:rsidRPr="00C75C7E" w:rsidRDefault="0063482E" w:rsidP="00EF3DB5">
            <w:pPr>
              <w:widowControl w:val="0"/>
              <w:rPr>
                <w:sz w:val="16"/>
                <w:szCs w:val="16"/>
                <w:lang w:val="es-ES_tradnl" w:bidi="th-TH"/>
              </w:rPr>
            </w:pPr>
            <w:r w:rsidRPr="00C75C7E">
              <w:rPr>
                <w:sz w:val="16"/>
                <w:szCs w:val="16"/>
                <w:lang w:val="es-ES_tradnl" w:bidi="th-TH"/>
              </w:rPr>
              <w:t>Promedio de los tres últimos años.</w:t>
            </w:r>
          </w:p>
        </w:tc>
        <w:tc>
          <w:tcPr>
            <w:tcW w:w="1144" w:type="pct"/>
            <w:shd w:val="clear" w:color="auto" w:fill="auto"/>
            <w:tcMar>
              <w:top w:w="110" w:type="dxa"/>
            </w:tcMar>
          </w:tcPr>
          <w:p w:rsidR="0063482E" w:rsidRPr="00C75C7E" w:rsidRDefault="0063482E" w:rsidP="00EF3DB5">
            <w:pPr>
              <w:widowControl w:val="0"/>
              <w:ind w:right="161"/>
              <w:rPr>
                <w:bCs/>
                <w:sz w:val="16"/>
                <w:szCs w:val="16"/>
                <w:lang w:val="es-ES_tradnl"/>
              </w:rPr>
            </w:pPr>
            <w:r w:rsidRPr="00C75C7E">
              <w:rPr>
                <w:bCs/>
                <w:sz w:val="16"/>
                <w:szCs w:val="16"/>
                <w:lang w:val="es-ES_tradnl"/>
              </w:rPr>
              <w:t>Mayor calidad.</w:t>
            </w:r>
          </w:p>
        </w:tc>
      </w:tr>
      <w:tr w:rsidR="0063482E" w:rsidRPr="00C75C7E" w:rsidTr="00EF3DB5">
        <w:trPr>
          <w:cantSplit/>
          <w:trHeight w:val="470"/>
        </w:trPr>
        <w:tc>
          <w:tcPr>
            <w:tcW w:w="1249" w:type="pct"/>
            <w:vMerge/>
            <w:shd w:val="clear" w:color="auto" w:fill="auto"/>
            <w:tcMar>
              <w:top w:w="113" w:type="dxa"/>
            </w:tcMar>
          </w:tcPr>
          <w:p w:rsidR="0063482E" w:rsidRPr="00C75C7E" w:rsidRDefault="0063482E" w:rsidP="00EF3DB5">
            <w:pPr>
              <w:widowControl w:val="0"/>
              <w:rPr>
                <w:sz w:val="16"/>
                <w:szCs w:val="16"/>
                <w:lang w:val="es-ES_tradnl"/>
              </w:rPr>
            </w:pPr>
          </w:p>
        </w:tc>
        <w:tc>
          <w:tcPr>
            <w:tcW w:w="1514" w:type="pct"/>
            <w:shd w:val="clear" w:color="auto" w:fill="auto"/>
            <w:tcMar>
              <w:top w:w="113" w:type="dxa"/>
            </w:tcMar>
          </w:tcPr>
          <w:p w:rsidR="0063482E" w:rsidRPr="00C75C7E" w:rsidRDefault="0063482E" w:rsidP="00EF3DB5">
            <w:pPr>
              <w:widowControl w:val="0"/>
              <w:rPr>
                <w:sz w:val="16"/>
                <w:szCs w:val="16"/>
                <w:lang w:val="es-ES_tradnl"/>
              </w:rPr>
            </w:pPr>
            <w:r w:rsidRPr="00C75C7E">
              <w:rPr>
                <w:sz w:val="16"/>
                <w:szCs w:val="16"/>
                <w:lang w:val="es-ES_tradnl"/>
              </w:rPr>
              <w:t>Plazos de traducción de los informes.</w:t>
            </w:r>
          </w:p>
        </w:tc>
        <w:tc>
          <w:tcPr>
            <w:tcW w:w="1093" w:type="pct"/>
            <w:shd w:val="clear" w:color="auto" w:fill="FFFFFF"/>
            <w:tcMar>
              <w:top w:w="113" w:type="dxa"/>
            </w:tcMar>
          </w:tcPr>
          <w:p w:rsidR="0063482E" w:rsidRPr="00C75C7E" w:rsidRDefault="0063482E" w:rsidP="00EF3DB5">
            <w:pPr>
              <w:widowControl w:val="0"/>
              <w:rPr>
                <w:sz w:val="16"/>
                <w:szCs w:val="16"/>
                <w:lang w:val="es-ES_tradnl" w:bidi="th-TH"/>
              </w:rPr>
            </w:pPr>
            <w:r w:rsidRPr="00C75C7E">
              <w:rPr>
                <w:sz w:val="16"/>
                <w:szCs w:val="16"/>
                <w:lang w:val="es-ES_tradnl" w:bidi="th-TH"/>
              </w:rPr>
              <w:t>Plazos de traducción en 2013.</w:t>
            </w:r>
          </w:p>
        </w:tc>
        <w:tc>
          <w:tcPr>
            <w:tcW w:w="1144" w:type="pct"/>
            <w:shd w:val="clear" w:color="auto" w:fill="auto"/>
            <w:tcMar>
              <w:top w:w="110" w:type="dxa"/>
            </w:tcMar>
          </w:tcPr>
          <w:p w:rsidR="0063482E" w:rsidRPr="00C75C7E" w:rsidRDefault="0063482E" w:rsidP="00EF3DB5">
            <w:pPr>
              <w:widowControl w:val="0"/>
              <w:ind w:right="161"/>
              <w:rPr>
                <w:bCs/>
                <w:sz w:val="16"/>
                <w:szCs w:val="16"/>
                <w:lang w:val="es-ES_tradnl"/>
              </w:rPr>
            </w:pPr>
            <w:r w:rsidRPr="00C75C7E">
              <w:rPr>
                <w:bCs/>
                <w:sz w:val="16"/>
                <w:szCs w:val="16"/>
                <w:lang w:val="es-ES_tradnl"/>
              </w:rPr>
              <w:t>Mejora.</w:t>
            </w:r>
          </w:p>
        </w:tc>
      </w:tr>
      <w:tr w:rsidR="0063482E" w:rsidRPr="00C75C7E" w:rsidTr="00EF3DB5">
        <w:trPr>
          <w:cantSplit/>
          <w:trHeight w:val="565"/>
        </w:trPr>
        <w:tc>
          <w:tcPr>
            <w:tcW w:w="1249" w:type="pct"/>
            <w:vMerge/>
            <w:shd w:val="clear" w:color="auto" w:fill="auto"/>
            <w:tcMar>
              <w:top w:w="113" w:type="dxa"/>
            </w:tcMar>
          </w:tcPr>
          <w:p w:rsidR="0063482E" w:rsidRPr="00C75C7E" w:rsidRDefault="0063482E" w:rsidP="00EF3DB5">
            <w:pPr>
              <w:widowControl w:val="0"/>
              <w:rPr>
                <w:sz w:val="16"/>
                <w:szCs w:val="16"/>
                <w:lang w:val="es-ES_tradnl"/>
              </w:rPr>
            </w:pPr>
          </w:p>
        </w:tc>
        <w:tc>
          <w:tcPr>
            <w:tcW w:w="1514" w:type="pct"/>
            <w:tcBorders>
              <w:bottom w:val="nil"/>
            </w:tcBorders>
            <w:shd w:val="clear" w:color="auto" w:fill="auto"/>
            <w:tcMar>
              <w:top w:w="113" w:type="dxa"/>
            </w:tcMar>
          </w:tcPr>
          <w:p w:rsidR="0063482E" w:rsidRPr="00C75C7E" w:rsidRDefault="0063482E" w:rsidP="00EF3DB5">
            <w:pPr>
              <w:widowControl w:val="0"/>
              <w:tabs>
                <w:tab w:val="left" w:pos="1860"/>
              </w:tabs>
              <w:rPr>
                <w:sz w:val="16"/>
                <w:szCs w:val="16"/>
                <w:lang w:val="es-ES_tradnl"/>
              </w:rPr>
            </w:pPr>
            <w:r w:rsidRPr="00C75C7E">
              <w:rPr>
                <w:sz w:val="16"/>
                <w:szCs w:val="16"/>
                <w:lang w:val="es-ES_tradnl"/>
              </w:rPr>
              <w:t>Calidad del desarrollo de programas informáticos.</w:t>
            </w:r>
          </w:p>
        </w:tc>
        <w:tc>
          <w:tcPr>
            <w:tcW w:w="1093" w:type="pct"/>
            <w:tcBorders>
              <w:bottom w:val="nil"/>
            </w:tcBorders>
            <w:shd w:val="clear" w:color="auto" w:fill="FFFFFF"/>
            <w:tcMar>
              <w:top w:w="113" w:type="dxa"/>
            </w:tcMar>
          </w:tcPr>
          <w:p w:rsidR="0063482E" w:rsidRPr="00C75C7E" w:rsidRDefault="0063482E" w:rsidP="00EF3DB5">
            <w:pPr>
              <w:widowControl w:val="0"/>
              <w:rPr>
                <w:sz w:val="16"/>
                <w:szCs w:val="16"/>
                <w:lang w:val="es-ES_tradnl"/>
              </w:rPr>
            </w:pPr>
            <w:r w:rsidRPr="00C75C7E">
              <w:rPr>
                <w:sz w:val="16"/>
                <w:szCs w:val="16"/>
                <w:lang w:val="es-ES_tradnl"/>
              </w:rPr>
              <w:t>Calidad del desarrollo de las aplicaciones informáticas más recientes de ePCT y eDossier en 2013.</w:t>
            </w:r>
          </w:p>
        </w:tc>
        <w:tc>
          <w:tcPr>
            <w:tcW w:w="1144" w:type="pct"/>
            <w:tcBorders>
              <w:bottom w:val="nil"/>
              <w:right w:val="single" w:sz="4" w:space="0" w:color="auto"/>
            </w:tcBorders>
            <w:shd w:val="clear" w:color="auto" w:fill="auto"/>
            <w:tcMar>
              <w:top w:w="110" w:type="dxa"/>
            </w:tcMar>
          </w:tcPr>
          <w:p w:rsidR="0063482E" w:rsidRPr="00C75C7E" w:rsidRDefault="0063482E" w:rsidP="00EF3DB5">
            <w:pPr>
              <w:widowControl w:val="0"/>
              <w:rPr>
                <w:sz w:val="16"/>
                <w:szCs w:val="16"/>
                <w:lang w:val="es-ES_tradnl"/>
              </w:rPr>
            </w:pPr>
            <w:r w:rsidRPr="00C75C7E">
              <w:rPr>
                <w:sz w:val="16"/>
                <w:szCs w:val="16"/>
                <w:lang w:val="es-ES_tradnl"/>
              </w:rPr>
              <w:t>Mayor calidad.</w:t>
            </w:r>
          </w:p>
        </w:tc>
      </w:tr>
      <w:tr w:rsidR="0063482E" w:rsidRPr="00C75C7E" w:rsidTr="00EF3DB5">
        <w:trPr>
          <w:cantSplit/>
          <w:trHeight w:val="580"/>
        </w:trPr>
        <w:tc>
          <w:tcPr>
            <w:tcW w:w="1249" w:type="pct"/>
            <w:vMerge/>
            <w:shd w:val="clear" w:color="auto" w:fill="auto"/>
            <w:tcMar>
              <w:top w:w="113" w:type="dxa"/>
            </w:tcMar>
          </w:tcPr>
          <w:p w:rsidR="0063482E" w:rsidRPr="00C75C7E" w:rsidRDefault="0063482E" w:rsidP="00EF3DB5">
            <w:pPr>
              <w:widowControl w:val="0"/>
              <w:rPr>
                <w:sz w:val="16"/>
                <w:szCs w:val="16"/>
                <w:lang w:val="es-ES_tradnl"/>
              </w:rPr>
            </w:pPr>
          </w:p>
        </w:tc>
        <w:tc>
          <w:tcPr>
            <w:tcW w:w="1514" w:type="pct"/>
            <w:tcBorders>
              <w:top w:val="nil"/>
              <w:bottom w:val="single" w:sz="4" w:space="0" w:color="auto"/>
            </w:tcBorders>
            <w:shd w:val="clear" w:color="auto" w:fill="auto"/>
            <w:tcMar>
              <w:top w:w="113" w:type="dxa"/>
            </w:tcMar>
          </w:tcPr>
          <w:p w:rsidR="0063482E" w:rsidRPr="00C75C7E" w:rsidRDefault="0063482E" w:rsidP="00EF3DB5">
            <w:pPr>
              <w:widowControl w:val="0"/>
              <w:rPr>
                <w:sz w:val="16"/>
                <w:szCs w:val="16"/>
                <w:lang w:val="es-ES_tradnl"/>
              </w:rPr>
            </w:pPr>
            <w:r w:rsidRPr="00C75C7E">
              <w:rPr>
                <w:sz w:val="16"/>
                <w:szCs w:val="16"/>
                <w:lang w:val="es-ES_tradnl"/>
              </w:rPr>
              <w:t>Niveles de los servicios prestados por los sistemas de información.</w:t>
            </w:r>
          </w:p>
        </w:tc>
        <w:tc>
          <w:tcPr>
            <w:tcW w:w="1093" w:type="pct"/>
            <w:tcBorders>
              <w:top w:val="nil"/>
              <w:bottom w:val="single" w:sz="4" w:space="0" w:color="auto"/>
            </w:tcBorders>
            <w:shd w:val="clear" w:color="auto" w:fill="FFFFFF"/>
            <w:tcMar>
              <w:top w:w="113" w:type="dxa"/>
            </w:tcMar>
          </w:tcPr>
          <w:p w:rsidR="0063482E" w:rsidRPr="00C75C7E" w:rsidRDefault="0063482E" w:rsidP="00EF3DB5">
            <w:pPr>
              <w:widowControl w:val="0"/>
              <w:rPr>
                <w:sz w:val="16"/>
                <w:szCs w:val="16"/>
                <w:lang w:val="es-ES_tradnl" w:bidi="th-TH"/>
              </w:rPr>
            </w:pPr>
            <w:r w:rsidRPr="00C75C7E">
              <w:rPr>
                <w:sz w:val="16"/>
                <w:szCs w:val="16"/>
                <w:lang w:val="es-ES_tradnl" w:bidi="th-TH"/>
              </w:rPr>
              <w:t>Niveles de los servicios prestados por los sistemas de información en 2013.</w:t>
            </w:r>
          </w:p>
          <w:p w:rsidR="0063482E" w:rsidRPr="00C75C7E" w:rsidRDefault="0063482E" w:rsidP="00EF3DB5">
            <w:pPr>
              <w:widowControl w:val="0"/>
              <w:rPr>
                <w:sz w:val="16"/>
                <w:szCs w:val="16"/>
                <w:lang w:val="es-ES_tradnl" w:bidi="th-TH"/>
              </w:rPr>
            </w:pPr>
          </w:p>
        </w:tc>
        <w:tc>
          <w:tcPr>
            <w:tcW w:w="1144" w:type="pct"/>
            <w:tcBorders>
              <w:top w:val="nil"/>
              <w:bottom w:val="single" w:sz="4" w:space="0" w:color="auto"/>
              <w:right w:val="single" w:sz="4" w:space="0" w:color="auto"/>
            </w:tcBorders>
            <w:shd w:val="clear" w:color="auto" w:fill="auto"/>
            <w:tcMar>
              <w:top w:w="110" w:type="dxa"/>
            </w:tcMar>
          </w:tcPr>
          <w:p w:rsidR="0063482E" w:rsidRPr="00C75C7E" w:rsidRDefault="0063482E" w:rsidP="00EF3DB5">
            <w:pPr>
              <w:widowControl w:val="0"/>
              <w:ind w:right="161"/>
              <w:rPr>
                <w:bCs/>
                <w:sz w:val="16"/>
                <w:szCs w:val="16"/>
                <w:lang w:val="es-ES_tradnl"/>
              </w:rPr>
            </w:pPr>
            <w:r w:rsidRPr="00C75C7E">
              <w:rPr>
                <w:bCs/>
                <w:sz w:val="16"/>
                <w:szCs w:val="16"/>
                <w:lang w:val="es-ES_tradnl"/>
              </w:rPr>
              <w:t>Niveles más elevados de los servicios prestados por los sistemas de información.</w:t>
            </w:r>
          </w:p>
        </w:tc>
      </w:tr>
    </w:tbl>
    <w:p w:rsidR="0063482E" w:rsidRPr="00C75C7E" w:rsidRDefault="0063482E" w:rsidP="0063482E">
      <w:pPr>
        <w:widowControl w:val="0"/>
        <w:rPr>
          <w:sz w:val="20"/>
          <w:lang w:val="es-ES_tradnl"/>
        </w:rPr>
      </w:pPr>
    </w:p>
    <w:p w:rsidR="00546AD7" w:rsidRPr="006B0DE9" w:rsidRDefault="00546AD7" w:rsidP="00546AD7">
      <w:pPr>
        <w:widowControl w:val="0"/>
        <w:rPr>
          <w:sz w:val="20"/>
        </w:rPr>
      </w:pPr>
    </w:p>
    <w:p w:rsidR="00546AD7" w:rsidRPr="006B0DE9" w:rsidRDefault="00546AD7" w:rsidP="00546AD7">
      <w:pPr>
        <w:widowControl w:val="0"/>
        <w:autoSpaceDE w:val="0"/>
        <w:autoSpaceDN w:val="0"/>
        <w:adjustRightInd w:val="0"/>
        <w:jc w:val="both"/>
        <w:rPr>
          <w:szCs w:val="22"/>
        </w:rPr>
      </w:pPr>
      <w:r w:rsidRPr="006B0DE9">
        <w:rPr>
          <w:szCs w:val="22"/>
        </w:rPr>
        <w:t>RECURSOS PARA EL PROGRAMA 5</w:t>
      </w:r>
    </w:p>
    <w:p w:rsidR="00546AD7" w:rsidRPr="006B0DE9" w:rsidRDefault="00546AD7" w:rsidP="00546AD7">
      <w:pPr>
        <w:widowControl w:val="0"/>
        <w:autoSpaceDE w:val="0"/>
        <w:autoSpaceDN w:val="0"/>
        <w:adjustRightInd w:val="0"/>
        <w:rPr>
          <w:sz w:val="20"/>
        </w:rPr>
      </w:pPr>
    </w:p>
    <w:p w:rsidR="00546AD7" w:rsidRPr="006B0DE9" w:rsidRDefault="00546AD7" w:rsidP="00BA276E">
      <w:pPr>
        <w:widowControl w:val="0"/>
        <w:numPr>
          <w:ilvl w:val="0"/>
          <w:numId w:val="24"/>
        </w:numPr>
        <w:jc w:val="both"/>
        <w:rPr>
          <w:sz w:val="20"/>
        </w:rPr>
      </w:pPr>
      <w:r w:rsidRPr="006B0DE9">
        <w:rPr>
          <w:sz w:val="20"/>
        </w:rPr>
        <w:t xml:space="preserve">El incremento propuesto para el resultado II.3 (Mejora de la productividad y de la calidad de los servicios en las operaciones del PCT) se debe a:  i) un aumento de 10,4 millones de francos suizos en la línea “Otros servicios contractuales” motivada por el aumento previsto del volumen de traducciones de resúmenes del PCT, informes de búsqueda internacional e informes preliminares internacionales sobre la patentabilidad que se van a subcontratar durante el bienio próximo y ii) un aumento de 400.000 francos suizos en gastos de personal en relación con las Becas de la OMPI, que responde a los recursos que serán necesarios para poner en marcha un nuevo programa de becas entre la Oficina Internacional y las oficinas nacionales de P.I. para los sistemas mundiales de registro.  Este programa permitirá al personal de las oficinas nacionales participantes conocer en profundidad la labor que desarrolla la Oficina Internacional y adquirir conocimientos y experiencia laboral en primera persona acerca de los procedimientos de </w:t>
      </w:r>
      <w:r w:rsidR="00EE69B6">
        <w:rPr>
          <w:sz w:val="20"/>
        </w:rPr>
        <w:t>examen</w:t>
      </w:r>
      <w:r w:rsidRPr="006B0DE9">
        <w:rPr>
          <w:sz w:val="20"/>
        </w:rPr>
        <w:t xml:space="preserve"> de forma así como de las últimas novedades en este ámbito.  El aumento de 300.000 francos suizos en la línea “Locales y mantenimiento" está relacionado con el sector de los Servicios de información del PCT para el mantenimiento de los equipos de tecnologías de la información (T.I.).</w:t>
      </w:r>
    </w:p>
    <w:p w:rsidR="00546AD7" w:rsidRPr="006B0DE9" w:rsidRDefault="00546AD7" w:rsidP="00546AD7">
      <w:pPr>
        <w:widowControl w:val="0"/>
        <w:autoSpaceDE w:val="0"/>
        <w:autoSpaceDN w:val="0"/>
        <w:adjustRightInd w:val="0"/>
        <w:rPr>
          <w:sz w:val="20"/>
        </w:rPr>
      </w:pPr>
    </w:p>
    <w:p w:rsidR="0063482E" w:rsidRPr="00546AD7" w:rsidRDefault="0063482E" w:rsidP="0063482E">
      <w:pPr>
        <w:widowControl w:val="0"/>
        <w:autoSpaceDE w:val="0"/>
        <w:autoSpaceDN w:val="0"/>
        <w:adjustRightInd w:val="0"/>
        <w:rPr>
          <w:sz w:val="20"/>
        </w:rPr>
      </w:pPr>
    </w:p>
    <w:p w:rsidR="0063482E" w:rsidRPr="00C75C7E" w:rsidRDefault="00EE69B6" w:rsidP="0063482E">
      <w:pPr>
        <w:widowControl w:val="0"/>
        <w:autoSpaceDE w:val="0"/>
        <w:autoSpaceDN w:val="0"/>
        <w:adjustRightInd w:val="0"/>
        <w:jc w:val="center"/>
        <w:rPr>
          <w:b/>
          <w:bCs/>
          <w:iCs/>
          <w:sz w:val="20"/>
          <w:lang w:val="es-ES_tradnl"/>
        </w:rPr>
      </w:pPr>
      <w:r>
        <w:rPr>
          <w:b/>
          <w:bCs/>
          <w:iCs/>
          <w:sz w:val="20"/>
          <w:lang w:val="es-ES_tradnl"/>
        </w:rPr>
        <w:t xml:space="preserve">Programa 5:  </w:t>
      </w:r>
      <w:r w:rsidR="0063482E" w:rsidRPr="00C75C7E">
        <w:rPr>
          <w:b/>
          <w:bCs/>
          <w:iCs/>
          <w:sz w:val="20"/>
          <w:lang w:val="es-ES_tradnl"/>
        </w:rPr>
        <w:t>Recursos por resultado</w:t>
      </w:r>
    </w:p>
    <w:p w:rsidR="0063482E" w:rsidRDefault="0063482E" w:rsidP="0063482E">
      <w:pPr>
        <w:widowControl w:val="0"/>
        <w:autoSpaceDE w:val="0"/>
        <w:autoSpaceDN w:val="0"/>
        <w:adjustRightInd w:val="0"/>
        <w:jc w:val="center"/>
        <w:rPr>
          <w:bCs/>
          <w:i/>
          <w:sz w:val="20"/>
          <w:lang w:val="es-ES_tradnl"/>
        </w:rPr>
      </w:pPr>
      <w:r w:rsidRPr="00C75C7E">
        <w:rPr>
          <w:bCs/>
          <w:i/>
          <w:sz w:val="20"/>
          <w:lang w:val="es-ES_tradnl"/>
        </w:rPr>
        <w:t>(en miles de francos suizos)</w:t>
      </w:r>
    </w:p>
    <w:p w:rsidR="006265DC" w:rsidRPr="00C75C7E" w:rsidRDefault="006265DC" w:rsidP="0063482E">
      <w:pPr>
        <w:widowControl w:val="0"/>
        <w:autoSpaceDE w:val="0"/>
        <w:autoSpaceDN w:val="0"/>
        <w:adjustRightInd w:val="0"/>
        <w:jc w:val="center"/>
        <w:rPr>
          <w:b/>
          <w:i/>
          <w:sz w:val="18"/>
          <w:szCs w:val="18"/>
          <w:lang w:val="es-ES_tradnl"/>
        </w:rPr>
      </w:pPr>
    </w:p>
    <w:p w:rsidR="0063482E" w:rsidRPr="00C75C7E" w:rsidRDefault="00214E52" w:rsidP="0063482E">
      <w:pPr>
        <w:widowControl w:val="0"/>
        <w:autoSpaceDE w:val="0"/>
        <w:autoSpaceDN w:val="0"/>
        <w:adjustRightInd w:val="0"/>
        <w:jc w:val="center"/>
        <w:rPr>
          <w:i/>
          <w:sz w:val="18"/>
          <w:szCs w:val="18"/>
          <w:lang w:val="es-ES_tradnl"/>
        </w:rPr>
      </w:pPr>
      <w:r w:rsidRPr="00214E52">
        <w:rPr>
          <w:noProof/>
          <w:lang w:val="en-US" w:eastAsia="en-US"/>
        </w:rPr>
        <w:drawing>
          <wp:inline distT="0" distB="0" distL="0" distR="0" wp14:anchorId="59EEEF90" wp14:editId="3E694905">
            <wp:extent cx="5762625" cy="1581150"/>
            <wp:effectExtent l="0" t="0" r="9525" b="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762625" cy="1581150"/>
                    </a:xfrm>
                    <a:prstGeom prst="rect">
                      <a:avLst/>
                    </a:prstGeom>
                    <a:noFill/>
                    <a:ln>
                      <a:noFill/>
                    </a:ln>
                  </pic:spPr>
                </pic:pic>
              </a:graphicData>
            </a:graphic>
          </wp:inline>
        </w:drawing>
      </w:r>
    </w:p>
    <w:p w:rsidR="0063482E" w:rsidRPr="00C75C7E" w:rsidRDefault="0063482E" w:rsidP="0063482E">
      <w:pPr>
        <w:widowControl w:val="0"/>
        <w:autoSpaceDE w:val="0"/>
        <w:autoSpaceDN w:val="0"/>
        <w:adjustRightInd w:val="0"/>
        <w:jc w:val="center"/>
        <w:rPr>
          <w:sz w:val="20"/>
          <w:lang w:val="es-ES_tradnl"/>
        </w:rPr>
      </w:pPr>
    </w:p>
    <w:p w:rsidR="0063482E" w:rsidRPr="00C75C7E" w:rsidRDefault="0063482E" w:rsidP="0063482E">
      <w:pPr>
        <w:widowControl w:val="0"/>
        <w:autoSpaceDE w:val="0"/>
        <w:autoSpaceDN w:val="0"/>
        <w:adjustRightInd w:val="0"/>
        <w:jc w:val="center"/>
        <w:rPr>
          <w:sz w:val="20"/>
          <w:lang w:val="es-ES_tradnl"/>
        </w:rPr>
      </w:pPr>
    </w:p>
    <w:p w:rsidR="0063482E" w:rsidRPr="00C75C7E" w:rsidRDefault="0063482E" w:rsidP="0063482E">
      <w:pPr>
        <w:widowControl w:val="0"/>
        <w:autoSpaceDE w:val="0"/>
        <w:autoSpaceDN w:val="0"/>
        <w:adjustRightInd w:val="0"/>
        <w:rPr>
          <w:sz w:val="20"/>
          <w:lang w:val="es-ES_tradnl"/>
        </w:rPr>
      </w:pPr>
      <w:r w:rsidRPr="00C75C7E">
        <w:rPr>
          <w:sz w:val="16"/>
          <w:szCs w:val="16"/>
          <w:lang w:val="es-ES_tradnl"/>
        </w:rPr>
        <w:t>Nota: Se ha reexpresado el presupuesto aprobado de 2012/13 y el presupuesto de dicho bienio después de las transferencias, por resultado previsto, para reflejar el marco de resultados de la Organización propuesto para 2014/15.</w:t>
      </w:r>
    </w:p>
    <w:p w:rsidR="0063482E" w:rsidRPr="00C75C7E" w:rsidRDefault="0063482E" w:rsidP="0063482E">
      <w:pPr>
        <w:widowControl w:val="0"/>
        <w:autoSpaceDE w:val="0"/>
        <w:autoSpaceDN w:val="0"/>
        <w:adjustRightInd w:val="0"/>
        <w:rPr>
          <w:sz w:val="20"/>
          <w:lang w:val="es-ES_tradnl"/>
        </w:rPr>
      </w:pPr>
    </w:p>
    <w:p w:rsidR="0063482E" w:rsidRPr="00C75C7E" w:rsidRDefault="0063482E" w:rsidP="0063482E">
      <w:pPr>
        <w:widowControl w:val="0"/>
        <w:jc w:val="both"/>
        <w:rPr>
          <w:sz w:val="20"/>
          <w:lang w:val="es-ES_tradnl"/>
        </w:rPr>
      </w:pPr>
    </w:p>
    <w:p w:rsidR="0063482E" w:rsidRPr="00C75C7E" w:rsidRDefault="00214E52" w:rsidP="0079447F">
      <w:pPr>
        <w:keepNext/>
        <w:widowControl w:val="0"/>
        <w:autoSpaceDE w:val="0"/>
        <w:autoSpaceDN w:val="0"/>
        <w:adjustRightInd w:val="0"/>
        <w:jc w:val="center"/>
        <w:rPr>
          <w:b/>
          <w:bCs/>
          <w:iCs/>
          <w:sz w:val="20"/>
          <w:lang w:val="es-ES_tradnl"/>
        </w:rPr>
      </w:pPr>
      <w:r>
        <w:rPr>
          <w:b/>
          <w:bCs/>
          <w:iCs/>
          <w:sz w:val="20"/>
          <w:lang w:val="es-ES_tradnl"/>
        </w:rPr>
        <w:lastRenderedPageBreak/>
        <w:t xml:space="preserve">Programa 5:  </w:t>
      </w:r>
      <w:r w:rsidR="0063482E" w:rsidRPr="00C75C7E">
        <w:rPr>
          <w:b/>
          <w:bCs/>
          <w:iCs/>
          <w:sz w:val="20"/>
          <w:lang w:val="es-ES_tradnl"/>
        </w:rPr>
        <w:t>Recursos por objeto de gasto</w:t>
      </w:r>
    </w:p>
    <w:p w:rsidR="0063482E" w:rsidRDefault="0063482E" w:rsidP="0079447F">
      <w:pPr>
        <w:keepNext/>
        <w:widowControl w:val="0"/>
        <w:autoSpaceDE w:val="0"/>
        <w:autoSpaceDN w:val="0"/>
        <w:adjustRightInd w:val="0"/>
        <w:jc w:val="center"/>
        <w:rPr>
          <w:bCs/>
          <w:i/>
          <w:sz w:val="20"/>
          <w:lang w:val="es-ES_tradnl"/>
        </w:rPr>
      </w:pPr>
      <w:r w:rsidRPr="00C75C7E">
        <w:rPr>
          <w:bCs/>
          <w:i/>
          <w:sz w:val="20"/>
          <w:lang w:val="es-ES_tradnl"/>
        </w:rPr>
        <w:t>(en miles de francos suizos)</w:t>
      </w:r>
    </w:p>
    <w:p w:rsidR="00723CAF" w:rsidRDefault="00723CAF" w:rsidP="0079447F">
      <w:pPr>
        <w:keepNext/>
        <w:widowControl w:val="0"/>
        <w:autoSpaceDE w:val="0"/>
        <w:autoSpaceDN w:val="0"/>
        <w:adjustRightInd w:val="0"/>
        <w:jc w:val="center"/>
        <w:rPr>
          <w:bCs/>
          <w:i/>
          <w:sz w:val="20"/>
          <w:lang w:val="es-ES_tradnl"/>
        </w:rPr>
      </w:pPr>
    </w:p>
    <w:p w:rsidR="00723CAF" w:rsidRPr="00C75C7E" w:rsidRDefault="00214E52" w:rsidP="0079447F">
      <w:pPr>
        <w:keepNext/>
        <w:widowControl w:val="0"/>
        <w:autoSpaceDE w:val="0"/>
        <w:autoSpaceDN w:val="0"/>
        <w:adjustRightInd w:val="0"/>
        <w:jc w:val="center"/>
        <w:rPr>
          <w:bCs/>
          <w:i/>
          <w:sz w:val="20"/>
          <w:lang w:val="es-ES_tradnl"/>
        </w:rPr>
      </w:pPr>
      <w:r w:rsidRPr="00214E52">
        <w:rPr>
          <w:noProof/>
          <w:lang w:val="en-US" w:eastAsia="en-US"/>
        </w:rPr>
        <w:drawing>
          <wp:inline distT="0" distB="0" distL="0" distR="0" wp14:anchorId="68231942" wp14:editId="258CEE04">
            <wp:extent cx="5940425" cy="5691425"/>
            <wp:effectExtent l="0" t="0" r="3175" b="508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940425" cy="5691425"/>
                    </a:xfrm>
                    <a:prstGeom prst="rect">
                      <a:avLst/>
                    </a:prstGeom>
                    <a:noFill/>
                    <a:ln>
                      <a:noFill/>
                    </a:ln>
                  </pic:spPr>
                </pic:pic>
              </a:graphicData>
            </a:graphic>
          </wp:inline>
        </w:drawing>
      </w:r>
    </w:p>
    <w:p w:rsidR="0063482E" w:rsidRPr="00C75C7E" w:rsidRDefault="0063482E" w:rsidP="0079447F">
      <w:pPr>
        <w:keepNext/>
        <w:widowControl w:val="0"/>
        <w:autoSpaceDE w:val="0"/>
        <w:autoSpaceDN w:val="0"/>
        <w:adjustRightInd w:val="0"/>
        <w:rPr>
          <w:sz w:val="20"/>
          <w:lang w:val="es-ES_tradnl"/>
        </w:rPr>
      </w:pPr>
    </w:p>
    <w:p w:rsidR="0063482E" w:rsidRPr="00C75C7E" w:rsidRDefault="0063482E" w:rsidP="0063482E">
      <w:pPr>
        <w:widowControl w:val="0"/>
        <w:rPr>
          <w:sz w:val="16"/>
          <w:szCs w:val="16"/>
          <w:lang w:val="es-ES_tradnl"/>
        </w:rPr>
      </w:pPr>
      <w:r w:rsidRPr="00C75C7E">
        <w:rPr>
          <w:sz w:val="16"/>
          <w:szCs w:val="16"/>
          <w:lang w:val="es-ES_tradnl"/>
        </w:rPr>
        <w:t>Notas:</w:t>
      </w:r>
    </w:p>
    <w:p w:rsidR="0063482E" w:rsidRPr="00C75C7E" w:rsidRDefault="0063482E" w:rsidP="0063482E">
      <w:pPr>
        <w:widowControl w:val="0"/>
        <w:rPr>
          <w:sz w:val="16"/>
          <w:szCs w:val="16"/>
          <w:u w:val="single"/>
          <w:lang w:val="es-ES_tradnl"/>
        </w:rPr>
      </w:pPr>
    </w:p>
    <w:p w:rsidR="0063482E" w:rsidRDefault="00133F6F" w:rsidP="0063482E">
      <w:pPr>
        <w:widowControl w:val="0"/>
        <w:tabs>
          <w:tab w:val="left" w:pos="567"/>
        </w:tabs>
        <w:rPr>
          <w:sz w:val="16"/>
          <w:szCs w:val="16"/>
          <w:lang w:val="es-ES_tradnl"/>
        </w:rPr>
      </w:pPr>
      <w:r>
        <w:rPr>
          <w:sz w:val="16"/>
          <w:szCs w:val="16"/>
          <w:lang w:val="es-ES_tradnl"/>
        </w:rPr>
        <w:t xml:space="preserve">1)  </w:t>
      </w:r>
      <w:r w:rsidR="0063482E" w:rsidRPr="00C75C7E">
        <w:rPr>
          <w:sz w:val="16"/>
          <w:szCs w:val="16"/>
          <w:lang w:val="es-ES_tradnl"/>
        </w:rPr>
        <w:t>El presupuesto aprobado de 2012/13 y el presupuesto de dicho bienio después de las transferencias se reexpresan sobre la base de la estructura de categorías de costos propuesta para 2014/15.</w:t>
      </w:r>
    </w:p>
    <w:p w:rsidR="0063482E" w:rsidRPr="00C75C7E" w:rsidRDefault="0063482E" w:rsidP="0063482E">
      <w:pPr>
        <w:widowControl w:val="0"/>
        <w:tabs>
          <w:tab w:val="left" w:pos="567"/>
        </w:tabs>
        <w:rPr>
          <w:sz w:val="16"/>
          <w:szCs w:val="16"/>
          <w:lang w:val="es-ES_tradnl"/>
        </w:rPr>
      </w:pPr>
    </w:p>
    <w:p w:rsidR="0063482E" w:rsidRDefault="0063482E" w:rsidP="0063482E">
      <w:pPr>
        <w:widowControl w:val="0"/>
        <w:tabs>
          <w:tab w:val="left" w:pos="567"/>
        </w:tabs>
        <w:rPr>
          <w:rFonts w:cs="ArialMT"/>
          <w:sz w:val="16"/>
          <w:szCs w:val="16"/>
          <w:lang w:val="es-ES_tradnl"/>
        </w:rPr>
      </w:pPr>
      <w:r>
        <w:rPr>
          <w:sz w:val="16"/>
          <w:szCs w:val="16"/>
          <w:lang w:val="es-ES_tradnl"/>
        </w:rPr>
        <w:t>2)</w:t>
      </w:r>
      <w:r w:rsidR="00133F6F">
        <w:rPr>
          <w:sz w:val="16"/>
          <w:szCs w:val="16"/>
          <w:lang w:val="es-ES_tradnl"/>
        </w:rPr>
        <w:t xml:space="preserve">  </w:t>
      </w:r>
      <w:r w:rsidRPr="00C75C7E">
        <w:rPr>
          <w:sz w:val="16"/>
          <w:szCs w:val="16"/>
          <w:lang w:val="es-ES_tradnl"/>
        </w:rPr>
        <w:t xml:space="preserve">El presupuesto después de las transferencias refleja el presupuesto de los programas ajustado tras las transferencias efectuadas en 2012/13 en virtud del artículo 5.5 del Reglamento Financiero y los ajustes de flexibilidad efectuados en virtud del artículo 5.6. Para más información sobre el presupuesto de 2012/13 después de las transferencias, cabe remitirse al cuadro que figura en el Anexo I (Presupuesto después de las transferencias, por programa) del presente documento y al documento WO/PBC/20/2 (Informe sobre el rendimiento de los programas en 2012).  Para más información sobre las fórmulas de flexibilidad cabe remitirse al Apéndice D del presente documento.  </w:t>
      </w:r>
      <w:r w:rsidRPr="00C75C7E">
        <w:rPr>
          <w:rFonts w:cs="ArialMT"/>
          <w:sz w:val="16"/>
          <w:szCs w:val="16"/>
          <w:lang w:val="es-ES_tradnl"/>
        </w:rPr>
        <w:t xml:space="preserve">Los costos de personal del presupuesto de 2012/13 después de las transferencias representan los gastos reales efectuados hasta el 31 de marzo de 2013 y los importes presupuestados para los nueve meses restantes de 2013, sobre la base de costos estándar. </w:t>
      </w:r>
    </w:p>
    <w:p w:rsidR="0063482E" w:rsidRPr="00C75C7E" w:rsidRDefault="0063482E" w:rsidP="0063482E">
      <w:pPr>
        <w:widowControl w:val="0"/>
        <w:rPr>
          <w:sz w:val="16"/>
          <w:szCs w:val="16"/>
          <w:lang w:val="es-ES_tradnl"/>
        </w:rPr>
      </w:pPr>
    </w:p>
    <w:p w:rsidR="0063482E" w:rsidRPr="00C75C7E" w:rsidRDefault="0063482E" w:rsidP="0063482E">
      <w:pPr>
        <w:widowControl w:val="0"/>
        <w:rPr>
          <w:sz w:val="16"/>
          <w:szCs w:val="16"/>
          <w:lang w:val="es-ES_tradnl"/>
        </w:rPr>
      </w:pPr>
      <w:r>
        <w:rPr>
          <w:sz w:val="16"/>
          <w:szCs w:val="16"/>
          <w:lang w:val="es-ES_tradnl"/>
        </w:rPr>
        <w:t>3)</w:t>
      </w:r>
      <w:r w:rsidR="00133F6F">
        <w:rPr>
          <w:sz w:val="16"/>
          <w:szCs w:val="16"/>
          <w:lang w:val="es-ES_tradnl"/>
        </w:rPr>
        <w:t xml:space="preserve">  </w:t>
      </w:r>
      <w:r w:rsidRPr="00C75C7E">
        <w:rPr>
          <w:sz w:val="16"/>
          <w:szCs w:val="16"/>
          <w:lang w:val="es-ES_tradnl"/>
        </w:rPr>
        <w:t>Para más información sobre los puestos del programa cabe remitirse al cuadro que figura en el Anexo II.</w:t>
      </w:r>
    </w:p>
    <w:p w:rsidR="00546AD7" w:rsidRPr="006B0DE9" w:rsidRDefault="0063482E" w:rsidP="00546AD7">
      <w:pPr>
        <w:pStyle w:val="StyleHeading3ComplexItalic"/>
        <w:keepNext w:val="0"/>
        <w:widowControl w:val="0"/>
        <w:rPr>
          <w:lang w:val="es-ES"/>
        </w:rPr>
      </w:pPr>
      <w:r w:rsidRPr="00C75C7E">
        <w:rPr>
          <w:lang w:val="es-ES_tradnl"/>
        </w:rPr>
        <w:br w:type="page"/>
      </w:r>
      <w:bookmarkStart w:id="30" w:name="_Toc356567753"/>
      <w:bookmarkStart w:id="31" w:name="_Toc358816691"/>
      <w:r w:rsidR="006A15F5" w:rsidRPr="006B0DE9">
        <w:rPr>
          <w:caps w:val="0"/>
          <w:lang w:val="es-ES"/>
        </w:rPr>
        <w:lastRenderedPageBreak/>
        <w:t>PROGRAMA 6</w:t>
      </w:r>
      <w:r w:rsidR="006A15F5" w:rsidRPr="006B0DE9">
        <w:rPr>
          <w:caps w:val="0"/>
          <w:lang w:val="es-ES"/>
        </w:rPr>
        <w:tab/>
      </w:r>
      <w:bookmarkEnd w:id="30"/>
      <w:r w:rsidR="006A15F5" w:rsidRPr="006B0DE9">
        <w:rPr>
          <w:caps w:val="0"/>
          <w:lang w:val="es-ES"/>
        </w:rPr>
        <w:t>SISTEMAS DE MADRID Y DE LISBOA</w:t>
      </w:r>
      <w:bookmarkEnd w:id="31"/>
    </w:p>
    <w:p w:rsidR="00546AD7" w:rsidRPr="006B0DE9" w:rsidRDefault="00546AD7" w:rsidP="006A15F5"/>
    <w:p w:rsidR="00546AD7" w:rsidRPr="006B0DE9" w:rsidRDefault="00546AD7" w:rsidP="006A15F5">
      <w:pPr>
        <w:rPr>
          <w:b/>
        </w:rPr>
      </w:pPr>
    </w:p>
    <w:p w:rsidR="00546AD7" w:rsidRPr="006B0DE9" w:rsidRDefault="00546AD7" w:rsidP="00546AD7">
      <w:pPr>
        <w:widowControl w:val="0"/>
        <w:jc w:val="both"/>
        <w:rPr>
          <w:b/>
          <w:szCs w:val="22"/>
        </w:rPr>
      </w:pPr>
      <w:r w:rsidRPr="006B0DE9">
        <w:rPr>
          <w:b/>
          <w:szCs w:val="22"/>
        </w:rPr>
        <w:t>A.</w:t>
      </w:r>
      <w:r w:rsidRPr="006B0DE9">
        <w:rPr>
          <w:b/>
          <w:szCs w:val="22"/>
        </w:rPr>
        <w:tab/>
        <w:t>SISTEMA DE MADRID</w:t>
      </w:r>
    </w:p>
    <w:p w:rsidR="00546AD7" w:rsidRDefault="00546AD7" w:rsidP="00546AD7">
      <w:pPr>
        <w:pStyle w:val="BodyTextIndent"/>
        <w:widowControl w:val="0"/>
        <w:ind w:left="1985" w:hanging="1985"/>
        <w:jc w:val="both"/>
        <w:rPr>
          <w:rFonts w:ascii="Arial" w:hAnsi="Arial" w:cs="Arial"/>
          <w:sz w:val="20"/>
          <w:lang w:val="es-ES"/>
        </w:rPr>
      </w:pPr>
    </w:p>
    <w:p w:rsidR="00450C3A" w:rsidRPr="006B0DE9" w:rsidRDefault="00450C3A" w:rsidP="00546AD7">
      <w:pPr>
        <w:pStyle w:val="BodyTextIndent"/>
        <w:widowControl w:val="0"/>
        <w:ind w:left="1985" w:hanging="1985"/>
        <w:jc w:val="both"/>
        <w:rPr>
          <w:rFonts w:ascii="Arial" w:hAnsi="Arial" w:cs="Arial"/>
          <w:sz w:val="20"/>
          <w:lang w:val="es-ES"/>
        </w:rPr>
      </w:pPr>
    </w:p>
    <w:p w:rsidR="00546AD7" w:rsidRPr="006B0DE9" w:rsidRDefault="00546AD7" w:rsidP="00546AD7">
      <w:pPr>
        <w:widowControl w:val="0"/>
        <w:rPr>
          <w:szCs w:val="18"/>
        </w:rPr>
      </w:pPr>
      <w:r w:rsidRPr="006B0DE9">
        <w:rPr>
          <w:szCs w:val="18"/>
        </w:rPr>
        <w:t>CONTEXTO DE PLANIFICACIÓN</w:t>
      </w:r>
    </w:p>
    <w:p w:rsidR="00546AD7" w:rsidRPr="006B0DE9" w:rsidRDefault="00546AD7" w:rsidP="00546AD7">
      <w:pPr>
        <w:pStyle w:val="Default"/>
        <w:widowControl w:val="0"/>
        <w:jc w:val="both"/>
        <w:rPr>
          <w:sz w:val="20"/>
          <w:szCs w:val="20"/>
          <w:lang w:val="es-ES"/>
        </w:rPr>
      </w:pPr>
    </w:p>
    <w:p w:rsidR="00546AD7" w:rsidRPr="006B0DE9" w:rsidRDefault="00546AD7" w:rsidP="00BA276E">
      <w:pPr>
        <w:widowControl w:val="0"/>
        <w:numPr>
          <w:ilvl w:val="0"/>
          <w:numId w:val="26"/>
        </w:numPr>
        <w:jc w:val="both"/>
        <w:rPr>
          <w:sz w:val="20"/>
        </w:rPr>
      </w:pPr>
      <w:r w:rsidRPr="006B0DE9">
        <w:rPr>
          <w:sz w:val="20"/>
        </w:rPr>
        <w:t>El sistema de Madrid, a pesar de la incertidumbre en la que se encuentra la economía a nivel mundial, ha seguido creciendo desde 2011 en lo que se refiere a la cantidad de solicitudes presentadas y el número de Partes Contratantes en las que ha entrado en vigor el Protocolo de Madrid.  Se espera que este crecimiento se mantenga durante el bienio próximo.</w:t>
      </w:r>
    </w:p>
    <w:p w:rsidR="00546AD7" w:rsidRPr="006B0DE9" w:rsidRDefault="00546AD7" w:rsidP="00546AD7">
      <w:pPr>
        <w:widowControl w:val="0"/>
        <w:jc w:val="both"/>
        <w:rPr>
          <w:sz w:val="20"/>
          <w:szCs w:val="16"/>
        </w:rPr>
      </w:pPr>
    </w:p>
    <w:p w:rsidR="00546AD7" w:rsidRPr="006B0DE9" w:rsidRDefault="00546AD7" w:rsidP="00546AD7">
      <w:pPr>
        <w:widowControl w:val="0"/>
        <w:jc w:val="both"/>
        <w:rPr>
          <w:sz w:val="20"/>
          <w:szCs w:val="16"/>
        </w:rPr>
      </w:pPr>
    </w:p>
    <w:p w:rsidR="00546AD7" w:rsidRPr="006B0DE9" w:rsidRDefault="00546AD7" w:rsidP="00546AD7">
      <w:pPr>
        <w:widowControl w:val="0"/>
        <w:jc w:val="both"/>
        <w:rPr>
          <w:szCs w:val="18"/>
        </w:rPr>
      </w:pPr>
      <w:r w:rsidRPr="006B0DE9">
        <w:rPr>
          <w:szCs w:val="18"/>
        </w:rPr>
        <w:t>ESTRATEGIAS DE EJECUCIÓN</w:t>
      </w:r>
    </w:p>
    <w:p w:rsidR="00546AD7" w:rsidRPr="006B0DE9" w:rsidRDefault="00546AD7" w:rsidP="00546AD7">
      <w:pPr>
        <w:widowControl w:val="0"/>
        <w:jc w:val="both"/>
        <w:rPr>
          <w:sz w:val="20"/>
        </w:rPr>
      </w:pPr>
    </w:p>
    <w:p w:rsidR="00546AD7" w:rsidRPr="006B0DE9" w:rsidRDefault="00546AD7" w:rsidP="00BA276E">
      <w:pPr>
        <w:widowControl w:val="0"/>
        <w:numPr>
          <w:ilvl w:val="0"/>
          <w:numId w:val="26"/>
        </w:numPr>
        <w:jc w:val="both"/>
        <w:rPr>
          <w:sz w:val="20"/>
        </w:rPr>
      </w:pPr>
      <w:r w:rsidRPr="006B0DE9">
        <w:rPr>
          <w:sz w:val="20"/>
        </w:rPr>
        <w:t xml:space="preserve">Durante el bienio 2014/15 se va a continuar prestando atención especial al aumento del alcance geográfico del sistema de Madrid entre los países desarrollados, </w:t>
      </w:r>
      <w:r w:rsidR="003A4B0F">
        <w:rPr>
          <w:sz w:val="20"/>
        </w:rPr>
        <w:t xml:space="preserve">los países </w:t>
      </w:r>
      <w:r w:rsidRPr="006B0DE9">
        <w:rPr>
          <w:sz w:val="20"/>
        </w:rPr>
        <w:t>en desarrollo y los países menos adelantados (PMA), fomentando un mayor uso del sistema tanto entre las Partes Contratantes actuales como entre las nuevas.  Además, se van a aprovechar las oportunidades que se deriven del hecho de que todos los miembros de la Unión de Madrid sean Partes Contratantes del Protocolo de Madrid.  Esto permitirá desarrollar todo el potencial que tiene el sistema de Madrid como principal herramienta con la que cuentan las empresas de todos los tamaños para proteger sus marcas en los mercados de exportación.</w:t>
      </w:r>
    </w:p>
    <w:p w:rsidR="00546AD7" w:rsidRPr="006B0DE9" w:rsidRDefault="00546AD7" w:rsidP="00546AD7">
      <w:pPr>
        <w:widowControl w:val="0"/>
        <w:jc w:val="both"/>
        <w:rPr>
          <w:sz w:val="20"/>
        </w:rPr>
      </w:pPr>
    </w:p>
    <w:p w:rsidR="00546AD7" w:rsidRPr="006B0DE9" w:rsidRDefault="00546AD7" w:rsidP="00BA276E">
      <w:pPr>
        <w:widowControl w:val="0"/>
        <w:numPr>
          <w:ilvl w:val="0"/>
          <w:numId w:val="26"/>
        </w:numPr>
        <w:jc w:val="both"/>
        <w:rPr>
          <w:sz w:val="20"/>
        </w:rPr>
      </w:pPr>
      <w:r w:rsidRPr="006B0DE9">
        <w:rPr>
          <w:sz w:val="20"/>
        </w:rPr>
        <w:t>Se va a continuar perfeccionando el sistema de Madrid, simplificándolo aún más y aumentando la eficiencia y la rentabilidad en la administración de los procedimientos de registro internacional.  Para ello es necesario en concreto llevar a cabo una búsqueda continua de fórmulas que permitan simplificar el funcionamiento de la Oficina Internacional dentro de los límites que establece el marco jurídico internacional.  Esto incluye agilizar los procesos operativos, continuar ampliando los medios de comunicación electrónica entre la Oficina Internacional, las oficinas y los usuarios, y el empleo de herramientas de T.I. modernas en beneficio tanto de los titulares de derechos como de las oficinas.</w:t>
      </w:r>
    </w:p>
    <w:p w:rsidR="00546AD7" w:rsidRPr="006B0DE9" w:rsidRDefault="00546AD7" w:rsidP="00546AD7">
      <w:pPr>
        <w:widowControl w:val="0"/>
        <w:jc w:val="both"/>
        <w:rPr>
          <w:sz w:val="20"/>
        </w:rPr>
      </w:pPr>
    </w:p>
    <w:p w:rsidR="00546AD7" w:rsidRPr="006B0DE9" w:rsidRDefault="00546AD7" w:rsidP="00BA276E">
      <w:pPr>
        <w:widowControl w:val="0"/>
        <w:numPr>
          <w:ilvl w:val="0"/>
          <w:numId w:val="26"/>
        </w:numPr>
        <w:jc w:val="both"/>
        <w:rPr>
          <w:sz w:val="20"/>
        </w:rPr>
      </w:pPr>
      <w:r w:rsidRPr="006B0DE9">
        <w:rPr>
          <w:sz w:val="20"/>
        </w:rPr>
        <w:t xml:space="preserve">Con la finalidad de mejorar la atención que se presta a los clientes y de ofrecer un acceso más rápido y sencillo a la información básica, la Oficina Internacional continuará fomentando la comunicación electrónica entre la propia Oficina Internacional, de una parte, y las oficinas y los usuarios, de otra.  En concreto, se van a mejorar los servicios que se prestan en la actualidad en Internet, entre los que se encuentra el Gestor de Productos y Servicios de Madrid (MGS), que es una herramienta plurilingüe disponible en Internet que permite </w:t>
      </w:r>
      <w:r w:rsidR="00391FE9">
        <w:rPr>
          <w:sz w:val="20"/>
        </w:rPr>
        <w:t>com</w:t>
      </w:r>
      <w:r w:rsidRPr="006B0DE9">
        <w:rPr>
          <w:sz w:val="20"/>
        </w:rPr>
        <w:t>pilar lista</w:t>
      </w:r>
      <w:r w:rsidR="00391FE9">
        <w:rPr>
          <w:sz w:val="20"/>
        </w:rPr>
        <w:t>s</w:t>
      </w:r>
      <w:r w:rsidRPr="006B0DE9">
        <w:rPr>
          <w:sz w:val="20"/>
        </w:rPr>
        <w:t xml:space="preserve"> de productos y servicios que se pueden utilizar a la hora de presentar </w:t>
      </w:r>
      <w:r w:rsidR="00391FE9">
        <w:rPr>
          <w:sz w:val="20"/>
        </w:rPr>
        <w:t>solicitudes de registro de marcas.</w:t>
      </w:r>
    </w:p>
    <w:p w:rsidR="00546AD7" w:rsidRPr="006B0DE9" w:rsidRDefault="00546AD7" w:rsidP="00546AD7">
      <w:pPr>
        <w:widowControl w:val="0"/>
        <w:jc w:val="both"/>
        <w:rPr>
          <w:sz w:val="20"/>
        </w:rPr>
      </w:pPr>
    </w:p>
    <w:p w:rsidR="00546AD7" w:rsidRPr="006B0DE9" w:rsidRDefault="00546AD7" w:rsidP="00BA276E">
      <w:pPr>
        <w:widowControl w:val="0"/>
        <w:numPr>
          <w:ilvl w:val="0"/>
          <w:numId w:val="26"/>
        </w:numPr>
        <w:jc w:val="both"/>
        <w:rPr>
          <w:sz w:val="20"/>
        </w:rPr>
      </w:pPr>
      <w:r w:rsidRPr="006B0DE9">
        <w:rPr>
          <w:sz w:val="20"/>
        </w:rPr>
        <w:t>El Grupo de Trabajo sobre el Desarrollo Jurídico del Sistema de Madrid se seguirá reuniendo dos veces al año o cuando lo estime necesario, y buscará fórmulas para mejorar el marco jurídico internacional.  Por recomendación del Grupo de Trabajo, las modificaciones que se propone introducir en el Reglamento Común se someterán al examen de la Asamblea de la Unión de Madrid para su aprobación durante el bienio 2014/15.</w:t>
      </w:r>
    </w:p>
    <w:p w:rsidR="00546AD7" w:rsidRPr="006B0DE9" w:rsidRDefault="00546AD7" w:rsidP="00546AD7">
      <w:pPr>
        <w:widowControl w:val="0"/>
        <w:jc w:val="both"/>
        <w:rPr>
          <w:sz w:val="20"/>
        </w:rPr>
      </w:pPr>
    </w:p>
    <w:p w:rsidR="00546AD7" w:rsidRPr="006B0DE9" w:rsidRDefault="00546AD7" w:rsidP="00BA276E">
      <w:pPr>
        <w:widowControl w:val="0"/>
        <w:numPr>
          <w:ilvl w:val="0"/>
          <w:numId w:val="26"/>
        </w:numPr>
        <w:jc w:val="both"/>
        <w:rPr>
          <w:sz w:val="20"/>
        </w:rPr>
      </w:pPr>
      <w:r w:rsidRPr="006B0DE9">
        <w:rPr>
          <w:sz w:val="20"/>
        </w:rPr>
        <w:t>Con respecto a la información y promoción, se va a realizar un esfuerzo especial a fin de establecer cuáles pueden ser las causas de la infrautilización del sistema en determinados países.  La resolución de estas cuestiones podría acarrear un aumento considerable de la utilización del sistema de Madrid.</w:t>
      </w:r>
    </w:p>
    <w:p w:rsidR="00546AD7" w:rsidRPr="006B0DE9" w:rsidRDefault="00546AD7" w:rsidP="00546AD7">
      <w:pPr>
        <w:widowControl w:val="0"/>
        <w:jc w:val="both"/>
        <w:rPr>
          <w:sz w:val="20"/>
        </w:rPr>
      </w:pPr>
    </w:p>
    <w:p w:rsidR="00546AD7" w:rsidRPr="006B0DE9" w:rsidRDefault="00546AD7" w:rsidP="00BA276E">
      <w:pPr>
        <w:widowControl w:val="0"/>
        <w:numPr>
          <w:ilvl w:val="0"/>
          <w:numId w:val="26"/>
        </w:numPr>
        <w:jc w:val="both"/>
        <w:rPr>
          <w:sz w:val="20"/>
        </w:rPr>
      </w:pPr>
      <w:r w:rsidRPr="006B0DE9">
        <w:rPr>
          <w:sz w:val="20"/>
        </w:rPr>
        <w:t>En la medida en que se den las sinergias necesarias, las actividades de promoción continuarán contando con la participación de las administraciones competentes de las Partes Contratantes, las organizaciones intergubernamentales (OIG), las organizaciones no gubernamentales (ONG) y las partes interesadas, incluidos los titulares de derechos de P.I. y los profesionales del ámbito de las marcas.  Asimismo, se seguirá centrando la atención en las iniciativas de formación y las actividades de fortalecimiento de las capacidades, en consulta con otros sectores clave de la Organización.</w:t>
      </w:r>
    </w:p>
    <w:p w:rsidR="00546AD7" w:rsidRPr="006B0DE9" w:rsidRDefault="00546AD7" w:rsidP="00546AD7">
      <w:pPr>
        <w:widowControl w:val="0"/>
        <w:jc w:val="both"/>
        <w:rPr>
          <w:sz w:val="20"/>
        </w:rPr>
      </w:pPr>
    </w:p>
    <w:p w:rsidR="00546AD7" w:rsidRPr="006B0DE9" w:rsidRDefault="00546AD7" w:rsidP="00FE42C5">
      <w:pPr>
        <w:keepNext/>
        <w:keepLines/>
        <w:widowControl w:val="0"/>
        <w:numPr>
          <w:ilvl w:val="0"/>
          <w:numId w:val="26"/>
        </w:numPr>
        <w:jc w:val="both"/>
        <w:rPr>
          <w:sz w:val="20"/>
        </w:rPr>
      </w:pPr>
      <w:r w:rsidRPr="006B0DE9">
        <w:rPr>
          <w:sz w:val="20"/>
        </w:rPr>
        <w:lastRenderedPageBreak/>
        <w:t>Por otra parte, de conformidad con la recomendación 1 de la Agenda para el Desarrollo (A.D.), se van a elaborar programas de divulgación que permitan comunicar con mayor eficacia la incidencia que en la práctica tendría una eventual adhesión al Protocolo en un determinado contexto nacional.</w:t>
      </w:r>
    </w:p>
    <w:p w:rsidR="00546AD7" w:rsidRPr="006B0DE9" w:rsidRDefault="00546AD7" w:rsidP="00546AD7">
      <w:pPr>
        <w:widowControl w:val="0"/>
        <w:jc w:val="both"/>
        <w:rPr>
          <w:sz w:val="20"/>
        </w:rPr>
      </w:pPr>
    </w:p>
    <w:p w:rsidR="00546AD7" w:rsidRPr="006B0DE9" w:rsidRDefault="00546AD7" w:rsidP="00546AD7">
      <w:pPr>
        <w:widowControl w:val="0"/>
        <w:jc w:val="both"/>
        <w:rPr>
          <w:sz w:val="20"/>
        </w:rPr>
      </w:pPr>
    </w:p>
    <w:p w:rsidR="00546AD7" w:rsidRPr="006B0DE9" w:rsidRDefault="00546AD7" w:rsidP="00546AD7">
      <w:pPr>
        <w:widowControl w:val="0"/>
        <w:autoSpaceDE w:val="0"/>
        <w:autoSpaceDN w:val="0"/>
        <w:adjustRightInd w:val="0"/>
        <w:jc w:val="both"/>
        <w:rPr>
          <w:b/>
          <w:bCs/>
          <w:color w:val="000000"/>
        </w:rPr>
      </w:pPr>
      <w:r w:rsidRPr="006B0DE9">
        <w:rPr>
          <w:b/>
          <w:bCs/>
          <w:color w:val="000000"/>
        </w:rPr>
        <w:t>B.</w:t>
      </w:r>
      <w:r w:rsidRPr="006B0DE9">
        <w:rPr>
          <w:b/>
          <w:bCs/>
          <w:color w:val="000000"/>
        </w:rPr>
        <w:tab/>
        <w:t>SISTEMA DE LISBOA</w:t>
      </w:r>
    </w:p>
    <w:p w:rsidR="00546AD7" w:rsidRDefault="00546AD7" w:rsidP="00546AD7">
      <w:pPr>
        <w:widowControl w:val="0"/>
        <w:autoSpaceDE w:val="0"/>
        <w:autoSpaceDN w:val="0"/>
        <w:adjustRightInd w:val="0"/>
        <w:jc w:val="both"/>
        <w:rPr>
          <w:color w:val="000000"/>
          <w:sz w:val="20"/>
        </w:rPr>
      </w:pPr>
    </w:p>
    <w:p w:rsidR="0079447F" w:rsidRPr="006B0DE9" w:rsidRDefault="0079447F" w:rsidP="00546AD7">
      <w:pPr>
        <w:widowControl w:val="0"/>
        <w:autoSpaceDE w:val="0"/>
        <w:autoSpaceDN w:val="0"/>
        <w:adjustRightInd w:val="0"/>
        <w:jc w:val="both"/>
        <w:rPr>
          <w:color w:val="000000"/>
          <w:sz w:val="20"/>
        </w:rPr>
      </w:pPr>
    </w:p>
    <w:p w:rsidR="00546AD7" w:rsidRPr="006B0DE9" w:rsidRDefault="00546AD7" w:rsidP="00546AD7">
      <w:pPr>
        <w:widowControl w:val="0"/>
        <w:autoSpaceDE w:val="0"/>
        <w:autoSpaceDN w:val="0"/>
        <w:adjustRightInd w:val="0"/>
        <w:jc w:val="both"/>
        <w:rPr>
          <w:color w:val="000000"/>
          <w:sz w:val="18"/>
          <w:szCs w:val="18"/>
        </w:rPr>
      </w:pPr>
      <w:r w:rsidRPr="006B0DE9">
        <w:rPr>
          <w:color w:val="000000"/>
        </w:rPr>
        <w:t>CONTEXTO DE PLANIFICACIÓN</w:t>
      </w:r>
    </w:p>
    <w:p w:rsidR="00546AD7" w:rsidRPr="006B0DE9" w:rsidRDefault="00546AD7" w:rsidP="00546AD7">
      <w:pPr>
        <w:widowControl w:val="0"/>
        <w:autoSpaceDE w:val="0"/>
        <w:autoSpaceDN w:val="0"/>
        <w:adjustRightInd w:val="0"/>
        <w:jc w:val="both"/>
        <w:rPr>
          <w:color w:val="000000"/>
          <w:sz w:val="20"/>
        </w:rPr>
      </w:pPr>
    </w:p>
    <w:p w:rsidR="00546AD7" w:rsidRPr="006B0DE9" w:rsidRDefault="00546AD7" w:rsidP="00BA276E">
      <w:pPr>
        <w:widowControl w:val="0"/>
        <w:numPr>
          <w:ilvl w:val="0"/>
          <w:numId w:val="26"/>
        </w:numPr>
        <w:jc w:val="both"/>
        <w:rPr>
          <w:color w:val="000000"/>
          <w:sz w:val="20"/>
        </w:rPr>
      </w:pPr>
      <w:r w:rsidRPr="006B0DE9">
        <w:rPr>
          <w:bCs/>
          <w:color w:val="000000"/>
          <w:sz w:val="20"/>
        </w:rPr>
        <w:t xml:space="preserve">En lo que respecta al sistema de Lisboa, en el bienio la atención girará en torno a la posible finalización de la revisión </w:t>
      </w:r>
      <w:r w:rsidRPr="006B0DE9">
        <w:rPr>
          <w:sz w:val="20"/>
        </w:rPr>
        <w:t xml:space="preserve">del sistema de Lisboa.  El Grupo de Trabajo sobre el Desarrollo del Sistema de Lisboa está llevando a cabo una revisión del Arreglo de Lisboa de 1958, a fin de </w:t>
      </w:r>
      <w:r w:rsidRPr="006B0DE9">
        <w:rPr>
          <w:bCs/>
          <w:sz w:val="20"/>
        </w:rPr>
        <w:t>hacer más atractivo el sistema en pos de la adhesión por los gobiernos, por un lado, y de su uso por los titulares de derechos, por el otro, manteniendo los principios y objetivos del Arreglo de Lisboa.  Los objetivos principales del Grupo de Trabajo son precisar que el sistema de Lisboa es aplicable también respecto de las indicaciones geográficas, incluir la posibilidad de adhesión por parte de las OIG y perfeccionar su marco legal.</w:t>
      </w:r>
    </w:p>
    <w:p w:rsidR="00546AD7" w:rsidRPr="006B0DE9" w:rsidRDefault="00546AD7" w:rsidP="00546AD7">
      <w:pPr>
        <w:widowControl w:val="0"/>
        <w:autoSpaceDE w:val="0"/>
        <w:autoSpaceDN w:val="0"/>
        <w:adjustRightInd w:val="0"/>
        <w:jc w:val="both"/>
        <w:rPr>
          <w:color w:val="000000"/>
          <w:sz w:val="20"/>
        </w:rPr>
      </w:pPr>
    </w:p>
    <w:p w:rsidR="00546AD7" w:rsidRPr="006B0DE9" w:rsidRDefault="00546AD7" w:rsidP="00546AD7">
      <w:pPr>
        <w:widowControl w:val="0"/>
        <w:autoSpaceDE w:val="0"/>
        <w:autoSpaceDN w:val="0"/>
        <w:adjustRightInd w:val="0"/>
        <w:jc w:val="both"/>
        <w:rPr>
          <w:color w:val="000000"/>
          <w:sz w:val="20"/>
        </w:rPr>
      </w:pPr>
      <w:r w:rsidRPr="006B0DE9">
        <w:rPr>
          <w:color w:val="000000"/>
          <w:sz w:val="20"/>
        </w:rPr>
        <w:t>Desde 1997, ha aumentado el número de miembros del sistema de Lisboa, pasando de 17 a 28 Estados.</w:t>
      </w:r>
    </w:p>
    <w:p w:rsidR="00546AD7" w:rsidRPr="006B0DE9" w:rsidRDefault="00546AD7" w:rsidP="00546AD7">
      <w:pPr>
        <w:widowControl w:val="0"/>
        <w:autoSpaceDE w:val="0"/>
        <w:autoSpaceDN w:val="0"/>
        <w:adjustRightInd w:val="0"/>
        <w:jc w:val="both"/>
        <w:rPr>
          <w:color w:val="000000"/>
          <w:sz w:val="20"/>
        </w:rPr>
      </w:pPr>
    </w:p>
    <w:p w:rsidR="00546AD7" w:rsidRPr="006B0DE9" w:rsidRDefault="00546AD7" w:rsidP="00546AD7">
      <w:pPr>
        <w:widowControl w:val="0"/>
        <w:autoSpaceDE w:val="0"/>
        <w:autoSpaceDN w:val="0"/>
        <w:adjustRightInd w:val="0"/>
        <w:jc w:val="both"/>
        <w:rPr>
          <w:color w:val="000000"/>
          <w:sz w:val="20"/>
        </w:rPr>
      </w:pPr>
    </w:p>
    <w:p w:rsidR="00546AD7" w:rsidRPr="006B0DE9" w:rsidRDefault="00546AD7" w:rsidP="00546AD7">
      <w:pPr>
        <w:widowControl w:val="0"/>
        <w:autoSpaceDE w:val="0"/>
        <w:autoSpaceDN w:val="0"/>
        <w:adjustRightInd w:val="0"/>
        <w:jc w:val="both"/>
        <w:rPr>
          <w:color w:val="000000"/>
          <w:sz w:val="18"/>
          <w:szCs w:val="18"/>
        </w:rPr>
      </w:pPr>
      <w:r w:rsidRPr="006B0DE9">
        <w:rPr>
          <w:color w:val="000000"/>
        </w:rPr>
        <w:t>ESTRATEGIAS DE EJECUCIÓN</w:t>
      </w:r>
    </w:p>
    <w:p w:rsidR="00546AD7" w:rsidRPr="006B0DE9" w:rsidRDefault="00546AD7" w:rsidP="00546AD7">
      <w:pPr>
        <w:widowControl w:val="0"/>
        <w:autoSpaceDE w:val="0"/>
        <w:autoSpaceDN w:val="0"/>
        <w:adjustRightInd w:val="0"/>
        <w:jc w:val="both"/>
        <w:rPr>
          <w:color w:val="000000"/>
          <w:sz w:val="20"/>
        </w:rPr>
      </w:pPr>
    </w:p>
    <w:p w:rsidR="00546AD7" w:rsidRPr="006B0DE9" w:rsidRDefault="00546AD7" w:rsidP="00BA276E">
      <w:pPr>
        <w:widowControl w:val="0"/>
        <w:numPr>
          <w:ilvl w:val="0"/>
          <w:numId w:val="26"/>
        </w:numPr>
        <w:jc w:val="both"/>
        <w:rPr>
          <w:color w:val="000000"/>
          <w:sz w:val="20"/>
        </w:rPr>
      </w:pPr>
      <w:r w:rsidRPr="006B0DE9">
        <w:rPr>
          <w:color w:val="000000"/>
          <w:sz w:val="20"/>
        </w:rPr>
        <w:t>A la luz de los avances obtenidos en lo que respecta a la revisión del Arreglo de Lisboa con el fin de modernizar el sistema de Lisboa y hacer que el número de miembros aumente de forma considerable, permitiendo asimismo la adhesión de las OIG, el Grupo de Trabajo ha acordado recomendar a la Asamblea de la Unión de Lisboa que convoque una conferencia diplomática en 2015 para la adopción de un Arreglo de Lisboa revisado,</w:t>
      </w:r>
      <w:r w:rsidRPr="006B0DE9">
        <w:t xml:space="preserve"> </w:t>
      </w:r>
      <w:r w:rsidRPr="006B0DE9">
        <w:rPr>
          <w:color w:val="000000"/>
          <w:sz w:val="20"/>
        </w:rPr>
        <w:t>dejándose en manos del comité preparatorio la decisión de las fechas y el lugar precisos de la misma.</w:t>
      </w:r>
    </w:p>
    <w:p w:rsidR="00546AD7" w:rsidRPr="006B0DE9" w:rsidRDefault="00546AD7" w:rsidP="00546AD7">
      <w:pPr>
        <w:widowControl w:val="0"/>
        <w:jc w:val="both"/>
        <w:rPr>
          <w:color w:val="000000"/>
          <w:sz w:val="20"/>
        </w:rPr>
      </w:pPr>
    </w:p>
    <w:p w:rsidR="00546AD7" w:rsidRPr="006B0DE9" w:rsidRDefault="00546AD7" w:rsidP="00BA276E">
      <w:pPr>
        <w:widowControl w:val="0"/>
        <w:numPr>
          <w:ilvl w:val="0"/>
          <w:numId w:val="26"/>
        </w:numPr>
        <w:jc w:val="both"/>
        <w:rPr>
          <w:color w:val="000000"/>
          <w:sz w:val="20"/>
        </w:rPr>
      </w:pPr>
      <w:r w:rsidRPr="006B0DE9">
        <w:rPr>
          <w:color w:val="000000"/>
          <w:sz w:val="20"/>
        </w:rPr>
        <w:t>Las actividades de información y promoción que lleva a cabo la Oficina Internacional incorporarán, como elemento importante, las cuestiones relativas al registro internacional de las denominaciones de origen y las indicaciones geográficas, con inclusión de la revisión prevista del sistema de Lisboa.</w:t>
      </w:r>
    </w:p>
    <w:p w:rsidR="00546AD7" w:rsidRPr="006B0DE9" w:rsidRDefault="00546AD7" w:rsidP="00546AD7">
      <w:pPr>
        <w:widowControl w:val="0"/>
        <w:autoSpaceDE w:val="0"/>
        <w:autoSpaceDN w:val="0"/>
        <w:adjustRightInd w:val="0"/>
        <w:jc w:val="both"/>
        <w:rPr>
          <w:b/>
          <w:bCs/>
          <w:color w:val="333333"/>
          <w:sz w:val="20"/>
        </w:rPr>
      </w:pPr>
    </w:p>
    <w:p w:rsidR="00546AD7" w:rsidRPr="006B0DE9" w:rsidRDefault="00546AD7" w:rsidP="00BA276E">
      <w:pPr>
        <w:widowControl w:val="0"/>
        <w:numPr>
          <w:ilvl w:val="0"/>
          <w:numId w:val="26"/>
        </w:numPr>
        <w:jc w:val="both"/>
        <w:rPr>
          <w:sz w:val="20"/>
        </w:rPr>
      </w:pPr>
      <w:r w:rsidRPr="006B0DE9">
        <w:rPr>
          <w:sz w:val="20"/>
        </w:rPr>
        <w:t xml:space="preserve">En este contexto, la Oficina Internacional prestará asimismo asistencia técnica en beneficio de los países en desarrollo y </w:t>
      </w:r>
      <w:r>
        <w:rPr>
          <w:sz w:val="20"/>
        </w:rPr>
        <w:t xml:space="preserve">los </w:t>
      </w:r>
      <w:r w:rsidRPr="006B0DE9">
        <w:rPr>
          <w:sz w:val="20"/>
        </w:rPr>
        <w:t xml:space="preserve">PMA que estén interesados.  Además, se </w:t>
      </w:r>
      <w:r w:rsidRPr="006B0DE9">
        <w:rPr>
          <w:bCs/>
          <w:sz w:val="20"/>
        </w:rPr>
        <w:t xml:space="preserve">seguirán utilizando herramientas electrónicas con el objetivo de </w:t>
      </w:r>
      <w:r>
        <w:rPr>
          <w:bCs/>
          <w:sz w:val="20"/>
        </w:rPr>
        <w:t>aumentar al máximo</w:t>
      </w:r>
      <w:r w:rsidRPr="006B0DE9">
        <w:rPr>
          <w:bCs/>
          <w:sz w:val="20"/>
        </w:rPr>
        <w:t xml:space="preserve"> la eficacia en los procedimientos del sistema de Lisboa.</w:t>
      </w:r>
    </w:p>
    <w:p w:rsidR="00546AD7" w:rsidRPr="006B0DE9" w:rsidRDefault="00546AD7" w:rsidP="00546AD7">
      <w:pPr>
        <w:widowControl w:val="0"/>
        <w:autoSpaceDE w:val="0"/>
        <w:autoSpaceDN w:val="0"/>
        <w:adjustRightInd w:val="0"/>
        <w:jc w:val="both"/>
        <w:rPr>
          <w:sz w:val="20"/>
        </w:rPr>
      </w:pPr>
    </w:p>
    <w:p w:rsidR="00546AD7" w:rsidRPr="006B0DE9" w:rsidRDefault="00546AD7" w:rsidP="00BA276E">
      <w:pPr>
        <w:widowControl w:val="0"/>
        <w:numPr>
          <w:ilvl w:val="0"/>
          <w:numId w:val="26"/>
        </w:numPr>
        <w:jc w:val="both"/>
        <w:rPr>
          <w:sz w:val="20"/>
        </w:rPr>
      </w:pPr>
      <w:r w:rsidRPr="006B0DE9">
        <w:rPr>
          <w:sz w:val="20"/>
        </w:rPr>
        <w:t>Una vez se haya automatizado el Registro Internacional y se hayan establecido los medios electrónicos de comunicación en el marco de los procedimientos del Arreglo de Lisboa entre la Oficina Internacional y las administraciones competentes de todos los Estados miembros, objetivos que se espera conseguir en 2013, la Oficina Internacional se dedicará a perfeccionar los procedimientos de notificación y de registro durante el bienio, según proceda.</w:t>
      </w:r>
    </w:p>
    <w:p w:rsidR="00546AD7" w:rsidRPr="006B0DE9" w:rsidRDefault="00546AD7" w:rsidP="00546AD7">
      <w:pPr>
        <w:widowControl w:val="0"/>
        <w:autoSpaceDE w:val="0"/>
        <w:autoSpaceDN w:val="0"/>
        <w:adjustRightInd w:val="0"/>
        <w:jc w:val="both"/>
        <w:rPr>
          <w:color w:val="000000"/>
          <w:sz w:val="20"/>
        </w:rPr>
      </w:pPr>
    </w:p>
    <w:p w:rsidR="00546AD7" w:rsidRPr="006B0DE9" w:rsidRDefault="00546AD7" w:rsidP="00BA276E">
      <w:pPr>
        <w:widowControl w:val="0"/>
        <w:numPr>
          <w:ilvl w:val="0"/>
          <w:numId w:val="26"/>
        </w:numPr>
        <w:jc w:val="both"/>
        <w:rPr>
          <w:color w:val="000000"/>
          <w:sz w:val="20"/>
        </w:rPr>
      </w:pPr>
      <w:r w:rsidRPr="006B0DE9">
        <w:rPr>
          <w:color w:val="000000"/>
          <w:sz w:val="20"/>
        </w:rPr>
        <w:t xml:space="preserve">El número medio de solicitudes internacionales y otras peticiones de inscripción en el Registro Internacional en el marco del sistema de Lisboa de 1967 ha </w:t>
      </w:r>
      <w:r>
        <w:rPr>
          <w:color w:val="000000"/>
          <w:sz w:val="20"/>
        </w:rPr>
        <w:t>sido de</w:t>
      </w:r>
      <w:r w:rsidRPr="006B0DE9">
        <w:rPr>
          <w:color w:val="000000"/>
          <w:sz w:val="20"/>
        </w:rPr>
        <w:t xml:space="preserve"> aproximadamente 25 transacciones de esa índole por año, aunque con grandes fluctuaciones entre años (por ejemplo, en 2009 se realizaron siete transacciones y en 2007 se realizaron 596).</w:t>
      </w:r>
    </w:p>
    <w:p w:rsidR="00546AD7" w:rsidRPr="006B0DE9" w:rsidRDefault="00546AD7" w:rsidP="00546AD7">
      <w:pPr>
        <w:widowControl w:val="0"/>
        <w:autoSpaceDE w:val="0"/>
        <w:autoSpaceDN w:val="0"/>
        <w:adjustRightInd w:val="0"/>
        <w:jc w:val="both"/>
        <w:rPr>
          <w:color w:val="000000"/>
          <w:sz w:val="20"/>
        </w:rPr>
      </w:pPr>
    </w:p>
    <w:p w:rsidR="00453803" w:rsidRDefault="00453803" w:rsidP="0063482E">
      <w:pPr>
        <w:widowControl w:val="0"/>
        <w:autoSpaceDE w:val="0"/>
        <w:autoSpaceDN w:val="0"/>
        <w:adjustRightInd w:val="0"/>
        <w:jc w:val="both"/>
      </w:pPr>
    </w:p>
    <w:p w:rsidR="0063482E" w:rsidRPr="00C75C7E" w:rsidRDefault="0063482E" w:rsidP="0079447F">
      <w:pPr>
        <w:keepNext/>
        <w:widowControl w:val="0"/>
        <w:autoSpaceDE w:val="0"/>
        <w:autoSpaceDN w:val="0"/>
        <w:adjustRightInd w:val="0"/>
        <w:jc w:val="both"/>
      </w:pPr>
      <w:r w:rsidRPr="00C75C7E">
        <w:rPr>
          <w:bCs/>
          <w:szCs w:val="22"/>
        </w:rPr>
        <w:lastRenderedPageBreak/>
        <w:t>PRINCIPALES RIESGOS Y ESTRATEGIAS DE MITIGACIÓN</w:t>
      </w:r>
    </w:p>
    <w:p w:rsidR="0063482E" w:rsidRPr="00C75C7E" w:rsidRDefault="0063482E" w:rsidP="0079447F">
      <w:pPr>
        <w:keepNext/>
        <w:widowControl w:val="0"/>
        <w:autoSpaceDE w:val="0"/>
        <w:autoSpaceDN w:val="0"/>
        <w:adjustRightInd w:val="0"/>
        <w:jc w:val="both"/>
      </w:pPr>
    </w:p>
    <w:tbl>
      <w:tblPr>
        <w:tblW w:w="0" w:type="auto"/>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400"/>
        <w:gridCol w:w="5011"/>
      </w:tblGrid>
      <w:tr w:rsidR="0063482E" w:rsidRPr="00C75C7E" w:rsidTr="00962ADA">
        <w:trPr>
          <w:trHeight w:val="459"/>
          <w:tblHeader/>
        </w:trPr>
        <w:tc>
          <w:tcPr>
            <w:tcW w:w="4400" w:type="dxa"/>
            <w:tcBorders>
              <w:top w:val="single" w:sz="4" w:space="0" w:color="auto"/>
              <w:bottom w:val="single" w:sz="4" w:space="0" w:color="auto"/>
            </w:tcBorders>
            <w:shd w:val="clear" w:color="auto" w:fill="CCFFFF"/>
            <w:vAlign w:val="center"/>
          </w:tcPr>
          <w:p w:rsidR="0063482E" w:rsidRPr="00C75C7E" w:rsidRDefault="0063482E" w:rsidP="0079447F">
            <w:pPr>
              <w:keepNext/>
              <w:widowControl w:val="0"/>
              <w:autoSpaceDE w:val="0"/>
              <w:autoSpaceDN w:val="0"/>
              <w:adjustRightInd w:val="0"/>
              <w:ind w:right="-59"/>
              <w:jc w:val="center"/>
              <w:rPr>
                <w:b/>
                <w:bCs/>
                <w:iCs/>
                <w:sz w:val="18"/>
                <w:szCs w:val="18"/>
              </w:rPr>
            </w:pPr>
            <w:r w:rsidRPr="00C75C7E">
              <w:rPr>
                <w:b/>
                <w:bCs/>
                <w:iCs/>
                <w:sz w:val="18"/>
                <w:szCs w:val="18"/>
              </w:rPr>
              <w:t>Riesgos en el logro de los resultados del programa</w:t>
            </w:r>
          </w:p>
        </w:tc>
        <w:tc>
          <w:tcPr>
            <w:tcW w:w="5011" w:type="dxa"/>
            <w:tcBorders>
              <w:top w:val="single" w:sz="4" w:space="0" w:color="auto"/>
              <w:bottom w:val="single" w:sz="4" w:space="0" w:color="auto"/>
            </w:tcBorders>
            <w:shd w:val="clear" w:color="auto" w:fill="CCFFFF"/>
            <w:vAlign w:val="center"/>
          </w:tcPr>
          <w:p w:rsidR="0063482E" w:rsidRPr="00C75C7E" w:rsidRDefault="0063482E" w:rsidP="00962ADA">
            <w:pPr>
              <w:keepNext/>
              <w:widowControl w:val="0"/>
              <w:autoSpaceDE w:val="0"/>
              <w:autoSpaceDN w:val="0"/>
              <w:adjustRightInd w:val="0"/>
              <w:ind w:right="-59"/>
              <w:rPr>
                <w:b/>
                <w:bCs/>
                <w:iCs/>
                <w:sz w:val="18"/>
                <w:szCs w:val="18"/>
              </w:rPr>
            </w:pPr>
            <w:r w:rsidRPr="00C75C7E">
              <w:rPr>
                <w:b/>
                <w:bCs/>
                <w:iCs/>
                <w:sz w:val="18"/>
                <w:szCs w:val="18"/>
              </w:rPr>
              <w:t xml:space="preserve">Planes de mitigación ejecutados o en ejecución </w:t>
            </w:r>
          </w:p>
        </w:tc>
      </w:tr>
      <w:tr w:rsidR="0063482E" w:rsidRPr="00C75C7E" w:rsidTr="00962ADA">
        <w:trPr>
          <w:trHeight w:val="1496"/>
        </w:trPr>
        <w:tc>
          <w:tcPr>
            <w:tcW w:w="4400" w:type="dxa"/>
            <w:tcBorders>
              <w:top w:val="single" w:sz="4" w:space="0" w:color="auto"/>
            </w:tcBorders>
            <w:shd w:val="clear" w:color="auto" w:fill="auto"/>
            <w:tcMar>
              <w:top w:w="113" w:type="dxa"/>
              <w:bottom w:w="113" w:type="dxa"/>
            </w:tcMar>
          </w:tcPr>
          <w:p w:rsidR="0063482E" w:rsidRPr="00C75C7E" w:rsidRDefault="0063482E" w:rsidP="00EF3DB5">
            <w:pPr>
              <w:widowControl w:val="0"/>
              <w:rPr>
                <w:sz w:val="16"/>
                <w:szCs w:val="16"/>
              </w:rPr>
            </w:pPr>
            <w:r w:rsidRPr="00C75C7E">
              <w:rPr>
                <w:sz w:val="16"/>
                <w:szCs w:val="16"/>
              </w:rPr>
              <w:t>La utilización del sistema de Madrid disminuyó en 2009 y desde entonces se ha ido incrementando.  Sin embargo, podría producirse una segunda “caída”, lo que daría lugar a una infrautilización del sistema de Madrid y menos ingresos para la OMPI.  Hay además otros factores que podrían contribuir a la infrautilización del sistema de Madrid, como la inestabilidad política o social o la falta de infraestructura jurídica apropiada.</w:t>
            </w:r>
          </w:p>
          <w:p w:rsidR="0063482E" w:rsidRPr="00C75C7E" w:rsidRDefault="0063482E" w:rsidP="00EF3DB5">
            <w:pPr>
              <w:widowControl w:val="0"/>
              <w:rPr>
                <w:sz w:val="16"/>
                <w:szCs w:val="16"/>
              </w:rPr>
            </w:pPr>
          </w:p>
        </w:tc>
        <w:tc>
          <w:tcPr>
            <w:tcW w:w="5011" w:type="dxa"/>
            <w:tcBorders>
              <w:top w:val="single" w:sz="4" w:space="0" w:color="auto"/>
            </w:tcBorders>
            <w:shd w:val="clear" w:color="auto" w:fill="auto"/>
            <w:tcMar>
              <w:top w:w="113" w:type="dxa"/>
              <w:bottom w:w="113" w:type="dxa"/>
            </w:tcMar>
          </w:tcPr>
          <w:p w:rsidR="0063482E" w:rsidRPr="00C75C7E" w:rsidRDefault="0063482E" w:rsidP="00EF3DB5">
            <w:pPr>
              <w:widowControl w:val="0"/>
              <w:autoSpaceDE w:val="0"/>
              <w:autoSpaceDN w:val="0"/>
              <w:adjustRightInd w:val="0"/>
              <w:ind w:right="-59"/>
              <w:rPr>
                <w:sz w:val="16"/>
                <w:szCs w:val="16"/>
              </w:rPr>
            </w:pPr>
            <w:r w:rsidRPr="00C75C7E">
              <w:rPr>
                <w:sz w:val="16"/>
                <w:szCs w:val="16"/>
              </w:rPr>
              <w:t>Los riesgos podrían mitigarse mediante un intensivo programa de actividades promocionales encaminadas a maximizar el posible uso del sistema de Madrid por parte de los usuarios, y contrarrestar así su infrautilización, a fin de aprovechar las crecientes eficiencia y costoeficacia del sistema.  No obstante, cuando fuera necesario modificar las políticas o leyes de marcas en los planos nacional, regional o incluso internacional, podría llevar mucho tiempo resolver el problema, o incluso no llegar a resolverse.</w:t>
            </w:r>
          </w:p>
        </w:tc>
      </w:tr>
      <w:tr w:rsidR="0063482E" w:rsidRPr="00C75C7E" w:rsidTr="00962ADA">
        <w:trPr>
          <w:trHeight w:val="1575"/>
        </w:trPr>
        <w:tc>
          <w:tcPr>
            <w:tcW w:w="4400" w:type="dxa"/>
            <w:shd w:val="clear" w:color="auto" w:fill="auto"/>
            <w:tcMar>
              <w:top w:w="113" w:type="dxa"/>
              <w:bottom w:w="113" w:type="dxa"/>
            </w:tcMar>
          </w:tcPr>
          <w:p w:rsidR="0063482E" w:rsidRPr="00C75C7E" w:rsidRDefault="0063482E" w:rsidP="00EF3DB5">
            <w:pPr>
              <w:widowControl w:val="0"/>
              <w:rPr>
                <w:sz w:val="16"/>
                <w:szCs w:val="16"/>
              </w:rPr>
            </w:pPr>
            <w:r w:rsidRPr="00C75C7E">
              <w:rPr>
                <w:sz w:val="16"/>
                <w:szCs w:val="16"/>
              </w:rPr>
              <w:t>Algunas complicaciones podrían obstaculizar la transformación del sistema de Lisboa en un sistema con mayor participación internacional.  En concreto, las partes interesadas podrían seguir dudando de las ventajas del sistema.</w:t>
            </w:r>
          </w:p>
          <w:p w:rsidR="0063482E" w:rsidRPr="00C75C7E" w:rsidRDefault="0063482E" w:rsidP="00EF3DB5">
            <w:pPr>
              <w:widowControl w:val="0"/>
              <w:rPr>
                <w:sz w:val="16"/>
                <w:szCs w:val="16"/>
              </w:rPr>
            </w:pPr>
          </w:p>
        </w:tc>
        <w:tc>
          <w:tcPr>
            <w:tcW w:w="5011" w:type="dxa"/>
            <w:shd w:val="clear" w:color="auto" w:fill="auto"/>
            <w:tcMar>
              <w:top w:w="113" w:type="dxa"/>
              <w:bottom w:w="113" w:type="dxa"/>
            </w:tcMar>
          </w:tcPr>
          <w:p w:rsidR="0063482E" w:rsidRPr="00C75C7E" w:rsidRDefault="0063482E" w:rsidP="00EF3DB5">
            <w:pPr>
              <w:widowControl w:val="0"/>
              <w:autoSpaceDE w:val="0"/>
              <w:autoSpaceDN w:val="0"/>
              <w:adjustRightInd w:val="0"/>
              <w:ind w:right="-59"/>
              <w:rPr>
                <w:sz w:val="16"/>
                <w:szCs w:val="16"/>
              </w:rPr>
            </w:pPr>
            <w:r w:rsidRPr="00C75C7E">
              <w:rPr>
                <w:sz w:val="16"/>
                <w:szCs w:val="16"/>
              </w:rPr>
              <w:t>En el examen se tiene en cuenta cómo se protegen las denominaciones de origen y las indicaciones geográficas en varias jurisdicciones sin perder de vista los principios y objetivos del sistema de Lisboa.</w:t>
            </w:r>
          </w:p>
          <w:p w:rsidR="0063482E" w:rsidRPr="00C75C7E" w:rsidRDefault="0063482E" w:rsidP="00EF3DB5">
            <w:pPr>
              <w:widowControl w:val="0"/>
              <w:autoSpaceDE w:val="0"/>
              <w:autoSpaceDN w:val="0"/>
              <w:adjustRightInd w:val="0"/>
              <w:ind w:right="-59"/>
              <w:rPr>
                <w:sz w:val="16"/>
                <w:szCs w:val="16"/>
              </w:rPr>
            </w:pPr>
            <w:r w:rsidRPr="00C75C7E">
              <w:rPr>
                <w:sz w:val="16"/>
                <w:szCs w:val="16"/>
              </w:rPr>
              <w:t>Las actividades informativas y promocionales se basan en el mismo planteamiento, al tiempo que se señalan las ventajas del sistema de Lisboa y las flexibilidades disponibles que deben especificarse en el Arreglo de Lisboa revisado.</w:t>
            </w:r>
          </w:p>
        </w:tc>
      </w:tr>
    </w:tbl>
    <w:p w:rsidR="0063482E" w:rsidRPr="00C75C7E" w:rsidRDefault="0063482E" w:rsidP="006A15F5"/>
    <w:p w:rsidR="0063482E" w:rsidRPr="00C75C7E" w:rsidRDefault="0063482E" w:rsidP="006A15F5">
      <w:pPr>
        <w:rPr>
          <w:szCs w:val="22"/>
        </w:rPr>
      </w:pPr>
    </w:p>
    <w:p w:rsidR="0063482E" w:rsidRPr="00C75C7E" w:rsidRDefault="0063482E" w:rsidP="0063482E">
      <w:pPr>
        <w:widowControl w:val="0"/>
        <w:tabs>
          <w:tab w:val="left" w:pos="567"/>
          <w:tab w:val="left" w:pos="1985"/>
        </w:tabs>
        <w:jc w:val="both"/>
        <w:rPr>
          <w:bCs/>
          <w:szCs w:val="22"/>
          <w:lang w:val="es-ES_tradnl"/>
        </w:rPr>
      </w:pPr>
      <w:r w:rsidRPr="00C75C7E">
        <w:rPr>
          <w:bCs/>
          <w:szCs w:val="22"/>
          <w:lang w:val="es-ES_tradnl"/>
        </w:rPr>
        <w:t>MARCO DE RESULTADOS</w:t>
      </w:r>
    </w:p>
    <w:p w:rsidR="0063482E" w:rsidRPr="00C75C7E" w:rsidRDefault="0063482E" w:rsidP="0063482E">
      <w:pPr>
        <w:widowControl w:val="0"/>
        <w:tabs>
          <w:tab w:val="left" w:pos="567"/>
          <w:tab w:val="left" w:pos="1985"/>
        </w:tabs>
        <w:jc w:val="both"/>
        <w:rPr>
          <w:bCs/>
          <w:sz w:val="20"/>
          <w:lang w:val="es-ES_tradnl"/>
        </w:rPr>
      </w:pPr>
    </w:p>
    <w:tbl>
      <w:tblPr>
        <w:tblW w:w="4914"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333"/>
        <w:gridCol w:w="2829"/>
        <w:gridCol w:w="2158"/>
        <w:gridCol w:w="2086"/>
      </w:tblGrid>
      <w:tr w:rsidR="0063482E" w:rsidRPr="00C75C7E" w:rsidTr="00EF3DB5">
        <w:trPr>
          <w:cantSplit/>
          <w:trHeight w:val="608"/>
          <w:tblHeader/>
        </w:trPr>
        <w:tc>
          <w:tcPr>
            <w:tcW w:w="1240" w:type="pct"/>
            <w:tcBorders>
              <w:top w:val="single" w:sz="4" w:space="0" w:color="auto"/>
              <w:left w:val="single" w:sz="4" w:space="0" w:color="auto"/>
              <w:bottom w:val="single" w:sz="4" w:space="0" w:color="auto"/>
            </w:tcBorders>
            <w:shd w:val="clear" w:color="auto" w:fill="CCFFFF"/>
            <w:vAlign w:val="center"/>
          </w:tcPr>
          <w:p w:rsidR="0063482E" w:rsidRPr="00C75C7E" w:rsidRDefault="0063482E" w:rsidP="00EF3DB5">
            <w:pPr>
              <w:widowControl w:val="0"/>
              <w:spacing w:after="120"/>
              <w:jc w:val="center"/>
              <w:rPr>
                <w:b/>
                <w:bCs/>
                <w:sz w:val="18"/>
                <w:szCs w:val="18"/>
                <w:lang w:val="es-ES_tradnl"/>
              </w:rPr>
            </w:pPr>
            <w:r w:rsidRPr="00C75C7E">
              <w:rPr>
                <w:b/>
                <w:bCs/>
                <w:sz w:val="18"/>
                <w:szCs w:val="18"/>
                <w:lang w:val="es-ES_tradnl"/>
              </w:rPr>
              <w:t>Resultados previstos</w:t>
            </w:r>
          </w:p>
        </w:tc>
        <w:tc>
          <w:tcPr>
            <w:tcW w:w="1504" w:type="pct"/>
            <w:tcBorders>
              <w:top w:val="single" w:sz="4" w:space="0" w:color="auto"/>
              <w:bottom w:val="single" w:sz="4" w:space="0" w:color="auto"/>
            </w:tcBorders>
            <w:shd w:val="clear" w:color="auto" w:fill="CCFFFF"/>
            <w:tcMar>
              <w:top w:w="110" w:type="dxa"/>
            </w:tcMar>
            <w:vAlign w:val="center"/>
          </w:tcPr>
          <w:p w:rsidR="0063482E" w:rsidRPr="00C75C7E" w:rsidRDefault="0063482E" w:rsidP="00EF3DB5">
            <w:pPr>
              <w:widowControl w:val="0"/>
              <w:spacing w:after="120"/>
              <w:jc w:val="center"/>
              <w:rPr>
                <w:b/>
                <w:sz w:val="18"/>
                <w:szCs w:val="18"/>
                <w:lang w:val="es-ES_tradnl"/>
              </w:rPr>
            </w:pPr>
            <w:r w:rsidRPr="00C75C7E">
              <w:rPr>
                <w:b/>
                <w:sz w:val="18"/>
                <w:szCs w:val="18"/>
                <w:lang w:val="es-ES_tradnl"/>
              </w:rPr>
              <w:t>Indicadores de rendimiento</w:t>
            </w:r>
          </w:p>
        </w:tc>
        <w:tc>
          <w:tcPr>
            <w:tcW w:w="1147" w:type="pct"/>
            <w:tcBorders>
              <w:top w:val="single" w:sz="4" w:space="0" w:color="auto"/>
              <w:bottom w:val="single" w:sz="4" w:space="0" w:color="auto"/>
            </w:tcBorders>
            <w:shd w:val="clear" w:color="auto" w:fill="CCFFFF"/>
            <w:tcMar>
              <w:top w:w="110" w:type="dxa"/>
            </w:tcMar>
            <w:vAlign w:val="center"/>
          </w:tcPr>
          <w:p w:rsidR="0063482E" w:rsidRPr="00C75C7E" w:rsidRDefault="0063482E" w:rsidP="00EF3DB5">
            <w:pPr>
              <w:widowControl w:val="0"/>
              <w:spacing w:after="120"/>
              <w:ind w:left="85"/>
              <w:jc w:val="center"/>
              <w:rPr>
                <w:sz w:val="18"/>
                <w:szCs w:val="18"/>
                <w:lang w:val="es-ES_tradnl"/>
              </w:rPr>
            </w:pPr>
            <w:r w:rsidRPr="00C75C7E">
              <w:rPr>
                <w:b/>
                <w:bCs/>
                <w:sz w:val="18"/>
                <w:szCs w:val="18"/>
                <w:lang w:val="es-ES_tradnl"/>
              </w:rPr>
              <w:t>Referencia</w:t>
            </w:r>
          </w:p>
        </w:tc>
        <w:tc>
          <w:tcPr>
            <w:tcW w:w="1109" w:type="pct"/>
            <w:tcBorders>
              <w:top w:val="single" w:sz="4" w:space="0" w:color="auto"/>
              <w:bottom w:val="single" w:sz="4" w:space="0" w:color="auto"/>
              <w:right w:val="single" w:sz="4" w:space="0" w:color="auto"/>
            </w:tcBorders>
            <w:shd w:val="clear" w:color="auto" w:fill="CCFFFF"/>
            <w:tcMar>
              <w:top w:w="110" w:type="dxa"/>
            </w:tcMar>
            <w:vAlign w:val="center"/>
          </w:tcPr>
          <w:p w:rsidR="0063482E" w:rsidRPr="00C75C7E" w:rsidRDefault="0063482E" w:rsidP="00EF3DB5">
            <w:pPr>
              <w:widowControl w:val="0"/>
              <w:tabs>
                <w:tab w:val="left" w:pos="1906"/>
              </w:tabs>
              <w:spacing w:after="120"/>
              <w:ind w:right="-122"/>
              <w:jc w:val="center"/>
              <w:rPr>
                <w:b/>
                <w:bCs/>
                <w:sz w:val="18"/>
                <w:szCs w:val="18"/>
                <w:lang w:val="es-ES_tradnl"/>
              </w:rPr>
            </w:pPr>
            <w:r w:rsidRPr="00C75C7E">
              <w:rPr>
                <w:b/>
                <w:bCs/>
                <w:sz w:val="18"/>
                <w:szCs w:val="18"/>
                <w:lang w:val="es-ES_tradnl"/>
              </w:rPr>
              <w:t>Objetivos</w:t>
            </w:r>
          </w:p>
        </w:tc>
      </w:tr>
      <w:tr w:rsidR="0063482E" w:rsidRPr="00C75C7E" w:rsidTr="00EF3DB5">
        <w:trPr>
          <w:cantSplit/>
        </w:trPr>
        <w:tc>
          <w:tcPr>
            <w:tcW w:w="1240" w:type="pct"/>
            <w:tcBorders>
              <w:top w:val="single" w:sz="4" w:space="0" w:color="auto"/>
            </w:tcBorders>
            <w:shd w:val="clear" w:color="auto" w:fill="auto"/>
          </w:tcPr>
          <w:p w:rsidR="0063482E" w:rsidRPr="00C75C7E" w:rsidRDefault="0063482E" w:rsidP="00EF3DB5">
            <w:pPr>
              <w:widowControl w:val="0"/>
              <w:rPr>
                <w:sz w:val="16"/>
                <w:szCs w:val="16"/>
                <w:lang w:val="es-ES_tradnl"/>
              </w:rPr>
            </w:pPr>
            <w:r w:rsidRPr="00C75C7E">
              <w:rPr>
                <w:sz w:val="16"/>
                <w:szCs w:val="16"/>
                <w:lang w:val="es-ES_tradnl"/>
              </w:rPr>
              <w:t>II. 6 Ampliación y mejora del uso de los sistemas de Madrid y de Lisboa por los países en desarrollo y los PMA, entre otros.</w:t>
            </w:r>
          </w:p>
        </w:tc>
        <w:tc>
          <w:tcPr>
            <w:tcW w:w="1504" w:type="pct"/>
            <w:tcBorders>
              <w:top w:val="single" w:sz="4" w:space="0" w:color="auto"/>
            </w:tcBorders>
            <w:shd w:val="clear" w:color="auto" w:fill="auto"/>
            <w:tcMar>
              <w:top w:w="110" w:type="dxa"/>
            </w:tcMar>
          </w:tcPr>
          <w:p w:rsidR="0063482E" w:rsidRPr="00C75C7E" w:rsidRDefault="0063482E" w:rsidP="00EF3DB5">
            <w:pPr>
              <w:widowControl w:val="0"/>
              <w:rPr>
                <w:sz w:val="16"/>
                <w:szCs w:val="16"/>
                <w:lang w:val="es-ES_tradnl"/>
              </w:rPr>
            </w:pPr>
            <w:r w:rsidRPr="00C75C7E">
              <w:rPr>
                <w:sz w:val="16"/>
                <w:szCs w:val="16"/>
                <w:lang w:val="es-ES_tradnl"/>
              </w:rPr>
              <w:t>Ampliación de la cobertura geográfica (Madrid).</w:t>
            </w:r>
          </w:p>
        </w:tc>
        <w:tc>
          <w:tcPr>
            <w:tcW w:w="1147" w:type="pct"/>
            <w:tcBorders>
              <w:top w:val="single" w:sz="4" w:space="0" w:color="auto"/>
            </w:tcBorders>
            <w:shd w:val="clear" w:color="auto" w:fill="FFFFFF"/>
            <w:tcMar>
              <w:top w:w="110" w:type="dxa"/>
            </w:tcMar>
          </w:tcPr>
          <w:p w:rsidR="0063482E" w:rsidRPr="00C75C7E" w:rsidRDefault="0063482E" w:rsidP="00EF3DB5">
            <w:pPr>
              <w:widowControl w:val="0"/>
              <w:rPr>
                <w:sz w:val="16"/>
                <w:szCs w:val="16"/>
                <w:lang w:val="es-ES_tradnl" w:bidi="th-TH"/>
              </w:rPr>
            </w:pPr>
            <w:r w:rsidRPr="00C75C7E">
              <w:rPr>
                <w:sz w:val="16"/>
                <w:szCs w:val="16"/>
                <w:lang w:val="es-ES_tradnl" w:bidi="th-TH"/>
              </w:rPr>
              <w:t>El número de Partes Contratantes al final de 2013.</w:t>
            </w:r>
          </w:p>
        </w:tc>
        <w:tc>
          <w:tcPr>
            <w:tcW w:w="1109" w:type="pct"/>
            <w:tcBorders>
              <w:top w:val="single" w:sz="4" w:space="0" w:color="auto"/>
            </w:tcBorders>
            <w:shd w:val="clear" w:color="auto" w:fill="auto"/>
            <w:tcMar>
              <w:top w:w="110" w:type="dxa"/>
            </w:tcMar>
          </w:tcPr>
          <w:p w:rsidR="0063482E" w:rsidRPr="00C75C7E" w:rsidRDefault="0063482E" w:rsidP="00EF3DB5">
            <w:pPr>
              <w:widowControl w:val="0"/>
              <w:ind w:right="51"/>
              <w:rPr>
                <w:bCs/>
                <w:sz w:val="16"/>
                <w:szCs w:val="16"/>
                <w:lang w:val="es-ES_tradnl"/>
              </w:rPr>
            </w:pPr>
            <w:r w:rsidRPr="00C75C7E">
              <w:rPr>
                <w:bCs/>
                <w:sz w:val="16"/>
                <w:szCs w:val="16"/>
                <w:lang w:val="es-ES_tradnl"/>
              </w:rPr>
              <w:t>Un total de 100 Partes Contratantes a fines de 2015.</w:t>
            </w:r>
          </w:p>
        </w:tc>
      </w:tr>
      <w:tr w:rsidR="0063482E" w:rsidRPr="00C75C7E" w:rsidTr="00EF3DB5">
        <w:trPr>
          <w:cantSplit/>
          <w:trHeight w:val="337"/>
        </w:trPr>
        <w:tc>
          <w:tcPr>
            <w:tcW w:w="1240" w:type="pct"/>
            <w:shd w:val="clear" w:color="auto" w:fill="auto"/>
          </w:tcPr>
          <w:p w:rsidR="0063482E" w:rsidRPr="00C75C7E" w:rsidRDefault="0063482E" w:rsidP="00EF3DB5">
            <w:pPr>
              <w:widowControl w:val="0"/>
              <w:rPr>
                <w:sz w:val="16"/>
                <w:szCs w:val="16"/>
                <w:lang w:val="es-ES_tradnl"/>
              </w:rPr>
            </w:pPr>
          </w:p>
        </w:tc>
        <w:tc>
          <w:tcPr>
            <w:tcW w:w="1504" w:type="pct"/>
            <w:shd w:val="clear" w:color="auto" w:fill="auto"/>
            <w:tcMar>
              <w:top w:w="110" w:type="dxa"/>
            </w:tcMar>
          </w:tcPr>
          <w:p w:rsidR="0063482E" w:rsidRPr="00C75C7E" w:rsidRDefault="0063482E" w:rsidP="00EF3DB5">
            <w:pPr>
              <w:widowControl w:val="0"/>
              <w:rPr>
                <w:sz w:val="16"/>
                <w:szCs w:val="16"/>
                <w:lang w:val="es-ES_tradnl"/>
              </w:rPr>
            </w:pPr>
            <w:r w:rsidRPr="00C75C7E">
              <w:rPr>
                <w:sz w:val="16"/>
                <w:szCs w:val="16"/>
                <w:lang w:val="es-ES_tradnl"/>
              </w:rPr>
              <w:t>Ampliación de la cobertura geográfica (Lisboa).</w:t>
            </w:r>
          </w:p>
        </w:tc>
        <w:tc>
          <w:tcPr>
            <w:tcW w:w="1147" w:type="pct"/>
            <w:shd w:val="clear" w:color="auto" w:fill="FFFFFF"/>
            <w:tcMar>
              <w:top w:w="110" w:type="dxa"/>
            </w:tcMar>
          </w:tcPr>
          <w:p w:rsidR="0063482E" w:rsidRPr="00C75C7E" w:rsidRDefault="0063482E" w:rsidP="00EF3DB5">
            <w:pPr>
              <w:widowControl w:val="0"/>
              <w:rPr>
                <w:sz w:val="16"/>
                <w:szCs w:val="16"/>
                <w:lang w:val="es-ES_tradnl" w:bidi="th-TH"/>
              </w:rPr>
            </w:pPr>
            <w:r w:rsidRPr="00C75C7E">
              <w:rPr>
                <w:sz w:val="16"/>
                <w:szCs w:val="16"/>
                <w:lang w:val="es-ES_tradnl" w:bidi="th-TH"/>
              </w:rPr>
              <w:t>28 (abril de 2013).</w:t>
            </w:r>
          </w:p>
          <w:p w:rsidR="0063482E" w:rsidRPr="00C75C7E" w:rsidRDefault="0063482E" w:rsidP="00EF3DB5">
            <w:pPr>
              <w:widowControl w:val="0"/>
              <w:rPr>
                <w:sz w:val="16"/>
                <w:szCs w:val="16"/>
                <w:lang w:val="es-ES_tradnl" w:bidi="th-TH"/>
              </w:rPr>
            </w:pPr>
          </w:p>
          <w:p w:rsidR="0063482E" w:rsidRPr="00C75C7E" w:rsidRDefault="0063482E" w:rsidP="00EF3DB5">
            <w:pPr>
              <w:widowControl w:val="0"/>
              <w:rPr>
                <w:sz w:val="16"/>
                <w:szCs w:val="16"/>
                <w:lang w:val="es-ES_tradnl"/>
              </w:rPr>
            </w:pPr>
          </w:p>
        </w:tc>
        <w:tc>
          <w:tcPr>
            <w:tcW w:w="1109" w:type="pct"/>
            <w:shd w:val="clear" w:color="auto" w:fill="auto"/>
            <w:tcMar>
              <w:top w:w="110" w:type="dxa"/>
            </w:tcMar>
          </w:tcPr>
          <w:p w:rsidR="0063482E" w:rsidRPr="00C75C7E" w:rsidRDefault="0063482E" w:rsidP="00EF3DB5">
            <w:pPr>
              <w:widowControl w:val="0"/>
              <w:ind w:right="51"/>
              <w:rPr>
                <w:bCs/>
                <w:sz w:val="16"/>
                <w:szCs w:val="16"/>
                <w:lang w:val="es-ES_tradnl"/>
              </w:rPr>
            </w:pPr>
            <w:r w:rsidRPr="00C75C7E">
              <w:rPr>
                <w:bCs/>
                <w:sz w:val="16"/>
                <w:szCs w:val="16"/>
                <w:lang w:val="es-ES_tradnl"/>
              </w:rPr>
              <w:t>32</w:t>
            </w:r>
          </w:p>
        </w:tc>
      </w:tr>
      <w:tr w:rsidR="0063482E" w:rsidRPr="00C75C7E" w:rsidTr="00EF3DB5">
        <w:trPr>
          <w:cantSplit/>
          <w:trHeight w:val="1120"/>
        </w:trPr>
        <w:tc>
          <w:tcPr>
            <w:tcW w:w="1240" w:type="pct"/>
            <w:shd w:val="clear" w:color="auto" w:fill="auto"/>
          </w:tcPr>
          <w:p w:rsidR="0063482E" w:rsidRPr="00C75C7E" w:rsidRDefault="0063482E" w:rsidP="00EF3DB5">
            <w:pPr>
              <w:widowControl w:val="0"/>
              <w:rPr>
                <w:sz w:val="16"/>
                <w:szCs w:val="16"/>
                <w:lang w:val="es-ES_tradnl"/>
              </w:rPr>
            </w:pPr>
          </w:p>
        </w:tc>
        <w:tc>
          <w:tcPr>
            <w:tcW w:w="1504" w:type="pct"/>
            <w:shd w:val="clear" w:color="auto" w:fill="auto"/>
            <w:tcMar>
              <w:top w:w="110" w:type="dxa"/>
            </w:tcMar>
          </w:tcPr>
          <w:p w:rsidR="0063482E" w:rsidRPr="00C75C7E" w:rsidRDefault="0063482E" w:rsidP="00EF3DB5">
            <w:pPr>
              <w:widowControl w:val="0"/>
              <w:rPr>
                <w:sz w:val="16"/>
                <w:szCs w:val="16"/>
                <w:lang w:val="es-ES_tradnl"/>
              </w:rPr>
            </w:pPr>
            <w:r w:rsidRPr="00C75C7E">
              <w:rPr>
                <w:sz w:val="16"/>
                <w:szCs w:val="16"/>
                <w:lang w:val="es-ES_tradnl"/>
              </w:rPr>
              <w:t>Adopción de disposiciones que agilicen o modernicen el marco jurídico del sistema de Lisboa.</w:t>
            </w:r>
          </w:p>
        </w:tc>
        <w:tc>
          <w:tcPr>
            <w:tcW w:w="1147" w:type="pct"/>
            <w:shd w:val="clear" w:color="auto" w:fill="FFFFFF"/>
            <w:tcMar>
              <w:top w:w="110" w:type="dxa"/>
            </w:tcMar>
          </w:tcPr>
          <w:p w:rsidR="0063482E" w:rsidRPr="00C75C7E" w:rsidRDefault="0063482E" w:rsidP="00EF3DB5">
            <w:pPr>
              <w:widowControl w:val="0"/>
              <w:rPr>
                <w:sz w:val="16"/>
                <w:szCs w:val="16"/>
                <w:lang w:val="es-ES_tradnl" w:bidi="th-TH"/>
              </w:rPr>
            </w:pPr>
            <w:r w:rsidRPr="00C75C7E">
              <w:rPr>
                <w:sz w:val="16"/>
                <w:szCs w:val="16"/>
                <w:lang w:val="es-ES_tradnl" w:bidi="th-TH"/>
              </w:rPr>
              <w:t>Arreglo de Lisboa, Reglamento e Instrucciones Administrativas en vigor al final de 2013.</w:t>
            </w:r>
          </w:p>
          <w:p w:rsidR="0063482E" w:rsidRPr="00C75C7E" w:rsidRDefault="0063482E" w:rsidP="00EF3DB5">
            <w:pPr>
              <w:widowControl w:val="0"/>
              <w:rPr>
                <w:sz w:val="16"/>
                <w:szCs w:val="16"/>
                <w:lang w:val="es-ES_tradnl" w:bidi="th-TH"/>
              </w:rPr>
            </w:pPr>
          </w:p>
          <w:p w:rsidR="0063482E" w:rsidRPr="00C75C7E" w:rsidRDefault="0063482E" w:rsidP="00EF3DB5">
            <w:pPr>
              <w:widowControl w:val="0"/>
              <w:rPr>
                <w:sz w:val="16"/>
                <w:szCs w:val="16"/>
                <w:lang w:val="es-ES_tradnl"/>
              </w:rPr>
            </w:pPr>
          </w:p>
        </w:tc>
        <w:tc>
          <w:tcPr>
            <w:tcW w:w="1109" w:type="pct"/>
            <w:shd w:val="clear" w:color="auto" w:fill="auto"/>
            <w:tcMar>
              <w:top w:w="110" w:type="dxa"/>
            </w:tcMar>
          </w:tcPr>
          <w:p w:rsidR="0063482E" w:rsidRPr="00C75C7E" w:rsidRDefault="0063482E" w:rsidP="00EF3DB5">
            <w:pPr>
              <w:widowControl w:val="0"/>
              <w:ind w:right="161"/>
              <w:rPr>
                <w:bCs/>
                <w:sz w:val="16"/>
                <w:szCs w:val="16"/>
                <w:lang w:val="es-ES_tradnl"/>
              </w:rPr>
            </w:pPr>
            <w:r w:rsidRPr="00C75C7E">
              <w:rPr>
                <w:bCs/>
                <w:sz w:val="16"/>
                <w:szCs w:val="16"/>
                <w:lang w:val="es-ES_tradnl"/>
              </w:rPr>
              <w:t>Revisión del Arreglo de Lisboa y modificaciones del Reglamento y las Instrucciones Administrativas.</w:t>
            </w:r>
          </w:p>
        </w:tc>
      </w:tr>
      <w:tr w:rsidR="0063482E" w:rsidRPr="00C75C7E" w:rsidTr="00EF3DB5">
        <w:trPr>
          <w:cantSplit/>
          <w:trHeight w:val="801"/>
        </w:trPr>
        <w:tc>
          <w:tcPr>
            <w:tcW w:w="1240" w:type="pct"/>
            <w:shd w:val="clear" w:color="auto" w:fill="auto"/>
          </w:tcPr>
          <w:p w:rsidR="0063482E" w:rsidRPr="00C75C7E" w:rsidRDefault="0063482E" w:rsidP="00EF3DB5">
            <w:pPr>
              <w:widowControl w:val="0"/>
              <w:rPr>
                <w:sz w:val="16"/>
                <w:szCs w:val="16"/>
                <w:lang w:val="es-ES_tradnl"/>
              </w:rPr>
            </w:pPr>
          </w:p>
        </w:tc>
        <w:tc>
          <w:tcPr>
            <w:tcW w:w="1504" w:type="pct"/>
            <w:shd w:val="clear" w:color="auto" w:fill="auto"/>
            <w:tcMar>
              <w:top w:w="110" w:type="dxa"/>
            </w:tcMar>
          </w:tcPr>
          <w:p w:rsidR="0063482E" w:rsidRPr="00C75C7E" w:rsidRDefault="0063482E" w:rsidP="00EF3DB5">
            <w:pPr>
              <w:widowControl w:val="0"/>
              <w:rPr>
                <w:sz w:val="16"/>
                <w:szCs w:val="16"/>
                <w:lang w:val="es-ES_tradnl"/>
              </w:rPr>
            </w:pPr>
            <w:r w:rsidRPr="00C75C7E">
              <w:rPr>
                <w:sz w:val="16"/>
                <w:szCs w:val="16"/>
                <w:lang w:val="es-ES_tradnl"/>
              </w:rPr>
              <w:t>Número de solicitudes internacionales (Madrid).</w:t>
            </w:r>
          </w:p>
        </w:tc>
        <w:tc>
          <w:tcPr>
            <w:tcW w:w="1147" w:type="pct"/>
            <w:shd w:val="clear" w:color="auto" w:fill="FFFFFF"/>
            <w:tcMar>
              <w:top w:w="110" w:type="dxa"/>
            </w:tcMar>
          </w:tcPr>
          <w:p w:rsidR="0063482E" w:rsidRPr="00C75C7E" w:rsidRDefault="0063482E" w:rsidP="00EF3DB5">
            <w:pPr>
              <w:widowControl w:val="0"/>
              <w:rPr>
                <w:sz w:val="16"/>
                <w:szCs w:val="16"/>
                <w:lang w:val="es-ES_tradnl" w:bidi="th-TH"/>
              </w:rPr>
            </w:pPr>
            <w:r w:rsidRPr="00C75C7E">
              <w:rPr>
                <w:sz w:val="16"/>
                <w:szCs w:val="16"/>
                <w:lang w:val="es-ES_tradnl" w:bidi="th-TH"/>
              </w:rPr>
              <w:t>El número de solicitudes internacionales al final de 2013.</w:t>
            </w:r>
          </w:p>
          <w:p w:rsidR="0063482E" w:rsidRPr="00C75C7E" w:rsidRDefault="0063482E" w:rsidP="00EF3DB5">
            <w:pPr>
              <w:widowControl w:val="0"/>
              <w:rPr>
                <w:sz w:val="16"/>
                <w:szCs w:val="16"/>
                <w:lang w:val="es-ES_tradnl" w:bidi="th-TH"/>
              </w:rPr>
            </w:pPr>
          </w:p>
        </w:tc>
        <w:tc>
          <w:tcPr>
            <w:tcW w:w="1109" w:type="pct"/>
            <w:shd w:val="clear" w:color="auto" w:fill="auto"/>
            <w:tcMar>
              <w:top w:w="110" w:type="dxa"/>
            </w:tcMar>
          </w:tcPr>
          <w:p w:rsidR="0063482E" w:rsidRPr="00C75C7E" w:rsidRDefault="0063482E" w:rsidP="00EF3DB5">
            <w:pPr>
              <w:widowControl w:val="0"/>
              <w:ind w:right="161"/>
              <w:rPr>
                <w:bCs/>
                <w:sz w:val="16"/>
                <w:szCs w:val="16"/>
                <w:lang w:val="es-ES_tradnl"/>
              </w:rPr>
            </w:pPr>
            <w:r w:rsidRPr="00C75C7E">
              <w:rPr>
                <w:bCs/>
                <w:sz w:val="16"/>
                <w:szCs w:val="16"/>
                <w:lang w:val="es-ES_tradnl"/>
              </w:rPr>
              <w:t>Aumento del 8.1% a fines de 2015.</w:t>
            </w:r>
          </w:p>
        </w:tc>
      </w:tr>
      <w:tr w:rsidR="0063482E" w:rsidRPr="00C75C7E" w:rsidTr="00EF3DB5">
        <w:trPr>
          <w:cantSplit/>
          <w:trHeight w:val="787"/>
        </w:trPr>
        <w:tc>
          <w:tcPr>
            <w:tcW w:w="1240" w:type="pct"/>
            <w:shd w:val="clear" w:color="auto" w:fill="auto"/>
          </w:tcPr>
          <w:p w:rsidR="0063482E" w:rsidRPr="00C75C7E" w:rsidRDefault="0063482E" w:rsidP="00EF3DB5">
            <w:pPr>
              <w:widowControl w:val="0"/>
              <w:rPr>
                <w:sz w:val="16"/>
                <w:szCs w:val="16"/>
                <w:lang w:val="es-ES_tradnl"/>
              </w:rPr>
            </w:pPr>
          </w:p>
        </w:tc>
        <w:tc>
          <w:tcPr>
            <w:tcW w:w="1504" w:type="pct"/>
            <w:shd w:val="clear" w:color="auto" w:fill="auto"/>
            <w:tcMar>
              <w:top w:w="110" w:type="dxa"/>
            </w:tcMar>
          </w:tcPr>
          <w:p w:rsidR="0063482E" w:rsidRPr="00C75C7E" w:rsidRDefault="0063482E" w:rsidP="00EF3DB5">
            <w:pPr>
              <w:widowControl w:val="0"/>
              <w:rPr>
                <w:sz w:val="16"/>
                <w:szCs w:val="16"/>
                <w:lang w:val="es-ES_tradnl"/>
              </w:rPr>
            </w:pPr>
            <w:r w:rsidRPr="00C75C7E">
              <w:rPr>
                <w:sz w:val="16"/>
                <w:szCs w:val="16"/>
                <w:lang w:val="es-ES_tradnl"/>
              </w:rPr>
              <w:t>Porcentaje de oficinas que proporcionan información actualizada sobre el sistema de Madrid.</w:t>
            </w:r>
          </w:p>
        </w:tc>
        <w:tc>
          <w:tcPr>
            <w:tcW w:w="1147" w:type="pct"/>
            <w:shd w:val="clear" w:color="auto" w:fill="FFFFFF"/>
            <w:tcMar>
              <w:top w:w="110" w:type="dxa"/>
            </w:tcMar>
          </w:tcPr>
          <w:p w:rsidR="0063482E" w:rsidRPr="00C75C7E" w:rsidRDefault="0063482E" w:rsidP="00EF3DB5">
            <w:pPr>
              <w:widowControl w:val="0"/>
              <w:rPr>
                <w:sz w:val="16"/>
                <w:szCs w:val="16"/>
                <w:lang w:val="es-ES_tradnl" w:bidi="th-TH"/>
              </w:rPr>
            </w:pPr>
            <w:r w:rsidRPr="00C75C7E">
              <w:rPr>
                <w:sz w:val="16"/>
                <w:szCs w:val="16"/>
                <w:lang w:val="es-ES_tradnl" w:bidi="th-TH"/>
              </w:rPr>
              <w:t>Porcentaje de oficinas que proporcionan dicha información.</w:t>
            </w:r>
          </w:p>
          <w:p w:rsidR="0063482E" w:rsidRPr="00C75C7E" w:rsidRDefault="0063482E" w:rsidP="00EF3DB5">
            <w:pPr>
              <w:widowControl w:val="0"/>
              <w:rPr>
                <w:sz w:val="16"/>
                <w:szCs w:val="16"/>
                <w:lang w:val="es-ES_tradnl" w:bidi="th-TH"/>
              </w:rPr>
            </w:pPr>
          </w:p>
          <w:p w:rsidR="0063482E" w:rsidRPr="00C75C7E" w:rsidRDefault="0063482E" w:rsidP="00EF3DB5">
            <w:pPr>
              <w:widowControl w:val="0"/>
              <w:rPr>
                <w:sz w:val="16"/>
                <w:szCs w:val="16"/>
                <w:lang w:val="es-ES_tradnl" w:bidi="th-TH"/>
              </w:rPr>
            </w:pPr>
          </w:p>
        </w:tc>
        <w:tc>
          <w:tcPr>
            <w:tcW w:w="1109" w:type="pct"/>
            <w:shd w:val="clear" w:color="auto" w:fill="auto"/>
            <w:tcMar>
              <w:top w:w="110" w:type="dxa"/>
            </w:tcMar>
          </w:tcPr>
          <w:p w:rsidR="0063482E" w:rsidRPr="00C75C7E" w:rsidRDefault="0063482E" w:rsidP="00EF3DB5">
            <w:pPr>
              <w:widowControl w:val="0"/>
              <w:ind w:right="161"/>
              <w:rPr>
                <w:bCs/>
                <w:sz w:val="16"/>
                <w:szCs w:val="16"/>
                <w:lang w:val="es-ES_tradnl"/>
              </w:rPr>
            </w:pPr>
            <w:r w:rsidRPr="00C75C7E">
              <w:rPr>
                <w:bCs/>
                <w:sz w:val="16"/>
                <w:szCs w:val="16"/>
                <w:lang w:val="es-ES_tradnl"/>
              </w:rPr>
              <w:t>Mayor porcentaje.</w:t>
            </w:r>
          </w:p>
        </w:tc>
      </w:tr>
      <w:tr w:rsidR="0063482E" w:rsidRPr="00C75C7E" w:rsidTr="00EF3DB5">
        <w:trPr>
          <w:cantSplit/>
          <w:trHeight w:val="790"/>
        </w:trPr>
        <w:tc>
          <w:tcPr>
            <w:tcW w:w="1240" w:type="pct"/>
            <w:shd w:val="clear" w:color="auto" w:fill="auto"/>
          </w:tcPr>
          <w:p w:rsidR="0063482E" w:rsidRPr="00C75C7E" w:rsidRDefault="0063482E" w:rsidP="00EF3DB5">
            <w:pPr>
              <w:widowControl w:val="0"/>
              <w:rPr>
                <w:sz w:val="16"/>
                <w:szCs w:val="16"/>
                <w:lang w:val="es-ES_tradnl"/>
              </w:rPr>
            </w:pPr>
          </w:p>
        </w:tc>
        <w:tc>
          <w:tcPr>
            <w:tcW w:w="1504" w:type="pct"/>
            <w:shd w:val="clear" w:color="auto" w:fill="auto"/>
            <w:tcMar>
              <w:top w:w="110" w:type="dxa"/>
            </w:tcMar>
          </w:tcPr>
          <w:p w:rsidR="0063482E" w:rsidRPr="00C75C7E" w:rsidRDefault="0063482E" w:rsidP="00EF3DB5">
            <w:pPr>
              <w:widowControl w:val="0"/>
              <w:rPr>
                <w:sz w:val="16"/>
                <w:szCs w:val="16"/>
                <w:lang w:val="es-ES_tradnl"/>
              </w:rPr>
            </w:pPr>
            <w:r w:rsidRPr="00C75C7E">
              <w:rPr>
                <w:sz w:val="16"/>
                <w:szCs w:val="16"/>
                <w:lang w:val="es-ES_tradnl"/>
              </w:rPr>
              <w:t>Porcentaje de participantes en las actividades del sistema de Lisboa que están satisfechos y manifiestan haber mejorado sus conocimientos tras haber participado en las actividades.</w:t>
            </w:r>
          </w:p>
        </w:tc>
        <w:tc>
          <w:tcPr>
            <w:tcW w:w="1147" w:type="pct"/>
            <w:shd w:val="clear" w:color="auto" w:fill="FFFFFF"/>
            <w:tcMar>
              <w:top w:w="110" w:type="dxa"/>
            </w:tcMar>
          </w:tcPr>
          <w:p w:rsidR="0063482E" w:rsidRPr="00C75C7E" w:rsidRDefault="0063482E" w:rsidP="00EF3DB5">
            <w:pPr>
              <w:widowControl w:val="0"/>
              <w:rPr>
                <w:sz w:val="16"/>
                <w:szCs w:val="16"/>
                <w:lang w:val="es-ES_tradnl" w:bidi="th-TH"/>
              </w:rPr>
            </w:pPr>
            <w:r w:rsidRPr="00C75C7E">
              <w:rPr>
                <w:sz w:val="16"/>
                <w:szCs w:val="16"/>
                <w:lang w:val="es-ES_tradnl" w:bidi="th-TH"/>
              </w:rPr>
              <w:t>Número de actividades y porcentaje de participantes satisfechos en 2013.</w:t>
            </w:r>
          </w:p>
          <w:p w:rsidR="0063482E" w:rsidRPr="00C75C7E" w:rsidRDefault="0063482E" w:rsidP="00EF3DB5">
            <w:pPr>
              <w:widowControl w:val="0"/>
              <w:rPr>
                <w:sz w:val="16"/>
                <w:szCs w:val="16"/>
                <w:lang w:val="es-ES_tradnl" w:bidi="th-TH"/>
              </w:rPr>
            </w:pPr>
          </w:p>
        </w:tc>
        <w:tc>
          <w:tcPr>
            <w:tcW w:w="1109" w:type="pct"/>
            <w:shd w:val="clear" w:color="auto" w:fill="auto"/>
            <w:tcMar>
              <w:top w:w="110" w:type="dxa"/>
            </w:tcMar>
          </w:tcPr>
          <w:p w:rsidR="0063482E" w:rsidRPr="00C75C7E" w:rsidRDefault="0063482E" w:rsidP="00EF3DB5">
            <w:pPr>
              <w:widowControl w:val="0"/>
              <w:ind w:right="161"/>
              <w:rPr>
                <w:bCs/>
                <w:sz w:val="16"/>
                <w:szCs w:val="16"/>
                <w:lang w:val="es-ES_tradnl"/>
              </w:rPr>
            </w:pPr>
            <w:r w:rsidRPr="00C75C7E">
              <w:rPr>
                <w:bCs/>
                <w:sz w:val="16"/>
                <w:szCs w:val="16"/>
                <w:lang w:val="es-ES_tradnl"/>
              </w:rPr>
              <w:t>Al menos ocho actividades y un 85% de participantes satisfechos.</w:t>
            </w:r>
          </w:p>
        </w:tc>
      </w:tr>
      <w:tr w:rsidR="0063482E" w:rsidRPr="00C75C7E" w:rsidTr="00EF3DB5">
        <w:trPr>
          <w:cantSplit/>
          <w:trHeight w:val="615"/>
        </w:trPr>
        <w:tc>
          <w:tcPr>
            <w:tcW w:w="1240" w:type="pct"/>
            <w:shd w:val="clear" w:color="auto" w:fill="auto"/>
          </w:tcPr>
          <w:p w:rsidR="0063482E" w:rsidRPr="00C75C7E" w:rsidRDefault="0063482E" w:rsidP="00EF3DB5">
            <w:pPr>
              <w:widowControl w:val="0"/>
              <w:rPr>
                <w:sz w:val="16"/>
                <w:szCs w:val="16"/>
                <w:lang w:val="es-ES_tradnl"/>
              </w:rPr>
            </w:pPr>
          </w:p>
        </w:tc>
        <w:tc>
          <w:tcPr>
            <w:tcW w:w="1504" w:type="pct"/>
            <w:shd w:val="clear" w:color="auto" w:fill="auto"/>
            <w:tcMar>
              <w:top w:w="110" w:type="dxa"/>
            </w:tcMar>
          </w:tcPr>
          <w:p w:rsidR="0063482E" w:rsidRPr="00C75C7E" w:rsidRDefault="0063482E" w:rsidP="00EF3DB5">
            <w:pPr>
              <w:widowControl w:val="0"/>
              <w:rPr>
                <w:sz w:val="16"/>
                <w:szCs w:val="16"/>
                <w:lang w:val="es-ES_tradnl"/>
              </w:rPr>
            </w:pPr>
            <w:r w:rsidRPr="00C75C7E">
              <w:rPr>
                <w:sz w:val="16"/>
                <w:szCs w:val="16"/>
                <w:lang w:val="es-ES_tradnl"/>
              </w:rPr>
              <w:t>Número y proporción de registros en vigor del sistema de Lisboa procedentes de países en desarrollo y PMA.</w:t>
            </w:r>
          </w:p>
        </w:tc>
        <w:tc>
          <w:tcPr>
            <w:tcW w:w="1147" w:type="pct"/>
            <w:shd w:val="clear" w:color="auto" w:fill="FFFFFF"/>
            <w:tcMar>
              <w:top w:w="110" w:type="dxa"/>
            </w:tcMar>
          </w:tcPr>
          <w:p w:rsidR="0063482E" w:rsidRPr="00C75C7E" w:rsidRDefault="0063482E" w:rsidP="00EF3DB5">
            <w:pPr>
              <w:widowControl w:val="0"/>
              <w:rPr>
                <w:sz w:val="16"/>
                <w:szCs w:val="16"/>
                <w:lang w:val="es-ES_tradnl" w:bidi="th-TH"/>
              </w:rPr>
            </w:pPr>
            <w:r w:rsidRPr="00C75C7E">
              <w:rPr>
                <w:sz w:val="16"/>
                <w:szCs w:val="16"/>
                <w:lang w:val="es-ES_tradnl" w:bidi="th-TH"/>
              </w:rPr>
              <w:t>67 (de 809) (abril de 2013)</w:t>
            </w:r>
          </w:p>
          <w:p w:rsidR="0063482E" w:rsidRPr="00C75C7E" w:rsidRDefault="0063482E" w:rsidP="00EF3DB5">
            <w:pPr>
              <w:widowControl w:val="0"/>
              <w:rPr>
                <w:sz w:val="16"/>
                <w:szCs w:val="16"/>
                <w:lang w:val="es-ES_tradnl" w:bidi="th-TH"/>
              </w:rPr>
            </w:pPr>
          </w:p>
          <w:p w:rsidR="0063482E" w:rsidRPr="00C75C7E" w:rsidRDefault="0063482E" w:rsidP="00EF3DB5">
            <w:pPr>
              <w:widowControl w:val="0"/>
              <w:rPr>
                <w:sz w:val="16"/>
                <w:szCs w:val="16"/>
                <w:lang w:val="es-ES_tradnl" w:bidi="th-TH"/>
              </w:rPr>
            </w:pPr>
          </w:p>
        </w:tc>
        <w:tc>
          <w:tcPr>
            <w:tcW w:w="1109" w:type="pct"/>
            <w:shd w:val="clear" w:color="auto" w:fill="auto"/>
            <w:tcMar>
              <w:top w:w="110" w:type="dxa"/>
            </w:tcMar>
          </w:tcPr>
          <w:p w:rsidR="0063482E" w:rsidRPr="00C75C7E" w:rsidRDefault="0063482E" w:rsidP="00EF3DB5">
            <w:pPr>
              <w:widowControl w:val="0"/>
              <w:ind w:right="161"/>
              <w:rPr>
                <w:bCs/>
                <w:sz w:val="16"/>
                <w:szCs w:val="16"/>
                <w:lang w:val="es-ES_tradnl"/>
              </w:rPr>
            </w:pPr>
            <w:r w:rsidRPr="00C75C7E">
              <w:rPr>
                <w:bCs/>
                <w:sz w:val="16"/>
                <w:szCs w:val="16"/>
                <w:lang w:val="es-ES_tradnl"/>
              </w:rPr>
              <w:t>80 (de 825)</w:t>
            </w:r>
          </w:p>
        </w:tc>
      </w:tr>
      <w:tr w:rsidR="0063482E" w:rsidRPr="00C75C7E" w:rsidTr="00EF3DB5">
        <w:trPr>
          <w:cantSplit/>
          <w:trHeight w:val="606"/>
        </w:trPr>
        <w:tc>
          <w:tcPr>
            <w:tcW w:w="1240" w:type="pct"/>
            <w:shd w:val="clear" w:color="auto" w:fill="auto"/>
          </w:tcPr>
          <w:p w:rsidR="0063482E" w:rsidRPr="00C75C7E" w:rsidRDefault="0063482E" w:rsidP="00EF3DB5">
            <w:pPr>
              <w:widowControl w:val="0"/>
              <w:rPr>
                <w:sz w:val="16"/>
                <w:szCs w:val="16"/>
                <w:lang w:val="es-ES_tradnl"/>
              </w:rPr>
            </w:pPr>
          </w:p>
        </w:tc>
        <w:tc>
          <w:tcPr>
            <w:tcW w:w="1504" w:type="pct"/>
            <w:shd w:val="clear" w:color="auto" w:fill="auto"/>
            <w:tcMar>
              <w:top w:w="110" w:type="dxa"/>
            </w:tcMar>
          </w:tcPr>
          <w:p w:rsidR="0063482E" w:rsidRPr="00C75C7E" w:rsidRDefault="0063482E" w:rsidP="00EF3DB5">
            <w:pPr>
              <w:widowControl w:val="0"/>
              <w:rPr>
                <w:sz w:val="16"/>
                <w:szCs w:val="16"/>
                <w:lang w:val="es-ES_tradnl"/>
              </w:rPr>
            </w:pPr>
            <w:r w:rsidRPr="00C75C7E">
              <w:rPr>
                <w:sz w:val="16"/>
                <w:szCs w:val="16"/>
                <w:lang w:val="es-ES_tradnl"/>
              </w:rPr>
              <w:t>Disminución del número de irregularidades (Madrid).</w:t>
            </w:r>
          </w:p>
        </w:tc>
        <w:tc>
          <w:tcPr>
            <w:tcW w:w="1147" w:type="pct"/>
            <w:shd w:val="clear" w:color="auto" w:fill="FFFFFF"/>
            <w:tcMar>
              <w:top w:w="110" w:type="dxa"/>
            </w:tcMar>
          </w:tcPr>
          <w:p w:rsidR="0063482E" w:rsidRPr="00C75C7E" w:rsidRDefault="0063482E" w:rsidP="00EF3DB5">
            <w:pPr>
              <w:widowControl w:val="0"/>
              <w:rPr>
                <w:sz w:val="16"/>
                <w:szCs w:val="16"/>
                <w:lang w:val="es-ES_tradnl" w:bidi="th-TH"/>
              </w:rPr>
            </w:pPr>
            <w:r w:rsidRPr="00C75C7E">
              <w:rPr>
                <w:sz w:val="16"/>
                <w:szCs w:val="16"/>
                <w:lang w:val="es-ES_tradnl" w:bidi="th-TH"/>
              </w:rPr>
              <w:t>34% de solicitudes irregulares (en 2012).</w:t>
            </w:r>
          </w:p>
          <w:p w:rsidR="0063482E" w:rsidRPr="00C75C7E" w:rsidRDefault="0063482E" w:rsidP="00EF3DB5">
            <w:pPr>
              <w:widowControl w:val="0"/>
              <w:rPr>
                <w:sz w:val="16"/>
                <w:szCs w:val="16"/>
                <w:lang w:val="es-ES_tradnl" w:bidi="th-TH"/>
              </w:rPr>
            </w:pPr>
          </w:p>
          <w:p w:rsidR="0063482E" w:rsidRPr="00C75C7E" w:rsidRDefault="0063482E" w:rsidP="00EF3DB5">
            <w:pPr>
              <w:widowControl w:val="0"/>
              <w:rPr>
                <w:sz w:val="16"/>
                <w:szCs w:val="16"/>
                <w:lang w:val="es-ES_tradnl" w:bidi="th-TH"/>
              </w:rPr>
            </w:pPr>
          </w:p>
        </w:tc>
        <w:tc>
          <w:tcPr>
            <w:tcW w:w="1109" w:type="pct"/>
            <w:shd w:val="clear" w:color="auto" w:fill="auto"/>
            <w:tcMar>
              <w:top w:w="110" w:type="dxa"/>
            </w:tcMar>
          </w:tcPr>
          <w:p w:rsidR="0063482E" w:rsidRPr="00C75C7E" w:rsidRDefault="0063482E" w:rsidP="00EF3DB5">
            <w:pPr>
              <w:widowControl w:val="0"/>
              <w:ind w:right="161"/>
              <w:rPr>
                <w:bCs/>
                <w:sz w:val="16"/>
                <w:szCs w:val="16"/>
                <w:lang w:val="es-ES_tradnl"/>
              </w:rPr>
            </w:pPr>
            <w:r w:rsidRPr="00C75C7E">
              <w:rPr>
                <w:bCs/>
                <w:sz w:val="16"/>
                <w:szCs w:val="16"/>
                <w:lang w:val="es-ES_tradnl"/>
              </w:rPr>
              <w:t>Disminución en un 10% del número de irregularidades (Madrid).</w:t>
            </w:r>
          </w:p>
        </w:tc>
      </w:tr>
      <w:tr w:rsidR="0063482E" w:rsidRPr="00C75C7E" w:rsidTr="00EF3DB5">
        <w:trPr>
          <w:cantSplit/>
          <w:trHeight w:val="1132"/>
        </w:trPr>
        <w:tc>
          <w:tcPr>
            <w:tcW w:w="1240" w:type="pct"/>
            <w:shd w:val="clear" w:color="auto" w:fill="auto"/>
          </w:tcPr>
          <w:p w:rsidR="0063482E" w:rsidRPr="00C75C7E" w:rsidRDefault="0063482E" w:rsidP="00EF3DB5">
            <w:pPr>
              <w:widowControl w:val="0"/>
              <w:tabs>
                <w:tab w:val="left" w:pos="1525"/>
                <w:tab w:val="right" w:pos="2835"/>
              </w:tabs>
              <w:spacing w:after="60"/>
              <w:rPr>
                <w:sz w:val="16"/>
                <w:szCs w:val="16"/>
                <w:lang w:val="es-ES_tradnl"/>
              </w:rPr>
            </w:pPr>
            <w:r w:rsidRPr="00C75C7E">
              <w:rPr>
                <w:sz w:val="16"/>
                <w:szCs w:val="16"/>
                <w:lang w:val="es-ES_tradnl"/>
              </w:rPr>
              <w:t>II.7. Mejora de la productividad y de la calidad de los servicios en las operaciones de los sistemas de Madrid y de Lisboa.</w:t>
            </w:r>
          </w:p>
          <w:p w:rsidR="0063482E" w:rsidRPr="00C75C7E" w:rsidRDefault="0063482E" w:rsidP="00EF3DB5">
            <w:pPr>
              <w:widowControl w:val="0"/>
              <w:rPr>
                <w:sz w:val="16"/>
                <w:szCs w:val="16"/>
                <w:lang w:val="es-ES_tradnl"/>
              </w:rPr>
            </w:pPr>
          </w:p>
        </w:tc>
        <w:tc>
          <w:tcPr>
            <w:tcW w:w="1504" w:type="pct"/>
            <w:shd w:val="clear" w:color="auto" w:fill="auto"/>
            <w:tcMar>
              <w:top w:w="110" w:type="dxa"/>
            </w:tcMar>
          </w:tcPr>
          <w:p w:rsidR="0063482E" w:rsidRPr="00C75C7E" w:rsidRDefault="0063482E" w:rsidP="00EF3DB5">
            <w:pPr>
              <w:widowControl w:val="0"/>
              <w:rPr>
                <w:sz w:val="16"/>
                <w:szCs w:val="16"/>
                <w:lang w:val="es-ES_tradnl"/>
              </w:rPr>
            </w:pPr>
            <w:r w:rsidRPr="00C75C7E">
              <w:rPr>
                <w:sz w:val="16"/>
                <w:szCs w:val="16"/>
                <w:lang w:val="es-ES_tradnl"/>
              </w:rPr>
              <w:t>Avances en la agilización y simplificación del marco jurídico del sistema de Madrid.</w:t>
            </w:r>
          </w:p>
        </w:tc>
        <w:tc>
          <w:tcPr>
            <w:tcW w:w="1147" w:type="pct"/>
            <w:shd w:val="clear" w:color="auto" w:fill="FFFFFF"/>
            <w:tcMar>
              <w:top w:w="110" w:type="dxa"/>
            </w:tcMar>
          </w:tcPr>
          <w:p w:rsidR="0063482E" w:rsidRPr="00C75C7E" w:rsidRDefault="0063482E" w:rsidP="00EF3DB5">
            <w:pPr>
              <w:widowControl w:val="0"/>
              <w:rPr>
                <w:sz w:val="16"/>
                <w:szCs w:val="16"/>
                <w:lang w:val="es-ES_tradnl" w:bidi="th-TH"/>
              </w:rPr>
            </w:pPr>
            <w:r w:rsidRPr="00C75C7E">
              <w:rPr>
                <w:sz w:val="16"/>
                <w:szCs w:val="16"/>
                <w:lang w:val="es-ES_tradnl" w:bidi="th-TH"/>
              </w:rPr>
              <w:t>Reglamento Común e Instrucciones Administrativas del sistema de Madrid en vigor al final de 2013.</w:t>
            </w:r>
          </w:p>
          <w:p w:rsidR="0063482E" w:rsidRPr="00C75C7E" w:rsidRDefault="0063482E" w:rsidP="00EF3DB5">
            <w:pPr>
              <w:widowControl w:val="0"/>
              <w:rPr>
                <w:sz w:val="16"/>
                <w:szCs w:val="16"/>
                <w:lang w:val="es-ES_tradnl" w:bidi="th-TH"/>
              </w:rPr>
            </w:pPr>
          </w:p>
        </w:tc>
        <w:tc>
          <w:tcPr>
            <w:tcW w:w="1109" w:type="pct"/>
            <w:shd w:val="clear" w:color="auto" w:fill="auto"/>
            <w:tcMar>
              <w:top w:w="110" w:type="dxa"/>
            </w:tcMar>
          </w:tcPr>
          <w:p w:rsidR="0063482E" w:rsidRPr="00C75C7E" w:rsidRDefault="0063482E" w:rsidP="00EF3DB5">
            <w:pPr>
              <w:widowControl w:val="0"/>
              <w:ind w:right="161"/>
              <w:rPr>
                <w:bCs/>
                <w:sz w:val="16"/>
                <w:szCs w:val="16"/>
                <w:lang w:val="es-ES_tradnl"/>
              </w:rPr>
            </w:pPr>
            <w:r w:rsidRPr="00C75C7E">
              <w:rPr>
                <w:bCs/>
                <w:sz w:val="16"/>
                <w:szCs w:val="16"/>
                <w:lang w:val="es-ES_tradnl"/>
              </w:rPr>
              <w:t>Modificaciones del Reglamento Común y las Instrucciones Administrativas del sistema de Madrid.</w:t>
            </w:r>
          </w:p>
        </w:tc>
      </w:tr>
      <w:tr w:rsidR="0063482E" w:rsidRPr="00C75C7E" w:rsidTr="00EF3DB5">
        <w:trPr>
          <w:cantSplit/>
          <w:trHeight w:val="2583"/>
        </w:trPr>
        <w:tc>
          <w:tcPr>
            <w:tcW w:w="1240" w:type="pct"/>
            <w:shd w:val="clear" w:color="auto" w:fill="auto"/>
          </w:tcPr>
          <w:p w:rsidR="0063482E" w:rsidRPr="00C75C7E" w:rsidRDefault="0063482E" w:rsidP="00EF3DB5">
            <w:pPr>
              <w:widowControl w:val="0"/>
              <w:rPr>
                <w:sz w:val="16"/>
                <w:szCs w:val="16"/>
                <w:lang w:val="es-ES_tradnl"/>
              </w:rPr>
            </w:pPr>
          </w:p>
        </w:tc>
        <w:tc>
          <w:tcPr>
            <w:tcW w:w="1504" w:type="pct"/>
            <w:shd w:val="clear" w:color="auto" w:fill="auto"/>
            <w:tcMar>
              <w:top w:w="110" w:type="dxa"/>
            </w:tcMar>
          </w:tcPr>
          <w:p w:rsidR="0063482E" w:rsidRPr="00C75C7E" w:rsidRDefault="0063482E" w:rsidP="00EF3DB5">
            <w:pPr>
              <w:widowControl w:val="0"/>
              <w:rPr>
                <w:sz w:val="16"/>
                <w:szCs w:val="16"/>
                <w:lang w:val="es-ES_tradnl"/>
              </w:rPr>
            </w:pPr>
            <w:r w:rsidRPr="00C75C7E">
              <w:rPr>
                <w:sz w:val="16"/>
                <w:szCs w:val="16"/>
                <w:lang w:val="es-ES_tradnl"/>
              </w:rPr>
              <w:t xml:space="preserve">Número de registros. </w:t>
            </w:r>
          </w:p>
          <w:p w:rsidR="0063482E" w:rsidRPr="00C75C7E" w:rsidRDefault="0063482E" w:rsidP="00EF3DB5">
            <w:pPr>
              <w:widowControl w:val="0"/>
              <w:rPr>
                <w:sz w:val="16"/>
                <w:szCs w:val="16"/>
                <w:lang w:val="es-ES_tradnl"/>
              </w:rPr>
            </w:pPr>
            <w:r w:rsidRPr="00C75C7E">
              <w:rPr>
                <w:sz w:val="16"/>
                <w:szCs w:val="16"/>
                <w:lang w:val="es-ES_tradnl"/>
              </w:rPr>
              <w:t xml:space="preserve">Número de renovaciones tramitadas. </w:t>
            </w:r>
          </w:p>
          <w:p w:rsidR="0063482E" w:rsidRPr="00C75C7E" w:rsidRDefault="0063482E" w:rsidP="00EF3DB5">
            <w:pPr>
              <w:widowControl w:val="0"/>
              <w:rPr>
                <w:sz w:val="16"/>
                <w:szCs w:val="16"/>
                <w:lang w:val="es-ES_tradnl"/>
              </w:rPr>
            </w:pPr>
            <w:r w:rsidRPr="00C75C7E">
              <w:rPr>
                <w:sz w:val="16"/>
                <w:szCs w:val="16"/>
                <w:lang w:val="es-ES_tradnl"/>
              </w:rPr>
              <w:t>Número de modificaciones, incluidas las designaciones posteriores (Madrid).</w:t>
            </w:r>
          </w:p>
        </w:tc>
        <w:tc>
          <w:tcPr>
            <w:tcW w:w="1147" w:type="pct"/>
            <w:shd w:val="clear" w:color="auto" w:fill="FFFFFF"/>
            <w:tcMar>
              <w:top w:w="110" w:type="dxa"/>
            </w:tcMar>
          </w:tcPr>
          <w:p w:rsidR="0063482E" w:rsidRPr="00C75C7E" w:rsidRDefault="0063482E" w:rsidP="00EF3DB5">
            <w:pPr>
              <w:widowControl w:val="0"/>
              <w:rPr>
                <w:sz w:val="16"/>
                <w:szCs w:val="16"/>
                <w:lang w:val="es-ES_tradnl" w:bidi="th-TH"/>
              </w:rPr>
            </w:pPr>
            <w:r w:rsidRPr="00C75C7E">
              <w:rPr>
                <w:sz w:val="16"/>
                <w:szCs w:val="16"/>
                <w:lang w:val="es-ES_tradnl" w:bidi="th-TH"/>
              </w:rPr>
              <w:t xml:space="preserve">Registros, renovaciones (véase el Anexo VII).  </w:t>
            </w:r>
          </w:p>
          <w:p w:rsidR="0063482E" w:rsidRPr="00C75C7E" w:rsidRDefault="0063482E" w:rsidP="00EF3DB5">
            <w:pPr>
              <w:widowControl w:val="0"/>
              <w:rPr>
                <w:sz w:val="16"/>
                <w:szCs w:val="16"/>
                <w:lang w:val="es-ES_tradnl" w:bidi="th-TH"/>
              </w:rPr>
            </w:pPr>
            <w:r w:rsidRPr="00C75C7E">
              <w:rPr>
                <w:sz w:val="16"/>
                <w:szCs w:val="16"/>
                <w:lang w:val="es-ES_tradnl" w:bidi="th-TH"/>
              </w:rPr>
              <w:t>Se inscribieron 97.500 modificaciones en el Registro (2012).</w:t>
            </w:r>
          </w:p>
          <w:p w:rsidR="0063482E" w:rsidRPr="00C75C7E" w:rsidRDefault="0063482E" w:rsidP="00EF3DB5">
            <w:pPr>
              <w:widowControl w:val="0"/>
              <w:rPr>
                <w:sz w:val="16"/>
                <w:szCs w:val="16"/>
                <w:lang w:val="es-ES_tradnl" w:bidi="th-TH"/>
              </w:rPr>
            </w:pPr>
          </w:p>
          <w:p w:rsidR="0063482E" w:rsidRPr="00C75C7E" w:rsidRDefault="0063482E" w:rsidP="00EF3DB5">
            <w:pPr>
              <w:widowControl w:val="0"/>
              <w:rPr>
                <w:sz w:val="16"/>
                <w:szCs w:val="16"/>
                <w:lang w:val="es-ES_tradnl" w:bidi="th-TH"/>
              </w:rPr>
            </w:pPr>
          </w:p>
        </w:tc>
        <w:tc>
          <w:tcPr>
            <w:tcW w:w="1109" w:type="pct"/>
            <w:shd w:val="clear" w:color="auto" w:fill="auto"/>
            <w:tcMar>
              <w:top w:w="110" w:type="dxa"/>
            </w:tcMar>
          </w:tcPr>
          <w:p w:rsidR="0063482E" w:rsidRPr="00C75C7E" w:rsidRDefault="0063482E" w:rsidP="00EF3DB5">
            <w:pPr>
              <w:widowControl w:val="0"/>
              <w:ind w:right="161"/>
              <w:rPr>
                <w:bCs/>
                <w:sz w:val="16"/>
                <w:szCs w:val="16"/>
                <w:lang w:val="es-ES_tradnl"/>
              </w:rPr>
            </w:pPr>
            <w:r w:rsidRPr="00C75C7E">
              <w:rPr>
                <w:bCs/>
                <w:sz w:val="16"/>
                <w:szCs w:val="16"/>
                <w:lang w:val="es-ES_tradnl"/>
              </w:rPr>
              <w:t xml:space="preserve">2014:  Aumento del 6,3% en los registros y renovaciones. </w:t>
            </w:r>
          </w:p>
          <w:p w:rsidR="0063482E" w:rsidRPr="00C75C7E" w:rsidRDefault="0063482E" w:rsidP="00EF3DB5">
            <w:pPr>
              <w:widowControl w:val="0"/>
              <w:ind w:right="161"/>
              <w:rPr>
                <w:bCs/>
                <w:sz w:val="16"/>
                <w:szCs w:val="16"/>
                <w:lang w:val="es-ES_tradnl"/>
              </w:rPr>
            </w:pPr>
            <w:r w:rsidRPr="00C75C7E">
              <w:rPr>
                <w:bCs/>
                <w:sz w:val="16"/>
                <w:szCs w:val="16"/>
                <w:lang w:val="es-ES_tradnl"/>
              </w:rPr>
              <w:t xml:space="preserve">2015:  Aumento del 3,3% en los registros y renovaciones.  </w:t>
            </w:r>
          </w:p>
          <w:p w:rsidR="0063482E" w:rsidRPr="00C75C7E" w:rsidRDefault="0063482E" w:rsidP="00EF3DB5">
            <w:pPr>
              <w:widowControl w:val="0"/>
              <w:ind w:right="161"/>
              <w:rPr>
                <w:bCs/>
                <w:sz w:val="16"/>
                <w:szCs w:val="16"/>
                <w:lang w:val="es-ES_tradnl"/>
              </w:rPr>
            </w:pPr>
            <w:r w:rsidRPr="00C75C7E">
              <w:rPr>
                <w:bCs/>
                <w:sz w:val="16"/>
                <w:szCs w:val="16"/>
                <w:lang w:val="es-ES_tradnl"/>
              </w:rPr>
              <w:t xml:space="preserve">Total de registros:  92.500. </w:t>
            </w:r>
          </w:p>
          <w:p w:rsidR="0063482E" w:rsidRPr="00C75C7E" w:rsidRDefault="0063482E" w:rsidP="00EF3DB5">
            <w:pPr>
              <w:widowControl w:val="0"/>
              <w:ind w:right="161"/>
              <w:rPr>
                <w:bCs/>
                <w:sz w:val="16"/>
                <w:szCs w:val="16"/>
                <w:lang w:val="es-ES_tradnl"/>
              </w:rPr>
            </w:pPr>
            <w:r w:rsidRPr="00C75C7E">
              <w:rPr>
                <w:bCs/>
                <w:sz w:val="16"/>
                <w:szCs w:val="16"/>
                <w:lang w:val="es-ES_tradnl"/>
              </w:rPr>
              <w:t xml:space="preserve">Total de renovaciones:   49.000 </w:t>
            </w:r>
          </w:p>
          <w:p w:rsidR="0063482E" w:rsidRPr="00C75C7E" w:rsidRDefault="0063482E" w:rsidP="00EF3DB5">
            <w:pPr>
              <w:widowControl w:val="0"/>
              <w:ind w:right="161"/>
              <w:rPr>
                <w:bCs/>
                <w:sz w:val="16"/>
                <w:szCs w:val="16"/>
                <w:lang w:val="es-ES_tradnl"/>
              </w:rPr>
            </w:pPr>
            <w:r w:rsidRPr="00C75C7E">
              <w:rPr>
                <w:bCs/>
                <w:sz w:val="16"/>
                <w:szCs w:val="16"/>
                <w:lang w:val="es-ES_tradnl"/>
              </w:rPr>
              <w:t>Total de modificaciones: 200.000, incluidas 35.000 designaciones posteriores.</w:t>
            </w:r>
          </w:p>
        </w:tc>
      </w:tr>
      <w:tr w:rsidR="0063482E" w:rsidRPr="00C75C7E" w:rsidTr="00EF3DB5">
        <w:trPr>
          <w:cantSplit/>
          <w:trHeight w:val="531"/>
        </w:trPr>
        <w:tc>
          <w:tcPr>
            <w:tcW w:w="1240" w:type="pct"/>
            <w:tcBorders>
              <w:bottom w:val="nil"/>
            </w:tcBorders>
            <w:shd w:val="clear" w:color="auto" w:fill="auto"/>
          </w:tcPr>
          <w:p w:rsidR="0063482E" w:rsidRPr="00C75C7E" w:rsidRDefault="0063482E" w:rsidP="00EF3DB5">
            <w:pPr>
              <w:widowControl w:val="0"/>
              <w:rPr>
                <w:sz w:val="16"/>
                <w:szCs w:val="16"/>
                <w:lang w:val="es-ES_tradnl"/>
              </w:rPr>
            </w:pPr>
          </w:p>
        </w:tc>
        <w:tc>
          <w:tcPr>
            <w:tcW w:w="1504" w:type="pct"/>
            <w:tcBorders>
              <w:bottom w:val="nil"/>
            </w:tcBorders>
            <w:shd w:val="clear" w:color="auto" w:fill="auto"/>
            <w:tcMar>
              <w:top w:w="110" w:type="dxa"/>
            </w:tcMar>
          </w:tcPr>
          <w:p w:rsidR="0063482E" w:rsidRPr="00C75C7E" w:rsidRDefault="0063482E" w:rsidP="00EF3DB5">
            <w:pPr>
              <w:widowControl w:val="0"/>
              <w:rPr>
                <w:sz w:val="16"/>
                <w:szCs w:val="16"/>
                <w:lang w:val="es-ES_tradnl"/>
              </w:rPr>
            </w:pPr>
            <w:r w:rsidRPr="00C75C7E">
              <w:rPr>
                <w:sz w:val="16"/>
                <w:szCs w:val="16"/>
                <w:lang w:val="es-ES_tradnl"/>
              </w:rPr>
              <w:t>Traducción de las solicitudes de manera puntual (Madrid).</w:t>
            </w:r>
          </w:p>
        </w:tc>
        <w:tc>
          <w:tcPr>
            <w:tcW w:w="1147" w:type="pct"/>
            <w:tcBorders>
              <w:bottom w:val="nil"/>
            </w:tcBorders>
            <w:shd w:val="clear" w:color="auto" w:fill="FFFFFF"/>
            <w:tcMar>
              <w:top w:w="110" w:type="dxa"/>
            </w:tcMar>
          </w:tcPr>
          <w:p w:rsidR="0063482E" w:rsidRPr="00C75C7E" w:rsidRDefault="0063482E" w:rsidP="00EF3DB5">
            <w:pPr>
              <w:widowControl w:val="0"/>
              <w:rPr>
                <w:sz w:val="16"/>
                <w:szCs w:val="16"/>
                <w:lang w:val="es-ES_tradnl" w:bidi="th-TH"/>
              </w:rPr>
            </w:pPr>
            <w:r w:rsidRPr="00C75C7E">
              <w:rPr>
                <w:sz w:val="16"/>
                <w:szCs w:val="16"/>
                <w:lang w:val="es-ES_tradnl" w:bidi="th-TH"/>
              </w:rPr>
              <w:t>No se dispone de datos.</w:t>
            </w:r>
          </w:p>
          <w:p w:rsidR="0063482E" w:rsidRPr="00C75C7E" w:rsidRDefault="0063482E" w:rsidP="00EF3DB5">
            <w:pPr>
              <w:widowControl w:val="0"/>
              <w:rPr>
                <w:sz w:val="16"/>
                <w:szCs w:val="16"/>
                <w:lang w:val="es-ES_tradnl" w:bidi="th-TH"/>
              </w:rPr>
            </w:pPr>
          </w:p>
          <w:p w:rsidR="0063482E" w:rsidRPr="00C75C7E" w:rsidRDefault="0063482E" w:rsidP="00EF3DB5">
            <w:pPr>
              <w:widowControl w:val="0"/>
              <w:rPr>
                <w:sz w:val="16"/>
                <w:szCs w:val="16"/>
                <w:lang w:val="es-ES_tradnl" w:bidi="th-TH"/>
              </w:rPr>
            </w:pPr>
          </w:p>
        </w:tc>
        <w:tc>
          <w:tcPr>
            <w:tcW w:w="1109" w:type="pct"/>
            <w:tcBorders>
              <w:bottom w:val="nil"/>
            </w:tcBorders>
            <w:shd w:val="clear" w:color="auto" w:fill="auto"/>
            <w:tcMar>
              <w:top w:w="110" w:type="dxa"/>
            </w:tcMar>
          </w:tcPr>
          <w:p w:rsidR="0063482E" w:rsidRPr="00C75C7E" w:rsidRDefault="0063482E" w:rsidP="00EF3DB5">
            <w:pPr>
              <w:widowControl w:val="0"/>
              <w:ind w:right="161"/>
              <w:rPr>
                <w:bCs/>
                <w:sz w:val="16"/>
                <w:szCs w:val="16"/>
                <w:lang w:val="es-ES_tradnl"/>
              </w:rPr>
            </w:pPr>
            <w:r w:rsidRPr="00C75C7E">
              <w:rPr>
                <w:bCs/>
                <w:sz w:val="16"/>
                <w:szCs w:val="16"/>
                <w:lang w:val="es-ES_tradnl"/>
              </w:rPr>
              <w:t>Cuatro semanas.</w:t>
            </w:r>
          </w:p>
        </w:tc>
      </w:tr>
      <w:tr w:rsidR="0063482E" w:rsidRPr="00C75C7E" w:rsidTr="00EF3DB5">
        <w:trPr>
          <w:cantSplit/>
          <w:trHeight w:val="663"/>
        </w:trPr>
        <w:tc>
          <w:tcPr>
            <w:tcW w:w="1240" w:type="pct"/>
            <w:tcBorders>
              <w:top w:val="nil"/>
              <w:left w:val="single" w:sz="4" w:space="0" w:color="auto"/>
              <w:bottom w:val="nil"/>
            </w:tcBorders>
            <w:shd w:val="clear" w:color="auto" w:fill="auto"/>
          </w:tcPr>
          <w:p w:rsidR="0063482E" w:rsidRPr="00C75C7E" w:rsidRDefault="0063482E" w:rsidP="00EF3DB5">
            <w:pPr>
              <w:widowControl w:val="0"/>
              <w:rPr>
                <w:sz w:val="16"/>
                <w:szCs w:val="16"/>
                <w:lang w:val="es-ES_tradnl"/>
              </w:rPr>
            </w:pPr>
          </w:p>
        </w:tc>
        <w:tc>
          <w:tcPr>
            <w:tcW w:w="1504" w:type="pct"/>
            <w:tcBorders>
              <w:top w:val="nil"/>
              <w:bottom w:val="nil"/>
            </w:tcBorders>
            <w:shd w:val="clear" w:color="auto" w:fill="auto"/>
            <w:tcMar>
              <w:top w:w="110" w:type="dxa"/>
            </w:tcMar>
          </w:tcPr>
          <w:p w:rsidR="0063482E" w:rsidRPr="00C75C7E" w:rsidRDefault="0063482E" w:rsidP="00EF3DB5">
            <w:pPr>
              <w:widowControl w:val="0"/>
              <w:rPr>
                <w:sz w:val="16"/>
                <w:szCs w:val="16"/>
                <w:lang w:val="es-ES_tradnl"/>
              </w:rPr>
            </w:pPr>
            <w:r w:rsidRPr="00C75C7E">
              <w:rPr>
                <w:sz w:val="16"/>
                <w:szCs w:val="16"/>
                <w:lang w:val="es-ES_tradnl"/>
              </w:rPr>
              <w:t>Disminución del número de correcciones (Madrid).</w:t>
            </w:r>
          </w:p>
        </w:tc>
        <w:tc>
          <w:tcPr>
            <w:tcW w:w="1147" w:type="pct"/>
            <w:tcBorders>
              <w:top w:val="nil"/>
              <w:bottom w:val="nil"/>
            </w:tcBorders>
            <w:shd w:val="clear" w:color="auto" w:fill="FFFFFF"/>
            <w:tcMar>
              <w:top w:w="110" w:type="dxa"/>
            </w:tcMar>
          </w:tcPr>
          <w:p w:rsidR="0063482E" w:rsidRPr="00C75C7E" w:rsidRDefault="0063482E" w:rsidP="00EF3DB5">
            <w:pPr>
              <w:widowControl w:val="0"/>
              <w:rPr>
                <w:sz w:val="16"/>
                <w:szCs w:val="16"/>
                <w:lang w:val="es-ES_tradnl" w:bidi="th-TH"/>
              </w:rPr>
            </w:pPr>
            <w:r w:rsidRPr="00C75C7E">
              <w:rPr>
                <w:sz w:val="16"/>
                <w:szCs w:val="16"/>
                <w:lang w:val="es-ES_tradnl" w:bidi="th-TH"/>
              </w:rPr>
              <w:t>Número de correcciones en 2012 ( 5.000 peticiones).</w:t>
            </w:r>
          </w:p>
          <w:p w:rsidR="0063482E" w:rsidRPr="00C75C7E" w:rsidRDefault="0063482E" w:rsidP="00EF3DB5">
            <w:pPr>
              <w:widowControl w:val="0"/>
              <w:rPr>
                <w:sz w:val="16"/>
                <w:szCs w:val="16"/>
                <w:lang w:val="es-ES_tradnl" w:bidi="th-TH"/>
              </w:rPr>
            </w:pPr>
          </w:p>
        </w:tc>
        <w:tc>
          <w:tcPr>
            <w:tcW w:w="1109" w:type="pct"/>
            <w:tcBorders>
              <w:top w:val="nil"/>
              <w:bottom w:val="nil"/>
              <w:right w:val="single" w:sz="4" w:space="0" w:color="auto"/>
            </w:tcBorders>
            <w:shd w:val="clear" w:color="auto" w:fill="auto"/>
            <w:tcMar>
              <w:top w:w="110" w:type="dxa"/>
            </w:tcMar>
          </w:tcPr>
          <w:p w:rsidR="0063482E" w:rsidRPr="00C75C7E" w:rsidRDefault="0063482E" w:rsidP="00EF3DB5">
            <w:pPr>
              <w:widowControl w:val="0"/>
              <w:ind w:right="161"/>
              <w:rPr>
                <w:bCs/>
                <w:sz w:val="16"/>
                <w:szCs w:val="16"/>
                <w:lang w:val="es-ES_tradnl"/>
              </w:rPr>
            </w:pPr>
            <w:r w:rsidRPr="00C75C7E">
              <w:rPr>
                <w:bCs/>
                <w:sz w:val="16"/>
                <w:szCs w:val="16"/>
                <w:lang w:val="es-ES_tradnl"/>
              </w:rPr>
              <w:t>Disminución en un 10% del número de correcciones.</w:t>
            </w:r>
          </w:p>
        </w:tc>
      </w:tr>
      <w:tr w:rsidR="0063482E" w:rsidRPr="00C75C7E" w:rsidTr="00EF3DB5">
        <w:trPr>
          <w:cantSplit/>
          <w:trHeight w:val="946"/>
        </w:trPr>
        <w:tc>
          <w:tcPr>
            <w:tcW w:w="1240" w:type="pct"/>
            <w:tcBorders>
              <w:top w:val="nil"/>
              <w:left w:val="single" w:sz="4" w:space="0" w:color="auto"/>
              <w:bottom w:val="nil"/>
            </w:tcBorders>
            <w:shd w:val="clear" w:color="auto" w:fill="auto"/>
          </w:tcPr>
          <w:p w:rsidR="0063482E" w:rsidRPr="00C75C7E" w:rsidRDefault="0063482E" w:rsidP="00EF3DB5">
            <w:pPr>
              <w:widowControl w:val="0"/>
              <w:rPr>
                <w:sz w:val="16"/>
                <w:szCs w:val="16"/>
                <w:lang w:val="es-ES_tradnl"/>
              </w:rPr>
            </w:pPr>
          </w:p>
        </w:tc>
        <w:tc>
          <w:tcPr>
            <w:tcW w:w="1504" w:type="pct"/>
            <w:tcBorders>
              <w:top w:val="nil"/>
              <w:bottom w:val="nil"/>
            </w:tcBorders>
            <w:shd w:val="clear" w:color="auto" w:fill="auto"/>
            <w:tcMar>
              <w:top w:w="110" w:type="dxa"/>
            </w:tcMar>
          </w:tcPr>
          <w:p w:rsidR="0063482E" w:rsidRPr="00C75C7E" w:rsidRDefault="0063482E" w:rsidP="00EF3DB5">
            <w:pPr>
              <w:widowControl w:val="0"/>
              <w:rPr>
                <w:sz w:val="16"/>
                <w:szCs w:val="16"/>
                <w:lang w:val="es-ES_tradnl"/>
              </w:rPr>
            </w:pPr>
            <w:r w:rsidRPr="00C75C7E">
              <w:rPr>
                <w:sz w:val="16"/>
                <w:szCs w:val="16"/>
                <w:lang w:val="es-ES_tradnl"/>
              </w:rPr>
              <w:t>Aumento de la satisfacción de los clientes (Madrid).</w:t>
            </w:r>
          </w:p>
        </w:tc>
        <w:tc>
          <w:tcPr>
            <w:tcW w:w="1147" w:type="pct"/>
            <w:tcBorders>
              <w:top w:val="nil"/>
              <w:bottom w:val="nil"/>
            </w:tcBorders>
            <w:shd w:val="clear" w:color="auto" w:fill="FFFFFF"/>
            <w:tcMar>
              <w:top w:w="110" w:type="dxa"/>
            </w:tcMar>
          </w:tcPr>
          <w:p w:rsidR="0063482E" w:rsidRPr="00C75C7E" w:rsidRDefault="0063482E" w:rsidP="00EF3DB5">
            <w:pPr>
              <w:widowControl w:val="0"/>
              <w:rPr>
                <w:sz w:val="16"/>
                <w:szCs w:val="16"/>
                <w:lang w:val="es-ES_tradnl" w:bidi="th-TH"/>
              </w:rPr>
            </w:pPr>
            <w:r w:rsidRPr="00C75C7E">
              <w:rPr>
                <w:sz w:val="16"/>
                <w:szCs w:val="16"/>
                <w:lang w:val="es-ES_tradnl" w:bidi="th-TH"/>
              </w:rPr>
              <w:t>Encuesta de prestación de servicios al cliente en</w:t>
            </w:r>
            <w:r w:rsidRPr="00C75C7E">
              <w:rPr>
                <w:sz w:val="16"/>
                <w:szCs w:val="16"/>
                <w:highlight w:val="cyan"/>
                <w:lang w:val="es-ES_tradnl" w:bidi="th-TH"/>
              </w:rPr>
              <w:t xml:space="preserve"> </w:t>
            </w:r>
            <w:r w:rsidRPr="00C75C7E">
              <w:rPr>
                <w:sz w:val="16"/>
                <w:szCs w:val="16"/>
                <w:lang w:val="es-ES_tradnl" w:bidi="th-TH"/>
              </w:rPr>
              <w:t>2012. Índice de prestación de servicios:  79.</w:t>
            </w:r>
          </w:p>
        </w:tc>
        <w:tc>
          <w:tcPr>
            <w:tcW w:w="1109" w:type="pct"/>
            <w:tcBorders>
              <w:top w:val="nil"/>
              <w:bottom w:val="nil"/>
              <w:right w:val="single" w:sz="4" w:space="0" w:color="auto"/>
            </w:tcBorders>
            <w:shd w:val="clear" w:color="auto" w:fill="auto"/>
            <w:tcMar>
              <w:top w:w="110" w:type="dxa"/>
            </w:tcMar>
          </w:tcPr>
          <w:p w:rsidR="0063482E" w:rsidRPr="00C75C7E" w:rsidRDefault="0063482E" w:rsidP="00EF3DB5">
            <w:pPr>
              <w:widowControl w:val="0"/>
              <w:ind w:right="161"/>
              <w:rPr>
                <w:bCs/>
                <w:sz w:val="16"/>
                <w:szCs w:val="16"/>
                <w:lang w:val="es-ES_tradnl"/>
              </w:rPr>
            </w:pPr>
            <w:r w:rsidRPr="00C75C7E">
              <w:rPr>
                <w:bCs/>
                <w:sz w:val="16"/>
                <w:szCs w:val="16"/>
                <w:lang w:val="es-ES_tradnl"/>
              </w:rPr>
              <w:t>Índice de satisfacción más elevado en la siguiente encuesta, centrado en la puntualidad y la capacidad de respuesta.</w:t>
            </w:r>
          </w:p>
        </w:tc>
      </w:tr>
      <w:tr w:rsidR="0063482E" w:rsidRPr="00C75C7E" w:rsidTr="00EF3DB5">
        <w:trPr>
          <w:cantSplit/>
          <w:trHeight w:val="1337"/>
        </w:trPr>
        <w:tc>
          <w:tcPr>
            <w:tcW w:w="1240" w:type="pct"/>
            <w:tcBorders>
              <w:top w:val="nil"/>
              <w:left w:val="single" w:sz="4" w:space="0" w:color="auto"/>
              <w:bottom w:val="nil"/>
            </w:tcBorders>
            <w:shd w:val="clear" w:color="auto" w:fill="auto"/>
          </w:tcPr>
          <w:p w:rsidR="0063482E" w:rsidRPr="00C75C7E" w:rsidRDefault="0063482E" w:rsidP="00EF3DB5">
            <w:pPr>
              <w:widowControl w:val="0"/>
              <w:rPr>
                <w:sz w:val="16"/>
                <w:szCs w:val="16"/>
                <w:lang w:val="es-ES_tradnl"/>
              </w:rPr>
            </w:pPr>
          </w:p>
        </w:tc>
        <w:tc>
          <w:tcPr>
            <w:tcW w:w="1504" w:type="pct"/>
            <w:tcBorders>
              <w:top w:val="nil"/>
              <w:bottom w:val="nil"/>
            </w:tcBorders>
            <w:shd w:val="clear" w:color="auto" w:fill="auto"/>
            <w:tcMar>
              <w:top w:w="110" w:type="dxa"/>
            </w:tcMar>
          </w:tcPr>
          <w:p w:rsidR="0063482E" w:rsidRPr="00C75C7E" w:rsidRDefault="0063482E" w:rsidP="00EF3DB5">
            <w:pPr>
              <w:widowControl w:val="0"/>
              <w:rPr>
                <w:sz w:val="16"/>
                <w:szCs w:val="16"/>
                <w:lang w:val="es-ES_tradnl"/>
              </w:rPr>
            </w:pPr>
            <w:r w:rsidRPr="00C75C7E">
              <w:rPr>
                <w:sz w:val="16"/>
                <w:szCs w:val="16"/>
                <w:lang w:val="es-ES_tradnl"/>
              </w:rPr>
              <w:t>Aumento del uso del intercambio electrónico (Madrid).</w:t>
            </w:r>
          </w:p>
        </w:tc>
        <w:tc>
          <w:tcPr>
            <w:tcW w:w="1147" w:type="pct"/>
            <w:tcBorders>
              <w:top w:val="nil"/>
              <w:bottom w:val="nil"/>
            </w:tcBorders>
            <w:shd w:val="clear" w:color="auto" w:fill="FFFFFF"/>
            <w:tcMar>
              <w:top w:w="110" w:type="dxa"/>
            </w:tcMar>
          </w:tcPr>
          <w:p w:rsidR="0063482E" w:rsidRPr="00C75C7E" w:rsidRDefault="0063482E" w:rsidP="00EF3DB5">
            <w:pPr>
              <w:widowControl w:val="0"/>
              <w:rPr>
                <w:sz w:val="16"/>
                <w:szCs w:val="16"/>
                <w:lang w:val="es-ES_tradnl" w:bidi="th-TH"/>
              </w:rPr>
            </w:pPr>
            <w:r w:rsidRPr="00C75C7E">
              <w:rPr>
                <w:sz w:val="16"/>
                <w:szCs w:val="16"/>
                <w:lang w:val="es-ES_tradnl" w:bidi="th-TH"/>
              </w:rPr>
              <w:t>60% de documentos recibidos electrónicamente;  85.00</w:t>
            </w:r>
            <w:r w:rsidR="00335765">
              <w:rPr>
                <w:sz w:val="16"/>
                <w:szCs w:val="16"/>
                <w:lang w:val="es-ES_tradnl" w:bidi="th-TH"/>
              </w:rPr>
              <w:t>0</w:t>
            </w:r>
            <w:r w:rsidRPr="00C75C7E">
              <w:rPr>
                <w:sz w:val="16"/>
                <w:szCs w:val="16"/>
                <w:lang w:val="es-ES_tradnl" w:bidi="th-TH"/>
              </w:rPr>
              <w:t xml:space="preserve"> marcas notificadas por correo electrónico;  200 usuarios que utilizan el Gestor de carteras del sistema de Madrid;  17 oficinas que envían solicitudes en XML.</w:t>
            </w:r>
          </w:p>
          <w:p w:rsidR="0063482E" w:rsidRPr="00C75C7E" w:rsidRDefault="0063482E" w:rsidP="00EF3DB5">
            <w:pPr>
              <w:widowControl w:val="0"/>
              <w:rPr>
                <w:sz w:val="16"/>
                <w:szCs w:val="16"/>
                <w:lang w:val="es-ES_tradnl" w:bidi="th-TH"/>
              </w:rPr>
            </w:pPr>
          </w:p>
        </w:tc>
        <w:tc>
          <w:tcPr>
            <w:tcW w:w="1109" w:type="pct"/>
            <w:tcBorders>
              <w:top w:val="nil"/>
              <w:bottom w:val="nil"/>
              <w:right w:val="single" w:sz="4" w:space="0" w:color="auto"/>
            </w:tcBorders>
            <w:shd w:val="clear" w:color="auto" w:fill="auto"/>
            <w:tcMar>
              <w:top w:w="110" w:type="dxa"/>
            </w:tcMar>
          </w:tcPr>
          <w:p w:rsidR="0063482E" w:rsidRPr="00C75C7E" w:rsidRDefault="0063482E" w:rsidP="00EF3DB5">
            <w:pPr>
              <w:widowControl w:val="0"/>
              <w:ind w:right="161"/>
              <w:rPr>
                <w:bCs/>
                <w:sz w:val="16"/>
                <w:szCs w:val="16"/>
                <w:lang w:val="es-ES_tradnl"/>
              </w:rPr>
            </w:pPr>
            <w:r w:rsidRPr="00C75C7E">
              <w:rPr>
                <w:bCs/>
                <w:sz w:val="16"/>
                <w:szCs w:val="16"/>
                <w:lang w:val="es-ES_tradnl"/>
              </w:rPr>
              <w:t>70% de documentos recibidos electrónicamente;  110.000 marcas notificadas por correo electrónico;  1,000 usuarios que utilizan el Gestor de carteras del sistema de Madrid;  23 oficinas que envían solicitudes en XML.</w:t>
            </w:r>
          </w:p>
        </w:tc>
      </w:tr>
      <w:tr w:rsidR="0063482E" w:rsidRPr="00C75C7E" w:rsidTr="00EF3DB5">
        <w:trPr>
          <w:cantSplit/>
          <w:trHeight w:val="992"/>
        </w:trPr>
        <w:tc>
          <w:tcPr>
            <w:tcW w:w="1240" w:type="pct"/>
            <w:tcBorders>
              <w:top w:val="nil"/>
              <w:left w:val="single" w:sz="4" w:space="0" w:color="auto"/>
              <w:bottom w:val="nil"/>
            </w:tcBorders>
            <w:shd w:val="clear" w:color="auto" w:fill="auto"/>
          </w:tcPr>
          <w:p w:rsidR="0063482E" w:rsidRPr="00C75C7E" w:rsidRDefault="0063482E" w:rsidP="00EF3DB5">
            <w:pPr>
              <w:widowControl w:val="0"/>
              <w:rPr>
                <w:sz w:val="16"/>
                <w:szCs w:val="16"/>
                <w:lang w:val="es-ES_tradnl"/>
              </w:rPr>
            </w:pPr>
          </w:p>
        </w:tc>
        <w:tc>
          <w:tcPr>
            <w:tcW w:w="1504" w:type="pct"/>
            <w:tcBorders>
              <w:top w:val="nil"/>
              <w:bottom w:val="nil"/>
            </w:tcBorders>
            <w:shd w:val="clear" w:color="auto" w:fill="auto"/>
            <w:tcMar>
              <w:top w:w="110" w:type="dxa"/>
            </w:tcMar>
          </w:tcPr>
          <w:p w:rsidR="0063482E" w:rsidRPr="00C75C7E" w:rsidRDefault="0063482E" w:rsidP="00EF3DB5">
            <w:pPr>
              <w:widowControl w:val="0"/>
              <w:rPr>
                <w:sz w:val="16"/>
                <w:szCs w:val="16"/>
                <w:lang w:val="es-ES_tradnl"/>
              </w:rPr>
            </w:pPr>
            <w:r w:rsidRPr="00C75C7E">
              <w:rPr>
                <w:sz w:val="16"/>
                <w:szCs w:val="16"/>
                <w:lang w:val="es-ES_tradnl"/>
              </w:rPr>
              <w:t>Perfeccionamiento del Registro Internacional electrónico del sistema de Lisboa.</w:t>
            </w:r>
          </w:p>
        </w:tc>
        <w:tc>
          <w:tcPr>
            <w:tcW w:w="1147" w:type="pct"/>
            <w:tcBorders>
              <w:top w:val="nil"/>
              <w:bottom w:val="nil"/>
            </w:tcBorders>
            <w:shd w:val="clear" w:color="auto" w:fill="FFFFFF"/>
            <w:tcMar>
              <w:top w:w="110" w:type="dxa"/>
            </w:tcMar>
          </w:tcPr>
          <w:p w:rsidR="0063482E" w:rsidRPr="00C75C7E" w:rsidRDefault="0063482E" w:rsidP="00EF3DB5">
            <w:pPr>
              <w:widowControl w:val="0"/>
              <w:rPr>
                <w:sz w:val="16"/>
                <w:szCs w:val="16"/>
                <w:lang w:val="es-ES_tradnl" w:bidi="th-TH"/>
              </w:rPr>
            </w:pPr>
            <w:r w:rsidRPr="00C75C7E">
              <w:rPr>
                <w:sz w:val="16"/>
                <w:szCs w:val="16"/>
                <w:lang w:val="es-ES_tradnl" w:bidi="th-TH"/>
              </w:rPr>
              <w:t>El Registro Internacional electrónico por establecer en 2013.</w:t>
            </w:r>
          </w:p>
          <w:p w:rsidR="0063482E" w:rsidRPr="00C75C7E" w:rsidRDefault="0063482E" w:rsidP="00EF3DB5">
            <w:pPr>
              <w:widowControl w:val="0"/>
              <w:rPr>
                <w:sz w:val="16"/>
                <w:szCs w:val="16"/>
                <w:lang w:val="es-ES_tradnl" w:bidi="th-TH"/>
              </w:rPr>
            </w:pPr>
          </w:p>
          <w:p w:rsidR="0063482E" w:rsidRPr="00C75C7E" w:rsidRDefault="0063482E" w:rsidP="00EF3DB5">
            <w:pPr>
              <w:widowControl w:val="0"/>
              <w:rPr>
                <w:sz w:val="16"/>
                <w:szCs w:val="16"/>
                <w:lang w:val="es-ES_tradnl" w:bidi="th-TH"/>
              </w:rPr>
            </w:pPr>
          </w:p>
        </w:tc>
        <w:tc>
          <w:tcPr>
            <w:tcW w:w="1109" w:type="pct"/>
            <w:tcBorders>
              <w:top w:val="nil"/>
              <w:bottom w:val="nil"/>
              <w:right w:val="single" w:sz="4" w:space="0" w:color="auto"/>
            </w:tcBorders>
            <w:shd w:val="clear" w:color="auto" w:fill="auto"/>
            <w:tcMar>
              <w:top w:w="110" w:type="dxa"/>
            </w:tcMar>
          </w:tcPr>
          <w:p w:rsidR="0063482E" w:rsidRPr="00C75C7E" w:rsidRDefault="0063482E" w:rsidP="00EF3DB5">
            <w:pPr>
              <w:widowControl w:val="0"/>
              <w:ind w:right="161"/>
              <w:rPr>
                <w:bCs/>
                <w:sz w:val="16"/>
                <w:szCs w:val="16"/>
                <w:lang w:val="es-ES_tradnl"/>
              </w:rPr>
            </w:pPr>
            <w:r w:rsidRPr="00C75C7E">
              <w:rPr>
                <w:bCs/>
                <w:sz w:val="16"/>
                <w:szCs w:val="16"/>
                <w:lang w:val="es-ES_tradnl"/>
              </w:rPr>
              <w:t>Sistema electrónico que conecta el Registro Internacional y la base de datos Lisbon Express en el sitio web de la OMPI.</w:t>
            </w:r>
          </w:p>
        </w:tc>
      </w:tr>
      <w:tr w:rsidR="0063482E" w:rsidRPr="00C75C7E" w:rsidTr="00EF3DB5">
        <w:trPr>
          <w:cantSplit/>
          <w:trHeight w:val="966"/>
        </w:trPr>
        <w:tc>
          <w:tcPr>
            <w:tcW w:w="1240" w:type="pct"/>
            <w:tcBorders>
              <w:top w:val="nil"/>
              <w:left w:val="single" w:sz="4" w:space="0" w:color="auto"/>
              <w:bottom w:val="single" w:sz="4" w:space="0" w:color="auto"/>
            </w:tcBorders>
            <w:shd w:val="clear" w:color="auto" w:fill="auto"/>
          </w:tcPr>
          <w:p w:rsidR="0063482E" w:rsidRPr="00C75C7E" w:rsidRDefault="0063482E" w:rsidP="00EF3DB5">
            <w:pPr>
              <w:widowControl w:val="0"/>
              <w:rPr>
                <w:sz w:val="16"/>
                <w:szCs w:val="16"/>
                <w:lang w:val="es-ES_tradnl"/>
              </w:rPr>
            </w:pPr>
          </w:p>
        </w:tc>
        <w:tc>
          <w:tcPr>
            <w:tcW w:w="1504" w:type="pct"/>
            <w:tcBorders>
              <w:top w:val="nil"/>
              <w:bottom w:val="single" w:sz="4" w:space="0" w:color="auto"/>
            </w:tcBorders>
            <w:shd w:val="clear" w:color="auto" w:fill="auto"/>
            <w:tcMar>
              <w:top w:w="110" w:type="dxa"/>
            </w:tcMar>
          </w:tcPr>
          <w:p w:rsidR="0063482E" w:rsidRPr="00C75C7E" w:rsidRDefault="0063482E" w:rsidP="00EF3DB5">
            <w:pPr>
              <w:widowControl w:val="0"/>
              <w:rPr>
                <w:sz w:val="16"/>
                <w:szCs w:val="16"/>
                <w:lang w:val="es-ES_tradnl"/>
              </w:rPr>
            </w:pPr>
            <w:r w:rsidRPr="00C75C7E">
              <w:rPr>
                <w:sz w:val="16"/>
                <w:szCs w:val="16"/>
                <w:lang w:val="es-ES_tradnl"/>
              </w:rPr>
              <w:t>Perfeccionamiento de los medios de comunicación y publicación electrónicos en el marco de los procedimientos del Arreglo de Lisboa.</w:t>
            </w:r>
          </w:p>
        </w:tc>
        <w:tc>
          <w:tcPr>
            <w:tcW w:w="1147" w:type="pct"/>
            <w:tcBorders>
              <w:top w:val="nil"/>
              <w:bottom w:val="single" w:sz="4" w:space="0" w:color="auto"/>
            </w:tcBorders>
            <w:shd w:val="clear" w:color="auto" w:fill="FFFFFF"/>
            <w:tcMar>
              <w:top w:w="110" w:type="dxa"/>
            </w:tcMar>
          </w:tcPr>
          <w:p w:rsidR="0063482E" w:rsidRPr="00C75C7E" w:rsidRDefault="0063482E" w:rsidP="00EF3DB5">
            <w:pPr>
              <w:widowControl w:val="0"/>
              <w:rPr>
                <w:sz w:val="16"/>
                <w:szCs w:val="16"/>
                <w:lang w:val="es-ES_tradnl" w:bidi="th-TH"/>
              </w:rPr>
            </w:pPr>
            <w:r w:rsidRPr="00C75C7E">
              <w:rPr>
                <w:sz w:val="16"/>
                <w:szCs w:val="16"/>
                <w:lang w:val="es-ES_tradnl" w:bidi="th-TH"/>
              </w:rPr>
              <w:t>Medios electrónicos en funcionamiento al final de 2013.</w:t>
            </w:r>
          </w:p>
          <w:p w:rsidR="0063482E" w:rsidRPr="00C75C7E" w:rsidRDefault="0063482E" w:rsidP="00EF3DB5">
            <w:pPr>
              <w:widowControl w:val="0"/>
              <w:rPr>
                <w:sz w:val="16"/>
                <w:szCs w:val="16"/>
                <w:lang w:val="es-ES_tradnl" w:bidi="th-TH"/>
              </w:rPr>
            </w:pPr>
          </w:p>
        </w:tc>
        <w:tc>
          <w:tcPr>
            <w:tcW w:w="1109" w:type="pct"/>
            <w:tcBorders>
              <w:top w:val="nil"/>
              <w:bottom w:val="single" w:sz="4" w:space="0" w:color="auto"/>
              <w:right w:val="single" w:sz="4" w:space="0" w:color="auto"/>
            </w:tcBorders>
            <w:shd w:val="clear" w:color="auto" w:fill="auto"/>
            <w:tcMar>
              <w:top w:w="110" w:type="dxa"/>
            </w:tcMar>
          </w:tcPr>
          <w:p w:rsidR="0063482E" w:rsidRPr="00C75C7E" w:rsidRDefault="0063482E" w:rsidP="00EF3DB5">
            <w:pPr>
              <w:widowControl w:val="0"/>
              <w:ind w:right="161"/>
              <w:rPr>
                <w:bCs/>
                <w:sz w:val="16"/>
                <w:szCs w:val="16"/>
                <w:lang w:val="es-ES_tradnl"/>
              </w:rPr>
            </w:pPr>
            <w:r w:rsidRPr="00C75C7E">
              <w:rPr>
                <w:bCs/>
                <w:sz w:val="16"/>
                <w:szCs w:val="16"/>
                <w:lang w:val="es-ES_tradnl"/>
              </w:rPr>
              <w:t>Sistema de presentación electrónica e incorporación del boletín del sistema de Lisboa a la base de datos Lisbon Express.</w:t>
            </w:r>
          </w:p>
        </w:tc>
      </w:tr>
    </w:tbl>
    <w:p w:rsidR="0063482E" w:rsidRPr="0079447F" w:rsidRDefault="0063482E" w:rsidP="0079447F">
      <w:pPr>
        <w:widowControl w:val="0"/>
        <w:autoSpaceDE w:val="0"/>
        <w:autoSpaceDN w:val="0"/>
        <w:adjustRightInd w:val="0"/>
        <w:jc w:val="both"/>
        <w:rPr>
          <w:szCs w:val="22"/>
        </w:rPr>
      </w:pPr>
    </w:p>
    <w:p w:rsidR="005E581D" w:rsidRPr="0079447F" w:rsidRDefault="005E581D" w:rsidP="0079447F">
      <w:pPr>
        <w:widowControl w:val="0"/>
        <w:autoSpaceDE w:val="0"/>
        <w:autoSpaceDN w:val="0"/>
        <w:adjustRightInd w:val="0"/>
        <w:jc w:val="both"/>
        <w:rPr>
          <w:szCs w:val="22"/>
        </w:rPr>
      </w:pPr>
    </w:p>
    <w:p w:rsidR="005E581D" w:rsidRPr="006B0DE9" w:rsidRDefault="005E581D" w:rsidP="005E581D">
      <w:pPr>
        <w:widowControl w:val="0"/>
        <w:autoSpaceDE w:val="0"/>
        <w:autoSpaceDN w:val="0"/>
        <w:adjustRightInd w:val="0"/>
        <w:jc w:val="both"/>
        <w:rPr>
          <w:szCs w:val="22"/>
        </w:rPr>
      </w:pPr>
      <w:r w:rsidRPr="006B0DE9">
        <w:rPr>
          <w:szCs w:val="22"/>
        </w:rPr>
        <w:lastRenderedPageBreak/>
        <w:t>RECURSOS PARA EL PROGRAMA 6</w:t>
      </w:r>
    </w:p>
    <w:p w:rsidR="005E581D" w:rsidRPr="006B0DE9" w:rsidRDefault="005E581D" w:rsidP="005E581D">
      <w:pPr>
        <w:widowControl w:val="0"/>
        <w:autoSpaceDE w:val="0"/>
        <w:autoSpaceDN w:val="0"/>
        <w:adjustRightInd w:val="0"/>
        <w:jc w:val="both"/>
        <w:rPr>
          <w:szCs w:val="22"/>
        </w:rPr>
      </w:pPr>
    </w:p>
    <w:p w:rsidR="005E581D" w:rsidRPr="006B0DE9" w:rsidRDefault="005E581D" w:rsidP="00BA276E">
      <w:pPr>
        <w:widowControl w:val="0"/>
        <w:numPr>
          <w:ilvl w:val="0"/>
          <w:numId w:val="26"/>
        </w:numPr>
        <w:jc w:val="both"/>
        <w:rPr>
          <w:color w:val="000000"/>
          <w:sz w:val="20"/>
        </w:rPr>
      </w:pPr>
      <w:r w:rsidRPr="006B0DE9">
        <w:rPr>
          <w:color w:val="000000"/>
          <w:sz w:val="20"/>
        </w:rPr>
        <w:t xml:space="preserve">El aumento de los recursos destinados al </w:t>
      </w:r>
      <w:r w:rsidRPr="006B0DE9">
        <w:rPr>
          <w:sz w:val="20"/>
        </w:rPr>
        <w:t xml:space="preserve">resultado II.6 (Ampliación y mejora del uso de los sistemas de Madrid y de Lisboa) se debe a:  i) la propuesta de redistribución interna de los recursos necesarios para respaldar la ampliación del sistema de Madrid;  ii) </w:t>
      </w:r>
      <w:r w:rsidRPr="006B0DE9">
        <w:rPr>
          <w:color w:val="000000"/>
          <w:sz w:val="20"/>
        </w:rPr>
        <w:t xml:space="preserve">la provisión destinada a la celebración de una eventual conferencia diplomática para la adopción de un Arreglo de Lisboa revisado, con sujeción a la decisión que adopte al respecto la Asamblea de la Unión de Lisboa (reflejada en la línea “Conferencias”), y iii) </w:t>
      </w:r>
      <w:r w:rsidRPr="006B0DE9">
        <w:rPr>
          <w:sz w:val="20"/>
        </w:rPr>
        <w:t>un aumento de 1,2 millones para un nuevo programa de becas entre la Oficina Internacional y las oficinas nacionales de P.I. para los sistemas mundiales de registro</w:t>
      </w:r>
      <w:r w:rsidRPr="006B0DE9">
        <w:rPr>
          <w:color w:val="000000"/>
          <w:sz w:val="20"/>
        </w:rPr>
        <w:t>.</w:t>
      </w:r>
    </w:p>
    <w:p w:rsidR="005E581D" w:rsidRPr="006B0DE9" w:rsidRDefault="005E581D" w:rsidP="005E581D">
      <w:pPr>
        <w:widowControl w:val="0"/>
        <w:jc w:val="both"/>
        <w:rPr>
          <w:color w:val="000000"/>
          <w:sz w:val="20"/>
        </w:rPr>
      </w:pPr>
    </w:p>
    <w:p w:rsidR="005E581D" w:rsidRPr="006B0DE9" w:rsidRDefault="005E581D" w:rsidP="00BA276E">
      <w:pPr>
        <w:widowControl w:val="0"/>
        <w:numPr>
          <w:ilvl w:val="0"/>
          <w:numId w:val="26"/>
        </w:numPr>
        <w:jc w:val="both"/>
        <w:rPr>
          <w:sz w:val="20"/>
        </w:rPr>
      </w:pPr>
      <w:r w:rsidRPr="006B0DE9">
        <w:rPr>
          <w:color w:val="000000"/>
          <w:sz w:val="20"/>
        </w:rPr>
        <w:t>El programa de becas permitirá al personal de las oficinas nacionales participantes conocer en profundidad la labor que desarrolla la Oficina Internacional y adquirir conocimientos y experiencia laboral en primera persona acerca de los procedimientos de intercambio de formalidades así como de las últimas novedades en este ámbito.</w:t>
      </w:r>
    </w:p>
    <w:p w:rsidR="005E581D" w:rsidRPr="006B0DE9" w:rsidRDefault="005E581D" w:rsidP="005E581D">
      <w:pPr>
        <w:widowControl w:val="0"/>
        <w:jc w:val="both"/>
        <w:rPr>
          <w:sz w:val="20"/>
        </w:rPr>
      </w:pPr>
    </w:p>
    <w:p w:rsidR="005E581D" w:rsidRPr="006B0DE9" w:rsidRDefault="005E581D" w:rsidP="00BA276E">
      <w:pPr>
        <w:widowControl w:val="0"/>
        <w:numPr>
          <w:ilvl w:val="0"/>
          <w:numId w:val="26"/>
        </w:numPr>
        <w:jc w:val="both"/>
        <w:rPr>
          <w:sz w:val="20"/>
        </w:rPr>
      </w:pPr>
      <w:r w:rsidRPr="006B0DE9">
        <w:rPr>
          <w:sz w:val="20"/>
        </w:rPr>
        <w:t>La reducción de los recursos destinados al resultado II.7 (Mejora de la productividad y de la calidad de los servicios – Madrid y Lisboa) se debe fundamentalmente a la disminución de los costos de traducción y del costo unitario obtenida mediante la introducción de cambios en la estrategia de subcontratación, sustituyendo los acuerdos de prestación de servicios contractuales individuales por servicios contractuales comerciales.  El consiguiente cambio en las categorías de costos queda reflejado en el cuadro siguiente.</w:t>
      </w:r>
    </w:p>
    <w:p w:rsidR="005E581D" w:rsidRPr="006B0DE9" w:rsidRDefault="005E581D" w:rsidP="005E581D">
      <w:pPr>
        <w:widowControl w:val="0"/>
        <w:jc w:val="both"/>
        <w:rPr>
          <w:color w:val="000000"/>
          <w:sz w:val="20"/>
        </w:rPr>
      </w:pPr>
    </w:p>
    <w:p w:rsidR="005E581D" w:rsidRPr="005E581D" w:rsidRDefault="005E581D" w:rsidP="0063482E">
      <w:pPr>
        <w:widowControl w:val="0"/>
        <w:rPr>
          <w:sz w:val="16"/>
          <w:szCs w:val="16"/>
        </w:rPr>
      </w:pPr>
    </w:p>
    <w:p w:rsidR="0063482E" w:rsidRPr="00C75C7E" w:rsidRDefault="00FE42C5" w:rsidP="0003053D">
      <w:pPr>
        <w:widowControl w:val="0"/>
        <w:autoSpaceDE w:val="0"/>
        <w:autoSpaceDN w:val="0"/>
        <w:adjustRightInd w:val="0"/>
        <w:jc w:val="center"/>
        <w:rPr>
          <w:b/>
          <w:bCs/>
          <w:iCs/>
          <w:sz w:val="20"/>
          <w:lang w:val="es-ES_tradnl"/>
        </w:rPr>
      </w:pPr>
      <w:r>
        <w:rPr>
          <w:b/>
          <w:bCs/>
          <w:iCs/>
          <w:sz w:val="20"/>
          <w:lang w:val="es-ES_tradnl"/>
        </w:rPr>
        <w:t xml:space="preserve">Programa 6:  </w:t>
      </w:r>
      <w:r w:rsidR="0063482E" w:rsidRPr="00C75C7E">
        <w:rPr>
          <w:b/>
          <w:bCs/>
          <w:iCs/>
          <w:sz w:val="20"/>
          <w:lang w:val="es-ES_tradnl"/>
        </w:rPr>
        <w:t>Recursos por resultado</w:t>
      </w:r>
    </w:p>
    <w:p w:rsidR="0063482E" w:rsidRPr="00C75C7E" w:rsidRDefault="0063482E" w:rsidP="0003053D">
      <w:pPr>
        <w:widowControl w:val="0"/>
        <w:autoSpaceDE w:val="0"/>
        <w:autoSpaceDN w:val="0"/>
        <w:adjustRightInd w:val="0"/>
        <w:jc w:val="center"/>
        <w:rPr>
          <w:bCs/>
          <w:i/>
          <w:sz w:val="20"/>
          <w:lang w:val="es-ES_tradnl"/>
        </w:rPr>
      </w:pPr>
      <w:r w:rsidRPr="00C75C7E">
        <w:rPr>
          <w:bCs/>
          <w:i/>
          <w:sz w:val="20"/>
          <w:lang w:val="es-ES_tradnl"/>
        </w:rPr>
        <w:t>(en miles de francos suizos)</w:t>
      </w:r>
    </w:p>
    <w:p w:rsidR="0063482E" w:rsidRPr="00C75C7E" w:rsidRDefault="0063482E" w:rsidP="0003053D">
      <w:pPr>
        <w:widowControl w:val="0"/>
        <w:autoSpaceDE w:val="0"/>
        <w:autoSpaceDN w:val="0"/>
        <w:adjustRightInd w:val="0"/>
        <w:jc w:val="center"/>
        <w:rPr>
          <w:sz w:val="16"/>
          <w:szCs w:val="16"/>
          <w:lang w:val="es-ES_tradnl"/>
        </w:rPr>
      </w:pPr>
      <w:r w:rsidRPr="00C75C7E">
        <w:rPr>
          <w:sz w:val="16"/>
          <w:szCs w:val="16"/>
          <w:lang w:val="es-ES_tradnl"/>
        </w:rPr>
        <w:t xml:space="preserve"> </w:t>
      </w:r>
    </w:p>
    <w:p w:rsidR="0063482E" w:rsidRPr="00C75C7E" w:rsidRDefault="00C40A11" w:rsidP="0003053D">
      <w:pPr>
        <w:widowControl w:val="0"/>
        <w:autoSpaceDE w:val="0"/>
        <w:autoSpaceDN w:val="0"/>
        <w:adjustRightInd w:val="0"/>
        <w:jc w:val="center"/>
        <w:rPr>
          <w:lang w:val="es-ES_tradnl"/>
        </w:rPr>
      </w:pPr>
      <w:r>
        <w:rPr>
          <w:noProof/>
          <w:lang w:val="en-US" w:eastAsia="en-US"/>
        </w:rPr>
        <w:drawing>
          <wp:inline distT="0" distB="0" distL="0" distR="0" wp14:anchorId="2A93DEA7" wp14:editId="05D18649">
            <wp:extent cx="5793740" cy="1753870"/>
            <wp:effectExtent l="0" t="0" r="0" b="0"/>
            <wp:docPr id="31"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793740" cy="1753870"/>
                    </a:xfrm>
                    <a:prstGeom prst="rect">
                      <a:avLst/>
                    </a:prstGeom>
                    <a:noFill/>
                    <a:ln>
                      <a:noFill/>
                    </a:ln>
                  </pic:spPr>
                </pic:pic>
              </a:graphicData>
            </a:graphic>
          </wp:inline>
        </w:drawing>
      </w:r>
    </w:p>
    <w:p w:rsidR="0063482E" w:rsidRPr="00C75C7E" w:rsidRDefault="0063482E" w:rsidP="0063482E">
      <w:pPr>
        <w:widowControl w:val="0"/>
        <w:autoSpaceDE w:val="0"/>
        <w:autoSpaceDN w:val="0"/>
        <w:adjustRightInd w:val="0"/>
        <w:rPr>
          <w:sz w:val="20"/>
          <w:lang w:val="es-ES_tradnl"/>
        </w:rPr>
      </w:pPr>
      <w:r w:rsidRPr="00C75C7E">
        <w:rPr>
          <w:sz w:val="16"/>
          <w:szCs w:val="16"/>
          <w:lang w:val="es-ES_tradnl"/>
        </w:rPr>
        <w:t xml:space="preserve">Nota: </w:t>
      </w:r>
      <w:r w:rsidR="0003053D">
        <w:rPr>
          <w:sz w:val="16"/>
          <w:szCs w:val="16"/>
          <w:lang w:val="es-ES_tradnl"/>
        </w:rPr>
        <w:t xml:space="preserve"> </w:t>
      </w:r>
      <w:r w:rsidRPr="00C75C7E">
        <w:rPr>
          <w:sz w:val="16"/>
          <w:szCs w:val="16"/>
          <w:lang w:val="es-ES_tradnl"/>
        </w:rPr>
        <w:t>Se ha reexpresado el presupuesto aprobado de 2012/13 y el presupuesto de dicho bienio después de las transferencias, por resultado previsto, para reflejar el marco de resultados de la Organización propuesto para 2014/15.</w:t>
      </w:r>
    </w:p>
    <w:p w:rsidR="0063482E" w:rsidRPr="00C75C7E" w:rsidRDefault="0063482E" w:rsidP="0063482E">
      <w:pPr>
        <w:widowControl w:val="0"/>
        <w:autoSpaceDE w:val="0"/>
        <w:autoSpaceDN w:val="0"/>
        <w:adjustRightInd w:val="0"/>
        <w:rPr>
          <w:sz w:val="18"/>
          <w:szCs w:val="18"/>
          <w:lang w:val="es-ES_tradnl"/>
        </w:rPr>
      </w:pPr>
    </w:p>
    <w:p w:rsidR="0063482E" w:rsidRPr="00C75C7E" w:rsidRDefault="0063482E" w:rsidP="0063482E">
      <w:pPr>
        <w:widowControl w:val="0"/>
        <w:autoSpaceDE w:val="0"/>
        <w:autoSpaceDN w:val="0"/>
        <w:adjustRightInd w:val="0"/>
        <w:rPr>
          <w:sz w:val="18"/>
          <w:szCs w:val="18"/>
          <w:lang w:val="es-ES_tradnl"/>
        </w:rPr>
      </w:pPr>
    </w:p>
    <w:p w:rsidR="0063482E" w:rsidRPr="00C75C7E" w:rsidRDefault="00FE42C5" w:rsidP="0079447F">
      <w:pPr>
        <w:keepNext/>
        <w:widowControl w:val="0"/>
        <w:autoSpaceDE w:val="0"/>
        <w:autoSpaceDN w:val="0"/>
        <w:adjustRightInd w:val="0"/>
        <w:jc w:val="center"/>
        <w:rPr>
          <w:b/>
          <w:bCs/>
          <w:iCs/>
          <w:sz w:val="20"/>
          <w:lang w:val="es-ES_tradnl"/>
        </w:rPr>
      </w:pPr>
      <w:r>
        <w:rPr>
          <w:b/>
          <w:bCs/>
          <w:iCs/>
          <w:sz w:val="20"/>
          <w:lang w:val="es-ES_tradnl"/>
        </w:rPr>
        <w:lastRenderedPageBreak/>
        <w:t xml:space="preserve">Programa 6:  </w:t>
      </w:r>
      <w:r w:rsidR="0063482E" w:rsidRPr="00C75C7E">
        <w:rPr>
          <w:b/>
          <w:bCs/>
          <w:iCs/>
          <w:sz w:val="20"/>
          <w:lang w:val="es-ES_tradnl"/>
        </w:rPr>
        <w:t>Recursos por objeto de gasto</w:t>
      </w:r>
    </w:p>
    <w:p w:rsidR="0063482E" w:rsidRPr="00C75C7E" w:rsidRDefault="0063482E" w:rsidP="0079447F">
      <w:pPr>
        <w:keepNext/>
        <w:widowControl w:val="0"/>
        <w:autoSpaceDE w:val="0"/>
        <w:autoSpaceDN w:val="0"/>
        <w:adjustRightInd w:val="0"/>
        <w:jc w:val="center"/>
        <w:rPr>
          <w:bCs/>
          <w:i/>
          <w:sz w:val="20"/>
          <w:lang w:val="es-ES_tradnl"/>
        </w:rPr>
      </w:pPr>
      <w:r w:rsidRPr="00C75C7E">
        <w:rPr>
          <w:bCs/>
          <w:i/>
          <w:sz w:val="20"/>
          <w:lang w:val="es-ES_tradnl"/>
        </w:rPr>
        <w:t>(en miles de francos suizos)</w:t>
      </w:r>
    </w:p>
    <w:p w:rsidR="0063482E" w:rsidRDefault="0063482E" w:rsidP="0079447F">
      <w:pPr>
        <w:keepNext/>
        <w:widowControl w:val="0"/>
        <w:autoSpaceDE w:val="0"/>
        <w:autoSpaceDN w:val="0"/>
        <w:adjustRightInd w:val="0"/>
        <w:jc w:val="center"/>
        <w:rPr>
          <w:sz w:val="16"/>
          <w:szCs w:val="16"/>
          <w:lang w:val="es-ES_tradnl"/>
        </w:rPr>
      </w:pPr>
    </w:p>
    <w:p w:rsidR="00723CAF" w:rsidRDefault="00C40A11" w:rsidP="0079447F">
      <w:pPr>
        <w:keepNext/>
        <w:widowControl w:val="0"/>
        <w:autoSpaceDE w:val="0"/>
        <w:autoSpaceDN w:val="0"/>
        <w:adjustRightInd w:val="0"/>
        <w:jc w:val="center"/>
        <w:rPr>
          <w:sz w:val="16"/>
          <w:szCs w:val="16"/>
          <w:lang w:val="es-ES_tradnl"/>
        </w:rPr>
      </w:pPr>
      <w:r>
        <w:rPr>
          <w:noProof/>
          <w:lang w:val="en-US" w:eastAsia="en-US"/>
        </w:rPr>
        <w:drawing>
          <wp:inline distT="0" distB="0" distL="0" distR="0" wp14:anchorId="52195B49" wp14:editId="31CFE546">
            <wp:extent cx="5936615" cy="5739130"/>
            <wp:effectExtent l="0" t="0" r="698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936615" cy="5739130"/>
                    </a:xfrm>
                    <a:prstGeom prst="rect">
                      <a:avLst/>
                    </a:prstGeom>
                    <a:noFill/>
                    <a:ln>
                      <a:noFill/>
                    </a:ln>
                  </pic:spPr>
                </pic:pic>
              </a:graphicData>
            </a:graphic>
          </wp:inline>
        </w:drawing>
      </w:r>
    </w:p>
    <w:p w:rsidR="0063482E" w:rsidRPr="00C75C7E" w:rsidRDefault="0063482E" w:rsidP="0079447F">
      <w:pPr>
        <w:widowControl w:val="0"/>
        <w:rPr>
          <w:lang w:val="es-ES_tradnl"/>
        </w:rPr>
      </w:pPr>
    </w:p>
    <w:p w:rsidR="0063482E" w:rsidRPr="00C75C7E" w:rsidRDefault="0063482E" w:rsidP="0063482E">
      <w:pPr>
        <w:widowControl w:val="0"/>
        <w:rPr>
          <w:sz w:val="16"/>
          <w:szCs w:val="16"/>
          <w:lang w:val="es-ES_tradnl"/>
        </w:rPr>
      </w:pPr>
      <w:r w:rsidRPr="00C75C7E">
        <w:rPr>
          <w:sz w:val="16"/>
          <w:szCs w:val="16"/>
          <w:lang w:val="es-ES_tradnl"/>
        </w:rPr>
        <w:t>Notas:</w:t>
      </w:r>
    </w:p>
    <w:p w:rsidR="0063482E" w:rsidRPr="00C75C7E" w:rsidRDefault="0063482E" w:rsidP="0063482E">
      <w:pPr>
        <w:widowControl w:val="0"/>
        <w:rPr>
          <w:sz w:val="16"/>
          <w:szCs w:val="16"/>
          <w:u w:val="single"/>
          <w:lang w:val="es-ES_tradnl"/>
        </w:rPr>
      </w:pPr>
    </w:p>
    <w:p w:rsidR="0063482E" w:rsidRDefault="0003053D" w:rsidP="0063482E">
      <w:pPr>
        <w:widowControl w:val="0"/>
        <w:rPr>
          <w:sz w:val="16"/>
          <w:szCs w:val="16"/>
          <w:lang w:val="es-ES_tradnl"/>
        </w:rPr>
      </w:pPr>
      <w:r>
        <w:rPr>
          <w:sz w:val="16"/>
          <w:szCs w:val="16"/>
          <w:lang w:val="es-ES_tradnl"/>
        </w:rPr>
        <w:t xml:space="preserve">1)  </w:t>
      </w:r>
      <w:r w:rsidR="0063482E" w:rsidRPr="00C75C7E">
        <w:rPr>
          <w:sz w:val="16"/>
          <w:szCs w:val="16"/>
          <w:lang w:val="es-ES_tradnl"/>
        </w:rPr>
        <w:t xml:space="preserve">El presupuesto </w:t>
      </w:r>
      <w:r w:rsidR="0063482E" w:rsidRPr="002E4257">
        <w:rPr>
          <w:sz w:val="16"/>
          <w:szCs w:val="16"/>
          <w:lang w:val="es-ES_tradnl"/>
        </w:rPr>
        <w:t>aprobado</w:t>
      </w:r>
      <w:r w:rsidR="0063482E" w:rsidRPr="00C75C7E">
        <w:rPr>
          <w:sz w:val="16"/>
          <w:szCs w:val="16"/>
          <w:lang w:val="es-ES_tradnl"/>
        </w:rPr>
        <w:t xml:space="preserve"> de 2012/13 y el presupuesto de dicho bienio después de las transferencias se reexpresan sobre la base de la estructura de categorías de costos propuesta para 2014/15.</w:t>
      </w:r>
    </w:p>
    <w:p w:rsidR="0063482E" w:rsidRPr="00C75C7E" w:rsidRDefault="0063482E" w:rsidP="0063482E">
      <w:pPr>
        <w:widowControl w:val="0"/>
        <w:rPr>
          <w:sz w:val="16"/>
          <w:szCs w:val="16"/>
          <w:lang w:val="es-ES_tradnl"/>
        </w:rPr>
      </w:pPr>
    </w:p>
    <w:p w:rsidR="0063482E" w:rsidRDefault="0063482E" w:rsidP="0063482E">
      <w:pPr>
        <w:widowControl w:val="0"/>
        <w:rPr>
          <w:rFonts w:cs="ArialMT"/>
          <w:sz w:val="16"/>
          <w:szCs w:val="16"/>
          <w:lang w:val="es-ES_tradnl"/>
        </w:rPr>
      </w:pPr>
      <w:r>
        <w:rPr>
          <w:sz w:val="16"/>
          <w:szCs w:val="16"/>
          <w:lang w:val="es-ES_tradnl"/>
        </w:rPr>
        <w:t>2)</w:t>
      </w:r>
      <w:r w:rsidR="0003053D">
        <w:rPr>
          <w:sz w:val="16"/>
          <w:szCs w:val="16"/>
          <w:lang w:val="es-ES_tradnl"/>
        </w:rPr>
        <w:t xml:space="preserve">  </w:t>
      </w:r>
      <w:r w:rsidRPr="00C75C7E">
        <w:rPr>
          <w:sz w:val="16"/>
          <w:szCs w:val="16"/>
          <w:lang w:val="es-ES_tradnl"/>
        </w:rPr>
        <w:t>El presupuesto después de las transferencias refleja el presupuesto de los programas ajustado tras las transferencias efectuadas en 2012/13 en virtud del artículo 5.5 del Reglamento Financiero. Para más información sobre el presup</w:t>
      </w:r>
      <w:r>
        <w:rPr>
          <w:sz w:val="16"/>
          <w:szCs w:val="16"/>
          <w:lang w:val="es-ES_tradnl"/>
        </w:rPr>
        <w:t>uesto de </w:t>
      </w:r>
      <w:r w:rsidRPr="00C75C7E">
        <w:rPr>
          <w:sz w:val="16"/>
          <w:szCs w:val="16"/>
          <w:lang w:val="es-ES_tradnl"/>
        </w:rPr>
        <w:t xml:space="preserve">2012/13 después de las transferencias, cabe remitirse al cuadro que figura en el Anexo I (Presupuesto después de las transferencias, por programa) del presente documento y al documento WO/PBC/20/2 (Informe sobre el rendimiento de los programas en 2012).  </w:t>
      </w:r>
      <w:r w:rsidRPr="00C75C7E">
        <w:rPr>
          <w:rFonts w:cs="ArialMT"/>
          <w:sz w:val="16"/>
          <w:szCs w:val="16"/>
          <w:lang w:val="es-ES_tradnl"/>
        </w:rPr>
        <w:t xml:space="preserve">Los costos de personal del presupuesto de 2012/13 después de las transferencias representan los gastos reales efectuados hasta el 31 de marzo de 2013 y los importes presupuestados para los nueve meses restantes de 2013, sobre la base de costos estándar. </w:t>
      </w:r>
    </w:p>
    <w:p w:rsidR="0063482E" w:rsidRPr="00C75C7E" w:rsidRDefault="0063482E" w:rsidP="0063482E">
      <w:pPr>
        <w:widowControl w:val="0"/>
        <w:rPr>
          <w:sz w:val="16"/>
          <w:szCs w:val="16"/>
          <w:lang w:val="es-ES_tradnl"/>
        </w:rPr>
      </w:pPr>
    </w:p>
    <w:p w:rsidR="0063482E" w:rsidRPr="00C75C7E" w:rsidRDefault="0063482E" w:rsidP="0063482E">
      <w:pPr>
        <w:widowControl w:val="0"/>
        <w:rPr>
          <w:sz w:val="16"/>
          <w:szCs w:val="16"/>
          <w:lang w:val="es-ES_tradnl"/>
        </w:rPr>
      </w:pPr>
      <w:r>
        <w:rPr>
          <w:sz w:val="16"/>
          <w:szCs w:val="16"/>
          <w:lang w:val="es-ES_tradnl"/>
        </w:rPr>
        <w:t>3)</w:t>
      </w:r>
      <w:r w:rsidR="0003053D">
        <w:rPr>
          <w:sz w:val="16"/>
          <w:szCs w:val="16"/>
          <w:lang w:val="es-ES_tradnl"/>
        </w:rPr>
        <w:t xml:space="preserve">  </w:t>
      </w:r>
      <w:r w:rsidRPr="00C75C7E">
        <w:rPr>
          <w:sz w:val="16"/>
          <w:szCs w:val="16"/>
          <w:lang w:val="es-ES_tradnl"/>
        </w:rPr>
        <w:t>Para más información sobre los puestos del programa cabe remitirse al cuadro que figura en el Anexo II.</w:t>
      </w:r>
    </w:p>
    <w:p w:rsidR="005E581D" w:rsidRPr="00450C3A" w:rsidRDefault="0063482E" w:rsidP="00450C3A">
      <w:pPr>
        <w:pStyle w:val="Heading3"/>
        <w:tabs>
          <w:tab w:val="left" w:pos="1985"/>
        </w:tabs>
        <w:rPr>
          <w:b/>
          <w:iCs/>
          <w:caps/>
          <w:u w:val="none"/>
        </w:rPr>
      </w:pPr>
      <w:r w:rsidRPr="00C75C7E">
        <w:rPr>
          <w:lang w:val="es-ES_tradnl"/>
        </w:rPr>
        <w:br w:type="page"/>
      </w:r>
      <w:bookmarkStart w:id="32" w:name="_Toc356567754"/>
      <w:bookmarkStart w:id="33" w:name="_Toc358816692"/>
      <w:r w:rsidR="006A15F5" w:rsidRPr="00450C3A">
        <w:rPr>
          <w:b/>
          <w:iCs/>
          <w:u w:val="none"/>
        </w:rPr>
        <w:lastRenderedPageBreak/>
        <w:t>PROGRAMA 31</w:t>
      </w:r>
      <w:r w:rsidR="006A15F5" w:rsidRPr="00450C3A">
        <w:rPr>
          <w:b/>
          <w:iCs/>
          <w:u w:val="none"/>
        </w:rPr>
        <w:tab/>
      </w:r>
      <w:bookmarkEnd w:id="32"/>
      <w:r w:rsidR="006A15F5" w:rsidRPr="00450C3A">
        <w:rPr>
          <w:b/>
          <w:iCs/>
          <w:u w:val="none"/>
        </w:rPr>
        <w:t>SISTEMA DE LA HAYA</w:t>
      </w:r>
      <w:bookmarkEnd w:id="33"/>
    </w:p>
    <w:p w:rsidR="005E581D" w:rsidRPr="0079447F" w:rsidRDefault="005E581D" w:rsidP="006A15F5"/>
    <w:p w:rsidR="005E581D" w:rsidRPr="0079447F" w:rsidRDefault="005E581D" w:rsidP="006A15F5"/>
    <w:p w:rsidR="005E581D" w:rsidRPr="006B0DE9" w:rsidRDefault="005E581D" w:rsidP="005E581D">
      <w:pPr>
        <w:pStyle w:val="BodyTextIndent"/>
        <w:widowControl w:val="0"/>
        <w:ind w:left="1985" w:hanging="1985"/>
        <w:jc w:val="both"/>
        <w:rPr>
          <w:rFonts w:ascii="Arial" w:hAnsi="Arial" w:cs="Arial"/>
          <w:sz w:val="22"/>
          <w:szCs w:val="22"/>
          <w:lang w:val="es-ES"/>
        </w:rPr>
      </w:pPr>
      <w:r w:rsidRPr="006B0DE9">
        <w:rPr>
          <w:rFonts w:ascii="Arial" w:hAnsi="Arial" w:cs="Arial"/>
          <w:sz w:val="22"/>
          <w:szCs w:val="22"/>
          <w:lang w:val="es-ES"/>
        </w:rPr>
        <w:t>CONTEXTO DE PLANIFICACIÓN</w:t>
      </w:r>
    </w:p>
    <w:p w:rsidR="005E581D" w:rsidRPr="006B0DE9" w:rsidRDefault="005E581D" w:rsidP="005E581D">
      <w:pPr>
        <w:widowControl w:val="0"/>
        <w:rPr>
          <w:sz w:val="20"/>
        </w:rPr>
      </w:pPr>
    </w:p>
    <w:p w:rsidR="005E581D" w:rsidRPr="006B0DE9" w:rsidRDefault="005E581D" w:rsidP="00BA276E">
      <w:pPr>
        <w:widowControl w:val="0"/>
        <w:numPr>
          <w:ilvl w:val="0"/>
          <w:numId w:val="27"/>
        </w:numPr>
        <w:jc w:val="both"/>
        <w:rPr>
          <w:sz w:val="20"/>
        </w:rPr>
      </w:pPr>
      <w:r w:rsidRPr="006B0DE9">
        <w:rPr>
          <w:sz w:val="20"/>
        </w:rPr>
        <w:t xml:space="preserve">Los esfuerzos encaminados a ampliar el alcance geográfico del sistema de la Haya promoviendo la adhesión al Acta de Ginebra de 1999 del Arreglo de La Haya comenzaron a dar frutos durante el bienio 2012/13.  Se espera que pronto se adhieran países pertenecientes a algunas de las principales zonas comerciales del mundo.  Por más que sean nuevos en el sistema de La Haya, estos se encuentran entre los países en los que más solicitudes de registro de dibujos y modelos industriales se presentan y es probable que su incorporación estimule la adhesión de más países.  Por consiguiente, durante el bienio 2014/15 se espera que se produzca un aumento considerable del número de solicitudes internacionales.  Además, varias características del Acta de 1999 se elaboraron precisamente en vista de la incorporación de algunos de los países que se espera que se adhieran, en especial teniendo en cuenta los minuciosos exámenes de la novedad que llevan a cabo sus oficinas. Estas características se encuentran entre las más complejas y </w:t>
      </w:r>
      <w:r>
        <w:rPr>
          <w:sz w:val="20"/>
        </w:rPr>
        <w:t xml:space="preserve">todavía no se han puesto a prueba </w:t>
      </w:r>
      <w:r w:rsidRPr="006B0DE9">
        <w:rPr>
          <w:sz w:val="20"/>
        </w:rPr>
        <w:t>en la práctica.</w:t>
      </w:r>
    </w:p>
    <w:p w:rsidR="005E581D" w:rsidRPr="006B0DE9" w:rsidRDefault="005E581D" w:rsidP="005E581D">
      <w:pPr>
        <w:widowControl w:val="0"/>
        <w:jc w:val="both"/>
        <w:rPr>
          <w:sz w:val="20"/>
        </w:rPr>
      </w:pPr>
    </w:p>
    <w:p w:rsidR="005E581D" w:rsidRPr="006B0DE9" w:rsidRDefault="005E581D" w:rsidP="00BA276E">
      <w:pPr>
        <w:widowControl w:val="0"/>
        <w:numPr>
          <w:ilvl w:val="0"/>
          <w:numId w:val="27"/>
        </w:numPr>
        <w:jc w:val="both"/>
        <w:rPr>
          <w:sz w:val="20"/>
        </w:rPr>
      </w:pPr>
      <w:r w:rsidRPr="006B0DE9">
        <w:rPr>
          <w:sz w:val="20"/>
        </w:rPr>
        <w:t>A la luz de lo antedicho, los desafíos para el bienio 2014/15 consistirán en hacer frente al crecimiento previsto, aplicar con éxito las características del Acta de Ginebra que aún no se han puesto en práctica y velar por que el sistema siga siendo atractivo para los usuarios.</w:t>
      </w:r>
    </w:p>
    <w:p w:rsidR="005E581D" w:rsidRPr="006B0DE9" w:rsidRDefault="005E581D" w:rsidP="005E581D">
      <w:pPr>
        <w:widowControl w:val="0"/>
        <w:rPr>
          <w:sz w:val="20"/>
        </w:rPr>
      </w:pPr>
    </w:p>
    <w:p w:rsidR="005E581D" w:rsidRPr="006B0DE9" w:rsidRDefault="005E581D" w:rsidP="005E581D">
      <w:pPr>
        <w:widowControl w:val="0"/>
        <w:rPr>
          <w:sz w:val="20"/>
        </w:rPr>
      </w:pPr>
    </w:p>
    <w:p w:rsidR="005E581D" w:rsidRPr="006B0DE9" w:rsidRDefault="005E581D" w:rsidP="005E581D">
      <w:pPr>
        <w:widowControl w:val="0"/>
        <w:tabs>
          <w:tab w:val="left" w:pos="567"/>
          <w:tab w:val="left" w:pos="1985"/>
        </w:tabs>
        <w:jc w:val="both"/>
        <w:rPr>
          <w:bCs/>
        </w:rPr>
      </w:pPr>
      <w:r w:rsidRPr="006B0DE9">
        <w:rPr>
          <w:bCs/>
        </w:rPr>
        <w:t>ESTRATEGIAS DE EJECUCIÓN</w:t>
      </w:r>
    </w:p>
    <w:p w:rsidR="005E581D" w:rsidRPr="006B0DE9" w:rsidRDefault="005E581D" w:rsidP="005E581D">
      <w:pPr>
        <w:widowControl w:val="0"/>
        <w:tabs>
          <w:tab w:val="left" w:pos="567"/>
          <w:tab w:val="left" w:pos="1985"/>
        </w:tabs>
        <w:jc w:val="both"/>
        <w:rPr>
          <w:bCs/>
          <w:sz w:val="20"/>
        </w:rPr>
      </w:pPr>
    </w:p>
    <w:p w:rsidR="005E581D" w:rsidRPr="006B0DE9" w:rsidRDefault="005E581D" w:rsidP="00BA276E">
      <w:pPr>
        <w:widowControl w:val="0"/>
        <w:numPr>
          <w:ilvl w:val="0"/>
          <w:numId w:val="27"/>
        </w:numPr>
        <w:jc w:val="both"/>
        <w:rPr>
          <w:sz w:val="20"/>
        </w:rPr>
      </w:pPr>
      <w:r w:rsidRPr="006B0DE9">
        <w:rPr>
          <w:sz w:val="20"/>
        </w:rPr>
        <w:t>La intención de la OMPI es que el sistema de La Haya sea el sistema preferido para el registro de dibujos y modelos.  Para lograrlo, la OMPI aumentará la sensibilización acerca del sistema de La Haya y promoverá una ampliación y mejora de su uso, mejorando al mismo tiempo la gestión, ante el aumento de la complejidad y del volumen de trabajo.</w:t>
      </w:r>
    </w:p>
    <w:p w:rsidR="005E581D" w:rsidRPr="006B0DE9" w:rsidRDefault="005E581D" w:rsidP="005E581D">
      <w:pPr>
        <w:widowControl w:val="0"/>
        <w:ind w:left="709"/>
        <w:jc w:val="both"/>
        <w:rPr>
          <w:sz w:val="20"/>
        </w:rPr>
      </w:pPr>
    </w:p>
    <w:p w:rsidR="005E581D" w:rsidRPr="006B0DE9" w:rsidRDefault="005E581D" w:rsidP="00BA276E">
      <w:pPr>
        <w:widowControl w:val="0"/>
        <w:numPr>
          <w:ilvl w:val="0"/>
          <w:numId w:val="27"/>
        </w:numPr>
        <w:jc w:val="both"/>
        <w:rPr>
          <w:sz w:val="20"/>
        </w:rPr>
      </w:pPr>
      <w:r w:rsidRPr="006B0DE9">
        <w:rPr>
          <w:sz w:val="20"/>
        </w:rPr>
        <w:t>Se tomarán medidas coordinadas que abordarán tres frentes:  la visibilidad, el alcance geográfico y el desarrollo del sistema.</w:t>
      </w:r>
    </w:p>
    <w:p w:rsidR="005E581D" w:rsidRPr="006B0DE9" w:rsidRDefault="005E581D" w:rsidP="005E581D">
      <w:pPr>
        <w:widowControl w:val="0"/>
        <w:jc w:val="both"/>
        <w:rPr>
          <w:sz w:val="20"/>
        </w:rPr>
      </w:pPr>
    </w:p>
    <w:p w:rsidR="005E581D" w:rsidRPr="006B0DE9" w:rsidRDefault="005E581D" w:rsidP="005E581D">
      <w:pPr>
        <w:widowControl w:val="0"/>
        <w:tabs>
          <w:tab w:val="left" w:pos="1134"/>
        </w:tabs>
        <w:spacing w:after="120"/>
        <w:ind w:left="567"/>
        <w:jc w:val="both"/>
        <w:rPr>
          <w:sz w:val="20"/>
        </w:rPr>
      </w:pPr>
      <w:r w:rsidRPr="006B0DE9">
        <w:rPr>
          <w:sz w:val="20"/>
        </w:rPr>
        <w:t>i)</w:t>
      </w:r>
      <w:r w:rsidRPr="006B0DE9">
        <w:rPr>
          <w:sz w:val="20"/>
        </w:rPr>
        <w:tab/>
      </w:r>
      <w:r w:rsidRPr="006B0DE9">
        <w:rPr>
          <w:b/>
          <w:sz w:val="20"/>
        </w:rPr>
        <w:t>Visibilidad</w:t>
      </w:r>
      <w:r w:rsidRPr="006B0DE9">
        <w:rPr>
          <w:sz w:val="20"/>
        </w:rPr>
        <w:t xml:space="preserve">:  </w:t>
      </w:r>
      <w:r>
        <w:rPr>
          <w:sz w:val="20"/>
        </w:rPr>
        <w:t xml:space="preserve">se </w:t>
      </w:r>
      <w:r w:rsidRPr="006B0DE9">
        <w:rPr>
          <w:sz w:val="20"/>
        </w:rPr>
        <w:t xml:space="preserve">seguirá </w:t>
      </w:r>
      <w:r>
        <w:rPr>
          <w:sz w:val="20"/>
        </w:rPr>
        <w:t>promoviendo el sistema</w:t>
      </w:r>
      <w:r w:rsidRPr="006B0DE9">
        <w:rPr>
          <w:sz w:val="20"/>
        </w:rPr>
        <w:t xml:space="preserve"> entre los miembros actuales, entre los que aún existe un margen de mejora importante.  Asimismo, se va a comenzar a promo</w:t>
      </w:r>
      <w:r>
        <w:rPr>
          <w:sz w:val="20"/>
        </w:rPr>
        <w:t>ve</w:t>
      </w:r>
      <w:r w:rsidRPr="006B0DE9">
        <w:rPr>
          <w:sz w:val="20"/>
        </w:rPr>
        <w:t>rlo entre los países cuya adhesión sea inminente, a fin de fomentar el uso inmediato del sistema tras la adhesión.</w:t>
      </w:r>
    </w:p>
    <w:p w:rsidR="005E581D" w:rsidRPr="006B0DE9" w:rsidRDefault="005E581D" w:rsidP="005E581D">
      <w:pPr>
        <w:widowControl w:val="0"/>
        <w:tabs>
          <w:tab w:val="left" w:pos="1100"/>
        </w:tabs>
        <w:spacing w:after="120"/>
        <w:ind w:left="567"/>
        <w:jc w:val="both"/>
        <w:rPr>
          <w:sz w:val="20"/>
        </w:rPr>
      </w:pPr>
      <w:r w:rsidRPr="006B0DE9">
        <w:rPr>
          <w:sz w:val="20"/>
        </w:rPr>
        <w:t>ii)</w:t>
      </w:r>
      <w:r w:rsidRPr="006B0DE9">
        <w:rPr>
          <w:sz w:val="20"/>
        </w:rPr>
        <w:tab/>
      </w:r>
      <w:r w:rsidRPr="006B0DE9">
        <w:rPr>
          <w:b/>
          <w:sz w:val="20"/>
        </w:rPr>
        <w:t>Alcance geográfico</w:t>
      </w:r>
      <w:r w:rsidRPr="006B0DE9">
        <w:rPr>
          <w:sz w:val="20"/>
        </w:rPr>
        <w:t>:  proseguirán las iniciativas de promoción y asistencia técnica para fomentar la expansión del sistema de La Haya mediante nuevas adhesiones al Acta de Ginebra, en cooperación con los programas pertinentes.  Se dará prioridad a los países cuya adhesión pueda hacer que el sistema resulte más atractivo para los usuarios o que se produzcan nuevas adhesiones.</w:t>
      </w:r>
    </w:p>
    <w:p w:rsidR="005E581D" w:rsidRPr="006B0DE9" w:rsidRDefault="005E581D" w:rsidP="005E581D">
      <w:pPr>
        <w:widowControl w:val="0"/>
        <w:tabs>
          <w:tab w:val="left" w:pos="1100"/>
        </w:tabs>
        <w:ind w:left="567"/>
        <w:jc w:val="both"/>
        <w:rPr>
          <w:sz w:val="20"/>
        </w:rPr>
      </w:pPr>
      <w:r w:rsidRPr="006B0DE9">
        <w:rPr>
          <w:sz w:val="20"/>
        </w:rPr>
        <w:t>iii)</w:t>
      </w:r>
      <w:r w:rsidRPr="006B0DE9">
        <w:rPr>
          <w:sz w:val="20"/>
        </w:rPr>
        <w:tab/>
      </w:r>
      <w:r w:rsidRPr="006B0DE9">
        <w:rPr>
          <w:b/>
          <w:sz w:val="20"/>
        </w:rPr>
        <w:t>Desarrollo del sistema</w:t>
      </w:r>
      <w:r w:rsidRPr="006B0DE9">
        <w:rPr>
          <w:sz w:val="20"/>
        </w:rPr>
        <w:t>:  a la par de la expansión del sistema será necesario perfeccionar los servicios de apoyo en materia de T.I. para lograr mayores niveles de productividad mediante un aumento de la eficiencia.  En particular, será necesario aumentar la cantidad de instrumentos de comercio electrónico.  Asimismo, será preciso seguir desarrollando el marco jurídico con el fin de que siga el ritmo de las necesidades de las nuevas Partes Contratantes y los nuevos usuarios.  Por último, con miras a simplificar los procedimientos, resulta fundamental que el sistema gire en torno al Acta de 1999, y con ese fin deberán proseguirse los esfuerzos destinados a cesar la aplicación del Acta de Londres de 1934.</w:t>
      </w:r>
    </w:p>
    <w:p w:rsidR="005E581D" w:rsidRDefault="005E581D" w:rsidP="005E581D">
      <w:pPr>
        <w:widowControl w:val="0"/>
        <w:tabs>
          <w:tab w:val="left" w:pos="567"/>
          <w:tab w:val="left" w:pos="1985"/>
        </w:tabs>
        <w:jc w:val="both"/>
        <w:rPr>
          <w:bCs/>
          <w:sz w:val="20"/>
        </w:rPr>
      </w:pPr>
    </w:p>
    <w:p w:rsidR="00EA4CD8" w:rsidRPr="006B0DE9" w:rsidRDefault="00EA4CD8" w:rsidP="005E581D">
      <w:pPr>
        <w:widowControl w:val="0"/>
        <w:tabs>
          <w:tab w:val="left" w:pos="567"/>
          <w:tab w:val="left" w:pos="1985"/>
        </w:tabs>
        <w:jc w:val="both"/>
        <w:rPr>
          <w:bCs/>
          <w:sz w:val="20"/>
        </w:rPr>
      </w:pPr>
    </w:p>
    <w:p w:rsidR="00EA4CD8" w:rsidRDefault="00EA4CD8" w:rsidP="0079447F">
      <w:pPr>
        <w:keepNext/>
        <w:widowControl w:val="0"/>
        <w:jc w:val="both"/>
        <w:rPr>
          <w:bCs/>
          <w:iCs/>
        </w:rPr>
      </w:pPr>
    </w:p>
    <w:p w:rsidR="00EA4CD8" w:rsidRDefault="00EA4CD8" w:rsidP="0079447F">
      <w:pPr>
        <w:keepNext/>
        <w:widowControl w:val="0"/>
        <w:jc w:val="both"/>
        <w:rPr>
          <w:bCs/>
          <w:iCs/>
        </w:rPr>
      </w:pPr>
    </w:p>
    <w:p w:rsidR="0063482E" w:rsidRPr="00C75C7E" w:rsidRDefault="0063482E" w:rsidP="0079447F">
      <w:pPr>
        <w:keepNext/>
        <w:widowControl w:val="0"/>
        <w:jc w:val="both"/>
        <w:rPr>
          <w:sz w:val="18"/>
          <w:szCs w:val="18"/>
        </w:rPr>
      </w:pPr>
      <w:r w:rsidRPr="00C75C7E">
        <w:rPr>
          <w:bCs/>
          <w:iCs/>
        </w:rPr>
        <w:t>PRINCIPALES RIESGOS Y ESTRATEGIAS DE MITIGACIÓN</w:t>
      </w:r>
    </w:p>
    <w:p w:rsidR="0063482E" w:rsidRPr="00C75C7E" w:rsidRDefault="0063482E" w:rsidP="0079447F">
      <w:pPr>
        <w:keepNext/>
        <w:widowControl w:val="0"/>
        <w:jc w:val="both"/>
        <w:rPr>
          <w:b/>
          <w:sz w:val="20"/>
        </w:rPr>
      </w:pPr>
    </w:p>
    <w:tbl>
      <w:tblPr>
        <w:tblW w:w="9356"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290"/>
        <w:gridCol w:w="5066"/>
      </w:tblGrid>
      <w:tr w:rsidR="0063482E" w:rsidRPr="00C75C7E" w:rsidTr="00962ADA">
        <w:trPr>
          <w:trHeight w:val="478"/>
        </w:trPr>
        <w:tc>
          <w:tcPr>
            <w:tcW w:w="4290" w:type="dxa"/>
            <w:tcBorders>
              <w:top w:val="single" w:sz="4" w:space="0" w:color="auto"/>
              <w:bottom w:val="single" w:sz="4" w:space="0" w:color="auto"/>
            </w:tcBorders>
            <w:shd w:val="clear" w:color="auto" w:fill="CCFFFF"/>
            <w:tcMar>
              <w:top w:w="113" w:type="dxa"/>
              <w:bottom w:w="85" w:type="dxa"/>
            </w:tcMar>
            <w:vAlign w:val="center"/>
          </w:tcPr>
          <w:p w:rsidR="0063482E" w:rsidRPr="00C75C7E" w:rsidRDefault="0063482E" w:rsidP="0079447F">
            <w:pPr>
              <w:keepNext/>
              <w:widowControl w:val="0"/>
              <w:autoSpaceDE w:val="0"/>
              <w:autoSpaceDN w:val="0"/>
              <w:adjustRightInd w:val="0"/>
              <w:ind w:right="-59"/>
              <w:jc w:val="center"/>
              <w:rPr>
                <w:b/>
                <w:bCs/>
                <w:iCs/>
                <w:sz w:val="18"/>
                <w:szCs w:val="18"/>
              </w:rPr>
            </w:pPr>
            <w:r w:rsidRPr="00C75C7E">
              <w:rPr>
                <w:b/>
                <w:bCs/>
                <w:iCs/>
                <w:sz w:val="18"/>
                <w:szCs w:val="18"/>
              </w:rPr>
              <w:t>Riesgos en el logro de los resultados del programa</w:t>
            </w:r>
          </w:p>
        </w:tc>
        <w:tc>
          <w:tcPr>
            <w:tcW w:w="5066" w:type="dxa"/>
            <w:tcBorders>
              <w:top w:val="single" w:sz="4" w:space="0" w:color="auto"/>
              <w:bottom w:val="single" w:sz="4" w:space="0" w:color="auto"/>
            </w:tcBorders>
            <w:shd w:val="clear" w:color="auto" w:fill="CCFFFF"/>
            <w:tcMar>
              <w:top w:w="113" w:type="dxa"/>
              <w:bottom w:w="85" w:type="dxa"/>
            </w:tcMar>
            <w:vAlign w:val="center"/>
          </w:tcPr>
          <w:p w:rsidR="0063482E" w:rsidRPr="00C75C7E" w:rsidRDefault="0063482E" w:rsidP="00962ADA">
            <w:pPr>
              <w:keepNext/>
              <w:widowControl w:val="0"/>
              <w:autoSpaceDE w:val="0"/>
              <w:autoSpaceDN w:val="0"/>
              <w:adjustRightInd w:val="0"/>
              <w:ind w:right="-59"/>
              <w:rPr>
                <w:b/>
                <w:bCs/>
                <w:iCs/>
                <w:sz w:val="18"/>
                <w:szCs w:val="18"/>
              </w:rPr>
            </w:pPr>
            <w:r w:rsidRPr="00C75C7E">
              <w:rPr>
                <w:b/>
                <w:bCs/>
                <w:iCs/>
                <w:sz w:val="18"/>
                <w:szCs w:val="18"/>
              </w:rPr>
              <w:t xml:space="preserve">Planes de mitigación ejecutados o en ejecución </w:t>
            </w:r>
          </w:p>
        </w:tc>
      </w:tr>
      <w:tr w:rsidR="0063482E" w:rsidRPr="00C75C7E" w:rsidTr="00962ADA">
        <w:trPr>
          <w:trHeight w:val="1051"/>
        </w:trPr>
        <w:tc>
          <w:tcPr>
            <w:tcW w:w="4290" w:type="dxa"/>
            <w:tcBorders>
              <w:top w:val="single" w:sz="4" w:space="0" w:color="auto"/>
            </w:tcBorders>
            <w:shd w:val="clear" w:color="auto" w:fill="auto"/>
            <w:tcMar>
              <w:top w:w="113" w:type="dxa"/>
              <w:bottom w:w="85" w:type="dxa"/>
            </w:tcMar>
          </w:tcPr>
          <w:p w:rsidR="0063482E" w:rsidRPr="00C75C7E" w:rsidRDefault="0063482E" w:rsidP="00EF3DB5">
            <w:pPr>
              <w:widowControl w:val="0"/>
              <w:rPr>
                <w:sz w:val="16"/>
                <w:szCs w:val="16"/>
              </w:rPr>
            </w:pPr>
            <w:r w:rsidRPr="00C75C7E">
              <w:rPr>
                <w:sz w:val="16"/>
                <w:szCs w:val="16"/>
              </w:rPr>
              <w:t>Disminución del grado de satisfacción de los usuarios debido a las dificultades que plantea el aumento del número de solicitudes presentadas y de peticiones de información y a la creciente complejidad del sistema como consecuencia de la ejecución de funciones relativas al examen de la novedad en determinadas oficinas designadas.</w:t>
            </w:r>
          </w:p>
        </w:tc>
        <w:tc>
          <w:tcPr>
            <w:tcW w:w="5066" w:type="dxa"/>
            <w:tcBorders>
              <w:top w:val="single" w:sz="4" w:space="0" w:color="auto"/>
            </w:tcBorders>
            <w:shd w:val="clear" w:color="auto" w:fill="auto"/>
            <w:tcMar>
              <w:top w:w="113" w:type="dxa"/>
              <w:bottom w:w="85" w:type="dxa"/>
            </w:tcMar>
          </w:tcPr>
          <w:p w:rsidR="0063482E" w:rsidRPr="00C75C7E" w:rsidRDefault="0063482E" w:rsidP="00EF3DB5">
            <w:pPr>
              <w:widowControl w:val="0"/>
              <w:autoSpaceDE w:val="0"/>
              <w:autoSpaceDN w:val="0"/>
              <w:adjustRightInd w:val="0"/>
              <w:ind w:right="-59"/>
              <w:rPr>
                <w:sz w:val="16"/>
                <w:szCs w:val="16"/>
              </w:rPr>
            </w:pPr>
            <w:r w:rsidRPr="00C75C7E">
              <w:rPr>
                <w:sz w:val="16"/>
                <w:szCs w:val="16"/>
              </w:rPr>
              <w:t>Potenciación de la eficiencia y efectividad en todos los aspectos de la administración del sistema;  fomento de las prácticas más extendidas y de la convergencia entre las oficinas concernidas;  adopción de soluciones de T.I. para asistir a los usuarios y examinadores de las oficinas y de la Oficina Internacional.</w:t>
            </w:r>
          </w:p>
        </w:tc>
      </w:tr>
    </w:tbl>
    <w:p w:rsidR="0063482E" w:rsidRDefault="0063482E" w:rsidP="0063482E">
      <w:pPr>
        <w:widowControl w:val="0"/>
        <w:tabs>
          <w:tab w:val="left" w:pos="567"/>
          <w:tab w:val="left" w:pos="1985"/>
        </w:tabs>
        <w:jc w:val="both"/>
        <w:rPr>
          <w:bCs/>
          <w:sz w:val="20"/>
        </w:rPr>
      </w:pPr>
    </w:p>
    <w:p w:rsidR="00EA4CD8" w:rsidRPr="00C75C7E" w:rsidRDefault="00EA4CD8" w:rsidP="0063482E">
      <w:pPr>
        <w:widowControl w:val="0"/>
        <w:tabs>
          <w:tab w:val="left" w:pos="567"/>
          <w:tab w:val="left" w:pos="1985"/>
        </w:tabs>
        <w:jc w:val="both"/>
        <w:rPr>
          <w:bCs/>
          <w:sz w:val="20"/>
        </w:rPr>
      </w:pPr>
    </w:p>
    <w:p w:rsidR="0063482E" w:rsidRPr="00C75C7E" w:rsidRDefault="0063482E" w:rsidP="0063482E">
      <w:pPr>
        <w:widowControl w:val="0"/>
        <w:tabs>
          <w:tab w:val="left" w:pos="567"/>
          <w:tab w:val="left" w:pos="1985"/>
        </w:tabs>
        <w:jc w:val="both"/>
        <w:rPr>
          <w:bCs/>
          <w:sz w:val="20"/>
          <w:lang w:val="es-ES_tradnl"/>
        </w:rPr>
      </w:pPr>
      <w:r w:rsidRPr="00C75C7E">
        <w:rPr>
          <w:bCs/>
          <w:szCs w:val="22"/>
          <w:lang w:val="es-ES_tradnl"/>
        </w:rPr>
        <w:t>MARCO DE RESULTADOS</w:t>
      </w:r>
    </w:p>
    <w:p w:rsidR="0063482E" w:rsidRPr="00C75C7E" w:rsidRDefault="0063482E" w:rsidP="0063482E">
      <w:pPr>
        <w:widowControl w:val="0"/>
        <w:tabs>
          <w:tab w:val="left" w:pos="567"/>
          <w:tab w:val="left" w:pos="1985"/>
        </w:tabs>
        <w:jc w:val="both"/>
        <w:rPr>
          <w:bCs/>
          <w:sz w:val="20"/>
          <w:lang w:val="es-ES_tradnl"/>
        </w:rPr>
      </w:pPr>
    </w:p>
    <w:tbl>
      <w:tblPr>
        <w:tblW w:w="4915"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596"/>
        <w:gridCol w:w="2730"/>
        <w:gridCol w:w="2153"/>
        <w:gridCol w:w="1929"/>
      </w:tblGrid>
      <w:tr w:rsidR="0063482E" w:rsidRPr="00C75C7E" w:rsidTr="00EA4CD8">
        <w:trPr>
          <w:trHeight w:val="426"/>
          <w:tblHeader/>
        </w:trPr>
        <w:tc>
          <w:tcPr>
            <w:tcW w:w="1380" w:type="pct"/>
            <w:tcBorders>
              <w:top w:val="single" w:sz="4" w:space="0" w:color="auto"/>
              <w:bottom w:val="single" w:sz="4" w:space="0" w:color="auto"/>
            </w:tcBorders>
            <w:shd w:val="clear" w:color="auto" w:fill="CCFFFF"/>
            <w:tcMar>
              <w:top w:w="113" w:type="dxa"/>
            </w:tcMar>
            <w:vAlign w:val="center"/>
          </w:tcPr>
          <w:p w:rsidR="0063482E" w:rsidRPr="00C75C7E" w:rsidRDefault="0063482E" w:rsidP="00EF3DB5">
            <w:pPr>
              <w:widowControl w:val="0"/>
              <w:spacing w:after="120"/>
              <w:jc w:val="center"/>
              <w:rPr>
                <w:b/>
                <w:bCs/>
                <w:sz w:val="18"/>
                <w:szCs w:val="18"/>
                <w:lang w:val="es-ES_tradnl"/>
              </w:rPr>
            </w:pPr>
            <w:r w:rsidRPr="00C75C7E">
              <w:rPr>
                <w:b/>
                <w:bCs/>
                <w:sz w:val="18"/>
                <w:szCs w:val="18"/>
                <w:lang w:val="es-ES_tradnl"/>
              </w:rPr>
              <w:t>Resultados previstos</w:t>
            </w:r>
          </w:p>
        </w:tc>
        <w:tc>
          <w:tcPr>
            <w:tcW w:w="1451" w:type="pct"/>
            <w:tcBorders>
              <w:top w:val="single" w:sz="4" w:space="0" w:color="auto"/>
              <w:bottom w:val="single" w:sz="4" w:space="0" w:color="auto"/>
            </w:tcBorders>
            <w:shd w:val="clear" w:color="auto" w:fill="CCFFFF"/>
            <w:tcMar>
              <w:top w:w="113" w:type="dxa"/>
            </w:tcMar>
            <w:vAlign w:val="center"/>
          </w:tcPr>
          <w:p w:rsidR="0063482E" w:rsidRPr="00C75C7E" w:rsidRDefault="0063482E" w:rsidP="00EF3DB5">
            <w:pPr>
              <w:widowControl w:val="0"/>
              <w:spacing w:after="120"/>
              <w:jc w:val="center"/>
              <w:rPr>
                <w:b/>
                <w:sz w:val="18"/>
                <w:szCs w:val="18"/>
                <w:lang w:val="es-ES_tradnl"/>
              </w:rPr>
            </w:pPr>
            <w:r w:rsidRPr="00C75C7E">
              <w:rPr>
                <w:b/>
                <w:sz w:val="18"/>
                <w:szCs w:val="18"/>
                <w:lang w:val="es-ES_tradnl"/>
              </w:rPr>
              <w:t>Indicadores de rendimiento</w:t>
            </w:r>
          </w:p>
        </w:tc>
        <w:tc>
          <w:tcPr>
            <w:tcW w:w="1144" w:type="pct"/>
            <w:tcBorders>
              <w:top w:val="single" w:sz="4" w:space="0" w:color="auto"/>
              <w:bottom w:val="single" w:sz="4" w:space="0" w:color="auto"/>
            </w:tcBorders>
            <w:shd w:val="clear" w:color="auto" w:fill="CCFFFF"/>
            <w:tcMar>
              <w:top w:w="113" w:type="dxa"/>
            </w:tcMar>
            <w:vAlign w:val="center"/>
          </w:tcPr>
          <w:p w:rsidR="0063482E" w:rsidRPr="00C75C7E" w:rsidRDefault="0063482E" w:rsidP="00EF3DB5">
            <w:pPr>
              <w:widowControl w:val="0"/>
              <w:spacing w:after="120"/>
              <w:ind w:left="85"/>
              <w:jc w:val="center"/>
              <w:rPr>
                <w:sz w:val="18"/>
                <w:szCs w:val="18"/>
                <w:lang w:val="es-ES_tradnl"/>
              </w:rPr>
            </w:pPr>
            <w:r w:rsidRPr="00C75C7E">
              <w:rPr>
                <w:b/>
                <w:bCs/>
                <w:sz w:val="18"/>
                <w:szCs w:val="18"/>
                <w:lang w:val="es-ES_tradnl"/>
              </w:rPr>
              <w:t>Referencia</w:t>
            </w:r>
          </w:p>
        </w:tc>
        <w:tc>
          <w:tcPr>
            <w:tcW w:w="1025" w:type="pct"/>
            <w:tcBorders>
              <w:top w:val="single" w:sz="4" w:space="0" w:color="auto"/>
              <w:bottom w:val="single" w:sz="4" w:space="0" w:color="auto"/>
            </w:tcBorders>
            <w:shd w:val="clear" w:color="auto" w:fill="CCFFFF"/>
            <w:tcMar>
              <w:top w:w="113" w:type="dxa"/>
            </w:tcMar>
            <w:vAlign w:val="center"/>
          </w:tcPr>
          <w:p w:rsidR="0063482E" w:rsidRPr="00C75C7E" w:rsidRDefault="0063482E" w:rsidP="00EF3DB5">
            <w:pPr>
              <w:widowControl w:val="0"/>
              <w:tabs>
                <w:tab w:val="left" w:pos="1543"/>
                <w:tab w:val="left" w:pos="1623"/>
                <w:tab w:val="left" w:pos="1733"/>
              </w:tabs>
              <w:spacing w:after="120"/>
              <w:ind w:right="-107"/>
              <w:jc w:val="center"/>
              <w:rPr>
                <w:b/>
                <w:bCs/>
                <w:sz w:val="18"/>
                <w:szCs w:val="18"/>
                <w:lang w:val="es-ES_tradnl"/>
              </w:rPr>
            </w:pPr>
            <w:r w:rsidRPr="00C75C7E">
              <w:rPr>
                <w:b/>
                <w:bCs/>
                <w:sz w:val="18"/>
                <w:szCs w:val="18"/>
                <w:lang w:val="es-ES_tradnl"/>
              </w:rPr>
              <w:t>Objetivos</w:t>
            </w:r>
          </w:p>
        </w:tc>
      </w:tr>
      <w:tr w:rsidR="0063482E" w:rsidRPr="00C75C7E" w:rsidTr="00EF3DB5">
        <w:tc>
          <w:tcPr>
            <w:tcW w:w="1380" w:type="pct"/>
            <w:vMerge w:val="restart"/>
            <w:tcBorders>
              <w:top w:val="single" w:sz="4" w:space="0" w:color="auto"/>
            </w:tcBorders>
            <w:shd w:val="clear" w:color="auto" w:fill="auto"/>
            <w:tcMar>
              <w:top w:w="113" w:type="dxa"/>
            </w:tcMar>
          </w:tcPr>
          <w:p w:rsidR="0063482E" w:rsidRPr="00C75C7E" w:rsidRDefault="0063482E" w:rsidP="00EF3DB5">
            <w:pPr>
              <w:widowControl w:val="0"/>
              <w:rPr>
                <w:sz w:val="16"/>
                <w:szCs w:val="16"/>
                <w:lang w:val="es-ES_tradnl"/>
              </w:rPr>
            </w:pPr>
            <w:r w:rsidRPr="00C75C7E">
              <w:rPr>
                <w:sz w:val="16"/>
                <w:szCs w:val="16"/>
                <w:lang w:val="es-ES_tradnl"/>
              </w:rPr>
              <w:t>II.4. Ampliación y mejora del uso del sistema de La Haya por los países en desarrollo y los PMA, entre otros.</w:t>
            </w:r>
          </w:p>
        </w:tc>
        <w:tc>
          <w:tcPr>
            <w:tcW w:w="1451" w:type="pct"/>
            <w:tcBorders>
              <w:top w:val="single" w:sz="4" w:space="0" w:color="auto"/>
            </w:tcBorders>
            <w:shd w:val="clear" w:color="auto" w:fill="auto"/>
            <w:tcMar>
              <w:top w:w="113" w:type="dxa"/>
            </w:tcMar>
          </w:tcPr>
          <w:p w:rsidR="0063482E" w:rsidRPr="00C75C7E" w:rsidRDefault="0063482E" w:rsidP="00EF3DB5">
            <w:pPr>
              <w:widowControl w:val="0"/>
              <w:rPr>
                <w:sz w:val="16"/>
                <w:szCs w:val="16"/>
                <w:lang w:val="es-ES_tradnl"/>
              </w:rPr>
            </w:pPr>
            <w:r w:rsidRPr="00C75C7E">
              <w:rPr>
                <w:sz w:val="16"/>
                <w:szCs w:val="16"/>
                <w:lang w:val="es-ES_tradnl"/>
              </w:rPr>
              <w:t>Número de miembros del Acta de La Haya (1999).</w:t>
            </w:r>
          </w:p>
        </w:tc>
        <w:tc>
          <w:tcPr>
            <w:tcW w:w="1144" w:type="pct"/>
            <w:tcBorders>
              <w:top w:val="single" w:sz="4" w:space="0" w:color="auto"/>
            </w:tcBorders>
            <w:shd w:val="clear" w:color="auto" w:fill="FFFFFF"/>
            <w:tcMar>
              <w:top w:w="113" w:type="dxa"/>
            </w:tcMar>
          </w:tcPr>
          <w:p w:rsidR="0063482E" w:rsidRPr="00C75C7E" w:rsidRDefault="0063482E" w:rsidP="00EF3DB5">
            <w:pPr>
              <w:widowControl w:val="0"/>
              <w:rPr>
                <w:sz w:val="16"/>
                <w:szCs w:val="16"/>
                <w:lang w:val="es-ES_tradnl" w:bidi="th-TH"/>
              </w:rPr>
            </w:pPr>
            <w:r w:rsidRPr="00C75C7E">
              <w:rPr>
                <w:sz w:val="16"/>
                <w:szCs w:val="16"/>
                <w:lang w:val="es-ES_tradnl" w:bidi="th-TH"/>
              </w:rPr>
              <w:t>45 Partes Contratantes.</w:t>
            </w:r>
          </w:p>
          <w:p w:rsidR="0063482E" w:rsidRPr="00C75C7E" w:rsidRDefault="0063482E" w:rsidP="00EF3DB5">
            <w:pPr>
              <w:widowControl w:val="0"/>
              <w:rPr>
                <w:sz w:val="16"/>
                <w:szCs w:val="16"/>
                <w:lang w:val="es-ES_tradnl" w:bidi="th-TH"/>
              </w:rPr>
            </w:pPr>
          </w:p>
          <w:p w:rsidR="0063482E" w:rsidRPr="00C75C7E" w:rsidRDefault="0063482E" w:rsidP="00EF3DB5">
            <w:pPr>
              <w:widowControl w:val="0"/>
              <w:rPr>
                <w:sz w:val="16"/>
                <w:szCs w:val="16"/>
                <w:lang w:val="es-ES_tradnl"/>
              </w:rPr>
            </w:pPr>
          </w:p>
        </w:tc>
        <w:tc>
          <w:tcPr>
            <w:tcW w:w="1025" w:type="pct"/>
            <w:tcBorders>
              <w:top w:val="single" w:sz="4" w:space="0" w:color="auto"/>
            </w:tcBorders>
            <w:shd w:val="clear" w:color="auto" w:fill="auto"/>
            <w:tcMar>
              <w:top w:w="113" w:type="dxa"/>
            </w:tcMar>
          </w:tcPr>
          <w:p w:rsidR="0063482E" w:rsidRPr="00C75C7E" w:rsidRDefault="0063482E" w:rsidP="00EF3DB5">
            <w:pPr>
              <w:widowControl w:val="0"/>
              <w:ind w:right="381"/>
              <w:rPr>
                <w:bCs/>
                <w:sz w:val="16"/>
                <w:szCs w:val="16"/>
                <w:lang w:val="es-ES_tradnl"/>
              </w:rPr>
            </w:pPr>
            <w:r w:rsidRPr="00C75C7E">
              <w:rPr>
                <w:bCs/>
                <w:sz w:val="16"/>
                <w:szCs w:val="16"/>
                <w:lang w:val="es-ES_tradnl"/>
              </w:rPr>
              <w:t>58 Partes Contratantes.</w:t>
            </w:r>
          </w:p>
        </w:tc>
      </w:tr>
      <w:tr w:rsidR="0063482E" w:rsidRPr="00C75C7E" w:rsidTr="00EF3DB5">
        <w:trPr>
          <w:trHeight w:val="713"/>
        </w:trPr>
        <w:tc>
          <w:tcPr>
            <w:tcW w:w="1380" w:type="pct"/>
            <w:vMerge/>
            <w:shd w:val="clear" w:color="auto" w:fill="auto"/>
            <w:tcMar>
              <w:top w:w="113" w:type="dxa"/>
            </w:tcMar>
          </w:tcPr>
          <w:p w:rsidR="0063482E" w:rsidRPr="00C75C7E" w:rsidRDefault="0063482E" w:rsidP="00EF3DB5">
            <w:pPr>
              <w:widowControl w:val="0"/>
              <w:rPr>
                <w:sz w:val="16"/>
                <w:szCs w:val="16"/>
                <w:lang w:val="es-ES_tradnl"/>
              </w:rPr>
            </w:pPr>
          </w:p>
        </w:tc>
        <w:tc>
          <w:tcPr>
            <w:tcW w:w="1451" w:type="pct"/>
            <w:shd w:val="clear" w:color="auto" w:fill="auto"/>
            <w:tcMar>
              <w:top w:w="113" w:type="dxa"/>
            </w:tcMar>
          </w:tcPr>
          <w:p w:rsidR="0063482E" w:rsidRPr="00C75C7E" w:rsidRDefault="0063482E" w:rsidP="00EF3DB5">
            <w:pPr>
              <w:widowControl w:val="0"/>
              <w:rPr>
                <w:sz w:val="16"/>
                <w:szCs w:val="16"/>
                <w:lang w:val="es-ES_tradnl"/>
              </w:rPr>
            </w:pPr>
            <w:r w:rsidRPr="00C75C7E">
              <w:rPr>
                <w:sz w:val="16"/>
                <w:szCs w:val="16"/>
                <w:lang w:val="es-ES_tradnl"/>
              </w:rPr>
              <w:t xml:space="preserve">Porcentaje de oficinas que proporcionan información sobre el sistema de La Haya. </w:t>
            </w:r>
          </w:p>
        </w:tc>
        <w:tc>
          <w:tcPr>
            <w:tcW w:w="1144" w:type="pct"/>
            <w:shd w:val="clear" w:color="auto" w:fill="FFFFFF"/>
            <w:tcMar>
              <w:top w:w="113" w:type="dxa"/>
            </w:tcMar>
          </w:tcPr>
          <w:p w:rsidR="0063482E" w:rsidRPr="00C75C7E" w:rsidRDefault="0063482E" w:rsidP="00EF3DB5">
            <w:pPr>
              <w:widowControl w:val="0"/>
              <w:rPr>
                <w:sz w:val="16"/>
                <w:szCs w:val="16"/>
                <w:lang w:val="es-ES_tradnl" w:bidi="th-TH"/>
              </w:rPr>
            </w:pPr>
            <w:r w:rsidRPr="00C75C7E">
              <w:rPr>
                <w:sz w:val="16"/>
                <w:szCs w:val="16"/>
                <w:lang w:val="es-ES_tradnl" w:bidi="th-TH"/>
              </w:rPr>
              <w:t>Porcentaje de oficinas que proporcionan dicha información.</w:t>
            </w:r>
          </w:p>
          <w:p w:rsidR="0063482E" w:rsidRPr="00C75C7E" w:rsidRDefault="0063482E" w:rsidP="00EF3DB5">
            <w:pPr>
              <w:widowControl w:val="0"/>
              <w:rPr>
                <w:sz w:val="16"/>
                <w:szCs w:val="16"/>
                <w:lang w:val="es-ES_tradnl" w:bidi="th-TH"/>
              </w:rPr>
            </w:pPr>
          </w:p>
        </w:tc>
        <w:tc>
          <w:tcPr>
            <w:tcW w:w="1025" w:type="pct"/>
            <w:shd w:val="clear" w:color="auto" w:fill="auto"/>
            <w:tcMar>
              <w:top w:w="113" w:type="dxa"/>
            </w:tcMar>
          </w:tcPr>
          <w:p w:rsidR="0063482E" w:rsidRPr="00C75C7E" w:rsidRDefault="0063482E" w:rsidP="00EF3DB5">
            <w:pPr>
              <w:widowControl w:val="0"/>
              <w:ind w:right="161"/>
              <w:rPr>
                <w:bCs/>
                <w:sz w:val="16"/>
                <w:szCs w:val="16"/>
                <w:lang w:val="es-ES_tradnl"/>
              </w:rPr>
            </w:pPr>
            <w:r w:rsidRPr="00C75C7E">
              <w:rPr>
                <w:bCs/>
                <w:sz w:val="16"/>
                <w:szCs w:val="16"/>
                <w:lang w:val="es-ES_tradnl"/>
              </w:rPr>
              <w:t>Mayor porcentaje.</w:t>
            </w:r>
          </w:p>
        </w:tc>
      </w:tr>
      <w:tr w:rsidR="0063482E" w:rsidRPr="00C75C7E" w:rsidTr="00EF3DB5">
        <w:trPr>
          <w:trHeight w:val="1504"/>
        </w:trPr>
        <w:tc>
          <w:tcPr>
            <w:tcW w:w="1380" w:type="pct"/>
            <w:vMerge/>
            <w:shd w:val="clear" w:color="auto" w:fill="auto"/>
            <w:tcMar>
              <w:top w:w="113" w:type="dxa"/>
            </w:tcMar>
          </w:tcPr>
          <w:p w:rsidR="0063482E" w:rsidRPr="00C75C7E" w:rsidRDefault="0063482E" w:rsidP="00EF3DB5">
            <w:pPr>
              <w:widowControl w:val="0"/>
              <w:rPr>
                <w:sz w:val="16"/>
                <w:szCs w:val="16"/>
                <w:lang w:val="es-ES_tradnl"/>
              </w:rPr>
            </w:pPr>
          </w:p>
        </w:tc>
        <w:tc>
          <w:tcPr>
            <w:tcW w:w="1451" w:type="pct"/>
            <w:shd w:val="clear" w:color="auto" w:fill="auto"/>
            <w:tcMar>
              <w:top w:w="113" w:type="dxa"/>
            </w:tcMar>
          </w:tcPr>
          <w:p w:rsidR="0063482E" w:rsidRPr="00C75C7E" w:rsidRDefault="0063482E" w:rsidP="00EF3DB5">
            <w:pPr>
              <w:widowControl w:val="0"/>
              <w:rPr>
                <w:sz w:val="16"/>
                <w:szCs w:val="16"/>
                <w:lang w:val="es-ES_tradnl"/>
              </w:rPr>
            </w:pPr>
            <w:r w:rsidRPr="00C75C7E">
              <w:rPr>
                <w:sz w:val="16"/>
                <w:szCs w:val="16"/>
                <w:lang w:val="es-ES_tradnl"/>
              </w:rPr>
              <w:t>Solicitudes de registro y renovaciones en virtud del sistema de La Haya.</w:t>
            </w:r>
          </w:p>
        </w:tc>
        <w:tc>
          <w:tcPr>
            <w:tcW w:w="1144" w:type="pct"/>
            <w:shd w:val="clear" w:color="auto" w:fill="FFFFFF"/>
            <w:tcMar>
              <w:top w:w="113" w:type="dxa"/>
            </w:tcMar>
          </w:tcPr>
          <w:p w:rsidR="0063482E" w:rsidRPr="00C75C7E" w:rsidRDefault="0063482E" w:rsidP="00EF3DB5">
            <w:pPr>
              <w:widowControl w:val="0"/>
              <w:rPr>
                <w:sz w:val="16"/>
                <w:szCs w:val="16"/>
                <w:lang w:val="es-ES_tradnl" w:bidi="th-TH"/>
              </w:rPr>
            </w:pPr>
            <w:r w:rsidRPr="00C75C7E">
              <w:rPr>
                <w:sz w:val="16"/>
                <w:szCs w:val="16"/>
                <w:lang w:val="es-ES_tradnl" w:bidi="th-TH"/>
              </w:rPr>
              <w:t>2.604 solicitudes</w:t>
            </w:r>
          </w:p>
          <w:p w:rsidR="003A4B0F" w:rsidRDefault="0063482E" w:rsidP="00EF3DB5">
            <w:pPr>
              <w:widowControl w:val="0"/>
              <w:rPr>
                <w:sz w:val="16"/>
                <w:szCs w:val="16"/>
                <w:lang w:val="es-ES_tradnl" w:bidi="th-TH"/>
              </w:rPr>
            </w:pPr>
            <w:r w:rsidRPr="00C75C7E">
              <w:rPr>
                <w:sz w:val="16"/>
                <w:szCs w:val="16"/>
                <w:lang w:val="es-ES_tradnl" w:bidi="th-TH"/>
              </w:rPr>
              <w:t xml:space="preserve">12.506 </w:t>
            </w:r>
            <w:r w:rsidR="003A4B0F">
              <w:rPr>
                <w:sz w:val="16"/>
                <w:szCs w:val="16"/>
                <w:lang w:val="es-ES_tradnl" w:bidi="th-TH"/>
              </w:rPr>
              <w:t>dibujos y modelos</w:t>
            </w:r>
            <w:r w:rsidRPr="00C75C7E">
              <w:rPr>
                <w:sz w:val="16"/>
                <w:szCs w:val="16"/>
                <w:lang w:val="es-ES_tradnl" w:bidi="th-TH"/>
              </w:rPr>
              <w:t xml:space="preserve"> contenidos</w:t>
            </w:r>
            <w:r w:rsidR="003A4B0F">
              <w:rPr>
                <w:sz w:val="16"/>
                <w:szCs w:val="16"/>
                <w:lang w:val="es-ES_tradnl" w:bidi="th-TH"/>
              </w:rPr>
              <w:t xml:space="preserve"> </w:t>
            </w:r>
          </w:p>
          <w:p w:rsidR="0063482E" w:rsidRPr="00C75C7E" w:rsidRDefault="0063482E" w:rsidP="00EF3DB5">
            <w:pPr>
              <w:widowControl w:val="0"/>
              <w:rPr>
                <w:sz w:val="16"/>
                <w:szCs w:val="16"/>
                <w:lang w:val="es-ES_tradnl" w:bidi="th-TH"/>
              </w:rPr>
            </w:pPr>
            <w:r w:rsidRPr="00C75C7E">
              <w:rPr>
                <w:sz w:val="16"/>
                <w:szCs w:val="16"/>
                <w:lang w:val="es-ES_tradnl" w:bidi="th-TH"/>
              </w:rPr>
              <w:t>3.120 renovaciones (2012).</w:t>
            </w:r>
          </w:p>
          <w:p w:rsidR="0063482E" w:rsidRPr="00C75C7E" w:rsidRDefault="0063482E" w:rsidP="00EF3DB5">
            <w:pPr>
              <w:widowControl w:val="0"/>
              <w:rPr>
                <w:sz w:val="16"/>
                <w:szCs w:val="16"/>
                <w:lang w:val="es-ES_tradnl" w:bidi="th-TH"/>
              </w:rPr>
            </w:pPr>
          </w:p>
          <w:p w:rsidR="0063482E" w:rsidRPr="00C75C7E" w:rsidRDefault="0063482E" w:rsidP="00EF3DB5">
            <w:pPr>
              <w:widowControl w:val="0"/>
              <w:rPr>
                <w:sz w:val="16"/>
                <w:szCs w:val="16"/>
                <w:lang w:val="es-ES_tradnl" w:bidi="th-TH"/>
              </w:rPr>
            </w:pPr>
          </w:p>
        </w:tc>
        <w:tc>
          <w:tcPr>
            <w:tcW w:w="1025" w:type="pct"/>
            <w:shd w:val="clear" w:color="auto" w:fill="auto"/>
            <w:tcMar>
              <w:top w:w="113" w:type="dxa"/>
            </w:tcMar>
          </w:tcPr>
          <w:p w:rsidR="0063482E" w:rsidRPr="00C75C7E" w:rsidRDefault="0063482E" w:rsidP="00EF3DB5">
            <w:pPr>
              <w:widowControl w:val="0"/>
              <w:ind w:right="161"/>
              <w:rPr>
                <w:bCs/>
                <w:sz w:val="16"/>
                <w:szCs w:val="16"/>
                <w:u w:val="single"/>
                <w:lang w:val="es-ES_tradnl"/>
              </w:rPr>
            </w:pPr>
            <w:r w:rsidRPr="00C75C7E">
              <w:rPr>
                <w:bCs/>
                <w:sz w:val="16"/>
                <w:szCs w:val="16"/>
                <w:u w:val="single"/>
                <w:lang w:val="es-ES_tradnl"/>
              </w:rPr>
              <w:t xml:space="preserve">2014: </w:t>
            </w:r>
          </w:p>
          <w:p w:rsidR="0063482E" w:rsidRPr="00C75C7E" w:rsidRDefault="0063482E" w:rsidP="00EF3DB5">
            <w:pPr>
              <w:widowControl w:val="0"/>
              <w:ind w:right="161"/>
              <w:rPr>
                <w:bCs/>
                <w:sz w:val="16"/>
                <w:szCs w:val="16"/>
                <w:lang w:val="es-ES_tradnl"/>
              </w:rPr>
            </w:pPr>
            <w:r w:rsidRPr="00C75C7E">
              <w:rPr>
                <w:bCs/>
                <w:sz w:val="16"/>
                <w:szCs w:val="16"/>
                <w:lang w:val="es-ES_tradnl"/>
              </w:rPr>
              <w:t xml:space="preserve">Solicitudes: </w:t>
            </w:r>
          </w:p>
          <w:p w:rsidR="0063482E" w:rsidRPr="00C75C7E" w:rsidRDefault="0063482E" w:rsidP="00EF3DB5">
            <w:pPr>
              <w:widowControl w:val="0"/>
              <w:ind w:right="161"/>
              <w:rPr>
                <w:bCs/>
                <w:sz w:val="16"/>
                <w:szCs w:val="16"/>
                <w:lang w:val="es-ES_tradnl"/>
              </w:rPr>
            </w:pPr>
            <w:r w:rsidRPr="00C75C7E">
              <w:rPr>
                <w:bCs/>
                <w:sz w:val="16"/>
                <w:szCs w:val="16"/>
                <w:lang w:val="es-ES_tradnl"/>
              </w:rPr>
              <w:t xml:space="preserve">Aumento del 33,9%. </w:t>
            </w:r>
          </w:p>
          <w:p w:rsidR="0063482E" w:rsidRPr="00C75C7E" w:rsidRDefault="003A4B0F" w:rsidP="00EF3DB5">
            <w:pPr>
              <w:widowControl w:val="0"/>
              <w:ind w:right="161"/>
              <w:rPr>
                <w:bCs/>
                <w:sz w:val="16"/>
                <w:szCs w:val="16"/>
                <w:lang w:val="es-ES_tradnl"/>
              </w:rPr>
            </w:pPr>
            <w:r>
              <w:rPr>
                <w:bCs/>
                <w:sz w:val="16"/>
                <w:szCs w:val="16"/>
                <w:lang w:val="es-ES_tradnl"/>
              </w:rPr>
              <w:t>Dibujos y modelos</w:t>
            </w:r>
            <w:r w:rsidR="0063482E" w:rsidRPr="00C75C7E">
              <w:rPr>
                <w:bCs/>
                <w:sz w:val="16"/>
                <w:szCs w:val="16"/>
                <w:lang w:val="es-ES_tradnl"/>
              </w:rPr>
              <w:t xml:space="preserve"> contenidos: aumento del 33% Renovaciones: </w:t>
            </w:r>
          </w:p>
          <w:p w:rsidR="0063482E" w:rsidRPr="00C75C7E" w:rsidRDefault="0063482E" w:rsidP="00EF3DB5">
            <w:pPr>
              <w:widowControl w:val="0"/>
              <w:ind w:right="161"/>
              <w:rPr>
                <w:bCs/>
                <w:sz w:val="16"/>
                <w:szCs w:val="16"/>
                <w:lang w:val="es-ES_tradnl"/>
              </w:rPr>
            </w:pPr>
            <w:r w:rsidRPr="00C75C7E">
              <w:rPr>
                <w:bCs/>
                <w:sz w:val="16"/>
                <w:szCs w:val="16"/>
                <w:lang w:val="es-ES_tradnl"/>
              </w:rPr>
              <w:t>Aumento del 2.9%.</w:t>
            </w:r>
          </w:p>
          <w:p w:rsidR="0063482E" w:rsidRPr="00C75C7E" w:rsidRDefault="0063482E" w:rsidP="00EF3DB5">
            <w:pPr>
              <w:widowControl w:val="0"/>
              <w:ind w:right="161"/>
              <w:rPr>
                <w:bCs/>
                <w:sz w:val="16"/>
                <w:szCs w:val="16"/>
                <w:lang w:val="es-ES_tradnl"/>
              </w:rPr>
            </w:pPr>
          </w:p>
          <w:p w:rsidR="0063482E" w:rsidRPr="00C75C7E" w:rsidRDefault="0063482E" w:rsidP="00EF3DB5">
            <w:pPr>
              <w:widowControl w:val="0"/>
              <w:ind w:right="161"/>
              <w:rPr>
                <w:bCs/>
                <w:sz w:val="16"/>
                <w:szCs w:val="16"/>
                <w:lang w:val="es-ES_tradnl"/>
              </w:rPr>
            </w:pPr>
            <w:r w:rsidRPr="00C75C7E">
              <w:rPr>
                <w:bCs/>
                <w:sz w:val="16"/>
                <w:szCs w:val="16"/>
                <w:u w:val="single"/>
                <w:lang w:val="es-ES_tradnl"/>
              </w:rPr>
              <w:t>2015:</w:t>
            </w:r>
            <w:r w:rsidRPr="00C75C7E">
              <w:rPr>
                <w:bCs/>
                <w:sz w:val="16"/>
                <w:szCs w:val="16"/>
                <w:lang w:val="es-ES_tradnl"/>
              </w:rPr>
              <w:t xml:space="preserve"> </w:t>
            </w:r>
          </w:p>
          <w:p w:rsidR="0063482E" w:rsidRPr="00C75C7E" w:rsidRDefault="0063482E" w:rsidP="00EF3DB5">
            <w:pPr>
              <w:widowControl w:val="0"/>
              <w:ind w:right="161"/>
              <w:rPr>
                <w:bCs/>
                <w:sz w:val="16"/>
                <w:szCs w:val="16"/>
                <w:lang w:val="es-ES_tradnl"/>
              </w:rPr>
            </w:pPr>
            <w:r w:rsidRPr="00C75C7E">
              <w:rPr>
                <w:bCs/>
                <w:sz w:val="16"/>
                <w:szCs w:val="16"/>
                <w:lang w:val="es-ES_tradnl"/>
              </w:rPr>
              <w:t xml:space="preserve">Solicitudes:  </w:t>
            </w:r>
          </w:p>
          <w:p w:rsidR="0063482E" w:rsidRPr="00C75C7E" w:rsidRDefault="0063482E" w:rsidP="00EF3DB5">
            <w:pPr>
              <w:widowControl w:val="0"/>
              <w:ind w:right="161"/>
              <w:rPr>
                <w:bCs/>
                <w:sz w:val="16"/>
                <w:szCs w:val="16"/>
                <w:lang w:val="es-ES_tradnl"/>
              </w:rPr>
            </w:pPr>
            <w:r w:rsidRPr="00C75C7E">
              <w:rPr>
                <w:bCs/>
                <w:sz w:val="16"/>
                <w:szCs w:val="16"/>
                <w:lang w:val="es-ES_tradnl"/>
              </w:rPr>
              <w:t xml:space="preserve">Aumento del 23,4%. </w:t>
            </w:r>
          </w:p>
          <w:p w:rsidR="0063482E" w:rsidRPr="00C75C7E" w:rsidRDefault="003A4B0F" w:rsidP="00EF3DB5">
            <w:pPr>
              <w:widowControl w:val="0"/>
              <w:ind w:right="161"/>
              <w:rPr>
                <w:bCs/>
                <w:sz w:val="16"/>
                <w:szCs w:val="16"/>
                <w:lang w:val="es-ES_tradnl"/>
              </w:rPr>
            </w:pPr>
            <w:r>
              <w:rPr>
                <w:sz w:val="16"/>
                <w:szCs w:val="16"/>
                <w:lang w:val="es-ES_tradnl" w:bidi="th-TH"/>
              </w:rPr>
              <w:t>Dibujos y modelos</w:t>
            </w:r>
            <w:r w:rsidR="0063482E" w:rsidRPr="00C75C7E">
              <w:rPr>
                <w:bCs/>
                <w:sz w:val="16"/>
                <w:szCs w:val="16"/>
                <w:lang w:val="es-ES_tradnl"/>
              </w:rPr>
              <w:t xml:space="preserve"> contenidos: aumento del 23,5% Renovaciones: </w:t>
            </w:r>
          </w:p>
          <w:p w:rsidR="0063482E" w:rsidRPr="00C75C7E" w:rsidRDefault="0063482E" w:rsidP="00EF3DB5">
            <w:pPr>
              <w:widowControl w:val="0"/>
              <w:ind w:right="161"/>
              <w:rPr>
                <w:bCs/>
                <w:sz w:val="16"/>
                <w:szCs w:val="16"/>
                <w:lang w:val="es-ES_tradnl"/>
              </w:rPr>
            </w:pPr>
            <w:r w:rsidRPr="00C75C7E">
              <w:rPr>
                <w:bCs/>
                <w:sz w:val="16"/>
                <w:szCs w:val="16"/>
                <w:lang w:val="es-ES_tradnl"/>
              </w:rPr>
              <w:t>Aumento del 5.5%.</w:t>
            </w:r>
          </w:p>
        </w:tc>
      </w:tr>
      <w:tr w:rsidR="0063482E" w:rsidRPr="00C75C7E" w:rsidTr="00EF3DB5">
        <w:tc>
          <w:tcPr>
            <w:tcW w:w="1380" w:type="pct"/>
            <w:vMerge w:val="restart"/>
            <w:shd w:val="clear" w:color="auto" w:fill="auto"/>
            <w:tcMar>
              <w:top w:w="113" w:type="dxa"/>
            </w:tcMar>
          </w:tcPr>
          <w:p w:rsidR="0063482E" w:rsidRPr="00C75C7E" w:rsidRDefault="0063482E" w:rsidP="00EF3DB5">
            <w:pPr>
              <w:widowControl w:val="0"/>
              <w:rPr>
                <w:sz w:val="16"/>
                <w:szCs w:val="16"/>
                <w:lang w:val="es-ES_tradnl"/>
              </w:rPr>
            </w:pPr>
            <w:r w:rsidRPr="00C75C7E">
              <w:rPr>
                <w:sz w:val="16"/>
                <w:szCs w:val="16"/>
                <w:lang w:val="es-ES_tradnl"/>
              </w:rPr>
              <w:t>II.5. Mejora de la productividad y de la calidad de los servicios en las operaciones del sistema de La Haya.</w:t>
            </w:r>
          </w:p>
        </w:tc>
        <w:tc>
          <w:tcPr>
            <w:tcW w:w="1451" w:type="pct"/>
            <w:shd w:val="clear" w:color="auto" w:fill="auto"/>
            <w:tcMar>
              <w:top w:w="113" w:type="dxa"/>
            </w:tcMar>
          </w:tcPr>
          <w:p w:rsidR="0063482E" w:rsidRPr="00C75C7E" w:rsidRDefault="0063482E" w:rsidP="00EF3DB5">
            <w:pPr>
              <w:widowControl w:val="0"/>
              <w:rPr>
                <w:sz w:val="16"/>
                <w:szCs w:val="16"/>
                <w:lang w:val="es-ES_tradnl"/>
              </w:rPr>
            </w:pPr>
            <w:r w:rsidRPr="00C75C7E">
              <w:rPr>
                <w:sz w:val="16"/>
                <w:szCs w:val="16"/>
                <w:lang w:val="es-ES_tradnl"/>
              </w:rPr>
              <w:t>Predominio del Acta de Ginebra (1999) en el sistema de La Haya.</w:t>
            </w:r>
          </w:p>
        </w:tc>
        <w:tc>
          <w:tcPr>
            <w:tcW w:w="1144" w:type="pct"/>
            <w:shd w:val="clear" w:color="auto" w:fill="FFFFFF"/>
            <w:tcMar>
              <w:top w:w="113" w:type="dxa"/>
            </w:tcMar>
          </w:tcPr>
          <w:p w:rsidR="0063482E" w:rsidRPr="00C75C7E" w:rsidRDefault="0063482E" w:rsidP="00EF3DB5">
            <w:pPr>
              <w:widowControl w:val="0"/>
              <w:rPr>
                <w:sz w:val="16"/>
                <w:szCs w:val="16"/>
                <w:lang w:val="es-ES_tradnl" w:bidi="th-TH"/>
              </w:rPr>
            </w:pPr>
            <w:r w:rsidRPr="00C75C7E">
              <w:rPr>
                <w:sz w:val="16"/>
                <w:szCs w:val="16"/>
                <w:lang w:val="es-ES_tradnl" w:bidi="th-TH"/>
              </w:rPr>
              <w:t>15 miembros del sistema de La Haya siguen sin estar obligados por el Acta de Ginebra de 1999;  Siguen pendientes las comunicaciones de consentimiento de cinco miembros para cesar la aplicación del Acta de 1934 (al final de 2012).</w:t>
            </w:r>
          </w:p>
          <w:p w:rsidR="0063482E" w:rsidRPr="00C75C7E" w:rsidRDefault="0063482E" w:rsidP="00EF3DB5">
            <w:pPr>
              <w:widowControl w:val="0"/>
              <w:rPr>
                <w:sz w:val="16"/>
                <w:szCs w:val="16"/>
                <w:lang w:val="es-ES_tradnl" w:bidi="th-TH"/>
              </w:rPr>
            </w:pPr>
          </w:p>
          <w:p w:rsidR="0063482E" w:rsidRPr="00C75C7E" w:rsidRDefault="0063482E" w:rsidP="00EF3DB5">
            <w:pPr>
              <w:widowControl w:val="0"/>
              <w:rPr>
                <w:sz w:val="16"/>
                <w:szCs w:val="16"/>
                <w:lang w:val="es-ES_tradnl" w:bidi="th-TH"/>
              </w:rPr>
            </w:pPr>
          </w:p>
          <w:p w:rsidR="0063482E" w:rsidRPr="00C75C7E" w:rsidRDefault="0063482E" w:rsidP="00EF3DB5">
            <w:pPr>
              <w:widowControl w:val="0"/>
              <w:rPr>
                <w:sz w:val="16"/>
                <w:szCs w:val="16"/>
                <w:lang w:val="es-ES_tradnl"/>
              </w:rPr>
            </w:pPr>
          </w:p>
        </w:tc>
        <w:tc>
          <w:tcPr>
            <w:tcW w:w="1025" w:type="pct"/>
            <w:shd w:val="clear" w:color="auto" w:fill="auto"/>
            <w:tcMar>
              <w:top w:w="113" w:type="dxa"/>
            </w:tcMar>
          </w:tcPr>
          <w:p w:rsidR="0063482E" w:rsidRPr="00C75C7E" w:rsidRDefault="0063482E" w:rsidP="00EF3DB5">
            <w:pPr>
              <w:widowControl w:val="0"/>
              <w:tabs>
                <w:tab w:val="left" w:pos="2051"/>
              </w:tabs>
              <w:ind w:right="381"/>
              <w:rPr>
                <w:bCs/>
                <w:sz w:val="16"/>
                <w:szCs w:val="16"/>
                <w:lang w:val="es-ES_tradnl"/>
              </w:rPr>
            </w:pPr>
            <w:r w:rsidRPr="00C75C7E">
              <w:rPr>
                <w:bCs/>
                <w:sz w:val="16"/>
                <w:szCs w:val="16"/>
                <w:lang w:val="es-ES_tradnl"/>
              </w:rPr>
              <w:t>Ningún país está obligado únicamente por el Acta de la Haya de 1960 fuera de la UE o la OAPI;  se han recibido las (cinco) comunicaciones de consentimiento restantes para cesar la aplicación del Acta de 1934.</w:t>
            </w:r>
          </w:p>
        </w:tc>
      </w:tr>
      <w:tr w:rsidR="0063482E" w:rsidRPr="00C75C7E" w:rsidTr="00EF3DB5">
        <w:tc>
          <w:tcPr>
            <w:tcW w:w="1380" w:type="pct"/>
            <w:vMerge/>
            <w:shd w:val="clear" w:color="auto" w:fill="auto"/>
            <w:tcMar>
              <w:top w:w="113" w:type="dxa"/>
            </w:tcMar>
          </w:tcPr>
          <w:p w:rsidR="0063482E" w:rsidRPr="00C75C7E" w:rsidRDefault="0063482E" w:rsidP="00EF3DB5">
            <w:pPr>
              <w:widowControl w:val="0"/>
              <w:rPr>
                <w:sz w:val="16"/>
                <w:szCs w:val="16"/>
                <w:lang w:val="es-ES_tradnl"/>
              </w:rPr>
            </w:pPr>
          </w:p>
        </w:tc>
        <w:tc>
          <w:tcPr>
            <w:tcW w:w="1451" w:type="pct"/>
            <w:shd w:val="clear" w:color="auto" w:fill="auto"/>
            <w:tcMar>
              <w:top w:w="113" w:type="dxa"/>
            </w:tcMar>
          </w:tcPr>
          <w:p w:rsidR="0063482E" w:rsidRPr="00C75C7E" w:rsidRDefault="0063482E" w:rsidP="00EA4CD8">
            <w:pPr>
              <w:widowControl w:val="0"/>
              <w:rPr>
                <w:sz w:val="16"/>
                <w:szCs w:val="16"/>
                <w:lang w:val="es-ES_tradnl"/>
              </w:rPr>
            </w:pPr>
            <w:r w:rsidRPr="00C75C7E">
              <w:rPr>
                <w:sz w:val="16"/>
                <w:szCs w:val="16"/>
                <w:lang w:val="es-ES_tradnl"/>
              </w:rPr>
              <w:t>Avances en la mejora del marco jurídico.</w:t>
            </w:r>
          </w:p>
        </w:tc>
        <w:tc>
          <w:tcPr>
            <w:tcW w:w="1144" w:type="pct"/>
            <w:shd w:val="clear" w:color="auto" w:fill="FFFFFF"/>
            <w:tcMar>
              <w:top w:w="113" w:type="dxa"/>
            </w:tcMar>
          </w:tcPr>
          <w:p w:rsidR="0063482E" w:rsidRPr="00C75C7E" w:rsidRDefault="0063482E" w:rsidP="00EA4CD8">
            <w:pPr>
              <w:widowControl w:val="0"/>
              <w:rPr>
                <w:sz w:val="16"/>
                <w:szCs w:val="16"/>
                <w:lang w:val="es-ES_tradnl" w:bidi="th-TH"/>
              </w:rPr>
            </w:pPr>
            <w:r w:rsidRPr="00C75C7E">
              <w:rPr>
                <w:sz w:val="16"/>
                <w:szCs w:val="16"/>
                <w:lang w:val="es-ES_tradnl" w:bidi="th-TH"/>
              </w:rPr>
              <w:t>Marco jurídico vigente.</w:t>
            </w:r>
          </w:p>
          <w:p w:rsidR="0063482E" w:rsidRPr="00C75C7E" w:rsidRDefault="0063482E" w:rsidP="00EA4CD8">
            <w:pPr>
              <w:widowControl w:val="0"/>
              <w:rPr>
                <w:sz w:val="16"/>
                <w:szCs w:val="16"/>
                <w:lang w:val="es-ES_tradnl" w:bidi="th-TH"/>
              </w:rPr>
            </w:pPr>
          </w:p>
          <w:p w:rsidR="0063482E" w:rsidRPr="00C75C7E" w:rsidRDefault="0063482E" w:rsidP="00EA4CD8">
            <w:pPr>
              <w:widowControl w:val="0"/>
              <w:rPr>
                <w:sz w:val="16"/>
                <w:szCs w:val="16"/>
                <w:lang w:val="es-ES_tradnl"/>
              </w:rPr>
            </w:pPr>
          </w:p>
        </w:tc>
        <w:tc>
          <w:tcPr>
            <w:tcW w:w="1025" w:type="pct"/>
            <w:shd w:val="clear" w:color="auto" w:fill="auto"/>
            <w:tcMar>
              <w:top w:w="113" w:type="dxa"/>
            </w:tcMar>
          </w:tcPr>
          <w:p w:rsidR="0063482E" w:rsidRPr="00C75C7E" w:rsidRDefault="0063482E" w:rsidP="00EA4CD8">
            <w:pPr>
              <w:pStyle w:val="PlainText"/>
              <w:widowControl w:val="0"/>
              <w:rPr>
                <w:rFonts w:ascii="Arial" w:hAnsi="Arial"/>
                <w:sz w:val="16"/>
                <w:szCs w:val="16"/>
                <w:lang w:val="es-ES_tradnl"/>
              </w:rPr>
            </w:pPr>
            <w:r w:rsidRPr="00C75C7E">
              <w:rPr>
                <w:rFonts w:ascii="Arial" w:hAnsi="Arial"/>
                <w:sz w:val="16"/>
                <w:szCs w:val="16"/>
                <w:lang w:val="es-ES_tradnl"/>
              </w:rPr>
              <w:t>Modificaciones del Reglamento y las Instrucciones Administrativas del Arreglo de La Haya y nuevos mecanismos introducidos a raíz de las adhesiones de nuevas Partes Contratantes.</w:t>
            </w:r>
          </w:p>
          <w:p w:rsidR="0063482E" w:rsidRPr="00C75C7E" w:rsidRDefault="0063482E" w:rsidP="00EA4CD8">
            <w:pPr>
              <w:widowControl w:val="0"/>
              <w:ind w:right="51"/>
              <w:rPr>
                <w:bCs/>
                <w:sz w:val="16"/>
                <w:szCs w:val="16"/>
                <w:lang w:val="es-ES_tradnl"/>
              </w:rPr>
            </w:pPr>
          </w:p>
        </w:tc>
      </w:tr>
      <w:tr w:rsidR="0063482E" w:rsidRPr="00C75C7E" w:rsidTr="00EF3DB5">
        <w:trPr>
          <w:trHeight w:val="687"/>
        </w:trPr>
        <w:tc>
          <w:tcPr>
            <w:tcW w:w="1380" w:type="pct"/>
            <w:vMerge/>
            <w:shd w:val="clear" w:color="auto" w:fill="auto"/>
            <w:tcMar>
              <w:top w:w="113" w:type="dxa"/>
            </w:tcMar>
          </w:tcPr>
          <w:p w:rsidR="0063482E" w:rsidRPr="00C75C7E" w:rsidRDefault="0063482E" w:rsidP="00EF3DB5">
            <w:pPr>
              <w:widowControl w:val="0"/>
              <w:rPr>
                <w:sz w:val="16"/>
                <w:szCs w:val="16"/>
                <w:lang w:val="es-ES_tradnl"/>
              </w:rPr>
            </w:pPr>
          </w:p>
        </w:tc>
        <w:tc>
          <w:tcPr>
            <w:tcW w:w="1451" w:type="pct"/>
            <w:shd w:val="clear" w:color="auto" w:fill="auto"/>
            <w:tcMar>
              <w:top w:w="113" w:type="dxa"/>
            </w:tcMar>
          </w:tcPr>
          <w:p w:rsidR="0063482E" w:rsidRPr="00C75C7E" w:rsidRDefault="0063482E" w:rsidP="00EA4CD8">
            <w:pPr>
              <w:widowControl w:val="0"/>
              <w:rPr>
                <w:sz w:val="16"/>
                <w:szCs w:val="16"/>
                <w:lang w:val="es-ES_tradnl"/>
              </w:rPr>
            </w:pPr>
            <w:r w:rsidRPr="00C75C7E">
              <w:rPr>
                <w:sz w:val="16"/>
                <w:szCs w:val="16"/>
                <w:lang w:val="es-ES_tradnl"/>
              </w:rPr>
              <w:t>Flexibilidad de los datos inscritos en el Registro Internacional.</w:t>
            </w:r>
          </w:p>
        </w:tc>
        <w:tc>
          <w:tcPr>
            <w:tcW w:w="1144" w:type="pct"/>
            <w:shd w:val="clear" w:color="auto" w:fill="FFFFFF"/>
            <w:tcMar>
              <w:top w:w="113" w:type="dxa"/>
            </w:tcMar>
          </w:tcPr>
          <w:p w:rsidR="0063482E" w:rsidRPr="00C75C7E" w:rsidRDefault="0063482E" w:rsidP="00EA4CD8">
            <w:pPr>
              <w:widowControl w:val="0"/>
              <w:rPr>
                <w:sz w:val="16"/>
                <w:szCs w:val="16"/>
                <w:lang w:val="es-ES_tradnl" w:bidi="th-TH"/>
              </w:rPr>
            </w:pPr>
            <w:r w:rsidRPr="00C75C7E">
              <w:rPr>
                <w:sz w:val="16"/>
                <w:szCs w:val="16"/>
                <w:lang w:val="es-ES_tradnl" w:bidi="th-TH"/>
              </w:rPr>
              <w:t xml:space="preserve">Incapacidad de registrar información detallada sobre los </w:t>
            </w:r>
            <w:r w:rsidR="003A4B0F">
              <w:rPr>
                <w:sz w:val="16"/>
                <w:szCs w:val="16"/>
                <w:lang w:val="es-ES_tradnl" w:bidi="th-TH"/>
              </w:rPr>
              <w:t>dibujos y modelos</w:t>
            </w:r>
            <w:r w:rsidRPr="00C75C7E">
              <w:rPr>
                <w:sz w:val="16"/>
                <w:szCs w:val="16"/>
                <w:lang w:val="es-ES_tradnl" w:bidi="th-TH"/>
              </w:rPr>
              <w:t>.</w:t>
            </w:r>
          </w:p>
          <w:p w:rsidR="0063482E" w:rsidRPr="00C75C7E" w:rsidRDefault="0063482E" w:rsidP="00EA4CD8">
            <w:pPr>
              <w:widowControl w:val="0"/>
              <w:rPr>
                <w:sz w:val="16"/>
                <w:szCs w:val="16"/>
                <w:lang w:val="es-ES_tradnl"/>
              </w:rPr>
            </w:pPr>
          </w:p>
        </w:tc>
        <w:tc>
          <w:tcPr>
            <w:tcW w:w="1025" w:type="pct"/>
            <w:shd w:val="clear" w:color="auto" w:fill="auto"/>
            <w:tcMar>
              <w:top w:w="113" w:type="dxa"/>
            </w:tcMar>
          </w:tcPr>
          <w:p w:rsidR="0063482E" w:rsidRPr="00C75C7E" w:rsidRDefault="0063482E" w:rsidP="00EA4CD8">
            <w:pPr>
              <w:widowControl w:val="0"/>
              <w:ind w:right="161"/>
              <w:rPr>
                <w:bCs/>
                <w:sz w:val="16"/>
                <w:szCs w:val="16"/>
                <w:lang w:val="es-ES_tradnl"/>
              </w:rPr>
            </w:pPr>
            <w:r w:rsidRPr="00C75C7E">
              <w:rPr>
                <w:bCs/>
                <w:sz w:val="16"/>
                <w:szCs w:val="16"/>
                <w:lang w:val="es-ES_tradnl"/>
              </w:rPr>
              <w:t xml:space="preserve">Capacidad de registrar información detallada sobre los </w:t>
            </w:r>
            <w:r w:rsidR="003A4B0F">
              <w:rPr>
                <w:sz w:val="16"/>
                <w:szCs w:val="16"/>
                <w:lang w:val="es-ES_tradnl" w:bidi="th-TH"/>
              </w:rPr>
              <w:t>dibujos y modelos</w:t>
            </w:r>
            <w:r w:rsidRPr="00C75C7E">
              <w:rPr>
                <w:bCs/>
                <w:sz w:val="16"/>
                <w:szCs w:val="16"/>
                <w:lang w:val="es-ES_tradnl"/>
              </w:rPr>
              <w:t>.</w:t>
            </w:r>
          </w:p>
        </w:tc>
      </w:tr>
      <w:tr w:rsidR="0063482E" w:rsidRPr="00C75C7E" w:rsidTr="00EF3DB5">
        <w:trPr>
          <w:trHeight w:val="414"/>
        </w:trPr>
        <w:tc>
          <w:tcPr>
            <w:tcW w:w="1380" w:type="pct"/>
            <w:vMerge/>
            <w:shd w:val="clear" w:color="auto" w:fill="auto"/>
            <w:tcMar>
              <w:top w:w="113" w:type="dxa"/>
            </w:tcMar>
          </w:tcPr>
          <w:p w:rsidR="0063482E" w:rsidRPr="00C75C7E" w:rsidRDefault="0063482E" w:rsidP="00EF3DB5">
            <w:pPr>
              <w:widowControl w:val="0"/>
              <w:rPr>
                <w:sz w:val="16"/>
                <w:szCs w:val="16"/>
                <w:lang w:val="es-ES_tradnl"/>
              </w:rPr>
            </w:pPr>
          </w:p>
        </w:tc>
        <w:tc>
          <w:tcPr>
            <w:tcW w:w="1451" w:type="pct"/>
            <w:shd w:val="clear" w:color="auto" w:fill="auto"/>
            <w:tcMar>
              <w:top w:w="113" w:type="dxa"/>
            </w:tcMar>
          </w:tcPr>
          <w:p w:rsidR="0063482E" w:rsidRPr="00C75C7E" w:rsidRDefault="0063482E" w:rsidP="00EF3DB5">
            <w:pPr>
              <w:widowControl w:val="0"/>
              <w:rPr>
                <w:sz w:val="16"/>
                <w:szCs w:val="16"/>
                <w:lang w:val="es-ES_tradnl"/>
              </w:rPr>
            </w:pPr>
            <w:r w:rsidRPr="00C75C7E">
              <w:rPr>
                <w:sz w:val="16"/>
                <w:szCs w:val="16"/>
                <w:lang w:val="es-ES_tradnl"/>
              </w:rPr>
              <w:t>Número de procedimientos automatizados.</w:t>
            </w:r>
          </w:p>
        </w:tc>
        <w:tc>
          <w:tcPr>
            <w:tcW w:w="1144" w:type="pct"/>
            <w:shd w:val="clear" w:color="auto" w:fill="FFFFFF"/>
            <w:tcMar>
              <w:top w:w="113" w:type="dxa"/>
            </w:tcMar>
          </w:tcPr>
          <w:p w:rsidR="0063482E" w:rsidRPr="00C75C7E" w:rsidRDefault="0063482E" w:rsidP="00EF3DB5">
            <w:pPr>
              <w:widowControl w:val="0"/>
              <w:rPr>
                <w:sz w:val="16"/>
                <w:szCs w:val="16"/>
                <w:lang w:val="es-ES_tradnl" w:bidi="th-TH"/>
              </w:rPr>
            </w:pPr>
            <w:r w:rsidRPr="00C75C7E">
              <w:rPr>
                <w:sz w:val="16"/>
                <w:szCs w:val="16"/>
                <w:lang w:val="es-ES_tradnl" w:bidi="th-TH"/>
              </w:rPr>
              <w:t>2</w:t>
            </w:r>
          </w:p>
          <w:p w:rsidR="0063482E" w:rsidRPr="00C75C7E" w:rsidRDefault="0063482E" w:rsidP="00EF3DB5">
            <w:pPr>
              <w:widowControl w:val="0"/>
              <w:rPr>
                <w:sz w:val="16"/>
                <w:szCs w:val="16"/>
                <w:lang w:val="es-ES_tradnl" w:bidi="th-TH"/>
              </w:rPr>
            </w:pPr>
          </w:p>
        </w:tc>
        <w:tc>
          <w:tcPr>
            <w:tcW w:w="1025" w:type="pct"/>
            <w:shd w:val="clear" w:color="auto" w:fill="auto"/>
            <w:tcMar>
              <w:top w:w="113" w:type="dxa"/>
            </w:tcMar>
          </w:tcPr>
          <w:p w:rsidR="0063482E" w:rsidRPr="00C75C7E" w:rsidRDefault="0063482E" w:rsidP="00EF3DB5">
            <w:pPr>
              <w:widowControl w:val="0"/>
              <w:ind w:right="161"/>
              <w:rPr>
                <w:bCs/>
                <w:sz w:val="16"/>
                <w:szCs w:val="16"/>
                <w:lang w:val="es-ES_tradnl"/>
              </w:rPr>
            </w:pPr>
            <w:r w:rsidRPr="00C75C7E">
              <w:rPr>
                <w:bCs/>
                <w:sz w:val="16"/>
                <w:szCs w:val="16"/>
                <w:lang w:val="es-ES_tradnl"/>
              </w:rPr>
              <w:t xml:space="preserve">4 </w:t>
            </w:r>
          </w:p>
        </w:tc>
      </w:tr>
    </w:tbl>
    <w:p w:rsidR="0063482E" w:rsidRPr="00C75C7E" w:rsidRDefault="0063482E" w:rsidP="0063482E">
      <w:pPr>
        <w:widowControl w:val="0"/>
        <w:rPr>
          <w:sz w:val="20"/>
          <w:lang w:val="es-ES_tradnl"/>
        </w:rPr>
      </w:pPr>
    </w:p>
    <w:p w:rsidR="005E581D" w:rsidRPr="006B0DE9" w:rsidRDefault="005E581D" w:rsidP="005E581D">
      <w:pPr>
        <w:widowControl w:val="0"/>
        <w:rPr>
          <w:sz w:val="20"/>
        </w:rPr>
      </w:pPr>
    </w:p>
    <w:p w:rsidR="005E581D" w:rsidRPr="006B0DE9" w:rsidRDefault="005E581D" w:rsidP="005E581D">
      <w:pPr>
        <w:widowControl w:val="0"/>
        <w:autoSpaceDE w:val="0"/>
        <w:autoSpaceDN w:val="0"/>
        <w:adjustRightInd w:val="0"/>
        <w:jc w:val="both"/>
        <w:rPr>
          <w:szCs w:val="22"/>
        </w:rPr>
      </w:pPr>
      <w:r w:rsidRPr="006B0DE9">
        <w:rPr>
          <w:szCs w:val="22"/>
        </w:rPr>
        <w:t>RECURSOS PARA EL PROGRAMA 31</w:t>
      </w:r>
    </w:p>
    <w:p w:rsidR="005E581D" w:rsidRPr="006B0DE9" w:rsidRDefault="005E581D" w:rsidP="005E581D">
      <w:pPr>
        <w:widowControl w:val="0"/>
        <w:jc w:val="both"/>
        <w:rPr>
          <w:sz w:val="20"/>
        </w:rPr>
      </w:pPr>
    </w:p>
    <w:p w:rsidR="005E581D" w:rsidRPr="006B0DE9" w:rsidRDefault="005E581D" w:rsidP="00BA276E">
      <w:pPr>
        <w:widowControl w:val="0"/>
        <w:numPr>
          <w:ilvl w:val="0"/>
          <w:numId w:val="27"/>
        </w:numPr>
        <w:jc w:val="both"/>
        <w:rPr>
          <w:sz w:val="20"/>
        </w:rPr>
      </w:pPr>
      <w:r w:rsidRPr="006B0DE9">
        <w:rPr>
          <w:sz w:val="20"/>
        </w:rPr>
        <w:t>El aumento de los recursos destinados al resultado II.4 (Ampliación y mejora del uso del sistema de La Haya) se debe fundamentalmente al aumento reglamentario de los gastos de personal.</w:t>
      </w:r>
    </w:p>
    <w:p w:rsidR="005E581D" w:rsidRPr="006B0DE9" w:rsidRDefault="005E581D" w:rsidP="005E581D">
      <w:pPr>
        <w:widowControl w:val="0"/>
        <w:rPr>
          <w:sz w:val="20"/>
        </w:rPr>
      </w:pPr>
    </w:p>
    <w:p w:rsidR="005E581D" w:rsidRPr="006B0DE9" w:rsidRDefault="005E581D" w:rsidP="00BA276E">
      <w:pPr>
        <w:widowControl w:val="0"/>
        <w:numPr>
          <w:ilvl w:val="0"/>
          <w:numId w:val="27"/>
        </w:numPr>
        <w:jc w:val="both"/>
        <w:rPr>
          <w:sz w:val="20"/>
        </w:rPr>
      </w:pPr>
      <w:r w:rsidRPr="006B0DE9">
        <w:rPr>
          <w:sz w:val="20"/>
        </w:rPr>
        <w:t>La pequeña disminución de los recursos destinados al resultado II.5 (Mejora de la productividad y de la calidad de los servicios – La Haya) se debe a una reducción en las líneas “Misiones del personal” y “Viajes de terceros”</w:t>
      </w:r>
      <w:r w:rsidRPr="006B0DE9">
        <w:rPr>
          <w:bCs/>
          <w:sz w:val="20"/>
        </w:rPr>
        <w:t xml:space="preserve"> relacionada con la aplicación de medidas destinadas a fomentar la eficacia en función de los costos, así como a ciertas reducciones previstas en lo que atañe a las Comunicaciones motivadas por un ahorro en los</w:t>
      </w:r>
      <w:r w:rsidRPr="006B0DE9">
        <w:rPr>
          <w:sz w:val="20"/>
        </w:rPr>
        <w:t xml:space="preserve"> gastos de correos.</w:t>
      </w:r>
    </w:p>
    <w:p w:rsidR="005E581D" w:rsidRPr="006B0DE9" w:rsidRDefault="005E581D" w:rsidP="005E581D">
      <w:pPr>
        <w:widowControl w:val="0"/>
      </w:pPr>
    </w:p>
    <w:p w:rsidR="005E581D" w:rsidRPr="006B0DE9" w:rsidRDefault="005E581D" w:rsidP="00BA276E">
      <w:pPr>
        <w:widowControl w:val="0"/>
        <w:numPr>
          <w:ilvl w:val="0"/>
          <w:numId w:val="27"/>
        </w:numPr>
        <w:jc w:val="both"/>
        <w:rPr>
          <w:sz w:val="20"/>
        </w:rPr>
      </w:pPr>
      <w:r w:rsidRPr="006B0DE9">
        <w:rPr>
          <w:sz w:val="20"/>
        </w:rPr>
        <w:t>El programa 31 va a participar en el nuevo programa de becas con las oficinas nacionales de P.I.  Se ha propuesto destinar una cantidad de 83.000 francos suizos a este fin durante el bienio 2014/15.</w:t>
      </w:r>
    </w:p>
    <w:p w:rsidR="005E581D" w:rsidRPr="006B0DE9" w:rsidRDefault="005E581D" w:rsidP="005E581D">
      <w:pPr>
        <w:widowControl w:val="0"/>
        <w:autoSpaceDE w:val="0"/>
        <w:autoSpaceDN w:val="0"/>
        <w:adjustRightInd w:val="0"/>
        <w:rPr>
          <w:sz w:val="20"/>
        </w:rPr>
      </w:pPr>
    </w:p>
    <w:p w:rsidR="005E581D" w:rsidRPr="005E581D" w:rsidRDefault="005E581D" w:rsidP="0063482E">
      <w:pPr>
        <w:widowControl w:val="0"/>
        <w:autoSpaceDE w:val="0"/>
        <w:autoSpaceDN w:val="0"/>
        <w:adjustRightInd w:val="0"/>
        <w:rPr>
          <w:sz w:val="20"/>
        </w:rPr>
      </w:pPr>
    </w:p>
    <w:p w:rsidR="0063482E" w:rsidRPr="00C75C7E" w:rsidRDefault="00FE42C5" w:rsidP="008F058B">
      <w:pPr>
        <w:widowControl w:val="0"/>
        <w:autoSpaceDE w:val="0"/>
        <w:autoSpaceDN w:val="0"/>
        <w:adjustRightInd w:val="0"/>
        <w:jc w:val="center"/>
        <w:rPr>
          <w:b/>
          <w:bCs/>
          <w:iCs/>
          <w:sz w:val="20"/>
          <w:lang w:val="es-ES_tradnl"/>
        </w:rPr>
      </w:pPr>
      <w:r>
        <w:rPr>
          <w:b/>
          <w:bCs/>
          <w:iCs/>
          <w:sz w:val="20"/>
          <w:lang w:val="es-ES_tradnl"/>
        </w:rPr>
        <w:t xml:space="preserve">Programa 31:  </w:t>
      </w:r>
      <w:r w:rsidR="0063482E" w:rsidRPr="00C75C7E">
        <w:rPr>
          <w:b/>
          <w:bCs/>
          <w:iCs/>
          <w:sz w:val="20"/>
          <w:lang w:val="es-ES_tradnl"/>
        </w:rPr>
        <w:t>Recursos por resultado</w:t>
      </w:r>
    </w:p>
    <w:p w:rsidR="0063482E" w:rsidRPr="00C75C7E" w:rsidRDefault="0063482E" w:rsidP="008F058B">
      <w:pPr>
        <w:widowControl w:val="0"/>
        <w:autoSpaceDE w:val="0"/>
        <w:autoSpaceDN w:val="0"/>
        <w:adjustRightInd w:val="0"/>
        <w:jc w:val="center"/>
        <w:rPr>
          <w:bCs/>
          <w:i/>
          <w:sz w:val="20"/>
          <w:lang w:val="es-ES_tradnl"/>
        </w:rPr>
      </w:pPr>
      <w:r w:rsidRPr="00C75C7E">
        <w:rPr>
          <w:bCs/>
          <w:i/>
          <w:sz w:val="20"/>
          <w:lang w:val="es-ES_tradnl"/>
        </w:rPr>
        <w:t>(en miles de francos suizos)</w:t>
      </w:r>
    </w:p>
    <w:p w:rsidR="0063482E" w:rsidRPr="00C75C7E" w:rsidRDefault="0063482E" w:rsidP="008F058B">
      <w:pPr>
        <w:widowControl w:val="0"/>
        <w:autoSpaceDE w:val="0"/>
        <w:autoSpaceDN w:val="0"/>
        <w:adjustRightInd w:val="0"/>
        <w:jc w:val="center"/>
        <w:rPr>
          <w:i/>
          <w:sz w:val="18"/>
          <w:szCs w:val="18"/>
          <w:lang w:val="es-ES_tradnl"/>
        </w:rPr>
      </w:pPr>
    </w:p>
    <w:p w:rsidR="0063482E" w:rsidRPr="00C75C7E" w:rsidRDefault="00C40A11" w:rsidP="008F058B">
      <w:pPr>
        <w:widowControl w:val="0"/>
        <w:autoSpaceDE w:val="0"/>
        <w:autoSpaceDN w:val="0"/>
        <w:adjustRightInd w:val="0"/>
        <w:jc w:val="center"/>
        <w:rPr>
          <w:sz w:val="18"/>
          <w:szCs w:val="18"/>
          <w:lang w:val="es-ES_tradnl"/>
        </w:rPr>
      </w:pPr>
      <w:r>
        <w:rPr>
          <w:noProof/>
          <w:lang w:val="en-US" w:eastAsia="en-US"/>
        </w:rPr>
        <w:drawing>
          <wp:inline distT="0" distB="0" distL="0" distR="0" wp14:anchorId="0F9B7B89" wp14:editId="5ADEE6B9">
            <wp:extent cx="5793740" cy="1480820"/>
            <wp:effectExtent l="0" t="0" r="0" b="5080"/>
            <wp:docPr id="33"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793740" cy="1480820"/>
                    </a:xfrm>
                    <a:prstGeom prst="rect">
                      <a:avLst/>
                    </a:prstGeom>
                    <a:noFill/>
                    <a:ln>
                      <a:noFill/>
                    </a:ln>
                  </pic:spPr>
                </pic:pic>
              </a:graphicData>
            </a:graphic>
          </wp:inline>
        </w:drawing>
      </w:r>
    </w:p>
    <w:p w:rsidR="0063482E" w:rsidRPr="00C75C7E" w:rsidRDefault="0063482E" w:rsidP="00E81EB4">
      <w:pPr>
        <w:widowControl w:val="0"/>
        <w:autoSpaceDE w:val="0"/>
        <w:autoSpaceDN w:val="0"/>
        <w:adjustRightInd w:val="0"/>
        <w:rPr>
          <w:sz w:val="20"/>
          <w:lang w:val="es-ES_tradnl"/>
        </w:rPr>
      </w:pPr>
    </w:p>
    <w:p w:rsidR="0063482E" w:rsidRPr="00C75C7E" w:rsidRDefault="0063482E" w:rsidP="0063482E">
      <w:pPr>
        <w:widowControl w:val="0"/>
        <w:autoSpaceDE w:val="0"/>
        <w:autoSpaceDN w:val="0"/>
        <w:adjustRightInd w:val="0"/>
        <w:rPr>
          <w:sz w:val="20"/>
          <w:lang w:val="es-ES_tradnl"/>
        </w:rPr>
      </w:pPr>
      <w:r w:rsidRPr="00C75C7E">
        <w:rPr>
          <w:sz w:val="16"/>
          <w:szCs w:val="16"/>
          <w:lang w:val="es-ES_tradnl"/>
        </w:rPr>
        <w:t>Nota: Se ha reexpresado el presupuesto aprobado de 2012/13 y el presupuesto de dicho bienio después de las transferencias, por resultado previsto, para reflejar el marco de resultados de la Organización propuesto para 2014/15.</w:t>
      </w:r>
    </w:p>
    <w:p w:rsidR="0063482E" w:rsidRPr="00C75C7E" w:rsidRDefault="0063482E" w:rsidP="0063482E">
      <w:pPr>
        <w:widowControl w:val="0"/>
        <w:autoSpaceDE w:val="0"/>
        <w:autoSpaceDN w:val="0"/>
        <w:adjustRightInd w:val="0"/>
        <w:jc w:val="center"/>
        <w:rPr>
          <w:sz w:val="20"/>
          <w:lang w:val="es-ES_tradnl"/>
        </w:rPr>
      </w:pPr>
    </w:p>
    <w:p w:rsidR="0063482E" w:rsidRPr="00C75C7E" w:rsidRDefault="0063482E" w:rsidP="0079447F">
      <w:pPr>
        <w:keepNext/>
        <w:widowControl w:val="0"/>
        <w:autoSpaceDE w:val="0"/>
        <w:autoSpaceDN w:val="0"/>
        <w:adjustRightInd w:val="0"/>
        <w:jc w:val="center"/>
        <w:rPr>
          <w:sz w:val="20"/>
          <w:lang w:val="es-ES_tradnl"/>
        </w:rPr>
      </w:pPr>
    </w:p>
    <w:p w:rsidR="0063482E" w:rsidRPr="00C75C7E" w:rsidRDefault="00FE42C5" w:rsidP="0079447F">
      <w:pPr>
        <w:keepNext/>
        <w:widowControl w:val="0"/>
        <w:autoSpaceDE w:val="0"/>
        <w:autoSpaceDN w:val="0"/>
        <w:adjustRightInd w:val="0"/>
        <w:jc w:val="center"/>
        <w:rPr>
          <w:b/>
          <w:bCs/>
          <w:iCs/>
          <w:sz w:val="20"/>
          <w:lang w:val="es-ES_tradnl"/>
        </w:rPr>
      </w:pPr>
      <w:r>
        <w:rPr>
          <w:b/>
          <w:bCs/>
          <w:iCs/>
          <w:sz w:val="20"/>
          <w:lang w:val="es-ES_tradnl"/>
        </w:rPr>
        <w:t xml:space="preserve">Programa 31:  </w:t>
      </w:r>
      <w:r w:rsidR="0063482E" w:rsidRPr="00C75C7E">
        <w:rPr>
          <w:b/>
          <w:bCs/>
          <w:iCs/>
          <w:sz w:val="20"/>
          <w:lang w:val="es-ES_tradnl"/>
        </w:rPr>
        <w:t>Recursos por objeto de gasto</w:t>
      </w:r>
    </w:p>
    <w:p w:rsidR="0063482E" w:rsidRPr="00C75C7E" w:rsidRDefault="0063482E" w:rsidP="0079447F">
      <w:pPr>
        <w:keepNext/>
        <w:widowControl w:val="0"/>
        <w:autoSpaceDE w:val="0"/>
        <w:autoSpaceDN w:val="0"/>
        <w:adjustRightInd w:val="0"/>
        <w:jc w:val="center"/>
        <w:rPr>
          <w:bCs/>
          <w:i/>
          <w:sz w:val="20"/>
          <w:lang w:val="es-ES_tradnl"/>
        </w:rPr>
      </w:pPr>
      <w:r w:rsidRPr="00C75C7E">
        <w:rPr>
          <w:bCs/>
          <w:i/>
          <w:sz w:val="20"/>
          <w:lang w:val="es-ES_tradnl"/>
        </w:rPr>
        <w:t>(en miles de francos suizos)</w:t>
      </w:r>
    </w:p>
    <w:p w:rsidR="0063482E" w:rsidRPr="00C75C7E" w:rsidRDefault="0063482E" w:rsidP="0079447F">
      <w:pPr>
        <w:keepNext/>
        <w:widowControl w:val="0"/>
        <w:jc w:val="both"/>
        <w:rPr>
          <w:sz w:val="20"/>
          <w:lang w:val="es-ES_tradnl"/>
        </w:rPr>
      </w:pPr>
    </w:p>
    <w:p w:rsidR="0063482E" w:rsidRPr="00C75C7E" w:rsidRDefault="00C40A11" w:rsidP="0079447F">
      <w:pPr>
        <w:keepNext/>
        <w:widowControl w:val="0"/>
        <w:jc w:val="center"/>
        <w:rPr>
          <w:sz w:val="20"/>
          <w:lang w:val="es-ES_tradnl"/>
        </w:rPr>
      </w:pPr>
      <w:r>
        <w:rPr>
          <w:noProof/>
          <w:lang w:val="en-US" w:eastAsia="en-US"/>
        </w:rPr>
        <w:drawing>
          <wp:inline distT="0" distB="0" distL="0" distR="0" wp14:anchorId="34462AA3" wp14:editId="02DE8A7B">
            <wp:extent cx="5936615" cy="5854700"/>
            <wp:effectExtent l="0" t="0" r="698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936615" cy="5854700"/>
                    </a:xfrm>
                    <a:prstGeom prst="rect">
                      <a:avLst/>
                    </a:prstGeom>
                    <a:noFill/>
                    <a:ln>
                      <a:noFill/>
                    </a:ln>
                  </pic:spPr>
                </pic:pic>
              </a:graphicData>
            </a:graphic>
          </wp:inline>
        </w:drawing>
      </w:r>
    </w:p>
    <w:p w:rsidR="0063482E" w:rsidRPr="00C75C7E" w:rsidRDefault="0063482E" w:rsidP="0063482E">
      <w:pPr>
        <w:widowControl w:val="0"/>
        <w:jc w:val="both"/>
        <w:rPr>
          <w:sz w:val="20"/>
          <w:lang w:val="es-ES_tradnl"/>
        </w:rPr>
      </w:pPr>
    </w:p>
    <w:p w:rsidR="0063482E" w:rsidRPr="00C75C7E" w:rsidRDefault="0063482E" w:rsidP="0063482E">
      <w:pPr>
        <w:widowControl w:val="0"/>
        <w:rPr>
          <w:sz w:val="16"/>
          <w:szCs w:val="16"/>
          <w:lang w:val="es-ES_tradnl"/>
        </w:rPr>
      </w:pPr>
      <w:r w:rsidRPr="00C75C7E">
        <w:rPr>
          <w:sz w:val="16"/>
          <w:szCs w:val="16"/>
          <w:lang w:val="es-ES_tradnl"/>
        </w:rPr>
        <w:t>Notas:</w:t>
      </w:r>
    </w:p>
    <w:p w:rsidR="0063482E" w:rsidRPr="00C75C7E" w:rsidRDefault="0063482E" w:rsidP="0063482E">
      <w:pPr>
        <w:widowControl w:val="0"/>
        <w:rPr>
          <w:sz w:val="16"/>
          <w:szCs w:val="16"/>
          <w:u w:val="single"/>
          <w:lang w:val="es-ES_tradnl"/>
        </w:rPr>
      </w:pPr>
    </w:p>
    <w:p w:rsidR="0063482E" w:rsidRDefault="00450C3A" w:rsidP="0063482E">
      <w:pPr>
        <w:widowControl w:val="0"/>
        <w:tabs>
          <w:tab w:val="left" w:pos="567"/>
        </w:tabs>
        <w:rPr>
          <w:sz w:val="16"/>
          <w:szCs w:val="16"/>
          <w:lang w:val="es-ES_tradnl"/>
        </w:rPr>
      </w:pPr>
      <w:r>
        <w:rPr>
          <w:sz w:val="16"/>
          <w:szCs w:val="16"/>
          <w:lang w:val="es-ES_tradnl"/>
        </w:rPr>
        <w:t xml:space="preserve">1)  </w:t>
      </w:r>
      <w:r w:rsidR="0063482E" w:rsidRPr="00C75C7E">
        <w:rPr>
          <w:sz w:val="16"/>
          <w:szCs w:val="16"/>
          <w:lang w:val="es-ES_tradnl"/>
        </w:rPr>
        <w:t>El presupuesto aprobado de 2012/13 y el presupuesto de dicho bienio después de las transferencias se reexpresan sobre la base de la estructura de categorías de costos propuesta para 2014/15.</w:t>
      </w:r>
    </w:p>
    <w:p w:rsidR="0063482E" w:rsidRPr="00C75C7E" w:rsidRDefault="0063482E" w:rsidP="0063482E">
      <w:pPr>
        <w:widowControl w:val="0"/>
        <w:tabs>
          <w:tab w:val="left" w:pos="567"/>
        </w:tabs>
        <w:rPr>
          <w:sz w:val="16"/>
          <w:szCs w:val="16"/>
          <w:lang w:val="es-ES_tradnl"/>
        </w:rPr>
      </w:pPr>
    </w:p>
    <w:p w:rsidR="0063482E" w:rsidRDefault="00450C3A" w:rsidP="0063482E">
      <w:pPr>
        <w:widowControl w:val="0"/>
        <w:tabs>
          <w:tab w:val="left" w:pos="567"/>
        </w:tabs>
        <w:rPr>
          <w:rFonts w:cs="ArialMT"/>
          <w:sz w:val="16"/>
          <w:szCs w:val="16"/>
          <w:lang w:val="es-ES_tradnl"/>
        </w:rPr>
      </w:pPr>
      <w:r>
        <w:rPr>
          <w:sz w:val="16"/>
          <w:szCs w:val="16"/>
          <w:lang w:val="es-ES_tradnl"/>
        </w:rPr>
        <w:t xml:space="preserve">2)  </w:t>
      </w:r>
      <w:r w:rsidR="0063482E" w:rsidRPr="00C75C7E">
        <w:rPr>
          <w:sz w:val="16"/>
          <w:szCs w:val="16"/>
          <w:lang w:val="es-ES_tradnl"/>
        </w:rPr>
        <w:t>El presupuesto después de las transferencias refleja el presupuesto de los programas ajustado tras las transferencias efectuadas en 2012/13 en virtud del artículo 5.5 del Reglamento Financiero. Para más info</w:t>
      </w:r>
      <w:r w:rsidR="0063482E">
        <w:rPr>
          <w:sz w:val="16"/>
          <w:szCs w:val="16"/>
          <w:lang w:val="es-ES_tradnl"/>
        </w:rPr>
        <w:t>rmación sobre el presupuesto de </w:t>
      </w:r>
      <w:r w:rsidR="0063482E" w:rsidRPr="00C75C7E">
        <w:rPr>
          <w:sz w:val="16"/>
          <w:szCs w:val="16"/>
          <w:lang w:val="es-ES_tradnl"/>
        </w:rPr>
        <w:t xml:space="preserve">2012/13 después de las transferencias, cabe remitirse al cuadro que figura en el Anexo I (Presupuesto después de las transferencias, por programa) del presente documento y al documento WO/PBC/20/2 (Informe sobre el rendimiento de los programas en 2012).  </w:t>
      </w:r>
      <w:r w:rsidR="0063482E" w:rsidRPr="00C75C7E">
        <w:rPr>
          <w:rFonts w:cs="ArialMT"/>
          <w:sz w:val="16"/>
          <w:szCs w:val="16"/>
          <w:lang w:val="es-ES_tradnl"/>
        </w:rPr>
        <w:t xml:space="preserve">Los costos de personal del presupuesto de 2012/13 después de las transferencias representan los gastos reales efectuados hasta el 31 de </w:t>
      </w:r>
      <w:r w:rsidR="0063482E" w:rsidRPr="002E4257">
        <w:rPr>
          <w:sz w:val="16"/>
          <w:szCs w:val="16"/>
          <w:lang w:val="es-ES_tradnl"/>
        </w:rPr>
        <w:t>marzo</w:t>
      </w:r>
      <w:r w:rsidR="0063482E" w:rsidRPr="00C75C7E">
        <w:rPr>
          <w:rFonts w:cs="ArialMT"/>
          <w:sz w:val="16"/>
          <w:szCs w:val="16"/>
          <w:lang w:val="es-ES_tradnl"/>
        </w:rPr>
        <w:t xml:space="preserve"> de 2013 y los importes presupuestados para los nueve meses restantes de 2013, sobre la base de costos estándar. </w:t>
      </w:r>
    </w:p>
    <w:p w:rsidR="0063482E" w:rsidRPr="00C75C7E" w:rsidRDefault="0063482E" w:rsidP="0063482E">
      <w:pPr>
        <w:widowControl w:val="0"/>
        <w:tabs>
          <w:tab w:val="left" w:pos="567"/>
        </w:tabs>
        <w:rPr>
          <w:sz w:val="16"/>
          <w:szCs w:val="16"/>
          <w:lang w:val="es-ES_tradnl"/>
        </w:rPr>
      </w:pPr>
    </w:p>
    <w:p w:rsidR="0063482E" w:rsidRPr="00C75C7E" w:rsidRDefault="00450C3A" w:rsidP="0063482E">
      <w:pPr>
        <w:widowControl w:val="0"/>
        <w:spacing w:after="120"/>
        <w:rPr>
          <w:sz w:val="16"/>
          <w:szCs w:val="16"/>
          <w:lang w:val="es-ES_tradnl"/>
        </w:rPr>
      </w:pPr>
      <w:r>
        <w:rPr>
          <w:sz w:val="16"/>
          <w:szCs w:val="16"/>
          <w:lang w:val="es-ES_tradnl"/>
        </w:rPr>
        <w:t xml:space="preserve">3)  </w:t>
      </w:r>
      <w:r w:rsidR="0063482E" w:rsidRPr="00C75C7E">
        <w:rPr>
          <w:sz w:val="16"/>
          <w:szCs w:val="16"/>
          <w:lang w:val="es-ES_tradnl"/>
        </w:rPr>
        <w:t>Para más información sobre los puestos del programa cabe remitirse al cuadro que figura en el Anexo II.</w:t>
      </w:r>
    </w:p>
    <w:p w:rsidR="005E581D" w:rsidRPr="00450C3A" w:rsidRDefault="0063482E" w:rsidP="00450C3A">
      <w:pPr>
        <w:pStyle w:val="Heading3"/>
        <w:tabs>
          <w:tab w:val="left" w:pos="1985"/>
        </w:tabs>
        <w:rPr>
          <w:b/>
          <w:iCs/>
          <w:caps/>
          <w:u w:val="none"/>
        </w:rPr>
      </w:pPr>
      <w:r w:rsidRPr="00C75C7E">
        <w:rPr>
          <w:lang w:val="es-ES_tradnl"/>
        </w:rPr>
        <w:br w:type="page"/>
      </w:r>
      <w:bookmarkStart w:id="34" w:name="_Toc356567755"/>
      <w:bookmarkStart w:id="35" w:name="_Toc358816693"/>
      <w:r w:rsidR="006A15F5" w:rsidRPr="00450C3A">
        <w:rPr>
          <w:b/>
          <w:iCs/>
          <w:u w:val="none"/>
        </w:rPr>
        <w:lastRenderedPageBreak/>
        <w:t>PROGRAMA 7</w:t>
      </w:r>
      <w:r w:rsidR="006A15F5" w:rsidRPr="00450C3A">
        <w:rPr>
          <w:b/>
          <w:iCs/>
          <w:u w:val="none"/>
        </w:rPr>
        <w:tab/>
      </w:r>
      <w:bookmarkEnd w:id="34"/>
      <w:r w:rsidR="006A15F5" w:rsidRPr="00450C3A">
        <w:rPr>
          <w:b/>
          <w:iCs/>
          <w:u w:val="none"/>
        </w:rPr>
        <w:t>CENTRO DE ARBITRAJE Y MEDIACIÓN DE LA OMPI</w:t>
      </w:r>
      <w:bookmarkEnd w:id="35"/>
    </w:p>
    <w:p w:rsidR="005E581D" w:rsidRPr="006B0DE9" w:rsidRDefault="005E581D" w:rsidP="006A15F5"/>
    <w:p w:rsidR="005E581D" w:rsidRPr="006B0DE9" w:rsidRDefault="005E581D" w:rsidP="006A15F5">
      <w:pPr>
        <w:rPr>
          <w:b/>
        </w:rPr>
      </w:pPr>
    </w:p>
    <w:p w:rsidR="005E581D" w:rsidRPr="006B0DE9" w:rsidRDefault="005E581D" w:rsidP="005E581D">
      <w:pPr>
        <w:pStyle w:val="BodyTextIndent"/>
        <w:widowControl w:val="0"/>
        <w:ind w:left="1985" w:hanging="1985"/>
        <w:jc w:val="both"/>
        <w:rPr>
          <w:rFonts w:ascii="Arial" w:hAnsi="Arial" w:cs="Arial"/>
          <w:sz w:val="22"/>
          <w:szCs w:val="22"/>
          <w:lang w:val="es-ES"/>
        </w:rPr>
      </w:pPr>
      <w:r w:rsidRPr="006B0DE9">
        <w:rPr>
          <w:rFonts w:ascii="Arial" w:hAnsi="Arial" w:cs="Arial"/>
          <w:sz w:val="22"/>
          <w:szCs w:val="22"/>
          <w:lang w:val="es-ES"/>
        </w:rPr>
        <w:t>CONTEXTO DE PLANIFICACIÓN</w:t>
      </w:r>
    </w:p>
    <w:p w:rsidR="005E581D" w:rsidRPr="006B0DE9" w:rsidRDefault="005E581D" w:rsidP="005E581D">
      <w:pPr>
        <w:widowControl w:val="0"/>
        <w:rPr>
          <w:sz w:val="20"/>
        </w:rPr>
      </w:pPr>
    </w:p>
    <w:p w:rsidR="005E581D" w:rsidRPr="006B0DE9" w:rsidRDefault="005E581D" w:rsidP="00BA276E">
      <w:pPr>
        <w:widowControl w:val="0"/>
        <w:numPr>
          <w:ilvl w:val="0"/>
          <w:numId w:val="28"/>
        </w:numPr>
        <w:jc w:val="both"/>
        <w:rPr>
          <w:rFonts w:eastAsia="Batang"/>
          <w:sz w:val="20"/>
          <w:lang w:eastAsia="ko-KR" w:bidi="ta-IN"/>
        </w:rPr>
      </w:pPr>
      <w:r w:rsidRPr="006B0DE9">
        <w:rPr>
          <w:rFonts w:eastAsia="Batang"/>
          <w:sz w:val="20"/>
          <w:lang w:eastAsia="ko-KR" w:bidi="ta-IN"/>
        </w:rPr>
        <w:t>En el marco de una economía impulsada por la P.I., las partes interesadas han de integrar en su funcionamiento la gestión de los conflictos (por ejemplo, mediante el desarrollo de nuevas tecnologías), así como aplicar prácticas contractuales y políticas de observancia más amplias.  El conocimiento de los riesgos y las oportunidades que conlleva la solución de controversias ayuda a reducir al mínimo las perturbaciones que dichas controversias pueden ocasionar en la explotación de los derechos de P.I.</w:t>
      </w:r>
    </w:p>
    <w:p w:rsidR="005E581D" w:rsidRPr="006B0DE9" w:rsidRDefault="005E581D" w:rsidP="005E581D">
      <w:pPr>
        <w:widowControl w:val="0"/>
        <w:jc w:val="both"/>
        <w:rPr>
          <w:rFonts w:eastAsia="Batang"/>
          <w:sz w:val="20"/>
          <w:lang w:eastAsia="ko-KR" w:bidi="ta-IN"/>
        </w:rPr>
      </w:pPr>
    </w:p>
    <w:p w:rsidR="005E581D" w:rsidRPr="006B0DE9" w:rsidRDefault="005E581D" w:rsidP="00BA276E">
      <w:pPr>
        <w:widowControl w:val="0"/>
        <w:numPr>
          <w:ilvl w:val="0"/>
          <w:numId w:val="28"/>
        </w:numPr>
        <w:jc w:val="both"/>
        <w:rPr>
          <w:rFonts w:eastAsia="Batang"/>
          <w:sz w:val="20"/>
          <w:lang w:eastAsia="ko-KR" w:bidi="ta-IN"/>
        </w:rPr>
      </w:pPr>
      <w:r w:rsidRPr="006B0DE9">
        <w:rPr>
          <w:rFonts w:eastAsia="Batang"/>
          <w:sz w:val="20"/>
          <w:lang w:eastAsia="ko-KR" w:bidi="ta-IN"/>
        </w:rPr>
        <w:t>Los tribunales y las oficinas de P.I. tienden a ofrecer soluciones formales de carácter territorial que surgen de procedimientos basados en derechos de aplicación generalizada;  sin embargo, puesto que la evolución de las condiciones para la creación y utilización de la P.I. pone de manifiesto la necesidad de agilizar el marco de obtención de títulos de P.I., motivos similares impulsan a los titulares de derechos y los usuarios a valorar la opción de utilizar métodos de solución de controversias</w:t>
      </w:r>
      <w:r w:rsidR="00281871">
        <w:rPr>
          <w:rFonts w:eastAsia="Batang"/>
          <w:sz w:val="20"/>
          <w:lang w:eastAsia="ko-KR" w:bidi="ta-IN"/>
        </w:rPr>
        <w:t xml:space="preserve"> aplicables a nivel internacional</w:t>
      </w:r>
      <w:r w:rsidRPr="006B0DE9">
        <w:rPr>
          <w:rFonts w:eastAsia="Batang"/>
          <w:sz w:val="20"/>
          <w:lang w:eastAsia="ko-KR" w:bidi="ta-IN"/>
        </w:rPr>
        <w:t>.  El Centro de Arbitraje y Mediación de la OMPI presta asistencia en esa tarea, por un lado, como centro de recursos de carácter mundial, mediante la sensibilización, y en su calidad de proveedor de servicios, ofreciendo instrumentos de administración de controversias a partir de las cláusulas y los reglamentos elaborados por la OMPI.  Entre los beneficiarios potenciales de estas actividades se encuentran las empresas privadas y las administraciones públicas.</w:t>
      </w:r>
    </w:p>
    <w:p w:rsidR="005E581D" w:rsidRPr="006B0DE9" w:rsidRDefault="005E581D" w:rsidP="005E581D">
      <w:pPr>
        <w:widowControl w:val="0"/>
        <w:jc w:val="both"/>
        <w:rPr>
          <w:rFonts w:eastAsia="Batang"/>
          <w:sz w:val="20"/>
          <w:lang w:eastAsia="ko-KR" w:bidi="ta-IN"/>
        </w:rPr>
      </w:pPr>
    </w:p>
    <w:p w:rsidR="005E581D" w:rsidRPr="006B0DE9" w:rsidRDefault="005E581D" w:rsidP="00BA276E">
      <w:pPr>
        <w:widowControl w:val="0"/>
        <w:numPr>
          <w:ilvl w:val="0"/>
          <w:numId w:val="28"/>
        </w:numPr>
        <w:jc w:val="both"/>
        <w:rPr>
          <w:rFonts w:eastAsia="Batang"/>
          <w:sz w:val="20"/>
          <w:lang w:eastAsia="ko-KR" w:bidi="ta-IN"/>
        </w:rPr>
      </w:pPr>
      <w:r w:rsidRPr="006B0DE9">
        <w:rPr>
          <w:rFonts w:eastAsia="Batang"/>
          <w:sz w:val="20"/>
          <w:lang w:eastAsia="ko-KR" w:bidi="ta-IN"/>
        </w:rPr>
        <w:t xml:space="preserve">Como consecuencia de la experiencia adquirida en materia de políticas, el Centro de Arbitraje y Mediación de la OMPI se encuentra en la posición ideal para contribuir a la creación de marcos de solución extrajudicial de controversias sobre la P.I.  Del mismo modo, por motivos comerciales y de política, muchos </w:t>
      </w:r>
      <w:r w:rsidR="00281871">
        <w:rPr>
          <w:rFonts w:eastAsia="Batang"/>
          <w:sz w:val="20"/>
          <w:lang w:eastAsia="ko-KR" w:bidi="ta-IN"/>
        </w:rPr>
        <w:t>proveedores</w:t>
      </w:r>
      <w:r w:rsidRPr="006B0DE9">
        <w:rPr>
          <w:rFonts w:eastAsia="Batang"/>
          <w:sz w:val="20"/>
          <w:lang w:eastAsia="ko-KR" w:bidi="ta-IN"/>
        </w:rPr>
        <w:t xml:space="preserve"> de servicios de solución </w:t>
      </w:r>
      <w:r>
        <w:rPr>
          <w:rFonts w:eastAsia="Batang"/>
          <w:sz w:val="20"/>
          <w:lang w:eastAsia="ko-KR" w:bidi="ta-IN"/>
        </w:rPr>
        <w:t xml:space="preserve">extrajudicial </w:t>
      </w:r>
      <w:r w:rsidRPr="006B0DE9">
        <w:rPr>
          <w:rFonts w:eastAsia="Batang"/>
          <w:sz w:val="20"/>
          <w:lang w:eastAsia="ko-KR" w:bidi="ta-IN"/>
        </w:rPr>
        <w:t>de controversias compiten en la prestación de esos mecanismos.  La obtención de reconocimiento en ese mercado dependerá de la capacidad para desarrollar, promocionar y prestar los servicios adecuados.</w:t>
      </w:r>
    </w:p>
    <w:p w:rsidR="005E581D" w:rsidRPr="006B0DE9" w:rsidRDefault="005E581D" w:rsidP="005E581D">
      <w:pPr>
        <w:widowControl w:val="0"/>
        <w:autoSpaceDE w:val="0"/>
        <w:autoSpaceDN w:val="0"/>
        <w:adjustRightInd w:val="0"/>
        <w:rPr>
          <w:rFonts w:eastAsia="Batang"/>
          <w:sz w:val="20"/>
          <w:lang w:eastAsia="ko-KR" w:bidi="ta-IN"/>
        </w:rPr>
      </w:pPr>
    </w:p>
    <w:p w:rsidR="005E581D" w:rsidRPr="006B0DE9" w:rsidRDefault="005E581D" w:rsidP="00BA276E">
      <w:pPr>
        <w:widowControl w:val="0"/>
        <w:numPr>
          <w:ilvl w:val="0"/>
          <w:numId w:val="28"/>
        </w:numPr>
        <w:jc w:val="both"/>
        <w:rPr>
          <w:rFonts w:eastAsia="Batang"/>
          <w:sz w:val="20"/>
          <w:lang w:eastAsia="ko-KR" w:bidi="ta-IN"/>
        </w:rPr>
      </w:pPr>
      <w:r w:rsidRPr="006B0DE9">
        <w:rPr>
          <w:rFonts w:eastAsia="Batang"/>
          <w:sz w:val="20"/>
          <w:lang w:eastAsia="ko-KR" w:bidi="ta-IN"/>
        </w:rPr>
        <w:t>Un ejemplo de la capacidad potencial</w:t>
      </w:r>
      <w:r>
        <w:rPr>
          <w:rFonts w:eastAsia="Batang"/>
          <w:sz w:val="20"/>
          <w:lang w:eastAsia="ko-KR" w:bidi="ta-IN"/>
        </w:rPr>
        <w:t xml:space="preserve"> de los mecanismos </w:t>
      </w:r>
      <w:r w:rsidRPr="006B0DE9">
        <w:rPr>
          <w:rFonts w:eastAsia="Batang"/>
          <w:sz w:val="20"/>
          <w:lang w:eastAsia="ko-KR" w:bidi="ta-IN"/>
        </w:rPr>
        <w:t xml:space="preserve">de solución </w:t>
      </w:r>
      <w:r>
        <w:rPr>
          <w:rFonts w:eastAsia="Batang"/>
          <w:sz w:val="20"/>
          <w:lang w:eastAsia="ko-KR" w:bidi="ta-IN"/>
        </w:rPr>
        <w:t xml:space="preserve">extrajudicial </w:t>
      </w:r>
      <w:r w:rsidRPr="006B0DE9">
        <w:rPr>
          <w:rFonts w:eastAsia="Batang"/>
          <w:sz w:val="20"/>
          <w:lang w:eastAsia="ko-KR" w:bidi="ta-IN"/>
        </w:rPr>
        <w:t xml:space="preserve">de controversias en materia de P.I. es la Política Uniforme de Solución de Controversias en materia de Nombres de Dominio, impulsada por la OMPI.  Hasta el final de 2012, el Centro de Arbitraje y Mediación de la OMPI ha tramitado más de 25.000 demandas en virtud de este eficaz mecanismo de alcance mundial, disponible en Internet, que constituye una alternativa a los litigios judiciales para hacer frente a los abusos contra las marcas en el Sistema de Nombres de Dominio de Internet (DNS).  El panorama del </w:t>
      </w:r>
      <w:r>
        <w:rPr>
          <w:rFonts w:eastAsia="Batang"/>
          <w:sz w:val="20"/>
          <w:lang w:eastAsia="ko-KR" w:bidi="ta-IN"/>
        </w:rPr>
        <w:t xml:space="preserve">DNS </w:t>
      </w:r>
      <w:r w:rsidRPr="006B0DE9">
        <w:rPr>
          <w:rFonts w:eastAsia="Batang"/>
          <w:sz w:val="20"/>
          <w:lang w:eastAsia="ko-KR" w:bidi="ta-IN"/>
        </w:rPr>
        <w:t>va a sufrir cambios importantes, que se traducirán en un gran aumento en el número de dominios genéricos de nivel superior (gTLD) y en la introducción de gTLD y nombres de dominio internacionalizados (caracteres no latinos).</w:t>
      </w:r>
    </w:p>
    <w:p w:rsidR="005E581D" w:rsidRPr="006B0DE9" w:rsidRDefault="005E581D" w:rsidP="005E581D">
      <w:pPr>
        <w:widowControl w:val="0"/>
        <w:autoSpaceDE w:val="0"/>
        <w:autoSpaceDN w:val="0"/>
        <w:adjustRightInd w:val="0"/>
        <w:rPr>
          <w:rFonts w:eastAsia="Batang"/>
          <w:sz w:val="20"/>
          <w:lang w:eastAsia="ko-KR" w:bidi="ta-IN"/>
        </w:rPr>
      </w:pPr>
    </w:p>
    <w:p w:rsidR="005E581D" w:rsidRPr="006B0DE9" w:rsidRDefault="005E581D" w:rsidP="00BA276E">
      <w:pPr>
        <w:widowControl w:val="0"/>
        <w:numPr>
          <w:ilvl w:val="0"/>
          <w:numId w:val="28"/>
        </w:numPr>
        <w:jc w:val="both"/>
        <w:rPr>
          <w:rFonts w:eastAsia="Batang"/>
          <w:sz w:val="20"/>
          <w:lang w:eastAsia="ko-KR" w:bidi="ta-IN"/>
        </w:rPr>
      </w:pPr>
      <w:r w:rsidRPr="006B0DE9">
        <w:rPr>
          <w:rFonts w:eastAsia="Batang"/>
          <w:sz w:val="20"/>
          <w:lang w:eastAsia="ko-KR" w:bidi="ta-IN"/>
        </w:rPr>
        <w:t xml:space="preserve">Con el fin de reducir las consecuencias adversas que esta incertidumbre podría tener en el ámbito de la P.I., el Centro de Arbitraje y Mediación de la OMPI debe seguir desempeñando una función dinámica de supervisión de las soluciones que adopte la Corporación </w:t>
      </w:r>
      <w:r w:rsidR="00281871">
        <w:rPr>
          <w:rFonts w:eastAsia="Batang"/>
          <w:sz w:val="20"/>
          <w:lang w:eastAsia="ko-KR" w:bidi="ta-IN"/>
        </w:rPr>
        <w:t>para la</w:t>
      </w:r>
      <w:r w:rsidRPr="006B0DE9">
        <w:rPr>
          <w:rFonts w:eastAsia="Batang"/>
          <w:sz w:val="20"/>
          <w:lang w:eastAsia="ko-KR" w:bidi="ta-IN"/>
        </w:rPr>
        <w:t xml:space="preserve"> Asignación de Nombres y Números </w:t>
      </w:r>
      <w:r w:rsidR="00281871">
        <w:rPr>
          <w:rFonts w:eastAsia="Batang"/>
          <w:sz w:val="20"/>
          <w:lang w:eastAsia="ko-KR" w:bidi="ta-IN"/>
        </w:rPr>
        <w:t>en</w:t>
      </w:r>
      <w:r w:rsidRPr="006B0DE9">
        <w:rPr>
          <w:rFonts w:eastAsia="Batang"/>
          <w:sz w:val="20"/>
          <w:lang w:eastAsia="ko-KR" w:bidi="ta-IN"/>
        </w:rPr>
        <w:t xml:space="preserve"> Internet (ICANN).  En este sentido, los cambios sustanciales que se produzcan en la demanda de la Política Uniforme de Solución de Controversias en materia de Nombres de Dominio podrían incidir en este servicio de la OMPI.</w:t>
      </w:r>
    </w:p>
    <w:p w:rsidR="005E581D" w:rsidRPr="006B0DE9" w:rsidRDefault="005E581D" w:rsidP="005E581D">
      <w:pPr>
        <w:widowControl w:val="0"/>
        <w:rPr>
          <w:rFonts w:eastAsia="Batang"/>
          <w:sz w:val="20"/>
          <w:lang w:eastAsia="ko-KR" w:bidi="ta-IN"/>
        </w:rPr>
      </w:pPr>
    </w:p>
    <w:p w:rsidR="005E581D" w:rsidRPr="006B0DE9" w:rsidRDefault="005E581D" w:rsidP="00BA276E">
      <w:pPr>
        <w:widowControl w:val="0"/>
        <w:numPr>
          <w:ilvl w:val="0"/>
          <w:numId w:val="28"/>
        </w:numPr>
        <w:jc w:val="both"/>
        <w:rPr>
          <w:rFonts w:eastAsia="Batang"/>
          <w:sz w:val="20"/>
          <w:lang w:eastAsia="ko-KR" w:bidi="ta-IN"/>
        </w:rPr>
      </w:pPr>
      <w:r w:rsidRPr="006B0DE9">
        <w:rPr>
          <w:rFonts w:eastAsia="Batang"/>
          <w:sz w:val="20"/>
          <w:lang w:eastAsia="ko-KR" w:bidi="ta-IN"/>
        </w:rPr>
        <w:t xml:space="preserve">El Centro de Arbitraje y Mediación de la OMPI brinda asistencia a los dominios de nivel superior correspondientes a códigos de países (ccTLD) en el establecimiento de las mejores prácticas de registro y los mecanismos más eficaces de solución de controversias.  De manera más general, en el ámbito de la solución </w:t>
      </w:r>
      <w:r w:rsidR="008921D7">
        <w:rPr>
          <w:rFonts w:eastAsia="Batang"/>
          <w:sz w:val="20"/>
          <w:lang w:eastAsia="ko-KR" w:bidi="ta-IN"/>
        </w:rPr>
        <w:t>extrajudicial de</w:t>
      </w:r>
      <w:r w:rsidRPr="006B0DE9">
        <w:rPr>
          <w:rFonts w:eastAsia="Batang"/>
          <w:sz w:val="20"/>
          <w:lang w:eastAsia="ko-KR" w:bidi="ta-IN"/>
        </w:rPr>
        <w:t xml:space="preserve"> controversias en materia de P.I., las oficinas nacionales de P.I. recurren al Centro de Arbitraje y Mediación de al OMPI para obtener información sobre la elaboración de mecanismos </w:t>
      </w:r>
      <w:r w:rsidR="00281871">
        <w:rPr>
          <w:rFonts w:eastAsia="Batang"/>
          <w:sz w:val="20"/>
          <w:lang w:eastAsia="ko-KR" w:bidi="ta-IN"/>
        </w:rPr>
        <w:t>facultativos</w:t>
      </w:r>
      <w:r w:rsidRPr="006B0DE9">
        <w:rPr>
          <w:rFonts w:eastAsia="Batang"/>
          <w:sz w:val="20"/>
          <w:lang w:eastAsia="ko-KR" w:bidi="ta-IN"/>
        </w:rPr>
        <w:t xml:space="preserve"> de solución </w:t>
      </w:r>
      <w:r>
        <w:rPr>
          <w:rFonts w:eastAsia="Batang"/>
          <w:sz w:val="20"/>
          <w:lang w:eastAsia="ko-KR" w:bidi="ta-IN"/>
        </w:rPr>
        <w:t xml:space="preserve">extrajudicial </w:t>
      </w:r>
      <w:r w:rsidRPr="006B0DE9">
        <w:rPr>
          <w:rFonts w:eastAsia="Batang"/>
          <w:sz w:val="20"/>
          <w:lang w:eastAsia="ko-KR" w:bidi="ta-IN"/>
        </w:rPr>
        <w:t>de controversias que complementen los procedimientos administrativos con los que cuentan. El Centro de Arbitraje y Mediación de la OMPI organiza asimismo programas de formación para funcionarios, profesionales y estudiantes de la P.I., en algunos casos por Internet.  Estas actividades de formación y fortalecimiento de las capacidades, realizadas en sintonía con las recomendaciones 1 y 6 de la A.D., contribuirán a la aplicación de la recomendación 10 de la A.D., velando por que los países en desarrollo y los PMA perfeccionen su capacidad institucional para resolver de forma eficiente, justa y costoeficaz las controversias en materia de P.I.</w:t>
      </w:r>
    </w:p>
    <w:p w:rsidR="005E581D" w:rsidRPr="006B0DE9" w:rsidRDefault="005E581D" w:rsidP="005E581D">
      <w:pPr>
        <w:widowControl w:val="0"/>
        <w:tabs>
          <w:tab w:val="num" w:pos="709"/>
        </w:tabs>
        <w:ind w:left="1140" w:hanging="1140"/>
        <w:rPr>
          <w:bCs/>
          <w:sz w:val="20"/>
        </w:rPr>
      </w:pPr>
    </w:p>
    <w:p w:rsidR="005E581D" w:rsidRPr="006B0DE9" w:rsidRDefault="005E581D" w:rsidP="005E581D">
      <w:pPr>
        <w:widowControl w:val="0"/>
        <w:tabs>
          <w:tab w:val="num" w:pos="709"/>
        </w:tabs>
        <w:ind w:left="1140" w:hanging="1140"/>
        <w:rPr>
          <w:bCs/>
          <w:sz w:val="20"/>
        </w:rPr>
      </w:pPr>
    </w:p>
    <w:p w:rsidR="005E581D" w:rsidRPr="006B0DE9" w:rsidRDefault="005E581D" w:rsidP="00281871">
      <w:pPr>
        <w:keepNext/>
        <w:widowControl w:val="0"/>
        <w:tabs>
          <w:tab w:val="num" w:pos="709"/>
        </w:tabs>
        <w:rPr>
          <w:szCs w:val="22"/>
        </w:rPr>
      </w:pPr>
      <w:r w:rsidRPr="006B0DE9">
        <w:rPr>
          <w:szCs w:val="22"/>
        </w:rPr>
        <w:t>ESTRATEGIAS DE EJECUCIÓN</w:t>
      </w:r>
    </w:p>
    <w:p w:rsidR="005E581D" w:rsidRPr="006B0DE9" w:rsidRDefault="005E581D" w:rsidP="005E581D">
      <w:pPr>
        <w:widowControl w:val="0"/>
        <w:tabs>
          <w:tab w:val="num" w:pos="709"/>
        </w:tabs>
        <w:rPr>
          <w:bCs/>
          <w:sz w:val="20"/>
        </w:rPr>
      </w:pPr>
    </w:p>
    <w:p w:rsidR="005E581D" w:rsidRPr="006B0DE9" w:rsidRDefault="00281871" w:rsidP="00BA276E">
      <w:pPr>
        <w:widowControl w:val="0"/>
        <w:numPr>
          <w:ilvl w:val="0"/>
          <w:numId w:val="28"/>
        </w:numPr>
        <w:jc w:val="both"/>
        <w:rPr>
          <w:rFonts w:eastAsia="Batang"/>
          <w:color w:val="000000"/>
          <w:sz w:val="20"/>
          <w:lang w:eastAsia="ko-KR" w:bidi="ta-IN"/>
        </w:rPr>
      </w:pPr>
      <w:r>
        <w:rPr>
          <w:rFonts w:eastAsia="Batang"/>
          <w:color w:val="000000"/>
          <w:sz w:val="20"/>
          <w:lang w:eastAsia="ko-KR" w:bidi="ta-IN"/>
        </w:rPr>
        <w:t>A la luz de lo ante</w:t>
      </w:r>
      <w:r w:rsidR="005E581D" w:rsidRPr="006B0DE9">
        <w:rPr>
          <w:rFonts w:eastAsia="Batang"/>
          <w:color w:val="000000"/>
          <w:sz w:val="20"/>
          <w:lang w:eastAsia="ko-KR" w:bidi="ta-IN"/>
        </w:rPr>
        <w:t>dicho, el Centro de Arbitraje y Mediación de la OMPI pondrá en práctica las siguientes estrategias:</w:t>
      </w:r>
    </w:p>
    <w:p w:rsidR="005E581D" w:rsidRPr="006B0DE9" w:rsidRDefault="005E581D" w:rsidP="005E581D">
      <w:pPr>
        <w:widowControl w:val="0"/>
        <w:autoSpaceDE w:val="0"/>
        <w:autoSpaceDN w:val="0"/>
        <w:adjustRightInd w:val="0"/>
        <w:jc w:val="both"/>
        <w:rPr>
          <w:rFonts w:eastAsia="Batang"/>
          <w:color w:val="000000"/>
          <w:sz w:val="20"/>
          <w:lang w:eastAsia="ko-KR" w:bidi="ta-IN"/>
        </w:rPr>
      </w:pPr>
    </w:p>
    <w:p w:rsidR="005E581D" w:rsidRPr="006B0DE9" w:rsidRDefault="005E581D" w:rsidP="00BA276E">
      <w:pPr>
        <w:widowControl w:val="0"/>
        <w:numPr>
          <w:ilvl w:val="0"/>
          <w:numId w:val="29"/>
        </w:numPr>
        <w:tabs>
          <w:tab w:val="left" w:pos="1134"/>
        </w:tabs>
        <w:spacing w:after="120"/>
        <w:ind w:left="567" w:firstLine="0"/>
        <w:jc w:val="both"/>
        <w:rPr>
          <w:rFonts w:eastAsia="Batang"/>
          <w:color w:val="000000"/>
          <w:sz w:val="20"/>
          <w:lang w:eastAsia="ko-KR" w:bidi="ta-IN"/>
        </w:rPr>
      </w:pPr>
      <w:r w:rsidRPr="006B0DE9">
        <w:rPr>
          <w:rFonts w:eastAsia="Batang"/>
          <w:color w:val="000000"/>
          <w:sz w:val="20"/>
          <w:lang w:eastAsia="ko-KR" w:bidi="ta-IN"/>
        </w:rPr>
        <w:t xml:space="preserve">Mejorar la sensibilización de las partes interesadas en relación con las opciones </w:t>
      </w:r>
      <w:r w:rsidRPr="00677A69">
        <w:rPr>
          <w:sz w:val="20"/>
        </w:rPr>
        <w:t>disponibles</w:t>
      </w:r>
      <w:r w:rsidRPr="006B0DE9">
        <w:rPr>
          <w:rFonts w:eastAsia="Batang"/>
          <w:color w:val="000000"/>
          <w:sz w:val="20"/>
          <w:lang w:eastAsia="ko-KR" w:bidi="ta-IN"/>
        </w:rPr>
        <w:t xml:space="preserve"> en lo que respecta a la solución</w:t>
      </w:r>
      <w:r w:rsidR="008921D7">
        <w:rPr>
          <w:rFonts w:eastAsia="Batang"/>
          <w:color w:val="000000"/>
          <w:sz w:val="20"/>
          <w:lang w:eastAsia="ko-KR" w:bidi="ta-IN"/>
        </w:rPr>
        <w:t xml:space="preserve"> extrajudicial</w:t>
      </w:r>
      <w:r w:rsidRPr="006B0DE9">
        <w:rPr>
          <w:rFonts w:eastAsia="Batang"/>
          <w:color w:val="000000"/>
          <w:sz w:val="20"/>
          <w:lang w:eastAsia="ko-KR" w:bidi="ta-IN"/>
        </w:rPr>
        <w:t xml:space="preserve"> de controversias en materia de P.I.  El programa cooperará con otros programas, entre ellos el programa 1 (</w:t>
      </w:r>
      <w:r w:rsidRPr="006B0DE9">
        <w:rPr>
          <w:iCs/>
          <w:sz w:val="20"/>
        </w:rPr>
        <w:t>Derecho de patentes</w:t>
      </w:r>
      <w:r w:rsidRPr="006B0DE9">
        <w:rPr>
          <w:rFonts w:eastAsia="Batang"/>
          <w:color w:val="000000"/>
          <w:sz w:val="20"/>
          <w:lang w:eastAsia="ko-KR" w:bidi="ta-IN"/>
        </w:rPr>
        <w:t>), el programa 3 (Derecho de autor y derechos conexos), el programa 4 (Conocimientos tradicionales, expresiones culturales tradicionales y recursos genéticos), el programa 5 (Sistema del PCT), el programa 6 (Sistemas de Madrid y de Lisboa), el programa 9 (Países africanos, árabes, de América Latina y el Caribe, de Asia y el Pacífico y países menos adelantados), el programa 10 (Cooperación con determinados países de Europa y Asia), el programa 11 (</w:t>
      </w:r>
      <w:r w:rsidR="00FE42C5">
        <w:rPr>
          <w:rFonts w:eastAsia="Batang"/>
          <w:color w:val="000000"/>
          <w:sz w:val="20"/>
          <w:lang w:eastAsia="ko-KR" w:bidi="ta-IN"/>
        </w:rPr>
        <w:t>Academia</w:t>
      </w:r>
      <w:r w:rsidRPr="006B0DE9">
        <w:rPr>
          <w:rFonts w:eastAsia="Batang"/>
          <w:bCs/>
          <w:iCs/>
          <w:color w:val="000000"/>
          <w:sz w:val="20"/>
          <w:lang w:eastAsia="ko-KR" w:bidi="ta-IN"/>
        </w:rPr>
        <w:t xml:space="preserve"> de la OMPI</w:t>
      </w:r>
      <w:r w:rsidRPr="006B0DE9">
        <w:rPr>
          <w:rFonts w:eastAsia="Batang"/>
          <w:color w:val="000000"/>
          <w:sz w:val="20"/>
          <w:lang w:eastAsia="ko-KR" w:bidi="ta-IN"/>
        </w:rPr>
        <w:t>), el programa 19 (</w:t>
      </w:r>
      <w:r w:rsidRPr="006B0DE9">
        <w:rPr>
          <w:rFonts w:eastAsia="Batang"/>
          <w:iCs/>
          <w:color w:val="000000"/>
          <w:sz w:val="20"/>
          <w:lang w:eastAsia="ko-KR" w:bidi="ta-IN"/>
        </w:rPr>
        <w:t>Comunicaciones</w:t>
      </w:r>
      <w:r w:rsidRPr="006B0DE9">
        <w:rPr>
          <w:rFonts w:eastAsia="Batang"/>
          <w:color w:val="000000"/>
          <w:sz w:val="20"/>
          <w:lang w:eastAsia="ko-KR" w:bidi="ta-IN"/>
        </w:rPr>
        <w:t>), el programa 20 (</w:t>
      </w:r>
      <w:r w:rsidRPr="006B0DE9">
        <w:rPr>
          <w:iCs/>
          <w:sz w:val="20"/>
        </w:rPr>
        <w:t>Relaciones exteriores, alianzas y oficinas en el exterior</w:t>
      </w:r>
      <w:r w:rsidRPr="006B0DE9">
        <w:rPr>
          <w:rFonts w:eastAsia="Batang"/>
          <w:color w:val="000000"/>
          <w:sz w:val="20"/>
          <w:lang w:eastAsia="ko-KR" w:bidi="ta-IN"/>
        </w:rPr>
        <w:t>), y el programa 27 (</w:t>
      </w:r>
      <w:r w:rsidRPr="006B0DE9">
        <w:rPr>
          <w:rFonts w:eastAsia="Batang"/>
          <w:iCs/>
          <w:color w:val="000000"/>
          <w:sz w:val="20"/>
          <w:lang w:eastAsia="ko-KR" w:bidi="ta-IN"/>
        </w:rPr>
        <w:t>Servicios de conferencias y lingüísticos</w:t>
      </w:r>
      <w:r w:rsidRPr="006B0DE9">
        <w:rPr>
          <w:rFonts w:eastAsia="Batang"/>
          <w:color w:val="000000"/>
          <w:sz w:val="20"/>
          <w:lang w:eastAsia="ko-KR" w:bidi="ta-IN"/>
        </w:rPr>
        <w:t>).</w:t>
      </w:r>
    </w:p>
    <w:p w:rsidR="005E581D" w:rsidRPr="006B0DE9" w:rsidRDefault="005E581D" w:rsidP="005E581D">
      <w:pPr>
        <w:widowControl w:val="0"/>
        <w:tabs>
          <w:tab w:val="num" w:pos="540"/>
        </w:tabs>
        <w:autoSpaceDE w:val="0"/>
        <w:autoSpaceDN w:val="0"/>
        <w:adjustRightInd w:val="0"/>
        <w:ind w:left="540" w:hanging="540"/>
        <w:jc w:val="both"/>
        <w:rPr>
          <w:rFonts w:eastAsia="Batang"/>
          <w:color w:val="000000"/>
          <w:sz w:val="20"/>
          <w:lang w:eastAsia="ko-KR" w:bidi="ta-IN"/>
        </w:rPr>
      </w:pPr>
    </w:p>
    <w:p w:rsidR="005E581D" w:rsidRPr="006B0DE9" w:rsidRDefault="005E581D" w:rsidP="00BA276E">
      <w:pPr>
        <w:widowControl w:val="0"/>
        <w:numPr>
          <w:ilvl w:val="0"/>
          <w:numId w:val="29"/>
        </w:numPr>
        <w:tabs>
          <w:tab w:val="left" w:pos="1134"/>
        </w:tabs>
        <w:spacing w:after="120"/>
        <w:ind w:left="567" w:firstLine="0"/>
        <w:jc w:val="both"/>
        <w:rPr>
          <w:rFonts w:eastAsia="Batang"/>
          <w:color w:val="000000"/>
          <w:sz w:val="20"/>
          <w:lang w:eastAsia="ko-KR" w:bidi="ta-IN"/>
        </w:rPr>
      </w:pPr>
      <w:r w:rsidRPr="006B0DE9">
        <w:rPr>
          <w:rFonts w:eastAsia="Batang"/>
          <w:color w:val="000000"/>
          <w:sz w:val="20"/>
          <w:lang w:eastAsia="ko-KR" w:bidi="ta-IN"/>
        </w:rPr>
        <w:t xml:space="preserve">Fomentar el interés en los servicios de solución de controversias que presta el </w:t>
      </w:r>
      <w:r w:rsidRPr="006B0DE9">
        <w:rPr>
          <w:rFonts w:eastAsia="Batang"/>
          <w:sz w:val="20"/>
          <w:lang w:eastAsia="ko-KR" w:bidi="ta-IN"/>
        </w:rPr>
        <w:t>Centro de Arbitraje y Mediación de la OMPI, adaptando sus procedimientos y la infraestructura de tramitación de las demandas a las necesidades de los usuarios, en constante evolución, entre otras cosas por medio de soluciones en las que se utilicen las T.I.</w:t>
      </w:r>
    </w:p>
    <w:p w:rsidR="005E581D" w:rsidRPr="006B0DE9" w:rsidRDefault="005E581D" w:rsidP="005E581D">
      <w:pPr>
        <w:widowControl w:val="0"/>
        <w:autoSpaceDE w:val="0"/>
        <w:autoSpaceDN w:val="0"/>
        <w:adjustRightInd w:val="0"/>
        <w:jc w:val="both"/>
        <w:rPr>
          <w:rFonts w:eastAsia="Batang"/>
          <w:color w:val="000000"/>
          <w:sz w:val="20"/>
          <w:lang w:eastAsia="ko-KR" w:bidi="ta-IN"/>
        </w:rPr>
      </w:pPr>
    </w:p>
    <w:p w:rsidR="005E581D" w:rsidRPr="006B0DE9" w:rsidRDefault="005E581D" w:rsidP="00BA276E">
      <w:pPr>
        <w:widowControl w:val="0"/>
        <w:numPr>
          <w:ilvl w:val="0"/>
          <w:numId w:val="29"/>
        </w:numPr>
        <w:tabs>
          <w:tab w:val="left" w:pos="1134"/>
        </w:tabs>
        <w:spacing w:after="120"/>
        <w:ind w:left="567" w:firstLine="0"/>
        <w:jc w:val="both"/>
        <w:rPr>
          <w:rFonts w:eastAsia="Batang"/>
          <w:color w:val="000000"/>
          <w:sz w:val="20"/>
          <w:lang w:eastAsia="ko-KR" w:bidi="ta-IN"/>
        </w:rPr>
      </w:pPr>
      <w:r w:rsidRPr="006B0DE9">
        <w:rPr>
          <w:rFonts w:eastAsia="Batang"/>
          <w:color w:val="000000"/>
          <w:sz w:val="20"/>
          <w:lang w:eastAsia="ko-KR" w:bidi="ta-IN"/>
        </w:rPr>
        <w:t xml:space="preserve">Colaborar con los titulares de activos, los usuarios, las oficinas y demás entidades de P.I. para </w:t>
      </w:r>
      <w:r w:rsidRPr="00677A69">
        <w:rPr>
          <w:rFonts w:eastAsia="Batang"/>
          <w:sz w:val="20"/>
          <w:lang w:eastAsia="ko-KR" w:bidi="ta-IN"/>
        </w:rPr>
        <w:t>establecer</w:t>
      </w:r>
      <w:r w:rsidRPr="006B0DE9">
        <w:rPr>
          <w:rFonts w:eastAsia="Batang"/>
          <w:color w:val="000000"/>
          <w:sz w:val="20"/>
          <w:lang w:eastAsia="ko-KR" w:bidi="ta-IN"/>
        </w:rPr>
        <w:t xml:space="preserve"> procedimientos específicamente adaptados a las características particulares de las controversias que se plantean con frecuencia en los respectivos ámbitos de actividad.  En el marco de este programa se cooperará con otros, por ejemplo, el programa 1 (Derecho de patentes), el programa 2 (Marcas, </w:t>
      </w:r>
      <w:r>
        <w:rPr>
          <w:rFonts w:eastAsia="Batang"/>
          <w:color w:val="000000"/>
          <w:sz w:val="20"/>
          <w:lang w:eastAsia="ko-KR" w:bidi="ta-IN"/>
        </w:rPr>
        <w:t>diseños</w:t>
      </w:r>
      <w:r w:rsidRPr="006B0DE9">
        <w:rPr>
          <w:rFonts w:eastAsia="Batang"/>
          <w:color w:val="000000"/>
          <w:sz w:val="20"/>
          <w:lang w:eastAsia="ko-KR" w:bidi="ta-IN"/>
        </w:rPr>
        <w:t xml:space="preserve"> industriales e indicaciones geográficas), el programa 3 (Derecho de autor y derechos conexos), el programa 4 (Conocimientos tradicionales, expresiones culturales tradicionales y recursos genéticos), el programa 6 (Sistemas de Madrid y de Lisboa), el programa 17 (Cultivar el respeto por la P.I.), el programa 18 (La P.I. y los desafíos mundiales), y el programa 31 (Sistema de La Haya).</w:t>
      </w:r>
    </w:p>
    <w:p w:rsidR="005E581D" w:rsidRPr="006B0DE9" w:rsidRDefault="005E581D" w:rsidP="005E581D">
      <w:pPr>
        <w:widowControl w:val="0"/>
        <w:tabs>
          <w:tab w:val="num" w:pos="709"/>
        </w:tabs>
        <w:jc w:val="both"/>
        <w:rPr>
          <w:bCs/>
          <w:sz w:val="20"/>
        </w:rPr>
      </w:pPr>
    </w:p>
    <w:p w:rsidR="008F058B" w:rsidRDefault="008F058B" w:rsidP="008F058B">
      <w:pPr>
        <w:widowControl w:val="0"/>
        <w:rPr>
          <w:szCs w:val="22"/>
        </w:rPr>
      </w:pPr>
    </w:p>
    <w:p w:rsidR="0063482E" w:rsidRPr="00C75C7E" w:rsidRDefault="0063482E" w:rsidP="008F058B">
      <w:pPr>
        <w:widowControl w:val="0"/>
        <w:rPr>
          <w:szCs w:val="22"/>
        </w:rPr>
      </w:pPr>
      <w:r w:rsidRPr="00C75C7E">
        <w:rPr>
          <w:szCs w:val="22"/>
        </w:rPr>
        <w:t>PRINCIPALES RIESGOS Y ESTRATEGIAS DE MITIGACIÓN</w:t>
      </w:r>
    </w:p>
    <w:p w:rsidR="0063482E" w:rsidRPr="00C75C7E" w:rsidRDefault="0063482E" w:rsidP="008F058B">
      <w:pPr>
        <w:widowControl w:val="0"/>
        <w:tabs>
          <w:tab w:val="num" w:pos="709"/>
        </w:tabs>
        <w:rPr>
          <w:szCs w:val="22"/>
        </w:rPr>
      </w:pPr>
    </w:p>
    <w:tbl>
      <w:tblPr>
        <w:tblW w:w="9529"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536"/>
        <w:gridCol w:w="4993"/>
      </w:tblGrid>
      <w:tr w:rsidR="0063482E" w:rsidRPr="00C75C7E" w:rsidTr="00962ADA">
        <w:trPr>
          <w:trHeight w:val="479"/>
        </w:trPr>
        <w:tc>
          <w:tcPr>
            <w:tcW w:w="4536" w:type="dxa"/>
            <w:tcBorders>
              <w:top w:val="single" w:sz="4" w:space="0" w:color="auto"/>
              <w:bottom w:val="single" w:sz="4" w:space="0" w:color="auto"/>
            </w:tcBorders>
            <w:shd w:val="clear" w:color="auto" w:fill="CCFFFF"/>
            <w:vAlign w:val="center"/>
          </w:tcPr>
          <w:p w:rsidR="0063482E" w:rsidRPr="00C75C7E" w:rsidRDefault="0063482E" w:rsidP="00EF3DB5">
            <w:pPr>
              <w:widowControl w:val="0"/>
              <w:autoSpaceDE w:val="0"/>
              <w:autoSpaceDN w:val="0"/>
              <w:adjustRightInd w:val="0"/>
              <w:ind w:right="-59"/>
              <w:jc w:val="center"/>
              <w:rPr>
                <w:b/>
                <w:bCs/>
                <w:iCs/>
                <w:sz w:val="18"/>
                <w:szCs w:val="18"/>
              </w:rPr>
            </w:pPr>
            <w:r w:rsidRPr="00C75C7E">
              <w:rPr>
                <w:b/>
                <w:bCs/>
                <w:iCs/>
                <w:sz w:val="18"/>
                <w:szCs w:val="18"/>
              </w:rPr>
              <w:t>Riesgos en el logro de los resultados del programa</w:t>
            </w:r>
          </w:p>
        </w:tc>
        <w:tc>
          <w:tcPr>
            <w:tcW w:w="4993" w:type="dxa"/>
            <w:tcBorders>
              <w:top w:val="single" w:sz="4" w:space="0" w:color="auto"/>
              <w:bottom w:val="single" w:sz="4" w:space="0" w:color="auto"/>
            </w:tcBorders>
            <w:shd w:val="clear" w:color="auto" w:fill="CCFFFF"/>
            <w:vAlign w:val="center"/>
          </w:tcPr>
          <w:p w:rsidR="0063482E" w:rsidRPr="00C75C7E" w:rsidRDefault="0063482E" w:rsidP="00962ADA">
            <w:pPr>
              <w:widowControl w:val="0"/>
              <w:autoSpaceDE w:val="0"/>
              <w:autoSpaceDN w:val="0"/>
              <w:adjustRightInd w:val="0"/>
              <w:ind w:right="-59"/>
              <w:rPr>
                <w:b/>
                <w:bCs/>
                <w:iCs/>
                <w:sz w:val="18"/>
                <w:szCs w:val="18"/>
              </w:rPr>
            </w:pPr>
            <w:r w:rsidRPr="00C75C7E">
              <w:rPr>
                <w:b/>
                <w:bCs/>
                <w:iCs/>
                <w:sz w:val="18"/>
                <w:szCs w:val="18"/>
              </w:rPr>
              <w:t xml:space="preserve">Planes de mitigación ejecutados o en ejecución </w:t>
            </w:r>
          </w:p>
        </w:tc>
      </w:tr>
      <w:tr w:rsidR="0063482E" w:rsidRPr="00C75C7E" w:rsidTr="00962ADA">
        <w:trPr>
          <w:trHeight w:val="1564"/>
        </w:trPr>
        <w:tc>
          <w:tcPr>
            <w:tcW w:w="4536" w:type="dxa"/>
            <w:tcBorders>
              <w:top w:val="single" w:sz="4" w:space="0" w:color="auto"/>
            </w:tcBorders>
            <w:shd w:val="clear" w:color="auto" w:fill="auto"/>
            <w:tcMar>
              <w:top w:w="113" w:type="dxa"/>
              <w:bottom w:w="113" w:type="dxa"/>
            </w:tcMar>
          </w:tcPr>
          <w:p w:rsidR="0063482E" w:rsidRPr="00C75C7E" w:rsidRDefault="0063482E" w:rsidP="00EF3DB5">
            <w:pPr>
              <w:widowControl w:val="0"/>
              <w:rPr>
                <w:sz w:val="16"/>
                <w:szCs w:val="16"/>
              </w:rPr>
            </w:pPr>
            <w:r w:rsidRPr="00C75C7E">
              <w:rPr>
                <w:rFonts w:cs="ArialMT"/>
                <w:iCs/>
                <w:sz w:val="16"/>
                <w:szCs w:val="16"/>
              </w:rPr>
              <w:t>Las variaciones en los recursos en comparación con otros proveedores de servicios de solución extrajudicial de controversias afectan al reconocimiento en el mercado de los servicios de arbitraje y mediación que ofrece la OMPI.</w:t>
            </w:r>
          </w:p>
        </w:tc>
        <w:tc>
          <w:tcPr>
            <w:tcW w:w="4993" w:type="dxa"/>
            <w:tcBorders>
              <w:top w:val="single" w:sz="4" w:space="0" w:color="auto"/>
            </w:tcBorders>
            <w:shd w:val="clear" w:color="auto" w:fill="auto"/>
            <w:tcMar>
              <w:top w:w="113" w:type="dxa"/>
              <w:bottom w:w="113" w:type="dxa"/>
            </w:tcMar>
          </w:tcPr>
          <w:p w:rsidR="0063482E" w:rsidRPr="00C75C7E" w:rsidRDefault="0063482E" w:rsidP="00EF3DB5">
            <w:pPr>
              <w:widowControl w:val="0"/>
              <w:autoSpaceDE w:val="0"/>
              <w:autoSpaceDN w:val="0"/>
              <w:adjustRightInd w:val="0"/>
              <w:ind w:right="-59"/>
              <w:rPr>
                <w:sz w:val="16"/>
                <w:szCs w:val="16"/>
              </w:rPr>
            </w:pPr>
            <w:r w:rsidRPr="00C75C7E">
              <w:rPr>
                <w:iCs/>
                <w:sz w:val="16"/>
                <w:szCs w:val="16"/>
              </w:rPr>
              <w:t>La OMPI seguirá sirviéndose de la posición del Centro de Arbitraje y Mediación como principal especialista en la mediación, el arbitraje y otros procedimientos de solución extrajudicial de controversias en materia de P.I. estrechando la colaboración con otras instancias, por ejemplo, cooperando con más regularidad con asociaciones de P.I. y cuestiones conexas, maximizando la utilización del Centro en Singapur  para fomentar la actividad regional e intensificando la colaboración con otras secciones de la OMPI.  Además, el riesgo podría mitigarse fomentando la participación de los árbitros y mediadores de la OMPI en distintos foros y la investigación de nuevas prácticas y expectativas de los usuarios.</w:t>
            </w:r>
          </w:p>
        </w:tc>
      </w:tr>
      <w:tr w:rsidR="0063482E" w:rsidRPr="00C75C7E" w:rsidTr="00962ADA">
        <w:trPr>
          <w:trHeight w:val="468"/>
        </w:trPr>
        <w:tc>
          <w:tcPr>
            <w:tcW w:w="4536" w:type="dxa"/>
            <w:shd w:val="clear" w:color="auto" w:fill="auto"/>
            <w:tcMar>
              <w:top w:w="113" w:type="dxa"/>
              <w:bottom w:w="113" w:type="dxa"/>
            </w:tcMar>
          </w:tcPr>
          <w:p w:rsidR="0063482E" w:rsidRPr="00C75C7E" w:rsidRDefault="0063482E" w:rsidP="00EF3DB5">
            <w:pPr>
              <w:widowControl w:val="0"/>
              <w:rPr>
                <w:rFonts w:cs="ArialMT"/>
                <w:iCs/>
                <w:sz w:val="16"/>
                <w:szCs w:val="16"/>
              </w:rPr>
            </w:pPr>
            <w:r w:rsidRPr="00C75C7E">
              <w:rPr>
                <w:iCs/>
                <w:sz w:val="16"/>
                <w:szCs w:val="16"/>
              </w:rPr>
              <w:t>La fragmentación y competencia existentes en el sistema de nombres de dominio y los procesos de elaboración de políticas de la ICANN van en detrimento de la centralización normativa (incluida la Política Uniforme de Solución de Controversias en materia de Nombres de Dominio) y de la primacía del Centro;  la ampliación del sistema de nombres de dominio y el aumento de la utilización de servicios de solución extrajudicial de controversias en el ámbito de los nombres de dominio ponen en cuestión las funciones del Centro en materia de administración de procedimientos y de elaboración de políticas.</w:t>
            </w:r>
          </w:p>
        </w:tc>
        <w:tc>
          <w:tcPr>
            <w:tcW w:w="4993" w:type="dxa"/>
            <w:shd w:val="clear" w:color="auto" w:fill="auto"/>
            <w:tcMar>
              <w:top w:w="113" w:type="dxa"/>
              <w:bottom w:w="113" w:type="dxa"/>
            </w:tcMar>
          </w:tcPr>
          <w:p w:rsidR="0063482E" w:rsidRPr="00C75C7E" w:rsidRDefault="0063482E" w:rsidP="00EF3DB5">
            <w:pPr>
              <w:widowControl w:val="0"/>
              <w:autoSpaceDE w:val="0"/>
              <w:autoSpaceDN w:val="0"/>
              <w:adjustRightInd w:val="0"/>
              <w:ind w:right="-59"/>
              <w:rPr>
                <w:iCs/>
                <w:sz w:val="16"/>
                <w:szCs w:val="16"/>
              </w:rPr>
            </w:pPr>
            <w:r w:rsidRPr="00C75C7E">
              <w:rPr>
                <w:iCs/>
                <w:sz w:val="16"/>
                <w:szCs w:val="16"/>
              </w:rPr>
              <w:t>Priorizar los recursos para la administración de procedimientos y y la elaboración de políticas para encontrar un equilibrio entre “permanecer en el mercado” y aportar un valor específico de la OMPI.</w:t>
            </w:r>
          </w:p>
          <w:p w:rsidR="0063482E" w:rsidRPr="00C75C7E" w:rsidRDefault="0063482E" w:rsidP="00EF3DB5">
            <w:pPr>
              <w:widowControl w:val="0"/>
              <w:autoSpaceDE w:val="0"/>
              <w:autoSpaceDN w:val="0"/>
              <w:adjustRightInd w:val="0"/>
              <w:ind w:right="-59"/>
              <w:rPr>
                <w:iCs/>
                <w:sz w:val="16"/>
                <w:szCs w:val="16"/>
              </w:rPr>
            </w:pPr>
          </w:p>
        </w:tc>
      </w:tr>
    </w:tbl>
    <w:p w:rsidR="0063482E" w:rsidRDefault="0063482E" w:rsidP="0063482E">
      <w:pPr>
        <w:widowControl w:val="0"/>
        <w:tabs>
          <w:tab w:val="left" w:pos="567"/>
          <w:tab w:val="left" w:pos="1985"/>
        </w:tabs>
        <w:jc w:val="both"/>
        <w:rPr>
          <w:bCs/>
          <w:sz w:val="20"/>
        </w:rPr>
      </w:pPr>
    </w:p>
    <w:p w:rsidR="00FC6442" w:rsidRPr="00C75C7E" w:rsidRDefault="00FC6442" w:rsidP="00962ADA">
      <w:pPr>
        <w:keepNext/>
        <w:keepLines/>
        <w:widowControl w:val="0"/>
        <w:tabs>
          <w:tab w:val="left" w:pos="567"/>
          <w:tab w:val="left" w:pos="1985"/>
        </w:tabs>
        <w:jc w:val="both"/>
        <w:rPr>
          <w:bCs/>
          <w:sz w:val="20"/>
        </w:rPr>
      </w:pPr>
    </w:p>
    <w:p w:rsidR="0063482E" w:rsidRPr="00C75C7E" w:rsidRDefault="0063482E" w:rsidP="00962ADA">
      <w:pPr>
        <w:keepNext/>
        <w:keepLines/>
        <w:widowControl w:val="0"/>
        <w:tabs>
          <w:tab w:val="left" w:pos="567"/>
          <w:tab w:val="left" w:pos="1985"/>
        </w:tabs>
        <w:jc w:val="both"/>
        <w:rPr>
          <w:bCs/>
          <w:sz w:val="20"/>
          <w:lang w:val="es-ES_tradnl"/>
        </w:rPr>
      </w:pPr>
      <w:r w:rsidRPr="00C75C7E">
        <w:rPr>
          <w:bCs/>
          <w:szCs w:val="22"/>
          <w:lang w:val="es-ES_tradnl"/>
        </w:rPr>
        <w:t>MARCO DE RESULTADOS</w:t>
      </w:r>
    </w:p>
    <w:p w:rsidR="0063482E" w:rsidRPr="00C75C7E" w:rsidRDefault="0063482E" w:rsidP="00962ADA">
      <w:pPr>
        <w:keepNext/>
        <w:keepLines/>
        <w:widowControl w:val="0"/>
        <w:tabs>
          <w:tab w:val="left" w:pos="567"/>
          <w:tab w:val="left" w:pos="1985"/>
        </w:tabs>
        <w:jc w:val="both"/>
        <w:rPr>
          <w:bCs/>
          <w:sz w:val="20"/>
          <w:lang w:val="es-ES_tradnl"/>
        </w:rPr>
      </w:pPr>
    </w:p>
    <w:tbl>
      <w:tblPr>
        <w:tblW w:w="4914"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349"/>
        <w:gridCol w:w="2848"/>
        <w:gridCol w:w="2175"/>
        <w:gridCol w:w="2034"/>
      </w:tblGrid>
      <w:tr w:rsidR="0063482E" w:rsidRPr="00C75C7E" w:rsidTr="00EF3DB5">
        <w:trPr>
          <w:cantSplit/>
          <w:trHeight w:val="461"/>
          <w:tblHeader/>
        </w:trPr>
        <w:tc>
          <w:tcPr>
            <w:tcW w:w="1249" w:type="pct"/>
            <w:tcBorders>
              <w:top w:val="single" w:sz="4" w:space="0" w:color="auto"/>
              <w:left w:val="single" w:sz="4" w:space="0" w:color="auto"/>
              <w:bottom w:val="single" w:sz="4" w:space="0" w:color="auto"/>
            </w:tcBorders>
            <w:shd w:val="clear" w:color="auto" w:fill="CCFFFF"/>
            <w:vAlign w:val="center"/>
          </w:tcPr>
          <w:p w:rsidR="0063482E" w:rsidRPr="00C75C7E" w:rsidRDefault="0063482E" w:rsidP="00EF3DB5">
            <w:pPr>
              <w:widowControl w:val="0"/>
              <w:spacing w:after="120"/>
              <w:jc w:val="center"/>
              <w:rPr>
                <w:b/>
                <w:bCs/>
                <w:sz w:val="18"/>
                <w:szCs w:val="18"/>
                <w:lang w:val="es-ES_tradnl"/>
              </w:rPr>
            </w:pPr>
            <w:r w:rsidRPr="00C75C7E">
              <w:rPr>
                <w:b/>
                <w:bCs/>
                <w:sz w:val="18"/>
                <w:szCs w:val="18"/>
                <w:lang w:val="es-ES_tradnl"/>
              </w:rPr>
              <w:t>Resultados previstos</w:t>
            </w:r>
          </w:p>
        </w:tc>
        <w:tc>
          <w:tcPr>
            <w:tcW w:w="1514" w:type="pct"/>
            <w:tcBorders>
              <w:top w:val="single" w:sz="4" w:space="0" w:color="auto"/>
              <w:bottom w:val="single" w:sz="4" w:space="0" w:color="auto"/>
            </w:tcBorders>
            <w:shd w:val="clear" w:color="auto" w:fill="CCFFFF"/>
            <w:tcMar>
              <w:top w:w="110" w:type="dxa"/>
            </w:tcMar>
            <w:vAlign w:val="center"/>
          </w:tcPr>
          <w:p w:rsidR="0063482E" w:rsidRPr="00C75C7E" w:rsidRDefault="0063482E" w:rsidP="00EF3DB5">
            <w:pPr>
              <w:widowControl w:val="0"/>
              <w:spacing w:after="120"/>
              <w:jc w:val="center"/>
              <w:rPr>
                <w:b/>
                <w:sz w:val="18"/>
                <w:szCs w:val="18"/>
                <w:lang w:val="es-ES_tradnl"/>
              </w:rPr>
            </w:pPr>
            <w:r w:rsidRPr="00C75C7E">
              <w:rPr>
                <w:b/>
                <w:sz w:val="18"/>
                <w:szCs w:val="18"/>
                <w:lang w:val="es-ES_tradnl"/>
              </w:rPr>
              <w:t>Indicadores de rendimiento</w:t>
            </w:r>
          </w:p>
        </w:tc>
        <w:tc>
          <w:tcPr>
            <w:tcW w:w="1156" w:type="pct"/>
            <w:tcBorders>
              <w:top w:val="single" w:sz="4" w:space="0" w:color="auto"/>
              <w:bottom w:val="single" w:sz="4" w:space="0" w:color="auto"/>
            </w:tcBorders>
            <w:shd w:val="clear" w:color="auto" w:fill="CCFFFF"/>
            <w:tcMar>
              <w:top w:w="110" w:type="dxa"/>
            </w:tcMar>
            <w:vAlign w:val="center"/>
          </w:tcPr>
          <w:p w:rsidR="0063482E" w:rsidRPr="00C75C7E" w:rsidRDefault="0063482E" w:rsidP="00EF3DB5">
            <w:pPr>
              <w:widowControl w:val="0"/>
              <w:spacing w:after="120"/>
              <w:ind w:left="85"/>
              <w:jc w:val="center"/>
              <w:rPr>
                <w:sz w:val="18"/>
                <w:szCs w:val="18"/>
                <w:lang w:val="es-ES_tradnl"/>
              </w:rPr>
            </w:pPr>
            <w:r w:rsidRPr="00C75C7E">
              <w:rPr>
                <w:b/>
                <w:bCs/>
                <w:sz w:val="18"/>
                <w:szCs w:val="18"/>
                <w:lang w:val="es-ES_tradnl"/>
              </w:rPr>
              <w:t>Referencia</w:t>
            </w:r>
          </w:p>
        </w:tc>
        <w:tc>
          <w:tcPr>
            <w:tcW w:w="1081" w:type="pct"/>
            <w:tcBorders>
              <w:top w:val="single" w:sz="4" w:space="0" w:color="auto"/>
              <w:bottom w:val="single" w:sz="4" w:space="0" w:color="auto"/>
              <w:right w:val="single" w:sz="4" w:space="0" w:color="auto"/>
            </w:tcBorders>
            <w:shd w:val="clear" w:color="auto" w:fill="CCFFFF"/>
            <w:tcMar>
              <w:top w:w="110" w:type="dxa"/>
            </w:tcMar>
            <w:vAlign w:val="center"/>
          </w:tcPr>
          <w:p w:rsidR="0063482E" w:rsidRPr="00C75C7E" w:rsidRDefault="0063482E" w:rsidP="00EF3DB5">
            <w:pPr>
              <w:widowControl w:val="0"/>
              <w:tabs>
                <w:tab w:val="left" w:pos="1868"/>
              </w:tabs>
              <w:spacing w:after="120"/>
              <w:ind w:right="51"/>
              <w:jc w:val="center"/>
              <w:rPr>
                <w:b/>
                <w:bCs/>
                <w:sz w:val="18"/>
                <w:szCs w:val="18"/>
                <w:lang w:val="es-ES_tradnl"/>
              </w:rPr>
            </w:pPr>
            <w:r w:rsidRPr="00C75C7E">
              <w:rPr>
                <w:b/>
                <w:bCs/>
                <w:sz w:val="18"/>
                <w:szCs w:val="18"/>
                <w:lang w:val="es-ES_tradnl"/>
              </w:rPr>
              <w:t>Objetivos</w:t>
            </w:r>
          </w:p>
        </w:tc>
      </w:tr>
      <w:tr w:rsidR="0063482E" w:rsidRPr="00C75C7E" w:rsidTr="00EF3DB5">
        <w:trPr>
          <w:cantSplit/>
        </w:trPr>
        <w:tc>
          <w:tcPr>
            <w:tcW w:w="1249" w:type="pct"/>
            <w:vMerge w:val="restart"/>
            <w:tcBorders>
              <w:top w:val="single" w:sz="4" w:space="0" w:color="auto"/>
            </w:tcBorders>
            <w:shd w:val="clear" w:color="auto" w:fill="auto"/>
            <w:tcMar>
              <w:top w:w="113" w:type="dxa"/>
            </w:tcMar>
          </w:tcPr>
          <w:p w:rsidR="0063482E" w:rsidRPr="00C75C7E" w:rsidRDefault="0063482E" w:rsidP="00EF3DB5">
            <w:pPr>
              <w:widowControl w:val="0"/>
              <w:rPr>
                <w:sz w:val="16"/>
                <w:szCs w:val="16"/>
                <w:lang w:val="es-ES_tradnl"/>
              </w:rPr>
            </w:pPr>
            <w:r w:rsidRPr="00C75C7E">
              <w:rPr>
                <w:sz w:val="16"/>
                <w:szCs w:val="16"/>
                <w:lang w:val="es-ES_tradnl"/>
              </w:rPr>
              <w:t>II.8. Las controversias nacionales e internacionales en materia de P.I. se evitan o resuelven cada vez con más frecuencia mediante procedimientos de mediación, arbitraje y demás métodos de solución extrajudicial de controversias.</w:t>
            </w:r>
          </w:p>
        </w:tc>
        <w:tc>
          <w:tcPr>
            <w:tcW w:w="1514" w:type="pct"/>
            <w:tcBorders>
              <w:top w:val="single" w:sz="4" w:space="0" w:color="auto"/>
            </w:tcBorders>
            <w:shd w:val="clear" w:color="auto" w:fill="auto"/>
            <w:tcMar>
              <w:top w:w="113" w:type="dxa"/>
            </w:tcMar>
          </w:tcPr>
          <w:p w:rsidR="0063482E" w:rsidRPr="00C75C7E" w:rsidRDefault="0063482E" w:rsidP="00EF3DB5">
            <w:pPr>
              <w:widowControl w:val="0"/>
              <w:rPr>
                <w:sz w:val="16"/>
                <w:szCs w:val="16"/>
                <w:lang w:val="es-ES_tradnl"/>
              </w:rPr>
            </w:pPr>
            <w:r w:rsidRPr="00C75C7E">
              <w:rPr>
                <w:sz w:val="16"/>
                <w:szCs w:val="16"/>
                <w:lang w:val="es-ES_tradnl"/>
              </w:rPr>
              <w:t>Se considera cada vez más la posibilidad de utilizar servicios de solución extrajudicial de controversias en las transacciones sobre propiedad intelectual, entre otros medios, valiéndose de los procedimientos de la OMPI.</w:t>
            </w:r>
          </w:p>
        </w:tc>
        <w:tc>
          <w:tcPr>
            <w:tcW w:w="1156" w:type="pct"/>
            <w:tcBorders>
              <w:top w:val="single" w:sz="4" w:space="0" w:color="auto"/>
            </w:tcBorders>
            <w:shd w:val="clear" w:color="auto" w:fill="FFFFFF"/>
            <w:tcMar>
              <w:top w:w="113" w:type="dxa"/>
            </w:tcMar>
          </w:tcPr>
          <w:p w:rsidR="0063482E" w:rsidRPr="00C75C7E" w:rsidRDefault="0063482E" w:rsidP="00EF3DB5">
            <w:pPr>
              <w:widowControl w:val="0"/>
              <w:rPr>
                <w:sz w:val="16"/>
                <w:szCs w:val="16"/>
                <w:lang w:val="es-ES_tradnl" w:bidi="th-TH"/>
              </w:rPr>
            </w:pPr>
            <w:r w:rsidRPr="00C75C7E">
              <w:rPr>
                <w:sz w:val="16"/>
                <w:szCs w:val="16"/>
                <w:lang w:val="es-ES_tradnl" w:bidi="th-TH"/>
              </w:rPr>
              <w:t xml:space="preserve">284 controversias y 79  mediaciones (en total al final de 2012) </w:t>
            </w:r>
          </w:p>
          <w:p w:rsidR="0063482E" w:rsidRPr="00C75C7E" w:rsidRDefault="0063482E" w:rsidP="00EF3DB5">
            <w:pPr>
              <w:widowControl w:val="0"/>
              <w:rPr>
                <w:sz w:val="16"/>
                <w:szCs w:val="16"/>
                <w:lang w:val="es-ES_tradnl" w:bidi="th-TH"/>
              </w:rPr>
            </w:pPr>
            <w:r w:rsidRPr="00C75C7E">
              <w:rPr>
                <w:sz w:val="16"/>
                <w:szCs w:val="16"/>
                <w:lang w:val="es-ES_tradnl" w:bidi="th-TH"/>
              </w:rPr>
              <w:t xml:space="preserve">4.000 consultas recibidas (2010/11) </w:t>
            </w:r>
          </w:p>
          <w:p w:rsidR="0063482E" w:rsidRPr="00C75C7E" w:rsidRDefault="0063482E" w:rsidP="00EF3DB5">
            <w:pPr>
              <w:widowControl w:val="0"/>
              <w:rPr>
                <w:sz w:val="16"/>
                <w:szCs w:val="16"/>
                <w:lang w:val="es-ES_tradnl" w:bidi="th-TH"/>
              </w:rPr>
            </w:pPr>
            <w:r w:rsidRPr="00C75C7E">
              <w:rPr>
                <w:sz w:val="16"/>
                <w:szCs w:val="16"/>
                <w:lang w:val="es-ES_tradnl" w:bidi="th-TH"/>
              </w:rPr>
              <w:t xml:space="preserve">30 millones de visitas al sitio web (en total al final de 2012) </w:t>
            </w:r>
          </w:p>
          <w:p w:rsidR="0063482E" w:rsidRPr="00C75C7E" w:rsidRDefault="0063482E" w:rsidP="00EF3DB5">
            <w:pPr>
              <w:widowControl w:val="0"/>
              <w:rPr>
                <w:sz w:val="16"/>
                <w:szCs w:val="16"/>
                <w:lang w:val="es-ES_tradnl" w:bidi="th-TH"/>
              </w:rPr>
            </w:pPr>
            <w:r w:rsidRPr="00C75C7E">
              <w:rPr>
                <w:sz w:val="16"/>
                <w:szCs w:val="16"/>
                <w:lang w:val="es-ES_tradnl" w:bidi="th-TH"/>
              </w:rPr>
              <w:t xml:space="preserve">276 participantes en actividades corrientes del Centro de Arbitraje (2010/11); </w:t>
            </w:r>
          </w:p>
          <w:p w:rsidR="0063482E" w:rsidRPr="00C75C7E" w:rsidRDefault="0063482E" w:rsidP="00EF3DB5">
            <w:pPr>
              <w:widowControl w:val="0"/>
              <w:rPr>
                <w:sz w:val="16"/>
                <w:szCs w:val="16"/>
                <w:lang w:val="es-ES_tradnl" w:bidi="th-TH"/>
              </w:rPr>
            </w:pPr>
            <w:r w:rsidRPr="00C75C7E">
              <w:rPr>
                <w:sz w:val="16"/>
                <w:szCs w:val="16"/>
                <w:lang w:val="es-ES_tradnl" w:bidi="th-TH"/>
              </w:rPr>
              <w:t>3.000 participantes en reuniones externas del Centro de Arbitraje (2010/11).</w:t>
            </w:r>
          </w:p>
          <w:p w:rsidR="0063482E" w:rsidRPr="00C75C7E" w:rsidRDefault="0063482E" w:rsidP="00EF3DB5">
            <w:pPr>
              <w:widowControl w:val="0"/>
              <w:rPr>
                <w:sz w:val="16"/>
                <w:szCs w:val="16"/>
                <w:lang w:val="es-ES_tradnl"/>
              </w:rPr>
            </w:pPr>
          </w:p>
        </w:tc>
        <w:tc>
          <w:tcPr>
            <w:tcW w:w="1081" w:type="pct"/>
            <w:tcBorders>
              <w:top w:val="single" w:sz="4" w:space="0" w:color="auto"/>
            </w:tcBorders>
            <w:shd w:val="clear" w:color="auto" w:fill="auto"/>
            <w:tcMar>
              <w:top w:w="113" w:type="dxa"/>
            </w:tcMar>
          </w:tcPr>
          <w:p w:rsidR="0063482E" w:rsidRPr="00C75C7E" w:rsidRDefault="0063482E" w:rsidP="00EF3DB5">
            <w:pPr>
              <w:widowControl w:val="0"/>
              <w:ind w:right="381"/>
              <w:rPr>
                <w:bCs/>
                <w:sz w:val="16"/>
                <w:szCs w:val="16"/>
                <w:lang w:val="es-ES_tradnl"/>
              </w:rPr>
            </w:pPr>
            <w:r w:rsidRPr="00C75C7E">
              <w:rPr>
                <w:bCs/>
                <w:sz w:val="16"/>
                <w:szCs w:val="16"/>
                <w:lang w:val="es-ES_tradnl"/>
              </w:rPr>
              <w:t xml:space="preserve">Otras 40 controversias y  mediaciones Otras 4.000 consultas </w:t>
            </w:r>
          </w:p>
          <w:p w:rsidR="0063482E" w:rsidRPr="00C75C7E" w:rsidRDefault="0063482E" w:rsidP="00EF3DB5">
            <w:pPr>
              <w:widowControl w:val="0"/>
              <w:ind w:right="381"/>
              <w:rPr>
                <w:bCs/>
                <w:sz w:val="16"/>
                <w:szCs w:val="16"/>
                <w:lang w:val="es-ES_tradnl"/>
              </w:rPr>
            </w:pPr>
            <w:r w:rsidRPr="00C75C7E">
              <w:rPr>
                <w:bCs/>
                <w:sz w:val="16"/>
                <w:szCs w:val="16"/>
                <w:lang w:val="es-ES_tradnl"/>
              </w:rPr>
              <w:t>Otros 3,5 millones de visitas 250 participantes en actividades corrientes del Centro de Arbitraje 6.000 participantes en reuniones externas del Centro de Arbitraje.</w:t>
            </w:r>
          </w:p>
        </w:tc>
      </w:tr>
      <w:tr w:rsidR="0063482E" w:rsidRPr="00C75C7E" w:rsidTr="00EF3DB5">
        <w:trPr>
          <w:cantSplit/>
        </w:trPr>
        <w:tc>
          <w:tcPr>
            <w:tcW w:w="1249" w:type="pct"/>
            <w:vMerge/>
            <w:tcBorders>
              <w:bottom w:val="nil"/>
            </w:tcBorders>
            <w:shd w:val="clear" w:color="auto" w:fill="auto"/>
            <w:tcMar>
              <w:top w:w="113" w:type="dxa"/>
            </w:tcMar>
          </w:tcPr>
          <w:p w:rsidR="0063482E" w:rsidRPr="00C75C7E" w:rsidRDefault="0063482E" w:rsidP="00EF3DB5">
            <w:pPr>
              <w:widowControl w:val="0"/>
              <w:rPr>
                <w:sz w:val="16"/>
                <w:szCs w:val="16"/>
                <w:lang w:val="es-ES_tradnl"/>
              </w:rPr>
            </w:pPr>
          </w:p>
        </w:tc>
        <w:tc>
          <w:tcPr>
            <w:tcW w:w="1514" w:type="pct"/>
            <w:tcBorders>
              <w:bottom w:val="nil"/>
            </w:tcBorders>
            <w:shd w:val="clear" w:color="auto" w:fill="auto"/>
            <w:tcMar>
              <w:top w:w="113" w:type="dxa"/>
            </w:tcMar>
          </w:tcPr>
          <w:p w:rsidR="0063482E" w:rsidRPr="00C75C7E" w:rsidRDefault="0063482E" w:rsidP="00EF3DB5">
            <w:pPr>
              <w:widowControl w:val="0"/>
              <w:rPr>
                <w:sz w:val="16"/>
                <w:szCs w:val="16"/>
                <w:lang w:val="es-ES_tradnl"/>
              </w:rPr>
            </w:pPr>
            <w:r w:rsidRPr="00C75C7E">
              <w:rPr>
                <w:sz w:val="16"/>
                <w:szCs w:val="16"/>
                <w:lang w:val="es-ES_tradnl"/>
              </w:rPr>
              <w:t>Políticas de solución extrajudicial de controversias en cuya elaboración y aplicación ha participado el Centro.</w:t>
            </w:r>
          </w:p>
        </w:tc>
        <w:tc>
          <w:tcPr>
            <w:tcW w:w="1156" w:type="pct"/>
            <w:tcBorders>
              <w:bottom w:val="nil"/>
            </w:tcBorders>
            <w:shd w:val="clear" w:color="auto" w:fill="FFFFFF"/>
            <w:tcMar>
              <w:top w:w="113" w:type="dxa"/>
            </w:tcMar>
          </w:tcPr>
          <w:p w:rsidR="0063482E" w:rsidRPr="00C75C7E" w:rsidRDefault="0063482E" w:rsidP="00EF3DB5">
            <w:pPr>
              <w:widowControl w:val="0"/>
              <w:rPr>
                <w:sz w:val="16"/>
                <w:szCs w:val="16"/>
                <w:lang w:val="es-ES_tradnl" w:bidi="th-TH"/>
              </w:rPr>
            </w:pPr>
            <w:r w:rsidRPr="00C75C7E">
              <w:rPr>
                <w:sz w:val="16"/>
                <w:szCs w:val="16"/>
                <w:lang w:val="es-ES_tradnl" w:bidi="th-TH"/>
              </w:rPr>
              <w:t>Seis regímenes especiales adoptados (AGICOA, EGEDA, cine y medios de comunicación, ICOM, IPOS, ITPGRFA) (en total al final de 2012).</w:t>
            </w:r>
          </w:p>
          <w:p w:rsidR="0063482E" w:rsidRPr="00C75C7E" w:rsidRDefault="0063482E" w:rsidP="00EF3DB5">
            <w:pPr>
              <w:widowControl w:val="0"/>
              <w:rPr>
                <w:sz w:val="16"/>
                <w:szCs w:val="16"/>
                <w:lang w:val="es-ES_tradnl"/>
              </w:rPr>
            </w:pPr>
          </w:p>
        </w:tc>
        <w:tc>
          <w:tcPr>
            <w:tcW w:w="1081" w:type="pct"/>
            <w:tcBorders>
              <w:bottom w:val="nil"/>
            </w:tcBorders>
            <w:shd w:val="clear" w:color="auto" w:fill="auto"/>
            <w:tcMar>
              <w:top w:w="113" w:type="dxa"/>
            </w:tcMar>
          </w:tcPr>
          <w:p w:rsidR="0063482E" w:rsidRPr="00C75C7E" w:rsidRDefault="0063482E" w:rsidP="00EF3DB5">
            <w:pPr>
              <w:widowControl w:val="0"/>
              <w:ind w:right="51"/>
              <w:rPr>
                <w:bCs/>
                <w:sz w:val="16"/>
                <w:szCs w:val="16"/>
                <w:lang w:val="es-ES_tradnl"/>
              </w:rPr>
            </w:pPr>
            <w:r w:rsidRPr="00C75C7E">
              <w:rPr>
                <w:bCs/>
                <w:sz w:val="16"/>
                <w:szCs w:val="16"/>
                <w:lang w:val="es-ES_tradnl"/>
              </w:rPr>
              <w:t>De uno a tres nuevos regímenes especiales.</w:t>
            </w:r>
          </w:p>
        </w:tc>
      </w:tr>
      <w:tr w:rsidR="0063482E" w:rsidRPr="00C75C7E" w:rsidTr="00EF3DB5">
        <w:trPr>
          <w:cantSplit/>
          <w:trHeight w:val="812"/>
        </w:trPr>
        <w:tc>
          <w:tcPr>
            <w:tcW w:w="1249" w:type="pct"/>
            <w:vMerge w:val="restart"/>
            <w:tcBorders>
              <w:top w:val="nil"/>
              <w:bottom w:val="single" w:sz="4" w:space="0" w:color="auto"/>
            </w:tcBorders>
            <w:shd w:val="clear" w:color="auto" w:fill="auto"/>
            <w:tcMar>
              <w:top w:w="113" w:type="dxa"/>
            </w:tcMar>
          </w:tcPr>
          <w:p w:rsidR="0063482E" w:rsidRPr="00C75C7E" w:rsidRDefault="0063482E" w:rsidP="00EF3DB5">
            <w:pPr>
              <w:widowControl w:val="0"/>
              <w:rPr>
                <w:sz w:val="16"/>
                <w:szCs w:val="16"/>
                <w:lang w:val="es-ES_tradnl"/>
              </w:rPr>
            </w:pPr>
            <w:r w:rsidRPr="00C75C7E">
              <w:rPr>
                <w:sz w:val="16"/>
                <w:szCs w:val="16"/>
                <w:lang w:val="es-ES_tradnl"/>
              </w:rPr>
              <w:t>II.9.  Protección eficaz de la propiedad intelectual en los gTLD y los ccTLD.</w:t>
            </w:r>
          </w:p>
        </w:tc>
        <w:tc>
          <w:tcPr>
            <w:tcW w:w="1514" w:type="pct"/>
            <w:tcBorders>
              <w:top w:val="nil"/>
              <w:bottom w:val="nil"/>
            </w:tcBorders>
            <w:shd w:val="clear" w:color="auto" w:fill="auto"/>
            <w:tcMar>
              <w:top w:w="113" w:type="dxa"/>
            </w:tcMar>
          </w:tcPr>
          <w:p w:rsidR="0063482E" w:rsidRPr="00C75C7E" w:rsidRDefault="0063482E" w:rsidP="00EF3DB5">
            <w:pPr>
              <w:widowControl w:val="0"/>
              <w:rPr>
                <w:sz w:val="16"/>
                <w:szCs w:val="16"/>
                <w:lang w:val="es-ES_tradnl"/>
              </w:rPr>
            </w:pPr>
            <w:r w:rsidRPr="00C75C7E">
              <w:rPr>
                <w:sz w:val="16"/>
                <w:szCs w:val="16"/>
                <w:lang w:val="es-ES_tradnl"/>
              </w:rPr>
              <w:t>Número de procedimientos relativos a los gTLD administrados en virtud de la Política Uniforme.</w:t>
            </w:r>
          </w:p>
        </w:tc>
        <w:tc>
          <w:tcPr>
            <w:tcW w:w="1156" w:type="pct"/>
            <w:tcBorders>
              <w:top w:val="nil"/>
              <w:bottom w:val="nil"/>
            </w:tcBorders>
            <w:shd w:val="clear" w:color="auto" w:fill="FFFFFF"/>
            <w:tcMar>
              <w:top w:w="113" w:type="dxa"/>
            </w:tcMar>
          </w:tcPr>
          <w:p w:rsidR="0063482E" w:rsidRPr="00C75C7E" w:rsidRDefault="0063482E" w:rsidP="00EF3DB5">
            <w:pPr>
              <w:widowControl w:val="0"/>
              <w:rPr>
                <w:sz w:val="16"/>
                <w:szCs w:val="16"/>
                <w:lang w:val="es-ES_tradnl" w:bidi="th-TH"/>
              </w:rPr>
            </w:pPr>
            <w:r w:rsidRPr="00C75C7E">
              <w:rPr>
                <w:sz w:val="16"/>
                <w:szCs w:val="16"/>
                <w:lang w:val="es-ES_tradnl" w:bidi="th-TH"/>
              </w:rPr>
              <w:t>22.644 procedimientos relativos a los gTLD administrados por el Centro (en total al final de 2012).</w:t>
            </w:r>
          </w:p>
          <w:p w:rsidR="0063482E" w:rsidRPr="00C75C7E" w:rsidRDefault="0063482E" w:rsidP="00EF3DB5">
            <w:pPr>
              <w:widowControl w:val="0"/>
              <w:rPr>
                <w:sz w:val="16"/>
                <w:szCs w:val="16"/>
                <w:lang w:val="es-ES_tradnl"/>
              </w:rPr>
            </w:pPr>
          </w:p>
        </w:tc>
        <w:tc>
          <w:tcPr>
            <w:tcW w:w="1081" w:type="pct"/>
            <w:tcBorders>
              <w:top w:val="nil"/>
              <w:bottom w:val="nil"/>
            </w:tcBorders>
            <w:shd w:val="clear" w:color="auto" w:fill="auto"/>
            <w:tcMar>
              <w:top w:w="113" w:type="dxa"/>
            </w:tcMar>
          </w:tcPr>
          <w:p w:rsidR="0063482E" w:rsidRPr="00C75C7E" w:rsidRDefault="0063482E" w:rsidP="00EF3DB5">
            <w:pPr>
              <w:widowControl w:val="0"/>
              <w:ind w:right="161"/>
              <w:rPr>
                <w:bCs/>
                <w:sz w:val="16"/>
                <w:szCs w:val="16"/>
                <w:lang w:val="es-ES_tradnl"/>
              </w:rPr>
            </w:pPr>
            <w:r w:rsidRPr="00C75C7E">
              <w:rPr>
                <w:bCs/>
                <w:sz w:val="16"/>
                <w:szCs w:val="16"/>
                <w:lang w:val="es-ES_tradnl"/>
              </w:rPr>
              <w:t>Otros 3.000 procedimientos.</w:t>
            </w:r>
          </w:p>
        </w:tc>
      </w:tr>
      <w:tr w:rsidR="0063482E" w:rsidRPr="00C75C7E" w:rsidTr="00EF3DB5">
        <w:trPr>
          <w:cantSplit/>
          <w:trHeight w:val="786"/>
        </w:trPr>
        <w:tc>
          <w:tcPr>
            <w:tcW w:w="1249" w:type="pct"/>
            <w:vMerge/>
            <w:tcBorders>
              <w:top w:val="single" w:sz="4" w:space="0" w:color="auto"/>
            </w:tcBorders>
            <w:shd w:val="clear" w:color="auto" w:fill="auto"/>
            <w:tcMar>
              <w:top w:w="113" w:type="dxa"/>
            </w:tcMar>
          </w:tcPr>
          <w:p w:rsidR="0063482E" w:rsidRPr="00C75C7E" w:rsidRDefault="0063482E" w:rsidP="00EF3DB5">
            <w:pPr>
              <w:widowControl w:val="0"/>
              <w:rPr>
                <w:sz w:val="16"/>
                <w:szCs w:val="16"/>
                <w:lang w:val="es-ES_tradnl"/>
              </w:rPr>
            </w:pPr>
          </w:p>
        </w:tc>
        <w:tc>
          <w:tcPr>
            <w:tcW w:w="1514" w:type="pct"/>
            <w:tcBorders>
              <w:top w:val="nil"/>
              <w:bottom w:val="nil"/>
            </w:tcBorders>
            <w:shd w:val="clear" w:color="auto" w:fill="auto"/>
            <w:tcMar>
              <w:top w:w="113" w:type="dxa"/>
            </w:tcMar>
          </w:tcPr>
          <w:p w:rsidR="0063482E" w:rsidRPr="00C75C7E" w:rsidRDefault="0063482E" w:rsidP="00EF3DB5">
            <w:pPr>
              <w:widowControl w:val="0"/>
              <w:rPr>
                <w:sz w:val="16"/>
                <w:szCs w:val="16"/>
                <w:lang w:val="es-ES_tradnl"/>
              </w:rPr>
            </w:pPr>
            <w:r w:rsidRPr="00C75C7E">
              <w:rPr>
                <w:sz w:val="16"/>
                <w:szCs w:val="16"/>
                <w:lang w:val="es-ES_tradnl"/>
              </w:rPr>
              <w:t>Número de procedimientos relativos a los ccTLD administrados en virtud de la Política Uniforme.</w:t>
            </w:r>
          </w:p>
        </w:tc>
        <w:tc>
          <w:tcPr>
            <w:tcW w:w="1156" w:type="pct"/>
            <w:tcBorders>
              <w:top w:val="nil"/>
              <w:bottom w:val="nil"/>
            </w:tcBorders>
            <w:shd w:val="clear" w:color="auto" w:fill="FFFFFF"/>
            <w:tcMar>
              <w:top w:w="113" w:type="dxa"/>
            </w:tcMar>
          </w:tcPr>
          <w:p w:rsidR="0063482E" w:rsidRPr="00C75C7E" w:rsidRDefault="0063482E" w:rsidP="00EF3DB5">
            <w:pPr>
              <w:widowControl w:val="0"/>
              <w:rPr>
                <w:sz w:val="16"/>
                <w:szCs w:val="16"/>
                <w:lang w:val="es-ES_tradnl" w:bidi="th-TH"/>
              </w:rPr>
            </w:pPr>
            <w:r w:rsidRPr="00C75C7E">
              <w:rPr>
                <w:sz w:val="16"/>
                <w:szCs w:val="16"/>
                <w:lang w:val="es-ES_tradnl" w:bidi="th-TH"/>
              </w:rPr>
              <w:t>2.470 procedimientos relativos a los ccTLD administrados por el Centro (en total al final de 2012).</w:t>
            </w:r>
          </w:p>
        </w:tc>
        <w:tc>
          <w:tcPr>
            <w:tcW w:w="1081" w:type="pct"/>
            <w:tcBorders>
              <w:top w:val="nil"/>
              <w:bottom w:val="nil"/>
              <w:right w:val="single" w:sz="4" w:space="0" w:color="auto"/>
            </w:tcBorders>
            <w:shd w:val="clear" w:color="auto" w:fill="auto"/>
            <w:tcMar>
              <w:top w:w="113" w:type="dxa"/>
            </w:tcMar>
          </w:tcPr>
          <w:p w:rsidR="0063482E" w:rsidRPr="00C75C7E" w:rsidRDefault="0063482E" w:rsidP="00EF3DB5">
            <w:pPr>
              <w:widowControl w:val="0"/>
              <w:ind w:right="161"/>
              <w:rPr>
                <w:bCs/>
                <w:sz w:val="16"/>
                <w:szCs w:val="16"/>
                <w:lang w:val="es-ES_tradnl"/>
              </w:rPr>
            </w:pPr>
            <w:r w:rsidRPr="00C75C7E">
              <w:rPr>
                <w:bCs/>
                <w:sz w:val="16"/>
                <w:szCs w:val="16"/>
                <w:lang w:val="es-ES_tradnl"/>
              </w:rPr>
              <w:t>Otros 350 procedimientos.</w:t>
            </w:r>
          </w:p>
        </w:tc>
      </w:tr>
      <w:tr w:rsidR="0063482E" w:rsidRPr="00C75C7E" w:rsidTr="00EF3DB5">
        <w:trPr>
          <w:cantSplit/>
          <w:trHeight w:val="930"/>
        </w:trPr>
        <w:tc>
          <w:tcPr>
            <w:tcW w:w="1249" w:type="pct"/>
            <w:vMerge/>
            <w:shd w:val="clear" w:color="auto" w:fill="auto"/>
            <w:tcMar>
              <w:top w:w="113" w:type="dxa"/>
            </w:tcMar>
          </w:tcPr>
          <w:p w:rsidR="0063482E" w:rsidRPr="00C75C7E" w:rsidRDefault="0063482E" w:rsidP="00EF3DB5">
            <w:pPr>
              <w:widowControl w:val="0"/>
              <w:rPr>
                <w:sz w:val="16"/>
                <w:szCs w:val="16"/>
                <w:lang w:val="es-ES_tradnl"/>
              </w:rPr>
            </w:pPr>
          </w:p>
        </w:tc>
        <w:tc>
          <w:tcPr>
            <w:tcW w:w="1514" w:type="pct"/>
            <w:tcBorders>
              <w:top w:val="nil"/>
              <w:bottom w:val="nil"/>
            </w:tcBorders>
            <w:shd w:val="clear" w:color="auto" w:fill="auto"/>
            <w:tcMar>
              <w:top w:w="113" w:type="dxa"/>
            </w:tcMar>
          </w:tcPr>
          <w:p w:rsidR="0063482E" w:rsidRPr="00C75C7E" w:rsidRDefault="0063482E" w:rsidP="00EF3DB5">
            <w:pPr>
              <w:widowControl w:val="0"/>
              <w:rPr>
                <w:sz w:val="16"/>
                <w:szCs w:val="16"/>
                <w:lang w:val="es-ES_tradnl"/>
              </w:rPr>
            </w:pPr>
            <w:r w:rsidRPr="00C75C7E">
              <w:rPr>
                <w:sz w:val="16"/>
                <w:szCs w:val="16"/>
                <w:lang w:val="es-ES_tradnl"/>
              </w:rPr>
              <w:t xml:space="preserve">Políticas de solución extrajudicial de controversias </w:t>
            </w:r>
            <w:r w:rsidR="00281871">
              <w:rPr>
                <w:sz w:val="16"/>
                <w:szCs w:val="16"/>
                <w:lang w:val="es-ES_tradnl"/>
              </w:rPr>
              <w:t xml:space="preserve">en el Sistema de Nombres de Dominio </w:t>
            </w:r>
            <w:r w:rsidRPr="00C75C7E">
              <w:rPr>
                <w:sz w:val="16"/>
                <w:szCs w:val="16"/>
                <w:lang w:val="es-ES_tradnl"/>
              </w:rPr>
              <w:t>en cuya elaboración y aplicación ha participado el Centro.</w:t>
            </w:r>
          </w:p>
        </w:tc>
        <w:tc>
          <w:tcPr>
            <w:tcW w:w="1156" w:type="pct"/>
            <w:tcBorders>
              <w:top w:val="nil"/>
              <w:bottom w:val="nil"/>
            </w:tcBorders>
            <w:shd w:val="clear" w:color="auto" w:fill="FFFFFF"/>
            <w:tcMar>
              <w:top w:w="113" w:type="dxa"/>
            </w:tcMar>
          </w:tcPr>
          <w:p w:rsidR="0063482E" w:rsidRPr="00C75C7E" w:rsidRDefault="0063482E" w:rsidP="00EF3DB5">
            <w:pPr>
              <w:widowControl w:val="0"/>
              <w:rPr>
                <w:sz w:val="16"/>
                <w:szCs w:val="16"/>
                <w:lang w:val="es-ES_tradnl" w:bidi="th-TH"/>
              </w:rPr>
            </w:pPr>
            <w:r w:rsidRPr="00C75C7E">
              <w:rPr>
                <w:sz w:val="16"/>
                <w:szCs w:val="16"/>
                <w:lang w:val="es-ES_tradnl" w:bidi="th-TH"/>
              </w:rPr>
              <w:t>Política Uniforme, Política de solución de controversias para la etapa previa a la adjudicación (en total al final de 2012).</w:t>
            </w:r>
          </w:p>
          <w:p w:rsidR="0063482E" w:rsidRPr="00C75C7E" w:rsidRDefault="0063482E" w:rsidP="00EF3DB5">
            <w:pPr>
              <w:widowControl w:val="0"/>
              <w:rPr>
                <w:sz w:val="16"/>
                <w:szCs w:val="16"/>
                <w:lang w:val="es-ES_tradnl" w:bidi="th-TH"/>
              </w:rPr>
            </w:pPr>
          </w:p>
        </w:tc>
        <w:tc>
          <w:tcPr>
            <w:tcW w:w="1081" w:type="pct"/>
            <w:tcBorders>
              <w:top w:val="nil"/>
              <w:bottom w:val="nil"/>
              <w:right w:val="single" w:sz="4" w:space="0" w:color="auto"/>
            </w:tcBorders>
            <w:shd w:val="clear" w:color="auto" w:fill="auto"/>
            <w:tcMar>
              <w:top w:w="113" w:type="dxa"/>
            </w:tcMar>
          </w:tcPr>
          <w:p w:rsidR="0063482E" w:rsidRPr="00C75C7E" w:rsidRDefault="0063482E" w:rsidP="00EF3DB5">
            <w:pPr>
              <w:widowControl w:val="0"/>
              <w:ind w:right="161"/>
              <w:rPr>
                <w:bCs/>
                <w:sz w:val="16"/>
                <w:szCs w:val="16"/>
                <w:lang w:val="es-ES_tradnl"/>
              </w:rPr>
            </w:pPr>
            <w:r w:rsidRPr="00C75C7E">
              <w:rPr>
                <w:bCs/>
                <w:sz w:val="16"/>
                <w:szCs w:val="16"/>
                <w:lang w:val="es-ES_tradnl"/>
              </w:rPr>
              <w:t xml:space="preserve">Aplicación en el </w:t>
            </w:r>
            <w:r w:rsidR="00281871" w:rsidRPr="00C75C7E">
              <w:rPr>
                <w:bCs/>
                <w:sz w:val="16"/>
                <w:szCs w:val="16"/>
                <w:lang w:val="es-ES_tradnl"/>
              </w:rPr>
              <w:t xml:space="preserve">Sistema </w:t>
            </w:r>
            <w:r w:rsidRPr="00C75C7E">
              <w:rPr>
                <w:bCs/>
                <w:sz w:val="16"/>
                <w:szCs w:val="16"/>
                <w:lang w:val="es-ES_tradnl"/>
              </w:rPr>
              <w:t xml:space="preserve">de </w:t>
            </w:r>
            <w:r w:rsidR="00281871" w:rsidRPr="00C75C7E">
              <w:rPr>
                <w:bCs/>
                <w:sz w:val="16"/>
                <w:szCs w:val="16"/>
                <w:lang w:val="es-ES_tradnl"/>
              </w:rPr>
              <w:t xml:space="preserve">Nombres </w:t>
            </w:r>
            <w:r w:rsidRPr="00C75C7E">
              <w:rPr>
                <w:bCs/>
                <w:sz w:val="16"/>
                <w:szCs w:val="16"/>
                <w:lang w:val="es-ES_tradnl"/>
              </w:rPr>
              <w:t xml:space="preserve">de </w:t>
            </w:r>
            <w:r w:rsidR="00281871" w:rsidRPr="00C75C7E">
              <w:rPr>
                <w:bCs/>
                <w:sz w:val="16"/>
                <w:szCs w:val="16"/>
                <w:lang w:val="es-ES_tradnl"/>
              </w:rPr>
              <w:t xml:space="preserve">Dominio </w:t>
            </w:r>
            <w:r w:rsidRPr="00C75C7E">
              <w:rPr>
                <w:bCs/>
                <w:sz w:val="16"/>
                <w:szCs w:val="16"/>
                <w:lang w:val="es-ES_tradnl"/>
              </w:rPr>
              <w:t>de las recomendaciones de la OMPI en materia de política y procedimientos.</w:t>
            </w:r>
          </w:p>
          <w:p w:rsidR="0063482E" w:rsidRPr="00C75C7E" w:rsidRDefault="0063482E" w:rsidP="00EF3DB5">
            <w:pPr>
              <w:widowControl w:val="0"/>
              <w:ind w:right="161"/>
              <w:rPr>
                <w:bCs/>
                <w:sz w:val="16"/>
                <w:szCs w:val="16"/>
                <w:lang w:val="es-ES_tradnl"/>
              </w:rPr>
            </w:pPr>
          </w:p>
        </w:tc>
      </w:tr>
      <w:tr w:rsidR="0063482E" w:rsidRPr="00C75C7E" w:rsidTr="00EF3DB5">
        <w:trPr>
          <w:cantSplit/>
          <w:trHeight w:val="1171"/>
        </w:trPr>
        <w:tc>
          <w:tcPr>
            <w:tcW w:w="1249" w:type="pct"/>
            <w:vMerge/>
            <w:tcBorders>
              <w:bottom w:val="single" w:sz="4" w:space="0" w:color="auto"/>
            </w:tcBorders>
            <w:shd w:val="clear" w:color="auto" w:fill="auto"/>
            <w:tcMar>
              <w:top w:w="113" w:type="dxa"/>
            </w:tcMar>
          </w:tcPr>
          <w:p w:rsidR="0063482E" w:rsidRPr="00C75C7E" w:rsidRDefault="0063482E" w:rsidP="00EF3DB5">
            <w:pPr>
              <w:widowControl w:val="0"/>
              <w:rPr>
                <w:sz w:val="16"/>
                <w:szCs w:val="16"/>
                <w:lang w:val="es-ES_tradnl"/>
              </w:rPr>
            </w:pPr>
          </w:p>
        </w:tc>
        <w:tc>
          <w:tcPr>
            <w:tcW w:w="1514" w:type="pct"/>
            <w:tcBorders>
              <w:top w:val="nil"/>
              <w:bottom w:val="single" w:sz="4" w:space="0" w:color="auto"/>
            </w:tcBorders>
            <w:shd w:val="clear" w:color="auto" w:fill="auto"/>
            <w:tcMar>
              <w:top w:w="113" w:type="dxa"/>
            </w:tcMar>
          </w:tcPr>
          <w:p w:rsidR="0063482E" w:rsidRPr="00C75C7E" w:rsidRDefault="0063482E" w:rsidP="00EF3DB5">
            <w:pPr>
              <w:widowControl w:val="0"/>
              <w:rPr>
                <w:sz w:val="16"/>
                <w:szCs w:val="16"/>
                <w:lang w:val="es-ES_tradnl"/>
              </w:rPr>
            </w:pPr>
            <w:r w:rsidRPr="00C75C7E">
              <w:rPr>
                <w:sz w:val="16"/>
                <w:szCs w:val="16"/>
                <w:lang w:val="es-ES_tradnl"/>
              </w:rPr>
              <w:t>Número de administradores de ccTLD que disponen de mecanismos de protección de P.I. concebidos o administrados por la OMPI de conformidad con las normas internacionales.</w:t>
            </w:r>
          </w:p>
        </w:tc>
        <w:tc>
          <w:tcPr>
            <w:tcW w:w="1156" w:type="pct"/>
            <w:tcBorders>
              <w:top w:val="nil"/>
              <w:bottom w:val="single" w:sz="4" w:space="0" w:color="auto"/>
            </w:tcBorders>
            <w:shd w:val="clear" w:color="auto" w:fill="FFFFFF"/>
            <w:tcMar>
              <w:top w:w="113" w:type="dxa"/>
            </w:tcMar>
          </w:tcPr>
          <w:p w:rsidR="0063482E" w:rsidRPr="00C75C7E" w:rsidRDefault="0063482E" w:rsidP="00EF3DB5">
            <w:pPr>
              <w:widowControl w:val="0"/>
              <w:rPr>
                <w:sz w:val="16"/>
                <w:szCs w:val="16"/>
                <w:lang w:val="es-ES_tradnl" w:bidi="th-TH"/>
              </w:rPr>
            </w:pPr>
            <w:r w:rsidRPr="00C75C7E">
              <w:rPr>
                <w:sz w:val="16"/>
                <w:szCs w:val="16"/>
                <w:lang w:val="es-ES_tradnl" w:bidi="th-TH"/>
              </w:rPr>
              <w:t>67</w:t>
            </w:r>
            <w:r w:rsidRPr="00F73403">
              <w:rPr>
                <w:sz w:val="16"/>
                <w:szCs w:val="16"/>
                <w:lang w:val="es-ES_tradnl" w:bidi="th-TH"/>
              </w:rPr>
              <w:t xml:space="preserve"> </w:t>
            </w:r>
            <w:r w:rsidRPr="00C75C7E">
              <w:rPr>
                <w:sz w:val="16"/>
                <w:szCs w:val="16"/>
                <w:lang w:val="es-ES_tradnl" w:bidi="th-TH"/>
              </w:rPr>
              <w:t>administradores de ccTLD (en total al final de 2012).</w:t>
            </w:r>
          </w:p>
          <w:p w:rsidR="0063482E" w:rsidRPr="00C75C7E" w:rsidRDefault="0063482E" w:rsidP="00EF3DB5">
            <w:pPr>
              <w:widowControl w:val="0"/>
              <w:rPr>
                <w:sz w:val="16"/>
                <w:szCs w:val="16"/>
                <w:lang w:val="es-ES_tradnl" w:bidi="th-TH"/>
              </w:rPr>
            </w:pPr>
          </w:p>
          <w:p w:rsidR="0063482E" w:rsidRPr="00C75C7E" w:rsidRDefault="0063482E" w:rsidP="00EF3DB5">
            <w:pPr>
              <w:widowControl w:val="0"/>
              <w:rPr>
                <w:sz w:val="16"/>
                <w:szCs w:val="16"/>
                <w:lang w:val="es-ES_tradnl" w:bidi="th-TH"/>
              </w:rPr>
            </w:pPr>
          </w:p>
        </w:tc>
        <w:tc>
          <w:tcPr>
            <w:tcW w:w="1081" w:type="pct"/>
            <w:tcBorders>
              <w:top w:val="nil"/>
              <w:bottom w:val="single" w:sz="4" w:space="0" w:color="auto"/>
              <w:right w:val="single" w:sz="4" w:space="0" w:color="auto"/>
            </w:tcBorders>
            <w:shd w:val="clear" w:color="auto" w:fill="auto"/>
            <w:tcMar>
              <w:top w:w="113" w:type="dxa"/>
            </w:tcMar>
          </w:tcPr>
          <w:p w:rsidR="0063482E" w:rsidRPr="00C75C7E" w:rsidRDefault="0063482E" w:rsidP="00EF3DB5">
            <w:pPr>
              <w:widowControl w:val="0"/>
              <w:ind w:right="161"/>
              <w:rPr>
                <w:bCs/>
                <w:sz w:val="16"/>
                <w:szCs w:val="16"/>
                <w:lang w:val="es-ES_tradnl"/>
              </w:rPr>
            </w:pPr>
            <w:r w:rsidRPr="00C75C7E">
              <w:rPr>
                <w:bCs/>
                <w:sz w:val="16"/>
                <w:szCs w:val="16"/>
                <w:lang w:val="es-ES_tradnl"/>
              </w:rPr>
              <w:t>Cuatro nuevos administradores.</w:t>
            </w:r>
          </w:p>
        </w:tc>
      </w:tr>
    </w:tbl>
    <w:p w:rsidR="0063482E" w:rsidRPr="00C75C7E" w:rsidRDefault="0063482E" w:rsidP="0063482E">
      <w:pPr>
        <w:widowControl w:val="0"/>
        <w:rPr>
          <w:sz w:val="20"/>
          <w:lang w:val="es-ES_tradnl"/>
        </w:rPr>
      </w:pPr>
    </w:p>
    <w:p w:rsidR="005E581D" w:rsidRPr="006B0DE9" w:rsidRDefault="005E581D" w:rsidP="005E581D">
      <w:pPr>
        <w:widowControl w:val="0"/>
        <w:rPr>
          <w:sz w:val="20"/>
        </w:rPr>
      </w:pPr>
    </w:p>
    <w:p w:rsidR="005E581D" w:rsidRPr="006B0DE9" w:rsidRDefault="005E581D" w:rsidP="005E581D">
      <w:pPr>
        <w:widowControl w:val="0"/>
        <w:autoSpaceDE w:val="0"/>
        <w:autoSpaceDN w:val="0"/>
        <w:adjustRightInd w:val="0"/>
        <w:jc w:val="both"/>
        <w:rPr>
          <w:szCs w:val="22"/>
        </w:rPr>
      </w:pPr>
      <w:r w:rsidRPr="006B0DE9">
        <w:rPr>
          <w:szCs w:val="22"/>
        </w:rPr>
        <w:t>RECURSOS PARA EL PROGRAMA 7</w:t>
      </w:r>
    </w:p>
    <w:p w:rsidR="005E581D" w:rsidRPr="006B0DE9" w:rsidRDefault="005E581D" w:rsidP="005E581D">
      <w:pPr>
        <w:widowControl w:val="0"/>
        <w:jc w:val="both"/>
        <w:rPr>
          <w:rFonts w:eastAsia="Batang"/>
          <w:sz w:val="20"/>
          <w:lang w:eastAsia="ko-KR" w:bidi="ta-IN"/>
        </w:rPr>
      </w:pPr>
    </w:p>
    <w:p w:rsidR="005E581D" w:rsidRPr="006B0DE9" w:rsidRDefault="005E581D" w:rsidP="00BA276E">
      <w:pPr>
        <w:widowControl w:val="0"/>
        <w:numPr>
          <w:ilvl w:val="0"/>
          <w:numId w:val="28"/>
        </w:numPr>
        <w:jc w:val="both"/>
        <w:rPr>
          <w:sz w:val="20"/>
        </w:rPr>
      </w:pPr>
      <w:r w:rsidRPr="006B0DE9">
        <w:rPr>
          <w:rFonts w:eastAsia="Batang"/>
          <w:sz w:val="20"/>
          <w:lang w:eastAsia="ko-KR"/>
        </w:rPr>
        <w:t xml:space="preserve">El incremento de los recursos destinados al resultado II.9 (Protección eficaz de la P.I. en los </w:t>
      </w:r>
      <w:r w:rsidRPr="00AB7F4A">
        <w:rPr>
          <w:rFonts w:eastAsia="Batang"/>
          <w:color w:val="000000"/>
          <w:sz w:val="20"/>
          <w:lang w:eastAsia="ko-KR" w:bidi="ta-IN"/>
        </w:rPr>
        <w:t>gTLD</w:t>
      </w:r>
      <w:r w:rsidRPr="006B0DE9">
        <w:rPr>
          <w:rFonts w:eastAsia="Batang"/>
          <w:sz w:val="20"/>
          <w:lang w:eastAsia="ko-KR"/>
        </w:rPr>
        <w:t xml:space="preserve"> y los ccTLD) obedece a un aumento de los gastos de personal, así como del costo del programa de becas de la OMPI, auspiciado por el Centro de Arbitraje y Mediación.  Este último se creó en el marco de la reforma de los contratos, a fin de reconocer el acuerdo por el que la Organización ofrece a jóvenes profesionales experiencia en la tramitación de demandas con el objetivo de fortalecer sus conocimientos y sus aptitudes profesionales en los ámbitos que incumben al Centro de Arbitraje y Mediación.</w:t>
      </w:r>
    </w:p>
    <w:p w:rsidR="005E581D" w:rsidRPr="006B0DE9" w:rsidRDefault="005E581D" w:rsidP="005E581D">
      <w:pPr>
        <w:widowControl w:val="0"/>
        <w:jc w:val="both"/>
        <w:rPr>
          <w:sz w:val="20"/>
        </w:rPr>
      </w:pPr>
    </w:p>
    <w:p w:rsidR="0063482E" w:rsidRPr="005E581D" w:rsidRDefault="0063482E" w:rsidP="0063482E">
      <w:pPr>
        <w:widowControl w:val="0"/>
        <w:rPr>
          <w:sz w:val="20"/>
        </w:rPr>
      </w:pPr>
    </w:p>
    <w:p w:rsidR="0063482E" w:rsidRPr="00C75C7E" w:rsidRDefault="00FE42C5" w:rsidP="00BD6413">
      <w:pPr>
        <w:keepNext/>
        <w:widowControl w:val="0"/>
        <w:autoSpaceDE w:val="0"/>
        <w:autoSpaceDN w:val="0"/>
        <w:adjustRightInd w:val="0"/>
        <w:jc w:val="center"/>
        <w:rPr>
          <w:b/>
          <w:bCs/>
          <w:iCs/>
          <w:sz w:val="20"/>
          <w:lang w:val="es-ES_tradnl"/>
        </w:rPr>
      </w:pPr>
      <w:r>
        <w:rPr>
          <w:b/>
          <w:bCs/>
          <w:iCs/>
          <w:sz w:val="20"/>
          <w:lang w:val="es-ES_tradnl"/>
        </w:rPr>
        <w:lastRenderedPageBreak/>
        <w:t xml:space="preserve">Programa 7:  </w:t>
      </w:r>
      <w:r w:rsidR="0063482E" w:rsidRPr="00C75C7E">
        <w:rPr>
          <w:b/>
          <w:bCs/>
          <w:iCs/>
          <w:sz w:val="20"/>
          <w:lang w:val="es-ES_tradnl"/>
        </w:rPr>
        <w:t>Recursos por resultado</w:t>
      </w:r>
    </w:p>
    <w:p w:rsidR="0063482E" w:rsidRPr="00C75C7E" w:rsidRDefault="0063482E" w:rsidP="00BD6413">
      <w:pPr>
        <w:keepNext/>
        <w:widowControl w:val="0"/>
        <w:jc w:val="center"/>
        <w:rPr>
          <w:bCs/>
          <w:i/>
          <w:sz w:val="20"/>
          <w:lang w:val="es-ES_tradnl"/>
        </w:rPr>
      </w:pPr>
      <w:r w:rsidRPr="00C75C7E">
        <w:rPr>
          <w:bCs/>
          <w:i/>
          <w:sz w:val="20"/>
          <w:lang w:val="es-ES_tradnl"/>
        </w:rPr>
        <w:t>(en miles de francos suizos)</w:t>
      </w:r>
    </w:p>
    <w:p w:rsidR="0063482E" w:rsidRPr="00C75C7E" w:rsidRDefault="0063482E" w:rsidP="00BD6413">
      <w:pPr>
        <w:keepNext/>
        <w:widowControl w:val="0"/>
        <w:jc w:val="center"/>
        <w:rPr>
          <w:sz w:val="20"/>
          <w:lang w:val="es-ES_tradnl"/>
        </w:rPr>
      </w:pPr>
    </w:p>
    <w:p w:rsidR="0063482E" w:rsidRPr="00C75C7E" w:rsidRDefault="00C40A11" w:rsidP="00FC6442">
      <w:pPr>
        <w:widowControl w:val="0"/>
        <w:jc w:val="both"/>
        <w:rPr>
          <w:sz w:val="20"/>
          <w:lang w:val="es-ES_tradnl"/>
        </w:rPr>
      </w:pPr>
      <w:r>
        <w:rPr>
          <w:noProof/>
          <w:lang w:val="en-US" w:eastAsia="en-US"/>
        </w:rPr>
        <w:drawing>
          <wp:inline distT="0" distB="0" distL="0" distR="0" wp14:anchorId="2E734D4D" wp14:editId="18695ACB">
            <wp:extent cx="5793740" cy="1890395"/>
            <wp:effectExtent l="0" t="0" r="0" b="0"/>
            <wp:docPr id="35"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793740" cy="1890395"/>
                    </a:xfrm>
                    <a:prstGeom prst="rect">
                      <a:avLst/>
                    </a:prstGeom>
                    <a:noFill/>
                    <a:ln>
                      <a:noFill/>
                    </a:ln>
                  </pic:spPr>
                </pic:pic>
              </a:graphicData>
            </a:graphic>
          </wp:inline>
        </w:drawing>
      </w:r>
    </w:p>
    <w:p w:rsidR="0063482E" w:rsidRPr="00C75C7E" w:rsidRDefault="0063482E" w:rsidP="00FC6442">
      <w:pPr>
        <w:widowControl w:val="0"/>
        <w:jc w:val="both"/>
        <w:rPr>
          <w:sz w:val="20"/>
          <w:lang w:val="es-ES_tradnl"/>
        </w:rPr>
      </w:pPr>
    </w:p>
    <w:p w:rsidR="0063482E" w:rsidRPr="00C75C7E" w:rsidRDefault="0063482E" w:rsidP="0063482E">
      <w:pPr>
        <w:widowControl w:val="0"/>
        <w:autoSpaceDE w:val="0"/>
        <w:autoSpaceDN w:val="0"/>
        <w:adjustRightInd w:val="0"/>
        <w:rPr>
          <w:sz w:val="20"/>
          <w:lang w:val="es-ES_tradnl"/>
        </w:rPr>
      </w:pPr>
      <w:r w:rsidRPr="00C75C7E">
        <w:rPr>
          <w:sz w:val="16"/>
          <w:szCs w:val="16"/>
          <w:lang w:val="es-ES_tradnl"/>
        </w:rPr>
        <w:t>Nota:</w:t>
      </w:r>
      <w:r w:rsidR="00FC6442">
        <w:rPr>
          <w:sz w:val="16"/>
          <w:szCs w:val="16"/>
          <w:lang w:val="es-ES_tradnl"/>
        </w:rPr>
        <w:t xml:space="preserve"> </w:t>
      </w:r>
      <w:r w:rsidRPr="00C75C7E">
        <w:rPr>
          <w:sz w:val="16"/>
          <w:szCs w:val="16"/>
          <w:lang w:val="es-ES_tradnl"/>
        </w:rPr>
        <w:t xml:space="preserve"> Se ha reexpresado el presupuesto aprobado de 2012/13 y el presupuesto de dicho bienio después de las transferencias, por resultado previsto, para reflejar el marco de resultados de la Organización propuesto para 2014/15.</w:t>
      </w:r>
    </w:p>
    <w:p w:rsidR="0063482E" w:rsidRPr="00C75C7E" w:rsidRDefault="0063482E" w:rsidP="0063482E">
      <w:pPr>
        <w:widowControl w:val="0"/>
        <w:jc w:val="both"/>
        <w:rPr>
          <w:sz w:val="20"/>
          <w:lang w:val="es-ES_tradnl"/>
        </w:rPr>
      </w:pPr>
    </w:p>
    <w:p w:rsidR="0063482E" w:rsidRPr="00C75C7E" w:rsidRDefault="0063482E" w:rsidP="0063482E">
      <w:pPr>
        <w:widowControl w:val="0"/>
        <w:jc w:val="both"/>
        <w:rPr>
          <w:sz w:val="20"/>
          <w:lang w:val="es-ES_tradnl"/>
        </w:rPr>
      </w:pPr>
    </w:p>
    <w:p w:rsidR="0063482E" w:rsidRPr="00C75C7E" w:rsidRDefault="00FE42C5" w:rsidP="00BD6413">
      <w:pPr>
        <w:keepNext/>
        <w:widowControl w:val="0"/>
        <w:autoSpaceDE w:val="0"/>
        <w:autoSpaceDN w:val="0"/>
        <w:adjustRightInd w:val="0"/>
        <w:jc w:val="center"/>
        <w:rPr>
          <w:b/>
          <w:bCs/>
          <w:iCs/>
          <w:sz w:val="20"/>
          <w:lang w:val="es-ES_tradnl"/>
        </w:rPr>
      </w:pPr>
      <w:r>
        <w:rPr>
          <w:b/>
          <w:bCs/>
          <w:iCs/>
          <w:sz w:val="20"/>
          <w:lang w:val="es-ES_tradnl"/>
        </w:rPr>
        <w:lastRenderedPageBreak/>
        <w:t xml:space="preserve">Programa 7:  </w:t>
      </w:r>
      <w:r w:rsidR="0063482E" w:rsidRPr="00C75C7E">
        <w:rPr>
          <w:b/>
          <w:bCs/>
          <w:iCs/>
          <w:sz w:val="20"/>
          <w:lang w:val="es-ES_tradnl"/>
        </w:rPr>
        <w:t>Recursos por objeto de gasto</w:t>
      </w:r>
    </w:p>
    <w:p w:rsidR="0063482E" w:rsidRPr="00C75C7E" w:rsidRDefault="0063482E" w:rsidP="00BD6413">
      <w:pPr>
        <w:keepNext/>
        <w:widowControl w:val="0"/>
        <w:autoSpaceDE w:val="0"/>
        <w:autoSpaceDN w:val="0"/>
        <w:adjustRightInd w:val="0"/>
        <w:jc w:val="center"/>
        <w:rPr>
          <w:bCs/>
          <w:i/>
          <w:sz w:val="20"/>
          <w:lang w:val="es-ES_tradnl"/>
        </w:rPr>
      </w:pPr>
      <w:r w:rsidRPr="00C75C7E">
        <w:rPr>
          <w:bCs/>
          <w:i/>
          <w:sz w:val="20"/>
          <w:lang w:val="es-ES_tradnl"/>
        </w:rPr>
        <w:t>(en miles de francos suizos)</w:t>
      </w:r>
    </w:p>
    <w:p w:rsidR="0063482E" w:rsidRDefault="0063482E" w:rsidP="00BD6413">
      <w:pPr>
        <w:keepNext/>
        <w:widowControl w:val="0"/>
        <w:jc w:val="center"/>
        <w:rPr>
          <w:sz w:val="20"/>
          <w:lang w:val="es-ES_tradnl"/>
        </w:rPr>
      </w:pPr>
    </w:p>
    <w:p w:rsidR="00723CAF" w:rsidRPr="00C75C7E" w:rsidRDefault="00C40A11" w:rsidP="00BD6413">
      <w:pPr>
        <w:keepNext/>
        <w:widowControl w:val="0"/>
        <w:jc w:val="center"/>
        <w:rPr>
          <w:sz w:val="20"/>
          <w:lang w:val="es-ES_tradnl"/>
        </w:rPr>
      </w:pPr>
      <w:r>
        <w:rPr>
          <w:noProof/>
          <w:lang w:val="en-US" w:eastAsia="en-US"/>
        </w:rPr>
        <w:drawing>
          <wp:inline distT="0" distB="0" distL="0" distR="0" wp14:anchorId="1CCCE3BB" wp14:editId="7B49496F">
            <wp:extent cx="5936615" cy="5739130"/>
            <wp:effectExtent l="0" t="0" r="698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936615" cy="5739130"/>
                    </a:xfrm>
                    <a:prstGeom prst="rect">
                      <a:avLst/>
                    </a:prstGeom>
                    <a:noFill/>
                    <a:ln>
                      <a:noFill/>
                    </a:ln>
                  </pic:spPr>
                </pic:pic>
              </a:graphicData>
            </a:graphic>
          </wp:inline>
        </w:drawing>
      </w:r>
    </w:p>
    <w:p w:rsidR="00723CAF" w:rsidRDefault="00723CAF" w:rsidP="0063482E">
      <w:pPr>
        <w:widowControl w:val="0"/>
        <w:rPr>
          <w:sz w:val="16"/>
          <w:szCs w:val="16"/>
          <w:lang w:val="es-ES_tradnl"/>
        </w:rPr>
      </w:pPr>
    </w:p>
    <w:p w:rsidR="0063482E" w:rsidRPr="00C75C7E" w:rsidRDefault="0063482E" w:rsidP="0063482E">
      <w:pPr>
        <w:widowControl w:val="0"/>
        <w:rPr>
          <w:sz w:val="16"/>
          <w:szCs w:val="16"/>
          <w:lang w:val="es-ES_tradnl"/>
        </w:rPr>
      </w:pPr>
      <w:r w:rsidRPr="00C75C7E">
        <w:rPr>
          <w:sz w:val="16"/>
          <w:szCs w:val="16"/>
          <w:lang w:val="es-ES_tradnl"/>
        </w:rPr>
        <w:t>Notas:</w:t>
      </w:r>
    </w:p>
    <w:p w:rsidR="0063482E" w:rsidRPr="00C75C7E" w:rsidRDefault="0063482E" w:rsidP="0063482E">
      <w:pPr>
        <w:widowControl w:val="0"/>
        <w:rPr>
          <w:sz w:val="16"/>
          <w:szCs w:val="16"/>
          <w:u w:val="single"/>
          <w:lang w:val="es-ES_tradnl"/>
        </w:rPr>
      </w:pPr>
    </w:p>
    <w:p w:rsidR="0063482E" w:rsidRDefault="00FC6442" w:rsidP="0063482E">
      <w:pPr>
        <w:widowControl w:val="0"/>
        <w:tabs>
          <w:tab w:val="left" w:pos="567"/>
        </w:tabs>
        <w:rPr>
          <w:sz w:val="16"/>
          <w:szCs w:val="16"/>
          <w:lang w:val="es-ES_tradnl"/>
        </w:rPr>
      </w:pPr>
      <w:r>
        <w:rPr>
          <w:sz w:val="16"/>
          <w:szCs w:val="16"/>
          <w:lang w:val="es-ES_tradnl"/>
        </w:rPr>
        <w:t xml:space="preserve">1)  </w:t>
      </w:r>
      <w:r w:rsidR="0063482E" w:rsidRPr="00C75C7E">
        <w:rPr>
          <w:sz w:val="16"/>
          <w:szCs w:val="16"/>
          <w:lang w:val="es-ES_tradnl"/>
        </w:rPr>
        <w:t>El presupuesto aprobado de 2012/13 y el presupuesto de dicho bienio después de las transferencias se reexpresan sobre la base de la estructura de categorías de costos propuesta para 2014/15.</w:t>
      </w:r>
    </w:p>
    <w:p w:rsidR="0063482E" w:rsidRPr="00C75C7E" w:rsidRDefault="0063482E" w:rsidP="0063482E">
      <w:pPr>
        <w:widowControl w:val="0"/>
        <w:tabs>
          <w:tab w:val="left" w:pos="567"/>
        </w:tabs>
        <w:rPr>
          <w:sz w:val="16"/>
          <w:szCs w:val="16"/>
          <w:lang w:val="es-ES_tradnl"/>
        </w:rPr>
      </w:pPr>
    </w:p>
    <w:p w:rsidR="0063482E" w:rsidRDefault="0063482E" w:rsidP="0063482E">
      <w:pPr>
        <w:widowControl w:val="0"/>
        <w:tabs>
          <w:tab w:val="left" w:pos="567"/>
        </w:tabs>
        <w:rPr>
          <w:rFonts w:cs="ArialMT"/>
          <w:sz w:val="16"/>
          <w:szCs w:val="16"/>
          <w:lang w:val="es-ES_tradnl"/>
        </w:rPr>
      </w:pPr>
      <w:r>
        <w:rPr>
          <w:sz w:val="16"/>
          <w:szCs w:val="16"/>
          <w:lang w:val="es-ES_tradnl"/>
        </w:rPr>
        <w:t>2)</w:t>
      </w:r>
      <w:r w:rsidR="00FC6442">
        <w:rPr>
          <w:sz w:val="16"/>
          <w:szCs w:val="16"/>
          <w:lang w:val="es-ES_tradnl"/>
        </w:rPr>
        <w:t xml:space="preserve">  </w:t>
      </w:r>
      <w:r w:rsidRPr="00C75C7E">
        <w:rPr>
          <w:sz w:val="16"/>
          <w:szCs w:val="16"/>
          <w:lang w:val="es-ES_tradnl"/>
        </w:rPr>
        <w:t xml:space="preserve">El presupuesto después de las transferencias refleja el presupuesto de los programas ajustado tras las transferencias efectuadas en 2012/13 en virtud del artículo 5.5 del Reglamento Financiero. Para más información sobre el presupuesto de 2012/13 después de las transferencias, cabe remitirse al cuadro que figura en el Anexo I (Presupuesto después de las transferencias, por programa) del presente documento y al documento WO/PBC/20/2 (Informe sobre el rendimiento de los programas en 2012).  </w:t>
      </w:r>
      <w:r w:rsidRPr="00C75C7E">
        <w:rPr>
          <w:rFonts w:cs="ArialMT"/>
          <w:sz w:val="16"/>
          <w:szCs w:val="16"/>
          <w:lang w:val="es-ES_tradnl"/>
        </w:rPr>
        <w:t xml:space="preserve">Los costos de personal del presupuesto de 2012/13 después de las transferencias representan los gastos reales efectuados hasta el 31 de marzo de 2013 y los importes presupuestados para los nueve meses restantes de 2013, sobre la base de costos estándar. </w:t>
      </w:r>
    </w:p>
    <w:p w:rsidR="0063482E" w:rsidRPr="00C75C7E" w:rsidRDefault="0063482E" w:rsidP="0063482E">
      <w:pPr>
        <w:widowControl w:val="0"/>
        <w:tabs>
          <w:tab w:val="left" w:pos="567"/>
        </w:tabs>
        <w:rPr>
          <w:sz w:val="16"/>
          <w:szCs w:val="16"/>
          <w:lang w:val="es-ES_tradnl"/>
        </w:rPr>
      </w:pPr>
    </w:p>
    <w:p w:rsidR="0063482E" w:rsidRDefault="0063482E" w:rsidP="0063482E">
      <w:pPr>
        <w:widowControl w:val="0"/>
        <w:tabs>
          <w:tab w:val="left" w:pos="567"/>
        </w:tabs>
        <w:rPr>
          <w:sz w:val="16"/>
          <w:szCs w:val="16"/>
          <w:lang w:val="es-ES_tradnl"/>
        </w:rPr>
      </w:pPr>
      <w:r>
        <w:rPr>
          <w:sz w:val="16"/>
          <w:szCs w:val="16"/>
          <w:lang w:val="es-ES_tradnl"/>
        </w:rPr>
        <w:t>3)</w:t>
      </w:r>
      <w:r w:rsidR="00FC6442">
        <w:rPr>
          <w:sz w:val="16"/>
          <w:szCs w:val="16"/>
          <w:lang w:val="es-ES_tradnl"/>
        </w:rPr>
        <w:t xml:space="preserve">  </w:t>
      </w:r>
      <w:r w:rsidRPr="00C75C7E">
        <w:rPr>
          <w:sz w:val="16"/>
          <w:szCs w:val="16"/>
          <w:lang w:val="es-ES_tradnl"/>
        </w:rPr>
        <w:t>Para más información sobre los puestos del programa cabe remitirse al cuadro que figura en el Anexo II.</w:t>
      </w:r>
    </w:p>
    <w:p w:rsidR="0005047E" w:rsidRPr="00C75C7E" w:rsidRDefault="0005047E" w:rsidP="0063482E">
      <w:pPr>
        <w:widowControl w:val="0"/>
        <w:tabs>
          <w:tab w:val="left" w:pos="567"/>
        </w:tabs>
        <w:rPr>
          <w:sz w:val="16"/>
          <w:szCs w:val="16"/>
          <w:lang w:val="es-ES_tradnl"/>
        </w:rPr>
      </w:pPr>
    </w:p>
    <w:p w:rsidR="0063482E" w:rsidRDefault="0063482E" w:rsidP="0063482E">
      <w:pPr>
        <w:rPr>
          <w:sz w:val="20"/>
          <w:lang w:val="es-ES_tradnl"/>
        </w:rPr>
      </w:pPr>
    </w:p>
    <w:p w:rsidR="0005047E" w:rsidRDefault="0005047E" w:rsidP="0063482E">
      <w:pPr>
        <w:rPr>
          <w:sz w:val="20"/>
          <w:lang w:val="es-ES_tradnl"/>
        </w:rPr>
        <w:sectPr w:rsidR="0005047E" w:rsidSect="003A0C0D">
          <w:headerReference w:type="default" r:id="rId64"/>
          <w:headerReference w:type="first" r:id="rId65"/>
          <w:pgSz w:w="11907" w:h="16840" w:code="9"/>
          <w:pgMar w:top="567" w:right="1134" w:bottom="1418" w:left="1418" w:header="510" w:footer="1021" w:gutter="0"/>
          <w:cols w:space="720"/>
          <w:titlePg/>
        </w:sectPr>
      </w:pPr>
    </w:p>
    <w:p w:rsidR="00FE42C5" w:rsidRDefault="00D04A55" w:rsidP="00EA39DF">
      <w:pPr>
        <w:pStyle w:val="Heading2"/>
        <w:jc w:val="center"/>
        <w:rPr>
          <w:b/>
          <w:caps w:val="0"/>
          <w:sz w:val="24"/>
          <w:szCs w:val="24"/>
          <w:lang w:val="es-ES_tradnl" w:eastAsia="da-DK"/>
        </w:rPr>
      </w:pPr>
      <w:bookmarkStart w:id="36" w:name="_Toc358816694"/>
      <w:bookmarkStart w:id="37" w:name="_Toc356567756"/>
      <w:r w:rsidRPr="008F43DB">
        <w:rPr>
          <w:b/>
          <w:caps w:val="0"/>
          <w:sz w:val="24"/>
          <w:szCs w:val="24"/>
          <w:lang w:val="es-ES_tradnl" w:eastAsia="da-DK"/>
        </w:rPr>
        <w:lastRenderedPageBreak/>
        <w:t xml:space="preserve">META ESTRATÉGICA III  </w:t>
      </w:r>
    </w:p>
    <w:p w:rsidR="00D04A55" w:rsidRPr="008F43DB" w:rsidRDefault="00D04A55" w:rsidP="00EA39DF">
      <w:pPr>
        <w:pStyle w:val="Heading2"/>
        <w:jc w:val="center"/>
        <w:rPr>
          <w:b/>
          <w:caps w:val="0"/>
          <w:sz w:val="24"/>
          <w:szCs w:val="24"/>
          <w:lang w:val="es-ES_tradnl" w:eastAsia="da-DK"/>
        </w:rPr>
      </w:pPr>
      <w:r w:rsidRPr="008F43DB">
        <w:rPr>
          <w:b/>
          <w:caps w:val="0"/>
          <w:sz w:val="24"/>
          <w:szCs w:val="24"/>
          <w:lang w:val="es-ES_tradnl" w:eastAsia="da-DK"/>
        </w:rPr>
        <w:t>FACILITAR EL USO DE LA P.I. EN ARAS DEL DESARROLLO</w:t>
      </w:r>
      <w:bookmarkEnd w:id="36"/>
    </w:p>
    <w:bookmarkEnd w:id="37"/>
    <w:p w:rsidR="00D04A55" w:rsidRPr="00EA39DF" w:rsidRDefault="00D04A55" w:rsidP="00EA39DF">
      <w:pPr>
        <w:widowControl w:val="0"/>
        <w:jc w:val="both"/>
        <w:rPr>
          <w:rFonts w:eastAsia="Times New Roman"/>
          <w:sz w:val="20"/>
          <w:lang w:eastAsia="en-US"/>
        </w:rPr>
      </w:pPr>
    </w:p>
    <w:p w:rsidR="00D04A55" w:rsidRPr="00EA39DF" w:rsidRDefault="00D04A55" w:rsidP="00EA39DF">
      <w:pPr>
        <w:widowControl w:val="0"/>
        <w:jc w:val="both"/>
        <w:rPr>
          <w:rFonts w:eastAsia="Times New Roman"/>
          <w:sz w:val="20"/>
          <w:lang w:eastAsia="en-US"/>
        </w:rPr>
      </w:pPr>
    </w:p>
    <w:p w:rsidR="00D04A55" w:rsidRPr="00D04A55" w:rsidRDefault="00D04A55" w:rsidP="00D04A55">
      <w:pPr>
        <w:widowControl w:val="0"/>
        <w:jc w:val="both"/>
        <w:rPr>
          <w:rFonts w:eastAsia="Times New Roman"/>
          <w:sz w:val="20"/>
          <w:lang w:eastAsia="en-US"/>
        </w:rPr>
      </w:pPr>
      <w:r w:rsidRPr="00D04A55">
        <w:rPr>
          <w:rFonts w:eastAsia="Times New Roman"/>
          <w:sz w:val="20"/>
          <w:lang w:eastAsia="en-US"/>
        </w:rPr>
        <w:t xml:space="preserve">La meta de facilitar el uso de la P.I. en aras del desarrollo social, cultural y económico es lo que impulsa las múltiples actividades de la OMPI de asistencia técnica y fortalecimiento de capacidades, de cuya ejecución se ocupan varios programas en cada sector de la Organización.  Común denominador de todas esas actividades, el enfoque a mediano plazo de esta meta estratégica intersectorial es asistir a los países en desarrollo, los países menos adelantados (PMA) y los países con economías en transición a que utilicen eficazmente el sistema de propiedad intelectual en función de su propio contexto. </w:t>
      </w:r>
    </w:p>
    <w:p w:rsidR="00D04A55" w:rsidRPr="00D04A55" w:rsidRDefault="00D04A55" w:rsidP="00D04A55">
      <w:pPr>
        <w:widowControl w:val="0"/>
        <w:jc w:val="both"/>
        <w:rPr>
          <w:rFonts w:eastAsia="Times New Roman"/>
          <w:sz w:val="20"/>
          <w:lang w:eastAsia="en-US"/>
        </w:rPr>
      </w:pPr>
    </w:p>
    <w:p w:rsidR="00D04A55" w:rsidRPr="00D04A55" w:rsidRDefault="00D04A55" w:rsidP="00D04A55">
      <w:pPr>
        <w:widowControl w:val="0"/>
        <w:autoSpaceDE w:val="0"/>
        <w:autoSpaceDN w:val="0"/>
        <w:adjustRightInd w:val="0"/>
        <w:jc w:val="both"/>
        <w:rPr>
          <w:rFonts w:eastAsia="Times New Roman"/>
          <w:i/>
          <w:iCs/>
          <w:sz w:val="20"/>
          <w:lang w:eastAsia="en-US"/>
        </w:rPr>
      </w:pPr>
      <w:r w:rsidRPr="00D04A55">
        <w:rPr>
          <w:rFonts w:eastAsia="Times New Roman"/>
          <w:sz w:val="20"/>
          <w:lang w:eastAsia="en-US"/>
        </w:rPr>
        <w:t>La Agenda de la OMPI para el Desarrollo desempeña un papel central a la hora de garantizar que todas las actividades de la OMPI contribuyan a esta meta estratégica.</w:t>
      </w:r>
    </w:p>
    <w:p w:rsidR="00F921DF" w:rsidRPr="00D04A55" w:rsidRDefault="00F921DF" w:rsidP="008F691D">
      <w:pPr>
        <w:tabs>
          <w:tab w:val="left" w:pos="1701"/>
        </w:tabs>
        <w:ind w:left="1701" w:hanging="1701"/>
        <w:rPr>
          <w:b/>
          <w:bCs/>
          <w:caps/>
          <w:sz w:val="20"/>
        </w:rPr>
      </w:pPr>
    </w:p>
    <w:tbl>
      <w:tblPr>
        <w:tblW w:w="4855"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286"/>
        <w:gridCol w:w="3174"/>
        <w:gridCol w:w="2833"/>
      </w:tblGrid>
      <w:tr w:rsidR="00B16400" w:rsidRPr="00C75C7E" w:rsidTr="004341A3">
        <w:trPr>
          <w:cantSplit/>
          <w:tblHeader/>
        </w:trPr>
        <w:tc>
          <w:tcPr>
            <w:tcW w:w="1768" w:type="pct"/>
            <w:tcBorders>
              <w:top w:val="single" w:sz="4" w:space="0" w:color="auto"/>
              <w:bottom w:val="single" w:sz="4" w:space="0" w:color="auto"/>
            </w:tcBorders>
            <w:shd w:val="clear" w:color="auto" w:fill="CCFFFF"/>
            <w:tcMar>
              <w:top w:w="113" w:type="dxa"/>
              <w:bottom w:w="57" w:type="dxa"/>
            </w:tcMar>
            <w:vAlign w:val="center"/>
          </w:tcPr>
          <w:p w:rsidR="00B16400" w:rsidRPr="00C75C7E" w:rsidRDefault="00B16400" w:rsidP="004341A3">
            <w:pPr>
              <w:widowControl w:val="0"/>
              <w:spacing w:after="120"/>
              <w:jc w:val="center"/>
              <w:rPr>
                <w:b/>
                <w:bCs/>
                <w:sz w:val="16"/>
                <w:szCs w:val="16"/>
                <w:lang w:val="es-ES_tradnl"/>
              </w:rPr>
            </w:pPr>
            <w:r w:rsidRPr="00C75C7E">
              <w:rPr>
                <w:b/>
                <w:bCs/>
                <w:sz w:val="16"/>
                <w:szCs w:val="16"/>
                <w:lang w:val="es-ES_tradnl"/>
              </w:rPr>
              <w:t>Resultados previstos</w:t>
            </w:r>
          </w:p>
        </w:tc>
        <w:tc>
          <w:tcPr>
            <w:tcW w:w="1708" w:type="pct"/>
            <w:tcBorders>
              <w:top w:val="single" w:sz="4" w:space="0" w:color="auto"/>
              <w:bottom w:val="single" w:sz="4" w:space="0" w:color="auto"/>
            </w:tcBorders>
            <w:shd w:val="clear" w:color="auto" w:fill="CCFFFF"/>
            <w:tcMar>
              <w:top w:w="113" w:type="dxa"/>
              <w:bottom w:w="57" w:type="dxa"/>
            </w:tcMar>
            <w:vAlign w:val="center"/>
          </w:tcPr>
          <w:p w:rsidR="00B16400" w:rsidRPr="00C75C7E" w:rsidRDefault="00B16400" w:rsidP="004341A3">
            <w:pPr>
              <w:widowControl w:val="0"/>
              <w:spacing w:after="120"/>
              <w:jc w:val="center"/>
              <w:rPr>
                <w:b/>
                <w:bCs/>
                <w:sz w:val="16"/>
                <w:szCs w:val="16"/>
                <w:lang w:val="es-ES_tradnl"/>
              </w:rPr>
            </w:pPr>
            <w:r w:rsidRPr="00C75C7E">
              <w:rPr>
                <w:b/>
                <w:bCs/>
                <w:sz w:val="16"/>
                <w:szCs w:val="16"/>
                <w:lang w:val="es-ES_tradnl"/>
              </w:rPr>
              <w:t>Indicadores de rendimiento</w:t>
            </w:r>
          </w:p>
        </w:tc>
        <w:tc>
          <w:tcPr>
            <w:tcW w:w="1524" w:type="pct"/>
            <w:tcBorders>
              <w:top w:val="single" w:sz="4" w:space="0" w:color="auto"/>
              <w:bottom w:val="single" w:sz="4" w:space="0" w:color="auto"/>
            </w:tcBorders>
            <w:shd w:val="clear" w:color="auto" w:fill="CCFFFF"/>
            <w:tcMar>
              <w:top w:w="113" w:type="dxa"/>
              <w:bottom w:w="57" w:type="dxa"/>
            </w:tcMar>
            <w:vAlign w:val="center"/>
          </w:tcPr>
          <w:p w:rsidR="00B16400" w:rsidRPr="00C75C7E" w:rsidRDefault="00B16400" w:rsidP="004341A3">
            <w:pPr>
              <w:widowControl w:val="0"/>
              <w:spacing w:after="120"/>
              <w:ind w:left="85"/>
              <w:jc w:val="center"/>
              <w:rPr>
                <w:b/>
                <w:bCs/>
                <w:sz w:val="16"/>
                <w:szCs w:val="16"/>
                <w:lang w:val="es-ES_tradnl"/>
              </w:rPr>
            </w:pPr>
            <w:r w:rsidRPr="00C75C7E">
              <w:rPr>
                <w:b/>
                <w:bCs/>
                <w:sz w:val="16"/>
                <w:szCs w:val="16"/>
                <w:lang w:val="es-ES_tradnl"/>
              </w:rPr>
              <w:t>Programas responsables</w:t>
            </w:r>
          </w:p>
        </w:tc>
      </w:tr>
      <w:tr w:rsidR="00B16400" w:rsidRPr="00C75C7E" w:rsidTr="004341A3">
        <w:trPr>
          <w:cantSplit/>
        </w:trPr>
        <w:tc>
          <w:tcPr>
            <w:tcW w:w="1768" w:type="pct"/>
            <w:tcBorders>
              <w:top w:val="single" w:sz="4" w:space="0" w:color="auto"/>
            </w:tcBorders>
            <w:shd w:val="clear" w:color="auto" w:fill="auto"/>
            <w:tcMar>
              <w:top w:w="113" w:type="dxa"/>
              <w:bottom w:w="57" w:type="dxa"/>
            </w:tcMar>
          </w:tcPr>
          <w:p w:rsidR="00B16400" w:rsidRPr="00C75C7E" w:rsidRDefault="00B16400" w:rsidP="004341A3">
            <w:pPr>
              <w:widowControl w:val="0"/>
              <w:rPr>
                <w:sz w:val="16"/>
                <w:szCs w:val="16"/>
                <w:lang w:val="es-ES_tradnl"/>
              </w:rPr>
            </w:pPr>
            <w:r w:rsidRPr="00C75C7E">
              <w:rPr>
                <w:sz w:val="16"/>
                <w:szCs w:val="16"/>
                <w:lang w:val="es-ES_tradnl"/>
              </w:rPr>
              <w:t>III.1. Estrategias y planes nacionales de innovación y de P.I. que estén en sintonía con los objetivos nacionales de desarrollo.</w:t>
            </w:r>
            <w:r w:rsidRPr="00C75C7E">
              <w:rPr>
                <w:sz w:val="15"/>
                <w:szCs w:val="15"/>
                <w:lang w:val="es-ES_tradnl"/>
              </w:rPr>
              <w:t xml:space="preserve"> </w:t>
            </w:r>
          </w:p>
        </w:tc>
        <w:tc>
          <w:tcPr>
            <w:tcW w:w="1708" w:type="pct"/>
            <w:tcBorders>
              <w:top w:val="single" w:sz="4" w:space="0" w:color="auto"/>
            </w:tcBorders>
            <w:shd w:val="clear" w:color="auto" w:fill="auto"/>
            <w:tcMar>
              <w:top w:w="113" w:type="dxa"/>
              <w:bottom w:w="57" w:type="dxa"/>
            </w:tcMar>
          </w:tcPr>
          <w:p w:rsidR="00B16400" w:rsidRPr="00C75C7E" w:rsidRDefault="00B16400" w:rsidP="004341A3">
            <w:pPr>
              <w:widowControl w:val="0"/>
              <w:rPr>
                <w:sz w:val="16"/>
                <w:szCs w:val="16"/>
                <w:lang w:val="es-ES_tradnl"/>
              </w:rPr>
            </w:pPr>
            <w:r w:rsidRPr="00C75C7E">
              <w:rPr>
                <w:sz w:val="16"/>
                <w:szCs w:val="16"/>
                <w:lang w:val="es-ES_tradnl"/>
              </w:rPr>
              <w:t>Número de países que están en proceso de formular/adoptar estrategias o planes de desarrollo nacionales de P.I.</w:t>
            </w:r>
          </w:p>
        </w:tc>
        <w:tc>
          <w:tcPr>
            <w:tcW w:w="1524" w:type="pct"/>
            <w:tcBorders>
              <w:top w:val="single" w:sz="4" w:space="0" w:color="auto"/>
            </w:tcBorders>
            <w:shd w:val="clear" w:color="auto" w:fill="FFFFFF"/>
            <w:tcMar>
              <w:top w:w="113" w:type="dxa"/>
              <w:bottom w:w="57" w:type="dxa"/>
            </w:tcMar>
          </w:tcPr>
          <w:p w:rsidR="00B16400" w:rsidRPr="00C75C7E" w:rsidRDefault="00B16400" w:rsidP="004341A3">
            <w:pPr>
              <w:widowControl w:val="0"/>
              <w:ind w:left="551"/>
              <w:rPr>
                <w:sz w:val="16"/>
                <w:szCs w:val="16"/>
                <w:lang w:val="es-ES_tradnl"/>
              </w:rPr>
            </w:pPr>
            <w:r w:rsidRPr="00C75C7E">
              <w:rPr>
                <w:sz w:val="16"/>
                <w:szCs w:val="16"/>
                <w:lang w:val="es-ES_tradnl" w:bidi="th-TH"/>
              </w:rPr>
              <w:t>Programa  9</w:t>
            </w:r>
          </w:p>
        </w:tc>
      </w:tr>
      <w:tr w:rsidR="00B16400" w:rsidRPr="00C75C7E" w:rsidTr="004341A3">
        <w:trPr>
          <w:cantSplit/>
          <w:trHeight w:val="556"/>
        </w:trPr>
        <w:tc>
          <w:tcPr>
            <w:tcW w:w="1768" w:type="pct"/>
            <w:shd w:val="clear" w:color="auto" w:fill="auto"/>
            <w:tcMar>
              <w:top w:w="113" w:type="dxa"/>
              <w:bottom w:w="57" w:type="dxa"/>
            </w:tcMar>
          </w:tcPr>
          <w:p w:rsidR="00B16400" w:rsidRPr="00C75C7E" w:rsidRDefault="00B16400" w:rsidP="004341A3">
            <w:pPr>
              <w:widowControl w:val="0"/>
              <w:rPr>
                <w:sz w:val="16"/>
                <w:szCs w:val="16"/>
                <w:lang w:val="es-ES_tradnl"/>
              </w:rPr>
            </w:pPr>
          </w:p>
        </w:tc>
        <w:tc>
          <w:tcPr>
            <w:tcW w:w="1708" w:type="pct"/>
            <w:shd w:val="clear" w:color="auto" w:fill="auto"/>
            <w:tcMar>
              <w:top w:w="113" w:type="dxa"/>
              <w:bottom w:w="57" w:type="dxa"/>
            </w:tcMar>
          </w:tcPr>
          <w:p w:rsidR="00B16400" w:rsidRPr="00C75C7E" w:rsidRDefault="00B16400" w:rsidP="004341A3">
            <w:pPr>
              <w:widowControl w:val="0"/>
              <w:rPr>
                <w:sz w:val="16"/>
                <w:szCs w:val="16"/>
                <w:lang w:val="es-ES_tradnl"/>
              </w:rPr>
            </w:pPr>
            <w:r w:rsidRPr="00C75C7E">
              <w:rPr>
                <w:sz w:val="16"/>
                <w:szCs w:val="16"/>
                <w:lang w:val="es-ES_tradnl"/>
              </w:rPr>
              <w:t>Número de países que han adoptado o aplicado estrategias o planes de desarrollo nacionales de P.I.</w:t>
            </w:r>
          </w:p>
        </w:tc>
        <w:tc>
          <w:tcPr>
            <w:tcW w:w="1524" w:type="pct"/>
            <w:shd w:val="clear" w:color="auto" w:fill="FFFFFF"/>
            <w:tcMar>
              <w:top w:w="113" w:type="dxa"/>
              <w:bottom w:w="57" w:type="dxa"/>
            </w:tcMar>
          </w:tcPr>
          <w:p w:rsidR="00B16400" w:rsidRPr="00C75C7E" w:rsidRDefault="00B16400" w:rsidP="004341A3">
            <w:pPr>
              <w:widowControl w:val="0"/>
              <w:ind w:left="551"/>
              <w:rPr>
                <w:sz w:val="16"/>
                <w:szCs w:val="16"/>
                <w:lang w:val="es-ES_tradnl"/>
              </w:rPr>
            </w:pPr>
            <w:r w:rsidRPr="00C75C7E">
              <w:rPr>
                <w:sz w:val="16"/>
                <w:szCs w:val="16"/>
                <w:lang w:val="es-ES_tradnl" w:bidi="th-TH"/>
              </w:rPr>
              <w:t>Programa  9</w:t>
            </w:r>
          </w:p>
        </w:tc>
      </w:tr>
      <w:tr w:rsidR="00B16400" w:rsidRPr="00C75C7E" w:rsidTr="004341A3">
        <w:trPr>
          <w:cantSplit/>
          <w:trHeight w:val="368"/>
        </w:trPr>
        <w:tc>
          <w:tcPr>
            <w:tcW w:w="1768" w:type="pct"/>
            <w:shd w:val="clear" w:color="auto" w:fill="auto"/>
            <w:tcMar>
              <w:top w:w="113" w:type="dxa"/>
              <w:bottom w:w="57" w:type="dxa"/>
            </w:tcMar>
          </w:tcPr>
          <w:p w:rsidR="00B16400" w:rsidRPr="00C75C7E" w:rsidRDefault="00B16400" w:rsidP="004341A3">
            <w:pPr>
              <w:widowControl w:val="0"/>
              <w:rPr>
                <w:sz w:val="16"/>
                <w:szCs w:val="16"/>
                <w:lang w:val="es-ES_tradnl"/>
              </w:rPr>
            </w:pPr>
          </w:p>
        </w:tc>
        <w:tc>
          <w:tcPr>
            <w:tcW w:w="1708" w:type="pct"/>
            <w:shd w:val="clear" w:color="auto" w:fill="auto"/>
            <w:tcMar>
              <w:top w:w="113" w:type="dxa"/>
              <w:bottom w:w="57" w:type="dxa"/>
            </w:tcMar>
          </w:tcPr>
          <w:p w:rsidR="00B16400" w:rsidRPr="00C75C7E" w:rsidRDefault="00B16400" w:rsidP="004341A3">
            <w:pPr>
              <w:widowControl w:val="0"/>
              <w:rPr>
                <w:sz w:val="16"/>
                <w:szCs w:val="16"/>
                <w:lang w:val="es-ES_tradnl"/>
              </w:rPr>
            </w:pPr>
            <w:r w:rsidRPr="00C75C7E">
              <w:rPr>
                <w:sz w:val="16"/>
                <w:szCs w:val="16"/>
                <w:lang w:val="es-ES_tradnl"/>
              </w:rPr>
              <w:t>Número de universidades que han elaborado políticas de P.I.</w:t>
            </w:r>
          </w:p>
        </w:tc>
        <w:tc>
          <w:tcPr>
            <w:tcW w:w="1524" w:type="pct"/>
            <w:shd w:val="clear" w:color="auto" w:fill="FFFFFF"/>
            <w:tcMar>
              <w:top w:w="113" w:type="dxa"/>
              <w:bottom w:w="57" w:type="dxa"/>
            </w:tcMar>
          </w:tcPr>
          <w:p w:rsidR="00B16400" w:rsidRPr="00C75C7E" w:rsidRDefault="00B16400" w:rsidP="004341A3">
            <w:pPr>
              <w:widowControl w:val="0"/>
              <w:ind w:left="551"/>
              <w:rPr>
                <w:sz w:val="16"/>
                <w:szCs w:val="16"/>
                <w:lang w:val="es-ES_tradnl"/>
              </w:rPr>
            </w:pPr>
            <w:r w:rsidRPr="00C75C7E">
              <w:rPr>
                <w:sz w:val="16"/>
                <w:szCs w:val="16"/>
                <w:lang w:val="es-ES_tradnl" w:bidi="th-TH"/>
              </w:rPr>
              <w:t>Programa  10</w:t>
            </w:r>
          </w:p>
        </w:tc>
      </w:tr>
      <w:tr w:rsidR="00B16400" w:rsidRPr="00C75C7E" w:rsidTr="004341A3">
        <w:trPr>
          <w:cantSplit/>
          <w:trHeight w:val="362"/>
        </w:trPr>
        <w:tc>
          <w:tcPr>
            <w:tcW w:w="1768" w:type="pct"/>
            <w:shd w:val="clear" w:color="auto" w:fill="auto"/>
            <w:tcMar>
              <w:top w:w="113" w:type="dxa"/>
              <w:bottom w:w="57" w:type="dxa"/>
            </w:tcMar>
          </w:tcPr>
          <w:p w:rsidR="00B16400" w:rsidRPr="00C75C7E" w:rsidRDefault="00B16400" w:rsidP="004341A3">
            <w:pPr>
              <w:widowControl w:val="0"/>
              <w:rPr>
                <w:sz w:val="16"/>
                <w:szCs w:val="16"/>
                <w:lang w:val="es-ES_tradnl"/>
              </w:rPr>
            </w:pPr>
          </w:p>
        </w:tc>
        <w:tc>
          <w:tcPr>
            <w:tcW w:w="1708" w:type="pct"/>
            <w:shd w:val="clear" w:color="auto" w:fill="auto"/>
            <w:tcMar>
              <w:top w:w="113" w:type="dxa"/>
              <w:bottom w:w="57" w:type="dxa"/>
            </w:tcMar>
          </w:tcPr>
          <w:p w:rsidR="00B16400" w:rsidRPr="00C75C7E" w:rsidRDefault="00B16400" w:rsidP="004341A3">
            <w:pPr>
              <w:widowControl w:val="0"/>
              <w:rPr>
                <w:sz w:val="16"/>
                <w:szCs w:val="16"/>
                <w:lang w:val="es-ES_tradnl"/>
              </w:rPr>
            </w:pPr>
            <w:r w:rsidRPr="00C75C7E">
              <w:rPr>
                <w:sz w:val="16"/>
                <w:szCs w:val="16"/>
                <w:lang w:val="es-ES_tradnl"/>
              </w:rPr>
              <w:t>Número de países que han elaborado estrategias/planes nacionales de P.I.</w:t>
            </w:r>
          </w:p>
        </w:tc>
        <w:tc>
          <w:tcPr>
            <w:tcW w:w="1524" w:type="pct"/>
            <w:shd w:val="clear" w:color="auto" w:fill="FFFFFF"/>
            <w:tcMar>
              <w:top w:w="113" w:type="dxa"/>
              <w:bottom w:w="57" w:type="dxa"/>
            </w:tcMar>
          </w:tcPr>
          <w:p w:rsidR="00B16400" w:rsidRPr="00C75C7E" w:rsidRDefault="00B16400" w:rsidP="004341A3">
            <w:pPr>
              <w:widowControl w:val="0"/>
              <w:ind w:left="551"/>
              <w:rPr>
                <w:sz w:val="16"/>
                <w:szCs w:val="16"/>
                <w:lang w:val="es-ES_tradnl" w:bidi="th-TH"/>
              </w:rPr>
            </w:pPr>
            <w:r w:rsidRPr="00C75C7E">
              <w:rPr>
                <w:sz w:val="16"/>
                <w:szCs w:val="16"/>
                <w:lang w:val="es-ES_tradnl" w:bidi="th-TH"/>
              </w:rPr>
              <w:t>Programa  10</w:t>
            </w:r>
          </w:p>
        </w:tc>
      </w:tr>
      <w:tr w:rsidR="00B16400" w:rsidRPr="00C75C7E" w:rsidTr="004341A3">
        <w:trPr>
          <w:cantSplit/>
          <w:trHeight w:val="1089"/>
        </w:trPr>
        <w:tc>
          <w:tcPr>
            <w:tcW w:w="1768" w:type="pct"/>
            <w:shd w:val="clear" w:color="auto" w:fill="auto"/>
            <w:tcMar>
              <w:top w:w="113" w:type="dxa"/>
              <w:bottom w:w="57" w:type="dxa"/>
            </w:tcMar>
          </w:tcPr>
          <w:p w:rsidR="00B16400" w:rsidRPr="00C75C7E" w:rsidRDefault="00B16400" w:rsidP="004341A3">
            <w:pPr>
              <w:widowControl w:val="0"/>
              <w:rPr>
                <w:sz w:val="16"/>
                <w:szCs w:val="16"/>
                <w:lang w:val="es-ES_tradnl"/>
              </w:rPr>
            </w:pPr>
            <w:r w:rsidRPr="00C75C7E">
              <w:rPr>
                <w:sz w:val="16"/>
                <w:szCs w:val="16"/>
                <w:lang w:val="es-ES_tradnl"/>
              </w:rPr>
              <w:t>III.2 Mejora de las capacidades en el ámbito de los recursos humanos para hacer frente al amplio espectro de exigencias que supone la utilización eficaz de la P.I. en aras del desarrollo en los países en desarrollo, PMA y países con economías en transición.</w:t>
            </w:r>
          </w:p>
        </w:tc>
        <w:tc>
          <w:tcPr>
            <w:tcW w:w="1708" w:type="pct"/>
            <w:shd w:val="clear" w:color="auto" w:fill="auto"/>
            <w:tcMar>
              <w:top w:w="113" w:type="dxa"/>
              <w:bottom w:w="57" w:type="dxa"/>
            </w:tcMar>
          </w:tcPr>
          <w:p w:rsidR="00B16400" w:rsidRPr="00C75C7E" w:rsidRDefault="00B16400" w:rsidP="004341A3">
            <w:pPr>
              <w:widowControl w:val="0"/>
              <w:rPr>
                <w:sz w:val="16"/>
                <w:szCs w:val="16"/>
                <w:lang w:val="es-ES_tradnl"/>
              </w:rPr>
            </w:pPr>
            <w:r w:rsidRPr="00C75C7E">
              <w:rPr>
                <w:sz w:val="16"/>
                <w:szCs w:val="16"/>
                <w:lang w:val="es-ES_tradnl"/>
              </w:rPr>
              <w:t>Número de gobiernos y de OGC que firman acuerdos con la OMPI para elaborar una nueva norma de garantía de calidad en materia de transparencia, rendición de cuentas y gobernanza.</w:t>
            </w:r>
          </w:p>
        </w:tc>
        <w:tc>
          <w:tcPr>
            <w:tcW w:w="1524" w:type="pct"/>
            <w:shd w:val="clear" w:color="auto" w:fill="FFFFFF"/>
            <w:tcMar>
              <w:top w:w="113" w:type="dxa"/>
              <w:bottom w:w="57" w:type="dxa"/>
            </w:tcMar>
          </w:tcPr>
          <w:p w:rsidR="00B16400" w:rsidRPr="00C75C7E" w:rsidRDefault="00B16400" w:rsidP="004341A3">
            <w:pPr>
              <w:widowControl w:val="0"/>
              <w:ind w:left="551"/>
              <w:rPr>
                <w:sz w:val="16"/>
                <w:szCs w:val="16"/>
                <w:lang w:val="es-ES_tradnl" w:bidi="th-TH"/>
              </w:rPr>
            </w:pPr>
            <w:r w:rsidRPr="00C75C7E">
              <w:rPr>
                <w:sz w:val="16"/>
                <w:szCs w:val="16"/>
                <w:lang w:val="es-ES_tradnl" w:bidi="th-TH"/>
              </w:rPr>
              <w:t>Programa  3</w:t>
            </w:r>
          </w:p>
        </w:tc>
      </w:tr>
      <w:tr w:rsidR="00B16400" w:rsidRPr="00C75C7E" w:rsidTr="004341A3">
        <w:trPr>
          <w:cantSplit/>
          <w:trHeight w:val="702"/>
        </w:trPr>
        <w:tc>
          <w:tcPr>
            <w:tcW w:w="1768" w:type="pct"/>
            <w:shd w:val="clear" w:color="auto" w:fill="auto"/>
            <w:tcMar>
              <w:top w:w="113" w:type="dxa"/>
              <w:bottom w:w="57" w:type="dxa"/>
            </w:tcMar>
          </w:tcPr>
          <w:p w:rsidR="00B16400" w:rsidRPr="00C75C7E" w:rsidRDefault="00B16400" w:rsidP="004341A3">
            <w:pPr>
              <w:widowControl w:val="0"/>
              <w:rPr>
                <w:sz w:val="16"/>
                <w:szCs w:val="16"/>
                <w:lang w:val="es-ES_tradnl"/>
              </w:rPr>
            </w:pPr>
          </w:p>
        </w:tc>
        <w:tc>
          <w:tcPr>
            <w:tcW w:w="1708" w:type="pct"/>
            <w:shd w:val="clear" w:color="auto" w:fill="auto"/>
            <w:tcMar>
              <w:top w:w="113" w:type="dxa"/>
              <w:bottom w:w="57" w:type="dxa"/>
            </w:tcMar>
          </w:tcPr>
          <w:p w:rsidR="00B16400" w:rsidRPr="00C75C7E" w:rsidRDefault="00B16400" w:rsidP="004341A3">
            <w:pPr>
              <w:widowControl w:val="0"/>
              <w:rPr>
                <w:sz w:val="16"/>
                <w:szCs w:val="16"/>
                <w:lang w:val="es-ES_tradnl"/>
              </w:rPr>
            </w:pPr>
            <w:r w:rsidRPr="00C75C7E">
              <w:rPr>
                <w:sz w:val="16"/>
                <w:szCs w:val="16"/>
                <w:lang w:val="es-ES_tradnl"/>
              </w:rPr>
              <w:t>Porcentaje de creadores satisfechos con la formación proporcionada sobre el uso de la información y los datos de derecho de autor para la gestión eficaz de sus derechos de autor.</w:t>
            </w:r>
          </w:p>
        </w:tc>
        <w:tc>
          <w:tcPr>
            <w:tcW w:w="1524" w:type="pct"/>
            <w:shd w:val="clear" w:color="auto" w:fill="FFFFFF"/>
            <w:tcMar>
              <w:top w:w="113" w:type="dxa"/>
              <w:bottom w:w="57" w:type="dxa"/>
            </w:tcMar>
          </w:tcPr>
          <w:p w:rsidR="00B16400" w:rsidRPr="00C75C7E" w:rsidRDefault="00B16400" w:rsidP="004341A3">
            <w:pPr>
              <w:widowControl w:val="0"/>
              <w:ind w:left="551"/>
              <w:rPr>
                <w:sz w:val="16"/>
                <w:szCs w:val="16"/>
                <w:lang w:val="es-ES_tradnl" w:bidi="th-TH"/>
              </w:rPr>
            </w:pPr>
            <w:r w:rsidRPr="00C75C7E">
              <w:rPr>
                <w:sz w:val="16"/>
                <w:szCs w:val="16"/>
                <w:lang w:val="es-ES_tradnl" w:bidi="th-TH"/>
              </w:rPr>
              <w:t>Programa  3</w:t>
            </w:r>
          </w:p>
        </w:tc>
      </w:tr>
      <w:tr w:rsidR="00B16400" w:rsidRPr="00C75C7E" w:rsidTr="004341A3">
        <w:trPr>
          <w:cantSplit/>
          <w:trHeight w:val="540"/>
        </w:trPr>
        <w:tc>
          <w:tcPr>
            <w:tcW w:w="1768" w:type="pct"/>
            <w:shd w:val="clear" w:color="auto" w:fill="auto"/>
            <w:tcMar>
              <w:top w:w="113" w:type="dxa"/>
              <w:bottom w:w="57" w:type="dxa"/>
            </w:tcMar>
          </w:tcPr>
          <w:p w:rsidR="00B16400" w:rsidRPr="00C75C7E" w:rsidRDefault="00B16400" w:rsidP="004341A3">
            <w:pPr>
              <w:widowControl w:val="0"/>
              <w:rPr>
                <w:sz w:val="16"/>
                <w:szCs w:val="16"/>
                <w:lang w:val="es-ES_tradnl"/>
              </w:rPr>
            </w:pPr>
          </w:p>
        </w:tc>
        <w:tc>
          <w:tcPr>
            <w:tcW w:w="1708" w:type="pct"/>
            <w:shd w:val="clear" w:color="auto" w:fill="auto"/>
            <w:tcMar>
              <w:top w:w="113" w:type="dxa"/>
              <w:bottom w:w="57" w:type="dxa"/>
            </w:tcMar>
          </w:tcPr>
          <w:p w:rsidR="00B16400" w:rsidRPr="00C75C7E" w:rsidRDefault="00B16400" w:rsidP="004341A3">
            <w:pPr>
              <w:widowControl w:val="0"/>
              <w:rPr>
                <w:sz w:val="16"/>
                <w:szCs w:val="16"/>
                <w:lang w:val="es-ES_tradnl"/>
              </w:rPr>
            </w:pPr>
            <w:r w:rsidRPr="00C75C7E">
              <w:rPr>
                <w:sz w:val="16"/>
                <w:szCs w:val="16"/>
                <w:lang w:val="es-ES_tradnl"/>
              </w:rPr>
              <w:t>Porcentaje de participantes en reuniones y talleres de creación de capacidad sobre cuestiones de derecho de autor que expresaron satisfacción al respecto.</w:t>
            </w:r>
          </w:p>
        </w:tc>
        <w:tc>
          <w:tcPr>
            <w:tcW w:w="1524" w:type="pct"/>
            <w:shd w:val="clear" w:color="auto" w:fill="FFFFFF"/>
            <w:tcMar>
              <w:top w:w="113" w:type="dxa"/>
              <w:bottom w:w="57" w:type="dxa"/>
            </w:tcMar>
          </w:tcPr>
          <w:p w:rsidR="00B16400" w:rsidRPr="00C75C7E" w:rsidRDefault="00B16400" w:rsidP="004341A3">
            <w:pPr>
              <w:widowControl w:val="0"/>
              <w:ind w:left="551"/>
              <w:rPr>
                <w:sz w:val="16"/>
                <w:szCs w:val="16"/>
                <w:lang w:val="es-ES_tradnl" w:bidi="th-TH"/>
              </w:rPr>
            </w:pPr>
            <w:r w:rsidRPr="00C75C7E">
              <w:rPr>
                <w:sz w:val="16"/>
                <w:szCs w:val="16"/>
                <w:lang w:val="es-ES_tradnl" w:bidi="th-TH"/>
              </w:rPr>
              <w:t>Programa  3</w:t>
            </w:r>
          </w:p>
        </w:tc>
      </w:tr>
      <w:tr w:rsidR="00B16400" w:rsidRPr="00C75C7E" w:rsidTr="004341A3">
        <w:trPr>
          <w:cantSplit/>
          <w:trHeight w:val="800"/>
        </w:trPr>
        <w:tc>
          <w:tcPr>
            <w:tcW w:w="1768" w:type="pct"/>
            <w:shd w:val="clear" w:color="auto" w:fill="auto"/>
            <w:tcMar>
              <w:top w:w="113" w:type="dxa"/>
              <w:bottom w:w="57" w:type="dxa"/>
            </w:tcMar>
          </w:tcPr>
          <w:p w:rsidR="00B16400" w:rsidRPr="00C75C7E" w:rsidRDefault="00B16400" w:rsidP="004341A3">
            <w:pPr>
              <w:widowControl w:val="0"/>
              <w:rPr>
                <w:sz w:val="16"/>
                <w:szCs w:val="16"/>
                <w:lang w:val="es-ES_tradnl"/>
              </w:rPr>
            </w:pPr>
          </w:p>
        </w:tc>
        <w:tc>
          <w:tcPr>
            <w:tcW w:w="1708" w:type="pct"/>
            <w:shd w:val="clear" w:color="auto" w:fill="auto"/>
            <w:tcMar>
              <w:top w:w="113" w:type="dxa"/>
              <w:bottom w:w="57" w:type="dxa"/>
            </w:tcMar>
          </w:tcPr>
          <w:p w:rsidR="00B16400" w:rsidRPr="00C75C7E" w:rsidRDefault="00B16400" w:rsidP="004341A3">
            <w:pPr>
              <w:widowControl w:val="0"/>
              <w:rPr>
                <w:sz w:val="16"/>
                <w:szCs w:val="16"/>
                <w:lang w:val="es-ES_tradnl"/>
              </w:rPr>
            </w:pPr>
            <w:r w:rsidRPr="00C75C7E">
              <w:rPr>
                <w:sz w:val="16"/>
                <w:szCs w:val="16"/>
                <w:lang w:val="es-ES_tradnl"/>
              </w:rPr>
              <w:t>Número de Estados miembros que toman iniciativas para mejorar el uso del sistema de derecho de autor a fin de explotar el potencial económico de sus obras y productos culturales.</w:t>
            </w:r>
          </w:p>
        </w:tc>
        <w:tc>
          <w:tcPr>
            <w:tcW w:w="1524" w:type="pct"/>
            <w:shd w:val="clear" w:color="auto" w:fill="FFFFFF"/>
            <w:tcMar>
              <w:top w:w="113" w:type="dxa"/>
              <w:bottom w:w="57" w:type="dxa"/>
            </w:tcMar>
          </w:tcPr>
          <w:p w:rsidR="00B16400" w:rsidRPr="00C75C7E" w:rsidRDefault="00B16400" w:rsidP="004341A3">
            <w:pPr>
              <w:widowControl w:val="0"/>
              <w:ind w:left="551"/>
              <w:rPr>
                <w:sz w:val="16"/>
                <w:szCs w:val="16"/>
                <w:lang w:val="es-ES_tradnl" w:bidi="th-TH"/>
              </w:rPr>
            </w:pPr>
            <w:r w:rsidRPr="00C75C7E">
              <w:rPr>
                <w:sz w:val="16"/>
                <w:szCs w:val="16"/>
                <w:lang w:val="es-ES_tradnl" w:bidi="th-TH"/>
              </w:rPr>
              <w:t>Programa  3</w:t>
            </w:r>
          </w:p>
        </w:tc>
      </w:tr>
      <w:tr w:rsidR="00B16400" w:rsidRPr="00C75C7E" w:rsidTr="004341A3">
        <w:trPr>
          <w:cantSplit/>
          <w:trHeight w:val="800"/>
        </w:trPr>
        <w:tc>
          <w:tcPr>
            <w:tcW w:w="1768" w:type="pct"/>
            <w:shd w:val="clear" w:color="auto" w:fill="auto"/>
            <w:tcMar>
              <w:top w:w="113" w:type="dxa"/>
              <w:bottom w:w="57" w:type="dxa"/>
            </w:tcMar>
          </w:tcPr>
          <w:p w:rsidR="00B16400" w:rsidRPr="00C75C7E" w:rsidRDefault="00B16400" w:rsidP="004341A3">
            <w:pPr>
              <w:widowControl w:val="0"/>
              <w:rPr>
                <w:sz w:val="16"/>
                <w:szCs w:val="16"/>
                <w:lang w:val="es-ES_tradnl"/>
              </w:rPr>
            </w:pPr>
          </w:p>
        </w:tc>
        <w:tc>
          <w:tcPr>
            <w:tcW w:w="1708" w:type="pct"/>
            <w:shd w:val="clear" w:color="auto" w:fill="auto"/>
            <w:tcMar>
              <w:top w:w="113" w:type="dxa"/>
              <w:bottom w:w="57" w:type="dxa"/>
            </w:tcMar>
          </w:tcPr>
          <w:p w:rsidR="00B16400" w:rsidRPr="00C75C7E" w:rsidRDefault="00B16400" w:rsidP="004341A3">
            <w:pPr>
              <w:widowControl w:val="0"/>
              <w:rPr>
                <w:sz w:val="16"/>
                <w:szCs w:val="16"/>
                <w:lang w:val="es-ES_tradnl"/>
              </w:rPr>
            </w:pPr>
            <w:r w:rsidRPr="00C75C7E">
              <w:rPr>
                <w:sz w:val="16"/>
                <w:szCs w:val="16"/>
                <w:lang w:val="es-ES_tradnl"/>
              </w:rPr>
              <w:t>Porcentaje de participantes en actividades de la OMPI que afirman haber fomentado la capacidad de comprender y utilizar principios, sistemas y herramientas de P.I. para la protección de los CC.TT. y las ECT, y para la gestión de la relación existente entre la P.I. y los RR.GG.</w:t>
            </w:r>
          </w:p>
        </w:tc>
        <w:tc>
          <w:tcPr>
            <w:tcW w:w="1524" w:type="pct"/>
            <w:shd w:val="clear" w:color="auto" w:fill="FFFFFF"/>
            <w:tcMar>
              <w:top w:w="113" w:type="dxa"/>
              <w:bottom w:w="57" w:type="dxa"/>
            </w:tcMar>
          </w:tcPr>
          <w:p w:rsidR="00B16400" w:rsidRPr="00C75C7E" w:rsidRDefault="00B16400" w:rsidP="004341A3">
            <w:pPr>
              <w:widowControl w:val="0"/>
              <w:ind w:left="551"/>
              <w:rPr>
                <w:sz w:val="16"/>
                <w:szCs w:val="16"/>
                <w:lang w:val="es-ES_tradnl" w:bidi="th-TH"/>
              </w:rPr>
            </w:pPr>
            <w:r w:rsidRPr="00C75C7E">
              <w:rPr>
                <w:sz w:val="16"/>
                <w:szCs w:val="16"/>
                <w:lang w:val="es-ES_tradnl" w:bidi="th-TH"/>
              </w:rPr>
              <w:t>Programa  4</w:t>
            </w:r>
          </w:p>
        </w:tc>
      </w:tr>
      <w:tr w:rsidR="00B16400" w:rsidRPr="00C75C7E" w:rsidTr="004341A3">
        <w:trPr>
          <w:cantSplit/>
          <w:trHeight w:val="550"/>
        </w:trPr>
        <w:tc>
          <w:tcPr>
            <w:tcW w:w="1768" w:type="pct"/>
            <w:shd w:val="clear" w:color="auto" w:fill="auto"/>
            <w:tcMar>
              <w:top w:w="113" w:type="dxa"/>
              <w:bottom w:w="57" w:type="dxa"/>
            </w:tcMar>
          </w:tcPr>
          <w:p w:rsidR="00B16400" w:rsidRPr="00C75C7E" w:rsidRDefault="00B16400" w:rsidP="004341A3">
            <w:pPr>
              <w:widowControl w:val="0"/>
              <w:rPr>
                <w:sz w:val="16"/>
                <w:szCs w:val="16"/>
                <w:lang w:val="es-ES_tradnl"/>
              </w:rPr>
            </w:pPr>
          </w:p>
        </w:tc>
        <w:tc>
          <w:tcPr>
            <w:tcW w:w="1708" w:type="pct"/>
            <w:shd w:val="clear" w:color="auto" w:fill="auto"/>
            <w:tcMar>
              <w:top w:w="113" w:type="dxa"/>
              <w:bottom w:w="57" w:type="dxa"/>
            </w:tcMar>
          </w:tcPr>
          <w:p w:rsidR="00B16400" w:rsidRPr="00C75C7E" w:rsidRDefault="00B16400" w:rsidP="004341A3">
            <w:pPr>
              <w:widowControl w:val="0"/>
              <w:rPr>
                <w:sz w:val="16"/>
                <w:szCs w:val="16"/>
                <w:lang w:val="es-ES_tradnl"/>
              </w:rPr>
            </w:pPr>
            <w:r w:rsidRPr="00C75C7E">
              <w:rPr>
                <w:sz w:val="16"/>
                <w:szCs w:val="16"/>
                <w:lang w:val="es-ES_tradnl"/>
              </w:rPr>
              <w:t>Porcentaje de participantes en actividades de la OMPI que se muestran satisfechos del contenido y la organización de dichos actos.</w:t>
            </w:r>
          </w:p>
        </w:tc>
        <w:tc>
          <w:tcPr>
            <w:tcW w:w="1524" w:type="pct"/>
            <w:shd w:val="clear" w:color="auto" w:fill="FFFFFF"/>
            <w:tcMar>
              <w:top w:w="113" w:type="dxa"/>
              <w:bottom w:w="57" w:type="dxa"/>
            </w:tcMar>
          </w:tcPr>
          <w:p w:rsidR="00B16400" w:rsidRPr="00C75C7E" w:rsidRDefault="00B16400" w:rsidP="004341A3">
            <w:pPr>
              <w:widowControl w:val="0"/>
              <w:ind w:left="551"/>
              <w:rPr>
                <w:sz w:val="16"/>
                <w:szCs w:val="16"/>
                <w:lang w:val="es-ES_tradnl" w:bidi="th-TH"/>
              </w:rPr>
            </w:pPr>
            <w:r w:rsidRPr="00C75C7E">
              <w:rPr>
                <w:sz w:val="16"/>
                <w:szCs w:val="16"/>
                <w:lang w:val="es-ES_tradnl" w:bidi="th-TH"/>
              </w:rPr>
              <w:t>Programa  9</w:t>
            </w:r>
          </w:p>
        </w:tc>
      </w:tr>
      <w:tr w:rsidR="00B16400" w:rsidRPr="00C75C7E" w:rsidTr="004341A3">
        <w:trPr>
          <w:cantSplit/>
          <w:trHeight w:val="554"/>
        </w:trPr>
        <w:tc>
          <w:tcPr>
            <w:tcW w:w="1768" w:type="pct"/>
            <w:shd w:val="clear" w:color="auto" w:fill="auto"/>
            <w:tcMar>
              <w:top w:w="113" w:type="dxa"/>
              <w:bottom w:w="57" w:type="dxa"/>
            </w:tcMar>
          </w:tcPr>
          <w:p w:rsidR="00B16400" w:rsidRPr="00C75C7E" w:rsidRDefault="00B16400" w:rsidP="004341A3">
            <w:pPr>
              <w:widowControl w:val="0"/>
              <w:rPr>
                <w:sz w:val="16"/>
                <w:szCs w:val="16"/>
                <w:lang w:val="es-ES_tradnl"/>
              </w:rPr>
            </w:pPr>
          </w:p>
        </w:tc>
        <w:tc>
          <w:tcPr>
            <w:tcW w:w="1708" w:type="pct"/>
            <w:shd w:val="clear" w:color="auto" w:fill="auto"/>
            <w:tcMar>
              <w:top w:w="113" w:type="dxa"/>
              <w:bottom w:w="57" w:type="dxa"/>
            </w:tcMar>
          </w:tcPr>
          <w:p w:rsidR="00B16400" w:rsidRPr="00C75C7E" w:rsidRDefault="00B16400" w:rsidP="004341A3">
            <w:pPr>
              <w:widowControl w:val="0"/>
              <w:rPr>
                <w:sz w:val="16"/>
                <w:szCs w:val="16"/>
                <w:lang w:val="es-ES_tradnl"/>
              </w:rPr>
            </w:pPr>
            <w:r w:rsidRPr="00C75C7E">
              <w:rPr>
                <w:sz w:val="16"/>
                <w:szCs w:val="16"/>
                <w:lang w:val="es-ES_tradnl"/>
              </w:rPr>
              <w:t>Porcentaje de participantes en talleres de la OMPI que aplican las capacidades adquiridas en su labor/empresa.</w:t>
            </w:r>
          </w:p>
        </w:tc>
        <w:tc>
          <w:tcPr>
            <w:tcW w:w="1524" w:type="pct"/>
            <w:shd w:val="clear" w:color="auto" w:fill="FFFFFF"/>
            <w:tcMar>
              <w:top w:w="113" w:type="dxa"/>
              <w:bottom w:w="57" w:type="dxa"/>
            </w:tcMar>
          </w:tcPr>
          <w:p w:rsidR="00B16400" w:rsidRPr="00C75C7E" w:rsidRDefault="00B16400" w:rsidP="004341A3">
            <w:pPr>
              <w:widowControl w:val="0"/>
              <w:ind w:left="551"/>
              <w:rPr>
                <w:sz w:val="16"/>
                <w:szCs w:val="16"/>
                <w:lang w:val="es-ES_tradnl" w:bidi="th-TH"/>
              </w:rPr>
            </w:pPr>
            <w:r w:rsidRPr="00C75C7E">
              <w:rPr>
                <w:sz w:val="16"/>
                <w:szCs w:val="16"/>
                <w:lang w:val="es-ES_tradnl" w:bidi="th-TH"/>
              </w:rPr>
              <w:t>Programa  9</w:t>
            </w:r>
          </w:p>
        </w:tc>
      </w:tr>
      <w:tr w:rsidR="00B16400" w:rsidRPr="00C75C7E" w:rsidTr="004341A3">
        <w:trPr>
          <w:cantSplit/>
          <w:trHeight w:val="532"/>
        </w:trPr>
        <w:tc>
          <w:tcPr>
            <w:tcW w:w="1768" w:type="pct"/>
            <w:shd w:val="clear" w:color="auto" w:fill="auto"/>
            <w:tcMar>
              <w:top w:w="113" w:type="dxa"/>
              <w:bottom w:w="57" w:type="dxa"/>
            </w:tcMar>
          </w:tcPr>
          <w:p w:rsidR="00B16400" w:rsidRPr="00C75C7E" w:rsidRDefault="00B16400" w:rsidP="004341A3">
            <w:pPr>
              <w:widowControl w:val="0"/>
              <w:rPr>
                <w:sz w:val="16"/>
                <w:szCs w:val="16"/>
                <w:lang w:val="es-ES_tradnl"/>
              </w:rPr>
            </w:pPr>
          </w:p>
        </w:tc>
        <w:tc>
          <w:tcPr>
            <w:tcW w:w="1708" w:type="pct"/>
            <w:shd w:val="clear" w:color="auto" w:fill="auto"/>
            <w:tcMar>
              <w:top w:w="113" w:type="dxa"/>
              <w:bottom w:w="57" w:type="dxa"/>
            </w:tcMar>
          </w:tcPr>
          <w:p w:rsidR="00B16400" w:rsidRPr="00C75C7E" w:rsidRDefault="00B16400" w:rsidP="004341A3">
            <w:pPr>
              <w:widowControl w:val="0"/>
              <w:rPr>
                <w:sz w:val="16"/>
                <w:szCs w:val="16"/>
                <w:lang w:val="es-ES_tradnl"/>
              </w:rPr>
            </w:pPr>
            <w:r w:rsidRPr="00C75C7E">
              <w:rPr>
                <w:sz w:val="16"/>
                <w:szCs w:val="16"/>
                <w:lang w:val="es-ES_tradnl"/>
              </w:rPr>
              <w:t xml:space="preserve">Porcentaje de expertos nacionales y regionales en P.I. utilizados como expertos en las actividades de la OMPI </w:t>
            </w:r>
          </w:p>
        </w:tc>
        <w:tc>
          <w:tcPr>
            <w:tcW w:w="1524" w:type="pct"/>
            <w:shd w:val="clear" w:color="auto" w:fill="FFFFFF"/>
            <w:tcMar>
              <w:top w:w="113" w:type="dxa"/>
              <w:bottom w:w="57" w:type="dxa"/>
            </w:tcMar>
          </w:tcPr>
          <w:p w:rsidR="00B16400" w:rsidRPr="00C75C7E" w:rsidRDefault="00B16400" w:rsidP="004341A3">
            <w:pPr>
              <w:widowControl w:val="0"/>
              <w:ind w:left="551"/>
              <w:rPr>
                <w:sz w:val="16"/>
                <w:szCs w:val="16"/>
                <w:lang w:val="es-ES_tradnl" w:bidi="th-TH"/>
              </w:rPr>
            </w:pPr>
            <w:r w:rsidRPr="00C75C7E">
              <w:rPr>
                <w:sz w:val="16"/>
                <w:szCs w:val="16"/>
                <w:lang w:val="es-ES_tradnl" w:bidi="th-TH"/>
              </w:rPr>
              <w:t>Programa  9</w:t>
            </w:r>
          </w:p>
        </w:tc>
      </w:tr>
      <w:tr w:rsidR="00B16400" w:rsidRPr="00C75C7E" w:rsidTr="004341A3">
        <w:trPr>
          <w:cantSplit/>
          <w:trHeight w:val="547"/>
        </w:trPr>
        <w:tc>
          <w:tcPr>
            <w:tcW w:w="1768" w:type="pct"/>
            <w:shd w:val="clear" w:color="auto" w:fill="auto"/>
            <w:tcMar>
              <w:top w:w="113" w:type="dxa"/>
              <w:bottom w:w="57" w:type="dxa"/>
            </w:tcMar>
          </w:tcPr>
          <w:p w:rsidR="00B16400" w:rsidRPr="00C75C7E" w:rsidRDefault="00B16400" w:rsidP="004341A3">
            <w:pPr>
              <w:widowControl w:val="0"/>
              <w:rPr>
                <w:sz w:val="16"/>
                <w:szCs w:val="16"/>
                <w:lang w:val="es-ES_tradnl"/>
              </w:rPr>
            </w:pPr>
          </w:p>
        </w:tc>
        <w:tc>
          <w:tcPr>
            <w:tcW w:w="1708" w:type="pct"/>
            <w:shd w:val="clear" w:color="auto" w:fill="auto"/>
            <w:tcMar>
              <w:top w:w="113" w:type="dxa"/>
              <w:bottom w:w="57" w:type="dxa"/>
            </w:tcMar>
          </w:tcPr>
          <w:p w:rsidR="00B16400" w:rsidRPr="00C75C7E" w:rsidRDefault="00B16400" w:rsidP="004341A3">
            <w:pPr>
              <w:widowControl w:val="0"/>
              <w:rPr>
                <w:sz w:val="16"/>
                <w:szCs w:val="16"/>
                <w:lang w:val="es-ES_tradnl"/>
              </w:rPr>
            </w:pPr>
            <w:r w:rsidRPr="00C75C7E">
              <w:rPr>
                <w:sz w:val="16"/>
                <w:szCs w:val="16"/>
                <w:lang w:val="es-ES_tradnl"/>
              </w:rPr>
              <w:t>Número de países con economías en transición que han establecido programas o cursos anuales de formación en P.I. para los profesionales de la P.I. o las pymes</w:t>
            </w:r>
          </w:p>
        </w:tc>
        <w:tc>
          <w:tcPr>
            <w:tcW w:w="1524" w:type="pct"/>
            <w:shd w:val="clear" w:color="auto" w:fill="FFFFFF"/>
            <w:tcMar>
              <w:top w:w="113" w:type="dxa"/>
              <w:bottom w:w="57" w:type="dxa"/>
            </w:tcMar>
          </w:tcPr>
          <w:p w:rsidR="00B16400" w:rsidRPr="00C75C7E" w:rsidRDefault="00B16400" w:rsidP="004341A3">
            <w:pPr>
              <w:widowControl w:val="0"/>
              <w:ind w:left="551"/>
              <w:rPr>
                <w:sz w:val="16"/>
                <w:szCs w:val="16"/>
                <w:lang w:val="es-ES_tradnl" w:bidi="th-TH"/>
              </w:rPr>
            </w:pPr>
            <w:r w:rsidRPr="00C75C7E">
              <w:rPr>
                <w:sz w:val="16"/>
                <w:szCs w:val="16"/>
                <w:lang w:val="es-ES_tradnl" w:bidi="th-TH"/>
              </w:rPr>
              <w:t>Programa  10</w:t>
            </w:r>
          </w:p>
        </w:tc>
      </w:tr>
      <w:tr w:rsidR="00B16400" w:rsidRPr="00C75C7E" w:rsidTr="004341A3">
        <w:trPr>
          <w:cantSplit/>
          <w:trHeight w:val="538"/>
        </w:trPr>
        <w:tc>
          <w:tcPr>
            <w:tcW w:w="1768" w:type="pct"/>
            <w:shd w:val="clear" w:color="auto" w:fill="auto"/>
            <w:tcMar>
              <w:top w:w="113" w:type="dxa"/>
              <w:bottom w:w="57" w:type="dxa"/>
            </w:tcMar>
          </w:tcPr>
          <w:p w:rsidR="00B16400" w:rsidRPr="00C75C7E" w:rsidRDefault="00B16400" w:rsidP="004341A3">
            <w:pPr>
              <w:widowControl w:val="0"/>
              <w:rPr>
                <w:sz w:val="16"/>
                <w:szCs w:val="16"/>
                <w:lang w:val="es-ES_tradnl"/>
              </w:rPr>
            </w:pPr>
          </w:p>
        </w:tc>
        <w:tc>
          <w:tcPr>
            <w:tcW w:w="1708" w:type="pct"/>
            <w:shd w:val="clear" w:color="auto" w:fill="auto"/>
            <w:tcMar>
              <w:top w:w="113" w:type="dxa"/>
              <w:bottom w:w="57" w:type="dxa"/>
            </w:tcMar>
          </w:tcPr>
          <w:p w:rsidR="00B16400" w:rsidRPr="00C75C7E" w:rsidRDefault="00B16400" w:rsidP="004341A3">
            <w:pPr>
              <w:widowControl w:val="0"/>
              <w:rPr>
                <w:sz w:val="16"/>
                <w:szCs w:val="16"/>
                <w:lang w:val="es-ES_tradnl"/>
              </w:rPr>
            </w:pPr>
            <w:r w:rsidRPr="00C75C7E">
              <w:rPr>
                <w:sz w:val="16"/>
                <w:szCs w:val="16"/>
                <w:lang w:val="es-ES_tradnl"/>
              </w:rPr>
              <w:t>Porcentaje de profesionales de P.I. y funcionarios de oficinas de P.I. que han recibido formación y utilizan en su trabajo las nuevas aptitudes adquiridas.</w:t>
            </w:r>
          </w:p>
        </w:tc>
        <w:tc>
          <w:tcPr>
            <w:tcW w:w="1524" w:type="pct"/>
            <w:shd w:val="clear" w:color="auto" w:fill="FFFFFF"/>
            <w:tcMar>
              <w:top w:w="113" w:type="dxa"/>
              <w:bottom w:w="57" w:type="dxa"/>
            </w:tcMar>
          </w:tcPr>
          <w:p w:rsidR="00B16400" w:rsidRPr="00C75C7E" w:rsidRDefault="00B16400" w:rsidP="004341A3">
            <w:pPr>
              <w:widowControl w:val="0"/>
              <w:ind w:left="551"/>
              <w:rPr>
                <w:sz w:val="16"/>
                <w:szCs w:val="16"/>
                <w:lang w:val="es-ES_tradnl" w:bidi="th-TH"/>
              </w:rPr>
            </w:pPr>
            <w:r w:rsidRPr="00C75C7E">
              <w:rPr>
                <w:sz w:val="16"/>
                <w:szCs w:val="16"/>
                <w:lang w:val="es-ES_tradnl" w:bidi="th-TH"/>
              </w:rPr>
              <w:t>Programa  10</w:t>
            </w:r>
          </w:p>
        </w:tc>
      </w:tr>
      <w:tr w:rsidR="00B16400" w:rsidRPr="00C75C7E" w:rsidTr="004341A3">
        <w:trPr>
          <w:cantSplit/>
          <w:trHeight w:val="800"/>
        </w:trPr>
        <w:tc>
          <w:tcPr>
            <w:tcW w:w="1768" w:type="pct"/>
            <w:shd w:val="clear" w:color="auto" w:fill="auto"/>
            <w:tcMar>
              <w:top w:w="113" w:type="dxa"/>
              <w:bottom w:w="57" w:type="dxa"/>
            </w:tcMar>
          </w:tcPr>
          <w:p w:rsidR="00B16400" w:rsidRPr="00C75C7E" w:rsidRDefault="00B16400" w:rsidP="004341A3">
            <w:pPr>
              <w:widowControl w:val="0"/>
              <w:rPr>
                <w:sz w:val="16"/>
                <w:szCs w:val="16"/>
                <w:lang w:val="es-ES_tradnl"/>
              </w:rPr>
            </w:pPr>
          </w:p>
        </w:tc>
        <w:tc>
          <w:tcPr>
            <w:tcW w:w="1708" w:type="pct"/>
            <w:shd w:val="clear" w:color="auto" w:fill="auto"/>
            <w:tcMar>
              <w:top w:w="113" w:type="dxa"/>
              <w:bottom w:w="57" w:type="dxa"/>
            </w:tcMar>
          </w:tcPr>
          <w:p w:rsidR="00B16400" w:rsidRPr="00C75C7E" w:rsidRDefault="00B16400" w:rsidP="004341A3">
            <w:pPr>
              <w:widowControl w:val="0"/>
              <w:rPr>
                <w:sz w:val="16"/>
                <w:szCs w:val="16"/>
                <w:lang w:val="es-ES_tradnl"/>
              </w:rPr>
            </w:pPr>
            <w:r w:rsidRPr="00C75C7E">
              <w:rPr>
                <w:sz w:val="16"/>
                <w:szCs w:val="16"/>
                <w:lang w:val="es-ES_tradnl"/>
              </w:rPr>
              <w:t>Cartera revisada de cursos de formación en P.I. para los países en desarrollo, PMA y países con economías en transición/ pertinencia del contenido de los cursos de formación para las necesidades de fortalecimiento de capacidades de los países en desarrollo, los PMA y los países con economías en transición.</w:t>
            </w:r>
          </w:p>
        </w:tc>
        <w:tc>
          <w:tcPr>
            <w:tcW w:w="1524" w:type="pct"/>
            <w:shd w:val="clear" w:color="auto" w:fill="FFFFFF"/>
            <w:tcMar>
              <w:top w:w="113" w:type="dxa"/>
              <w:bottom w:w="57" w:type="dxa"/>
            </w:tcMar>
          </w:tcPr>
          <w:p w:rsidR="00B16400" w:rsidRPr="00C75C7E" w:rsidRDefault="00B16400" w:rsidP="004341A3">
            <w:pPr>
              <w:widowControl w:val="0"/>
              <w:ind w:left="551"/>
              <w:rPr>
                <w:sz w:val="16"/>
                <w:szCs w:val="16"/>
                <w:lang w:val="es-ES_tradnl" w:bidi="th-TH"/>
              </w:rPr>
            </w:pPr>
            <w:r w:rsidRPr="00C75C7E">
              <w:rPr>
                <w:sz w:val="16"/>
                <w:szCs w:val="16"/>
                <w:lang w:val="es-ES_tradnl" w:bidi="th-TH"/>
              </w:rPr>
              <w:t>Programa  11</w:t>
            </w:r>
          </w:p>
        </w:tc>
      </w:tr>
      <w:tr w:rsidR="00B16400" w:rsidRPr="00C75C7E" w:rsidTr="004341A3">
        <w:trPr>
          <w:cantSplit/>
          <w:trHeight w:val="800"/>
        </w:trPr>
        <w:tc>
          <w:tcPr>
            <w:tcW w:w="1768" w:type="pct"/>
            <w:shd w:val="clear" w:color="auto" w:fill="auto"/>
            <w:tcMar>
              <w:top w:w="113" w:type="dxa"/>
              <w:bottom w:w="57" w:type="dxa"/>
            </w:tcMar>
          </w:tcPr>
          <w:p w:rsidR="00B16400" w:rsidRPr="00C75C7E" w:rsidRDefault="00B16400" w:rsidP="004341A3">
            <w:pPr>
              <w:widowControl w:val="0"/>
              <w:rPr>
                <w:sz w:val="16"/>
                <w:szCs w:val="16"/>
                <w:lang w:val="es-ES_tradnl"/>
              </w:rPr>
            </w:pPr>
          </w:p>
        </w:tc>
        <w:tc>
          <w:tcPr>
            <w:tcW w:w="1708" w:type="pct"/>
            <w:shd w:val="clear" w:color="auto" w:fill="auto"/>
            <w:tcMar>
              <w:top w:w="113" w:type="dxa"/>
              <w:bottom w:w="57" w:type="dxa"/>
            </w:tcMar>
          </w:tcPr>
          <w:p w:rsidR="00B16400" w:rsidRPr="00C75C7E" w:rsidRDefault="00B16400" w:rsidP="004341A3">
            <w:pPr>
              <w:widowControl w:val="0"/>
              <w:rPr>
                <w:sz w:val="16"/>
                <w:szCs w:val="16"/>
                <w:lang w:val="es-ES_tradnl"/>
              </w:rPr>
            </w:pPr>
            <w:r w:rsidRPr="00C75C7E">
              <w:rPr>
                <w:sz w:val="16"/>
                <w:szCs w:val="16"/>
                <w:lang w:val="es-ES_tradnl"/>
              </w:rPr>
              <w:t>Acceso ampliado y plurilingüe a la enseñanza a distancia de diversos aspectos de la P.I. para los países en desarrollo, los PMA y los países con economías en transición / pertinencia del contenido de la cartera de cursos de enseñanza a distancia para las necesidades de fortalecimiento de capacidades de los países en desarrollo, los PMA y los países con economías en transición.</w:t>
            </w:r>
          </w:p>
        </w:tc>
        <w:tc>
          <w:tcPr>
            <w:tcW w:w="1524" w:type="pct"/>
            <w:shd w:val="clear" w:color="auto" w:fill="FFFFFF"/>
            <w:tcMar>
              <w:top w:w="113" w:type="dxa"/>
              <w:bottom w:w="57" w:type="dxa"/>
            </w:tcMar>
          </w:tcPr>
          <w:p w:rsidR="00B16400" w:rsidRPr="00C75C7E" w:rsidRDefault="00B16400" w:rsidP="004341A3">
            <w:pPr>
              <w:widowControl w:val="0"/>
              <w:ind w:left="551"/>
              <w:rPr>
                <w:sz w:val="16"/>
                <w:szCs w:val="16"/>
                <w:lang w:val="es-ES_tradnl" w:bidi="th-TH"/>
              </w:rPr>
            </w:pPr>
            <w:r w:rsidRPr="00C75C7E">
              <w:rPr>
                <w:sz w:val="16"/>
                <w:szCs w:val="16"/>
                <w:lang w:val="es-ES_tradnl" w:bidi="th-TH"/>
              </w:rPr>
              <w:t>Programa  11</w:t>
            </w:r>
          </w:p>
        </w:tc>
      </w:tr>
      <w:tr w:rsidR="00B16400" w:rsidRPr="00C75C7E" w:rsidTr="004341A3">
        <w:trPr>
          <w:cantSplit/>
          <w:trHeight w:val="800"/>
        </w:trPr>
        <w:tc>
          <w:tcPr>
            <w:tcW w:w="1768" w:type="pct"/>
            <w:shd w:val="clear" w:color="auto" w:fill="auto"/>
            <w:tcMar>
              <w:top w:w="113" w:type="dxa"/>
              <w:bottom w:w="57" w:type="dxa"/>
            </w:tcMar>
          </w:tcPr>
          <w:p w:rsidR="00B16400" w:rsidRPr="00C75C7E" w:rsidRDefault="00B16400" w:rsidP="004341A3">
            <w:pPr>
              <w:widowControl w:val="0"/>
              <w:rPr>
                <w:sz w:val="16"/>
                <w:szCs w:val="16"/>
                <w:lang w:val="es-ES_tradnl"/>
              </w:rPr>
            </w:pPr>
          </w:p>
        </w:tc>
        <w:tc>
          <w:tcPr>
            <w:tcW w:w="1708" w:type="pct"/>
            <w:shd w:val="clear" w:color="auto" w:fill="auto"/>
            <w:tcMar>
              <w:top w:w="113" w:type="dxa"/>
              <w:bottom w:w="57" w:type="dxa"/>
            </w:tcMar>
          </w:tcPr>
          <w:p w:rsidR="00B16400" w:rsidRPr="00C75C7E" w:rsidRDefault="00B16400" w:rsidP="004341A3">
            <w:pPr>
              <w:widowControl w:val="0"/>
              <w:rPr>
                <w:sz w:val="16"/>
                <w:szCs w:val="16"/>
                <w:lang w:val="es-ES_tradnl"/>
              </w:rPr>
            </w:pPr>
            <w:r w:rsidRPr="00C75C7E">
              <w:rPr>
                <w:sz w:val="16"/>
                <w:szCs w:val="16"/>
                <w:lang w:val="es-ES_tradnl"/>
              </w:rPr>
              <w:t>Fomento del acceso a los estudios superiores en P.I. para los países en desarrollo, los PMA y los países con economías en transición / número de universidades de países en desarrollo, PMA y países con economías en transición que ofrecen nuevos programas docentes de P.I.</w:t>
            </w:r>
          </w:p>
        </w:tc>
        <w:tc>
          <w:tcPr>
            <w:tcW w:w="1524" w:type="pct"/>
            <w:shd w:val="clear" w:color="auto" w:fill="FFFFFF"/>
            <w:tcMar>
              <w:top w:w="113" w:type="dxa"/>
              <w:bottom w:w="57" w:type="dxa"/>
            </w:tcMar>
          </w:tcPr>
          <w:p w:rsidR="00B16400" w:rsidRPr="00C75C7E" w:rsidRDefault="00B16400" w:rsidP="004341A3">
            <w:pPr>
              <w:widowControl w:val="0"/>
              <w:ind w:left="551"/>
              <w:rPr>
                <w:sz w:val="16"/>
                <w:szCs w:val="16"/>
                <w:lang w:val="es-ES_tradnl" w:bidi="th-TH"/>
              </w:rPr>
            </w:pPr>
            <w:r w:rsidRPr="00C75C7E">
              <w:rPr>
                <w:sz w:val="16"/>
                <w:szCs w:val="16"/>
                <w:lang w:val="es-ES_tradnl" w:bidi="th-TH"/>
              </w:rPr>
              <w:t>Programa  11</w:t>
            </w:r>
          </w:p>
        </w:tc>
      </w:tr>
      <w:tr w:rsidR="005B4CCD" w:rsidRPr="00C75C7E" w:rsidTr="005B4CCD">
        <w:trPr>
          <w:cantSplit/>
          <w:trHeight w:val="588"/>
        </w:trPr>
        <w:tc>
          <w:tcPr>
            <w:tcW w:w="1768" w:type="pct"/>
            <w:shd w:val="clear" w:color="auto" w:fill="auto"/>
            <w:tcMar>
              <w:top w:w="113" w:type="dxa"/>
              <w:bottom w:w="57" w:type="dxa"/>
            </w:tcMar>
          </w:tcPr>
          <w:p w:rsidR="005B4CCD" w:rsidRPr="00C75C7E" w:rsidRDefault="005B4CCD" w:rsidP="005B4CCD">
            <w:pPr>
              <w:widowControl w:val="0"/>
              <w:rPr>
                <w:sz w:val="16"/>
                <w:szCs w:val="16"/>
                <w:lang w:val="es-ES_tradnl"/>
              </w:rPr>
            </w:pPr>
          </w:p>
        </w:tc>
        <w:tc>
          <w:tcPr>
            <w:tcW w:w="1708" w:type="pct"/>
            <w:shd w:val="clear" w:color="auto" w:fill="auto"/>
            <w:tcMar>
              <w:top w:w="113" w:type="dxa"/>
              <w:bottom w:w="57" w:type="dxa"/>
            </w:tcMar>
          </w:tcPr>
          <w:p w:rsidR="005B4CCD" w:rsidRPr="00C75C7E" w:rsidRDefault="005B4CCD" w:rsidP="005B4CCD">
            <w:pPr>
              <w:widowControl w:val="0"/>
              <w:rPr>
                <w:sz w:val="16"/>
                <w:szCs w:val="16"/>
                <w:lang w:val="es-ES_tradnl"/>
              </w:rPr>
            </w:pPr>
            <w:r w:rsidRPr="00C75C7E">
              <w:rPr>
                <w:sz w:val="16"/>
                <w:szCs w:val="16"/>
                <w:lang w:val="es-ES_tradnl"/>
              </w:rPr>
              <w:t>Establecimiento progresivo de una red de expertos en P.I. en los países en desarrollo, PMA y países con economías en transición.</w:t>
            </w:r>
          </w:p>
        </w:tc>
        <w:tc>
          <w:tcPr>
            <w:tcW w:w="1524" w:type="pct"/>
            <w:shd w:val="clear" w:color="auto" w:fill="FFFFFF"/>
            <w:tcMar>
              <w:top w:w="113" w:type="dxa"/>
              <w:bottom w:w="57" w:type="dxa"/>
            </w:tcMar>
          </w:tcPr>
          <w:p w:rsidR="005B4CCD" w:rsidRPr="00C75C7E" w:rsidRDefault="005B4CCD" w:rsidP="005B4CCD">
            <w:pPr>
              <w:widowControl w:val="0"/>
              <w:ind w:left="551"/>
              <w:rPr>
                <w:sz w:val="16"/>
                <w:szCs w:val="16"/>
                <w:lang w:val="es-ES_tradnl" w:bidi="th-TH"/>
              </w:rPr>
            </w:pPr>
            <w:r w:rsidRPr="00C75C7E">
              <w:rPr>
                <w:sz w:val="16"/>
                <w:szCs w:val="16"/>
                <w:lang w:val="es-ES_tradnl" w:bidi="th-TH"/>
              </w:rPr>
              <w:t>Programa  11</w:t>
            </w:r>
          </w:p>
        </w:tc>
      </w:tr>
      <w:tr w:rsidR="005B4CCD" w:rsidRPr="00C75C7E" w:rsidTr="005B4CCD">
        <w:trPr>
          <w:cantSplit/>
          <w:trHeight w:val="588"/>
        </w:trPr>
        <w:tc>
          <w:tcPr>
            <w:tcW w:w="1768" w:type="pct"/>
            <w:shd w:val="clear" w:color="auto" w:fill="auto"/>
            <w:tcMar>
              <w:top w:w="113" w:type="dxa"/>
              <w:bottom w:w="57" w:type="dxa"/>
            </w:tcMar>
          </w:tcPr>
          <w:p w:rsidR="005B4CCD" w:rsidRPr="00C75C7E" w:rsidRDefault="005B4CCD" w:rsidP="005B4CCD">
            <w:pPr>
              <w:widowControl w:val="0"/>
              <w:rPr>
                <w:sz w:val="16"/>
                <w:szCs w:val="16"/>
                <w:lang w:val="es-ES_tradnl"/>
              </w:rPr>
            </w:pPr>
          </w:p>
        </w:tc>
        <w:tc>
          <w:tcPr>
            <w:tcW w:w="1708" w:type="pct"/>
            <w:shd w:val="clear" w:color="auto" w:fill="auto"/>
            <w:tcMar>
              <w:top w:w="113" w:type="dxa"/>
              <w:bottom w:w="57" w:type="dxa"/>
            </w:tcMar>
          </w:tcPr>
          <w:p w:rsidR="005B4CCD" w:rsidRPr="00C75C7E" w:rsidRDefault="005B4CCD" w:rsidP="005B4CCD">
            <w:pPr>
              <w:widowControl w:val="0"/>
              <w:rPr>
                <w:sz w:val="16"/>
                <w:szCs w:val="16"/>
                <w:lang w:val="es-ES_tradnl"/>
              </w:rPr>
            </w:pPr>
            <w:r>
              <w:rPr>
                <w:sz w:val="16"/>
                <w:szCs w:val="16"/>
                <w:lang w:val="es-ES_tradnl"/>
              </w:rPr>
              <w:t>Número de nuevas academias nacionales establecidas tras la finalización de la fase piloto</w:t>
            </w:r>
            <w:r w:rsidRPr="00C75C7E">
              <w:rPr>
                <w:sz w:val="16"/>
                <w:szCs w:val="16"/>
                <w:lang w:val="es-ES_tradnl"/>
              </w:rPr>
              <w:t>.</w:t>
            </w:r>
          </w:p>
        </w:tc>
        <w:tc>
          <w:tcPr>
            <w:tcW w:w="1524" w:type="pct"/>
            <w:shd w:val="clear" w:color="auto" w:fill="FFFFFF"/>
            <w:tcMar>
              <w:top w:w="113" w:type="dxa"/>
              <w:bottom w:w="57" w:type="dxa"/>
            </w:tcMar>
          </w:tcPr>
          <w:p w:rsidR="005B4CCD" w:rsidRPr="00C75C7E" w:rsidRDefault="005B4CCD" w:rsidP="005B4CCD">
            <w:pPr>
              <w:widowControl w:val="0"/>
              <w:ind w:left="551"/>
              <w:rPr>
                <w:sz w:val="16"/>
                <w:szCs w:val="16"/>
                <w:lang w:val="es-ES_tradnl" w:bidi="th-TH"/>
              </w:rPr>
            </w:pPr>
            <w:r w:rsidRPr="00C75C7E">
              <w:rPr>
                <w:sz w:val="16"/>
                <w:szCs w:val="16"/>
                <w:lang w:val="es-ES_tradnl" w:bidi="th-TH"/>
              </w:rPr>
              <w:t>Programa  11</w:t>
            </w:r>
          </w:p>
        </w:tc>
      </w:tr>
      <w:tr w:rsidR="00B16400" w:rsidRPr="00C75C7E" w:rsidTr="004341A3">
        <w:trPr>
          <w:cantSplit/>
          <w:trHeight w:val="726"/>
        </w:trPr>
        <w:tc>
          <w:tcPr>
            <w:tcW w:w="1768" w:type="pct"/>
            <w:shd w:val="clear" w:color="auto" w:fill="auto"/>
            <w:tcMar>
              <w:top w:w="113" w:type="dxa"/>
              <w:bottom w:w="57" w:type="dxa"/>
            </w:tcMar>
          </w:tcPr>
          <w:p w:rsidR="00B16400" w:rsidRPr="00C75C7E" w:rsidRDefault="00B16400" w:rsidP="004341A3">
            <w:pPr>
              <w:widowControl w:val="0"/>
              <w:rPr>
                <w:sz w:val="16"/>
                <w:szCs w:val="16"/>
                <w:lang w:val="es-ES_tradnl"/>
              </w:rPr>
            </w:pPr>
          </w:p>
        </w:tc>
        <w:tc>
          <w:tcPr>
            <w:tcW w:w="1708" w:type="pct"/>
            <w:shd w:val="clear" w:color="auto" w:fill="auto"/>
            <w:tcMar>
              <w:top w:w="113" w:type="dxa"/>
              <w:bottom w:w="57" w:type="dxa"/>
            </w:tcMar>
          </w:tcPr>
          <w:p w:rsidR="00B16400" w:rsidRPr="00C75C7E" w:rsidRDefault="00B16400" w:rsidP="004341A3">
            <w:pPr>
              <w:widowControl w:val="0"/>
              <w:rPr>
                <w:sz w:val="16"/>
                <w:szCs w:val="16"/>
                <w:lang w:val="es-ES_tradnl"/>
              </w:rPr>
            </w:pPr>
            <w:r w:rsidRPr="00C75C7E">
              <w:rPr>
                <w:sz w:val="16"/>
                <w:szCs w:val="16"/>
                <w:lang w:val="es-ES_tradnl"/>
              </w:rPr>
              <w:t>Porcentaje de participantes que han recibido formación y que están satisfechos de la utilidad y pertinencia de la formación recibida para su vida profesional.</w:t>
            </w:r>
          </w:p>
        </w:tc>
        <w:tc>
          <w:tcPr>
            <w:tcW w:w="1524" w:type="pct"/>
            <w:shd w:val="clear" w:color="auto" w:fill="FFFFFF"/>
            <w:tcMar>
              <w:top w:w="113" w:type="dxa"/>
              <w:bottom w:w="57" w:type="dxa"/>
            </w:tcMar>
          </w:tcPr>
          <w:p w:rsidR="00B16400" w:rsidRPr="00C75C7E" w:rsidRDefault="00B16400" w:rsidP="004341A3">
            <w:pPr>
              <w:widowControl w:val="0"/>
              <w:ind w:left="551"/>
              <w:rPr>
                <w:sz w:val="16"/>
                <w:szCs w:val="16"/>
                <w:lang w:val="es-ES_tradnl" w:bidi="th-TH"/>
              </w:rPr>
            </w:pPr>
            <w:r w:rsidRPr="00C75C7E">
              <w:rPr>
                <w:sz w:val="16"/>
                <w:szCs w:val="16"/>
                <w:lang w:val="es-ES_tradnl" w:bidi="th-TH"/>
              </w:rPr>
              <w:t>Programa  17</w:t>
            </w:r>
          </w:p>
        </w:tc>
      </w:tr>
      <w:tr w:rsidR="00B16400" w:rsidRPr="00C75C7E" w:rsidTr="004341A3">
        <w:trPr>
          <w:cantSplit/>
          <w:trHeight w:val="543"/>
        </w:trPr>
        <w:tc>
          <w:tcPr>
            <w:tcW w:w="1768" w:type="pct"/>
            <w:shd w:val="clear" w:color="auto" w:fill="auto"/>
            <w:tcMar>
              <w:top w:w="113" w:type="dxa"/>
              <w:bottom w:w="57" w:type="dxa"/>
            </w:tcMar>
          </w:tcPr>
          <w:p w:rsidR="00B16400" w:rsidRPr="00C75C7E" w:rsidRDefault="00B16400" w:rsidP="004341A3">
            <w:pPr>
              <w:widowControl w:val="0"/>
              <w:rPr>
                <w:sz w:val="16"/>
                <w:szCs w:val="16"/>
                <w:lang w:val="es-ES_tradnl"/>
              </w:rPr>
            </w:pPr>
          </w:p>
        </w:tc>
        <w:tc>
          <w:tcPr>
            <w:tcW w:w="1708" w:type="pct"/>
            <w:shd w:val="clear" w:color="auto" w:fill="auto"/>
            <w:tcMar>
              <w:top w:w="113" w:type="dxa"/>
              <w:bottom w:w="57" w:type="dxa"/>
            </w:tcMar>
          </w:tcPr>
          <w:p w:rsidR="00B16400" w:rsidRPr="00C75C7E" w:rsidRDefault="00B16400" w:rsidP="005B4CCD">
            <w:pPr>
              <w:widowControl w:val="0"/>
              <w:rPr>
                <w:sz w:val="16"/>
                <w:szCs w:val="16"/>
                <w:lang w:val="es-ES_tradnl"/>
              </w:rPr>
            </w:pPr>
            <w:r w:rsidRPr="00C75C7E">
              <w:rPr>
                <w:sz w:val="16"/>
                <w:szCs w:val="16"/>
                <w:lang w:val="es-ES_tradnl"/>
              </w:rPr>
              <w:t>Porcentaje de destinatarios que han demostrado conocimientos básicos de</w:t>
            </w:r>
            <w:r w:rsidR="005B4CCD">
              <w:rPr>
                <w:sz w:val="16"/>
                <w:szCs w:val="16"/>
                <w:lang w:val="es-ES_tradnl"/>
              </w:rPr>
              <w:t xml:space="preserve"> un sistema equilibrado </w:t>
            </w:r>
            <w:r w:rsidRPr="00C75C7E">
              <w:rPr>
                <w:sz w:val="16"/>
                <w:szCs w:val="16"/>
                <w:lang w:val="es-ES_tradnl"/>
              </w:rPr>
              <w:t>de P.I. tras las actividades de la OMPI.</w:t>
            </w:r>
          </w:p>
        </w:tc>
        <w:tc>
          <w:tcPr>
            <w:tcW w:w="1524" w:type="pct"/>
            <w:shd w:val="clear" w:color="auto" w:fill="FFFFFF"/>
            <w:tcMar>
              <w:top w:w="113" w:type="dxa"/>
              <w:bottom w:w="57" w:type="dxa"/>
            </w:tcMar>
          </w:tcPr>
          <w:p w:rsidR="00B16400" w:rsidRPr="00C75C7E" w:rsidRDefault="00B16400" w:rsidP="004341A3">
            <w:pPr>
              <w:widowControl w:val="0"/>
              <w:ind w:left="551"/>
              <w:rPr>
                <w:sz w:val="16"/>
                <w:szCs w:val="16"/>
                <w:lang w:val="es-ES_tradnl" w:bidi="th-TH"/>
              </w:rPr>
            </w:pPr>
            <w:r w:rsidRPr="00C75C7E">
              <w:rPr>
                <w:sz w:val="16"/>
                <w:szCs w:val="16"/>
                <w:lang w:val="es-ES_tradnl" w:bidi="th-TH"/>
              </w:rPr>
              <w:t>Programa  17</w:t>
            </w:r>
          </w:p>
        </w:tc>
      </w:tr>
      <w:tr w:rsidR="00B16400" w:rsidRPr="00C75C7E" w:rsidTr="004341A3">
        <w:trPr>
          <w:cantSplit/>
          <w:trHeight w:val="369"/>
        </w:trPr>
        <w:tc>
          <w:tcPr>
            <w:tcW w:w="1768" w:type="pct"/>
            <w:shd w:val="clear" w:color="auto" w:fill="auto"/>
            <w:tcMar>
              <w:top w:w="113" w:type="dxa"/>
              <w:bottom w:w="57" w:type="dxa"/>
            </w:tcMar>
          </w:tcPr>
          <w:p w:rsidR="00B16400" w:rsidRPr="00C75C7E" w:rsidRDefault="00B16400" w:rsidP="004341A3">
            <w:pPr>
              <w:widowControl w:val="0"/>
              <w:rPr>
                <w:sz w:val="16"/>
                <w:szCs w:val="16"/>
                <w:lang w:val="es-ES_tradnl"/>
              </w:rPr>
            </w:pPr>
          </w:p>
        </w:tc>
        <w:tc>
          <w:tcPr>
            <w:tcW w:w="1708" w:type="pct"/>
            <w:shd w:val="clear" w:color="auto" w:fill="auto"/>
            <w:tcMar>
              <w:top w:w="113" w:type="dxa"/>
              <w:bottom w:w="57" w:type="dxa"/>
            </w:tcMar>
          </w:tcPr>
          <w:p w:rsidR="00B16400" w:rsidRPr="00C75C7E" w:rsidRDefault="00B16400" w:rsidP="004341A3">
            <w:pPr>
              <w:widowControl w:val="0"/>
              <w:rPr>
                <w:sz w:val="16"/>
                <w:szCs w:val="16"/>
                <w:lang w:val="es-ES_tradnl"/>
              </w:rPr>
            </w:pPr>
            <w:r w:rsidRPr="00C75C7E">
              <w:rPr>
                <w:sz w:val="16"/>
                <w:szCs w:val="16"/>
                <w:lang w:val="es-ES_tradnl"/>
              </w:rPr>
              <w:t>Número de países participantes en el programa de Premios de la OMPI.</w:t>
            </w:r>
          </w:p>
        </w:tc>
        <w:tc>
          <w:tcPr>
            <w:tcW w:w="1524" w:type="pct"/>
            <w:shd w:val="clear" w:color="auto" w:fill="FFFFFF"/>
            <w:tcMar>
              <w:top w:w="113" w:type="dxa"/>
              <w:bottom w:w="57" w:type="dxa"/>
            </w:tcMar>
          </w:tcPr>
          <w:p w:rsidR="00B16400" w:rsidRPr="00C75C7E" w:rsidRDefault="00B16400" w:rsidP="004341A3">
            <w:pPr>
              <w:widowControl w:val="0"/>
              <w:ind w:left="551"/>
              <w:rPr>
                <w:sz w:val="16"/>
                <w:szCs w:val="16"/>
                <w:lang w:val="es-ES_tradnl" w:bidi="th-TH"/>
              </w:rPr>
            </w:pPr>
            <w:r w:rsidRPr="00C75C7E">
              <w:rPr>
                <w:sz w:val="16"/>
                <w:szCs w:val="16"/>
                <w:lang w:val="es-ES_tradnl" w:bidi="th-TH"/>
              </w:rPr>
              <w:t>Programa  17</w:t>
            </w:r>
          </w:p>
        </w:tc>
      </w:tr>
      <w:tr w:rsidR="00B16400" w:rsidRPr="00C75C7E" w:rsidTr="004341A3">
        <w:trPr>
          <w:cantSplit/>
          <w:trHeight w:val="492"/>
        </w:trPr>
        <w:tc>
          <w:tcPr>
            <w:tcW w:w="1768" w:type="pct"/>
            <w:shd w:val="clear" w:color="auto" w:fill="auto"/>
            <w:tcMar>
              <w:top w:w="113" w:type="dxa"/>
              <w:bottom w:w="57" w:type="dxa"/>
            </w:tcMar>
          </w:tcPr>
          <w:p w:rsidR="00B16400" w:rsidRPr="00C75C7E" w:rsidRDefault="00B16400" w:rsidP="004341A3">
            <w:pPr>
              <w:widowControl w:val="0"/>
              <w:rPr>
                <w:sz w:val="16"/>
                <w:szCs w:val="16"/>
                <w:lang w:val="es-ES_tradnl"/>
              </w:rPr>
            </w:pPr>
          </w:p>
        </w:tc>
        <w:tc>
          <w:tcPr>
            <w:tcW w:w="1708" w:type="pct"/>
            <w:shd w:val="clear" w:color="auto" w:fill="auto"/>
            <w:tcMar>
              <w:top w:w="113" w:type="dxa"/>
              <w:bottom w:w="57" w:type="dxa"/>
            </w:tcMar>
          </w:tcPr>
          <w:p w:rsidR="00B16400" w:rsidRPr="00C75C7E" w:rsidRDefault="00B16400" w:rsidP="004341A3">
            <w:pPr>
              <w:widowControl w:val="0"/>
              <w:rPr>
                <w:sz w:val="16"/>
                <w:szCs w:val="16"/>
                <w:lang w:val="es-ES_tradnl"/>
              </w:rPr>
            </w:pPr>
            <w:r w:rsidRPr="00C75C7E">
              <w:rPr>
                <w:sz w:val="16"/>
                <w:szCs w:val="16"/>
                <w:lang w:val="es-ES_tradnl"/>
              </w:rPr>
              <w:t>Número de acuerdos de acogida de científicos de países en desarrollo.</w:t>
            </w:r>
          </w:p>
        </w:tc>
        <w:tc>
          <w:tcPr>
            <w:tcW w:w="1524" w:type="pct"/>
            <w:shd w:val="clear" w:color="auto" w:fill="FFFFFF"/>
            <w:tcMar>
              <w:top w:w="113" w:type="dxa"/>
              <w:bottom w:w="57" w:type="dxa"/>
            </w:tcMar>
          </w:tcPr>
          <w:p w:rsidR="00B16400" w:rsidRPr="00C75C7E" w:rsidRDefault="00B16400" w:rsidP="004341A3">
            <w:pPr>
              <w:widowControl w:val="0"/>
              <w:ind w:left="551"/>
              <w:rPr>
                <w:sz w:val="16"/>
                <w:szCs w:val="16"/>
                <w:lang w:val="es-ES_tradnl" w:bidi="th-TH"/>
              </w:rPr>
            </w:pPr>
            <w:r w:rsidRPr="00C75C7E">
              <w:rPr>
                <w:sz w:val="16"/>
                <w:szCs w:val="16"/>
                <w:lang w:val="es-ES_tradnl" w:bidi="th-TH"/>
              </w:rPr>
              <w:t>Programa  18</w:t>
            </w:r>
          </w:p>
        </w:tc>
      </w:tr>
      <w:tr w:rsidR="00B16400" w:rsidRPr="00C75C7E" w:rsidTr="004341A3">
        <w:trPr>
          <w:cantSplit/>
          <w:trHeight w:val="800"/>
        </w:trPr>
        <w:tc>
          <w:tcPr>
            <w:tcW w:w="1768" w:type="pct"/>
            <w:shd w:val="clear" w:color="auto" w:fill="auto"/>
            <w:tcMar>
              <w:top w:w="113" w:type="dxa"/>
              <w:bottom w:w="57" w:type="dxa"/>
            </w:tcMar>
          </w:tcPr>
          <w:p w:rsidR="00B16400" w:rsidRPr="00C75C7E" w:rsidRDefault="00B16400" w:rsidP="004341A3">
            <w:pPr>
              <w:widowControl w:val="0"/>
              <w:rPr>
                <w:sz w:val="16"/>
                <w:szCs w:val="16"/>
                <w:lang w:val="es-ES_tradnl"/>
              </w:rPr>
            </w:pPr>
          </w:p>
        </w:tc>
        <w:tc>
          <w:tcPr>
            <w:tcW w:w="1708" w:type="pct"/>
            <w:shd w:val="clear" w:color="auto" w:fill="auto"/>
            <w:tcMar>
              <w:top w:w="113" w:type="dxa"/>
              <w:bottom w:w="57" w:type="dxa"/>
            </w:tcMar>
          </w:tcPr>
          <w:p w:rsidR="00B16400" w:rsidRPr="00C75C7E" w:rsidRDefault="00B16400" w:rsidP="004341A3">
            <w:pPr>
              <w:widowControl w:val="0"/>
              <w:rPr>
                <w:sz w:val="16"/>
                <w:szCs w:val="16"/>
                <w:lang w:val="es-ES_tradnl"/>
              </w:rPr>
            </w:pPr>
            <w:r w:rsidRPr="00C75C7E">
              <w:rPr>
                <w:sz w:val="16"/>
                <w:szCs w:val="16"/>
                <w:lang w:val="es-ES_tradnl"/>
              </w:rPr>
              <w:t>Porcentaje de encargados de la adopción de políticas, funcionarios gubernamentales, profesionales de la P.I. y participantes en talleres con un mayor conocimiento de los OGC y la manera de usar eficazmente la P.I. al servicio del desarrollo.</w:t>
            </w:r>
          </w:p>
        </w:tc>
        <w:tc>
          <w:tcPr>
            <w:tcW w:w="1524" w:type="pct"/>
            <w:shd w:val="clear" w:color="auto" w:fill="FFFFFF"/>
            <w:tcMar>
              <w:top w:w="113" w:type="dxa"/>
              <w:bottom w:w="57" w:type="dxa"/>
            </w:tcMar>
          </w:tcPr>
          <w:p w:rsidR="00B16400" w:rsidRPr="00C75C7E" w:rsidRDefault="00B16400" w:rsidP="004341A3">
            <w:pPr>
              <w:widowControl w:val="0"/>
              <w:ind w:left="551"/>
              <w:rPr>
                <w:sz w:val="16"/>
                <w:szCs w:val="16"/>
                <w:lang w:val="es-ES_tradnl" w:bidi="th-TH"/>
              </w:rPr>
            </w:pPr>
            <w:r w:rsidRPr="00C75C7E">
              <w:rPr>
                <w:sz w:val="16"/>
                <w:szCs w:val="16"/>
                <w:lang w:val="es-ES_tradnl" w:bidi="th-TH"/>
              </w:rPr>
              <w:t>Programa  20</w:t>
            </w:r>
          </w:p>
        </w:tc>
      </w:tr>
      <w:tr w:rsidR="00B16400" w:rsidRPr="00C75C7E" w:rsidTr="004341A3">
        <w:trPr>
          <w:cantSplit/>
          <w:trHeight w:val="544"/>
        </w:trPr>
        <w:tc>
          <w:tcPr>
            <w:tcW w:w="1768" w:type="pct"/>
            <w:shd w:val="clear" w:color="auto" w:fill="auto"/>
            <w:tcMar>
              <w:top w:w="113" w:type="dxa"/>
              <w:bottom w:w="57" w:type="dxa"/>
            </w:tcMar>
          </w:tcPr>
          <w:p w:rsidR="00B16400" w:rsidRPr="00C75C7E" w:rsidRDefault="00B16400" w:rsidP="004341A3">
            <w:pPr>
              <w:widowControl w:val="0"/>
              <w:rPr>
                <w:sz w:val="16"/>
                <w:szCs w:val="16"/>
                <w:lang w:val="es-ES_tradnl"/>
              </w:rPr>
            </w:pPr>
            <w:r w:rsidRPr="00C75C7E">
              <w:rPr>
                <w:sz w:val="16"/>
                <w:szCs w:val="16"/>
                <w:lang w:val="es-ES_tradnl"/>
              </w:rPr>
              <w:t>III.3  Incorporación de las recomendaciones de la Agenda para el Desarrollo en la labor de la OMPI.</w:t>
            </w:r>
          </w:p>
        </w:tc>
        <w:tc>
          <w:tcPr>
            <w:tcW w:w="1708" w:type="pct"/>
            <w:shd w:val="clear" w:color="auto" w:fill="auto"/>
            <w:tcMar>
              <w:top w:w="113" w:type="dxa"/>
              <w:bottom w:w="57" w:type="dxa"/>
            </w:tcMar>
          </w:tcPr>
          <w:p w:rsidR="00B16400" w:rsidRPr="00C75C7E" w:rsidRDefault="00B16400" w:rsidP="005B4CCD">
            <w:pPr>
              <w:widowControl w:val="0"/>
              <w:rPr>
                <w:sz w:val="16"/>
                <w:szCs w:val="16"/>
                <w:lang w:val="es-ES_tradnl"/>
              </w:rPr>
            </w:pPr>
            <w:r w:rsidRPr="00C75C7E">
              <w:rPr>
                <w:sz w:val="16"/>
                <w:szCs w:val="16"/>
                <w:lang w:val="es-ES_tradnl"/>
              </w:rPr>
              <w:t>Número de recomendaciones de la A</w:t>
            </w:r>
            <w:r w:rsidR="005B4CCD">
              <w:rPr>
                <w:sz w:val="16"/>
                <w:szCs w:val="16"/>
                <w:lang w:val="es-ES_tradnl"/>
              </w:rPr>
              <w:t>.</w:t>
            </w:r>
            <w:r w:rsidRPr="00C75C7E">
              <w:rPr>
                <w:sz w:val="16"/>
                <w:szCs w:val="16"/>
                <w:lang w:val="es-ES_tradnl"/>
              </w:rPr>
              <w:t>D</w:t>
            </w:r>
            <w:r w:rsidR="005B4CCD">
              <w:rPr>
                <w:sz w:val="16"/>
                <w:szCs w:val="16"/>
                <w:lang w:val="es-ES_tradnl"/>
              </w:rPr>
              <w:t>.</w:t>
            </w:r>
            <w:r w:rsidRPr="00C75C7E">
              <w:rPr>
                <w:sz w:val="16"/>
                <w:szCs w:val="16"/>
                <w:lang w:val="es-ES_tradnl"/>
              </w:rPr>
              <w:t xml:space="preserve"> que ha abordado el CDIP mediante proyectos, actividades y estudios.</w:t>
            </w:r>
          </w:p>
        </w:tc>
        <w:tc>
          <w:tcPr>
            <w:tcW w:w="1524" w:type="pct"/>
            <w:shd w:val="clear" w:color="auto" w:fill="FFFFFF"/>
            <w:tcMar>
              <w:top w:w="113" w:type="dxa"/>
              <w:bottom w:w="57" w:type="dxa"/>
            </w:tcMar>
          </w:tcPr>
          <w:p w:rsidR="00B16400" w:rsidRPr="00C75C7E" w:rsidRDefault="00B16400" w:rsidP="004341A3">
            <w:pPr>
              <w:widowControl w:val="0"/>
              <w:ind w:left="551"/>
              <w:rPr>
                <w:sz w:val="16"/>
                <w:szCs w:val="16"/>
                <w:lang w:val="es-ES_tradnl" w:bidi="th-TH"/>
              </w:rPr>
            </w:pPr>
            <w:r w:rsidRPr="00C75C7E">
              <w:rPr>
                <w:sz w:val="16"/>
                <w:szCs w:val="16"/>
                <w:lang w:val="es-ES_tradnl" w:bidi="th-TH"/>
              </w:rPr>
              <w:t>Programa  8</w:t>
            </w:r>
          </w:p>
        </w:tc>
      </w:tr>
      <w:tr w:rsidR="00B16400" w:rsidRPr="00C75C7E" w:rsidTr="004341A3">
        <w:trPr>
          <w:cantSplit/>
          <w:trHeight w:val="547"/>
        </w:trPr>
        <w:tc>
          <w:tcPr>
            <w:tcW w:w="1768" w:type="pct"/>
            <w:shd w:val="clear" w:color="auto" w:fill="auto"/>
            <w:tcMar>
              <w:top w:w="113" w:type="dxa"/>
              <w:bottom w:w="57" w:type="dxa"/>
            </w:tcMar>
          </w:tcPr>
          <w:p w:rsidR="00B16400" w:rsidRPr="00C75C7E" w:rsidRDefault="00B16400" w:rsidP="004341A3">
            <w:pPr>
              <w:widowControl w:val="0"/>
              <w:rPr>
                <w:sz w:val="16"/>
                <w:szCs w:val="16"/>
                <w:lang w:val="es-ES_tradnl"/>
              </w:rPr>
            </w:pPr>
          </w:p>
        </w:tc>
        <w:tc>
          <w:tcPr>
            <w:tcW w:w="1708" w:type="pct"/>
            <w:shd w:val="clear" w:color="auto" w:fill="auto"/>
            <w:tcMar>
              <w:top w:w="113" w:type="dxa"/>
              <w:bottom w:w="57" w:type="dxa"/>
            </w:tcMar>
          </w:tcPr>
          <w:p w:rsidR="00B16400" w:rsidRPr="00C75C7E" w:rsidRDefault="00B16400" w:rsidP="004341A3">
            <w:pPr>
              <w:widowControl w:val="0"/>
              <w:rPr>
                <w:sz w:val="16"/>
                <w:szCs w:val="16"/>
                <w:lang w:val="es-ES_tradnl"/>
              </w:rPr>
            </w:pPr>
            <w:r w:rsidRPr="00C75C7E">
              <w:rPr>
                <w:sz w:val="16"/>
                <w:szCs w:val="16"/>
                <w:lang w:val="es-ES_tradnl"/>
              </w:rPr>
              <w:t>Aplicación del mecanismo de coordinación aprobado por los Estados miembros.</w:t>
            </w:r>
          </w:p>
        </w:tc>
        <w:tc>
          <w:tcPr>
            <w:tcW w:w="1524" w:type="pct"/>
            <w:shd w:val="clear" w:color="auto" w:fill="FFFFFF"/>
            <w:tcMar>
              <w:top w:w="113" w:type="dxa"/>
              <w:bottom w:w="57" w:type="dxa"/>
            </w:tcMar>
          </w:tcPr>
          <w:p w:rsidR="00B16400" w:rsidRPr="00C75C7E" w:rsidRDefault="00B16400" w:rsidP="004341A3">
            <w:pPr>
              <w:widowControl w:val="0"/>
              <w:ind w:left="551"/>
              <w:rPr>
                <w:sz w:val="16"/>
                <w:szCs w:val="16"/>
                <w:lang w:val="es-ES_tradnl" w:bidi="th-TH"/>
              </w:rPr>
            </w:pPr>
            <w:r w:rsidRPr="00C75C7E">
              <w:rPr>
                <w:sz w:val="16"/>
                <w:szCs w:val="16"/>
                <w:lang w:val="es-ES_tradnl" w:bidi="th-TH"/>
              </w:rPr>
              <w:t>Programa  8</w:t>
            </w:r>
          </w:p>
        </w:tc>
      </w:tr>
      <w:tr w:rsidR="005B4CCD" w:rsidRPr="00C75C7E" w:rsidTr="004341A3">
        <w:trPr>
          <w:cantSplit/>
          <w:trHeight w:val="708"/>
        </w:trPr>
        <w:tc>
          <w:tcPr>
            <w:tcW w:w="1768" w:type="pct"/>
            <w:shd w:val="clear" w:color="auto" w:fill="auto"/>
            <w:tcMar>
              <w:top w:w="113" w:type="dxa"/>
              <w:bottom w:w="57" w:type="dxa"/>
            </w:tcMar>
          </w:tcPr>
          <w:p w:rsidR="005B4CCD" w:rsidRPr="00C75C7E" w:rsidRDefault="005B4CCD" w:rsidP="004341A3">
            <w:pPr>
              <w:widowControl w:val="0"/>
              <w:tabs>
                <w:tab w:val="right" w:pos="2835"/>
              </w:tabs>
              <w:spacing w:after="60"/>
              <w:rPr>
                <w:sz w:val="16"/>
                <w:szCs w:val="16"/>
                <w:lang w:val="es-ES_tradnl"/>
              </w:rPr>
            </w:pPr>
          </w:p>
        </w:tc>
        <w:tc>
          <w:tcPr>
            <w:tcW w:w="1708" w:type="pct"/>
            <w:shd w:val="clear" w:color="auto" w:fill="auto"/>
            <w:tcMar>
              <w:top w:w="113" w:type="dxa"/>
              <w:bottom w:w="57" w:type="dxa"/>
            </w:tcMar>
          </w:tcPr>
          <w:p w:rsidR="005B4CCD" w:rsidRPr="00C75C7E" w:rsidRDefault="005B4CCD" w:rsidP="005B4CCD">
            <w:pPr>
              <w:widowControl w:val="0"/>
              <w:rPr>
                <w:sz w:val="16"/>
                <w:szCs w:val="16"/>
                <w:lang w:val="es-ES_tradnl"/>
              </w:rPr>
            </w:pPr>
            <w:r>
              <w:rPr>
                <w:sz w:val="16"/>
                <w:szCs w:val="16"/>
                <w:lang w:val="es-ES_tradnl"/>
              </w:rPr>
              <w:t>Número de programas que reflejan que las recomendaciones de la A.D. han sido incorporadas en la labor corriente de la OMPI</w:t>
            </w:r>
            <w:r w:rsidR="00DB4C60">
              <w:rPr>
                <w:sz w:val="16"/>
                <w:szCs w:val="16"/>
                <w:lang w:val="es-ES_tradnl"/>
              </w:rPr>
              <w:t>.</w:t>
            </w:r>
          </w:p>
        </w:tc>
        <w:tc>
          <w:tcPr>
            <w:tcW w:w="1524" w:type="pct"/>
            <w:shd w:val="clear" w:color="auto" w:fill="FFFFFF"/>
            <w:tcMar>
              <w:top w:w="113" w:type="dxa"/>
              <w:bottom w:w="57" w:type="dxa"/>
            </w:tcMar>
          </w:tcPr>
          <w:p w:rsidR="005B4CCD" w:rsidRPr="00C75C7E" w:rsidRDefault="005B4CCD" w:rsidP="004341A3">
            <w:pPr>
              <w:widowControl w:val="0"/>
              <w:ind w:left="551"/>
              <w:rPr>
                <w:sz w:val="16"/>
                <w:szCs w:val="16"/>
                <w:lang w:val="es-ES_tradnl" w:bidi="th-TH"/>
              </w:rPr>
            </w:pPr>
            <w:r>
              <w:rPr>
                <w:sz w:val="16"/>
                <w:szCs w:val="16"/>
                <w:lang w:val="es-ES_tradnl" w:bidi="th-TH"/>
              </w:rPr>
              <w:t>Programa  8</w:t>
            </w:r>
          </w:p>
        </w:tc>
      </w:tr>
      <w:tr w:rsidR="005B4CCD" w:rsidRPr="00C75C7E" w:rsidTr="005B4CCD">
        <w:trPr>
          <w:cantSplit/>
          <w:trHeight w:val="708"/>
        </w:trPr>
        <w:tc>
          <w:tcPr>
            <w:tcW w:w="1768" w:type="pct"/>
            <w:shd w:val="clear" w:color="auto" w:fill="auto"/>
            <w:tcMar>
              <w:top w:w="113" w:type="dxa"/>
              <w:bottom w:w="57" w:type="dxa"/>
            </w:tcMar>
          </w:tcPr>
          <w:p w:rsidR="005B4CCD" w:rsidRPr="00C75C7E" w:rsidRDefault="005B4CCD" w:rsidP="005B4CCD">
            <w:pPr>
              <w:widowControl w:val="0"/>
              <w:tabs>
                <w:tab w:val="right" w:pos="2835"/>
              </w:tabs>
              <w:spacing w:after="60"/>
              <w:rPr>
                <w:sz w:val="16"/>
                <w:szCs w:val="16"/>
                <w:lang w:val="es-ES_tradnl"/>
              </w:rPr>
            </w:pPr>
          </w:p>
        </w:tc>
        <w:tc>
          <w:tcPr>
            <w:tcW w:w="1708" w:type="pct"/>
            <w:shd w:val="clear" w:color="auto" w:fill="auto"/>
            <w:tcMar>
              <w:top w:w="113" w:type="dxa"/>
              <w:bottom w:w="57" w:type="dxa"/>
            </w:tcMar>
          </w:tcPr>
          <w:p w:rsidR="005B4CCD" w:rsidRPr="00C75C7E" w:rsidRDefault="005B4CCD" w:rsidP="00DB4C60">
            <w:pPr>
              <w:widowControl w:val="0"/>
              <w:rPr>
                <w:sz w:val="16"/>
                <w:szCs w:val="16"/>
                <w:lang w:val="es-ES_tradnl"/>
              </w:rPr>
            </w:pPr>
            <w:r>
              <w:rPr>
                <w:sz w:val="16"/>
                <w:szCs w:val="16"/>
                <w:lang w:val="es-ES_tradnl"/>
              </w:rPr>
              <w:t>Número de proyectos de la A.D.</w:t>
            </w:r>
            <w:r w:rsidR="00DB4C60">
              <w:rPr>
                <w:sz w:val="16"/>
                <w:szCs w:val="16"/>
                <w:lang w:val="es-ES_tradnl"/>
              </w:rPr>
              <w:t xml:space="preserve"> que han sido incorporados en la labor corriente de la OMPI (fijación de normas, asistencia técnica y prestación de servicios).</w:t>
            </w:r>
          </w:p>
        </w:tc>
        <w:tc>
          <w:tcPr>
            <w:tcW w:w="1524" w:type="pct"/>
            <w:shd w:val="clear" w:color="auto" w:fill="FFFFFF"/>
            <w:tcMar>
              <w:top w:w="113" w:type="dxa"/>
              <w:bottom w:w="57" w:type="dxa"/>
            </w:tcMar>
          </w:tcPr>
          <w:p w:rsidR="005B4CCD" w:rsidRPr="00C75C7E" w:rsidRDefault="005B4CCD" w:rsidP="005B4CCD">
            <w:pPr>
              <w:widowControl w:val="0"/>
              <w:ind w:left="551"/>
              <w:rPr>
                <w:sz w:val="16"/>
                <w:szCs w:val="16"/>
                <w:lang w:val="es-ES_tradnl" w:bidi="th-TH"/>
              </w:rPr>
            </w:pPr>
            <w:r>
              <w:rPr>
                <w:sz w:val="16"/>
                <w:szCs w:val="16"/>
                <w:lang w:val="es-ES_tradnl" w:bidi="th-TH"/>
              </w:rPr>
              <w:t>Programa  8</w:t>
            </w:r>
          </w:p>
        </w:tc>
      </w:tr>
      <w:tr w:rsidR="00DB4C60" w:rsidRPr="00C75C7E" w:rsidTr="00DB4C60">
        <w:trPr>
          <w:cantSplit/>
          <w:trHeight w:val="708"/>
        </w:trPr>
        <w:tc>
          <w:tcPr>
            <w:tcW w:w="1768" w:type="pct"/>
            <w:shd w:val="clear" w:color="auto" w:fill="auto"/>
            <w:tcMar>
              <w:top w:w="113" w:type="dxa"/>
              <w:bottom w:w="57" w:type="dxa"/>
            </w:tcMar>
          </w:tcPr>
          <w:p w:rsidR="00DB4C60" w:rsidRPr="00C75C7E" w:rsidRDefault="00DB4C60" w:rsidP="00DB4C60">
            <w:pPr>
              <w:widowControl w:val="0"/>
              <w:tabs>
                <w:tab w:val="right" w:pos="2835"/>
              </w:tabs>
              <w:spacing w:after="60"/>
              <w:rPr>
                <w:sz w:val="16"/>
                <w:szCs w:val="16"/>
                <w:lang w:val="es-ES_tradnl"/>
              </w:rPr>
            </w:pPr>
          </w:p>
        </w:tc>
        <w:tc>
          <w:tcPr>
            <w:tcW w:w="1708" w:type="pct"/>
            <w:shd w:val="clear" w:color="auto" w:fill="auto"/>
            <w:tcMar>
              <w:top w:w="113" w:type="dxa"/>
              <w:bottom w:w="57" w:type="dxa"/>
            </w:tcMar>
          </w:tcPr>
          <w:p w:rsidR="00DB4C60" w:rsidRPr="00C75C7E" w:rsidRDefault="00DB4C60" w:rsidP="00DB4C60">
            <w:pPr>
              <w:widowControl w:val="0"/>
              <w:rPr>
                <w:sz w:val="16"/>
                <w:szCs w:val="16"/>
                <w:lang w:val="es-ES_tradnl"/>
              </w:rPr>
            </w:pPr>
            <w:r>
              <w:rPr>
                <w:sz w:val="16"/>
                <w:szCs w:val="16"/>
                <w:lang w:val="es-ES_tradnl"/>
              </w:rPr>
              <w:t>Sistema eficaz instalado para la planificación, el seguimiento y la evaluación de la aplicación de las recomendaciones de la A.D.</w:t>
            </w:r>
          </w:p>
        </w:tc>
        <w:tc>
          <w:tcPr>
            <w:tcW w:w="1524" w:type="pct"/>
            <w:shd w:val="clear" w:color="auto" w:fill="FFFFFF"/>
            <w:tcMar>
              <w:top w:w="113" w:type="dxa"/>
              <w:bottom w:w="57" w:type="dxa"/>
            </w:tcMar>
          </w:tcPr>
          <w:p w:rsidR="00DB4C60" w:rsidRPr="00C75C7E" w:rsidRDefault="00DB4C60" w:rsidP="00DB4C60">
            <w:pPr>
              <w:widowControl w:val="0"/>
              <w:ind w:left="551"/>
              <w:rPr>
                <w:sz w:val="16"/>
                <w:szCs w:val="16"/>
                <w:lang w:val="es-ES_tradnl" w:bidi="th-TH"/>
              </w:rPr>
            </w:pPr>
            <w:r>
              <w:rPr>
                <w:sz w:val="16"/>
                <w:szCs w:val="16"/>
                <w:lang w:val="es-ES_tradnl" w:bidi="th-TH"/>
              </w:rPr>
              <w:t>Programa  8</w:t>
            </w:r>
          </w:p>
        </w:tc>
      </w:tr>
      <w:tr w:rsidR="00B16400" w:rsidRPr="00C75C7E" w:rsidTr="004341A3">
        <w:trPr>
          <w:cantSplit/>
          <w:trHeight w:val="708"/>
        </w:trPr>
        <w:tc>
          <w:tcPr>
            <w:tcW w:w="1768" w:type="pct"/>
            <w:shd w:val="clear" w:color="auto" w:fill="auto"/>
            <w:tcMar>
              <w:top w:w="113" w:type="dxa"/>
              <w:bottom w:w="57" w:type="dxa"/>
            </w:tcMar>
          </w:tcPr>
          <w:p w:rsidR="00B16400" w:rsidRPr="00C75C7E" w:rsidRDefault="00B16400" w:rsidP="004341A3">
            <w:pPr>
              <w:widowControl w:val="0"/>
              <w:tabs>
                <w:tab w:val="right" w:pos="2835"/>
              </w:tabs>
              <w:spacing w:after="60"/>
              <w:rPr>
                <w:sz w:val="15"/>
                <w:szCs w:val="15"/>
                <w:lang w:val="es-ES_tradnl"/>
              </w:rPr>
            </w:pPr>
            <w:r w:rsidRPr="00C75C7E">
              <w:rPr>
                <w:sz w:val="16"/>
                <w:szCs w:val="16"/>
                <w:lang w:val="es-ES_tradnl"/>
              </w:rPr>
              <w:t xml:space="preserve">III.4. </w:t>
            </w:r>
            <w:r w:rsidR="00DB4C60">
              <w:rPr>
                <w:sz w:val="16"/>
                <w:szCs w:val="16"/>
                <w:lang w:val="es-ES_tradnl"/>
              </w:rPr>
              <w:t xml:space="preserve"> </w:t>
            </w:r>
            <w:r w:rsidRPr="00C75C7E">
              <w:rPr>
                <w:sz w:val="16"/>
                <w:szCs w:val="16"/>
                <w:lang w:val="es-ES_tradnl"/>
              </w:rPr>
              <w:t>Fortalecimiento de los mecanismos de cooperación y de los programas adaptados a las necesidades de los países en desarrollo y los PMA.</w:t>
            </w:r>
          </w:p>
          <w:p w:rsidR="00B16400" w:rsidRPr="00C75C7E" w:rsidRDefault="00B16400" w:rsidP="004341A3">
            <w:pPr>
              <w:widowControl w:val="0"/>
              <w:rPr>
                <w:sz w:val="16"/>
                <w:szCs w:val="16"/>
                <w:lang w:val="es-ES_tradnl"/>
              </w:rPr>
            </w:pPr>
          </w:p>
        </w:tc>
        <w:tc>
          <w:tcPr>
            <w:tcW w:w="1708" w:type="pct"/>
            <w:shd w:val="clear" w:color="auto" w:fill="auto"/>
            <w:tcMar>
              <w:top w:w="113" w:type="dxa"/>
              <w:bottom w:w="57" w:type="dxa"/>
            </w:tcMar>
          </w:tcPr>
          <w:p w:rsidR="00B16400" w:rsidRPr="00C75C7E" w:rsidRDefault="00B16400" w:rsidP="004341A3">
            <w:pPr>
              <w:widowControl w:val="0"/>
              <w:rPr>
                <w:sz w:val="16"/>
                <w:szCs w:val="16"/>
                <w:lang w:val="es-ES_tradnl"/>
              </w:rPr>
            </w:pPr>
            <w:r w:rsidRPr="00C75C7E">
              <w:rPr>
                <w:sz w:val="16"/>
                <w:szCs w:val="16"/>
                <w:lang w:val="es-ES_tradnl"/>
              </w:rPr>
              <w:t>Número de mecanismos de cooperación, programas y asociaciones nuevos o consolidados a los que se presta apoyo para promover/fortalecer la cooperación subregional o regional en P.I.</w:t>
            </w:r>
          </w:p>
        </w:tc>
        <w:tc>
          <w:tcPr>
            <w:tcW w:w="1524" w:type="pct"/>
            <w:shd w:val="clear" w:color="auto" w:fill="FFFFFF"/>
            <w:tcMar>
              <w:top w:w="113" w:type="dxa"/>
              <w:bottom w:w="57" w:type="dxa"/>
            </w:tcMar>
          </w:tcPr>
          <w:p w:rsidR="00B16400" w:rsidRPr="00C75C7E" w:rsidRDefault="00B16400" w:rsidP="004341A3">
            <w:pPr>
              <w:widowControl w:val="0"/>
              <w:ind w:left="551"/>
              <w:rPr>
                <w:sz w:val="16"/>
                <w:szCs w:val="16"/>
                <w:lang w:val="es-ES_tradnl" w:bidi="th-TH"/>
              </w:rPr>
            </w:pPr>
            <w:r w:rsidRPr="00C75C7E">
              <w:rPr>
                <w:sz w:val="16"/>
                <w:szCs w:val="16"/>
                <w:lang w:val="es-ES_tradnl" w:bidi="th-TH"/>
              </w:rPr>
              <w:t>Programa  9</w:t>
            </w:r>
          </w:p>
        </w:tc>
      </w:tr>
      <w:tr w:rsidR="00B16400" w:rsidRPr="00C75C7E" w:rsidTr="004341A3">
        <w:trPr>
          <w:cantSplit/>
          <w:trHeight w:val="652"/>
        </w:trPr>
        <w:tc>
          <w:tcPr>
            <w:tcW w:w="1768" w:type="pct"/>
            <w:shd w:val="clear" w:color="auto" w:fill="auto"/>
            <w:tcMar>
              <w:top w:w="113" w:type="dxa"/>
              <w:bottom w:w="57" w:type="dxa"/>
            </w:tcMar>
          </w:tcPr>
          <w:p w:rsidR="00B16400" w:rsidRPr="00C75C7E" w:rsidRDefault="00B16400" w:rsidP="004341A3">
            <w:pPr>
              <w:widowControl w:val="0"/>
              <w:rPr>
                <w:sz w:val="16"/>
                <w:szCs w:val="16"/>
                <w:lang w:val="es-ES_tradnl"/>
              </w:rPr>
            </w:pPr>
          </w:p>
        </w:tc>
        <w:tc>
          <w:tcPr>
            <w:tcW w:w="1708" w:type="pct"/>
            <w:shd w:val="clear" w:color="auto" w:fill="auto"/>
            <w:tcMar>
              <w:top w:w="113" w:type="dxa"/>
              <w:bottom w:w="57" w:type="dxa"/>
            </w:tcMar>
          </w:tcPr>
          <w:p w:rsidR="00B16400" w:rsidRPr="00C75C7E" w:rsidRDefault="00B16400" w:rsidP="004341A3">
            <w:pPr>
              <w:widowControl w:val="0"/>
              <w:rPr>
                <w:sz w:val="16"/>
                <w:szCs w:val="16"/>
                <w:lang w:val="es-ES_tradnl"/>
              </w:rPr>
            </w:pPr>
            <w:r w:rsidRPr="00C75C7E">
              <w:rPr>
                <w:sz w:val="16"/>
                <w:szCs w:val="16"/>
                <w:lang w:val="es-ES_tradnl"/>
              </w:rPr>
              <w:t>Número de asociaciones establecidas en las que la parte que ofrece asistencia procede de un país desarrollado.</w:t>
            </w:r>
          </w:p>
        </w:tc>
        <w:tc>
          <w:tcPr>
            <w:tcW w:w="1524" w:type="pct"/>
            <w:shd w:val="clear" w:color="auto" w:fill="FFFFFF"/>
            <w:tcMar>
              <w:top w:w="113" w:type="dxa"/>
              <w:bottom w:w="57" w:type="dxa"/>
            </w:tcMar>
          </w:tcPr>
          <w:p w:rsidR="00B16400" w:rsidRPr="00C75C7E" w:rsidRDefault="00B16400" w:rsidP="004341A3">
            <w:pPr>
              <w:widowControl w:val="0"/>
              <w:ind w:left="551"/>
              <w:rPr>
                <w:sz w:val="16"/>
                <w:szCs w:val="16"/>
                <w:lang w:val="es-ES_tradnl" w:bidi="th-TH"/>
              </w:rPr>
            </w:pPr>
            <w:r w:rsidRPr="00C75C7E">
              <w:rPr>
                <w:sz w:val="16"/>
                <w:szCs w:val="16"/>
                <w:lang w:val="es-ES_tradnl" w:bidi="th-TH"/>
              </w:rPr>
              <w:t>Programa  10</w:t>
            </w:r>
          </w:p>
        </w:tc>
      </w:tr>
      <w:tr w:rsidR="00DB4C60" w:rsidRPr="00C75C7E" w:rsidTr="00DB4C60">
        <w:trPr>
          <w:cantSplit/>
          <w:trHeight w:val="708"/>
        </w:trPr>
        <w:tc>
          <w:tcPr>
            <w:tcW w:w="1768" w:type="pct"/>
            <w:shd w:val="clear" w:color="auto" w:fill="auto"/>
            <w:tcMar>
              <w:top w:w="113" w:type="dxa"/>
              <w:bottom w:w="57" w:type="dxa"/>
            </w:tcMar>
          </w:tcPr>
          <w:p w:rsidR="00DB4C60" w:rsidRPr="00C75C7E" w:rsidRDefault="00DB4C60" w:rsidP="00DB4C60">
            <w:pPr>
              <w:widowControl w:val="0"/>
              <w:tabs>
                <w:tab w:val="right" w:pos="2835"/>
              </w:tabs>
              <w:spacing w:after="60"/>
              <w:rPr>
                <w:sz w:val="16"/>
                <w:szCs w:val="16"/>
                <w:lang w:val="es-ES_tradnl"/>
              </w:rPr>
            </w:pPr>
            <w:r>
              <w:rPr>
                <w:sz w:val="16"/>
                <w:szCs w:val="16"/>
                <w:lang w:val="es-ES_tradnl"/>
              </w:rPr>
              <w:t xml:space="preserve">III.5  </w:t>
            </w:r>
            <w:r w:rsidRPr="00DB4C60">
              <w:rPr>
                <w:sz w:val="16"/>
                <w:szCs w:val="16"/>
                <w:lang w:val="es-ES_tradnl"/>
              </w:rPr>
              <w:t>Mejor comprensión de la Agenda para el Desarrollo por los Estados miembros, las OIG, la sociedad civil y demás partes interesadas</w:t>
            </w:r>
          </w:p>
        </w:tc>
        <w:tc>
          <w:tcPr>
            <w:tcW w:w="1708" w:type="pct"/>
            <w:shd w:val="clear" w:color="auto" w:fill="auto"/>
            <w:tcMar>
              <w:top w:w="113" w:type="dxa"/>
              <w:bottom w:w="57" w:type="dxa"/>
            </w:tcMar>
          </w:tcPr>
          <w:p w:rsidR="00DB4C60" w:rsidRPr="00C75C7E" w:rsidRDefault="00DB4C60" w:rsidP="00DB4C60">
            <w:pPr>
              <w:widowControl w:val="0"/>
              <w:rPr>
                <w:sz w:val="16"/>
                <w:szCs w:val="16"/>
                <w:lang w:val="es-ES_tradnl"/>
              </w:rPr>
            </w:pPr>
            <w:r>
              <w:rPr>
                <w:sz w:val="16"/>
                <w:szCs w:val="16"/>
                <w:lang w:val="es-ES_tradnl"/>
              </w:rPr>
              <w:t>Número de países que piden asistencia técnica por conducto de proyectos de la A.D. y que manifiestan interés en actividades relacionadas con la A.D.</w:t>
            </w:r>
          </w:p>
        </w:tc>
        <w:tc>
          <w:tcPr>
            <w:tcW w:w="1524" w:type="pct"/>
            <w:shd w:val="clear" w:color="auto" w:fill="FFFFFF"/>
            <w:tcMar>
              <w:top w:w="113" w:type="dxa"/>
              <w:bottom w:w="57" w:type="dxa"/>
            </w:tcMar>
          </w:tcPr>
          <w:p w:rsidR="00DB4C60" w:rsidRPr="00C75C7E" w:rsidRDefault="00DB4C60" w:rsidP="00DB4C60">
            <w:pPr>
              <w:widowControl w:val="0"/>
              <w:ind w:left="551"/>
              <w:rPr>
                <w:sz w:val="16"/>
                <w:szCs w:val="16"/>
                <w:lang w:val="es-ES_tradnl" w:bidi="th-TH"/>
              </w:rPr>
            </w:pPr>
            <w:r>
              <w:rPr>
                <w:sz w:val="16"/>
                <w:szCs w:val="16"/>
                <w:lang w:val="es-ES_tradnl" w:bidi="th-TH"/>
              </w:rPr>
              <w:t>Programa  8</w:t>
            </w:r>
          </w:p>
        </w:tc>
      </w:tr>
      <w:tr w:rsidR="00DB4C60" w:rsidRPr="00C75C7E" w:rsidTr="00DB4C60">
        <w:trPr>
          <w:cantSplit/>
          <w:trHeight w:val="708"/>
        </w:trPr>
        <w:tc>
          <w:tcPr>
            <w:tcW w:w="1768" w:type="pct"/>
            <w:shd w:val="clear" w:color="auto" w:fill="auto"/>
            <w:tcMar>
              <w:top w:w="113" w:type="dxa"/>
              <w:bottom w:w="57" w:type="dxa"/>
            </w:tcMar>
          </w:tcPr>
          <w:p w:rsidR="00DB4C60" w:rsidRDefault="00DB4C60" w:rsidP="00DB4C60">
            <w:pPr>
              <w:widowControl w:val="0"/>
              <w:tabs>
                <w:tab w:val="right" w:pos="2835"/>
              </w:tabs>
              <w:spacing w:after="60"/>
              <w:rPr>
                <w:sz w:val="16"/>
                <w:szCs w:val="16"/>
                <w:lang w:val="es-ES_tradnl"/>
              </w:rPr>
            </w:pPr>
          </w:p>
        </w:tc>
        <w:tc>
          <w:tcPr>
            <w:tcW w:w="1708" w:type="pct"/>
            <w:shd w:val="clear" w:color="auto" w:fill="auto"/>
            <w:tcMar>
              <w:top w:w="113" w:type="dxa"/>
              <w:bottom w:w="57" w:type="dxa"/>
            </w:tcMar>
          </w:tcPr>
          <w:p w:rsidR="00DB4C60" w:rsidRDefault="00DB4C60" w:rsidP="00DB4C60">
            <w:pPr>
              <w:widowControl w:val="0"/>
              <w:rPr>
                <w:sz w:val="16"/>
                <w:szCs w:val="16"/>
                <w:lang w:val="es-ES_tradnl"/>
              </w:rPr>
            </w:pPr>
            <w:r>
              <w:rPr>
                <w:sz w:val="16"/>
                <w:szCs w:val="16"/>
                <w:lang w:val="es-ES_tradnl"/>
              </w:rPr>
              <w:t>Porcentaje de participantes en reuniones de la OMPI (Estados miembros, OIG, sociedad civil y demás partes interesadas) satisfechos con la información recibida sobre las recomendaciones de la A.D.</w:t>
            </w:r>
          </w:p>
        </w:tc>
        <w:tc>
          <w:tcPr>
            <w:tcW w:w="1524" w:type="pct"/>
            <w:shd w:val="clear" w:color="auto" w:fill="FFFFFF"/>
            <w:tcMar>
              <w:top w:w="113" w:type="dxa"/>
              <w:bottom w:w="57" w:type="dxa"/>
            </w:tcMar>
          </w:tcPr>
          <w:p w:rsidR="00DB4C60" w:rsidRDefault="00DB4C60" w:rsidP="00DB4C60">
            <w:pPr>
              <w:widowControl w:val="0"/>
              <w:ind w:left="551"/>
              <w:rPr>
                <w:sz w:val="16"/>
                <w:szCs w:val="16"/>
                <w:lang w:val="es-ES_tradnl" w:bidi="th-TH"/>
              </w:rPr>
            </w:pPr>
            <w:r>
              <w:rPr>
                <w:sz w:val="16"/>
                <w:szCs w:val="16"/>
                <w:lang w:val="es-ES_tradnl" w:bidi="th-TH"/>
              </w:rPr>
              <w:t>Programa  8</w:t>
            </w:r>
          </w:p>
        </w:tc>
      </w:tr>
      <w:tr w:rsidR="00DB4C60" w:rsidRPr="00C75C7E" w:rsidTr="00DB4C60">
        <w:trPr>
          <w:cantSplit/>
          <w:trHeight w:val="708"/>
        </w:trPr>
        <w:tc>
          <w:tcPr>
            <w:tcW w:w="1768" w:type="pct"/>
            <w:shd w:val="clear" w:color="auto" w:fill="auto"/>
            <w:tcMar>
              <w:top w:w="113" w:type="dxa"/>
              <w:bottom w:w="57" w:type="dxa"/>
            </w:tcMar>
          </w:tcPr>
          <w:p w:rsidR="00DB4C60" w:rsidRDefault="00DB4C60" w:rsidP="00DB4C60">
            <w:pPr>
              <w:widowControl w:val="0"/>
              <w:tabs>
                <w:tab w:val="right" w:pos="2835"/>
              </w:tabs>
              <w:spacing w:after="60"/>
              <w:rPr>
                <w:sz w:val="16"/>
                <w:szCs w:val="16"/>
                <w:lang w:val="es-ES_tradnl"/>
              </w:rPr>
            </w:pPr>
            <w:r>
              <w:rPr>
                <w:sz w:val="16"/>
                <w:szCs w:val="16"/>
                <w:lang w:val="es-ES_tradnl"/>
              </w:rPr>
              <w:t xml:space="preserve">III.6  </w:t>
            </w:r>
            <w:r w:rsidRPr="00DB4C60">
              <w:rPr>
                <w:sz w:val="16"/>
                <w:szCs w:val="16"/>
                <w:lang w:val="es-ES_tradnl"/>
              </w:rPr>
              <w:t>Mejor capacidad de las pymes para utilizar con éxito la P.I. con el fin de apoyar la innovación</w:t>
            </w:r>
          </w:p>
        </w:tc>
        <w:tc>
          <w:tcPr>
            <w:tcW w:w="1708" w:type="pct"/>
            <w:shd w:val="clear" w:color="auto" w:fill="auto"/>
            <w:tcMar>
              <w:top w:w="113" w:type="dxa"/>
              <w:bottom w:w="57" w:type="dxa"/>
            </w:tcMar>
          </w:tcPr>
          <w:p w:rsidR="00DB4C60" w:rsidRDefault="00DB4C60" w:rsidP="00DB4C60">
            <w:pPr>
              <w:widowControl w:val="0"/>
              <w:rPr>
                <w:sz w:val="16"/>
                <w:szCs w:val="16"/>
                <w:lang w:val="es-ES_tradnl"/>
              </w:rPr>
            </w:pPr>
            <w:r>
              <w:rPr>
                <w:sz w:val="16"/>
                <w:szCs w:val="16"/>
                <w:lang w:val="es-ES_tradnl"/>
              </w:rPr>
              <w:t>Porcentaje de participantes en programas de formación destinados a instituciones de apoyo a las pymes que manifiestan satisfacción con el contenido y la organización de esos eventos.</w:t>
            </w:r>
          </w:p>
        </w:tc>
        <w:tc>
          <w:tcPr>
            <w:tcW w:w="1524" w:type="pct"/>
            <w:shd w:val="clear" w:color="auto" w:fill="FFFFFF"/>
            <w:tcMar>
              <w:top w:w="113" w:type="dxa"/>
              <w:bottom w:w="57" w:type="dxa"/>
            </w:tcMar>
          </w:tcPr>
          <w:p w:rsidR="00DB4C60" w:rsidRDefault="00A602DB" w:rsidP="00DB4C60">
            <w:pPr>
              <w:widowControl w:val="0"/>
              <w:ind w:left="551"/>
              <w:rPr>
                <w:sz w:val="16"/>
                <w:szCs w:val="16"/>
                <w:lang w:val="es-ES_tradnl" w:bidi="th-TH"/>
              </w:rPr>
            </w:pPr>
            <w:r>
              <w:rPr>
                <w:sz w:val="16"/>
                <w:szCs w:val="16"/>
                <w:lang w:val="es-ES_tradnl" w:bidi="th-TH"/>
              </w:rPr>
              <w:t>Programa  9</w:t>
            </w:r>
            <w:r>
              <w:rPr>
                <w:sz w:val="16"/>
                <w:szCs w:val="16"/>
                <w:lang w:val="es-ES_tradnl" w:bidi="th-TH"/>
              </w:rPr>
              <w:br/>
              <w:t>Programa 10</w:t>
            </w:r>
          </w:p>
        </w:tc>
      </w:tr>
      <w:tr w:rsidR="00A602DB" w:rsidRPr="00C75C7E" w:rsidTr="00DB4C60">
        <w:trPr>
          <w:cantSplit/>
          <w:trHeight w:val="708"/>
        </w:trPr>
        <w:tc>
          <w:tcPr>
            <w:tcW w:w="1768" w:type="pct"/>
            <w:shd w:val="clear" w:color="auto" w:fill="auto"/>
            <w:tcMar>
              <w:top w:w="113" w:type="dxa"/>
              <w:bottom w:w="57" w:type="dxa"/>
            </w:tcMar>
          </w:tcPr>
          <w:p w:rsidR="00A602DB" w:rsidRPr="00A602DB" w:rsidRDefault="00A602DB" w:rsidP="00A602DB">
            <w:pPr>
              <w:widowControl w:val="0"/>
              <w:tabs>
                <w:tab w:val="right" w:pos="2835"/>
              </w:tabs>
              <w:spacing w:after="60"/>
              <w:rPr>
                <w:sz w:val="16"/>
                <w:szCs w:val="16"/>
                <w:lang w:val="es-ES_tradnl"/>
              </w:rPr>
            </w:pPr>
          </w:p>
        </w:tc>
        <w:tc>
          <w:tcPr>
            <w:tcW w:w="1708" w:type="pct"/>
            <w:shd w:val="clear" w:color="auto" w:fill="auto"/>
            <w:tcMar>
              <w:top w:w="113" w:type="dxa"/>
              <w:bottom w:w="57" w:type="dxa"/>
            </w:tcMar>
          </w:tcPr>
          <w:p w:rsidR="00A602DB" w:rsidRPr="00A602DB" w:rsidRDefault="00A602DB" w:rsidP="00A602DB">
            <w:pPr>
              <w:widowControl w:val="0"/>
              <w:tabs>
                <w:tab w:val="right" w:pos="2835"/>
              </w:tabs>
              <w:spacing w:after="60"/>
              <w:rPr>
                <w:sz w:val="16"/>
                <w:szCs w:val="16"/>
                <w:lang w:val="es-ES_tradnl"/>
              </w:rPr>
            </w:pPr>
            <w:r w:rsidRPr="00A602DB">
              <w:rPr>
                <w:sz w:val="16"/>
                <w:szCs w:val="16"/>
                <w:lang w:val="es-ES_tradnl"/>
              </w:rPr>
              <w:t xml:space="preserve">Porcentaje de instituciones de apoyo a las pymes </w:t>
            </w:r>
            <w:r>
              <w:rPr>
                <w:sz w:val="16"/>
                <w:szCs w:val="16"/>
                <w:lang w:val="es-ES_tradnl"/>
              </w:rPr>
              <w:t>que han recibido formación, que a su vez brindan información, apoyo y servicios de consultoría/asesoramiento en gestión de activos de P.I.</w:t>
            </w:r>
          </w:p>
        </w:tc>
        <w:tc>
          <w:tcPr>
            <w:tcW w:w="1524" w:type="pct"/>
            <w:shd w:val="clear" w:color="auto" w:fill="FFFFFF"/>
            <w:tcMar>
              <w:top w:w="113" w:type="dxa"/>
              <w:bottom w:w="57" w:type="dxa"/>
            </w:tcMar>
          </w:tcPr>
          <w:p w:rsidR="00A602DB" w:rsidRPr="00A602DB" w:rsidRDefault="00A602DB" w:rsidP="00A602DB">
            <w:pPr>
              <w:widowControl w:val="0"/>
              <w:ind w:left="551"/>
              <w:rPr>
                <w:sz w:val="16"/>
                <w:szCs w:val="16"/>
                <w:lang w:val="es-ES_tradnl"/>
              </w:rPr>
            </w:pPr>
            <w:r w:rsidRPr="00A602DB">
              <w:rPr>
                <w:sz w:val="16"/>
                <w:szCs w:val="16"/>
                <w:lang w:val="es-ES_tradnl" w:bidi="th-TH"/>
              </w:rPr>
              <w:t>Programa  9</w:t>
            </w:r>
            <w:r>
              <w:rPr>
                <w:sz w:val="16"/>
                <w:szCs w:val="16"/>
                <w:lang w:val="es-ES_tradnl" w:bidi="th-TH"/>
              </w:rPr>
              <w:br/>
              <w:t>Programa 10</w:t>
            </w:r>
          </w:p>
        </w:tc>
      </w:tr>
      <w:tr w:rsidR="00A602DB" w:rsidRPr="00C75C7E" w:rsidTr="00DB4C60">
        <w:trPr>
          <w:cantSplit/>
          <w:trHeight w:val="708"/>
        </w:trPr>
        <w:tc>
          <w:tcPr>
            <w:tcW w:w="1768" w:type="pct"/>
            <w:shd w:val="clear" w:color="auto" w:fill="auto"/>
            <w:tcMar>
              <w:top w:w="113" w:type="dxa"/>
              <w:bottom w:w="57" w:type="dxa"/>
            </w:tcMar>
          </w:tcPr>
          <w:p w:rsidR="00A602DB" w:rsidRPr="00A602DB" w:rsidRDefault="00A602DB" w:rsidP="00A602DB">
            <w:pPr>
              <w:widowControl w:val="0"/>
              <w:tabs>
                <w:tab w:val="right" w:pos="2835"/>
              </w:tabs>
              <w:spacing w:after="60"/>
              <w:rPr>
                <w:sz w:val="16"/>
                <w:szCs w:val="16"/>
                <w:lang w:val="es-ES_tradnl"/>
              </w:rPr>
            </w:pPr>
          </w:p>
        </w:tc>
        <w:tc>
          <w:tcPr>
            <w:tcW w:w="1708" w:type="pct"/>
            <w:shd w:val="clear" w:color="auto" w:fill="auto"/>
            <w:tcMar>
              <w:top w:w="113" w:type="dxa"/>
              <w:bottom w:w="57" w:type="dxa"/>
            </w:tcMar>
          </w:tcPr>
          <w:p w:rsidR="00A602DB" w:rsidRPr="00A602DB" w:rsidRDefault="00A602DB" w:rsidP="00A602DB">
            <w:pPr>
              <w:widowControl w:val="0"/>
              <w:tabs>
                <w:tab w:val="right" w:pos="2835"/>
              </w:tabs>
              <w:spacing w:after="60"/>
              <w:rPr>
                <w:sz w:val="16"/>
                <w:szCs w:val="16"/>
                <w:lang w:val="es-ES_tradnl"/>
              </w:rPr>
            </w:pPr>
            <w:r>
              <w:rPr>
                <w:sz w:val="16"/>
                <w:szCs w:val="16"/>
                <w:lang w:val="es-ES_tradnl"/>
              </w:rPr>
              <w:t>Número de países que han establecido programas de formación en P.I. destinados a las pymes.</w:t>
            </w:r>
          </w:p>
        </w:tc>
        <w:tc>
          <w:tcPr>
            <w:tcW w:w="1524" w:type="pct"/>
            <w:shd w:val="clear" w:color="auto" w:fill="FFFFFF"/>
            <w:tcMar>
              <w:top w:w="113" w:type="dxa"/>
              <w:bottom w:w="57" w:type="dxa"/>
            </w:tcMar>
          </w:tcPr>
          <w:p w:rsidR="00A602DB" w:rsidRPr="00A602DB" w:rsidRDefault="00A602DB" w:rsidP="00A602DB">
            <w:pPr>
              <w:widowControl w:val="0"/>
              <w:ind w:left="551"/>
              <w:rPr>
                <w:sz w:val="16"/>
                <w:szCs w:val="16"/>
                <w:lang w:val="es-ES_tradnl" w:bidi="th-TH"/>
              </w:rPr>
            </w:pPr>
            <w:r>
              <w:rPr>
                <w:sz w:val="16"/>
                <w:szCs w:val="16"/>
                <w:lang w:val="es-ES_tradnl" w:bidi="th-TH"/>
              </w:rPr>
              <w:t>Programa  9</w:t>
            </w:r>
            <w:r>
              <w:rPr>
                <w:sz w:val="16"/>
                <w:szCs w:val="16"/>
                <w:lang w:val="es-ES_tradnl" w:bidi="th-TH"/>
              </w:rPr>
              <w:br/>
              <w:t>Programa 10</w:t>
            </w:r>
          </w:p>
        </w:tc>
      </w:tr>
      <w:tr w:rsidR="00A602DB" w:rsidRPr="00C75C7E" w:rsidTr="00DB4C60">
        <w:trPr>
          <w:cantSplit/>
          <w:trHeight w:val="708"/>
        </w:trPr>
        <w:tc>
          <w:tcPr>
            <w:tcW w:w="1768" w:type="pct"/>
            <w:shd w:val="clear" w:color="auto" w:fill="auto"/>
            <w:tcMar>
              <w:top w:w="113" w:type="dxa"/>
              <w:bottom w:w="57" w:type="dxa"/>
            </w:tcMar>
          </w:tcPr>
          <w:p w:rsidR="00A602DB" w:rsidRPr="00A602DB" w:rsidRDefault="00A602DB" w:rsidP="00A602DB">
            <w:pPr>
              <w:widowControl w:val="0"/>
              <w:tabs>
                <w:tab w:val="right" w:pos="2835"/>
              </w:tabs>
              <w:spacing w:after="60"/>
              <w:rPr>
                <w:sz w:val="16"/>
                <w:szCs w:val="16"/>
                <w:lang w:val="es-ES_tradnl"/>
              </w:rPr>
            </w:pPr>
          </w:p>
        </w:tc>
        <w:tc>
          <w:tcPr>
            <w:tcW w:w="1708" w:type="pct"/>
            <w:shd w:val="clear" w:color="auto" w:fill="auto"/>
            <w:tcMar>
              <w:top w:w="113" w:type="dxa"/>
              <w:bottom w:w="57" w:type="dxa"/>
            </w:tcMar>
          </w:tcPr>
          <w:p w:rsidR="00A602DB" w:rsidRDefault="00A602DB" w:rsidP="00A602DB">
            <w:pPr>
              <w:widowControl w:val="0"/>
              <w:tabs>
                <w:tab w:val="right" w:pos="2835"/>
              </w:tabs>
              <w:spacing w:after="60"/>
              <w:rPr>
                <w:sz w:val="16"/>
                <w:szCs w:val="16"/>
                <w:lang w:val="es-ES_tradnl"/>
              </w:rPr>
            </w:pPr>
            <w:r>
              <w:rPr>
                <w:sz w:val="16"/>
                <w:szCs w:val="16"/>
                <w:lang w:val="es-ES_tradnl"/>
              </w:rPr>
              <w:t>Número de suscripciones al Boletín para las pymes</w:t>
            </w:r>
          </w:p>
        </w:tc>
        <w:tc>
          <w:tcPr>
            <w:tcW w:w="1524" w:type="pct"/>
            <w:shd w:val="clear" w:color="auto" w:fill="FFFFFF"/>
            <w:tcMar>
              <w:top w:w="113" w:type="dxa"/>
              <w:bottom w:w="57" w:type="dxa"/>
            </w:tcMar>
          </w:tcPr>
          <w:p w:rsidR="00A602DB" w:rsidRDefault="00A602DB" w:rsidP="00A602DB">
            <w:pPr>
              <w:widowControl w:val="0"/>
              <w:ind w:left="551"/>
              <w:rPr>
                <w:sz w:val="16"/>
                <w:szCs w:val="16"/>
                <w:lang w:val="es-ES_tradnl" w:bidi="th-TH"/>
              </w:rPr>
            </w:pPr>
            <w:r>
              <w:rPr>
                <w:sz w:val="16"/>
                <w:szCs w:val="16"/>
                <w:lang w:val="es-ES_tradnl" w:bidi="th-TH"/>
              </w:rPr>
              <w:t>Programa  30</w:t>
            </w:r>
          </w:p>
        </w:tc>
      </w:tr>
      <w:tr w:rsidR="00A602DB" w:rsidRPr="00C75C7E" w:rsidTr="00DB4C60">
        <w:trPr>
          <w:cantSplit/>
          <w:trHeight w:val="708"/>
        </w:trPr>
        <w:tc>
          <w:tcPr>
            <w:tcW w:w="1768" w:type="pct"/>
            <w:shd w:val="clear" w:color="auto" w:fill="auto"/>
            <w:tcMar>
              <w:top w:w="113" w:type="dxa"/>
              <w:bottom w:w="57" w:type="dxa"/>
            </w:tcMar>
          </w:tcPr>
          <w:p w:rsidR="00A602DB" w:rsidRPr="00A602DB" w:rsidRDefault="00A602DB" w:rsidP="00A602DB">
            <w:pPr>
              <w:widowControl w:val="0"/>
              <w:tabs>
                <w:tab w:val="right" w:pos="2835"/>
              </w:tabs>
              <w:spacing w:after="60"/>
              <w:rPr>
                <w:sz w:val="16"/>
                <w:szCs w:val="16"/>
                <w:lang w:val="es-ES_tradnl"/>
              </w:rPr>
            </w:pPr>
          </w:p>
        </w:tc>
        <w:tc>
          <w:tcPr>
            <w:tcW w:w="1708" w:type="pct"/>
            <w:shd w:val="clear" w:color="auto" w:fill="auto"/>
            <w:tcMar>
              <w:top w:w="113" w:type="dxa"/>
              <w:bottom w:w="57" w:type="dxa"/>
            </w:tcMar>
          </w:tcPr>
          <w:p w:rsidR="00A602DB" w:rsidRDefault="00A602DB" w:rsidP="00A82B27">
            <w:pPr>
              <w:widowControl w:val="0"/>
              <w:tabs>
                <w:tab w:val="right" w:pos="2835"/>
              </w:tabs>
              <w:spacing w:after="60"/>
              <w:rPr>
                <w:sz w:val="16"/>
                <w:szCs w:val="16"/>
                <w:lang w:val="es-ES_tradnl"/>
              </w:rPr>
            </w:pPr>
            <w:r>
              <w:rPr>
                <w:sz w:val="16"/>
                <w:szCs w:val="16"/>
                <w:lang w:val="es-ES_tradnl"/>
              </w:rPr>
              <w:t>Número de directrices y material sobre pymes</w:t>
            </w:r>
            <w:r w:rsidR="00A82B27">
              <w:rPr>
                <w:sz w:val="16"/>
                <w:szCs w:val="16"/>
                <w:lang w:val="es-ES_tradnl"/>
              </w:rPr>
              <w:t xml:space="preserve"> descargado del sitio web.</w:t>
            </w:r>
          </w:p>
        </w:tc>
        <w:tc>
          <w:tcPr>
            <w:tcW w:w="1524" w:type="pct"/>
            <w:shd w:val="clear" w:color="auto" w:fill="FFFFFF"/>
            <w:tcMar>
              <w:top w:w="113" w:type="dxa"/>
              <w:bottom w:w="57" w:type="dxa"/>
            </w:tcMar>
          </w:tcPr>
          <w:p w:rsidR="00A602DB" w:rsidRDefault="00A602DB" w:rsidP="00A602DB">
            <w:pPr>
              <w:widowControl w:val="0"/>
              <w:ind w:left="551"/>
              <w:rPr>
                <w:sz w:val="16"/>
                <w:szCs w:val="16"/>
                <w:lang w:val="es-ES_tradnl" w:bidi="th-TH"/>
              </w:rPr>
            </w:pPr>
            <w:r>
              <w:rPr>
                <w:sz w:val="16"/>
                <w:szCs w:val="16"/>
                <w:lang w:val="es-ES_tradnl" w:bidi="th-TH"/>
              </w:rPr>
              <w:t>Programa  30</w:t>
            </w:r>
          </w:p>
        </w:tc>
      </w:tr>
      <w:tr w:rsidR="00A602DB" w:rsidRPr="00C75C7E" w:rsidTr="00DB4C60">
        <w:trPr>
          <w:cantSplit/>
          <w:trHeight w:val="708"/>
        </w:trPr>
        <w:tc>
          <w:tcPr>
            <w:tcW w:w="1768" w:type="pct"/>
            <w:shd w:val="clear" w:color="auto" w:fill="auto"/>
            <w:tcMar>
              <w:top w:w="113" w:type="dxa"/>
              <w:bottom w:w="57" w:type="dxa"/>
            </w:tcMar>
          </w:tcPr>
          <w:p w:rsidR="00A602DB" w:rsidRPr="00A602DB" w:rsidRDefault="00A602DB" w:rsidP="00A602DB">
            <w:pPr>
              <w:widowControl w:val="0"/>
              <w:tabs>
                <w:tab w:val="right" w:pos="2835"/>
              </w:tabs>
              <w:spacing w:after="60"/>
              <w:rPr>
                <w:sz w:val="16"/>
                <w:szCs w:val="16"/>
                <w:lang w:val="es-ES_tradnl"/>
              </w:rPr>
            </w:pPr>
          </w:p>
        </w:tc>
        <w:tc>
          <w:tcPr>
            <w:tcW w:w="1708" w:type="pct"/>
            <w:shd w:val="clear" w:color="auto" w:fill="auto"/>
            <w:tcMar>
              <w:top w:w="113" w:type="dxa"/>
              <w:bottom w:w="57" w:type="dxa"/>
            </w:tcMar>
          </w:tcPr>
          <w:p w:rsidR="00A602DB" w:rsidRDefault="00A602DB" w:rsidP="00A602DB">
            <w:pPr>
              <w:widowControl w:val="0"/>
              <w:tabs>
                <w:tab w:val="right" w:pos="2835"/>
              </w:tabs>
              <w:spacing w:after="60"/>
              <w:rPr>
                <w:sz w:val="16"/>
                <w:szCs w:val="16"/>
                <w:lang w:val="es-ES_tradnl"/>
              </w:rPr>
            </w:pPr>
            <w:r>
              <w:rPr>
                <w:sz w:val="16"/>
                <w:szCs w:val="16"/>
                <w:lang w:val="es-ES_tradnl"/>
              </w:rPr>
              <w:t xml:space="preserve">Número de estudios de caso relacionados con las pymes que han sido consultados por intermedio de la base de datos </w:t>
            </w:r>
            <w:r w:rsidRPr="00A602DB">
              <w:rPr>
                <w:i/>
                <w:sz w:val="16"/>
                <w:szCs w:val="16"/>
                <w:lang w:val="es-ES_tradnl"/>
              </w:rPr>
              <w:t>IP Advantage</w:t>
            </w:r>
            <w:r>
              <w:rPr>
                <w:sz w:val="16"/>
                <w:szCs w:val="16"/>
                <w:lang w:val="es-ES_tradnl"/>
              </w:rPr>
              <w:t xml:space="preserve"> u otras bases de datos.</w:t>
            </w:r>
          </w:p>
        </w:tc>
        <w:tc>
          <w:tcPr>
            <w:tcW w:w="1524" w:type="pct"/>
            <w:shd w:val="clear" w:color="auto" w:fill="FFFFFF"/>
            <w:tcMar>
              <w:top w:w="113" w:type="dxa"/>
              <w:bottom w:w="57" w:type="dxa"/>
            </w:tcMar>
          </w:tcPr>
          <w:p w:rsidR="00A602DB" w:rsidRDefault="00A602DB" w:rsidP="00A602DB">
            <w:pPr>
              <w:widowControl w:val="0"/>
              <w:ind w:left="551"/>
              <w:rPr>
                <w:sz w:val="16"/>
                <w:szCs w:val="16"/>
                <w:lang w:val="es-ES_tradnl" w:bidi="th-TH"/>
              </w:rPr>
            </w:pPr>
            <w:r>
              <w:rPr>
                <w:sz w:val="16"/>
                <w:szCs w:val="16"/>
                <w:lang w:val="es-ES_tradnl" w:bidi="th-TH"/>
              </w:rPr>
              <w:t>Programa  30</w:t>
            </w:r>
          </w:p>
        </w:tc>
      </w:tr>
    </w:tbl>
    <w:p w:rsidR="00B16400" w:rsidRPr="00C75C7E" w:rsidRDefault="00B16400" w:rsidP="00B16400">
      <w:pPr>
        <w:widowControl w:val="0"/>
        <w:jc w:val="center"/>
        <w:rPr>
          <w:b/>
          <w:bCs/>
          <w:caps/>
          <w:sz w:val="20"/>
          <w:lang w:val="es-ES_tradnl"/>
        </w:rPr>
      </w:pPr>
    </w:p>
    <w:p w:rsidR="00D73C7C" w:rsidRPr="008541BE" w:rsidRDefault="00B16400" w:rsidP="008541BE">
      <w:pPr>
        <w:pStyle w:val="Heading3"/>
        <w:tabs>
          <w:tab w:val="left" w:pos="1985"/>
        </w:tabs>
        <w:rPr>
          <w:b/>
          <w:iCs/>
          <w:caps/>
          <w:u w:val="none"/>
        </w:rPr>
      </w:pPr>
      <w:r w:rsidRPr="00C75C7E">
        <w:rPr>
          <w:rStyle w:val="StyleStyleHeading3ComplexItalicLatin12ptChar"/>
          <w:lang w:val="es-ES_tradnl"/>
        </w:rPr>
        <w:br w:type="page"/>
      </w:r>
      <w:bookmarkStart w:id="38" w:name="_Toc358816695"/>
      <w:bookmarkStart w:id="39" w:name="_Toc356567757"/>
      <w:r w:rsidR="006A15F5" w:rsidRPr="008541BE">
        <w:rPr>
          <w:b/>
          <w:iCs/>
          <w:u w:val="none"/>
        </w:rPr>
        <w:lastRenderedPageBreak/>
        <w:t>PROGRAMA 8</w:t>
      </w:r>
      <w:r w:rsidR="006A15F5" w:rsidRPr="008541BE">
        <w:rPr>
          <w:b/>
          <w:iCs/>
          <w:u w:val="none"/>
        </w:rPr>
        <w:tab/>
        <w:t>COORDINACIÓN DE LA AGEN</w:t>
      </w:r>
      <w:r w:rsidR="003C4D1D">
        <w:rPr>
          <w:b/>
          <w:iCs/>
          <w:u w:val="none"/>
        </w:rPr>
        <w:t>D</w:t>
      </w:r>
      <w:r w:rsidR="006A15F5" w:rsidRPr="008541BE">
        <w:rPr>
          <w:b/>
          <w:iCs/>
          <w:u w:val="none"/>
        </w:rPr>
        <w:t>A PARA EL DESARROLLO</w:t>
      </w:r>
      <w:bookmarkEnd w:id="38"/>
      <w:r w:rsidR="006A15F5" w:rsidRPr="008541BE">
        <w:rPr>
          <w:b/>
          <w:iCs/>
          <w:u w:val="none"/>
        </w:rPr>
        <w:t xml:space="preserve"> </w:t>
      </w:r>
      <w:bookmarkEnd w:id="39"/>
    </w:p>
    <w:p w:rsidR="00D73C7C" w:rsidRDefault="00D73C7C" w:rsidP="00D73C7C">
      <w:pPr>
        <w:widowControl w:val="0"/>
        <w:tabs>
          <w:tab w:val="left" w:pos="2268"/>
        </w:tabs>
        <w:ind w:left="2268" w:hanging="2268"/>
        <w:rPr>
          <w:rFonts w:eastAsia="Times New Roman"/>
          <w:b/>
          <w:sz w:val="20"/>
          <w:lang w:eastAsia="en-US"/>
        </w:rPr>
      </w:pPr>
    </w:p>
    <w:p w:rsidR="008541BE" w:rsidRPr="00D73C7C" w:rsidRDefault="008541BE" w:rsidP="00D73C7C">
      <w:pPr>
        <w:widowControl w:val="0"/>
        <w:tabs>
          <w:tab w:val="left" w:pos="2268"/>
        </w:tabs>
        <w:ind w:left="2268" w:hanging="2268"/>
        <w:rPr>
          <w:rFonts w:eastAsia="Times New Roman"/>
          <w:b/>
          <w:sz w:val="20"/>
          <w:lang w:eastAsia="en-US"/>
        </w:rPr>
      </w:pPr>
    </w:p>
    <w:p w:rsidR="00D73C7C" w:rsidRPr="00D73C7C" w:rsidRDefault="00D73C7C" w:rsidP="00D73C7C">
      <w:pPr>
        <w:widowControl w:val="0"/>
        <w:ind w:left="1985" w:hanging="1985"/>
        <w:jc w:val="both"/>
        <w:rPr>
          <w:rFonts w:eastAsia="Times New Roman"/>
          <w:szCs w:val="22"/>
          <w:lang w:eastAsia="en-US"/>
        </w:rPr>
      </w:pPr>
      <w:r w:rsidRPr="00D73C7C">
        <w:rPr>
          <w:rFonts w:eastAsia="Times New Roman"/>
          <w:szCs w:val="22"/>
          <w:lang w:eastAsia="en-US"/>
        </w:rPr>
        <w:t xml:space="preserve">CONTEXTO DE PLANIFICACIÓN </w:t>
      </w:r>
    </w:p>
    <w:p w:rsidR="00D73C7C" w:rsidRPr="00D73C7C" w:rsidRDefault="00D73C7C" w:rsidP="00D73C7C">
      <w:pPr>
        <w:widowControl w:val="0"/>
        <w:jc w:val="both"/>
        <w:rPr>
          <w:rFonts w:eastAsia="Times New Roman"/>
          <w:sz w:val="20"/>
          <w:lang w:eastAsia="en-US"/>
        </w:rPr>
      </w:pPr>
    </w:p>
    <w:p w:rsidR="00D73C7C" w:rsidRPr="00D73C7C" w:rsidRDefault="00D73C7C" w:rsidP="00BA276E">
      <w:pPr>
        <w:widowControl w:val="0"/>
        <w:numPr>
          <w:ilvl w:val="1"/>
          <w:numId w:val="30"/>
        </w:numPr>
        <w:jc w:val="both"/>
        <w:rPr>
          <w:rFonts w:eastAsia="Times New Roman"/>
          <w:bCs/>
          <w:sz w:val="20"/>
          <w:lang w:eastAsia="en-US"/>
        </w:rPr>
      </w:pPr>
      <w:r w:rsidRPr="00D73C7C">
        <w:rPr>
          <w:rFonts w:eastAsia="Times New Roman"/>
          <w:bCs/>
          <w:sz w:val="20"/>
          <w:lang w:eastAsia="en-US"/>
        </w:rPr>
        <w:t>La incorporación efectiva de la Agenda para el Desarrollo (A.D.) y la consecución de sus metas y principios en la labor de la Organización siguen siendo prioridades fundamentales para el próximo bienio.  La Organización ha culminado los cinco primeros años de ejecución de la A.D. y ha puesto en marcha un sistema completo para la evaluación de proyectos de la Agenda.  Además, el aspecto de desarrollo de la labor de la Organización sigue evolucionando a través de la participación activa y el diálogo con los Estados miembros.</w:t>
      </w:r>
    </w:p>
    <w:p w:rsidR="00D73C7C" w:rsidRPr="00D73C7C" w:rsidRDefault="00D73C7C" w:rsidP="00D73C7C">
      <w:pPr>
        <w:widowControl w:val="0"/>
        <w:jc w:val="both"/>
        <w:rPr>
          <w:rFonts w:eastAsia="Times New Roman"/>
          <w:bCs/>
          <w:sz w:val="20"/>
          <w:lang w:eastAsia="en-US"/>
        </w:rPr>
      </w:pPr>
    </w:p>
    <w:p w:rsidR="00D73C7C" w:rsidRPr="00D73C7C" w:rsidRDefault="00D73C7C" w:rsidP="00BA276E">
      <w:pPr>
        <w:widowControl w:val="0"/>
        <w:numPr>
          <w:ilvl w:val="1"/>
          <w:numId w:val="30"/>
        </w:numPr>
        <w:jc w:val="both"/>
        <w:rPr>
          <w:rFonts w:eastAsia="Times New Roman"/>
          <w:bCs/>
          <w:sz w:val="20"/>
          <w:lang w:eastAsia="en-US"/>
        </w:rPr>
      </w:pPr>
      <w:r w:rsidRPr="00D73C7C">
        <w:rPr>
          <w:rFonts w:eastAsia="Times New Roman"/>
          <w:bCs/>
          <w:sz w:val="20"/>
          <w:lang w:eastAsia="en-US"/>
        </w:rPr>
        <w:t xml:space="preserve">Durante el bienio anterior se consiguieron progresos importantes en los siguientes ámbitos:  la integración de las recomendaciones y principios de la A.D. en el presupuesto por programas y en los informes sobre el rendimiento de los programas (PPR);  la progresión de la metodología basada en los proyectos de la A.D. hacia la etapa de evaluación;  los proyectos de la A.D. derivados de propuestas presentadas por los países en desarrollo y los países menos adelantados (PMA);  la aplicación de los mecanismos de coordinación y las modalidades de supervisión, evaluación y presentación de informes (el "mecanismo de coordinación") aprobados por los Estados miembros;  y la supervisión y evaluación sistemática completa de todos los proyectos de la A.D. </w:t>
      </w:r>
    </w:p>
    <w:p w:rsidR="00D73C7C" w:rsidRDefault="00D73C7C" w:rsidP="00D73C7C">
      <w:pPr>
        <w:widowControl w:val="0"/>
        <w:tabs>
          <w:tab w:val="num" w:pos="709"/>
        </w:tabs>
        <w:jc w:val="both"/>
        <w:rPr>
          <w:rFonts w:eastAsia="Times New Roman"/>
          <w:bCs/>
          <w:sz w:val="20"/>
          <w:lang w:eastAsia="en-US"/>
        </w:rPr>
      </w:pPr>
    </w:p>
    <w:p w:rsidR="008541BE" w:rsidRPr="00D73C7C" w:rsidRDefault="008541BE" w:rsidP="00D73C7C">
      <w:pPr>
        <w:widowControl w:val="0"/>
        <w:tabs>
          <w:tab w:val="num" w:pos="709"/>
        </w:tabs>
        <w:jc w:val="both"/>
        <w:rPr>
          <w:rFonts w:eastAsia="Times New Roman"/>
          <w:bCs/>
          <w:sz w:val="20"/>
          <w:lang w:eastAsia="en-US"/>
        </w:rPr>
      </w:pPr>
    </w:p>
    <w:p w:rsidR="00D73C7C" w:rsidRPr="00D73C7C" w:rsidRDefault="00D73C7C" w:rsidP="00D73C7C">
      <w:pPr>
        <w:widowControl w:val="0"/>
        <w:jc w:val="both"/>
        <w:rPr>
          <w:rFonts w:ascii="Times New Roman" w:eastAsia="Times New Roman" w:hAnsi="Times New Roman" w:cs="Times New Roman"/>
          <w:szCs w:val="22"/>
          <w:lang w:eastAsia="en-US"/>
        </w:rPr>
      </w:pPr>
      <w:r w:rsidRPr="00D73C7C">
        <w:rPr>
          <w:rFonts w:eastAsia="Times New Roman"/>
          <w:szCs w:val="22"/>
          <w:lang w:eastAsia="en-US"/>
        </w:rPr>
        <w:t xml:space="preserve">ESTRATEGIAS DE EJECUCIÓN </w:t>
      </w:r>
    </w:p>
    <w:p w:rsidR="00D73C7C" w:rsidRPr="00D73C7C" w:rsidRDefault="00D73C7C" w:rsidP="00D73C7C">
      <w:pPr>
        <w:widowControl w:val="0"/>
        <w:jc w:val="both"/>
        <w:rPr>
          <w:rFonts w:eastAsia="Times New Roman"/>
          <w:sz w:val="20"/>
          <w:szCs w:val="14"/>
          <w:lang w:eastAsia="en-US"/>
        </w:rPr>
      </w:pPr>
    </w:p>
    <w:p w:rsidR="00D73C7C" w:rsidRPr="00D73C7C" w:rsidRDefault="00D73C7C" w:rsidP="00BA276E">
      <w:pPr>
        <w:widowControl w:val="0"/>
        <w:numPr>
          <w:ilvl w:val="1"/>
          <w:numId w:val="30"/>
        </w:numPr>
        <w:jc w:val="both"/>
        <w:rPr>
          <w:rFonts w:eastAsia="Times New Roman"/>
          <w:bCs/>
          <w:sz w:val="20"/>
          <w:lang w:eastAsia="en-US"/>
        </w:rPr>
      </w:pPr>
      <w:r w:rsidRPr="00D73C7C">
        <w:rPr>
          <w:rFonts w:eastAsia="Times New Roman"/>
          <w:bCs/>
          <w:sz w:val="20"/>
          <w:lang w:eastAsia="en-US"/>
        </w:rPr>
        <w:t>Durante el bienio 2014/15, el programa responderá a la función, en constante evolución, que desempeña la A.D., así como a las correspondientes necesidades y peticiones de los Estados miembros.  El programa seguirá garantizando que los principios y recomendaciones de la A.D. se incorporan de forma adecuada y eficaz en la labor que desempeña la Organización en el ámbito del desarrollo.  En el programa se hará un esfuerzo por encontrar la forma más efectiva de ejecutar las decisiones adoptadas por la Asamblea General de la OMPI y el CDIP a través de una coordinación activa que abarque todos los sectores de la OMPI y de una colaboración dinámica con los Estados miembros, otras organizaciones internacionales gubernamentales, organizaciones no gubernamentales y la sociedad civil.</w:t>
      </w:r>
    </w:p>
    <w:p w:rsidR="00D73C7C" w:rsidRPr="00D73C7C" w:rsidRDefault="00D73C7C" w:rsidP="00D73C7C">
      <w:pPr>
        <w:widowControl w:val="0"/>
        <w:jc w:val="both"/>
        <w:rPr>
          <w:rFonts w:eastAsia="Times New Roman"/>
          <w:bCs/>
          <w:sz w:val="20"/>
          <w:lang w:eastAsia="en-US"/>
        </w:rPr>
      </w:pPr>
    </w:p>
    <w:p w:rsidR="00D73C7C" w:rsidRPr="00D73C7C" w:rsidRDefault="00D73C7C" w:rsidP="00BA276E">
      <w:pPr>
        <w:widowControl w:val="0"/>
        <w:numPr>
          <w:ilvl w:val="1"/>
          <w:numId w:val="30"/>
        </w:numPr>
        <w:jc w:val="both"/>
        <w:rPr>
          <w:rFonts w:eastAsia="Times New Roman"/>
          <w:bCs/>
          <w:sz w:val="20"/>
          <w:lang w:eastAsia="en-US"/>
        </w:rPr>
      </w:pPr>
      <w:r w:rsidRPr="00D73C7C">
        <w:rPr>
          <w:rFonts w:eastAsia="Times New Roman"/>
          <w:bCs/>
          <w:sz w:val="20"/>
          <w:lang w:eastAsia="en-US"/>
        </w:rPr>
        <w:t xml:space="preserve">A través del programa se seguirá prestando apoyo a la labor del CDIP, con los siguientes objetivos en particular:  mantener en toda la Organización las miras puestas en la incorporación de la A.D.;  elaborar estrategias para la ejecución de las recomendaciones de la A.D.;  coordinar la gestión y la efectiva aplicación, supervisión, evaluación y presentación de informes de los proyectos de la Agenda para el Desarrollo y las actividades ya incorporadas relacionadas con dicha Agenda;  facilitar un examen externo de la ejecución de la A.D. con arreglo al mecanismo de coordinación;  y prestar apoyo a la difusión de información y la toma de conciencia en las cuestiones relacionadas con la A.D. </w:t>
      </w:r>
    </w:p>
    <w:p w:rsidR="00D73C7C" w:rsidRPr="00D73C7C" w:rsidRDefault="00D73C7C" w:rsidP="00D73C7C">
      <w:pPr>
        <w:widowControl w:val="0"/>
        <w:jc w:val="both"/>
        <w:rPr>
          <w:rFonts w:eastAsia="Times New Roman"/>
          <w:bCs/>
          <w:sz w:val="20"/>
          <w:lang w:eastAsia="en-US"/>
        </w:rPr>
      </w:pPr>
    </w:p>
    <w:p w:rsidR="00D73C7C" w:rsidRPr="00D73C7C" w:rsidRDefault="00D73C7C" w:rsidP="00BA276E">
      <w:pPr>
        <w:widowControl w:val="0"/>
        <w:numPr>
          <w:ilvl w:val="1"/>
          <w:numId w:val="30"/>
        </w:numPr>
        <w:jc w:val="both"/>
        <w:rPr>
          <w:rFonts w:eastAsia="Times New Roman"/>
          <w:bCs/>
          <w:sz w:val="20"/>
          <w:lang w:eastAsia="en-US"/>
        </w:rPr>
      </w:pPr>
      <w:r w:rsidRPr="00D73C7C">
        <w:rPr>
          <w:rFonts w:eastAsia="Times New Roman"/>
          <w:bCs/>
          <w:sz w:val="20"/>
          <w:lang w:eastAsia="en-US"/>
        </w:rPr>
        <w:t>En el marco del programa se seguirán facilitando las actividades que atañen a la P.I. y al desarrollo, según lo solicitado por  el CDIP y la Asamblea General.  La función y orientación de los Estados miembros sigue siendo de gran importancia para garantizar que se reflejan de manera efectiva en la labor de la Organización los principios relativos al desarrollo, así como los logros de los objetivos del programa para el bienio.</w:t>
      </w:r>
    </w:p>
    <w:p w:rsidR="00D73C7C" w:rsidRPr="00AC5C4F" w:rsidRDefault="00D73C7C" w:rsidP="00D73C7C">
      <w:pPr>
        <w:widowControl w:val="0"/>
        <w:jc w:val="both"/>
        <w:rPr>
          <w:szCs w:val="22"/>
        </w:rPr>
      </w:pPr>
    </w:p>
    <w:p w:rsidR="00E92E1F" w:rsidRDefault="00E92E1F" w:rsidP="00E92E1F">
      <w:pPr>
        <w:widowControl w:val="0"/>
        <w:jc w:val="both"/>
        <w:rPr>
          <w:szCs w:val="22"/>
        </w:rPr>
      </w:pPr>
    </w:p>
    <w:p w:rsidR="00B16400" w:rsidRPr="00C75C7E" w:rsidRDefault="00B16400" w:rsidP="00E92E1F">
      <w:pPr>
        <w:widowControl w:val="0"/>
        <w:jc w:val="both"/>
        <w:rPr>
          <w:szCs w:val="22"/>
        </w:rPr>
      </w:pPr>
      <w:r w:rsidRPr="00C75C7E">
        <w:rPr>
          <w:szCs w:val="22"/>
        </w:rPr>
        <w:t>PRINCIPALES RIESGOS Y ESTRATEGIAS DE MITIGACIÓN</w:t>
      </w:r>
    </w:p>
    <w:p w:rsidR="00B16400" w:rsidRPr="00C75C7E" w:rsidRDefault="00B16400" w:rsidP="00E92E1F">
      <w:pPr>
        <w:widowControl w:val="0"/>
        <w:jc w:val="both"/>
        <w:rPr>
          <w:sz w:val="20"/>
        </w:rPr>
      </w:pPr>
    </w:p>
    <w:tbl>
      <w:tblPr>
        <w:tblW w:w="9498"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820"/>
        <w:gridCol w:w="4678"/>
      </w:tblGrid>
      <w:tr w:rsidR="00B16400" w:rsidRPr="00C75C7E" w:rsidTr="00AC5C4F">
        <w:trPr>
          <w:trHeight w:val="564"/>
        </w:trPr>
        <w:tc>
          <w:tcPr>
            <w:tcW w:w="4820" w:type="dxa"/>
            <w:tcBorders>
              <w:top w:val="single" w:sz="4" w:space="0" w:color="auto"/>
              <w:bottom w:val="single" w:sz="4" w:space="0" w:color="auto"/>
            </w:tcBorders>
            <w:shd w:val="clear" w:color="auto" w:fill="CCFFFF"/>
            <w:vAlign w:val="center"/>
          </w:tcPr>
          <w:p w:rsidR="00B16400" w:rsidRPr="00C75C7E" w:rsidRDefault="00B16400" w:rsidP="004341A3">
            <w:pPr>
              <w:widowControl w:val="0"/>
              <w:autoSpaceDE w:val="0"/>
              <w:autoSpaceDN w:val="0"/>
              <w:adjustRightInd w:val="0"/>
              <w:ind w:right="-59"/>
              <w:jc w:val="center"/>
              <w:rPr>
                <w:b/>
                <w:bCs/>
                <w:iCs/>
                <w:sz w:val="18"/>
                <w:szCs w:val="18"/>
              </w:rPr>
            </w:pPr>
            <w:r w:rsidRPr="00C75C7E">
              <w:rPr>
                <w:b/>
                <w:bCs/>
                <w:iCs/>
                <w:sz w:val="18"/>
                <w:szCs w:val="18"/>
              </w:rPr>
              <w:t>Riesgos en el logro de los resultados del programa</w:t>
            </w:r>
          </w:p>
        </w:tc>
        <w:tc>
          <w:tcPr>
            <w:tcW w:w="4678" w:type="dxa"/>
            <w:tcBorders>
              <w:top w:val="single" w:sz="4" w:space="0" w:color="auto"/>
              <w:bottom w:val="single" w:sz="4" w:space="0" w:color="auto"/>
            </w:tcBorders>
            <w:shd w:val="clear" w:color="auto" w:fill="CCFFFF"/>
            <w:vAlign w:val="center"/>
          </w:tcPr>
          <w:p w:rsidR="00B16400" w:rsidRPr="00C75C7E" w:rsidRDefault="00B16400" w:rsidP="00AC5C4F">
            <w:pPr>
              <w:widowControl w:val="0"/>
              <w:autoSpaceDE w:val="0"/>
              <w:autoSpaceDN w:val="0"/>
              <w:adjustRightInd w:val="0"/>
              <w:ind w:right="-59"/>
              <w:rPr>
                <w:b/>
                <w:bCs/>
                <w:iCs/>
                <w:sz w:val="18"/>
                <w:szCs w:val="18"/>
              </w:rPr>
            </w:pPr>
            <w:r w:rsidRPr="00C75C7E">
              <w:rPr>
                <w:b/>
                <w:bCs/>
                <w:iCs/>
                <w:sz w:val="18"/>
                <w:szCs w:val="18"/>
              </w:rPr>
              <w:t xml:space="preserve">Planes de mitigación ejecutados o en ejecución </w:t>
            </w:r>
          </w:p>
        </w:tc>
      </w:tr>
      <w:tr w:rsidR="00B16400" w:rsidRPr="00C75C7E" w:rsidTr="00AC5C4F">
        <w:trPr>
          <w:trHeight w:val="838"/>
        </w:trPr>
        <w:tc>
          <w:tcPr>
            <w:tcW w:w="4820" w:type="dxa"/>
            <w:tcBorders>
              <w:top w:val="single" w:sz="4" w:space="0" w:color="auto"/>
            </w:tcBorders>
            <w:shd w:val="clear" w:color="auto" w:fill="auto"/>
            <w:tcMar>
              <w:top w:w="113" w:type="dxa"/>
              <w:bottom w:w="85" w:type="dxa"/>
            </w:tcMar>
          </w:tcPr>
          <w:p w:rsidR="00B16400" w:rsidRPr="00C75C7E" w:rsidRDefault="00B16400" w:rsidP="004341A3">
            <w:pPr>
              <w:widowControl w:val="0"/>
              <w:autoSpaceDE w:val="0"/>
              <w:autoSpaceDN w:val="0"/>
              <w:adjustRightInd w:val="0"/>
              <w:ind w:right="-59"/>
              <w:rPr>
                <w:sz w:val="16"/>
                <w:szCs w:val="16"/>
              </w:rPr>
            </w:pPr>
            <w:r w:rsidRPr="00C75C7E">
              <w:rPr>
                <w:sz w:val="16"/>
                <w:szCs w:val="16"/>
              </w:rPr>
              <w:t xml:space="preserve">Se han evaluado todos los proyectos de la A.D. concluidos.  No llevar a cabo la supervisión sistemática de las recomendaciones y su aplicación podría tener como consecuencia la pérdida de oportunidades y que no se atribuyera suficiente atención a la experiencia adquirida. </w:t>
            </w:r>
          </w:p>
        </w:tc>
        <w:tc>
          <w:tcPr>
            <w:tcW w:w="4678" w:type="dxa"/>
            <w:tcBorders>
              <w:top w:val="single" w:sz="4" w:space="0" w:color="auto"/>
            </w:tcBorders>
            <w:shd w:val="clear" w:color="auto" w:fill="auto"/>
            <w:tcMar>
              <w:top w:w="113" w:type="dxa"/>
              <w:bottom w:w="85" w:type="dxa"/>
            </w:tcMar>
          </w:tcPr>
          <w:p w:rsidR="00B16400" w:rsidRPr="00C75C7E" w:rsidRDefault="00B16400" w:rsidP="004341A3">
            <w:pPr>
              <w:widowControl w:val="0"/>
              <w:autoSpaceDE w:val="0"/>
              <w:autoSpaceDN w:val="0"/>
              <w:adjustRightInd w:val="0"/>
              <w:ind w:right="-59"/>
              <w:rPr>
                <w:sz w:val="16"/>
                <w:szCs w:val="16"/>
              </w:rPr>
            </w:pPr>
            <w:r w:rsidRPr="00C75C7E">
              <w:rPr>
                <w:sz w:val="16"/>
                <w:szCs w:val="16"/>
              </w:rPr>
              <w:t>Fomentar y ejecutar con rigurosidad la supervisión de la aplicación de las recomendaciones por parte de la División de Coordinación de la A.D.</w:t>
            </w:r>
          </w:p>
        </w:tc>
      </w:tr>
    </w:tbl>
    <w:p w:rsidR="00B16400" w:rsidRPr="00C75C7E" w:rsidRDefault="00B16400" w:rsidP="006A15F5"/>
    <w:p w:rsidR="00B16400" w:rsidRPr="00C75C7E" w:rsidRDefault="00B16400" w:rsidP="006A15F5">
      <w:pPr>
        <w:rPr>
          <w:lang w:val="es-ES_tradnl"/>
        </w:rPr>
      </w:pPr>
    </w:p>
    <w:p w:rsidR="00B16400" w:rsidRPr="00C75C7E" w:rsidRDefault="00B16400" w:rsidP="00B16400">
      <w:pPr>
        <w:widowControl w:val="0"/>
        <w:tabs>
          <w:tab w:val="left" w:pos="567"/>
          <w:tab w:val="left" w:pos="1985"/>
        </w:tabs>
        <w:jc w:val="both"/>
        <w:rPr>
          <w:bCs/>
          <w:sz w:val="20"/>
          <w:lang w:val="es-ES_tradnl"/>
        </w:rPr>
      </w:pPr>
      <w:r w:rsidRPr="00C75C7E">
        <w:rPr>
          <w:bCs/>
          <w:szCs w:val="22"/>
          <w:lang w:val="es-ES_tradnl"/>
        </w:rPr>
        <w:lastRenderedPageBreak/>
        <w:t>MARCO DE RESULTADOS</w:t>
      </w:r>
    </w:p>
    <w:p w:rsidR="00B16400" w:rsidRPr="00C75C7E" w:rsidRDefault="00B16400" w:rsidP="00B16400">
      <w:pPr>
        <w:widowControl w:val="0"/>
        <w:tabs>
          <w:tab w:val="left" w:pos="567"/>
          <w:tab w:val="left" w:pos="1985"/>
        </w:tabs>
        <w:jc w:val="both"/>
        <w:rPr>
          <w:bCs/>
          <w:sz w:val="20"/>
          <w:lang w:val="es-ES_tradnl"/>
        </w:rPr>
      </w:pPr>
    </w:p>
    <w:tbl>
      <w:tblPr>
        <w:tblW w:w="4914"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52"/>
        <w:gridCol w:w="2750"/>
        <w:gridCol w:w="2154"/>
        <w:gridCol w:w="2150"/>
      </w:tblGrid>
      <w:tr w:rsidR="00B16400" w:rsidRPr="00C75C7E" w:rsidTr="004341A3">
        <w:trPr>
          <w:cantSplit/>
          <w:trHeight w:val="392"/>
        </w:trPr>
        <w:tc>
          <w:tcPr>
            <w:tcW w:w="1250" w:type="pct"/>
            <w:tcBorders>
              <w:top w:val="single" w:sz="4" w:space="0" w:color="auto"/>
              <w:bottom w:val="single" w:sz="4" w:space="0" w:color="auto"/>
            </w:tcBorders>
            <w:shd w:val="clear" w:color="auto" w:fill="CCFFFF"/>
            <w:vAlign w:val="center"/>
          </w:tcPr>
          <w:p w:rsidR="00B16400" w:rsidRPr="00C75C7E" w:rsidRDefault="00B16400" w:rsidP="004341A3">
            <w:pPr>
              <w:widowControl w:val="0"/>
              <w:spacing w:after="120"/>
              <w:jc w:val="center"/>
              <w:rPr>
                <w:b/>
                <w:bCs/>
                <w:sz w:val="18"/>
                <w:szCs w:val="18"/>
                <w:lang w:val="es-ES_tradnl"/>
              </w:rPr>
            </w:pPr>
            <w:r w:rsidRPr="00C75C7E">
              <w:rPr>
                <w:b/>
                <w:bCs/>
                <w:sz w:val="18"/>
                <w:szCs w:val="18"/>
                <w:lang w:val="es-ES_tradnl"/>
              </w:rPr>
              <w:t>Resultados previstos</w:t>
            </w:r>
          </w:p>
        </w:tc>
        <w:tc>
          <w:tcPr>
            <w:tcW w:w="1462" w:type="pct"/>
            <w:tcBorders>
              <w:top w:val="single" w:sz="4" w:space="0" w:color="auto"/>
              <w:bottom w:val="single" w:sz="4" w:space="0" w:color="auto"/>
            </w:tcBorders>
            <w:shd w:val="clear" w:color="auto" w:fill="CCFFFF"/>
            <w:tcMar>
              <w:top w:w="110" w:type="dxa"/>
            </w:tcMar>
            <w:vAlign w:val="center"/>
          </w:tcPr>
          <w:p w:rsidR="00B16400" w:rsidRPr="00C75C7E" w:rsidRDefault="00B16400" w:rsidP="004341A3">
            <w:pPr>
              <w:widowControl w:val="0"/>
              <w:spacing w:after="120"/>
              <w:jc w:val="center"/>
              <w:rPr>
                <w:b/>
                <w:sz w:val="18"/>
                <w:szCs w:val="18"/>
                <w:lang w:val="es-ES_tradnl"/>
              </w:rPr>
            </w:pPr>
            <w:r w:rsidRPr="00C75C7E">
              <w:rPr>
                <w:b/>
                <w:sz w:val="18"/>
                <w:szCs w:val="18"/>
                <w:lang w:val="es-ES_tradnl"/>
              </w:rPr>
              <w:t>Indicadores de rendimiento</w:t>
            </w:r>
          </w:p>
        </w:tc>
        <w:tc>
          <w:tcPr>
            <w:tcW w:w="1145" w:type="pct"/>
            <w:tcBorders>
              <w:top w:val="single" w:sz="4" w:space="0" w:color="auto"/>
              <w:bottom w:val="single" w:sz="4" w:space="0" w:color="auto"/>
            </w:tcBorders>
            <w:shd w:val="clear" w:color="auto" w:fill="CCFFFF"/>
            <w:tcMar>
              <w:top w:w="110" w:type="dxa"/>
            </w:tcMar>
            <w:vAlign w:val="center"/>
          </w:tcPr>
          <w:p w:rsidR="00B16400" w:rsidRPr="00C75C7E" w:rsidRDefault="00B16400" w:rsidP="004341A3">
            <w:pPr>
              <w:widowControl w:val="0"/>
              <w:spacing w:after="120"/>
              <w:ind w:left="85"/>
              <w:jc w:val="center"/>
              <w:rPr>
                <w:sz w:val="18"/>
                <w:szCs w:val="18"/>
                <w:lang w:val="es-ES_tradnl"/>
              </w:rPr>
            </w:pPr>
            <w:r w:rsidRPr="00C75C7E">
              <w:rPr>
                <w:b/>
                <w:bCs/>
                <w:sz w:val="18"/>
                <w:szCs w:val="18"/>
                <w:lang w:val="es-ES_tradnl"/>
              </w:rPr>
              <w:t>Referencia</w:t>
            </w:r>
          </w:p>
        </w:tc>
        <w:tc>
          <w:tcPr>
            <w:tcW w:w="1143" w:type="pct"/>
            <w:tcBorders>
              <w:top w:val="single" w:sz="4" w:space="0" w:color="auto"/>
              <w:bottom w:val="single" w:sz="4" w:space="0" w:color="auto"/>
            </w:tcBorders>
            <w:shd w:val="clear" w:color="auto" w:fill="CCFFFF"/>
            <w:tcMar>
              <w:top w:w="110" w:type="dxa"/>
            </w:tcMar>
            <w:vAlign w:val="center"/>
          </w:tcPr>
          <w:p w:rsidR="00B16400" w:rsidRPr="00C75C7E" w:rsidRDefault="00B16400" w:rsidP="004341A3">
            <w:pPr>
              <w:widowControl w:val="0"/>
              <w:tabs>
                <w:tab w:val="left" w:pos="1757"/>
              </w:tabs>
              <w:spacing w:after="120"/>
              <w:ind w:right="1"/>
              <w:jc w:val="center"/>
              <w:rPr>
                <w:b/>
                <w:bCs/>
                <w:sz w:val="18"/>
                <w:szCs w:val="18"/>
                <w:lang w:val="es-ES_tradnl"/>
              </w:rPr>
            </w:pPr>
            <w:r w:rsidRPr="00C75C7E">
              <w:rPr>
                <w:b/>
                <w:bCs/>
                <w:sz w:val="18"/>
                <w:szCs w:val="18"/>
                <w:lang w:val="es-ES_tradnl"/>
              </w:rPr>
              <w:t>Objetivos</w:t>
            </w:r>
          </w:p>
        </w:tc>
      </w:tr>
      <w:tr w:rsidR="00B16400" w:rsidRPr="00C75C7E" w:rsidTr="004341A3">
        <w:trPr>
          <w:cantSplit/>
        </w:trPr>
        <w:tc>
          <w:tcPr>
            <w:tcW w:w="1250" w:type="pct"/>
            <w:tcBorders>
              <w:top w:val="single" w:sz="4" w:space="0" w:color="auto"/>
            </w:tcBorders>
            <w:shd w:val="clear" w:color="auto" w:fill="auto"/>
          </w:tcPr>
          <w:p w:rsidR="00B16400" w:rsidRPr="00C75C7E" w:rsidRDefault="00B16400" w:rsidP="004341A3">
            <w:pPr>
              <w:widowControl w:val="0"/>
              <w:rPr>
                <w:sz w:val="16"/>
                <w:szCs w:val="16"/>
                <w:lang w:val="es-ES_tradnl"/>
              </w:rPr>
            </w:pPr>
            <w:r w:rsidRPr="00C75C7E">
              <w:rPr>
                <w:sz w:val="16"/>
                <w:szCs w:val="16"/>
                <w:lang w:val="es-ES_tradnl"/>
              </w:rPr>
              <w:t>III.3  Incorporación de las recomendaciones de la Agenda para el Desarrollo en la labor de la OMPI.</w:t>
            </w:r>
          </w:p>
        </w:tc>
        <w:tc>
          <w:tcPr>
            <w:tcW w:w="1462" w:type="pct"/>
            <w:tcBorders>
              <w:top w:val="single" w:sz="4" w:space="0" w:color="auto"/>
            </w:tcBorders>
            <w:shd w:val="clear" w:color="auto" w:fill="auto"/>
            <w:tcMar>
              <w:top w:w="110" w:type="dxa"/>
            </w:tcMar>
          </w:tcPr>
          <w:p w:rsidR="00B16400" w:rsidRPr="00C75C7E" w:rsidRDefault="00B16400" w:rsidP="00AC5C4F">
            <w:pPr>
              <w:widowControl w:val="0"/>
              <w:rPr>
                <w:sz w:val="16"/>
                <w:szCs w:val="16"/>
                <w:lang w:val="es-ES_tradnl"/>
              </w:rPr>
            </w:pPr>
            <w:r w:rsidRPr="00C75C7E">
              <w:rPr>
                <w:sz w:val="16"/>
                <w:szCs w:val="16"/>
                <w:lang w:val="es-ES_tradnl"/>
              </w:rPr>
              <w:t>Número de recomendaciones de la A</w:t>
            </w:r>
            <w:r w:rsidR="00AC5C4F">
              <w:rPr>
                <w:sz w:val="16"/>
                <w:szCs w:val="16"/>
                <w:lang w:val="es-ES_tradnl"/>
              </w:rPr>
              <w:t>.</w:t>
            </w:r>
            <w:r w:rsidRPr="00C75C7E">
              <w:rPr>
                <w:sz w:val="16"/>
                <w:szCs w:val="16"/>
                <w:lang w:val="es-ES_tradnl"/>
              </w:rPr>
              <w:t>D</w:t>
            </w:r>
            <w:r w:rsidR="00AC5C4F">
              <w:rPr>
                <w:sz w:val="16"/>
                <w:szCs w:val="16"/>
                <w:lang w:val="es-ES_tradnl"/>
              </w:rPr>
              <w:t>.</w:t>
            </w:r>
            <w:r w:rsidRPr="00C75C7E">
              <w:rPr>
                <w:sz w:val="16"/>
                <w:szCs w:val="16"/>
                <w:lang w:val="es-ES_tradnl"/>
              </w:rPr>
              <w:t xml:space="preserve"> de las que se ha ocupado el CDIP mediante proyectos, actividades y estudios.</w:t>
            </w:r>
          </w:p>
        </w:tc>
        <w:tc>
          <w:tcPr>
            <w:tcW w:w="1145" w:type="pct"/>
            <w:tcBorders>
              <w:top w:val="single" w:sz="4" w:space="0" w:color="auto"/>
            </w:tcBorders>
            <w:shd w:val="clear" w:color="auto" w:fill="FFFFFF"/>
            <w:tcMar>
              <w:top w:w="110" w:type="dxa"/>
            </w:tcMar>
          </w:tcPr>
          <w:p w:rsidR="00B16400" w:rsidRPr="00C75C7E" w:rsidRDefault="00B16400" w:rsidP="004341A3">
            <w:pPr>
              <w:widowControl w:val="0"/>
              <w:rPr>
                <w:sz w:val="16"/>
                <w:szCs w:val="16"/>
                <w:lang w:val="es-ES_tradnl" w:bidi="th-TH"/>
              </w:rPr>
            </w:pPr>
            <w:r w:rsidRPr="00C75C7E">
              <w:rPr>
                <w:sz w:val="16"/>
                <w:szCs w:val="16"/>
                <w:lang w:val="es-ES_tradnl" w:bidi="th-TH"/>
              </w:rPr>
              <w:t>El Comité se ha ocupado de 42 recomendaciones en diciembre de 2011.</w:t>
            </w:r>
          </w:p>
          <w:p w:rsidR="00B16400" w:rsidRPr="00C75C7E" w:rsidRDefault="00B16400" w:rsidP="004341A3">
            <w:pPr>
              <w:widowControl w:val="0"/>
              <w:rPr>
                <w:sz w:val="16"/>
                <w:szCs w:val="16"/>
                <w:lang w:val="es-ES_tradnl"/>
              </w:rPr>
            </w:pPr>
          </w:p>
        </w:tc>
        <w:tc>
          <w:tcPr>
            <w:tcW w:w="1143" w:type="pct"/>
            <w:tcBorders>
              <w:top w:val="single" w:sz="4" w:space="0" w:color="auto"/>
            </w:tcBorders>
            <w:shd w:val="clear" w:color="auto" w:fill="auto"/>
            <w:tcMar>
              <w:top w:w="110" w:type="dxa"/>
            </w:tcMar>
          </w:tcPr>
          <w:p w:rsidR="00B16400" w:rsidRPr="00C75C7E" w:rsidRDefault="00B16400" w:rsidP="004341A3">
            <w:pPr>
              <w:widowControl w:val="0"/>
              <w:tabs>
                <w:tab w:val="left" w:pos="1870"/>
              </w:tabs>
              <w:ind w:right="113"/>
              <w:rPr>
                <w:bCs/>
                <w:sz w:val="16"/>
                <w:szCs w:val="16"/>
                <w:lang w:val="es-ES_tradnl"/>
              </w:rPr>
            </w:pPr>
            <w:r w:rsidRPr="00C75C7E">
              <w:rPr>
                <w:bCs/>
                <w:sz w:val="16"/>
                <w:szCs w:val="16"/>
                <w:lang w:val="es-ES_tradnl"/>
              </w:rPr>
              <w:t>El CDIP se ocupará de 45 recomendaciones.</w:t>
            </w:r>
          </w:p>
        </w:tc>
      </w:tr>
      <w:tr w:rsidR="00B16400" w:rsidRPr="00C75C7E" w:rsidTr="004341A3">
        <w:trPr>
          <w:cantSplit/>
        </w:trPr>
        <w:tc>
          <w:tcPr>
            <w:tcW w:w="1250" w:type="pct"/>
            <w:shd w:val="clear" w:color="auto" w:fill="auto"/>
          </w:tcPr>
          <w:p w:rsidR="00B16400" w:rsidRPr="00C75C7E" w:rsidRDefault="00B16400" w:rsidP="004341A3">
            <w:pPr>
              <w:widowControl w:val="0"/>
              <w:rPr>
                <w:sz w:val="16"/>
                <w:szCs w:val="16"/>
                <w:lang w:val="es-ES_tradnl"/>
              </w:rPr>
            </w:pPr>
          </w:p>
        </w:tc>
        <w:tc>
          <w:tcPr>
            <w:tcW w:w="1462" w:type="pct"/>
            <w:shd w:val="clear" w:color="auto" w:fill="auto"/>
            <w:tcMar>
              <w:top w:w="110" w:type="dxa"/>
            </w:tcMar>
          </w:tcPr>
          <w:p w:rsidR="00B16400" w:rsidRPr="00C75C7E" w:rsidRDefault="00B16400" w:rsidP="004341A3">
            <w:pPr>
              <w:widowControl w:val="0"/>
              <w:rPr>
                <w:sz w:val="16"/>
                <w:szCs w:val="16"/>
                <w:lang w:val="es-ES_tradnl"/>
              </w:rPr>
            </w:pPr>
            <w:r w:rsidRPr="00C75C7E">
              <w:rPr>
                <w:sz w:val="16"/>
                <w:szCs w:val="16"/>
                <w:lang w:val="es-ES_tradnl"/>
              </w:rPr>
              <w:t>Aplicación del mecanismo de coordinación aprobado por los Estados miembros.</w:t>
            </w:r>
          </w:p>
        </w:tc>
        <w:tc>
          <w:tcPr>
            <w:tcW w:w="1145" w:type="pct"/>
            <w:shd w:val="clear" w:color="auto" w:fill="FFFFFF"/>
            <w:tcMar>
              <w:top w:w="110" w:type="dxa"/>
            </w:tcMar>
          </w:tcPr>
          <w:p w:rsidR="00B16400" w:rsidRPr="00C75C7E" w:rsidRDefault="00B16400" w:rsidP="004341A3">
            <w:pPr>
              <w:widowControl w:val="0"/>
              <w:rPr>
                <w:sz w:val="16"/>
                <w:szCs w:val="16"/>
                <w:lang w:val="es-ES_tradnl" w:bidi="th-TH"/>
              </w:rPr>
            </w:pPr>
            <w:r w:rsidRPr="00C75C7E">
              <w:rPr>
                <w:sz w:val="16"/>
                <w:szCs w:val="16"/>
                <w:lang w:val="es-ES_tradnl" w:bidi="th-TH"/>
              </w:rPr>
              <w:t>Mecanismos de coordina</w:t>
            </w:r>
            <w:r w:rsidR="00AC5C4F">
              <w:rPr>
                <w:sz w:val="16"/>
                <w:szCs w:val="16"/>
                <w:lang w:val="es-ES_tradnl" w:bidi="th-TH"/>
              </w:rPr>
              <w:t>-</w:t>
            </w:r>
            <w:r w:rsidRPr="00C75C7E">
              <w:rPr>
                <w:sz w:val="16"/>
                <w:szCs w:val="16"/>
                <w:lang w:val="es-ES_tradnl" w:bidi="th-TH"/>
              </w:rPr>
              <w:t>ción y modalidades de supervisión, evaluación y presentación de informes aprobados por el Comité en abril de 2010.</w:t>
            </w:r>
          </w:p>
          <w:p w:rsidR="00B16400" w:rsidRPr="00C75C7E" w:rsidRDefault="00B16400" w:rsidP="004341A3">
            <w:pPr>
              <w:widowControl w:val="0"/>
              <w:rPr>
                <w:sz w:val="16"/>
                <w:szCs w:val="16"/>
                <w:lang w:val="es-ES_tradnl"/>
              </w:rPr>
            </w:pPr>
          </w:p>
        </w:tc>
        <w:tc>
          <w:tcPr>
            <w:tcW w:w="1143" w:type="pct"/>
            <w:shd w:val="clear" w:color="auto" w:fill="auto"/>
            <w:tcMar>
              <w:top w:w="110" w:type="dxa"/>
            </w:tcMar>
          </w:tcPr>
          <w:p w:rsidR="00B16400" w:rsidRPr="00C75C7E" w:rsidRDefault="00B16400" w:rsidP="004341A3">
            <w:pPr>
              <w:widowControl w:val="0"/>
              <w:tabs>
                <w:tab w:val="left" w:pos="2051"/>
              </w:tabs>
              <w:ind w:right="381"/>
              <w:rPr>
                <w:bCs/>
                <w:sz w:val="16"/>
                <w:szCs w:val="16"/>
                <w:lang w:val="es-ES_tradnl"/>
              </w:rPr>
            </w:pPr>
            <w:r w:rsidRPr="00C75C7E">
              <w:rPr>
                <w:bCs/>
                <w:sz w:val="16"/>
                <w:szCs w:val="16"/>
                <w:lang w:val="es-ES_tradnl"/>
              </w:rPr>
              <w:t>Mecanismos de coordinación aplicados conforme a la decisión de los Estados miembros.</w:t>
            </w:r>
          </w:p>
        </w:tc>
      </w:tr>
      <w:tr w:rsidR="00987FC7" w:rsidRPr="00C75C7E" w:rsidTr="004341A3">
        <w:trPr>
          <w:cantSplit/>
        </w:trPr>
        <w:tc>
          <w:tcPr>
            <w:tcW w:w="1250" w:type="pct"/>
            <w:shd w:val="clear" w:color="auto" w:fill="auto"/>
          </w:tcPr>
          <w:p w:rsidR="00987FC7" w:rsidRPr="00C75C7E" w:rsidRDefault="00987FC7" w:rsidP="004341A3">
            <w:pPr>
              <w:widowControl w:val="0"/>
              <w:rPr>
                <w:sz w:val="16"/>
                <w:szCs w:val="16"/>
                <w:lang w:val="es-ES_tradnl"/>
              </w:rPr>
            </w:pPr>
          </w:p>
        </w:tc>
        <w:tc>
          <w:tcPr>
            <w:tcW w:w="1462" w:type="pct"/>
            <w:shd w:val="clear" w:color="auto" w:fill="auto"/>
            <w:tcMar>
              <w:top w:w="110" w:type="dxa"/>
            </w:tcMar>
          </w:tcPr>
          <w:p w:rsidR="00987FC7" w:rsidRPr="00C75C7E" w:rsidRDefault="00987FC7" w:rsidP="004341A3">
            <w:pPr>
              <w:widowControl w:val="0"/>
              <w:rPr>
                <w:sz w:val="16"/>
                <w:szCs w:val="16"/>
                <w:lang w:val="es-ES_tradnl"/>
              </w:rPr>
            </w:pPr>
            <w:r>
              <w:rPr>
                <w:sz w:val="16"/>
                <w:szCs w:val="16"/>
                <w:lang w:val="es-ES_tradnl"/>
              </w:rPr>
              <w:t>Número de programas que reflejan que las recomendaciones de la A.D. han sido incorporadas en la labor corriente de la OMPI.</w:t>
            </w:r>
          </w:p>
        </w:tc>
        <w:tc>
          <w:tcPr>
            <w:tcW w:w="1145" w:type="pct"/>
            <w:shd w:val="clear" w:color="auto" w:fill="FFFFFF"/>
            <w:tcMar>
              <w:top w:w="110" w:type="dxa"/>
            </w:tcMar>
          </w:tcPr>
          <w:p w:rsidR="00987FC7" w:rsidRPr="00C75C7E" w:rsidRDefault="00987FC7" w:rsidP="004341A3">
            <w:pPr>
              <w:widowControl w:val="0"/>
              <w:rPr>
                <w:sz w:val="16"/>
                <w:szCs w:val="16"/>
                <w:lang w:val="es-ES_tradnl" w:bidi="th-TH"/>
              </w:rPr>
            </w:pPr>
            <w:r>
              <w:rPr>
                <w:sz w:val="16"/>
                <w:szCs w:val="16"/>
                <w:lang w:val="es-ES_tradnl" w:bidi="th-TH"/>
              </w:rPr>
              <w:t>Por determinar</w:t>
            </w:r>
          </w:p>
        </w:tc>
        <w:tc>
          <w:tcPr>
            <w:tcW w:w="1143" w:type="pct"/>
            <w:shd w:val="clear" w:color="auto" w:fill="auto"/>
            <w:tcMar>
              <w:top w:w="110" w:type="dxa"/>
            </w:tcMar>
          </w:tcPr>
          <w:p w:rsidR="00987FC7" w:rsidRPr="00C75C7E" w:rsidRDefault="00987FC7" w:rsidP="004341A3">
            <w:pPr>
              <w:widowControl w:val="0"/>
              <w:tabs>
                <w:tab w:val="left" w:pos="2051"/>
              </w:tabs>
              <w:ind w:right="381"/>
              <w:rPr>
                <w:bCs/>
                <w:sz w:val="16"/>
                <w:szCs w:val="16"/>
                <w:lang w:val="es-ES_tradnl"/>
              </w:rPr>
            </w:pPr>
            <w:r>
              <w:rPr>
                <w:bCs/>
                <w:sz w:val="16"/>
                <w:szCs w:val="16"/>
                <w:lang w:val="es-ES_tradnl"/>
              </w:rPr>
              <w:t>20</w:t>
            </w:r>
          </w:p>
        </w:tc>
      </w:tr>
      <w:tr w:rsidR="00987FC7" w:rsidRPr="00C75C7E" w:rsidTr="004341A3">
        <w:trPr>
          <w:cantSplit/>
        </w:trPr>
        <w:tc>
          <w:tcPr>
            <w:tcW w:w="1250" w:type="pct"/>
            <w:shd w:val="clear" w:color="auto" w:fill="auto"/>
          </w:tcPr>
          <w:p w:rsidR="00987FC7" w:rsidRPr="00C75C7E" w:rsidRDefault="00987FC7" w:rsidP="004341A3">
            <w:pPr>
              <w:widowControl w:val="0"/>
              <w:rPr>
                <w:sz w:val="16"/>
                <w:szCs w:val="16"/>
                <w:lang w:val="es-ES_tradnl"/>
              </w:rPr>
            </w:pPr>
          </w:p>
        </w:tc>
        <w:tc>
          <w:tcPr>
            <w:tcW w:w="1462" w:type="pct"/>
            <w:shd w:val="clear" w:color="auto" w:fill="auto"/>
            <w:tcMar>
              <w:top w:w="110" w:type="dxa"/>
            </w:tcMar>
          </w:tcPr>
          <w:p w:rsidR="00987FC7" w:rsidRPr="00C75C7E" w:rsidRDefault="00987FC7" w:rsidP="004341A3">
            <w:pPr>
              <w:widowControl w:val="0"/>
              <w:rPr>
                <w:sz w:val="16"/>
                <w:szCs w:val="16"/>
                <w:lang w:val="es-ES_tradnl"/>
              </w:rPr>
            </w:pPr>
            <w:r>
              <w:rPr>
                <w:sz w:val="16"/>
                <w:szCs w:val="16"/>
                <w:lang w:val="es-ES_tradnl"/>
              </w:rPr>
              <w:t>Número de proyectos de la A.D. que han sido incorporados en la labor corriente de la OMPI (fijación de normas, asistencia técnica y prestación de servicios).</w:t>
            </w:r>
          </w:p>
        </w:tc>
        <w:tc>
          <w:tcPr>
            <w:tcW w:w="1145" w:type="pct"/>
            <w:shd w:val="clear" w:color="auto" w:fill="FFFFFF"/>
            <w:tcMar>
              <w:top w:w="110" w:type="dxa"/>
            </w:tcMar>
          </w:tcPr>
          <w:p w:rsidR="00987FC7" w:rsidRPr="00C75C7E" w:rsidRDefault="00987FC7" w:rsidP="004341A3">
            <w:pPr>
              <w:widowControl w:val="0"/>
              <w:rPr>
                <w:sz w:val="16"/>
                <w:szCs w:val="16"/>
                <w:lang w:val="es-ES_tradnl" w:bidi="th-TH"/>
              </w:rPr>
            </w:pPr>
            <w:r>
              <w:rPr>
                <w:sz w:val="16"/>
                <w:szCs w:val="16"/>
                <w:lang w:val="es-ES_tradnl" w:bidi="th-TH"/>
              </w:rPr>
              <w:t>Por determinar</w:t>
            </w:r>
          </w:p>
        </w:tc>
        <w:tc>
          <w:tcPr>
            <w:tcW w:w="1143" w:type="pct"/>
            <w:shd w:val="clear" w:color="auto" w:fill="auto"/>
            <w:tcMar>
              <w:top w:w="110" w:type="dxa"/>
            </w:tcMar>
          </w:tcPr>
          <w:p w:rsidR="00987FC7" w:rsidRPr="00C75C7E" w:rsidRDefault="00987FC7" w:rsidP="004341A3">
            <w:pPr>
              <w:widowControl w:val="0"/>
              <w:tabs>
                <w:tab w:val="left" w:pos="2051"/>
              </w:tabs>
              <w:ind w:right="381"/>
              <w:rPr>
                <w:bCs/>
                <w:sz w:val="16"/>
                <w:szCs w:val="16"/>
                <w:lang w:val="es-ES_tradnl"/>
              </w:rPr>
            </w:pPr>
            <w:r>
              <w:rPr>
                <w:bCs/>
                <w:sz w:val="16"/>
                <w:szCs w:val="16"/>
                <w:lang w:val="es-ES_tradnl"/>
              </w:rPr>
              <w:t>12</w:t>
            </w:r>
          </w:p>
        </w:tc>
      </w:tr>
      <w:tr w:rsidR="00987FC7" w:rsidRPr="00C75C7E" w:rsidTr="004341A3">
        <w:trPr>
          <w:cantSplit/>
        </w:trPr>
        <w:tc>
          <w:tcPr>
            <w:tcW w:w="1250" w:type="pct"/>
            <w:shd w:val="clear" w:color="auto" w:fill="auto"/>
          </w:tcPr>
          <w:p w:rsidR="00987FC7" w:rsidRPr="00C75C7E" w:rsidRDefault="00987FC7" w:rsidP="004341A3">
            <w:pPr>
              <w:widowControl w:val="0"/>
              <w:rPr>
                <w:sz w:val="16"/>
                <w:szCs w:val="16"/>
                <w:lang w:val="es-ES_tradnl"/>
              </w:rPr>
            </w:pPr>
          </w:p>
        </w:tc>
        <w:tc>
          <w:tcPr>
            <w:tcW w:w="1462" w:type="pct"/>
            <w:shd w:val="clear" w:color="auto" w:fill="auto"/>
            <w:tcMar>
              <w:top w:w="110" w:type="dxa"/>
            </w:tcMar>
          </w:tcPr>
          <w:p w:rsidR="00987FC7" w:rsidRPr="00C75C7E" w:rsidRDefault="00987FC7" w:rsidP="004341A3">
            <w:pPr>
              <w:widowControl w:val="0"/>
              <w:rPr>
                <w:sz w:val="16"/>
                <w:szCs w:val="16"/>
                <w:lang w:val="es-ES_tradnl"/>
              </w:rPr>
            </w:pPr>
            <w:r>
              <w:rPr>
                <w:sz w:val="16"/>
                <w:szCs w:val="16"/>
                <w:lang w:val="es-ES_tradnl"/>
              </w:rPr>
              <w:t>Sistema eficaz instalado para la planificación, el seguimiento y la evaluación de la aplicación de las recomendaciones de la A.D.</w:t>
            </w:r>
          </w:p>
        </w:tc>
        <w:tc>
          <w:tcPr>
            <w:tcW w:w="1145" w:type="pct"/>
            <w:shd w:val="clear" w:color="auto" w:fill="FFFFFF"/>
            <w:tcMar>
              <w:top w:w="110" w:type="dxa"/>
            </w:tcMar>
          </w:tcPr>
          <w:p w:rsidR="00987FC7" w:rsidRPr="00C75C7E" w:rsidRDefault="00987FC7" w:rsidP="004341A3">
            <w:pPr>
              <w:widowControl w:val="0"/>
              <w:rPr>
                <w:sz w:val="16"/>
                <w:szCs w:val="16"/>
                <w:lang w:val="es-ES_tradnl" w:bidi="th-TH"/>
              </w:rPr>
            </w:pPr>
            <w:r>
              <w:rPr>
                <w:sz w:val="16"/>
                <w:szCs w:val="16"/>
                <w:lang w:val="es-ES_tradnl" w:bidi="th-TH"/>
              </w:rPr>
              <w:t>Por determinar</w:t>
            </w:r>
          </w:p>
        </w:tc>
        <w:tc>
          <w:tcPr>
            <w:tcW w:w="1143" w:type="pct"/>
            <w:shd w:val="clear" w:color="auto" w:fill="auto"/>
            <w:tcMar>
              <w:top w:w="110" w:type="dxa"/>
            </w:tcMar>
          </w:tcPr>
          <w:p w:rsidR="00987FC7" w:rsidRPr="00C75C7E" w:rsidRDefault="00987FC7" w:rsidP="004341A3">
            <w:pPr>
              <w:widowControl w:val="0"/>
              <w:tabs>
                <w:tab w:val="left" w:pos="2051"/>
              </w:tabs>
              <w:ind w:right="381"/>
              <w:rPr>
                <w:bCs/>
                <w:sz w:val="16"/>
                <w:szCs w:val="16"/>
                <w:lang w:val="es-ES_tradnl"/>
              </w:rPr>
            </w:pPr>
            <w:r>
              <w:rPr>
                <w:bCs/>
                <w:sz w:val="16"/>
                <w:szCs w:val="16"/>
                <w:lang w:val="es-ES_tradnl"/>
              </w:rPr>
              <w:t>Todos los programas disponen de un sistema eficaz de planificación, segui</w:t>
            </w:r>
            <w:r w:rsidR="00AC5C4F">
              <w:rPr>
                <w:bCs/>
                <w:sz w:val="16"/>
                <w:szCs w:val="16"/>
                <w:lang w:val="es-ES_tradnl"/>
              </w:rPr>
              <w:t>-</w:t>
            </w:r>
            <w:r>
              <w:rPr>
                <w:bCs/>
                <w:sz w:val="16"/>
                <w:szCs w:val="16"/>
                <w:lang w:val="es-ES_tradnl"/>
              </w:rPr>
              <w:t>miento y evaluación de la aplicación de las recomendaciones de la A.D.</w:t>
            </w:r>
          </w:p>
        </w:tc>
      </w:tr>
      <w:tr w:rsidR="00987FC7" w:rsidRPr="00C75C7E" w:rsidTr="004341A3">
        <w:trPr>
          <w:cantSplit/>
        </w:trPr>
        <w:tc>
          <w:tcPr>
            <w:tcW w:w="1250" w:type="pct"/>
            <w:shd w:val="clear" w:color="auto" w:fill="auto"/>
          </w:tcPr>
          <w:p w:rsidR="00987FC7" w:rsidRPr="00C75C7E" w:rsidRDefault="00987FC7" w:rsidP="004341A3">
            <w:pPr>
              <w:widowControl w:val="0"/>
              <w:rPr>
                <w:sz w:val="16"/>
                <w:szCs w:val="16"/>
                <w:lang w:val="es-ES_tradnl"/>
              </w:rPr>
            </w:pPr>
            <w:r>
              <w:rPr>
                <w:sz w:val="16"/>
                <w:szCs w:val="16"/>
                <w:lang w:val="es-ES_tradnl"/>
              </w:rPr>
              <w:t xml:space="preserve">III.5  </w:t>
            </w:r>
            <w:r w:rsidRPr="00DB4C60">
              <w:rPr>
                <w:sz w:val="16"/>
                <w:szCs w:val="16"/>
                <w:lang w:val="es-ES_tradnl"/>
              </w:rPr>
              <w:t>Mejor comprensión de la Agenda para el Desarrollo por los Estados miembros, las OIG, la sociedad civil y demás partes interesadas</w:t>
            </w:r>
          </w:p>
        </w:tc>
        <w:tc>
          <w:tcPr>
            <w:tcW w:w="1462" w:type="pct"/>
            <w:shd w:val="clear" w:color="auto" w:fill="auto"/>
            <w:tcMar>
              <w:top w:w="110" w:type="dxa"/>
            </w:tcMar>
          </w:tcPr>
          <w:p w:rsidR="00987FC7" w:rsidRPr="00C75C7E" w:rsidRDefault="00987FC7" w:rsidP="004341A3">
            <w:pPr>
              <w:widowControl w:val="0"/>
              <w:rPr>
                <w:sz w:val="16"/>
                <w:szCs w:val="16"/>
                <w:lang w:val="es-ES_tradnl"/>
              </w:rPr>
            </w:pPr>
            <w:r>
              <w:rPr>
                <w:sz w:val="16"/>
                <w:szCs w:val="16"/>
                <w:lang w:val="es-ES_tradnl"/>
              </w:rPr>
              <w:t>Número de países que piden asistencia técnica por conducto de proyectos de la A.D. y que manifiestan interés en actividades relacionadas con la A.D.</w:t>
            </w:r>
          </w:p>
        </w:tc>
        <w:tc>
          <w:tcPr>
            <w:tcW w:w="1145" w:type="pct"/>
            <w:shd w:val="clear" w:color="auto" w:fill="FFFFFF"/>
            <w:tcMar>
              <w:top w:w="110" w:type="dxa"/>
            </w:tcMar>
          </w:tcPr>
          <w:p w:rsidR="00987FC7" w:rsidRPr="00C75C7E" w:rsidRDefault="00987FC7" w:rsidP="004341A3">
            <w:pPr>
              <w:widowControl w:val="0"/>
              <w:rPr>
                <w:sz w:val="16"/>
                <w:szCs w:val="16"/>
                <w:lang w:val="es-ES_tradnl" w:bidi="th-TH"/>
              </w:rPr>
            </w:pPr>
            <w:r>
              <w:rPr>
                <w:sz w:val="16"/>
                <w:szCs w:val="16"/>
                <w:lang w:val="es-ES_tradnl" w:bidi="th-TH"/>
              </w:rPr>
              <w:t>Proyectos y actividades relacionadas con la A.D. en 43 países (abril de 2013)</w:t>
            </w:r>
          </w:p>
        </w:tc>
        <w:tc>
          <w:tcPr>
            <w:tcW w:w="1143" w:type="pct"/>
            <w:shd w:val="clear" w:color="auto" w:fill="auto"/>
            <w:tcMar>
              <w:top w:w="110" w:type="dxa"/>
            </w:tcMar>
          </w:tcPr>
          <w:p w:rsidR="00987FC7" w:rsidRPr="00C75C7E" w:rsidRDefault="00987FC7" w:rsidP="00987FC7">
            <w:pPr>
              <w:widowControl w:val="0"/>
              <w:tabs>
                <w:tab w:val="left" w:pos="2051"/>
              </w:tabs>
              <w:ind w:right="381"/>
              <w:rPr>
                <w:bCs/>
                <w:sz w:val="16"/>
                <w:szCs w:val="16"/>
                <w:lang w:val="es-ES_tradnl"/>
              </w:rPr>
            </w:pPr>
            <w:r>
              <w:rPr>
                <w:sz w:val="16"/>
                <w:szCs w:val="16"/>
                <w:lang w:val="es-ES_tradnl" w:bidi="th-TH"/>
              </w:rPr>
              <w:t>Proyectos y actividades relacionadas con la A.D. en 50 países</w:t>
            </w:r>
          </w:p>
        </w:tc>
      </w:tr>
      <w:tr w:rsidR="00987FC7" w:rsidRPr="00C75C7E" w:rsidTr="004341A3">
        <w:trPr>
          <w:cantSplit/>
        </w:trPr>
        <w:tc>
          <w:tcPr>
            <w:tcW w:w="1250" w:type="pct"/>
            <w:shd w:val="clear" w:color="auto" w:fill="auto"/>
          </w:tcPr>
          <w:p w:rsidR="00987FC7" w:rsidRPr="00C75C7E" w:rsidRDefault="00987FC7" w:rsidP="004341A3">
            <w:pPr>
              <w:widowControl w:val="0"/>
              <w:rPr>
                <w:sz w:val="16"/>
                <w:szCs w:val="16"/>
                <w:lang w:val="es-ES_tradnl"/>
              </w:rPr>
            </w:pPr>
          </w:p>
        </w:tc>
        <w:tc>
          <w:tcPr>
            <w:tcW w:w="1462" w:type="pct"/>
            <w:shd w:val="clear" w:color="auto" w:fill="auto"/>
            <w:tcMar>
              <w:top w:w="110" w:type="dxa"/>
            </w:tcMar>
          </w:tcPr>
          <w:p w:rsidR="00987FC7" w:rsidRPr="00C75C7E" w:rsidRDefault="00987FC7" w:rsidP="004341A3">
            <w:pPr>
              <w:widowControl w:val="0"/>
              <w:rPr>
                <w:sz w:val="16"/>
                <w:szCs w:val="16"/>
                <w:lang w:val="es-ES_tradnl"/>
              </w:rPr>
            </w:pPr>
            <w:r>
              <w:rPr>
                <w:sz w:val="16"/>
                <w:szCs w:val="16"/>
                <w:lang w:val="es-ES_tradnl"/>
              </w:rPr>
              <w:t>Porcentaje de participantes en reuniones de la OMPI (Estados miembros, OIG, sociedad civil y demás partes interesadas) satisfechos con la información recibida sobre las recomendaciones de la A.D.</w:t>
            </w:r>
            <w:r>
              <w:rPr>
                <w:sz w:val="16"/>
                <w:szCs w:val="16"/>
                <w:lang w:val="es-ES_tradnl"/>
              </w:rPr>
              <w:br/>
            </w:r>
          </w:p>
        </w:tc>
        <w:tc>
          <w:tcPr>
            <w:tcW w:w="1145" w:type="pct"/>
            <w:shd w:val="clear" w:color="auto" w:fill="FFFFFF"/>
            <w:tcMar>
              <w:top w:w="110" w:type="dxa"/>
            </w:tcMar>
          </w:tcPr>
          <w:p w:rsidR="00987FC7" w:rsidRPr="00C75C7E" w:rsidRDefault="00987FC7" w:rsidP="004341A3">
            <w:pPr>
              <w:widowControl w:val="0"/>
              <w:rPr>
                <w:sz w:val="16"/>
                <w:szCs w:val="16"/>
                <w:lang w:val="es-ES_tradnl" w:bidi="th-TH"/>
              </w:rPr>
            </w:pPr>
            <w:r>
              <w:rPr>
                <w:sz w:val="16"/>
                <w:szCs w:val="16"/>
                <w:lang w:val="es-ES_tradnl" w:bidi="th-TH"/>
              </w:rPr>
              <w:t>n.a.</w:t>
            </w:r>
          </w:p>
        </w:tc>
        <w:tc>
          <w:tcPr>
            <w:tcW w:w="1143" w:type="pct"/>
            <w:shd w:val="clear" w:color="auto" w:fill="auto"/>
            <w:tcMar>
              <w:top w:w="110" w:type="dxa"/>
            </w:tcMar>
          </w:tcPr>
          <w:p w:rsidR="00987FC7" w:rsidRPr="00C75C7E" w:rsidRDefault="00987FC7" w:rsidP="004341A3">
            <w:pPr>
              <w:widowControl w:val="0"/>
              <w:tabs>
                <w:tab w:val="left" w:pos="2051"/>
              </w:tabs>
              <w:ind w:right="381"/>
              <w:rPr>
                <w:bCs/>
                <w:sz w:val="16"/>
                <w:szCs w:val="16"/>
                <w:lang w:val="es-ES_tradnl"/>
              </w:rPr>
            </w:pPr>
            <w:r>
              <w:rPr>
                <w:bCs/>
                <w:sz w:val="16"/>
                <w:szCs w:val="16"/>
                <w:lang w:val="es-ES_tradnl"/>
              </w:rPr>
              <w:t>80%</w:t>
            </w:r>
          </w:p>
        </w:tc>
      </w:tr>
    </w:tbl>
    <w:p w:rsidR="00B16400" w:rsidRPr="00C75C7E" w:rsidRDefault="00B16400" w:rsidP="00B16400">
      <w:pPr>
        <w:widowControl w:val="0"/>
        <w:tabs>
          <w:tab w:val="left" w:pos="567"/>
          <w:tab w:val="left" w:pos="1985"/>
        </w:tabs>
        <w:jc w:val="both"/>
        <w:rPr>
          <w:bCs/>
          <w:sz w:val="20"/>
          <w:lang w:val="es-ES_tradnl"/>
        </w:rPr>
      </w:pPr>
    </w:p>
    <w:p w:rsidR="00B16400" w:rsidRDefault="00B16400" w:rsidP="00B16400">
      <w:pPr>
        <w:widowControl w:val="0"/>
        <w:tabs>
          <w:tab w:val="left" w:pos="567"/>
          <w:tab w:val="left" w:pos="1985"/>
        </w:tabs>
        <w:jc w:val="both"/>
        <w:rPr>
          <w:bCs/>
          <w:sz w:val="20"/>
          <w:lang w:val="es-ES_tradnl"/>
        </w:rPr>
      </w:pPr>
    </w:p>
    <w:p w:rsidR="00D73C7C" w:rsidRPr="00D73C7C" w:rsidRDefault="00D73C7C" w:rsidP="00D73C7C">
      <w:pPr>
        <w:widowControl w:val="0"/>
        <w:autoSpaceDE w:val="0"/>
        <w:autoSpaceDN w:val="0"/>
        <w:adjustRightInd w:val="0"/>
        <w:jc w:val="both"/>
        <w:rPr>
          <w:rFonts w:eastAsia="Times New Roman"/>
          <w:szCs w:val="22"/>
          <w:lang w:eastAsia="en-US"/>
        </w:rPr>
      </w:pPr>
      <w:r w:rsidRPr="00D73C7C">
        <w:rPr>
          <w:rFonts w:eastAsia="Times New Roman"/>
          <w:szCs w:val="22"/>
          <w:lang w:eastAsia="en-US"/>
        </w:rPr>
        <w:t>RECURSOS PARA EL PROGRAMA 8</w:t>
      </w:r>
    </w:p>
    <w:p w:rsidR="00D73C7C" w:rsidRPr="00D73C7C" w:rsidRDefault="00D73C7C" w:rsidP="00D73C7C">
      <w:pPr>
        <w:widowControl w:val="0"/>
        <w:autoSpaceDE w:val="0"/>
        <w:autoSpaceDN w:val="0"/>
        <w:adjustRightInd w:val="0"/>
        <w:rPr>
          <w:rFonts w:eastAsia="Times New Roman"/>
          <w:sz w:val="20"/>
          <w:lang w:eastAsia="en-US"/>
        </w:rPr>
      </w:pPr>
    </w:p>
    <w:p w:rsidR="00D73C7C" w:rsidRPr="00D73C7C" w:rsidRDefault="00D73C7C" w:rsidP="00AC5C4F">
      <w:pPr>
        <w:widowControl w:val="0"/>
        <w:numPr>
          <w:ilvl w:val="1"/>
          <w:numId w:val="30"/>
        </w:numPr>
        <w:jc w:val="both"/>
        <w:rPr>
          <w:rFonts w:eastAsia="Times New Roman"/>
          <w:bCs/>
          <w:sz w:val="20"/>
          <w:lang w:eastAsia="en-US"/>
        </w:rPr>
      </w:pPr>
      <w:r w:rsidRPr="00D73C7C">
        <w:rPr>
          <w:rFonts w:eastAsia="Times New Roman"/>
          <w:bCs/>
          <w:sz w:val="20"/>
          <w:lang w:eastAsia="en-US"/>
        </w:rPr>
        <w:t>El aumento en los recursos para el resultado III.3 (Incorporación de las recomendaciones de la Agenda para el Desarrollo) se debe principalmente al efecto neto de lo siguiente:  i) el aumento reglamentario en los costos de personal;  y ii) una disminución en la línea de "Servicios contractuales" debido al menor número de evaluaciones de proyectos de la A.D. previstas para 2014/15 en comparación con 2012/13.</w:t>
      </w:r>
      <w:r w:rsidR="00987FC7">
        <w:rPr>
          <w:rFonts w:eastAsia="Times New Roman"/>
          <w:bCs/>
          <w:sz w:val="20"/>
          <w:lang w:eastAsia="en-US"/>
        </w:rPr>
        <w:t xml:space="preserve">  </w:t>
      </w:r>
      <w:r w:rsidR="00987FC7" w:rsidRPr="00987FC7">
        <w:rPr>
          <w:rFonts w:eastAsia="Times New Roman"/>
          <w:bCs/>
          <w:sz w:val="20"/>
          <w:lang w:eastAsia="en-US"/>
        </w:rPr>
        <w:t>La disminución de los recursos destinados al resultado</w:t>
      </w:r>
      <w:r w:rsidR="00987FC7">
        <w:rPr>
          <w:rFonts w:eastAsia="Times New Roman"/>
          <w:bCs/>
          <w:sz w:val="20"/>
          <w:lang w:eastAsia="en-US"/>
        </w:rPr>
        <w:t xml:space="preserve"> III.5 (</w:t>
      </w:r>
      <w:r w:rsidR="00987FC7" w:rsidRPr="00987FC7">
        <w:rPr>
          <w:rFonts w:eastAsia="Times New Roman"/>
          <w:bCs/>
          <w:sz w:val="20"/>
          <w:lang w:eastAsia="en-US"/>
        </w:rPr>
        <w:t>Mejor comprensión de la Agenda para el Desarrollo por los Estados miembros, las OIG, la sociedad civil y demás partes interesadas</w:t>
      </w:r>
      <w:r w:rsidR="00987FC7">
        <w:rPr>
          <w:rFonts w:eastAsia="Times New Roman"/>
          <w:bCs/>
          <w:sz w:val="20"/>
          <w:lang w:eastAsia="en-US"/>
        </w:rPr>
        <w:t xml:space="preserve">) se debe principalmente a </w:t>
      </w:r>
      <w:r w:rsidR="00AC5C4F" w:rsidRPr="00AC5C4F">
        <w:rPr>
          <w:rFonts w:eastAsia="Times New Roman"/>
          <w:bCs/>
          <w:sz w:val="20"/>
          <w:lang w:eastAsia="en-US"/>
        </w:rPr>
        <w:t>una disminución en la línea de "Conferencias" (está previsto que la Conferencia Internacional sobre P.I. y Desarrollo se celebre en 2012/13, pero no en 2014/15</w:t>
      </w:r>
      <w:r w:rsidR="00AC5C4F">
        <w:rPr>
          <w:rFonts w:eastAsia="Times New Roman"/>
          <w:bCs/>
          <w:sz w:val="20"/>
          <w:lang w:eastAsia="en-US"/>
        </w:rPr>
        <w:t>).</w:t>
      </w:r>
    </w:p>
    <w:p w:rsidR="00D73C7C" w:rsidRPr="00D73C7C" w:rsidRDefault="00D73C7C" w:rsidP="00B16400">
      <w:pPr>
        <w:widowControl w:val="0"/>
        <w:tabs>
          <w:tab w:val="left" w:pos="567"/>
          <w:tab w:val="left" w:pos="1985"/>
        </w:tabs>
        <w:jc w:val="both"/>
        <w:rPr>
          <w:bCs/>
          <w:sz w:val="20"/>
        </w:rPr>
      </w:pPr>
    </w:p>
    <w:p w:rsidR="00B16400" w:rsidRPr="00C75C7E" w:rsidRDefault="00AC5C4F" w:rsidP="008541BE">
      <w:pPr>
        <w:keepNext/>
        <w:widowControl w:val="0"/>
        <w:autoSpaceDE w:val="0"/>
        <w:autoSpaceDN w:val="0"/>
        <w:adjustRightInd w:val="0"/>
        <w:ind w:firstLine="567"/>
        <w:jc w:val="center"/>
        <w:rPr>
          <w:b/>
          <w:bCs/>
          <w:iCs/>
          <w:sz w:val="20"/>
          <w:lang w:val="es-ES_tradnl"/>
        </w:rPr>
      </w:pPr>
      <w:r>
        <w:rPr>
          <w:b/>
          <w:bCs/>
          <w:iCs/>
          <w:sz w:val="20"/>
          <w:lang w:val="es-ES_tradnl"/>
        </w:rPr>
        <w:lastRenderedPageBreak/>
        <w:t xml:space="preserve">Programa 8:  </w:t>
      </w:r>
      <w:r w:rsidR="00B16400" w:rsidRPr="00C75C7E">
        <w:rPr>
          <w:b/>
          <w:bCs/>
          <w:iCs/>
          <w:sz w:val="20"/>
          <w:lang w:val="es-ES_tradnl"/>
        </w:rPr>
        <w:t>Recursos por resultado</w:t>
      </w:r>
    </w:p>
    <w:p w:rsidR="00B16400" w:rsidRPr="00C75C7E" w:rsidRDefault="00B16400" w:rsidP="008541BE">
      <w:pPr>
        <w:keepNext/>
        <w:widowControl w:val="0"/>
        <w:autoSpaceDE w:val="0"/>
        <w:autoSpaceDN w:val="0"/>
        <w:adjustRightInd w:val="0"/>
        <w:ind w:firstLine="567"/>
        <w:jc w:val="center"/>
        <w:rPr>
          <w:sz w:val="20"/>
          <w:lang w:val="es-ES_tradnl"/>
        </w:rPr>
      </w:pPr>
      <w:r w:rsidRPr="00C75C7E">
        <w:rPr>
          <w:bCs/>
          <w:i/>
          <w:sz w:val="20"/>
          <w:lang w:val="es-ES_tradnl"/>
        </w:rPr>
        <w:t>(en miles de francos suizos)</w:t>
      </w:r>
    </w:p>
    <w:p w:rsidR="00B16400" w:rsidRPr="00C75C7E" w:rsidRDefault="00B16400" w:rsidP="008541BE">
      <w:pPr>
        <w:keepNext/>
        <w:widowControl w:val="0"/>
        <w:autoSpaceDE w:val="0"/>
        <w:autoSpaceDN w:val="0"/>
        <w:adjustRightInd w:val="0"/>
        <w:jc w:val="center"/>
        <w:rPr>
          <w:sz w:val="20"/>
          <w:lang w:val="es-ES_tradnl"/>
        </w:rPr>
      </w:pPr>
    </w:p>
    <w:p w:rsidR="00B16400" w:rsidRPr="00C75C7E" w:rsidRDefault="00AC5C4F" w:rsidP="00CA2926">
      <w:pPr>
        <w:widowControl w:val="0"/>
        <w:autoSpaceDE w:val="0"/>
        <w:autoSpaceDN w:val="0"/>
        <w:adjustRightInd w:val="0"/>
        <w:jc w:val="center"/>
        <w:rPr>
          <w:lang w:val="es-ES_tradnl"/>
        </w:rPr>
      </w:pPr>
      <w:r w:rsidRPr="00AC5C4F">
        <w:rPr>
          <w:noProof/>
          <w:lang w:val="en-US" w:eastAsia="en-US"/>
        </w:rPr>
        <w:drawing>
          <wp:inline distT="0" distB="0" distL="0" distR="0" wp14:anchorId="4593129F" wp14:editId="363E3BCC">
            <wp:extent cx="5572125" cy="1457325"/>
            <wp:effectExtent l="0" t="0" r="9525" b="9525"/>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572125" cy="1457325"/>
                    </a:xfrm>
                    <a:prstGeom prst="rect">
                      <a:avLst/>
                    </a:prstGeom>
                    <a:noFill/>
                    <a:ln>
                      <a:noFill/>
                    </a:ln>
                  </pic:spPr>
                </pic:pic>
              </a:graphicData>
            </a:graphic>
          </wp:inline>
        </w:drawing>
      </w:r>
      <w:r w:rsidRPr="00AC5C4F">
        <w:t xml:space="preserve"> </w:t>
      </w:r>
    </w:p>
    <w:p w:rsidR="00B16400" w:rsidRPr="00C75C7E" w:rsidRDefault="00B16400" w:rsidP="00CA2926">
      <w:pPr>
        <w:widowControl w:val="0"/>
        <w:autoSpaceDE w:val="0"/>
        <w:autoSpaceDN w:val="0"/>
        <w:adjustRightInd w:val="0"/>
        <w:jc w:val="center"/>
        <w:rPr>
          <w:lang w:val="es-ES_tradnl"/>
        </w:rPr>
      </w:pPr>
    </w:p>
    <w:p w:rsidR="00B16400" w:rsidRPr="00C75C7E" w:rsidRDefault="00B16400" w:rsidP="00CA2926">
      <w:pPr>
        <w:widowControl w:val="0"/>
        <w:autoSpaceDE w:val="0"/>
        <w:autoSpaceDN w:val="0"/>
        <w:adjustRightInd w:val="0"/>
        <w:rPr>
          <w:bCs/>
          <w:sz w:val="20"/>
          <w:lang w:val="es-ES_tradnl"/>
        </w:rPr>
      </w:pPr>
      <w:r w:rsidRPr="00C75C7E">
        <w:rPr>
          <w:sz w:val="16"/>
          <w:szCs w:val="16"/>
          <w:lang w:val="es-ES_tradnl"/>
        </w:rPr>
        <w:t>Nota: Se ha reexpresado el presupuesto aprobado de 2012/13 y el presupuesto de dicho bienio después de las transferencias, por resultado previsto, para reflejar el marco de resultados de la Organización propuesto para 2014/15.</w:t>
      </w:r>
    </w:p>
    <w:p w:rsidR="00B16400" w:rsidRDefault="00B16400" w:rsidP="00B16400">
      <w:pPr>
        <w:widowControl w:val="0"/>
        <w:jc w:val="both"/>
        <w:rPr>
          <w:sz w:val="20"/>
          <w:lang w:val="es-ES_tradnl"/>
        </w:rPr>
      </w:pPr>
    </w:p>
    <w:p w:rsidR="00AC5C4F" w:rsidRPr="00C75C7E" w:rsidRDefault="00AC5C4F" w:rsidP="00B16400">
      <w:pPr>
        <w:widowControl w:val="0"/>
        <w:jc w:val="both"/>
        <w:rPr>
          <w:sz w:val="20"/>
          <w:lang w:val="es-ES_tradnl"/>
        </w:rPr>
      </w:pPr>
    </w:p>
    <w:p w:rsidR="00B16400" w:rsidRPr="00C75C7E" w:rsidRDefault="00AC5C4F" w:rsidP="00AC5C4F">
      <w:pPr>
        <w:keepNext/>
        <w:keepLines/>
        <w:widowControl w:val="0"/>
        <w:autoSpaceDE w:val="0"/>
        <w:autoSpaceDN w:val="0"/>
        <w:adjustRightInd w:val="0"/>
        <w:jc w:val="center"/>
        <w:rPr>
          <w:b/>
          <w:bCs/>
          <w:iCs/>
          <w:sz w:val="20"/>
          <w:lang w:val="es-ES_tradnl"/>
        </w:rPr>
      </w:pPr>
      <w:r>
        <w:rPr>
          <w:b/>
          <w:bCs/>
          <w:iCs/>
          <w:sz w:val="20"/>
          <w:lang w:val="es-ES_tradnl"/>
        </w:rPr>
        <w:lastRenderedPageBreak/>
        <w:t xml:space="preserve">Programa 8:  </w:t>
      </w:r>
      <w:r w:rsidR="00B16400" w:rsidRPr="00C75C7E">
        <w:rPr>
          <w:b/>
          <w:bCs/>
          <w:iCs/>
          <w:sz w:val="20"/>
          <w:lang w:val="es-ES_tradnl"/>
        </w:rPr>
        <w:t>Recursos por objeto de gasto</w:t>
      </w:r>
    </w:p>
    <w:p w:rsidR="00B16400" w:rsidRDefault="00B16400" w:rsidP="00AC5C4F">
      <w:pPr>
        <w:keepNext/>
        <w:keepLines/>
        <w:widowControl w:val="0"/>
        <w:autoSpaceDE w:val="0"/>
        <w:autoSpaceDN w:val="0"/>
        <w:adjustRightInd w:val="0"/>
        <w:jc w:val="center"/>
        <w:rPr>
          <w:bCs/>
          <w:i/>
          <w:sz w:val="20"/>
          <w:lang w:val="es-ES_tradnl"/>
        </w:rPr>
      </w:pPr>
      <w:r w:rsidRPr="00C75C7E">
        <w:rPr>
          <w:bCs/>
          <w:i/>
          <w:sz w:val="20"/>
          <w:lang w:val="es-ES_tradnl"/>
        </w:rPr>
        <w:t>(en miles de francos suizos)</w:t>
      </w:r>
    </w:p>
    <w:p w:rsidR="00723CAF" w:rsidRDefault="00723CAF" w:rsidP="00AC5C4F">
      <w:pPr>
        <w:keepNext/>
        <w:keepLines/>
        <w:widowControl w:val="0"/>
        <w:autoSpaceDE w:val="0"/>
        <w:autoSpaceDN w:val="0"/>
        <w:adjustRightInd w:val="0"/>
        <w:jc w:val="center"/>
        <w:rPr>
          <w:bCs/>
          <w:i/>
          <w:sz w:val="20"/>
          <w:lang w:val="es-ES_tradnl"/>
        </w:rPr>
      </w:pPr>
    </w:p>
    <w:p w:rsidR="00723CAF" w:rsidRPr="00C75C7E" w:rsidRDefault="00C40A11" w:rsidP="00AC5C4F">
      <w:pPr>
        <w:keepNext/>
        <w:keepLines/>
        <w:widowControl w:val="0"/>
        <w:autoSpaceDE w:val="0"/>
        <w:autoSpaceDN w:val="0"/>
        <w:adjustRightInd w:val="0"/>
        <w:jc w:val="center"/>
        <w:rPr>
          <w:bCs/>
          <w:i/>
          <w:sz w:val="20"/>
          <w:lang w:val="es-ES_tradnl"/>
        </w:rPr>
      </w:pPr>
      <w:r>
        <w:rPr>
          <w:noProof/>
          <w:lang w:val="en-US" w:eastAsia="en-US"/>
        </w:rPr>
        <w:drawing>
          <wp:inline distT="0" distB="0" distL="0" distR="0" wp14:anchorId="0C88D961" wp14:editId="790810A9">
            <wp:extent cx="5936615" cy="5739130"/>
            <wp:effectExtent l="0" t="0" r="698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936615" cy="5739130"/>
                    </a:xfrm>
                    <a:prstGeom prst="rect">
                      <a:avLst/>
                    </a:prstGeom>
                    <a:noFill/>
                    <a:ln>
                      <a:noFill/>
                    </a:ln>
                  </pic:spPr>
                </pic:pic>
              </a:graphicData>
            </a:graphic>
          </wp:inline>
        </w:drawing>
      </w:r>
    </w:p>
    <w:p w:rsidR="00B16400" w:rsidRPr="00C75C7E" w:rsidRDefault="00B16400" w:rsidP="00AC5C4F">
      <w:pPr>
        <w:keepNext/>
        <w:keepLines/>
        <w:widowControl w:val="0"/>
        <w:rPr>
          <w:sz w:val="20"/>
          <w:lang w:val="es-ES_tradnl"/>
        </w:rPr>
      </w:pPr>
    </w:p>
    <w:p w:rsidR="00B16400" w:rsidRPr="00C75C7E" w:rsidRDefault="00B16400" w:rsidP="00AC5C4F">
      <w:pPr>
        <w:keepNext/>
        <w:keepLines/>
        <w:widowControl w:val="0"/>
        <w:rPr>
          <w:sz w:val="16"/>
          <w:szCs w:val="16"/>
          <w:lang w:val="es-ES_tradnl"/>
        </w:rPr>
      </w:pPr>
      <w:r w:rsidRPr="00C75C7E">
        <w:rPr>
          <w:sz w:val="16"/>
          <w:szCs w:val="16"/>
          <w:lang w:val="es-ES_tradnl"/>
        </w:rPr>
        <w:t>Notas:</w:t>
      </w:r>
    </w:p>
    <w:p w:rsidR="00B16400" w:rsidRPr="00C75C7E" w:rsidRDefault="00B16400" w:rsidP="00AC5C4F">
      <w:pPr>
        <w:keepNext/>
        <w:keepLines/>
        <w:widowControl w:val="0"/>
        <w:rPr>
          <w:sz w:val="16"/>
          <w:szCs w:val="16"/>
          <w:u w:val="single"/>
          <w:lang w:val="es-ES_tradnl"/>
        </w:rPr>
      </w:pPr>
    </w:p>
    <w:p w:rsidR="00B16400" w:rsidRDefault="00A91E88" w:rsidP="00AC5C4F">
      <w:pPr>
        <w:keepNext/>
        <w:keepLines/>
        <w:widowControl w:val="0"/>
        <w:tabs>
          <w:tab w:val="left" w:pos="567"/>
        </w:tabs>
        <w:rPr>
          <w:sz w:val="16"/>
          <w:szCs w:val="16"/>
          <w:lang w:val="es-ES_tradnl"/>
        </w:rPr>
      </w:pPr>
      <w:r>
        <w:rPr>
          <w:sz w:val="16"/>
          <w:szCs w:val="16"/>
          <w:lang w:val="es-ES_tradnl"/>
        </w:rPr>
        <w:t xml:space="preserve">1)  </w:t>
      </w:r>
      <w:r w:rsidR="00B16400" w:rsidRPr="00C75C7E">
        <w:rPr>
          <w:sz w:val="16"/>
          <w:szCs w:val="16"/>
          <w:lang w:val="es-ES_tradnl"/>
        </w:rPr>
        <w:t>El presupuesto aprobado de 2012/13 y el presupuesto de dicho bienio después de las transferencias se reexpresan sobre la base de la estructura de categorías de costos propuesta para 2014/15.</w:t>
      </w:r>
    </w:p>
    <w:p w:rsidR="00B16400" w:rsidRPr="00C75C7E" w:rsidRDefault="00B16400" w:rsidP="00AC5C4F">
      <w:pPr>
        <w:keepNext/>
        <w:keepLines/>
        <w:widowControl w:val="0"/>
        <w:tabs>
          <w:tab w:val="left" w:pos="567"/>
        </w:tabs>
        <w:rPr>
          <w:sz w:val="16"/>
          <w:szCs w:val="16"/>
          <w:lang w:val="es-ES_tradnl"/>
        </w:rPr>
      </w:pPr>
    </w:p>
    <w:p w:rsidR="00B16400" w:rsidRDefault="00B16400" w:rsidP="00B16400">
      <w:pPr>
        <w:widowControl w:val="0"/>
        <w:tabs>
          <w:tab w:val="left" w:pos="567"/>
        </w:tabs>
        <w:rPr>
          <w:rFonts w:cs="ArialMT"/>
          <w:sz w:val="16"/>
          <w:szCs w:val="16"/>
          <w:lang w:val="es-ES_tradnl"/>
        </w:rPr>
      </w:pPr>
      <w:r>
        <w:rPr>
          <w:sz w:val="16"/>
          <w:szCs w:val="16"/>
          <w:lang w:val="es-ES_tradnl"/>
        </w:rPr>
        <w:t>2)</w:t>
      </w:r>
      <w:r w:rsidR="00A91E88">
        <w:rPr>
          <w:sz w:val="16"/>
          <w:szCs w:val="16"/>
          <w:lang w:val="es-ES_tradnl"/>
        </w:rPr>
        <w:t xml:space="preserve">  </w:t>
      </w:r>
      <w:r w:rsidRPr="00C75C7E">
        <w:rPr>
          <w:sz w:val="16"/>
          <w:szCs w:val="16"/>
          <w:lang w:val="es-ES_tradnl"/>
        </w:rPr>
        <w:t xml:space="preserve">El presupuesto después de las transferencias refleja el presupuesto de los programas ajustado tras las transferencias efectuadas en 2012/13 en virtud del artículo 5.5 del Reglamento Financiero. Para más información sobre el presupuesto de 2012/13 después de las transferencias, cabe remitirse al cuadro que figura en el Anexo I (Presupuesto después de las transferencias, por programa) del presente documento y al documento WO/PBC/20/2 (Informe sobre el rendimiento de los programas en 2012).  </w:t>
      </w:r>
      <w:r w:rsidRPr="00C75C7E">
        <w:rPr>
          <w:rFonts w:cs="ArialMT"/>
          <w:sz w:val="16"/>
          <w:szCs w:val="16"/>
          <w:lang w:val="es-ES_tradnl"/>
        </w:rPr>
        <w:t xml:space="preserve">Los costos de </w:t>
      </w:r>
      <w:r w:rsidRPr="007045EB">
        <w:rPr>
          <w:sz w:val="16"/>
          <w:szCs w:val="16"/>
          <w:lang w:val="es-ES_tradnl"/>
        </w:rPr>
        <w:t>personal</w:t>
      </w:r>
      <w:r w:rsidRPr="00C75C7E">
        <w:rPr>
          <w:rFonts w:cs="ArialMT"/>
          <w:sz w:val="16"/>
          <w:szCs w:val="16"/>
          <w:lang w:val="es-ES_tradnl"/>
        </w:rPr>
        <w:t xml:space="preserve"> del presupuesto de 2012/13 después de las transferencias representan los gastos reales efectuados hasta el 31 de marzo de 2013 y los importes presupuestados para los nueve meses restantes de 2013, sobre la base de costos estándar. </w:t>
      </w:r>
    </w:p>
    <w:p w:rsidR="00B16400" w:rsidRPr="00C75C7E" w:rsidRDefault="00B16400" w:rsidP="00B16400">
      <w:pPr>
        <w:widowControl w:val="0"/>
        <w:tabs>
          <w:tab w:val="left" w:pos="567"/>
        </w:tabs>
        <w:rPr>
          <w:sz w:val="16"/>
          <w:szCs w:val="16"/>
          <w:lang w:val="es-ES_tradnl"/>
        </w:rPr>
      </w:pPr>
    </w:p>
    <w:p w:rsidR="00B16400" w:rsidRPr="00C75C7E" w:rsidRDefault="00B16400" w:rsidP="00B16400">
      <w:pPr>
        <w:widowControl w:val="0"/>
        <w:tabs>
          <w:tab w:val="left" w:pos="567"/>
        </w:tabs>
        <w:rPr>
          <w:sz w:val="16"/>
          <w:szCs w:val="16"/>
          <w:lang w:val="es-ES_tradnl"/>
        </w:rPr>
      </w:pPr>
      <w:r>
        <w:rPr>
          <w:sz w:val="16"/>
          <w:szCs w:val="16"/>
          <w:lang w:val="es-ES_tradnl"/>
        </w:rPr>
        <w:t>3)</w:t>
      </w:r>
      <w:r w:rsidR="00A91E88">
        <w:rPr>
          <w:sz w:val="16"/>
          <w:szCs w:val="16"/>
          <w:lang w:val="es-ES_tradnl"/>
        </w:rPr>
        <w:t xml:space="preserve">  </w:t>
      </w:r>
      <w:r w:rsidRPr="00C75C7E">
        <w:rPr>
          <w:sz w:val="16"/>
          <w:szCs w:val="16"/>
          <w:lang w:val="es-ES_tradnl"/>
        </w:rPr>
        <w:t>Para más información sobre los puestos del programa cabe remitirse al cuadro que figura en el Anexo II.</w:t>
      </w:r>
    </w:p>
    <w:p w:rsidR="00D73C7C" w:rsidRPr="008541BE" w:rsidRDefault="00B16400" w:rsidP="008541BE">
      <w:pPr>
        <w:pStyle w:val="Heading3"/>
        <w:tabs>
          <w:tab w:val="left" w:pos="1985"/>
        </w:tabs>
        <w:ind w:left="1985" w:hanging="1985"/>
        <w:rPr>
          <w:b/>
          <w:iCs/>
          <w:caps/>
          <w:u w:val="none"/>
        </w:rPr>
      </w:pPr>
      <w:r w:rsidRPr="00C75C7E">
        <w:rPr>
          <w:sz w:val="20"/>
          <w:lang w:val="es-ES_tradnl"/>
        </w:rPr>
        <w:br w:type="page"/>
      </w:r>
      <w:bookmarkStart w:id="40" w:name="_Toc358816696"/>
      <w:bookmarkStart w:id="41" w:name="_Toc356567758"/>
      <w:r w:rsidR="006A15F5" w:rsidRPr="008541BE">
        <w:rPr>
          <w:b/>
          <w:iCs/>
          <w:u w:val="none"/>
        </w:rPr>
        <w:lastRenderedPageBreak/>
        <w:t>PROGRAMA 9</w:t>
      </w:r>
      <w:r w:rsidR="006A15F5" w:rsidRPr="008541BE">
        <w:rPr>
          <w:b/>
          <w:iCs/>
          <w:u w:val="none"/>
        </w:rPr>
        <w:tab/>
        <w:t>PAÍSES AFRICANOS, ÁRABES, DE AMÉRICA LATINA Y EL CARIBE, DE ASIA Y EL PACÍFICO Y PAÍSES MENOS ADELANTADOS</w:t>
      </w:r>
      <w:bookmarkEnd w:id="40"/>
      <w:r w:rsidR="006A15F5" w:rsidRPr="008541BE">
        <w:rPr>
          <w:b/>
          <w:iCs/>
          <w:u w:val="none"/>
        </w:rPr>
        <w:t xml:space="preserve"> </w:t>
      </w:r>
      <w:bookmarkEnd w:id="41"/>
    </w:p>
    <w:p w:rsidR="00D73C7C" w:rsidRPr="00D73C7C" w:rsidRDefault="00D73C7C" w:rsidP="006A15F5">
      <w:pPr>
        <w:rPr>
          <w:lang w:eastAsia="en-US"/>
        </w:rPr>
      </w:pPr>
    </w:p>
    <w:p w:rsidR="00D73C7C" w:rsidRPr="00D73C7C" w:rsidRDefault="00D73C7C" w:rsidP="006A15F5">
      <w:pPr>
        <w:rPr>
          <w:rFonts w:cs="Times New Roman"/>
          <w:lang w:eastAsia="en-US"/>
        </w:rPr>
      </w:pPr>
    </w:p>
    <w:p w:rsidR="00D73C7C" w:rsidRPr="00D73C7C" w:rsidRDefault="00D73C7C" w:rsidP="00D73C7C">
      <w:pPr>
        <w:widowControl w:val="0"/>
        <w:ind w:left="1985" w:hanging="1985"/>
        <w:jc w:val="both"/>
        <w:rPr>
          <w:rFonts w:eastAsia="Times New Roman"/>
          <w:szCs w:val="22"/>
          <w:lang w:eastAsia="en-US"/>
        </w:rPr>
      </w:pPr>
      <w:r w:rsidRPr="00D73C7C">
        <w:rPr>
          <w:rFonts w:eastAsia="Times New Roman"/>
          <w:szCs w:val="22"/>
          <w:lang w:eastAsia="en-US"/>
        </w:rPr>
        <w:t xml:space="preserve">CONTEXTO DE PLANIFICACIÓN </w:t>
      </w:r>
    </w:p>
    <w:p w:rsidR="00D73C7C" w:rsidRPr="00D73C7C" w:rsidRDefault="00D73C7C" w:rsidP="00D73C7C">
      <w:pPr>
        <w:widowControl w:val="0"/>
        <w:rPr>
          <w:rFonts w:eastAsia="Times New Roman" w:cs="Times New Roman"/>
          <w:sz w:val="20"/>
          <w:lang w:eastAsia="en-US"/>
        </w:rPr>
      </w:pPr>
    </w:p>
    <w:p w:rsidR="00D73C7C" w:rsidRPr="00D73C7C" w:rsidRDefault="00D73C7C" w:rsidP="00BA276E">
      <w:pPr>
        <w:widowControl w:val="0"/>
        <w:numPr>
          <w:ilvl w:val="0"/>
          <w:numId w:val="31"/>
        </w:numPr>
        <w:ind w:left="0"/>
        <w:jc w:val="both"/>
        <w:rPr>
          <w:rFonts w:eastAsia="Times New Roman" w:cs="Times New Roman"/>
          <w:sz w:val="20"/>
          <w:lang w:eastAsia="en-US"/>
        </w:rPr>
      </w:pPr>
      <w:r w:rsidRPr="00D73C7C">
        <w:rPr>
          <w:rFonts w:eastAsia="Times New Roman" w:cs="Times New Roman"/>
          <w:sz w:val="20"/>
          <w:lang w:eastAsia="en-US"/>
        </w:rPr>
        <w:t xml:space="preserve">El programa está impulsado por la meta estratégica III, Facilitar el uso de la P.I. en aras del desarrollo, cuyo requisito previo fundamental es un entorno propicio que comprende recursos de política, legislativos, institucionales, empresariales y humanos que crearán las condiciones para que los países en desarrollo y los países menos adelantados (PMA) utilicen la P.I. en aras del desarrollo, les permitirán sacar provecho del sistema de P.I. y mejorarán su participación en la economía mundial de la innovación.  </w:t>
      </w:r>
    </w:p>
    <w:p w:rsidR="00D73C7C" w:rsidRPr="00D73C7C" w:rsidRDefault="00D73C7C" w:rsidP="00D73C7C">
      <w:pPr>
        <w:widowControl w:val="0"/>
        <w:jc w:val="both"/>
        <w:rPr>
          <w:rFonts w:eastAsia="Times New Roman" w:cs="Times New Roman"/>
          <w:sz w:val="20"/>
          <w:lang w:eastAsia="en-US"/>
        </w:rPr>
      </w:pPr>
    </w:p>
    <w:p w:rsidR="00D73C7C" w:rsidRPr="00D73C7C" w:rsidRDefault="00D73C7C" w:rsidP="00BA276E">
      <w:pPr>
        <w:widowControl w:val="0"/>
        <w:numPr>
          <w:ilvl w:val="0"/>
          <w:numId w:val="31"/>
        </w:numPr>
        <w:ind w:left="0"/>
        <w:jc w:val="both"/>
        <w:rPr>
          <w:rFonts w:eastAsia="Times New Roman"/>
          <w:bCs/>
          <w:sz w:val="20"/>
          <w:lang w:eastAsia="en-US"/>
        </w:rPr>
      </w:pPr>
      <w:r w:rsidRPr="00D73C7C">
        <w:rPr>
          <w:rFonts w:eastAsia="Times New Roman" w:cs="Times New Roman"/>
          <w:sz w:val="20"/>
          <w:lang w:eastAsia="en-US"/>
        </w:rPr>
        <w:t xml:space="preserve">Los principales desafíos son:  a) la diversidad de sistemas jurídicos, económicos y políticos y de situaciones que se dan en los países en desarrollo y los PMA en las regiones africana, árabe, de Asia y el Pacífico y de América Latina y el Caribe;  b) la necesidad y demanda en continuo aumento de servicios relacionados con el desarrollo, así como de otros servicios de la OMPI;  c) la gran cantidad y diversidad de partes interesadas con diferentes requisitos en cuanto a capacidades, competencias y conocimientos, desde los encargados de la adopción de políticas, los funcionarios de las oficinas de P.I., administradores y examinadores, hasta los administradores de la transferencia de tecnología derivada de actividades universitarias y de I+D, empresarios y gestores de empresas, inventores e innovadores y profesionales de la P.I.;  d) los desafíos de que la noción de la P.I. en aras del desarrollo se traduzca en resultados concretos que reportan ventajas tangibles a sectores concretos y a la sociedad en general;  y e) el desafío constante de garantizar la pertinencia, incidencia y sostenibilidad de los resultados, sobre todo en cada país. </w:t>
      </w:r>
    </w:p>
    <w:p w:rsidR="00D73C7C" w:rsidRPr="00D73C7C" w:rsidRDefault="00D73C7C" w:rsidP="00D73C7C">
      <w:pPr>
        <w:widowControl w:val="0"/>
        <w:jc w:val="both"/>
        <w:rPr>
          <w:rFonts w:eastAsia="Times New Roman"/>
          <w:bCs/>
          <w:sz w:val="20"/>
          <w:lang w:eastAsia="en-US"/>
        </w:rPr>
      </w:pPr>
    </w:p>
    <w:p w:rsidR="00D73C7C" w:rsidRPr="00D73C7C" w:rsidRDefault="00D73C7C" w:rsidP="00D73C7C">
      <w:pPr>
        <w:widowControl w:val="0"/>
        <w:jc w:val="both"/>
        <w:rPr>
          <w:rFonts w:eastAsia="Times New Roman"/>
          <w:bCs/>
          <w:sz w:val="20"/>
          <w:lang w:eastAsia="en-US"/>
        </w:rPr>
      </w:pPr>
    </w:p>
    <w:p w:rsidR="00D73C7C" w:rsidRPr="00D73C7C" w:rsidRDefault="00D73C7C" w:rsidP="00D73C7C">
      <w:pPr>
        <w:widowControl w:val="0"/>
        <w:jc w:val="both"/>
        <w:rPr>
          <w:rFonts w:eastAsia="Times New Roman"/>
          <w:bCs/>
          <w:sz w:val="20"/>
          <w:lang w:eastAsia="en-US"/>
        </w:rPr>
      </w:pPr>
      <w:r w:rsidRPr="00D73C7C">
        <w:rPr>
          <w:rFonts w:eastAsia="Times New Roman"/>
          <w:bCs/>
          <w:sz w:val="20"/>
          <w:lang w:eastAsia="en-US"/>
        </w:rPr>
        <w:t xml:space="preserve">ESTRATEGIAS DE EJECUCIÓN </w:t>
      </w:r>
    </w:p>
    <w:p w:rsidR="00D73C7C" w:rsidRPr="00D73C7C" w:rsidRDefault="00D73C7C" w:rsidP="00D73C7C">
      <w:pPr>
        <w:widowControl w:val="0"/>
        <w:jc w:val="both"/>
        <w:rPr>
          <w:rFonts w:eastAsia="Times New Roman"/>
          <w:bCs/>
          <w:sz w:val="20"/>
          <w:lang w:eastAsia="en-US"/>
        </w:rPr>
      </w:pPr>
    </w:p>
    <w:p w:rsidR="00D73C7C" w:rsidRPr="00D73C7C" w:rsidRDefault="00D73C7C" w:rsidP="00BA276E">
      <w:pPr>
        <w:widowControl w:val="0"/>
        <w:numPr>
          <w:ilvl w:val="0"/>
          <w:numId w:val="31"/>
        </w:numPr>
        <w:ind w:left="0"/>
        <w:jc w:val="both"/>
        <w:rPr>
          <w:rFonts w:eastAsia="Times New Roman" w:cs="Times New Roman"/>
          <w:sz w:val="20"/>
          <w:lang w:eastAsia="en-US"/>
        </w:rPr>
      </w:pPr>
      <w:r w:rsidRPr="00D73C7C">
        <w:rPr>
          <w:rFonts w:eastAsia="Times New Roman" w:cs="Times New Roman"/>
          <w:sz w:val="20"/>
          <w:lang w:eastAsia="en-US"/>
        </w:rPr>
        <w:t>La labor del programa seguirá guiándose por las recomendaciones de la A.D. sobre asistencia técnica y fortalecimiento de capacidades, en particular las recomendaciones 1, 6, 12, 13 y 14.  Se llevará a cabo una estrategia fundamental de ejecución a través de estrategias nacionales de P.I. concebidas en el contexto de los planes de desarrollo de cada país.  Las estrategias nacionales de P.I. pueden conformar las necesidades y lagunas en las esferas de los marcos legislativos y de política, la infraestructura institucional y técnica y el fortalecimiento de las capacidades en el ámbito de los recursos humanos, a la vez que impulsan la capacidad potencial de la P.I. en las esferas prioritarias definidas en los planes nacionales de desarrollo.  Con arreglo a uno de sus resultados previstos, con el programa se redoblará la labor de asistencia a los países en la concepción, formulación y aplicación de estrategias nacionales de P.I.  Mediante esta estrategia de ejecución se utilizará la metodología sobre la formulación de las estrategias nacionales de P.I., confeccionada en el bienio anterior en el marco de un proyecto de la A.D., que incluye herramientas para la evaluación de necesidades, el establecimiento de parámetros de referencia y directrices para un proceso iterativo de consulta y validación de las diversas partes interesadas.  Las Oficinas Regionales guiarán la formulación de las estrategias de P.I. de los países en sus respectivas regiones, en coordinación con la División de Países Menos Adelantados (PMA) y la División de Proyectos Especiales y con aportaciones de sectores pertinentes, en particular en la fase de ejecución.</w:t>
      </w:r>
    </w:p>
    <w:p w:rsidR="00D73C7C" w:rsidRPr="00D73C7C" w:rsidRDefault="00D73C7C" w:rsidP="00D73C7C">
      <w:pPr>
        <w:widowControl w:val="0"/>
        <w:jc w:val="both"/>
        <w:rPr>
          <w:rFonts w:eastAsia="Times New Roman" w:cs="Times New Roman"/>
          <w:sz w:val="20"/>
          <w:lang w:eastAsia="en-US"/>
        </w:rPr>
      </w:pPr>
    </w:p>
    <w:p w:rsidR="00D73C7C" w:rsidRPr="00D73C7C" w:rsidRDefault="00D73C7C" w:rsidP="00BA276E">
      <w:pPr>
        <w:widowControl w:val="0"/>
        <w:numPr>
          <w:ilvl w:val="0"/>
          <w:numId w:val="31"/>
        </w:numPr>
        <w:ind w:left="0"/>
        <w:jc w:val="both"/>
        <w:rPr>
          <w:rFonts w:eastAsia="Times New Roman" w:cs="Times New Roman"/>
          <w:sz w:val="20"/>
          <w:lang w:eastAsia="en-US"/>
        </w:rPr>
      </w:pPr>
      <w:r w:rsidRPr="00D73C7C">
        <w:rPr>
          <w:rFonts w:eastAsia="Times New Roman" w:cs="Times New Roman"/>
          <w:sz w:val="20"/>
          <w:lang w:eastAsia="en-US"/>
        </w:rPr>
        <w:t>En paralelo a la preparación, adopción y ejecución de las estrategias nacionales de P.I., los planes nacionales serán una herramienta de planificación para lograr de manera progresiva coherencia, transparencia y una mejor coordinación en la prestación de servicios relacionados con el desarrollo por parte de toda la Organización.  Los planes nacionales ofrecerán un panorama general de la envergadura y amplitud de la participación de la OMPI en un país determinado a través de una matriz de resultados claros que deben conseguirse, programas y actividades que se llevarán a cabo en un país a lo largo de un período de dos años tras las pertinentes consultas entre el país y la OMPI.  Las Oficinas Regionales tomarán la iniciativa para elaborar los planes nacionales en consulta y coordinación estrecha con otros sectores.</w:t>
      </w:r>
    </w:p>
    <w:p w:rsidR="00D73C7C" w:rsidRPr="00D73C7C" w:rsidRDefault="00D73C7C" w:rsidP="00D73C7C">
      <w:pPr>
        <w:widowControl w:val="0"/>
        <w:jc w:val="both"/>
        <w:rPr>
          <w:rFonts w:eastAsia="Times New Roman" w:cs="Times New Roman"/>
          <w:sz w:val="20"/>
          <w:lang w:eastAsia="en-US"/>
        </w:rPr>
      </w:pPr>
    </w:p>
    <w:p w:rsidR="00C40836" w:rsidRDefault="00D73C7C" w:rsidP="00BA276E">
      <w:pPr>
        <w:widowControl w:val="0"/>
        <w:numPr>
          <w:ilvl w:val="0"/>
          <w:numId w:val="31"/>
        </w:numPr>
        <w:ind w:left="0"/>
        <w:jc w:val="both"/>
        <w:rPr>
          <w:rFonts w:eastAsia="Times New Roman" w:cs="Times New Roman"/>
          <w:sz w:val="20"/>
          <w:lang w:eastAsia="en-US"/>
        </w:rPr>
      </w:pPr>
      <w:r w:rsidRPr="00D73C7C">
        <w:rPr>
          <w:rFonts w:eastAsia="Times New Roman" w:cs="Times New Roman"/>
          <w:sz w:val="20"/>
          <w:lang w:eastAsia="en-US"/>
        </w:rPr>
        <w:t xml:space="preserve">Se crearán programas de fortalecimiento de las capacidades que se ajusten a los requisitos de determinados grupos de destinatarios, incluidas las </w:t>
      </w:r>
      <w:r w:rsidR="004E3B39" w:rsidRPr="00D73C7C">
        <w:rPr>
          <w:rFonts w:eastAsia="Times New Roman" w:cs="Times New Roman"/>
          <w:sz w:val="20"/>
          <w:lang w:eastAsia="en-US"/>
        </w:rPr>
        <w:t>pymes</w:t>
      </w:r>
      <w:r w:rsidRPr="00D73C7C">
        <w:rPr>
          <w:rFonts w:eastAsia="Times New Roman" w:cs="Times New Roman"/>
          <w:sz w:val="20"/>
          <w:lang w:eastAsia="en-US"/>
        </w:rPr>
        <w:t xml:space="preserve">, y se centrarán en la actualización de las capacidades y competencias a través de programas prácticos de corta duración impartidos en el ámbito </w:t>
      </w:r>
      <w:r w:rsidRPr="00D73C7C">
        <w:rPr>
          <w:rFonts w:eastAsia="Times New Roman" w:cs="Times New Roman"/>
          <w:sz w:val="20"/>
          <w:lang w:eastAsia="en-US"/>
        </w:rPr>
        <w:lastRenderedPageBreak/>
        <w:t xml:space="preserve">nacional, subregional y regional.  </w:t>
      </w:r>
      <w:r w:rsidR="00C40836">
        <w:rPr>
          <w:rFonts w:eastAsia="Times New Roman" w:cs="Times New Roman"/>
          <w:sz w:val="20"/>
          <w:lang w:eastAsia="en-US"/>
        </w:rPr>
        <w:t>Las actividades de fortalecimiento de capacidades para las pymes serán planificadas y ejecutadas de conformidad con las estrategias nacionales vigentes en materia de P.I., y bajo la modalidad de “formar al formador” para que haya una mayor divulgación.</w:t>
      </w:r>
    </w:p>
    <w:p w:rsidR="00C40836" w:rsidRDefault="00C40836" w:rsidP="00C40836">
      <w:pPr>
        <w:widowControl w:val="0"/>
        <w:jc w:val="both"/>
        <w:rPr>
          <w:rFonts w:eastAsia="Times New Roman" w:cs="Times New Roman"/>
          <w:sz w:val="20"/>
          <w:lang w:eastAsia="en-US"/>
        </w:rPr>
      </w:pPr>
    </w:p>
    <w:p w:rsidR="00D73C7C" w:rsidRPr="00D73C7C" w:rsidRDefault="00D73C7C" w:rsidP="00BA276E">
      <w:pPr>
        <w:widowControl w:val="0"/>
        <w:numPr>
          <w:ilvl w:val="0"/>
          <w:numId w:val="31"/>
        </w:numPr>
        <w:ind w:left="0"/>
        <w:jc w:val="both"/>
        <w:rPr>
          <w:rFonts w:eastAsia="Times New Roman" w:cs="Times New Roman"/>
          <w:sz w:val="20"/>
          <w:lang w:eastAsia="en-US"/>
        </w:rPr>
      </w:pPr>
      <w:r w:rsidRPr="00D73C7C">
        <w:rPr>
          <w:rFonts w:eastAsia="Times New Roman" w:cs="Times New Roman"/>
          <w:sz w:val="20"/>
          <w:lang w:eastAsia="en-US"/>
        </w:rPr>
        <w:t xml:space="preserve">Continuarán elaborándose herramientas e indicadores adecuados con objeto de evaluar la aplicación y utilidad de las capacidades y conocimientos que tratan de actualizarse con tales programas. </w:t>
      </w:r>
    </w:p>
    <w:p w:rsidR="00D73C7C" w:rsidRPr="00D73C7C" w:rsidRDefault="00D73C7C" w:rsidP="00D73C7C">
      <w:pPr>
        <w:widowControl w:val="0"/>
        <w:jc w:val="both"/>
        <w:rPr>
          <w:rFonts w:eastAsia="Times New Roman" w:cs="Times New Roman"/>
          <w:sz w:val="20"/>
          <w:lang w:eastAsia="en-US"/>
        </w:rPr>
      </w:pPr>
    </w:p>
    <w:p w:rsidR="00D73C7C" w:rsidRPr="00D73C7C" w:rsidRDefault="00D73C7C" w:rsidP="00BA276E">
      <w:pPr>
        <w:widowControl w:val="0"/>
        <w:numPr>
          <w:ilvl w:val="0"/>
          <w:numId w:val="31"/>
        </w:numPr>
        <w:ind w:left="0"/>
        <w:jc w:val="both"/>
        <w:rPr>
          <w:rFonts w:eastAsia="Times New Roman" w:cs="Times New Roman"/>
          <w:sz w:val="20"/>
          <w:lang w:eastAsia="en-US"/>
        </w:rPr>
      </w:pPr>
      <w:r w:rsidRPr="00D73C7C">
        <w:rPr>
          <w:rFonts w:eastAsia="Times New Roman" w:cs="Times New Roman"/>
          <w:sz w:val="20"/>
          <w:lang w:eastAsia="en-US"/>
        </w:rPr>
        <w:t xml:space="preserve">Se crearán y pondrán en práctica programas adaptados que abordarán específicamente las necesidades de los PMA y se centrarán en particular en las esferas temáticas prioritarias generales recogidas en los Aportes concretos de la OMPI, adoptados con ocasión de la Cuarta Conferencia de las Naciones Unidas sobre los PMA (IV Conferencia de las NN.UU. sobre los PMA).  En virtud de este marco más amplio de cooperación, la OMPI y los PMA colaborarán para crear y consolidar sistemas e instituciones de transferencia de tecnología de los PMA y contribuirán a la consecución de las recomendaciones pertinentes del Programa de Acción de Estambul. </w:t>
      </w:r>
    </w:p>
    <w:p w:rsidR="00D73C7C" w:rsidRPr="00D73C7C" w:rsidRDefault="00D73C7C" w:rsidP="00D73C7C">
      <w:pPr>
        <w:widowControl w:val="0"/>
        <w:jc w:val="both"/>
        <w:rPr>
          <w:rFonts w:eastAsia="Times New Roman" w:cs="Times New Roman"/>
          <w:sz w:val="20"/>
          <w:lang w:eastAsia="en-US"/>
        </w:rPr>
      </w:pPr>
    </w:p>
    <w:p w:rsidR="00D73C7C" w:rsidRPr="00D73C7C" w:rsidRDefault="00D73C7C" w:rsidP="00BA276E">
      <w:pPr>
        <w:widowControl w:val="0"/>
        <w:numPr>
          <w:ilvl w:val="0"/>
          <w:numId w:val="31"/>
        </w:numPr>
        <w:ind w:left="0"/>
        <w:jc w:val="both"/>
        <w:rPr>
          <w:rFonts w:eastAsia="Times New Roman" w:cs="Times New Roman"/>
          <w:sz w:val="20"/>
          <w:lang w:eastAsia="en-US"/>
        </w:rPr>
      </w:pPr>
      <w:r w:rsidRPr="00D73C7C">
        <w:rPr>
          <w:rFonts w:eastAsia="Times New Roman" w:cs="Times New Roman"/>
          <w:sz w:val="20"/>
          <w:lang w:eastAsia="en-US"/>
        </w:rPr>
        <w:t>Para que la noción de la P.I. en aras del desarrollo se traduzca en resultados y ventajas concretos y tangibles, se pondrá en marcha una serie de proyectos intersectoriales innovadores basados en la P.I., entre los que cabe mencionar los proyectos sobre la P.I. y el desarrollo de marcas para el fomento de las empresas y el desarrollo de las comunidades en los sectores de la industria agroalimentaria, la artesanía y el diseño, así como los proyectos sobre la transferencia de tecnología adecuada.  Para tales proyectos, se fomentarán acuerdos y asociaciones de cooperación con otras organizaciones intergubernamentales e instituciones no gubernamentales que trabajan en las regiones, como medio de aunar recursos y conocimientos especializados para tener una incidencia más amplia.  En particular, se emprenderán iniciativas para examinar la posible contribución de la OMPI al Marco de Asistencia de las Naciones Unidas para el Desarrollo a escala nacional, así como a los acuerdos de cooperación con las comunidades económicas regionales.</w:t>
      </w:r>
    </w:p>
    <w:p w:rsidR="00D73C7C" w:rsidRPr="00D73C7C" w:rsidRDefault="00D73C7C" w:rsidP="00D73C7C">
      <w:pPr>
        <w:widowControl w:val="0"/>
        <w:jc w:val="both"/>
        <w:rPr>
          <w:rFonts w:eastAsia="Times New Roman" w:cs="Times New Roman"/>
          <w:sz w:val="20"/>
          <w:lang w:eastAsia="en-US"/>
        </w:rPr>
      </w:pPr>
    </w:p>
    <w:p w:rsidR="00D73C7C" w:rsidRPr="00D73C7C" w:rsidRDefault="00D73C7C" w:rsidP="00BA276E">
      <w:pPr>
        <w:widowControl w:val="0"/>
        <w:numPr>
          <w:ilvl w:val="0"/>
          <w:numId w:val="31"/>
        </w:numPr>
        <w:ind w:left="0"/>
        <w:jc w:val="both"/>
        <w:rPr>
          <w:rFonts w:eastAsia="Times New Roman" w:cs="Times New Roman"/>
          <w:sz w:val="20"/>
          <w:lang w:eastAsia="en-US"/>
        </w:rPr>
      </w:pPr>
      <w:r w:rsidRPr="00D73C7C">
        <w:rPr>
          <w:rFonts w:eastAsia="Times New Roman" w:cs="Times New Roman"/>
          <w:sz w:val="20"/>
          <w:lang w:eastAsia="en-US"/>
        </w:rPr>
        <w:t xml:space="preserve">   Las bases de datos elaboradas en el marco de dos proyectos de la A.D. en el bienio 2010/11 para documentar las diferentes actividades de asistencia técnica que presta la OMPI, seguirán manteniéndose y perfeccionándose, y entre ellas se incluye la base de datos que tiene por objeto emparejar las ofertas de financiación de los países donantes con las necesidades de asistencia para el desarrollo de los países beneficiarios. </w:t>
      </w:r>
    </w:p>
    <w:p w:rsidR="00D73C7C" w:rsidRPr="00D73C7C" w:rsidRDefault="00D73C7C" w:rsidP="00D73C7C">
      <w:pPr>
        <w:widowControl w:val="0"/>
        <w:jc w:val="both"/>
        <w:rPr>
          <w:rFonts w:eastAsia="Times New Roman" w:cs="Times New Roman"/>
          <w:sz w:val="20"/>
          <w:lang w:eastAsia="en-US"/>
        </w:rPr>
      </w:pPr>
    </w:p>
    <w:p w:rsidR="00D73C7C" w:rsidRPr="00D73C7C" w:rsidRDefault="00D73C7C" w:rsidP="00BA276E">
      <w:pPr>
        <w:widowControl w:val="0"/>
        <w:numPr>
          <w:ilvl w:val="0"/>
          <w:numId w:val="31"/>
        </w:numPr>
        <w:ind w:left="0"/>
        <w:jc w:val="both"/>
        <w:rPr>
          <w:rFonts w:eastAsia="Times New Roman" w:cs="Times New Roman"/>
          <w:sz w:val="20"/>
          <w:lang w:eastAsia="en-US"/>
        </w:rPr>
      </w:pPr>
      <w:r w:rsidRPr="00D73C7C">
        <w:rPr>
          <w:rFonts w:eastAsia="Times New Roman" w:cs="Times New Roman"/>
          <w:sz w:val="20"/>
          <w:lang w:eastAsia="en-US"/>
        </w:rPr>
        <w:t xml:space="preserve">Otros elementos del entorno propicio relacionados con los marcos legislativo y de política, la infraestructura y el acceso a la información, si bien se abordan directamente en el sector especializado pertinente, estarán coordinados por las Oficinas como parte bien del marco de la estrategia nacional de P.I., bien del plan nacional.  Las consultas internas periódicas y el diálogo serán una parte habitual del proceso de coordinación. </w:t>
      </w:r>
    </w:p>
    <w:p w:rsidR="00D73C7C" w:rsidRPr="00D73C7C" w:rsidRDefault="00D73C7C" w:rsidP="00D73C7C">
      <w:pPr>
        <w:widowControl w:val="0"/>
        <w:jc w:val="both"/>
        <w:rPr>
          <w:rFonts w:eastAsia="Times New Roman" w:cs="Times New Roman"/>
          <w:sz w:val="20"/>
          <w:lang w:eastAsia="en-US"/>
        </w:rPr>
      </w:pPr>
    </w:p>
    <w:p w:rsidR="00D73C7C" w:rsidRPr="00D73C7C" w:rsidRDefault="00D73C7C" w:rsidP="00BA276E">
      <w:pPr>
        <w:widowControl w:val="0"/>
        <w:numPr>
          <w:ilvl w:val="0"/>
          <w:numId w:val="31"/>
        </w:numPr>
        <w:ind w:left="0"/>
        <w:jc w:val="both"/>
        <w:rPr>
          <w:rFonts w:eastAsia="Times New Roman" w:cs="Times New Roman"/>
          <w:sz w:val="20"/>
          <w:lang w:eastAsia="en-US"/>
        </w:rPr>
      </w:pPr>
      <w:r w:rsidRPr="00D73C7C">
        <w:rPr>
          <w:rFonts w:eastAsia="Times New Roman" w:cs="Times New Roman"/>
          <w:sz w:val="20"/>
          <w:lang w:eastAsia="en-US"/>
        </w:rPr>
        <w:t xml:space="preserve">Por lo general se prevé que esas estrategias mejoren la calidad y la eficacia de la prestación por parte de la Organización de servicios orientados a potenciar el desarrollo, centrando la atención en los resultados a la vez que se vela por la sostenibilidad y continuidad de las medidas adoptadas. </w:t>
      </w:r>
    </w:p>
    <w:p w:rsidR="00D73C7C" w:rsidRPr="00D73C7C" w:rsidRDefault="00D73C7C" w:rsidP="00D73C7C">
      <w:pPr>
        <w:widowControl w:val="0"/>
        <w:jc w:val="both"/>
        <w:rPr>
          <w:rFonts w:eastAsia="Times New Roman" w:cs="Times New Roman"/>
          <w:sz w:val="20"/>
          <w:lang w:eastAsia="en-US"/>
        </w:rPr>
      </w:pPr>
    </w:p>
    <w:p w:rsidR="00D73C7C" w:rsidRPr="00D73C7C" w:rsidRDefault="00D73C7C" w:rsidP="00D73C7C">
      <w:pPr>
        <w:widowControl w:val="0"/>
        <w:jc w:val="both"/>
        <w:rPr>
          <w:rFonts w:eastAsia="Times New Roman"/>
          <w:bCs/>
          <w:sz w:val="20"/>
          <w:lang w:eastAsia="en-US"/>
        </w:rPr>
      </w:pPr>
    </w:p>
    <w:p w:rsidR="00B16400" w:rsidRPr="00C75C7E" w:rsidRDefault="00B16400" w:rsidP="00B16400">
      <w:pPr>
        <w:widowControl w:val="0"/>
        <w:jc w:val="both"/>
        <w:rPr>
          <w:bCs/>
          <w:szCs w:val="22"/>
        </w:rPr>
      </w:pPr>
      <w:r w:rsidRPr="00C75C7E">
        <w:rPr>
          <w:bCs/>
          <w:szCs w:val="22"/>
        </w:rPr>
        <w:t>PRINCIPALES RIESGOS Y ESTRATEGIAS DE MITIGACIÓN</w:t>
      </w:r>
    </w:p>
    <w:p w:rsidR="00B16400" w:rsidRPr="00C75C7E" w:rsidRDefault="00B16400" w:rsidP="00B16400">
      <w:pPr>
        <w:widowControl w:val="0"/>
        <w:tabs>
          <w:tab w:val="left" w:pos="567"/>
          <w:tab w:val="left" w:pos="1985"/>
        </w:tabs>
        <w:jc w:val="both"/>
        <w:rPr>
          <w:bCs/>
          <w:sz w:val="20"/>
        </w:rPr>
      </w:pPr>
    </w:p>
    <w:tbl>
      <w:tblPr>
        <w:tblW w:w="0" w:type="auto"/>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535"/>
        <w:gridCol w:w="4821"/>
      </w:tblGrid>
      <w:tr w:rsidR="00B16400" w:rsidRPr="00C75C7E" w:rsidTr="00962ADA">
        <w:trPr>
          <w:trHeight w:val="709"/>
          <w:tblHeader/>
        </w:trPr>
        <w:tc>
          <w:tcPr>
            <w:tcW w:w="4535" w:type="dxa"/>
            <w:tcBorders>
              <w:top w:val="single" w:sz="4" w:space="0" w:color="auto"/>
              <w:bottom w:val="single" w:sz="4" w:space="0" w:color="auto"/>
            </w:tcBorders>
            <w:shd w:val="clear" w:color="auto" w:fill="CCFFFF"/>
            <w:vAlign w:val="center"/>
          </w:tcPr>
          <w:p w:rsidR="00B16400" w:rsidRPr="00C75C7E" w:rsidRDefault="00B16400" w:rsidP="004341A3">
            <w:pPr>
              <w:widowControl w:val="0"/>
              <w:autoSpaceDE w:val="0"/>
              <w:autoSpaceDN w:val="0"/>
              <w:adjustRightInd w:val="0"/>
              <w:ind w:right="-59"/>
              <w:jc w:val="center"/>
              <w:rPr>
                <w:b/>
                <w:sz w:val="18"/>
                <w:szCs w:val="18"/>
              </w:rPr>
            </w:pPr>
            <w:r w:rsidRPr="00C75C7E">
              <w:rPr>
                <w:b/>
                <w:sz w:val="18"/>
                <w:szCs w:val="18"/>
              </w:rPr>
              <w:t>Riesgos en el logro de los resultados del programa</w:t>
            </w:r>
          </w:p>
        </w:tc>
        <w:tc>
          <w:tcPr>
            <w:tcW w:w="4821" w:type="dxa"/>
            <w:tcBorders>
              <w:top w:val="single" w:sz="4" w:space="0" w:color="auto"/>
              <w:bottom w:val="single" w:sz="4" w:space="0" w:color="auto"/>
            </w:tcBorders>
            <w:shd w:val="clear" w:color="auto" w:fill="CCFFFF"/>
            <w:vAlign w:val="center"/>
          </w:tcPr>
          <w:p w:rsidR="00B16400" w:rsidRPr="00C75C7E" w:rsidRDefault="00B16400" w:rsidP="00C40836">
            <w:pPr>
              <w:widowControl w:val="0"/>
              <w:autoSpaceDE w:val="0"/>
              <w:autoSpaceDN w:val="0"/>
              <w:adjustRightInd w:val="0"/>
              <w:ind w:right="-59"/>
              <w:rPr>
                <w:b/>
                <w:sz w:val="18"/>
                <w:szCs w:val="18"/>
              </w:rPr>
            </w:pPr>
            <w:r w:rsidRPr="00C75C7E">
              <w:rPr>
                <w:b/>
                <w:sz w:val="18"/>
                <w:szCs w:val="18"/>
              </w:rPr>
              <w:t>Planes de mitigación ejecutados o en ejecución</w:t>
            </w:r>
          </w:p>
        </w:tc>
      </w:tr>
      <w:tr w:rsidR="00B16400" w:rsidRPr="00C75C7E" w:rsidTr="00C40836">
        <w:trPr>
          <w:trHeight w:val="1456"/>
        </w:trPr>
        <w:tc>
          <w:tcPr>
            <w:tcW w:w="4535" w:type="dxa"/>
            <w:tcBorders>
              <w:top w:val="single" w:sz="4" w:space="0" w:color="auto"/>
            </w:tcBorders>
            <w:shd w:val="clear" w:color="auto" w:fill="auto"/>
            <w:tcMar>
              <w:top w:w="113" w:type="dxa"/>
              <w:bottom w:w="85" w:type="dxa"/>
            </w:tcMar>
          </w:tcPr>
          <w:p w:rsidR="00B16400" w:rsidRPr="00C75C7E" w:rsidRDefault="00B16400" w:rsidP="004341A3">
            <w:pPr>
              <w:widowControl w:val="0"/>
              <w:autoSpaceDE w:val="0"/>
              <w:autoSpaceDN w:val="0"/>
              <w:adjustRightInd w:val="0"/>
              <w:ind w:right="-59"/>
              <w:rPr>
                <w:sz w:val="16"/>
                <w:szCs w:val="16"/>
              </w:rPr>
            </w:pPr>
            <w:r w:rsidRPr="00C75C7E">
              <w:rPr>
                <w:sz w:val="16"/>
                <w:szCs w:val="16"/>
              </w:rPr>
              <w:t xml:space="preserve">Riesgo de inestabilidad política en los Estados miembros expuestos a un alto riesgo de seguridad, que puede ocasionar la cancelación de algunas actividades o retrasos en la prestación de asistencia técnica, obstaculizando la plena consecución de los resultados previstos en el programa 9. </w:t>
            </w:r>
          </w:p>
        </w:tc>
        <w:tc>
          <w:tcPr>
            <w:tcW w:w="4821" w:type="dxa"/>
            <w:tcBorders>
              <w:top w:val="single" w:sz="4" w:space="0" w:color="auto"/>
            </w:tcBorders>
            <w:shd w:val="clear" w:color="auto" w:fill="auto"/>
            <w:tcMar>
              <w:top w:w="113" w:type="dxa"/>
              <w:bottom w:w="85" w:type="dxa"/>
            </w:tcMar>
          </w:tcPr>
          <w:p w:rsidR="00B16400" w:rsidRPr="00C75C7E" w:rsidRDefault="00B16400" w:rsidP="004341A3">
            <w:pPr>
              <w:widowControl w:val="0"/>
              <w:autoSpaceDE w:val="0"/>
              <w:autoSpaceDN w:val="0"/>
              <w:adjustRightInd w:val="0"/>
              <w:ind w:right="-59"/>
              <w:rPr>
                <w:sz w:val="16"/>
                <w:szCs w:val="16"/>
              </w:rPr>
            </w:pPr>
            <w:r w:rsidRPr="00C75C7E">
              <w:rPr>
                <w:sz w:val="16"/>
                <w:szCs w:val="16"/>
              </w:rPr>
              <w:t>i) Ejecución de una adecuada evaluación de riesgos y formulación de los planes y las actividades anuales del país teniendo en cuenta dicha evaluación.</w:t>
            </w:r>
          </w:p>
          <w:p w:rsidR="00C40836" w:rsidRDefault="00C40836" w:rsidP="004341A3">
            <w:pPr>
              <w:widowControl w:val="0"/>
              <w:autoSpaceDE w:val="0"/>
              <w:autoSpaceDN w:val="0"/>
              <w:adjustRightInd w:val="0"/>
              <w:ind w:right="-59"/>
              <w:rPr>
                <w:sz w:val="16"/>
                <w:szCs w:val="16"/>
              </w:rPr>
            </w:pPr>
          </w:p>
          <w:p w:rsidR="00B16400" w:rsidRPr="00C75C7E" w:rsidRDefault="00B16400" w:rsidP="004341A3">
            <w:pPr>
              <w:widowControl w:val="0"/>
              <w:autoSpaceDE w:val="0"/>
              <w:autoSpaceDN w:val="0"/>
              <w:adjustRightInd w:val="0"/>
              <w:ind w:right="-59"/>
              <w:rPr>
                <w:sz w:val="16"/>
                <w:szCs w:val="16"/>
              </w:rPr>
            </w:pPr>
            <w:r w:rsidRPr="00C75C7E">
              <w:rPr>
                <w:sz w:val="16"/>
                <w:szCs w:val="16"/>
              </w:rPr>
              <w:t>ii) Continua supervisión, junto con la oficina de P.I. y las partes interesadas, a fin de elaborar planes alternativos.</w:t>
            </w:r>
          </w:p>
        </w:tc>
      </w:tr>
      <w:tr w:rsidR="00B16400" w:rsidRPr="00C75C7E" w:rsidTr="00C40836">
        <w:trPr>
          <w:trHeight w:val="1508"/>
        </w:trPr>
        <w:tc>
          <w:tcPr>
            <w:tcW w:w="4535" w:type="dxa"/>
            <w:shd w:val="clear" w:color="auto" w:fill="auto"/>
            <w:tcMar>
              <w:top w:w="113" w:type="dxa"/>
              <w:bottom w:w="85" w:type="dxa"/>
            </w:tcMar>
          </w:tcPr>
          <w:p w:rsidR="00B16400" w:rsidRPr="00C75C7E" w:rsidRDefault="00B16400" w:rsidP="004341A3">
            <w:pPr>
              <w:widowControl w:val="0"/>
              <w:autoSpaceDE w:val="0"/>
              <w:autoSpaceDN w:val="0"/>
              <w:adjustRightInd w:val="0"/>
              <w:ind w:right="-59"/>
              <w:rPr>
                <w:sz w:val="16"/>
                <w:szCs w:val="16"/>
              </w:rPr>
            </w:pPr>
            <w:r w:rsidRPr="00C75C7E">
              <w:rPr>
                <w:sz w:val="16"/>
                <w:szCs w:val="16"/>
              </w:rPr>
              <w:lastRenderedPageBreak/>
              <w:t>Cambios políticos que podrían producir cambios en las políticas de P.I. de los países y los gobiernos o los altos directivos de las oficinas de P.I., lo que, a su vez, podría dar lugar a la revisión de los planes de trabajo de los países afectados y reducir o retrasar la prestación de servicios, incidiendo negativamente en la consecución de los resultados previstos.</w:t>
            </w:r>
          </w:p>
        </w:tc>
        <w:tc>
          <w:tcPr>
            <w:tcW w:w="4821" w:type="dxa"/>
            <w:shd w:val="clear" w:color="auto" w:fill="auto"/>
            <w:tcMar>
              <w:top w:w="113" w:type="dxa"/>
              <w:bottom w:w="85" w:type="dxa"/>
            </w:tcMar>
          </w:tcPr>
          <w:p w:rsidR="00B16400" w:rsidRPr="00C75C7E" w:rsidRDefault="00B16400" w:rsidP="004341A3">
            <w:pPr>
              <w:widowControl w:val="0"/>
              <w:autoSpaceDE w:val="0"/>
              <w:autoSpaceDN w:val="0"/>
              <w:adjustRightInd w:val="0"/>
              <w:ind w:right="-59"/>
              <w:rPr>
                <w:sz w:val="16"/>
                <w:szCs w:val="16"/>
              </w:rPr>
            </w:pPr>
            <w:r w:rsidRPr="00C75C7E">
              <w:rPr>
                <w:sz w:val="16"/>
                <w:szCs w:val="16"/>
              </w:rPr>
              <w:t>i) Mantenimiento de la flexibilidad para efectuar ajustes ocasionales en los planes de trabajo de los distintos países.</w:t>
            </w:r>
          </w:p>
          <w:p w:rsidR="00C40836" w:rsidRDefault="00C40836" w:rsidP="004341A3">
            <w:pPr>
              <w:widowControl w:val="0"/>
              <w:autoSpaceDE w:val="0"/>
              <w:autoSpaceDN w:val="0"/>
              <w:adjustRightInd w:val="0"/>
              <w:ind w:right="-59"/>
              <w:rPr>
                <w:sz w:val="16"/>
                <w:szCs w:val="16"/>
              </w:rPr>
            </w:pPr>
          </w:p>
          <w:p w:rsidR="00B16400" w:rsidRPr="00C75C7E" w:rsidRDefault="00B16400" w:rsidP="004341A3">
            <w:pPr>
              <w:widowControl w:val="0"/>
              <w:autoSpaceDE w:val="0"/>
              <w:autoSpaceDN w:val="0"/>
              <w:adjustRightInd w:val="0"/>
              <w:ind w:right="-59"/>
              <w:rPr>
                <w:sz w:val="16"/>
                <w:szCs w:val="16"/>
              </w:rPr>
            </w:pPr>
            <w:r w:rsidRPr="00C75C7E">
              <w:rPr>
                <w:sz w:val="16"/>
                <w:szCs w:val="16"/>
              </w:rPr>
              <w:t>ii) Fomento y facilitación del consenso en estrategias de P.I. y planes de trabajo nacionales.</w:t>
            </w:r>
          </w:p>
        </w:tc>
      </w:tr>
    </w:tbl>
    <w:p w:rsidR="00B16400" w:rsidRPr="00C75C7E" w:rsidRDefault="00B16400" w:rsidP="00B16400">
      <w:pPr>
        <w:widowControl w:val="0"/>
        <w:tabs>
          <w:tab w:val="left" w:pos="567"/>
          <w:tab w:val="left" w:pos="1985"/>
        </w:tabs>
        <w:jc w:val="both"/>
        <w:rPr>
          <w:bCs/>
          <w:sz w:val="20"/>
        </w:rPr>
      </w:pPr>
    </w:p>
    <w:p w:rsidR="00B16400" w:rsidRPr="00C75C7E" w:rsidRDefault="00B16400" w:rsidP="00B16400">
      <w:pPr>
        <w:widowControl w:val="0"/>
        <w:tabs>
          <w:tab w:val="left" w:pos="567"/>
          <w:tab w:val="left" w:pos="1985"/>
        </w:tabs>
        <w:jc w:val="both"/>
        <w:rPr>
          <w:bCs/>
          <w:sz w:val="20"/>
        </w:rPr>
      </w:pPr>
    </w:p>
    <w:p w:rsidR="00B16400" w:rsidRPr="00C75C7E" w:rsidRDefault="00B16400" w:rsidP="00B16400">
      <w:pPr>
        <w:widowControl w:val="0"/>
        <w:tabs>
          <w:tab w:val="left" w:pos="567"/>
          <w:tab w:val="left" w:pos="1985"/>
        </w:tabs>
        <w:jc w:val="both"/>
        <w:rPr>
          <w:bCs/>
          <w:sz w:val="20"/>
          <w:lang w:val="es-ES_tradnl"/>
        </w:rPr>
      </w:pPr>
      <w:r w:rsidRPr="00C75C7E">
        <w:rPr>
          <w:bCs/>
          <w:szCs w:val="22"/>
          <w:lang w:val="es-ES_tradnl"/>
        </w:rPr>
        <w:t>MARCO DE RESULTADOS</w:t>
      </w:r>
    </w:p>
    <w:p w:rsidR="00B16400" w:rsidRPr="00C75C7E" w:rsidRDefault="00B16400" w:rsidP="00B16400">
      <w:pPr>
        <w:widowControl w:val="0"/>
        <w:tabs>
          <w:tab w:val="left" w:pos="567"/>
          <w:tab w:val="left" w:pos="1985"/>
        </w:tabs>
        <w:jc w:val="both"/>
        <w:rPr>
          <w:bCs/>
          <w:sz w:val="20"/>
          <w:lang w:val="es-ES_tradnl"/>
        </w:rPr>
      </w:pPr>
    </w:p>
    <w:tbl>
      <w:tblPr>
        <w:tblW w:w="4916"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51"/>
        <w:gridCol w:w="2849"/>
        <w:gridCol w:w="2174"/>
        <w:gridCol w:w="2036"/>
      </w:tblGrid>
      <w:tr w:rsidR="00B16400" w:rsidRPr="00C75C7E" w:rsidTr="004341A3">
        <w:trPr>
          <w:cantSplit/>
          <w:trHeight w:val="421"/>
          <w:tblHeader/>
        </w:trPr>
        <w:tc>
          <w:tcPr>
            <w:tcW w:w="1249" w:type="pct"/>
            <w:tcBorders>
              <w:top w:val="single" w:sz="4" w:space="0" w:color="auto"/>
              <w:bottom w:val="single" w:sz="4" w:space="0" w:color="auto"/>
            </w:tcBorders>
            <w:shd w:val="clear" w:color="auto" w:fill="CCFFFF"/>
            <w:vAlign w:val="center"/>
          </w:tcPr>
          <w:p w:rsidR="00B16400" w:rsidRPr="00C75C7E" w:rsidRDefault="00B16400" w:rsidP="004341A3">
            <w:pPr>
              <w:widowControl w:val="0"/>
              <w:spacing w:after="120"/>
              <w:jc w:val="center"/>
              <w:rPr>
                <w:b/>
                <w:bCs/>
                <w:sz w:val="18"/>
                <w:szCs w:val="18"/>
                <w:lang w:val="es-ES_tradnl"/>
              </w:rPr>
            </w:pPr>
            <w:r w:rsidRPr="00C75C7E">
              <w:rPr>
                <w:b/>
                <w:bCs/>
                <w:sz w:val="18"/>
                <w:szCs w:val="18"/>
                <w:lang w:val="es-ES_tradnl"/>
              </w:rPr>
              <w:t>Resultados previstos</w:t>
            </w:r>
          </w:p>
        </w:tc>
        <w:tc>
          <w:tcPr>
            <w:tcW w:w="1514" w:type="pct"/>
            <w:tcBorders>
              <w:top w:val="single" w:sz="4" w:space="0" w:color="auto"/>
              <w:bottom w:val="single" w:sz="4" w:space="0" w:color="auto"/>
            </w:tcBorders>
            <w:shd w:val="clear" w:color="auto" w:fill="CCFFFF"/>
            <w:tcMar>
              <w:top w:w="110" w:type="dxa"/>
            </w:tcMar>
            <w:vAlign w:val="center"/>
          </w:tcPr>
          <w:p w:rsidR="00B16400" w:rsidRPr="00C75C7E" w:rsidRDefault="00B16400" w:rsidP="004341A3">
            <w:pPr>
              <w:widowControl w:val="0"/>
              <w:spacing w:after="120"/>
              <w:jc w:val="center"/>
              <w:rPr>
                <w:b/>
                <w:bCs/>
                <w:sz w:val="18"/>
                <w:szCs w:val="18"/>
                <w:lang w:val="es-ES_tradnl"/>
              </w:rPr>
            </w:pPr>
            <w:r w:rsidRPr="00C75C7E">
              <w:rPr>
                <w:b/>
                <w:bCs/>
                <w:sz w:val="18"/>
                <w:szCs w:val="18"/>
                <w:lang w:val="es-ES_tradnl"/>
              </w:rPr>
              <w:t>Indicadores de rendimiento</w:t>
            </w:r>
          </w:p>
        </w:tc>
        <w:tc>
          <w:tcPr>
            <w:tcW w:w="1155" w:type="pct"/>
            <w:tcBorders>
              <w:top w:val="single" w:sz="4" w:space="0" w:color="auto"/>
              <w:bottom w:val="single" w:sz="4" w:space="0" w:color="auto"/>
            </w:tcBorders>
            <w:shd w:val="clear" w:color="auto" w:fill="CCFFFF"/>
            <w:tcMar>
              <w:top w:w="110" w:type="dxa"/>
            </w:tcMar>
            <w:vAlign w:val="center"/>
          </w:tcPr>
          <w:p w:rsidR="00B16400" w:rsidRPr="00C75C7E" w:rsidRDefault="00B16400" w:rsidP="004341A3">
            <w:pPr>
              <w:widowControl w:val="0"/>
              <w:spacing w:after="120"/>
              <w:ind w:left="85"/>
              <w:jc w:val="center"/>
              <w:rPr>
                <w:b/>
                <w:bCs/>
                <w:sz w:val="18"/>
                <w:szCs w:val="18"/>
                <w:lang w:val="es-ES_tradnl"/>
              </w:rPr>
            </w:pPr>
            <w:r w:rsidRPr="00C75C7E">
              <w:rPr>
                <w:b/>
                <w:bCs/>
                <w:sz w:val="18"/>
                <w:szCs w:val="18"/>
                <w:lang w:val="es-ES_tradnl"/>
              </w:rPr>
              <w:t>Referencia</w:t>
            </w:r>
          </w:p>
        </w:tc>
        <w:tc>
          <w:tcPr>
            <w:tcW w:w="1082" w:type="pct"/>
            <w:tcBorders>
              <w:top w:val="single" w:sz="4" w:space="0" w:color="auto"/>
              <w:bottom w:val="single" w:sz="4" w:space="0" w:color="auto"/>
            </w:tcBorders>
            <w:shd w:val="clear" w:color="auto" w:fill="CCFFFF"/>
            <w:tcMar>
              <w:top w:w="110" w:type="dxa"/>
            </w:tcMar>
            <w:vAlign w:val="center"/>
          </w:tcPr>
          <w:p w:rsidR="00B16400" w:rsidRPr="00C75C7E" w:rsidRDefault="00B16400" w:rsidP="004341A3">
            <w:pPr>
              <w:widowControl w:val="0"/>
              <w:tabs>
                <w:tab w:val="left" w:pos="1648"/>
                <w:tab w:val="left" w:pos="1758"/>
              </w:tabs>
              <w:spacing w:after="120"/>
              <w:ind w:right="3"/>
              <w:jc w:val="center"/>
              <w:rPr>
                <w:b/>
                <w:bCs/>
                <w:sz w:val="18"/>
                <w:szCs w:val="18"/>
                <w:lang w:val="es-ES_tradnl"/>
              </w:rPr>
            </w:pPr>
            <w:r w:rsidRPr="00C75C7E">
              <w:rPr>
                <w:b/>
                <w:bCs/>
                <w:sz w:val="18"/>
                <w:szCs w:val="18"/>
                <w:lang w:val="es-ES_tradnl"/>
              </w:rPr>
              <w:t>Objetivos</w:t>
            </w:r>
          </w:p>
        </w:tc>
      </w:tr>
      <w:tr w:rsidR="00B16400" w:rsidRPr="00C75C7E" w:rsidTr="004341A3">
        <w:trPr>
          <w:cantSplit/>
        </w:trPr>
        <w:tc>
          <w:tcPr>
            <w:tcW w:w="1249" w:type="pct"/>
            <w:vMerge w:val="restart"/>
            <w:tcBorders>
              <w:top w:val="single" w:sz="4" w:space="0" w:color="auto"/>
            </w:tcBorders>
            <w:shd w:val="clear" w:color="auto" w:fill="auto"/>
            <w:tcMar>
              <w:top w:w="113" w:type="dxa"/>
            </w:tcMar>
          </w:tcPr>
          <w:p w:rsidR="00B16400" w:rsidRPr="00C75C7E" w:rsidRDefault="00B16400" w:rsidP="004341A3">
            <w:pPr>
              <w:widowControl w:val="0"/>
              <w:rPr>
                <w:sz w:val="16"/>
                <w:szCs w:val="16"/>
                <w:lang w:val="es-ES_tradnl"/>
              </w:rPr>
            </w:pPr>
            <w:r w:rsidRPr="00C75C7E">
              <w:rPr>
                <w:sz w:val="16"/>
                <w:szCs w:val="16"/>
                <w:lang w:val="es-ES_tradnl"/>
              </w:rPr>
              <w:t>I.2. Marcos de P.I. adaptados y equilibrados en el ámbito legislativo, reglamentario y de política.</w:t>
            </w:r>
          </w:p>
        </w:tc>
        <w:tc>
          <w:tcPr>
            <w:tcW w:w="1514" w:type="pct"/>
            <w:tcBorders>
              <w:top w:val="single" w:sz="4" w:space="0" w:color="auto"/>
            </w:tcBorders>
            <w:shd w:val="clear" w:color="auto" w:fill="auto"/>
            <w:tcMar>
              <w:top w:w="113" w:type="dxa"/>
            </w:tcMar>
          </w:tcPr>
          <w:p w:rsidR="00B16400" w:rsidRPr="00C75C7E" w:rsidRDefault="00B16400" w:rsidP="004341A3">
            <w:pPr>
              <w:widowControl w:val="0"/>
              <w:rPr>
                <w:sz w:val="16"/>
                <w:szCs w:val="16"/>
                <w:lang w:val="es-ES_tradnl"/>
              </w:rPr>
            </w:pPr>
            <w:r w:rsidRPr="00C75C7E">
              <w:rPr>
                <w:sz w:val="16"/>
                <w:szCs w:val="16"/>
                <w:lang w:val="es-ES_tradnl"/>
              </w:rPr>
              <w:t xml:space="preserve">Número y porcentaje de Estados miembros satisfechos con la calidad del asesoramiento jurídico sobre patentes, modelos de utilidad, secretos comerciales y circuitos integrados. </w:t>
            </w:r>
          </w:p>
        </w:tc>
        <w:tc>
          <w:tcPr>
            <w:tcW w:w="1155" w:type="pct"/>
            <w:tcBorders>
              <w:top w:val="single" w:sz="4" w:space="0" w:color="auto"/>
            </w:tcBorders>
            <w:shd w:val="clear" w:color="auto" w:fill="FFFFFF"/>
            <w:tcMar>
              <w:top w:w="113" w:type="dxa"/>
            </w:tcMar>
          </w:tcPr>
          <w:p w:rsidR="00B16400" w:rsidRPr="00C75C7E" w:rsidRDefault="00B16400" w:rsidP="004341A3">
            <w:pPr>
              <w:widowControl w:val="0"/>
              <w:rPr>
                <w:sz w:val="16"/>
                <w:szCs w:val="16"/>
                <w:lang w:val="es-ES_tradnl" w:bidi="th-TH"/>
              </w:rPr>
            </w:pPr>
            <w:r w:rsidRPr="00C75C7E">
              <w:rPr>
                <w:sz w:val="16"/>
                <w:szCs w:val="16"/>
                <w:lang w:val="es-ES_tradnl" w:bidi="th-TH"/>
              </w:rPr>
              <w:t>Encuestas de 2012.</w:t>
            </w:r>
          </w:p>
          <w:p w:rsidR="00B16400" w:rsidRPr="00C75C7E" w:rsidRDefault="00B16400" w:rsidP="004341A3">
            <w:pPr>
              <w:widowControl w:val="0"/>
              <w:rPr>
                <w:sz w:val="16"/>
                <w:szCs w:val="16"/>
                <w:lang w:val="es-ES_tradnl"/>
              </w:rPr>
            </w:pPr>
          </w:p>
        </w:tc>
        <w:tc>
          <w:tcPr>
            <w:tcW w:w="1082" w:type="pct"/>
            <w:tcBorders>
              <w:top w:val="single" w:sz="4" w:space="0" w:color="auto"/>
            </w:tcBorders>
            <w:shd w:val="clear" w:color="auto" w:fill="auto"/>
            <w:tcMar>
              <w:top w:w="113" w:type="dxa"/>
            </w:tcMar>
          </w:tcPr>
          <w:p w:rsidR="00B16400" w:rsidRPr="00C75C7E" w:rsidRDefault="00B16400" w:rsidP="004341A3">
            <w:pPr>
              <w:widowControl w:val="0"/>
              <w:tabs>
                <w:tab w:val="left" w:pos="2051"/>
              </w:tabs>
              <w:ind w:right="381"/>
              <w:rPr>
                <w:bCs/>
                <w:sz w:val="16"/>
                <w:szCs w:val="16"/>
                <w:lang w:val="es-ES_tradnl"/>
              </w:rPr>
            </w:pPr>
            <w:r w:rsidRPr="00C75C7E">
              <w:rPr>
                <w:bCs/>
                <w:sz w:val="16"/>
                <w:szCs w:val="16"/>
                <w:lang w:val="es-ES_tradnl"/>
              </w:rPr>
              <w:t>90%</w:t>
            </w:r>
          </w:p>
        </w:tc>
      </w:tr>
      <w:tr w:rsidR="00B16400" w:rsidRPr="00C75C7E" w:rsidTr="004341A3">
        <w:trPr>
          <w:cantSplit/>
          <w:trHeight w:val="1170"/>
        </w:trPr>
        <w:tc>
          <w:tcPr>
            <w:tcW w:w="1249" w:type="pct"/>
            <w:vMerge/>
            <w:shd w:val="clear" w:color="auto" w:fill="auto"/>
            <w:tcMar>
              <w:top w:w="113" w:type="dxa"/>
            </w:tcMar>
          </w:tcPr>
          <w:p w:rsidR="00B16400" w:rsidRPr="00C75C7E" w:rsidRDefault="00B16400" w:rsidP="004341A3">
            <w:pPr>
              <w:widowControl w:val="0"/>
              <w:rPr>
                <w:sz w:val="16"/>
                <w:szCs w:val="16"/>
                <w:lang w:val="es-ES_tradnl"/>
              </w:rPr>
            </w:pPr>
          </w:p>
        </w:tc>
        <w:tc>
          <w:tcPr>
            <w:tcW w:w="1514" w:type="pct"/>
            <w:shd w:val="clear" w:color="auto" w:fill="auto"/>
            <w:tcMar>
              <w:top w:w="113" w:type="dxa"/>
            </w:tcMar>
          </w:tcPr>
          <w:p w:rsidR="00B16400" w:rsidRPr="00C75C7E" w:rsidRDefault="00B16400" w:rsidP="004341A3">
            <w:pPr>
              <w:widowControl w:val="0"/>
              <w:rPr>
                <w:sz w:val="16"/>
                <w:szCs w:val="16"/>
                <w:lang w:val="es-ES_tradnl"/>
              </w:rPr>
            </w:pPr>
            <w:r w:rsidRPr="00C75C7E">
              <w:rPr>
                <w:sz w:val="16"/>
                <w:szCs w:val="16"/>
                <w:lang w:val="es-ES_tradnl"/>
              </w:rPr>
              <w:t xml:space="preserve">Número y porcentaje de Estados miembros/organizaciones regionales que han presentado comentarios positivos sobre el asesoramiento legislativo proporcionado en la esfera de las marcas, los diseños industriales y las indicaciones geográficas. </w:t>
            </w:r>
          </w:p>
        </w:tc>
        <w:tc>
          <w:tcPr>
            <w:tcW w:w="1155" w:type="pct"/>
            <w:shd w:val="clear" w:color="auto" w:fill="FFFFFF"/>
            <w:tcMar>
              <w:top w:w="113" w:type="dxa"/>
            </w:tcMar>
          </w:tcPr>
          <w:p w:rsidR="00B16400" w:rsidRPr="00C75C7E" w:rsidRDefault="00B16400" w:rsidP="004341A3">
            <w:pPr>
              <w:widowControl w:val="0"/>
              <w:rPr>
                <w:sz w:val="16"/>
                <w:szCs w:val="16"/>
                <w:lang w:val="es-ES_tradnl"/>
              </w:rPr>
            </w:pPr>
            <w:r w:rsidRPr="00C75C7E">
              <w:rPr>
                <w:sz w:val="16"/>
                <w:szCs w:val="16"/>
                <w:lang w:val="es-ES_tradnl" w:bidi="th-TH"/>
              </w:rPr>
              <w:t>Tres Estados miembros/organizaciones regionales han presentado comentarios positivos sobre el asesoramiento legislativo recibido en 2012.</w:t>
            </w:r>
          </w:p>
        </w:tc>
        <w:tc>
          <w:tcPr>
            <w:tcW w:w="1082" w:type="pct"/>
            <w:shd w:val="clear" w:color="auto" w:fill="auto"/>
            <w:tcMar>
              <w:top w:w="113" w:type="dxa"/>
            </w:tcMar>
          </w:tcPr>
          <w:p w:rsidR="00B16400" w:rsidRPr="00C75C7E" w:rsidRDefault="00B16400" w:rsidP="004341A3">
            <w:pPr>
              <w:widowControl w:val="0"/>
              <w:ind w:right="51"/>
              <w:rPr>
                <w:bCs/>
                <w:sz w:val="16"/>
                <w:szCs w:val="16"/>
                <w:lang w:val="es-ES_tradnl"/>
              </w:rPr>
            </w:pPr>
            <w:r w:rsidRPr="00C75C7E">
              <w:rPr>
                <w:bCs/>
                <w:sz w:val="16"/>
                <w:szCs w:val="16"/>
                <w:lang w:val="es-ES_tradnl"/>
              </w:rPr>
              <w:t>Comentarios positivos recibidos de 10 Estados miembros/organizaciones regionales (desglose regional).</w:t>
            </w:r>
          </w:p>
        </w:tc>
      </w:tr>
      <w:tr w:rsidR="00B16400" w:rsidRPr="00C75C7E" w:rsidTr="004341A3">
        <w:trPr>
          <w:cantSplit/>
          <w:trHeight w:val="671"/>
        </w:trPr>
        <w:tc>
          <w:tcPr>
            <w:tcW w:w="1249" w:type="pct"/>
            <w:vMerge/>
            <w:shd w:val="clear" w:color="auto" w:fill="auto"/>
            <w:tcMar>
              <w:top w:w="113" w:type="dxa"/>
            </w:tcMar>
          </w:tcPr>
          <w:p w:rsidR="00B16400" w:rsidRPr="00C75C7E" w:rsidRDefault="00B16400" w:rsidP="004341A3">
            <w:pPr>
              <w:widowControl w:val="0"/>
              <w:rPr>
                <w:sz w:val="16"/>
                <w:szCs w:val="16"/>
                <w:lang w:val="es-ES_tradnl"/>
              </w:rPr>
            </w:pPr>
          </w:p>
        </w:tc>
        <w:tc>
          <w:tcPr>
            <w:tcW w:w="1514" w:type="pct"/>
            <w:shd w:val="clear" w:color="auto" w:fill="auto"/>
            <w:tcMar>
              <w:top w:w="113" w:type="dxa"/>
            </w:tcMar>
          </w:tcPr>
          <w:p w:rsidR="00B16400" w:rsidRPr="00C75C7E" w:rsidRDefault="00B16400" w:rsidP="004341A3">
            <w:pPr>
              <w:widowControl w:val="0"/>
              <w:rPr>
                <w:sz w:val="16"/>
                <w:szCs w:val="16"/>
                <w:lang w:val="es-ES_tradnl"/>
              </w:rPr>
            </w:pPr>
            <w:r w:rsidRPr="00C75C7E">
              <w:rPr>
                <w:sz w:val="16"/>
                <w:szCs w:val="16"/>
                <w:lang w:val="es-ES_tradnl"/>
              </w:rPr>
              <w:t xml:space="preserve">Número y porcentaje de países que han presentado comentarios positivos sobre el asesoramiento legislativo de la OMPI. </w:t>
            </w:r>
          </w:p>
        </w:tc>
        <w:tc>
          <w:tcPr>
            <w:tcW w:w="1155" w:type="pct"/>
            <w:shd w:val="clear" w:color="auto" w:fill="FFFFFF"/>
            <w:tcMar>
              <w:top w:w="113" w:type="dxa"/>
            </w:tcMar>
          </w:tcPr>
          <w:p w:rsidR="00B16400" w:rsidRPr="00C75C7E" w:rsidRDefault="00B16400" w:rsidP="004341A3">
            <w:pPr>
              <w:widowControl w:val="0"/>
              <w:rPr>
                <w:sz w:val="16"/>
                <w:szCs w:val="16"/>
                <w:lang w:val="es-ES_tradnl"/>
              </w:rPr>
            </w:pPr>
            <w:r w:rsidRPr="00C75C7E">
              <w:rPr>
                <w:sz w:val="16"/>
                <w:szCs w:val="16"/>
                <w:lang w:val="es-ES_tradnl" w:bidi="th-TH"/>
              </w:rPr>
              <w:t>Todavía no se han recopilado los comentarios.</w:t>
            </w:r>
          </w:p>
        </w:tc>
        <w:tc>
          <w:tcPr>
            <w:tcW w:w="1082" w:type="pct"/>
            <w:shd w:val="clear" w:color="auto" w:fill="auto"/>
            <w:tcMar>
              <w:top w:w="113" w:type="dxa"/>
            </w:tcMar>
          </w:tcPr>
          <w:p w:rsidR="00B16400" w:rsidRPr="00C75C7E" w:rsidRDefault="00B16400" w:rsidP="004341A3">
            <w:pPr>
              <w:widowControl w:val="0"/>
              <w:ind w:right="161"/>
              <w:rPr>
                <w:bCs/>
                <w:sz w:val="16"/>
                <w:szCs w:val="16"/>
                <w:lang w:val="es-ES_tradnl"/>
              </w:rPr>
            </w:pPr>
            <w:r w:rsidRPr="00C75C7E">
              <w:rPr>
                <w:bCs/>
                <w:sz w:val="16"/>
                <w:szCs w:val="16"/>
                <w:lang w:val="es-ES_tradnl"/>
              </w:rPr>
              <w:t>15 países (desglose regional)</w:t>
            </w:r>
          </w:p>
        </w:tc>
      </w:tr>
      <w:tr w:rsidR="00B16400" w:rsidRPr="00C75C7E" w:rsidTr="004341A3">
        <w:trPr>
          <w:cantSplit/>
          <w:trHeight w:val="1408"/>
        </w:trPr>
        <w:tc>
          <w:tcPr>
            <w:tcW w:w="1249" w:type="pct"/>
            <w:shd w:val="clear" w:color="auto" w:fill="auto"/>
            <w:tcMar>
              <w:top w:w="113" w:type="dxa"/>
            </w:tcMar>
          </w:tcPr>
          <w:p w:rsidR="00B16400" w:rsidRPr="00C75C7E" w:rsidRDefault="00B16400" w:rsidP="004341A3">
            <w:pPr>
              <w:widowControl w:val="0"/>
              <w:rPr>
                <w:sz w:val="16"/>
                <w:szCs w:val="16"/>
                <w:lang w:val="es-ES_tradnl"/>
              </w:rPr>
            </w:pPr>
            <w:r w:rsidRPr="00C75C7E">
              <w:rPr>
                <w:sz w:val="16"/>
                <w:szCs w:val="16"/>
                <w:lang w:val="es-ES_tradnl"/>
              </w:rPr>
              <w:t>III.1. Estrategias y planes nacionales de innovación y de P.I. que estén en sintonía con los objetivos nacionales de desarrollo.</w:t>
            </w:r>
          </w:p>
        </w:tc>
        <w:tc>
          <w:tcPr>
            <w:tcW w:w="1514" w:type="pct"/>
            <w:shd w:val="clear" w:color="auto" w:fill="auto"/>
            <w:tcMar>
              <w:top w:w="113" w:type="dxa"/>
            </w:tcMar>
          </w:tcPr>
          <w:p w:rsidR="00B16400" w:rsidRPr="00C75C7E" w:rsidRDefault="00B16400" w:rsidP="004341A3">
            <w:pPr>
              <w:widowControl w:val="0"/>
              <w:rPr>
                <w:sz w:val="16"/>
                <w:szCs w:val="16"/>
                <w:lang w:val="es-ES_tradnl"/>
              </w:rPr>
            </w:pPr>
            <w:r w:rsidRPr="00C75C7E">
              <w:rPr>
                <w:sz w:val="16"/>
                <w:szCs w:val="16"/>
                <w:lang w:val="es-ES_tradnl"/>
              </w:rPr>
              <w:t>Número de países que están en proceso de formular/adoptar estrategias o planes de desarrollo nacionales de P.I.</w:t>
            </w:r>
          </w:p>
        </w:tc>
        <w:tc>
          <w:tcPr>
            <w:tcW w:w="1155" w:type="pct"/>
            <w:shd w:val="clear" w:color="auto" w:fill="FFFFFF"/>
            <w:tcMar>
              <w:top w:w="113" w:type="dxa"/>
            </w:tcMar>
          </w:tcPr>
          <w:p w:rsidR="00B16400" w:rsidRPr="00C75C7E" w:rsidRDefault="00B16400" w:rsidP="004341A3">
            <w:pPr>
              <w:widowControl w:val="0"/>
              <w:rPr>
                <w:sz w:val="16"/>
                <w:szCs w:val="16"/>
                <w:lang w:val="es-ES_tradnl" w:bidi="th-TH"/>
              </w:rPr>
            </w:pPr>
            <w:r w:rsidRPr="00C75C7E">
              <w:rPr>
                <w:sz w:val="16"/>
                <w:szCs w:val="16"/>
                <w:lang w:val="es-ES_tradnl" w:bidi="th-TH"/>
              </w:rPr>
              <w:t>África (12 en total).</w:t>
            </w:r>
          </w:p>
          <w:p w:rsidR="00B16400" w:rsidRPr="00C75C7E" w:rsidRDefault="00B16400" w:rsidP="004341A3">
            <w:pPr>
              <w:widowControl w:val="0"/>
              <w:rPr>
                <w:sz w:val="16"/>
                <w:szCs w:val="16"/>
                <w:lang w:val="es-ES_tradnl" w:bidi="th-TH"/>
              </w:rPr>
            </w:pPr>
          </w:p>
          <w:p w:rsidR="00B16400" w:rsidRPr="00C75C7E" w:rsidRDefault="00B16400" w:rsidP="004341A3">
            <w:pPr>
              <w:widowControl w:val="0"/>
              <w:rPr>
                <w:sz w:val="16"/>
                <w:szCs w:val="16"/>
                <w:lang w:val="es-ES_tradnl" w:bidi="th-TH"/>
              </w:rPr>
            </w:pPr>
            <w:r w:rsidRPr="00C75C7E">
              <w:rPr>
                <w:sz w:val="16"/>
                <w:szCs w:val="16"/>
                <w:lang w:val="es-ES_tradnl" w:bidi="th-TH"/>
              </w:rPr>
              <w:t>Asia y el Pacífico (8).</w:t>
            </w:r>
          </w:p>
          <w:p w:rsidR="00B16400" w:rsidRPr="00C75C7E" w:rsidRDefault="00B16400" w:rsidP="004341A3">
            <w:pPr>
              <w:widowControl w:val="0"/>
              <w:rPr>
                <w:sz w:val="16"/>
                <w:szCs w:val="16"/>
                <w:lang w:val="es-ES_tradnl" w:bidi="th-TH"/>
              </w:rPr>
            </w:pPr>
          </w:p>
          <w:p w:rsidR="00B16400" w:rsidRPr="00C75C7E" w:rsidRDefault="00B16400" w:rsidP="004341A3">
            <w:pPr>
              <w:widowControl w:val="0"/>
              <w:rPr>
                <w:sz w:val="16"/>
                <w:szCs w:val="16"/>
                <w:lang w:val="es-ES_tradnl" w:bidi="th-TH"/>
              </w:rPr>
            </w:pPr>
          </w:p>
          <w:p w:rsidR="00B16400" w:rsidRPr="00C75C7E" w:rsidRDefault="00B16400" w:rsidP="004341A3">
            <w:pPr>
              <w:widowControl w:val="0"/>
              <w:rPr>
                <w:sz w:val="16"/>
                <w:szCs w:val="16"/>
                <w:lang w:val="es-ES_tradnl" w:bidi="th-TH"/>
              </w:rPr>
            </w:pPr>
            <w:r w:rsidRPr="00C75C7E">
              <w:rPr>
                <w:sz w:val="16"/>
                <w:szCs w:val="16"/>
                <w:lang w:val="es-ES_tradnl" w:bidi="th-TH"/>
              </w:rPr>
              <w:t>Región de los Países Árabes (4).</w:t>
            </w:r>
          </w:p>
          <w:p w:rsidR="00B16400" w:rsidRPr="00C75C7E" w:rsidRDefault="00B16400" w:rsidP="004341A3">
            <w:pPr>
              <w:widowControl w:val="0"/>
              <w:rPr>
                <w:sz w:val="16"/>
                <w:szCs w:val="16"/>
                <w:lang w:val="es-ES_tradnl" w:bidi="th-TH"/>
              </w:rPr>
            </w:pPr>
          </w:p>
          <w:p w:rsidR="00B16400" w:rsidRPr="00C75C7E" w:rsidRDefault="00B16400" w:rsidP="004341A3">
            <w:pPr>
              <w:widowControl w:val="0"/>
              <w:rPr>
                <w:sz w:val="16"/>
                <w:szCs w:val="16"/>
                <w:lang w:val="es-ES_tradnl" w:bidi="th-TH"/>
              </w:rPr>
            </w:pPr>
            <w:r w:rsidRPr="00C75C7E">
              <w:rPr>
                <w:sz w:val="16"/>
                <w:szCs w:val="16"/>
                <w:lang w:val="es-ES_tradnl" w:bidi="th-TH"/>
              </w:rPr>
              <w:t>América Latina y el Caribe (9).</w:t>
            </w:r>
          </w:p>
          <w:p w:rsidR="00B16400" w:rsidRPr="00C75C7E" w:rsidRDefault="00B16400" w:rsidP="004341A3">
            <w:pPr>
              <w:widowControl w:val="0"/>
              <w:rPr>
                <w:sz w:val="16"/>
                <w:szCs w:val="16"/>
                <w:lang w:val="es-ES_tradnl" w:bidi="th-TH"/>
              </w:rPr>
            </w:pPr>
          </w:p>
          <w:p w:rsidR="00B16400" w:rsidRPr="00C75C7E" w:rsidRDefault="00B16400" w:rsidP="004341A3">
            <w:pPr>
              <w:widowControl w:val="0"/>
              <w:rPr>
                <w:sz w:val="16"/>
                <w:szCs w:val="16"/>
                <w:lang w:val="es-ES_tradnl" w:bidi="th-TH"/>
              </w:rPr>
            </w:pPr>
            <w:r w:rsidRPr="00C75C7E">
              <w:rPr>
                <w:sz w:val="16"/>
                <w:szCs w:val="16"/>
                <w:lang w:val="es-ES_tradnl" w:bidi="th-TH"/>
              </w:rPr>
              <w:t xml:space="preserve">5 PMA incluidos en el desglose regional precedente. </w:t>
            </w:r>
          </w:p>
          <w:p w:rsidR="00B16400" w:rsidRPr="00C75C7E" w:rsidRDefault="00B16400" w:rsidP="004341A3">
            <w:pPr>
              <w:widowControl w:val="0"/>
              <w:rPr>
                <w:sz w:val="16"/>
                <w:szCs w:val="16"/>
                <w:lang w:val="es-ES_tradnl" w:bidi="th-TH"/>
              </w:rPr>
            </w:pPr>
          </w:p>
          <w:p w:rsidR="00B16400" w:rsidRPr="00C75C7E" w:rsidRDefault="00B16400" w:rsidP="004341A3">
            <w:pPr>
              <w:widowControl w:val="0"/>
              <w:rPr>
                <w:sz w:val="16"/>
                <w:szCs w:val="16"/>
                <w:lang w:val="es-ES_tradnl" w:bidi="th-TH"/>
              </w:rPr>
            </w:pPr>
          </w:p>
        </w:tc>
        <w:tc>
          <w:tcPr>
            <w:tcW w:w="1082" w:type="pct"/>
            <w:shd w:val="clear" w:color="auto" w:fill="auto"/>
            <w:tcMar>
              <w:top w:w="113" w:type="dxa"/>
            </w:tcMar>
          </w:tcPr>
          <w:p w:rsidR="00B16400" w:rsidRPr="00C75C7E" w:rsidRDefault="00B16400" w:rsidP="004341A3">
            <w:pPr>
              <w:widowControl w:val="0"/>
              <w:ind w:right="161"/>
              <w:rPr>
                <w:bCs/>
                <w:sz w:val="16"/>
                <w:szCs w:val="16"/>
                <w:lang w:val="es-ES_tradnl"/>
              </w:rPr>
            </w:pPr>
            <w:r w:rsidRPr="00C75C7E">
              <w:rPr>
                <w:bCs/>
                <w:sz w:val="16"/>
                <w:szCs w:val="16"/>
                <w:lang w:val="es-ES_tradnl"/>
              </w:rPr>
              <w:t>África (18 en total).</w:t>
            </w:r>
          </w:p>
          <w:p w:rsidR="00B16400" w:rsidRPr="00C75C7E" w:rsidRDefault="00B16400" w:rsidP="004341A3">
            <w:pPr>
              <w:widowControl w:val="0"/>
              <w:ind w:right="161"/>
              <w:rPr>
                <w:bCs/>
                <w:sz w:val="16"/>
                <w:szCs w:val="16"/>
                <w:lang w:val="es-ES_tradnl"/>
              </w:rPr>
            </w:pPr>
          </w:p>
          <w:p w:rsidR="00B16400" w:rsidRPr="00C75C7E" w:rsidRDefault="00B16400" w:rsidP="004341A3">
            <w:pPr>
              <w:widowControl w:val="0"/>
              <w:ind w:right="161"/>
              <w:rPr>
                <w:bCs/>
                <w:sz w:val="16"/>
                <w:szCs w:val="16"/>
                <w:lang w:val="es-ES_tradnl"/>
              </w:rPr>
            </w:pPr>
            <w:r w:rsidRPr="00C75C7E">
              <w:rPr>
                <w:bCs/>
                <w:sz w:val="16"/>
                <w:szCs w:val="16"/>
                <w:lang w:val="es-ES_tradnl"/>
              </w:rPr>
              <w:t>Asia y el Pacífico (13 en total)</w:t>
            </w:r>
          </w:p>
          <w:p w:rsidR="00B16400" w:rsidRPr="00C75C7E" w:rsidRDefault="00B16400" w:rsidP="004341A3">
            <w:pPr>
              <w:widowControl w:val="0"/>
              <w:ind w:right="161"/>
              <w:rPr>
                <w:bCs/>
                <w:sz w:val="16"/>
                <w:szCs w:val="16"/>
                <w:lang w:val="es-ES_tradnl"/>
              </w:rPr>
            </w:pPr>
          </w:p>
          <w:p w:rsidR="00B16400" w:rsidRPr="00C75C7E" w:rsidRDefault="00B16400" w:rsidP="004341A3">
            <w:pPr>
              <w:widowControl w:val="0"/>
              <w:ind w:right="161"/>
              <w:rPr>
                <w:bCs/>
                <w:sz w:val="16"/>
                <w:szCs w:val="16"/>
                <w:lang w:val="es-ES_tradnl"/>
              </w:rPr>
            </w:pPr>
            <w:r w:rsidRPr="00C75C7E">
              <w:rPr>
                <w:bCs/>
                <w:sz w:val="16"/>
                <w:szCs w:val="16"/>
                <w:lang w:val="es-ES_tradnl"/>
              </w:rPr>
              <w:t>Región de los Países Árabes (7 en total)</w:t>
            </w:r>
          </w:p>
          <w:p w:rsidR="00B16400" w:rsidRPr="00C75C7E" w:rsidRDefault="00B16400" w:rsidP="004341A3">
            <w:pPr>
              <w:widowControl w:val="0"/>
              <w:ind w:right="161"/>
              <w:rPr>
                <w:bCs/>
                <w:sz w:val="16"/>
                <w:szCs w:val="16"/>
                <w:lang w:val="es-ES_tradnl"/>
              </w:rPr>
            </w:pPr>
          </w:p>
          <w:p w:rsidR="00B16400" w:rsidRPr="00C75C7E" w:rsidRDefault="00B16400" w:rsidP="004341A3">
            <w:pPr>
              <w:widowControl w:val="0"/>
              <w:ind w:right="161"/>
              <w:rPr>
                <w:bCs/>
                <w:sz w:val="16"/>
                <w:szCs w:val="16"/>
                <w:lang w:val="es-ES_tradnl"/>
              </w:rPr>
            </w:pPr>
            <w:r w:rsidRPr="00C75C7E">
              <w:rPr>
                <w:bCs/>
                <w:sz w:val="16"/>
                <w:szCs w:val="16"/>
                <w:lang w:val="es-ES_tradnl"/>
              </w:rPr>
              <w:t>América Latina y el Caribe (13 en total)</w:t>
            </w:r>
          </w:p>
          <w:p w:rsidR="00B16400" w:rsidRPr="00C75C7E" w:rsidRDefault="00B16400" w:rsidP="004341A3">
            <w:pPr>
              <w:widowControl w:val="0"/>
              <w:ind w:right="161"/>
              <w:rPr>
                <w:bCs/>
                <w:sz w:val="16"/>
                <w:szCs w:val="16"/>
                <w:lang w:val="es-ES_tradnl"/>
              </w:rPr>
            </w:pPr>
          </w:p>
          <w:p w:rsidR="00B16400" w:rsidRPr="00C75C7E" w:rsidRDefault="00B16400" w:rsidP="004341A3">
            <w:pPr>
              <w:widowControl w:val="0"/>
              <w:rPr>
                <w:sz w:val="16"/>
                <w:szCs w:val="16"/>
                <w:lang w:val="es-ES_tradnl" w:bidi="th-TH"/>
              </w:rPr>
            </w:pPr>
            <w:r w:rsidRPr="00C75C7E">
              <w:rPr>
                <w:sz w:val="16"/>
                <w:szCs w:val="16"/>
                <w:lang w:val="es-ES_tradnl" w:bidi="th-TH"/>
              </w:rPr>
              <w:t xml:space="preserve">10 PMA incluidos en el desglose regional precedente. </w:t>
            </w:r>
          </w:p>
        </w:tc>
      </w:tr>
      <w:tr w:rsidR="00B16400" w:rsidRPr="00C75C7E" w:rsidTr="004341A3">
        <w:trPr>
          <w:cantSplit/>
          <w:trHeight w:val="2272"/>
        </w:trPr>
        <w:tc>
          <w:tcPr>
            <w:tcW w:w="1249" w:type="pct"/>
            <w:shd w:val="clear" w:color="auto" w:fill="auto"/>
            <w:tcMar>
              <w:top w:w="113" w:type="dxa"/>
            </w:tcMar>
          </w:tcPr>
          <w:p w:rsidR="00B16400" w:rsidRPr="00C75C7E" w:rsidRDefault="00B16400" w:rsidP="004341A3">
            <w:pPr>
              <w:widowControl w:val="0"/>
              <w:rPr>
                <w:sz w:val="16"/>
                <w:szCs w:val="16"/>
                <w:lang w:val="es-ES_tradnl"/>
              </w:rPr>
            </w:pPr>
          </w:p>
        </w:tc>
        <w:tc>
          <w:tcPr>
            <w:tcW w:w="1514" w:type="pct"/>
            <w:shd w:val="clear" w:color="auto" w:fill="auto"/>
            <w:tcMar>
              <w:top w:w="113" w:type="dxa"/>
            </w:tcMar>
          </w:tcPr>
          <w:p w:rsidR="00B16400" w:rsidRPr="00C75C7E" w:rsidRDefault="00B16400" w:rsidP="004341A3">
            <w:pPr>
              <w:widowControl w:val="0"/>
              <w:rPr>
                <w:sz w:val="16"/>
                <w:szCs w:val="16"/>
                <w:lang w:val="es-ES_tradnl"/>
              </w:rPr>
            </w:pPr>
            <w:r w:rsidRPr="00C75C7E">
              <w:rPr>
                <w:sz w:val="16"/>
                <w:szCs w:val="16"/>
                <w:lang w:val="es-ES_tradnl"/>
              </w:rPr>
              <w:t>Número de países que han adoptado o aplicado estrategias o planes de desarrollo nacionales de P.I.</w:t>
            </w:r>
          </w:p>
        </w:tc>
        <w:tc>
          <w:tcPr>
            <w:tcW w:w="1155" w:type="pct"/>
            <w:shd w:val="clear" w:color="auto" w:fill="FFFFFF"/>
            <w:tcMar>
              <w:top w:w="113" w:type="dxa"/>
            </w:tcMar>
          </w:tcPr>
          <w:p w:rsidR="00B16400" w:rsidRPr="00C75C7E" w:rsidRDefault="00B16400" w:rsidP="004341A3">
            <w:pPr>
              <w:widowControl w:val="0"/>
              <w:rPr>
                <w:sz w:val="16"/>
                <w:szCs w:val="16"/>
                <w:lang w:val="es-ES_tradnl" w:bidi="th-TH"/>
              </w:rPr>
            </w:pPr>
            <w:r w:rsidRPr="00C75C7E">
              <w:rPr>
                <w:sz w:val="16"/>
                <w:szCs w:val="16"/>
                <w:lang w:val="es-ES_tradnl" w:bidi="th-TH"/>
              </w:rPr>
              <w:t>África (4).</w:t>
            </w:r>
          </w:p>
          <w:p w:rsidR="00B16400" w:rsidRPr="00C75C7E" w:rsidRDefault="00B16400" w:rsidP="004341A3">
            <w:pPr>
              <w:widowControl w:val="0"/>
              <w:rPr>
                <w:sz w:val="16"/>
                <w:szCs w:val="16"/>
                <w:lang w:val="es-ES_tradnl" w:bidi="th-TH"/>
              </w:rPr>
            </w:pPr>
          </w:p>
          <w:p w:rsidR="00B16400" w:rsidRPr="00C75C7E" w:rsidRDefault="00B16400" w:rsidP="004341A3">
            <w:pPr>
              <w:widowControl w:val="0"/>
              <w:rPr>
                <w:sz w:val="16"/>
                <w:szCs w:val="16"/>
                <w:lang w:val="es-ES_tradnl" w:bidi="th-TH"/>
              </w:rPr>
            </w:pPr>
            <w:r w:rsidRPr="00C75C7E">
              <w:rPr>
                <w:sz w:val="16"/>
                <w:szCs w:val="16"/>
                <w:lang w:val="es-ES_tradnl" w:bidi="th-TH"/>
              </w:rPr>
              <w:t>Región de los Países Árabes (3).</w:t>
            </w:r>
          </w:p>
          <w:p w:rsidR="00B16400" w:rsidRPr="00C75C7E" w:rsidRDefault="00B16400" w:rsidP="004341A3">
            <w:pPr>
              <w:widowControl w:val="0"/>
              <w:rPr>
                <w:sz w:val="16"/>
                <w:szCs w:val="16"/>
                <w:lang w:val="es-ES_tradnl" w:bidi="th-TH"/>
              </w:rPr>
            </w:pPr>
          </w:p>
          <w:p w:rsidR="00B16400" w:rsidRPr="00C75C7E" w:rsidRDefault="00B16400" w:rsidP="004341A3">
            <w:pPr>
              <w:widowControl w:val="0"/>
              <w:rPr>
                <w:sz w:val="16"/>
                <w:szCs w:val="16"/>
                <w:lang w:val="es-ES_tradnl" w:bidi="th-TH"/>
              </w:rPr>
            </w:pPr>
            <w:r w:rsidRPr="00C75C7E">
              <w:rPr>
                <w:sz w:val="16"/>
                <w:szCs w:val="16"/>
                <w:lang w:val="es-ES_tradnl" w:bidi="th-TH"/>
              </w:rPr>
              <w:t>Asia y el Pacífico (3).</w:t>
            </w:r>
          </w:p>
          <w:p w:rsidR="00B16400" w:rsidRPr="00C75C7E" w:rsidRDefault="00B16400" w:rsidP="004341A3">
            <w:pPr>
              <w:widowControl w:val="0"/>
              <w:rPr>
                <w:sz w:val="16"/>
                <w:szCs w:val="16"/>
                <w:lang w:val="es-ES_tradnl" w:bidi="th-TH"/>
              </w:rPr>
            </w:pPr>
          </w:p>
          <w:p w:rsidR="00B16400" w:rsidRPr="00C75C7E" w:rsidRDefault="00B16400" w:rsidP="004341A3">
            <w:pPr>
              <w:widowControl w:val="0"/>
              <w:rPr>
                <w:sz w:val="16"/>
                <w:szCs w:val="16"/>
                <w:lang w:val="es-ES_tradnl" w:bidi="th-TH"/>
              </w:rPr>
            </w:pPr>
          </w:p>
          <w:p w:rsidR="00B16400" w:rsidRPr="00C75C7E" w:rsidRDefault="00B16400" w:rsidP="004341A3">
            <w:pPr>
              <w:widowControl w:val="0"/>
              <w:rPr>
                <w:sz w:val="16"/>
                <w:szCs w:val="16"/>
                <w:lang w:val="es-ES_tradnl" w:bidi="th-TH"/>
              </w:rPr>
            </w:pPr>
            <w:r w:rsidRPr="00C75C7E">
              <w:rPr>
                <w:sz w:val="16"/>
                <w:szCs w:val="16"/>
                <w:lang w:val="es-ES_tradnl" w:bidi="th-TH"/>
              </w:rPr>
              <w:t>América Latina y el Caribe (4).</w:t>
            </w:r>
          </w:p>
          <w:p w:rsidR="00B16400" w:rsidRPr="00C75C7E" w:rsidRDefault="00B16400" w:rsidP="004341A3">
            <w:pPr>
              <w:widowControl w:val="0"/>
              <w:rPr>
                <w:sz w:val="16"/>
                <w:szCs w:val="16"/>
                <w:lang w:val="es-ES_tradnl" w:bidi="th-TH"/>
              </w:rPr>
            </w:pPr>
          </w:p>
          <w:p w:rsidR="00B16400" w:rsidRPr="00C75C7E" w:rsidRDefault="00B16400" w:rsidP="004341A3">
            <w:pPr>
              <w:widowControl w:val="0"/>
              <w:rPr>
                <w:sz w:val="16"/>
                <w:szCs w:val="16"/>
                <w:lang w:val="es-ES_tradnl" w:bidi="th-TH"/>
              </w:rPr>
            </w:pPr>
            <w:r w:rsidRPr="00C75C7E">
              <w:rPr>
                <w:sz w:val="16"/>
                <w:szCs w:val="16"/>
                <w:lang w:val="es-ES_tradnl" w:bidi="th-TH"/>
              </w:rPr>
              <w:t>5 PMA incluidos en el desglose regional precedente.</w:t>
            </w:r>
          </w:p>
        </w:tc>
        <w:tc>
          <w:tcPr>
            <w:tcW w:w="1082" w:type="pct"/>
            <w:shd w:val="clear" w:color="auto" w:fill="auto"/>
            <w:tcMar>
              <w:top w:w="113" w:type="dxa"/>
            </w:tcMar>
          </w:tcPr>
          <w:p w:rsidR="00B16400" w:rsidRPr="00C75C7E" w:rsidRDefault="00B16400" w:rsidP="004341A3">
            <w:pPr>
              <w:widowControl w:val="0"/>
              <w:ind w:right="161"/>
              <w:rPr>
                <w:bCs/>
                <w:sz w:val="16"/>
                <w:szCs w:val="16"/>
                <w:lang w:val="es-ES_tradnl"/>
              </w:rPr>
            </w:pPr>
            <w:r w:rsidRPr="00C75C7E">
              <w:rPr>
                <w:bCs/>
                <w:sz w:val="16"/>
                <w:szCs w:val="16"/>
                <w:lang w:val="es-ES_tradnl"/>
              </w:rPr>
              <w:t>África (6 en total).</w:t>
            </w:r>
          </w:p>
          <w:p w:rsidR="00B16400" w:rsidRPr="00C75C7E" w:rsidRDefault="00B16400" w:rsidP="004341A3">
            <w:pPr>
              <w:widowControl w:val="0"/>
              <w:ind w:right="161"/>
              <w:rPr>
                <w:bCs/>
                <w:sz w:val="16"/>
                <w:szCs w:val="16"/>
                <w:lang w:val="es-ES_tradnl"/>
              </w:rPr>
            </w:pPr>
          </w:p>
          <w:p w:rsidR="00B16400" w:rsidRPr="00C75C7E" w:rsidRDefault="00B16400" w:rsidP="004341A3">
            <w:pPr>
              <w:widowControl w:val="0"/>
              <w:ind w:right="161"/>
              <w:rPr>
                <w:bCs/>
                <w:sz w:val="16"/>
                <w:szCs w:val="16"/>
                <w:lang w:val="es-ES_tradnl"/>
              </w:rPr>
            </w:pPr>
            <w:r w:rsidRPr="00C75C7E">
              <w:rPr>
                <w:bCs/>
                <w:sz w:val="16"/>
                <w:szCs w:val="16"/>
                <w:lang w:val="es-ES_tradnl"/>
              </w:rPr>
              <w:t>Región de los Países Árabes (6) en total</w:t>
            </w:r>
          </w:p>
          <w:p w:rsidR="00B16400" w:rsidRPr="00C75C7E" w:rsidRDefault="00B16400" w:rsidP="004341A3">
            <w:pPr>
              <w:widowControl w:val="0"/>
              <w:ind w:right="161"/>
              <w:rPr>
                <w:bCs/>
                <w:sz w:val="16"/>
                <w:szCs w:val="16"/>
                <w:lang w:val="es-ES_tradnl"/>
              </w:rPr>
            </w:pPr>
          </w:p>
          <w:p w:rsidR="00B16400" w:rsidRPr="00C75C7E" w:rsidRDefault="00B16400" w:rsidP="004341A3">
            <w:pPr>
              <w:widowControl w:val="0"/>
              <w:ind w:right="161"/>
              <w:rPr>
                <w:bCs/>
                <w:sz w:val="16"/>
                <w:szCs w:val="16"/>
                <w:lang w:val="es-ES_tradnl"/>
              </w:rPr>
            </w:pPr>
            <w:r w:rsidRPr="00872D10">
              <w:rPr>
                <w:bCs/>
                <w:sz w:val="16"/>
                <w:szCs w:val="16"/>
                <w:lang w:val="es-ES_tradnl"/>
              </w:rPr>
              <w:t>Asia y el Pacífico (7)</w:t>
            </w:r>
            <w:r w:rsidRPr="00C75C7E">
              <w:rPr>
                <w:bCs/>
                <w:sz w:val="16"/>
                <w:szCs w:val="16"/>
                <w:lang w:val="es-ES_tradnl"/>
              </w:rPr>
              <w:t xml:space="preserve"> en total</w:t>
            </w:r>
          </w:p>
          <w:p w:rsidR="00B16400" w:rsidRPr="00C75C7E" w:rsidRDefault="00B16400" w:rsidP="004341A3">
            <w:pPr>
              <w:widowControl w:val="0"/>
              <w:ind w:right="161"/>
              <w:rPr>
                <w:bCs/>
                <w:sz w:val="16"/>
                <w:szCs w:val="16"/>
                <w:lang w:val="es-ES_tradnl"/>
              </w:rPr>
            </w:pPr>
          </w:p>
          <w:p w:rsidR="00B16400" w:rsidRPr="00C75C7E" w:rsidRDefault="00B16400" w:rsidP="004341A3">
            <w:pPr>
              <w:widowControl w:val="0"/>
              <w:ind w:right="161"/>
              <w:rPr>
                <w:bCs/>
                <w:sz w:val="16"/>
                <w:szCs w:val="16"/>
                <w:lang w:val="es-ES_tradnl"/>
              </w:rPr>
            </w:pPr>
            <w:r w:rsidRPr="00C75C7E">
              <w:rPr>
                <w:bCs/>
                <w:sz w:val="16"/>
                <w:szCs w:val="16"/>
                <w:lang w:val="es-ES_tradnl"/>
              </w:rPr>
              <w:t>América Latina y el Caribe (12).</w:t>
            </w:r>
          </w:p>
          <w:p w:rsidR="00B16400" w:rsidRPr="00C75C7E" w:rsidRDefault="00B16400" w:rsidP="004341A3">
            <w:pPr>
              <w:widowControl w:val="0"/>
              <w:ind w:right="161"/>
              <w:rPr>
                <w:bCs/>
                <w:sz w:val="16"/>
                <w:szCs w:val="16"/>
                <w:lang w:val="es-ES_tradnl"/>
              </w:rPr>
            </w:pPr>
          </w:p>
          <w:p w:rsidR="00B16400" w:rsidRPr="00C75C7E" w:rsidRDefault="00B16400" w:rsidP="004341A3">
            <w:pPr>
              <w:widowControl w:val="0"/>
              <w:ind w:right="161"/>
              <w:rPr>
                <w:bCs/>
                <w:sz w:val="16"/>
                <w:szCs w:val="16"/>
                <w:lang w:val="es-ES_tradnl"/>
              </w:rPr>
            </w:pPr>
            <w:r w:rsidRPr="00C75C7E">
              <w:rPr>
                <w:sz w:val="16"/>
                <w:szCs w:val="16"/>
                <w:lang w:val="es-ES_tradnl" w:bidi="th-TH"/>
              </w:rPr>
              <w:t>11 PMA incluidos en el desglose regional precedente.</w:t>
            </w:r>
          </w:p>
        </w:tc>
      </w:tr>
      <w:tr w:rsidR="00B16400" w:rsidRPr="00C75C7E" w:rsidTr="004341A3">
        <w:trPr>
          <w:cantSplit/>
          <w:trHeight w:val="1680"/>
        </w:trPr>
        <w:tc>
          <w:tcPr>
            <w:tcW w:w="1249" w:type="pct"/>
            <w:vMerge w:val="restart"/>
            <w:shd w:val="clear" w:color="auto" w:fill="auto"/>
            <w:tcMar>
              <w:top w:w="113" w:type="dxa"/>
            </w:tcMar>
          </w:tcPr>
          <w:p w:rsidR="00B16400" w:rsidRPr="00C75C7E" w:rsidRDefault="00B16400" w:rsidP="004341A3">
            <w:pPr>
              <w:widowControl w:val="0"/>
              <w:rPr>
                <w:sz w:val="16"/>
                <w:szCs w:val="16"/>
                <w:lang w:val="es-ES_tradnl"/>
              </w:rPr>
            </w:pPr>
            <w:r w:rsidRPr="00C75C7E">
              <w:rPr>
                <w:sz w:val="16"/>
                <w:szCs w:val="16"/>
                <w:lang w:val="es-ES_tradnl"/>
              </w:rPr>
              <w:lastRenderedPageBreak/>
              <w:t>III.2 Mejora de las capacidades en el ámbito de los recursos humanos para hacer frente al amplio espectro de exigencias que supone la utilización eficaz de la P.I. en aras del desarrollo en los países en desarrollo, PMA y países con economías en transición.</w:t>
            </w:r>
          </w:p>
        </w:tc>
        <w:tc>
          <w:tcPr>
            <w:tcW w:w="1514" w:type="pct"/>
            <w:shd w:val="clear" w:color="auto" w:fill="auto"/>
            <w:tcMar>
              <w:top w:w="113" w:type="dxa"/>
            </w:tcMar>
          </w:tcPr>
          <w:p w:rsidR="00B16400" w:rsidRPr="00C75C7E" w:rsidRDefault="00B16400" w:rsidP="004341A3">
            <w:pPr>
              <w:widowControl w:val="0"/>
              <w:rPr>
                <w:sz w:val="16"/>
                <w:szCs w:val="16"/>
                <w:lang w:val="es-ES_tradnl"/>
              </w:rPr>
            </w:pPr>
            <w:r w:rsidRPr="00C75C7E">
              <w:rPr>
                <w:sz w:val="16"/>
                <w:szCs w:val="16"/>
                <w:lang w:val="es-ES_tradnl"/>
              </w:rPr>
              <w:t>Porcentaje de participantes en actividades de la OMPI que se muestran satisfechos del contenido y la organización de dichos actos.</w:t>
            </w:r>
          </w:p>
        </w:tc>
        <w:tc>
          <w:tcPr>
            <w:tcW w:w="1155" w:type="pct"/>
            <w:shd w:val="clear" w:color="auto" w:fill="FFFFFF"/>
            <w:tcMar>
              <w:top w:w="113" w:type="dxa"/>
            </w:tcMar>
          </w:tcPr>
          <w:p w:rsidR="00B16400" w:rsidRPr="00C75C7E" w:rsidRDefault="00B16400" w:rsidP="004341A3">
            <w:pPr>
              <w:widowControl w:val="0"/>
              <w:rPr>
                <w:sz w:val="16"/>
                <w:szCs w:val="16"/>
                <w:lang w:val="es-ES_tradnl" w:bidi="th-TH"/>
              </w:rPr>
            </w:pPr>
            <w:r w:rsidRPr="00C75C7E">
              <w:rPr>
                <w:sz w:val="16"/>
                <w:szCs w:val="16"/>
                <w:lang w:val="es-ES_tradnl" w:bidi="th-TH"/>
              </w:rPr>
              <w:t>No se dispone de datos.</w:t>
            </w:r>
          </w:p>
        </w:tc>
        <w:tc>
          <w:tcPr>
            <w:tcW w:w="1082" w:type="pct"/>
            <w:shd w:val="clear" w:color="auto" w:fill="auto"/>
            <w:tcMar>
              <w:top w:w="113" w:type="dxa"/>
            </w:tcMar>
          </w:tcPr>
          <w:p w:rsidR="00B16400" w:rsidRPr="00C75C7E" w:rsidRDefault="00B16400" w:rsidP="004341A3">
            <w:pPr>
              <w:widowControl w:val="0"/>
              <w:ind w:right="161"/>
              <w:rPr>
                <w:bCs/>
                <w:sz w:val="16"/>
                <w:szCs w:val="16"/>
                <w:lang w:val="es-ES_tradnl"/>
              </w:rPr>
            </w:pPr>
            <w:r w:rsidRPr="00C75C7E">
              <w:rPr>
                <w:bCs/>
                <w:sz w:val="16"/>
                <w:szCs w:val="16"/>
                <w:lang w:val="es-ES_tradnl"/>
              </w:rPr>
              <w:t>África (70).</w:t>
            </w:r>
          </w:p>
          <w:p w:rsidR="00B16400" w:rsidRPr="00C75C7E" w:rsidRDefault="00B16400" w:rsidP="004341A3">
            <w:pPr>
              <w:widowControl w:val="0"/>
              <w:ind w:right="161"/>
              <w:rPr>
                <w:bCs/>
                <w:sz w:val="16"/>
                <w:szCs w:val="16"/>
                <w:lang w:val="es-ES_tradnl"/>
              </w:rPr>
            </w:pPr>
          </w:p>
          <w:p w:rsidR="00B16400" w:rsidRPr="00C75C7E" w:rsidRDefault="00B16400" w:rsidP="004341A3">
            <w:pPr>
              <w:widowControl w:val="0"/>
              <w:ind w:right="161"/>
              <w:rPr>
                <w:bCs/>
                <w:sz w:val="16"/>
                <w:szCs w:val="16"/>
                <w:lang w:val="es-ES_tradnl"/>
              </w:rPr>
            </w:pPr>
            <w:r w:rsidRPr="00C75C7E">
              <w:rPr>
                <w:bCs/>
                <w:sz w:val="16"/>
                <w:szCs w:val="16"/>
                <w:lang w:val="es-ES_tradnl"/>
              </w:rPr>
              <w:t>Región de los Países Árabes (80).</w:t>
            </w:r>
          </w:p>
          <w:p w:rsidR="00B16400" w:rsidRPr="00C75C7E" w:rsidRDefault="00B16400" w:rsidP="004341A3">
            <w:pPr>
              <w:widowControl w:val="0"/>
              <w:ind w:right="161"/>
              <w:rPr>
                <w:bCs/>
                <w:sz w:val="16"/>
                <w:szCs w:val="16"/>
                <w:lang w:val="es-ES_tradnl"/>
              </w:rPr>
            </w:pPr>
          </w:p>
          <w:p w:rsidR="00B16400" w:rsidRPr="00C75C7E" w:rsidRDefault="00B16400" w:rsidP="004341A3">
            <w:pPr>
              <w:widowControl w:val="0"/>
              <w:ind w:right="161"/>
              <w:rPr>
                <w:bCs/>
                <w:sz w:val="16"/>
                <w:szCs w:val="16"/>
                <w:lang w:val="es-ES_tradnl"/>
              </w:rPr>
            </w:pPr>
            <w:r w:rsidRPr="00C75C7E">
              <w:rPr>
                <w:bCs/>
                <w:sz w:val="16"/>
                <w:szCs w:val="16"/>
                <w:lang w:val="es-ES_tradnl"/>
              </w:rPr>
              <w:t>Asia y el Pacífico (65).</w:t>
            </w:r>
          </w:p>
          <w:p w:rsidR="00B16400" w:rsidRPr="00C75C7E" w:rsidRDefault="00B16400" w:rsidP="004341A3">
            <w:pPr>
              <w:widowControl w:val="0"/>
              <w:ind w:right="161"/>
              <w:rPr>
                <w:bCs/>
                <w:sz w:val="16"/>
                <w:szCs w:val="16"/>
                <w:lang w:val="es-ES_tradnl"/>
              </w:rPr>
            </w:pPr>
          </w:p>
          <w:p w:rsidR="00B16400" w:rsidRPr="00C75C7E" w:rsidRDefault="00B16400" w:rsidP="004341A3">
            <w:pPr>
              <w:widowControl w:val="0"/>
              <w:ind w:right="161"/>
              <w:rPr>
                <w:bCs/>
                <w:sz w:val="16"/>
                <w:szCs w:val="16"/>
                <w:lang w:val="es-ES_tradnl"/>
              </w:rPr>
            </w:pPr>
            <w:r w:rsidRPr="00C75C7E">
              <w:rPr>
                <w:bCs/>
                <w:sz w:val="16"/>
                <w:szCs w:val="16"/>
                <w:lang w:val="es-ES_tradnl"/>
              </w:rPr>
              <w:t xml:space="preserve">América Latina y el Caribe (80). </w:t>
            </w:r>
          </w:p>
          <w:p w:rsidR="00B16400" w:rsidRPr="00C75C7E" w:rsidRDefault="00B16400" w:rsidP="004341A3">
            <w:pPr>
              <w:widowControl w:val="0"/>
              <w:ind w:right="161"/>
              <w:rPr>
                <w:bCs/>
                <w:sz w:val="16"/>
                <w:szCs w:val="16"/>
                <w:lang w:val="es-ES_tradnl"/>
              </w:rPr>
            </w:pPr>
          </w:p>
          <w:p w:rsidR="00B16400" w:rsidRPr="00C75C7E" w:rsidRDefault="00B16400" w:rsidP="004341A3">
            <w:pPr>
              <w:widowControl w:val="0"/>
              <w:ind w:right="161"/>
              <w:rPr>
                <w:bCs/>
                <w:sz w:val="16"/>
                <w:szCs w:val="16"/>
                <w:lang w:val="es-ES_tradnl"/>
              </w:rPr>
            </w:pPr>
            <w:r w:rsidRPr="00C75C7E">
              <w:rPr>
                <w:bCs/>
                <w:sz w:val="16"/>
                <w:szCs w:val="16"/>
                <w:lang w:val="es-ES_tradnl"/>
              </w:rPr>
              <w:t>PMA (80%).</w:t>
            </w:r>
          </w:p>
        </w:tc>
      </w:tr>
      <w:tr w:rsidR="00B16400" w:rsidRPr="00C75C7E" w:rsidTr="004341A3">
        <w:trPr>
          <w:cantSplit/>
          <w:trHeight w:val="1839"/>
        </w:trPr>
        <w:tc>
          <w:tcPr>
            <w:tcW w:w="1249" w:type="pct"/>
            <w:vMerge/>
            <w:shd w:val="clear" w:color="auto" w:fill="auto"/>
            <w:tcMar>
              <w:top w:w="113" w:type="dxa"/>
            </w:tcMar>
          </w:tcPr>
          <w:p w:rsidR="00B16400" w:rsidRPr="00C75C7E" w:rsidRDefault="00B16400" w:rsidP="004341A3">
            <w:pPr>
              <w:widowControl w:val="0"/>
              <w:rPr>
                <w:sz w:val="16"/>
                <w:szCs w:val="16"/>
                <w:lang w:val="es-ES_tradnl"/>
              </w:rPr>
            </w:pPr>
          </w:p>
        </w:tc>
        <w:tc>
          <w:tcPr>
            <w:tcW w:w="1514" w:type="pct"/>
            <w:shd w:val="clear" w:color="auto" w:fill="auto"/>
            <w:tcMar>
              <w:top w:w="113" w:type="dxa"/>
            </w:tcMar>
          </w:tcPr>
          <w:p w:rsidR="00B16400" w:rsidRPr="00C75C7E" w:rsidRDefault="00B16400" w:rsidP="004341A3">
            <w:pPr>
              <w:widowControl w:val="0"/>
              <w:rPr>
                <w:sz w:val="16"/>
                <w:szCs w:val="16"/>
                <w:lang w:val="es-ES_tradnl"/>
              </w:rPr>
            </w:pPr>
            <w:r w:rsidRPr="00C75C7E">
              <w:rPr>
                <w:sz w:val="16"/>
                <w:szCs w:val="16"/>
                <w:lang w:val="es-ES_tradnl"/>
              </w:rPr>
              <w:t>Porcentaje de participantes en talleres de la OMPI que aplican las capacidades adquiridas en su labor/empresa.</w:t>
            </w:r>
          </w:p>
        </w:tc>
        <w:tc>
          <w:tcPr>
            <w:tcW w:w="1155" w:type="pct"/>
            <w:shd w:val="clear" w:color="auto" w:fill="FFFFFF"/>
            <w:tcMar>
              <w:top w:w="113" w:type="dxa"/>
            </w:tcMar>
          </w:tcPr>
          <w:p w:rsidR="00B16400" w:rsidRPr="00C75C7E" w:rsidRDefault="00B16400" w:rsidP="004341A3">
            <w:pPr>
              <w:widowControl w:val="0"/>
              <w:rPr>
                <w:sz w:val="16"/>
                <w:szCs w:val="16"/>
                <w:lang w:val="es-ES_tradnl" w:bidi="th-TH"/>
              </w:rPr>
            </w:pPr>
            <w:r w:rsidRPr="00C75C7E">
              <w:rPr>
                <w:sz w:val="16"/>
                <w:szCs w:val="16"/>
                <w:lang w:val="es-ES_tradnl" w:bidi="th-TH"/>
              </w:rPr>
              <w:t>Información no disponible.</w:t>
            </w:r>
          </w:p>
          <w:p w:rsidR="00B16400" w:rsidRPr="00C75C7E" w:rsidRDefault="00B16400" w:rsidP="004341A3">
            <w:pPr>
              <w:widowControl w:val="0"/>
              <w:rPr>
                <w:sz w:val="16"/>
                <w:szCs w:val="16"/>
                <w:lang w:val="es-ES_tradnl" w:bidi="th-TH"/>
              </w:rPr>
            </w:pPr>
          </w:p>
          <w:p w:rsidR="00B16400" w:rsidRPr="00C75C7E" w:rsidRDefault="00B16400" w:rsidP="004341A3">
            <w:pPr>
              <w:widowControl w:val="0"/>
              <w:ind w:right="3"/>
              <w:rPr>
                <w:bCs/>
                <w:sz w:val="16"/>
                <w:szCs w:val="16"/>
                <w:lang w:val="es-ES_tradnl"/>
              </w:rPr>
            </w:pPr>
            <w:r w:rsidRPr="00C75C7E">
              <w:rPr>
                <w:bCs/>
                <w:sz w:val="16"/>
                <w:szCs w:val="16"/>
                <w:lang w:val="es-ES_tradnl"/>
              </w:rPr>
              <w:t>Asia y el Pacífico (65).</w:t>
            </w:r>
          </w:p>
          <w:p w:rsidR="00B16400" w:rsidRPr="00C75C7E" w:rsidRDefault="00B16400" w:rsidP="004341A3">
            <w:pPr>
              <w:widowControl w:val="0"/>
              <w:rPr>
                <w:sz w:val="16"/>
                <w:szCs w:val="16"/>
                <w:lang w:val="es-ES_tradnl" w:bidi="th-TH"/>
              </w:rPr>
            </w:pPr>
          </w:p>
          <w:p w:rsidR="00B16400" w:rsidRPr="00C75C7E" w:rsidRDefault="00B16400" w:rsidP="004341A3">
            <w:pPr>
              <w:widowControl w:val="0"/>
              <w:rPr>
                <w:sz w:val="16"/>
                <w:szCs w:val="16"/>
                <w:lang w:val="es-ES_tradnl" w:bidi="th-TH"/>
              </w:rPr>
            </w:pPr>
            <w:r w:rsidRPr="00C75C7E">
              <w:rPr>
                <w:sz w:val="16"/>
                <w:szCs w:val="16"/>
                <w:lang w:val="es-ES_tradnl" w:bidi="th-TH"/>
              </w:rPr>
              <w:t>Información no disponible.</w:t>
            </w:r>
          </w:p>
          <w:p w:rsidR="00B16400" w:rsidRPr="00C75C7E" w:rsidRDefault="00B16400" w:rsidP="004341A3">
            <w:pPr>
              <w:widowControl w:val="0"/>
              <w:rPr>
                <w:sz w:val="16"/>
                <w:szCs w:val="16"/>
                <w:lang w:val="es-ES_tradnl" w:bidi="th-TH"/>
              </w:rPr>
            </w:pPr>
          </w:p>
          <w:p w:rsidR="00B16400" w:rsidRPr="00C75C7E" w:rsidRDefault="00B16400" w:rsidP="004341A3">
            <w:pPr>
              <w:widowControl w:val="0"/>
              <w:rPr>
                <w:sz w:val="16"/>
                <w:szCs w:val="16"/>
                <w:lang w:val="es-ES_tradnl" w:bidi="th-TH"/>
              </w:rPr>
            </w:pPr>
            <w:r w:rsidRPr="00C75C7E">
              <w:rPr>
                <w:sz w:val="16"/>
                <w:szCs w:val="16"/>
                <w:lang w:val="es-ES_tradnl" w:bidi="th-TH"/>
              </w:rPr>
              <w:t>Información no disponible.</w:t>
            </w:r>
          </w:p>
          <w:p w:rsidR="00B16400" w:rsidRPr="00C75C7E" w:rsidRDefault="00B16400" w:rsidP="004341A3">
            <w:pPr>
              <w:widowControl w:val="0"/>
              <w:rPr>
                <w:sz w:val="16"/>
                <w:szCs w:val="16"/>
                <w:lang w:val="es-ES_tradnl" w:bidi="th-TH"/>
              </w:rPr>
            </w:pPr>
          </w:p>
          <w:p w:rsidR="00B16400" w:rsidRPr="00C75C7E" w:rsidRDefault="00B16400" w:rsidP="004341A3">
            <w:pPr>
              <w:widowControl w:val="0"/>
              <w:rPr>
                <w:sz w:val="16"/>
                <w:szCs w:val="16"/>
                <w:lang w:val="es-ES_tradnl" w:bidi="th-TH"/>
              </w:rPr>
            </w:pPr>
          </w:p>
          <w:p w:rsidR="00B16400" w:rsidRPr="00C75C7E" w:rsidRDefault="00B16400" w:rsidP="004341A3">
            <w:pPr>
              <w:widowControl w:val="0"/>
              <w:rPr>
                <w:sz w:val="16"/>
                <w:szCs w:val="16"/>
                <w:lang w:val="es-ES_tradnl" w:bidi="th-TH"/>
              </w:rPr>
            </w:pPr>
            <w:r w:rsidRPr="00C75C7E">
              <w:rPr>
                <w:sz w:val="16"/>
                <w:szCs w:val="16"/>
                <w:lang w:val="es-ES_tradnl" w:bidi="th-TH"/>
              </w:rPr>
              <w:t>Información no disponible.</w:t>
            </w:r>
          </w:p>
        </w:tc>
        <w:tc>
          <w:tcPr>
            <w:tcW w:w="1082" w:type="pct"/>
            <w:shd w:val="clear" w:color="auto" w:fill="auto"/>
            <w:tcMar>
              <w:top w:w="113" w:type="dxa"/>
            </w:tcMar>
          </w:tcPr>
          <w:p w:rsidR="00B16400" w:rsidRPr="00C75C7E" w:rsidRDefault="00B16400" w:rsidP="004341A3">
            <w:pPr>
              <w:widowControl w:val="0"/>
              <w:ind w:right="161"/>
              <w:rPr>
                <w:bCs/>
                <w:sz w:val="16"/>
                <w:szCs w:val="16"/>
                <w:lang w:val="es-ES_tradnl"/>
              </w:rPr>
            </w:pPr>
            <w:r w:rsidRPr="00C75C7E">
              <w:rPr>
                <w:bCs/>
                <w:sz w:val="16"/>
                <w:szCs w:val="16"/>
                <w:lang w:val="es-ES_tradnl"/>
              </w:rPr>
              <w:t>África (70).</w:t>
            </w:r>
          </w:p>
          <w:p w:rsidR="00B16400" w:rsidRPr="00C75C7E" w:rsidRDefault="00B16400" w:rsidP="004341A3">
            <w:pPr>
              <w:widowControl w:val="0"/>
              <w:ind w:right="161"/>
              <w:rPr>
                <w:bCs/>
                <w:sz w:val="16"/>
                <w:szCs w:val="16"/>
                <w:lang w:val="es-ES_tradnl"/>
              </w:rPr>
            </w:pPr>
          </w:p>
          <w:p w:rsidR="00B16400" w:rsidRPr="00C75C7E" w:rsidRDefault="00B16400" w:rsidP="004341A3">
            <w:pPr>
              <w:widowControl w:val="0"/>
              <w:ind w:right="3"/>
              <w:rPr>
                <w:bCs/>
                <w:sz w:val="16"/>
                <w:szCs w:val="16"/>
                <w:lang w:val="es-ES_tradnl"/>
              </w:rPr>
            </w:pPr>
            <w:r w:rsidRPr="00C75C7E">
              <w:rPr>
                <w:bCs/>
                <w:sz w:val="16"/>
                <w:szCs w:val="16"/>
                <w:lang w:val="es-ES_tradnl"/>
              </w:rPr>
              <w:t>Asia y el Pacífico (65).</w:t>
            </w:r>
          </w:p>
          <w:p w:rsidR="00B16400" w:rsidRPr="00C75C7E" w:rsidRDefault="00B16400" w:rsidP="004341A3">
            <w:pPr>
              <w:widowControl w:val="0"/>
              <w:ind w:right="161"/>
              <w:rPr>
                <w:bCs/>
                <w:sz w:val="16"/>
                <w:szCs w:val="16"/>
                <w:lang w:val="es-ES_tradnl"/>
              </w:rPr>
            </w:pPr>
          </w:p>
          <w:p w:rsidR="00B16400" w:rsidRPr="00C75C7E" w:rsidRDefault="00B16400" w:rsidP="004341A3">
            <w:pPr>
              <w:widowControl w:val="0"/>
              <w:ind w:right="161"/>
              <w:rPr>
                <w:bCs/>
                <w:sz w:val="16"/>
                <w:szCs w:val="16"/>
                <w:lang w:val="es-ES_tradnl"/>
              </w:rPr>
            </w:pPr>
            <w:r w:rsidRPr="00C75C7E">
              <w:rPr>
                <w:bCs/>
                <w:sz w:val="16"/>
                <w:szCs w:val="16"/>
                <w:lang w:val="es-ES_tradnl"/>
              </w:rPr>
              <w:t>Región de los Países Árabes (70).</w:t>
            </w:r>
          </w:p>
          <w:p w:rsidR="00B16400" w:rsidRPr="00C75C7E" w:rsidRDefault="00B16400" w:rsidP="004341A3">
            <w:pPr>
              <w:widowControl w:val="0"/>
              <w:ind w:right="161"/>
              <w:rPr>
                <w:bCs/>
                <w:sz w:val="16"/>
                <w:szCs w:val="16"/>
                <w:lang w:val="es-ES_tradnl"/>
              </w:rPr>
            </w:pPr>
          </w:p>
          <w:p w:rsidR="00B16400" w:rsidRPr="00C75C7E" w:rsidRDefault="00B16400" w:rsidP="004341A3">
            <w:pPr>
              <w:widowControl w:val="0"/>
              <w:ind w:right="161"/>
              <w:rPr>
                <w:bCs/>
                <w:sz w:val="16"/>
                <w:szCs w:val="16"/>
                <w:lang w:val="es-ES_tradnl"/>
              </w:rPr>
            </w:pPr>
            <w:r w:rsidRPr="00C75C7E">
              <w:rPr>
                <w:bCs/>
                <w:sz w:val="16"/>
                <w:szCs w:val="16"/>
                <w:lang w:val="es-ES_tradnl"/>
              </w:rPr>
              <w:t>América Latina y el Caribe (30).</w:t>
            </w:r>
          </w:p>
          <w:p w:rsidR="00B16400" w:rsidRPr="00C75C7E" w:rsidRDefault="00B16400" w:rsidP="004341A3">
            <w:pPr>
              <w:widowControl w:val="0"/>
              <w:ind w:right="161"/>
              <w:rPr>
                <w:bCs/>
                <w:sz w:val="16"/>
                <w:szCs w:val="16"/>
                <w:lang w:val="es-ES_tradnl"/>
              </w:rPr>
            </w:pPr>
          </w:p>
          <w:p w:rsidR="00B16400" w:rsidRPr="00C75C7E" w:rsidRDefault="00B16400" w:rsidP="004341A3">
            <w:pPr>
              <w:widowControl w:val="0"/>
              <w:ind w:right="161"/>
              <w:rPr>
                <w:bCs/>
                <w:sz w:val="16"/>
                <w:szCs w:val="16"/>
                <w:lang w:val="es-ES_tradnl"/>
              </w:rPr>
            </w:pPr>
            <w:r w:rsidRPr="00C75C7E">
              <w:rPr>
                <w:bCs/>
                <w:sz w:val="16"/>
                <w:szCs w:val="16"/>
                <w:lang w:val="es-ES_tradnl"/>
              </w:rPr>
              <w:t>PMA (80%).</w:t>
            </w:r>
          </w:p>
        </w:tc>
      </w:tr>
      <w:tr w:rsidR="00B16400" w:rsidRPr="00C75C7E" w:rsidTr="004341A3">
        <w:trPr>
          <w:cantSplit/>
          <w:trHeight w:val="1865"/>
        </w:trPr>
        <w:tc>
          <w:tcPr>
            <w:tcW w:w="1249" w:type="pct"/>
            <w:shd w:val="clear" w:color="auto" w:fill="auto"/>
            <w:tcMar>
              <w:top w:w="113" w:type="dxa"/>
            </w:tcMar>
          </w:tcPr>
          <w:p w:rsidR="00B16400" w:rsidRPr="00C75C7E" w:rsidRDefault="00B16400" w:rsidP="004341A3">
            <w:pPr>
              <w:widowControl w:val="0"/>
              <w:rPr>
                <w:sz w:val="16"/>
                <w:szCs w:val="16"/>
                <w:lang w:val="es-ES_tradnl"/>
              </w:rPr>
            </w:pPr>
          </w:p>
        </w:tc>
        <w:tc>
          <w:tcPr>
            <w:tcW w:w="1514" w:type="pct"/>
            <w:shd w:val="clear" w:color="auto" w:fill="auto"/>
            <w:tcMar>
              <w:top w:w="113" w:type="dxa"/>
            </w:tcMar>
          </w:tcPr>
          <w:p w:rsidR="00B16400" w:rsidRPr="00C75C7E" w:rsidRDefault="00B16400" w:rsidP="004341A3">
            <w:pPr>
              <w:widowControl w:val="0"/>
              <w:rPr>
                <w:sz w:val="16"/>
                <w:szCs w:val="16"/>
                <w:lang w:val="es-ES_tradnl"/>
              </w:rPr>
            </w:pPr>
            <w:r w:rsidRPr="00C75C7E">
              <w:rPr>
                <w:sz w:val="16"/>
                <w:szCs w:val="16"/>
                <w:lang w:val="es-ES_tradnl"/>
              </w:rPr>
              <w:t>Porcentaje de expertos nacionales y regionales en P.I. utilizados como expertos en las actividades de la OMPI</w:t>
            </w:r>
          </w:p>
        </w:tc>
        <w:tc>
          <w:tcPr>
            <w:tcW w:w="1155" w:type="pct"/>
            <w:shd w:val="clear" w:color="auto" w:fill="FFFFFF"/>
            <w:tcMar>
              <w:top w:w="113" w:type="dxa"/>
            </w:tcMar>
          </w:tcPr>
          <w:p w:rsidR="00B16400" w:rsidRPr="00C75C7E" w:rsidRDefault="00B16400" w:rsidP="004341A3">
            <w:pPr>
              <w:widowControl w:val="0"/>
              <w:rPr>
                <w:sz w:val="16"/>
                <w:szCs w:val="16"/>
                <w:lang w:val="es-ES_tradnl" w:bidi="th-TH"/>
              </w:rPr>
            </w:pPr>
            <w:r w:rsidRPr="00C75C7E">
              <w:rPr>
                <w:sz w:val="16"/>
                <w:szCs w:val="16"/>
                <w:lang w:val="es-ES_tradnl" w:bidi="th-TH"/>
              </w:rPr>
              <w:t>África (65).</w:t>
            </w:r>
          </w:p>
          <w:p w:rsidR="00B16400" w:rsidRPr="00C75C7E" w:rsidRDefault="00B16400" w:rsidP="004341A3">
            <w:pPr>
              <w:widowControl w:val="0"/>
              <w:rPr>
                <w:sz w:val="16"/>
                <w:szCs w:val="16"/>
                <w:lang w:val="es-ES_tradnl" w:bidi="th-TH"/>
              </w:rPr>
            </w:pPr>
          </w:p>
          <w:p w:rsidR="00B16400" w:rsidRPr="00C75C7E" w:rsidRDefault="00B16400" w:rsidP="004341A3">
            <w:pPr>
              <w:widowControl w:val="0"/>
              <w:rPr>
                <w:sz w:val="16"/>
                <w:szCs w:val="16"/>
                <w:lang w:val="es-ES_tradnl" w:bidi="th-TH"/>
              </w:rPr>
            </w:pPr>
            <w:r w:rsidRPr="00C75C7E">
              <w:rPr>
                <w:sz w:val="16"/>
                <w:szCs w:val="16"/>
                <w:lang w:val="es-ES_tradnl" w:bidi="th-TH"/>
              </w:rPr>
              <w:t>Región de los Países Árabes (70).</w:t>
            </w:r>
          </w:p>
          <w:p w:rsidR="00B16400" w:rsidRPr="00C75C7E" w:rsidRDefault="00B16400" w:rsidP="004341A3">
            <w:pPr>
              <w:widowControl w:val="0"/>
              <w:rPr>
                <w:sz w:val="16"/>
                <w:szCs w:val="16"/>
                <w:lang w:val="es-ES_tradnl" w:bidi="th-TH"/>
              </w:rPr>
            </w:pPr>
          </w:p>
          <w:p w:rsidR="00B16400" w:rsidRPr="00C75C7E" w:rsidRDefault="00B16400" w:rsidP="004341A3">
            <w:pPr>
              <w:widowControl w:val="0"/>
              <w:rPr>
                <w:sz w:val="16"/>
                <w:szCs w:val="16"/>
                <w:lang w:val="es-ES_tradnl" w:bidi="th-TH"/>
              </w:rPr>
            </w:pPr>
            <w:r w:rsidRPr="00C75C7E">
              <w:rPr>
                <w:sz w:val="16"/>
                <w:szCs w:val="16"/>
                <w:lang w:val="es-ES_tradnl" w:bidi="th-TH"/>
              </w:rPr>
              <w:t>No se dispone de datos</w:t>
            </w:r>
            <w:r w:rsidR="00C40836">
              <w:rPr>
                <w:sz w:val="16"/>
                <w:szCs w:val="16"/>
                <w:lang w:val="es-ES_tradnl" w:bidi="th-TH"/>
              </w:rPr>
              <w:t xml:space="preserve"> sobre Asia y el Pacífico.</w:t>
            </w:r>
          </w:p>
          <w:p w:rsidR="00B16400" w:rsidRPr="00C75C7E" w:rsidRDefault="00B16400" w:rsidP="004341A3">
            <w:pPr>
              <w:widowControl w:val="0"/>
              <w:rPr>
                <w:sz w:val="16"/>
                <w:szCs w:val="16"/>
                <w:lang w:val="es-ES_tradnl" w:bidi="th-TH"/>
              </w:rPr>
            </w:pPr>
          </w:p>
          <w:p w:rsidR="00B16400" w:rsidRPr="00C75C7E" w:rsidRDefault="00B16400" w:rsidP="004341A3">
            <w:pPr>
              <w:widowControl w:val="0"/>
              <w:rPr>
                <w:sz w:val="16"/>
                <w:szCs w:val="16"/>
                <w:lang w:val="es-ES_tradnl" w:bidi="th-TH"/>
              </w:rPr>
            </w:pPr>
            <w:r w:rsidRPr="00C75C7E">
              <w:rPr>
                <w:sz w:val="16"/>
                <w:szCs w:val="16"/>
                <w:lang w:val="es-ES_tradnl" w:bidi="th-TH"/>
              </w:rPr>
              <w:t>América Latina y el Caribe (70).</w:t>
            </w:r>
          </w:p>
          <w:p w:rsidR="00B16400" w:rsidRPr="00C75C7E" w:rsidRDefault="00B16400" w:rsidP="004341A3">
            <w:pPr>
              <w:widowControl w:val="0"/>
              <w:rPr>
                <w:sz w:val="16"/>
                <w:szCs w:val="16"/>
                <w:lang w:val="es-ES_tradnl" w:bidi="th-TH"/>
              </w:rPr>
            </w:pPr>
          </w:p>
          <w:p w:rsidR="00B16400" w:rsidRPr="00C75C7E" w:rsidRDefault="00B16400" w:rsidP="004341A3">
            <w:pPr>
              <w:widowControl w:val="0"/>
              <w:rPr>
                <w:sz w:val="16"/>
                <w:szCs w:val="16"/>
                <w:lang w:val="es-ES_tradnl" w:bidi="th-TH"/>
              </w:rPr>
            </w:pPr>
            <w:r w:rsidRPr="00C75C7E">
              <w:rPr>
                <w:sz w:val="16"/>
                <w:szCs w:val="16"/>
                <w:lang w:val="es-ES_tradnl" w:bidi="th-TH"/>
              </w:rPr>
              <w:t>PMA (70%).</w:t>
            </w:r>
          </w:p>
        </w:tc>
        <w:tc>
          <w:tcPr>
            <w:tcW w:w="1082" w:type="pct"/>
            <w:shd w:val="clear" w:color="auto" w:fill="auto"/>
            <w:tcMar>
              <w:top w:w="113" w:type="dxa"/>
            </w:tcMar>
          </w:tcPr>
          <w:p w:rsidR="00B16400" w:rsidRPr="00C75C7E" w:rsidRDefault="00B16400" w:rsidP="004341A3">
            <w:pPr>
              <w:widowControl w:val="0"/>
              <w:ind w:right="161"/>
              <w:rPr>
                <w:bCs/>
                <w:sz w:val="16"/>
                <w:szCs w:val="16"/>
                <w:lang w:val="es-ES_tradnl"/>
              </w:rPr>
            </w:pPr>
            <w:r w:rsidRPr="00C75C7E">
              <w:rPr>
                <w:bCs/>
                <w:sz w:val="16"/>
                <w:szCs w:val="16"/>
                <w:lang w:val="es-ES_tradnl"/>
              </w:rPr>
              <w:t>África (75).</w:t>
            </w:r>
          </w:p>
          <w:p w:rsidR="00B16400" w:rsidRPr="00C75C7E" w:rsidRDefault="00B16400" w:rsidP="004341A3">
            <w:pPr>
              <w:widowControl w:val="0"/>
              <w:ind w:right="161"/>
              <w:rPr>
                <w:bCs/>
                <w:sz w:val="16"/>
                <w:szCs w:val="16"/>
                <w:lang w:val="es-ES_tradnl"/>
              </w:rPr>
            </w:pPr>
          </w:p>
          <w:p w:rsidR="00B16400" w:rsidRPr="00C75C7E" w:rsidRDefault="00B16400" w:rsidP="004341A3">
            <w:pPr>
              <w:widowControl w:val="0"/>
              <w:ind w:right="161"/>
              <w:rPr>
                <w:bCs/>
                <w:sz w:val="16"/>
                <w:szCs w:val="16"/>
                <w:lang w:val="es-ES_tradnl"/>
              </w:rPr>
            </w:pPr>
            <w:r w:rsidRPr="00C75C7E">
              <w:rPr>
                <w:bCs/>
                <w:sz w:val="16"/>
                <w:szCs w:val="16"/>
                <w:lang w:val="es-ES_tradnl"/>
              </w:rPr>
              <w:t>Región de los Países Árabes (80).</w:t>
            </w:r>
          </w:p>
          <w:p w:rsidR="00B16400" w:rsidRPr="00C75C7E" w:rsidRDefault="00B16400" w:rsidP="004341A3">
            <w:pPr>
              <w:widowControl w:val="0"/>
              <w:ind w:right="161"/>
              <w:rPr>
                <w:bCs/>
                <w:sz w:val="16"/>
                <w:szCs w:val="16"/>
                <w:lang w:val="es-ES_tradnl"/>
              </w:rPr>
            </w:pPr>
          </w:p>
          <w:p w:rsidR="00B16400" w:rsidRPr="00C75C7E" w:rsidRDefault="00B16400" w:rsidP="004341A3">
            <w:pPr>
              <w:widowControl w:val="0"/>
              <w:ind w:right="161"/>
              <w:rPr>
                <w:bCs/>
                <w:sz w:val="16"/>
                <w:szCs w:val="16"/>
                <w:lang w:val="es-ES_tradnl"/>
              </w:rPr>
            </w:pPr>
            <w:r w:rsidRPr="00C75C7E">
              <w:rPr>
                <w:bCs/>
                <w:sz w:val="16"/>
                <w:szCs w:val="16"/>
                <w:lang w:val="es-ES_tradnl"/>
              </w:rPr>
              <w:t>Asia y el Pacífico (55).</w:t>
            </w:r>
          </w:p>
          <w:p w:rsidR="00B16400" w:rsidRPr="00C75C7E" w:rsidRDefault="00B16400" w:rsidP="004341A3">
            <w:pPr>
              <w:widowControl w:val="0"/>
              <w:ind w:right="161"/>
              <w:rPr>
                <w:bCs/>
                <w:sz w:val="16"/>
                <w:szCs w:val="16"/>
                <w:lang w:val="es-ES_tradnl"/>
              </w:rPr>
            </w:pPr>
          </w:p>
          <w:p w:rsidR="00B16400" w:rsidRPr="00C75C7E" w:rsidRDefault="00B16400" w:rsidP="004341A3">
            <w:pPr>
              <w:widowControl w:val="0"/>
              <w:ind w:right="161"/>
              <w:rPr>
                <w:bCs/>
                <w:sz w:val="16"/>
                <w:szCs w:val="16"/>
                <w:lang w:val="es-ES_tradnl"/>
              </w:rPr>
            </w:pPr>
            <w:r w:rsidRPr="00C75C7E">
              <w:rPr>
                <w:bCs/>
                <w:sz w:val="16"/>
                <w:szCs w:val="16"/>
                <w:lang w:val="es-ES_tradnl"/>
              </w:rPr>
              <w:t>América Latina y el Caribe (80).</w:t>
            </w:r>
          </w:p>
          <w:p w:rsidR="00B16400" w:rsidRPr="00C75C7E" w:rsidRDefault="00B16400" w:rsidP="004341A3">
            <w:pPr>
              <w:widowControl w:val="0"/>
              <w:ind w:right="161"/>
              <w:rPr>
                <w:bCs/>
                <w:sz w:val="16"/>
                <w:szCs w:val="16"/>
                <w:lang w:val="es-ES_tradnl"/>
              </w:rPr>
            </w:pPr>
          </w:p>
          <w:p w:rsidR="00B16400" w:rsidRPr="00C75C7E" w:rsidRDefault="00B16400" w:rsidP="004341A3">
            <w:pPr>
              <w:widowControl w:val="0"/>
              <w:ind w:right="161"/>
              <w:rPr>
                <w:bCs/>
                <w:sz w:val="16"/>
                <w:szCs w:val="16"/>
                <w:lang w:val="es-ES_tradnl"/>
              </w:rPr>
            </w:pPr>
            <w:r w:rsidRPr="00C75C7E">
              <w:rPr>
                <w:bCs/>
                <w:sz w:val="16"/>
                <w:szCs w:val="16"/>
                <w:lang w:val="es-ES_tradnl"/>
              </w:rPr>
              <w:t>PMA (80%).</w:t>
            </w:r>
          </w:p>
        </w:tc>
      </w:tr>
      <w:tr w:rsidR="00B16400" w:rsidRPr="00C75C7E" w:rsidTr="004341A3">
        <w:trPr>
          <w:cantSplit/>
          <w:trHeight w:val="1144"/>
        </w:trPr>
        <w:tc>
          <w:tcPr>
            <w:tcW w:w="1249" w:type="pct"/>
            <w:shd w:val="clear" w:color="auto" w:fill="auto"/>
            <w:tcMar>
              <w:top w:w="113" w:type="dxa"/>
            </w:tcMar>
          </w:tcPr>
          <w:p w:rsidR="00B16400" w:rsidRPr="00C75C7E" w:rsidRDefault="00B16400" w:rsidP="004341A3">
            <w:pPr>
              <w:widowControl w:val="0"/>
              <w:rPr>
                <w:sz w:val="16"/>
                <w:szCs w:val="16"/>
                <w:lang w:val="es-ES_tradnl"/>
              </w:rPr>
            </w:pPr>
            <w:r w:rsidRPr="00C75C7E">
              <w:rPr>
                <w:sz w:val="16"/>
                <w:szCs w:val="16"/>
                <w:lang w:val="es-ES_tradnl"/>
              </w:rPr>
              <w:t>III.4. Fortalecimiento de los mecanismos de cooperación y de los programas adaptados a las necesidades de los países en desarrollo y los PMA.</w:t>
            </w:r>
          </w:p>
        </w:tc>
        <w:tc>
          <w:tcPr>
            <w:tcW w:w="1514" w:type="pct"/>
            <w:shd w:val="clear" w:color="auto" w:fill="auto"/>
            <w:tcMar>
              <w:top w:w="113" w:type="dxa"/>
            </w:tcMar>
          </w:tcPr>
          <w:p w:rsidR="00B16400" w:rsidRPr="00C75C7E" w:rsidRDefault="00B16400" w:rsidP="004341A3">
            <w:pPr>
              <w:widowControl w:val="0"/>
              <w:rPr>
                <w:sz w:val="16"/>
                <w:szCs w:val="16"/>
                <w:lang w:val="es-ES_tradnl"/>
              </w:rPr>
            </w:pPr>
            <w:r w:rsidRPr="00C75C7E">
              <w:rPr>
                <w:sz w:val="16"/>
                <w:szCs w:val="16"/>
                <w:lang w:val="es-ES_tradnl"/>
              </w:rPr>
              <w:t>Número de mecanismos de cooperación, programas y asociaciones nuevos o consolidados a los que se presta apoyo para promover/fortalecer la cooperación subregional o regional en P.I.</w:t>
            </w:r>
          </w:p>
        </w:tc>
        <w:tc>
          <w:tcPr>
            <w:tcW w:w="1155" w:type="pct"/>
            <w:shd w:val="clear" w:color="auto" w:fill="FFFFFF"/>
            <w:tcMar>
              <w:top w:w="113" w:type="dxa"/>
            </w:tcMar>
          </w:tcPr>
          <w:p w:rsidR="00B16400" w:rsidRPr="00C75C7E" w:rsidRDefault="00B16400" w:rsidP="004341A3">
            <w:pPr>
              <w:widowControl w:val="0"/>
              <w:rPr>
                <w:sz w:val="16"/>
                <w:szCs w:val="16"/>
                <w:lang w:val="es-ES_tradnl" w:bidi="th-TH"/>
              </w:rPr>
            </w:pPr>
            <w:r w:rsidRPr="00C75C7E">
              <w:rPr>
                <w:sz w:val="16"/>
                <w:szCs w:val="16"/>
                <w:lang w:val="es-ES_tradnl" w:bidi="th-TH"/>
              </w:rPr>
              <w:t>África (3).</w:t>
            </w:r>
          </w:p>
          <w:p w:rsidR="00B16400" w:rsidRPr="00C75C7E" w:rsidRDefault="00B16400" w:rsidP="004341A3">
            <w:pPr>
              <w:widowControl w:val="0"/>
              <w:rPr>
                <w:sz w:val="16"/>
                <w:szCs w:val="16"/>
                <w:lang w:val="es-ES_tradnl" w:bidi="th-TH"/>
              </w:rPr>
            </w:pPr>
          </w:p>
          <w:p w:rsidR="00B16400" w:rsidRPr="00C75C7E" w:rsidRDefault="00B16400" w:rsidP="004341A3">
            <w:pPr>
              <w:widowControl w:val="0"/>
              <w:rPr>
                <w:sz w:val="16"/>
                <w:szCs w:val="16"/>
                <w:lang w:val="es-ES_tradnl" w:bidi="th-TH"/>
              </w:rPr>
            </w:pPr>
            <w:r w:rsidRPr="00C75C7E">
              <w:rPr>
                <w:sz w:val="16"/>
                <w:szCs w:val="16"/>
                <w:lang w:val="es-ES_tradnl" w:bidi="th-TH"/>
              </w:rPr>
              <w:t>Región de los Países Árabes (2).</w:t>
            </w:r>
          </w:p>
          <w:p w:rsidR="00B16400" w:rsidRPr="00C75C7E" w:rsidRDefault="00B16400" w:rsidP="004341A3">
            <w:pPr>
              <w:widowControl w:val="0"/>
              <w:rPr>
                <w:sz w:val="16"/>
                <w:szCs w:val="16"/>
                <w:lang w:val="es-ES_tradnl" w:bidi="th-TH"/>
              </w:rPr>
            </w:pPr>
          </w:p>
          <w:p w:rsidR="00B16400" w:rsidRPr="00C75C7E" w:rsidRDefault="00B16400" w:rsidP="004341A3">
            <w:pPr>
              <w:widowControl w:val="0"/>
              <w:rPr>
                <w:sz w:val="16"/>
                <w:szCs w:val="16"/>
                <w:lang w:val="es-ES_tradnl" w:bidi="th-TH"/>
              </w:rPr>
            </w:pPr>
            <w:r w:rsidRPr="00C75C7E">
              <w:rPr>
                <w:sz w:val="16"/>
                <w:szCs w:val="16"/>
                <w:lang w:val="es-ES_tradnl" w:bidi="th-TH"/>
              </w:rPr>
              <w:t>Asia y el Pacífico (4).</w:t>
            </w:r>
          </w:p>
          <w:p w:rsidR="00B16400" w:rsidRPr="00C75C7E" w:rsidRDefault="00B16400" w:rsidP="004341A3">
            <w:pPr>
              <w:widowControl w:val="0"/>
              <w:rPr>
                <w:sz w:val="16"/>
                <w:szCs w:val="16"/>
                <w:lang w:val="es-ES_tradnl" w:bidi="th-TH"/>
              </w:rPr>
            </w:pPr>
          </w:p>
          <w:p w:rsidR="00B16400" w:rsidRPr="00C75C7E" w:rsidRDefault="00B16400" w:rsidP="004341A3">
            <w:pPr>
              <w:widowControl w:val="0"/>
              <w:rPr>
                <w:sz w:val="16"/>
                <w:szCs w:val="16"/>
                <w:lang w:val="es-ES_tradnl" w:bidi="th-TH"/>
              </w:rPr>
            </w:pPr>
            <w:r w:rsidRPr="00C75C7E">
              <w:rPr>
                <w:sz w:val="16"/>
                <w:szCs w:val="16"/>
                <w:lang w:val="es-ES_tradnl" w:bidi="th-TH"/>
              </w:rPr>
              <w:t>América Latina y el Caribe (3).</w:t>
            </w:r>
          </w:p>
          <w:p w:rsidR="00B16400" w:rsidRPr="00C75C7E" w:rsidRDefault="00B16400" w:rsidP="004341A3">
            <w:pPr>
              <w:widowControl w:val="0"/>
              <w:rPr>
                <w:sz w:val="16"/>
                <w:szCs w:val="16"/>
                <w:lang w:val="es-ES_tradnl" w:bidi="th-TH"/>
              </w:rPr>
            </w:pPr>
          </w:p>
          <w:p w:rsidR="00B16400" w:rsidRPr="00C75C7E" w:rsidRDefault="00B16400" w:rsidP="004341A3">
            <w:pPr>
              <w:widowControl w:val="0"/>
              <w:rPr>
                <w:sz w:val="16"/>
                <w:szCs w:val="16"/>
                <w:lang w:val="es-ES_tradnl" w:bidi="th-TH"/>
              </w:rPr>
            </w:pPr>
            <w:r w:rsidRPr="00C75C7E">
              <w:rPr>
                <w:sz w:val="16"/>
                <w:szCs w:val="16"/>
                <w:lang w:val="es-ES_tradnl" w:bidi="th-TH"/>
              </w:rPr>
              <w:t>2 PMA incluidos en el desglose regional precedente.</w:t>
            </w:r>
          </w:p>
          <w:p w:rsidR="00B16400" w:rsidRPr="00C75C7E" w:rsidRDefault="00B16400" w:rsidP="004341A3">
            <w:pPr>
              <w:widowControl w:val="0"/>
              <w:rPr>
                <w:sz w:val="16"/>
                <w:szCs w:val="16"/>
                <w:lang w:val="es-ES_tradnl" w:bidi="th-TH"/>
              </w:rPr>
            </w:pPr>
          </w:p>
          <w:p w:rsidR="00B16400" w:rsidRPr="00C75C7E" w:rsidRDefault="00B16400" w:rsidP="004341A3">
            <w:pPr>
              <w:widowControl w:val="0"/>
              <w:rPr>
                <w:sz w:val="16"/>
                <w:szCs w:val="16"/>
                <w:lang w:val="es-ES_tradnl" w:bidi="th-TH"/>
              </w:rPr>
            </w:pPr>
            <w:r w:rsidRPr="00C75C7E">
              <w:rPr>
                <w:sz w:val="16"/>
                <w:szCs w:val="16"/>
                <w:lang w:val="es-ES_tradnl" w:bidi="th-TH"/>
              </w:rPr>
              <w:t>Proyectos de tecnología adecuados en 3 PMA</w:t>
            </w:r>
          </w:p>
        </w:tc>
        <w:tc>
          <w:tcPr>
            <w:tcW w:w="1082" w:type="pct"/>
            <w:shd w:val="clear" w:color="auto" w:fill="auto"/>
            <w:tcMar>
              <w:top w:w="113" w:type="dxa"/>
            </w:tcMar>
          </w:tcPr>
          <w:p w:rsidR="00B16400" w:rsidRPr="00C75C7E" w:rsidRDefault="00B16400" w:rsidP="004341A3">
            <w:pPr>
              <w:widowControl w:val="0"/>
              <w:ind w:right="161"/>
              <w:rPr>
                <w:bCs/>
                <w:sz w:val="16"/>
                <w:szCs w:val="16"/>
                <w:lang w:val="es-ES_tradnl"/>
              </w:rPr>
            </w:pPr>
            <w:r w:rsidRPr="00C75C7E">
              <w:rPr>
                <w:bCs/>
                <w:sz w:val="16"/>
                <w:szCs w:val="16"/>
                <w:lang w:val="es-ES_tradnl"/>
              </w:rPr>
              <w:t>África (2).</w:t>
            </w:r>
          </w:p>
          <w:p w:rsidR="00B16400" w:rsidRPr="00C75C7E" w:rsidRDefault="00B16400" w:rsidP="004341A3">
            <w:pPr>
              <w:widowControl w:val="0"/>
              <w:ind w:right="161"/>
              <w:rPr>
                <w:bCs/>
                <w:sz w:val="16"/>
                <w:szCs w:val="16"/>
                <w:lang w:val="es-ES_tradnl"/>
              </w:rPr>
            </w:pPr>
          </w:p>
          <w:p w:rsidR="00B16400" w:rsidRPr="00C75C7E" w:rsidRDefault="00B16400" w:rsidP="004341A3">
            <w:pPr>
              <w:widowControl w:val="0"/>
              <w:ind w:right="161"/>
              <w:rPr>
                <w:bCs/>
                <w:sz w:val="16"/>
                <w:szCs w:val="16"/>
                <w:lang w:val="es-ES_tradnl"/>
              </w:rPr>
            </w:pPr>
            <w:r w:rsidRPr="00C75C7E">
              <w:rPr>
                <w:bCs/>
                <w:sz w:val="16"/>
                <w:szCs w:val="16"/>
                <w:lang w:val="es-ES_tradnl"/>
              </w:rPr>
              <w:t>Región de los Países Árabes (1).</w:t>
            </w:r>
          </w:p>
          <w:p w:rsidR="00B16400" w:rsidRPr="00C75C7E" w:rsidRDefault="00B16400" w:rsidP="004341A3">
            <w:pPr>
              <w:widowControl w:val="0"/>
              <w:ind w:right="161"/>
              <w:rPr>
                <w:bCs/>
                <w:sz w:val="16"/>
                <w:szCs w:val="16"/>
                <w:lang w:val="es-ES_tradnl"/>
              </w:rPr>
            </w:pPr>
          </w:p>
          <w:p w:rsidR="00B16400" w:rsidRPr="00C75C7E" w:rsidRDefault="00B16400" w:rsidP="004341A3">
            <w:pPr>
              <w:widowControl w:val="0"/>
              <w:ind w:right="161"/>
              <w:rPr>
                <w:bCs/>
                <w:sz w:val="16"/>
                <w:szCs w:val="16"/>
                <w:lang w:val="es-ES_tradnl"/>
              </w:rPr>
            </w:pPr>
            <w:r w:rsidRPr="00C75C7E">
              <w:rPr>
                <w:bCs/>
                <w:sz w:val="16"/>
                <w:szCs w:val="16"/>
                <w:lang w:val="es-ES_tradnl"/>
              </w:rPr>
              <w:t>Asia y el Pacífico (4).</w:t>
            </w:r>
          </w:p>
          <w:p w:rsidR="00B16400" w:rsidRPr="00C75C7E" w:rsidRDefault="00B16400" w:rsidP="004341A3">
            <w:pPr>
              <w:widowControl w:val="0"/>
              <w:ind w:right="161"/>
              <w:rPr>
                <w:bCs/>
                <w:sz w:val="16"/>
                <w:szCs w:val="16"/>
                <w:lang w:val="es-ES_tradnl"/>
              </w:rPr>
            </w:pPr>
          </w:p>
          <w:p w:rsidR="00B16400" w:rsidRPr="00C75C7E" w:rsidRDefault="00B16400" w:rsidP="004341A3">
            <w:pPr>
              <w:widowControl w:val="0"/>
              <w:ind w:right="161"/>
              <w:rPr>
                <w:bCs/>
                <w:sz w:val="16"/>
                <w:szCs w:val="16"/>
                <w:lang w:val="es-ES_tradnl"/>
              </w:rPr>
            </w:pPr>
            <w:r w:rsidRPr="00C75C7E">
              <w:rPr>
                <w:bCs/>
                <w:sz w:val="16"/>
                <w:szCs w:val="16"/>
                <w:lang w:val="es-ES_tradnl"/>
              </w:rPr>
              <w:t>América Latina y el Caribe (7).</w:t>
            </w:r>
          </w:p>
          <w:p w:rsidR="00B16400" w:rsidRPr="00C75C7E" w:rsidRDefault="00B16400" w:rsidP="004341A3">
            <w:pPr>
              <w:widowControl w:val="0"/>
              <w:ind w:right="161"/>
              <w:rPr>
                <w:bCs/>
                <w:sz w:val="16"/>
                <w:szCs w:val="16"/>
                <w:lang w:val="es-ES_tradnl"/>
              </w:rPr>
            </w:pPr>
          </w:p>
          <w:p w:rsidR="00B16400" w:rsidRPr="00C75C7E" w:rsidRDefault="00B16400" w:rsidP="004341A3">
            <w:pPr>
              <w:widowControl w:val="0"/>
              <w:rPr>
                <w:sz w:val="16"/>
                <w:szCs w:val="16"/>
                <w:lang w:val="es-ES_tradnl" w:bidi="th-TH"/>
              </w:rPr>
            </w:pPr>
            <w:r w:rsidRPr="00C75C7E">
              <w:rPr>
                <w:sz w:val="16"/>
                <w:szCs w:val="16"/>
                <w:lang w:val="es-ES_tradnl" w:bidi="th-TH"/>
              </w:rPr>
              <w:t>4 PMA incluidos en el desglose regional precedente.</w:t>
            </w:r>
          </w:p>
          <w:p w:rsidR="00B16400" w:rsidRPr="00C75C7E" w:rsidRDefault="00B16400" w:rsidP="004341A3">
            <w:pPr>
              <w:widowControl w:val="0"/>
              <w:ind w:right="161"/>
              <w:rPr>
                <w:bCs/>
                <w:sz w:val="16"/>
                <w:szCs w:val="16"/>
                <w:lang w:val="es-ES_tradnl"/>
              </w:rPr>
            </w:pPr>
          </w:p>
          <w:p w:rsidR="00B16400" w:rsidRPr="00C75C7E" w:rsidRDefault="00B16400" w:rsidP="004341A3">
            <w:pPr>
              <w:widowControl w:val="0"/>
              <w:ind w:right="161"/>
              <w:rPr>
                <w:bCs/>
                <w:sz w:val="16"/>
                <w:szCs w:val="16"/>
                <w:lang w:val="es-ES_tradnl"/>
              </w:rPr>
            </w:pPr>
            <w:r w:rsidRPr="00C75C7E">
              <w:rPr>
                <w:bCs/>
                <w:sz w:val="16"/>
                <w:szCs w:val="16"/>
                <w:lang w:val="es-ES_tradnl"/>
              </w:rPr>
              <w:t>Proyectos de tecnología adecuados en al menos 4 PMA</w:t>
            </w:r>
          </w:p>
        </w:tc>
      </w:tr>
      <w:tr w:rsidR="00C40836" w:rsidRPr="00C75C7E" w:rsidTr="004341A3">
        <w:trPr>
          <w:cantSplit/>
          <w:trHeight w:val="795"/>
        </w:trPr>
        <w:tc>
          <w:tcPr>
            <w:tcW w:w="1249" w:type="pct"/>
            <w:shd w:val="clear" w:color="auto" w:fill="auto"/>
            <w:tcMar>
              <w:top w:w="113" w:type="dxa"/>
            </w:tcMar>
          </w:tcPr>
          <w:p w:rsidR="00C40836" w:rsidRPr="00C75C7E" w:rsidRDefault="00C40836" w:rsidP="004341A3">
            <w:pPr>
              <w:widowControl w:val="0"/>
              <w:rPr>
                <w:sz w:val="16"/>
                <w:szCs w:val="16"/>
                <w:lang w:val="es-ES_tradnl"/>
              </w:rPr>
            </w:pPr>
            <w:r>
              <w:rPr>
                <w:sz w:val="16"/>
                <w:szCs w:val="16"/>
                <w:lang w:val="es-ES_tradnl"/>
              </w:rPr>
              <w:t xml:space="preserve">III.6  </w:t>
            </w:r>
            <w:r w:rsidRPr="00DB4C60">
              <w:rPr>
                <w:sz w:val="16"/>
                <w:szCs w:val="16"/>
                <w:lang w:val="es-ES_tradnl"/>
              </w:rPr>
              <w:t>Mejor capacidad de las pymes para utilizar con éxito la P.I. con el fin de apoyar la innovación</w:t>
            </w:r>
          </w:p>
        </w:tc>
        <w:tc>
          <w:tcPr>
            <w:tcW w:w="1514" w:type="pct"/>
            <w:shd w:val="clear" w:color="auto" w:fill="auto"/>
            <w:tcMar>
              <w:top w:w="113" w:type="dxa"/>
            </w:tcMar>
          </w:tcPr>
          <w:p w:rsidR="00C40836" w:rsidRPr="00C75C7E" w:rsidRDefault="00C40836" w:rsidP="004341A3">
            <w:pPr>
              <w:widowControl w:val="0"/>
              <w:rPr>
                <w:sz w:val="16"/>
                <w:szCs w:val="16"/>
                <w:lang w:val="es-ES_tradnl"/>
              </w:rPr>
            </w:pPr>
            <w:r>
              <w:rPr>
                <w:sz w:val="16"/>
                <w:szCs w:val="16"/>
                <w:lang w:val="es-ES_tradnl"/>
              </w:rPr>
              <w:t>Porcentaje de participantes en programas de formación destinados a instituciones de apoyo a las pymes que manifiestan satisfacción con el contenido y la organización de esos eventos.</w:t>
            </w:r>
          </w:p>
        </w:tc>
        <w:tc>
          <w:tcPr>
            <w:tcW w:w="1155" w:type="pct"/>
            <w:shd w:val="clear" w:color="auto" w:fill="FFFFFF"/>
            <w:tcMar>
              <w:top w:w="113" w:type="dxa"/>
            </w:tcMar>
          </w:tcPr>
          <w:p w:rsidR="00C40836" w:rsidRPr="00C75C7E" w:rsidRDefault="00C40836" w:rsidP="004341A3">
            <w:pPr>
              <w:widowControl w:val="0"/>
              <w:rPr>
                <w:sz w:val="16"/>
                <w:szCs w:val="16"/>
                <w:lang w:val="es-ES_tradnl" w:bidi="th-TH"/>
              </w:rPr>
            </w:pPr>
            <w:r>
              <w:rPr>
                <w:sz w:val="16"/>
                <w:szCs w:val="16"/>
                <w:lang w:val="es-ES_tradnl" w:bidi="th-TH"/>
              </w:rPr>
              <w:t>Por determinar</w:t>
            </w:r>
          </w:p>
        </w:tc>
        <w:tc>
          <w:tcPr>
            <w:tcW w:w="1082" w:type="pct"/>
            <w:shd w:val="clear" w:color="auto" w:fill="auto"/>
            <w:tcMar>
              <w:top w:w="113" w:type="dxa"/>
            </w:tcMar>
          </w:tcPr>
          <w:p w:rsidR="00C40836" w:rsidRPr="00C75C7E" w:rsidRDefault="00C40836" w:rsidP="004341A3">
            <w:pPr>
              <w:widowControl w:val="0"/>
              <w:ind w:right="3"/>
              <w:rPr>
                <w:bCs/>
                <w:sz w:val="16"/>
                <w:szCs w:val="16"/>
                <w:lang w:val="es-ES_tradnl"/>
              </w:rPr>
            </w:pPr>
            <w:r>
              <w:rPr>
                <w:bCs/>
                <w:sz w:val="16"/>
                <w:szCs w:val="16"/>
                <w:lang w:val="es-ES_tradnl"/>
              </w:rPr>
              <w:t>Por determinar</w:t>
            </w:r>
          </w:p>
        </w:tc>
      </w:tr>
      <w:tr w:rsidR="00C40836" w:rsidRPr="00C75C7E" w:rsidTr="004341A3">
        <w:trPr>
          <w:cantSplit/>
          <w:trHeight w:val="795"/>
        </w:trPr>
        <w:tc>
          <w:tcPr>
            <w:tcW w:w="1249" w:type="pct"/>
            <w:shd w:val="clear" w:color="auto" w:fill="auto"/>
            <w:tcMar>
              <w:top w:w="113" w:type="dxa"/>
            </w:tcMar>
          </w:tcPr>
          <w:p w:rsidR="00C40836" w:rsidRPr="00C75C7E" w:rsidRDefault="00C40836" w:rsidP="004341A3">
            <w:pPr>
              <w:widowControl w:val="0"/>
              <w:rPr>
                <w:sz w:val="16"/>
                <w:szCs w:val="16"/>
                <w:lang w:val="es-ES_tradnl"/>
              </w:rPr>
            </w:pPr>
          </w:p>
        </w:tc>
        <w:tc>
          <w:tcPr>
            <w:tcW w:w="1514" w:type="pct"/>
            <w:shd w:val="clear" w:color="auto" w:fill="auto"/>
            <w:tcMar>
              <w:top w:w="113" w:type="dxa"/>
            </w:tcMar>
          </w:tcPr>
          <w:p w:rsidR="00C40836" w:rsidRPr="00C75C7E" w:rsidRDefault="00962ADA" w:rsidP="004341A3">
            <w:pPr>
              <w:widowControl w:val="0"/>
              <w:rPr>
                <w:sz w:val="16"/>
                <w:szCs w:val="16"/>
                <w:lang w:val="es-ES_tradnl"/>
              </w:rPr>
            </w:pPr>
            <w:r w:rsidRPr="00A602DB">
              <w:rPr>
                <w:sz w:val="16"/>
                <w:szCs w:val="16"/>
                <w:lang w:val="es-ES_tradnl"/>
              </w:rPr>
              <w:t xml:space="preserve">Porcentaje de instituciones de apoyo a las pymes </w:t>
            </w:r>
            <w:r>
              <w:rPr>
                <w:sz w:val="16"/>
                <w:szCs w:val="16"/>
                <w:lang w:val="es-ES_tradnl"/>
              </w:rPr>
              <w:t>que han recibido formación, que a su vez brindan información, apoyo y servicios de consultoría/asesoramiento en gestión de activos de P.I.</w:t>
            </w:r>
          </w:p>
        </w:tc>
        <w:tc>
          <w:tcPr>
            <w:tcW w:w="1155" w:type="pct"/>
            <w:shd w:val="clear" w:color="auto" w:fill="FFFFFF"/>
            <w:tcMar>
              <w:top w:w="113" w:type="dxa"/>
            </w:tcMar>
          </w:tcPr>
          <w:p w:rsidR="00C40836" w:rsidRPr="00C75C7E" w:rsidRDefault="00962ADA" w:rsidP="004341A3">
            <w:pPr>
              <w:widowControl w:val="0"/>
              <w:rPr>
                <w:sz w:val="16"/>
                <w:szCs w:val="16"/>
                <w:lang w:val="es-ES_tradnl" w:bidi="th-TH"/>
              </w:rPr>
            </w:pPr>
            <w:r>
              <w:rPr>
                <w:sz w:val="16"/>
                <w:szCs w:val="16"/>
                <w:lang w:val="es-ES_tradnl" w:bidi="th-TH"/>
              </w:rPr>
              <w:t>Por determinar</w:t>
            </w:r>
          </w:p>
        </w:tc>
        <w:tc>
          <w:tcPr>
            <w:tcW w:w="1082" w:type="pct"/>
            <w:shd w:val="clear" w:color="auto" w:fill="auto"/>
            <w:tcMar>
              <w:top w:w="113" w:type="dxa"/>
            </w:tcMar>
          </w:tcPr>
          <w:p w:rsidR="00C40836" w:rsidRPr="00C75C7E" w:rsidRDefault="00962ADA" w:rsidP="004341A3">
            <w:pPr>
              <w:widowControl w:val="0"/>
              <w:ind w:right="3"/>
              <w:rPr>
                <w:bCs/>
                <w:sz w:val="16"/>
                <w:szCs w:val="16"/>
                <w:lang w:val="es-ES_tradnl"/>
              </w:rPr>
            </w:pPr>
            <w:r>
              <w:rPr>
                <w:bCs/>
                <w:sz w:val="16"/>
                <w:szCs w:val="16"/>
                <w:lang w:val="es-ES_tradnl"/>
              </w:rPr>
              <w:t>Por determinar</w:t>
            </w:r>
          </w:p>
        </w:tc>
      </w:tr>
      <w:tr w:rsidR="00C40836" w:rsidRPr="00C75C7E" w:rsidTr="004341A3">
        <w:trPr>
          <w:cantSplit/>
          <w:trHeight w:val="795"/>
        </w:trPr>
        <w:tc>
          <w:tcPr>
            <w:tcW w:w="1249" w:type="pct"/>
            <w:shd w:val="clear" w:color="auto" w:fill="auto"/>
            <w:tcMar>
              <w:top w:w="113" w:type="dxa"/>
            </w:tcMar>
          </w:tcPr>
          <w:p w:rsidR="00C40836" w:rsidRPr="00C75C7E" w:rsidRDefault="00C40836" w:rsidP="004341A3">
            <w:pPr>
              <w:widowControl w:val="0"/>
              <w:rPr>
                <w:sz w:val="16"/>
                <w:szCs w:val="16"/>
                <w:lang w:val="es-ES_tradnl"/>
              </w:rPr>
            </w:pPr>
          </w:p>
        </w:tc>
        <w:tc>
          <w:tcPr>
            <w:tcW w:w="1514" w:type="pct"/>
            <w:shd w:val="clear" w:color="auto" w:fill="auto"/>
            <w:tcMar>
              <w:top w:w="113" w:type="dxa"/>
            </w:tcMar>
          </w:tcPr>
          <w:p w:rsidR="00C40836" w:rsidRPr="00C75C7E" w:rsidRDefault="00962ADA" w:rsidP="004341A3">
            <w:pPr>
              <w:widowControl w:val="0"/>
              <w:rPr>
                <w:sz w:val="16"/>
                <w:szCs w:val="16"/>
                <w:lang w:val="es-ES_tradnl"/>
              </w:rPr>
            </w:pPr>
            <w:r>
              <w:rPr>
                <w:sz w:val="16"/>
                <w:szCs w:val="16"/>
                <w:lang w:val="es-ES_tradnl"/>
              </w:rPr>
              <w:t>Número de países que han establecido programas de formación en P.I. destinados a las pymes.</w:t>
            </w:r>
          </w:p>
        </w:tc>
        <w:tc>
          <w:tcPr>
            <w:tcW w:w="1155" w:type="pct"/>
            <w:shd w:val="clear" w:color="auto" w:fill="FFFFFF"/>
            <w:tcMar>
              <w:top w:w="113" w:type="dxa"/>
            </w:tcMar>
          </w:tcPr>
          <w:p w:rsidR="00C40836" w:rsidRPr="00C75C7E" w:rsidRDefault="00962ADA" w:rsidP="004341A3">
            <w:pPr>
              <w:widowControl w:val="0"/>
              <w:rPr>
                <w:sz w:val="16"/>
                <w:szCs w:val="16"/>
                <w:lang w:val="es-ES_tradnl" w:bidi="th-TH"/>
              </w:rPr>
            </w:pPr>
            <w:r>
              <w:rPr>
                <w:sz w:val="16"/>
                <w:szCs w:val="16"/>
                <w:lang w:val="es-ES_tradnl" w:bidi="th-TH"/>
              </w:rPr>
              <w:t>Por determinar</w:t>
            </w:r>
          </w:p>
        </w:tc>
        <w:tc>
          <w:tcPr>
            <w:tcW w:w="1082" w:type="pct"/>
            <w:shd w:val="clear" w:color="auto" w:fill="auto"/>
            <w:tcMar>
              <w:top w:w="113" w:type="dxa"/>
            </w:tcMar>
          </w:tcPr>
          <w:p w:rsidR="00C40836" w:rsidRPr="00C75C7E" w:rsidRDefault="00962ADA" w:rsidP="004341A3">
            <w:pPr>
              <w:widowControl w:val="0"/>
              <w:ind w:right="3"/>
              <w:rPr>
                <w:bCs/>
                <w:sz w:val="16"/>
                <w:szCs w:val="16"/>
                <w:lang w:val="es-ES_tradnl"/>
              </w:rPr>
            </w:pPr>
            <w:r>
              <w:rPr>
                <w:bCs/>
                <w:sz w:val="16"/>
                <w:szCs w:val="16"/>
                <w:lang w:val="es-ES_tradnl"/>
              </w:rPr>
              <w:t>Por determinar</w:t>
            </w:r>
          </w:p>
        </w:tc>
      </w:tr>
      <w:tr w:rsidR="00B16400" w:rsidRPr="00C75C7E" w:rsidTr="004341A3">
        <w:trPr>
          <w:cantSplit/>
          <w:trHeight w:val="795"/>
        </w:trPr>
        <w:tc>
          <w:tcPr>
            <w:tcW w:w="1249" w:type="pct"/>
            <w:shd w:val="clear" w:color="auto" w:fill="auto"/>
            <w:tcMar>
              <w:top w:w="113" w:type="dxa"/>
            </w:tcMar>
          </w:tcPr>
          <w:p w:rsidR="00B16400" w:rsidRPr="00C75C7E" w:rsidRDefault="00B16400" w:rsidP="00460232">
            <w:pPr>
              <w:widowControl w:val="0"/>
              <w:rPr>
                <w:sz w:val="16"/>
                <w:szCs w:val="16"/>
                <w:lang w:val="es-ES_tradnl"/>
              </w:rPr>
            </w:pPr>
            <w:r w:rsidRPr="00C75C7E">
              <w:rPr>
                <w:sz w:val="16"/>
                <w:szCs w:val="16"/>
                <w:lang w:val="es-ES_tradnl"/>
              </w:rPr>
              <w:lastRenderedPageBreak/>
              <w:t>IV.2</w:t>
            </w:r>
            <w:r w:rsidR="00460232">
              <w:rPr>
                <w:sz w:val="16"/>
                <w:szCs w:val="16"/>
                <w:lang w:val="es-ES_tradnl"/>
              </w:rPr>
              <w:t xml:space="preserve"> </w:t>
            </w:r>
            <w:r w:rsidRPr="00C75C7E">
              <w:rPr>
                <w:sz w:val="16"/>
                <w:szCs w:val="16"/>
                <w:lang w:val="es-ES_tradnl"/>
              </w:rPr>
              <w:t xml:space="preserve"> Mejora del acceso y uso de información y conocimientos de P.I. por parte de instituciones de P.I. y el público para fomentar la innovación y la creatividad.</w:t>
            </w:r>
          </w:p>
        </w:tc>
        <w:tc>
          <w:tcPr>
            <w:tcW w:w="1514" w:type="pct"/>
            <w:shd w:val="clear" w:color="auto" w:fill="auto"/>
            <w:tcMar>
              <w:top w:w="113" w:type="dxa"/>
            </w:tcMar>
          </w:tcPr>
          <w:p w:rsidR="00B16400" w:rsidRPr="00C75C7E" w:rsidRDefault="00B16400" w:rsidP="004341A3">
            <w:pPr>
              <w:widowControl w:val="0"/>
              <w:rPr>
                <w:sz w:val="16"/>
                <w:szCs w:val="16"/>
                <w:lang w:val="es-ES_tradnl"/>
              </w:rPr>
            </w:pPr>
            <w:r w:rsidRPr="00C75C7E">
              <w:rPr>
                <w:sz w:val="16"/>
                <w:szCs w:val="16"/>
                <w:lang w:val="es-ES_tradnl"/>
              </w:rPr>
              <w:t>Número de redes nacionales sostenibles de CATI.</w:t>
            </w:r>
          </w:p>
        </w:tc>
        <w:tc>
          <w:tcPr>
            <w:tcW w:w="1155" w:type="pct"/>
            <w:shd w:val="clear" w:color="auto" w:fill="FFFFFF"/>
            <w:tcMar>
              <w:top w:w="113" w:type="dxa"/>
            </w:tcMar>
          </w:tcPr>
          <w:p w:rsidR="00B16400" w:rsidRPr="00C75C7E" w:rsidRDefault="00B16400" w:rsidP="004341A3">
            <w:pPr>
              <w:widowControl w:val="0"/>
              <w:rPr>
                <w:sz w:val="16"/>
                <w:szCs w:val="16"/>
                <w:lang w:val="es-ES_tradnl" w:bidi="th-TH"/>
              </w:rPr>
            </w:pPr>
            <w:r w:rsidRPr="00C75C7E">
              <w:rPr>
                <w:sz w:val="16"/>
                <w:szCs w:val="16"/>
                <w:lang w:val="es-ES_tradnl" w:bidi="th-TH"/>
              </w:rPr>
              <w:t>14 redes nacionales de CATI:</w:t>
            </w:r>
          </w:p>
          <w:p w:rsidR="00B16400" w:rsidRPr="00C75C7E" w:rsidRDefault="00B16400" w:rsidP="004341A3">
            <w:pPr>
              <w:widowControl w:val="0"/>
              <w:rPr>
                <w:sz w:val="16"/>
                <w:szCs w:val="16"/>
                <w:lang w:val="es-ES_tradnl" w:bidi="th-TH"/>
              </w:rPr>
            </w:pPr>
          </w:p>
          <w:p w:rsidR="00B16400" w:rsidRPr="00C75C7E" w:rsidRDefault="00B16400" w:rsidP="004341A3">
            <w:pPr>
              <w:widowControl w:val="0"/>
              <w:rPr>
                <w:sz w:val="16"/>
                <w:szCs w:val="16"/>
                <w:lang w:val="es-ES_tradnl" w:bidi="th-TH"/>
              </w:rPr>
            </w:pPr>
            <w:r w:rsidRPr="00C75C7E">
              <w:rPr>
                <w:sz w:val="16"/>
                <w:szCs w:val="16"/>
                <w:lang w:val="es-ES_tradnl" w:bidi="th-TH"/>
              </w:rPr>
              <w:t>África (6).</w:t>
            </w:r>
          </w:p>
          <w:p w:rsidR="00B16400" w:rsidRPr="00C75C7E" w:rsidRDefault="00B16400" w:rsidP="004341A3">
            <w:pPr>
              <w:widowControl w:val="0"/>
              <w:rPr>
                <w:sz w:val="16"/>
                <w:szCs w:val="16"/>
                <w:lang w:val="es-ES_tradnl" w:bidi="th-TH"/>
              </w:rPr>
            </w:pPr>
          </w:p>
          <w:p w:rsidR="00B16400" w:rsidRPr="00C75C7E" w:rsidRDefault="00B16400" w:rsidP="004341A3">
            <w:pPr>
              <w:widowControl w:val="0"/>
              <w:rPr>
                <w:sz w:val="16"/>
                <w:szCs w:val="16"/>
                <w:lang w:val="es-ES_tradnl" w:bidi="th-TH"/>
              </w:rPr>
            </w:pPr>
          </w:p>
          <w:p w:rsidR="00B16400" w:rsidRPr="00C75C7E" w:rsidRDefault="00B16400" w:rsidP="004341A3">
            <w:pPr>
              <w:widowControl w:val="0"/>
              <w:rPr>
                <w:sz w:val="16"/>
                <w:szCs w:val="16"/>
                <w:lang w:val="es-ES_tradnl" w:bidi="th-TH"/>
              </w:rPr>
            </w:pPr>
            <w:r w:rsidRPr="00C75C7E">
              <w:rPr>
                <w:sz w:val="16"/>
                <w:szCs w:val="16"/>
                <w:lang w:val="es-ES_tradnl" w:bidi="th-TH"/>
              </w:rPr>
              <w:t>Región de los Países Árabes (2).</w:t>
            </w:r>
          </w:p>
          <w:p w:rsidR="00B16400" w:rsidRPr="00C75C7E" w:rsidRDefault="00B16400" w:rsidP="004341A3">
            <w:pPr>
              <w:widowControl w:val="0"/>
              <w:rPr>
                <w:sz w:val="16"/>
                <w:szCs w:val="16"/>
                <w:lang w:val="es-ES_tradnl" w:bidi="th-TH"/>
              </w:rPr>
            </w:pPr>
          </w:p>
          <w:p w:rsidR="00B16400" w:rsidRPr="00C75C7E" w:rsidRDefault="00B16400" w:rsidP="004341A3">
            <w:pPr>
              <w:widowControl w:val="0"/>
              <w:rPr>
                <w:sz w:val="16"/>
                <w:szCs w:val="16"/>
                <w:lang w:val="es-ES_tradnl" w:bidi="th-TH"/>
              </w:rPr>
            </w:pPr>
            <w:r w:rsidRPr="00C75C7E">
              <w:rPr>
                <w:sz w:val="16"/>
                <w:szCs w:val="16"/>
                <w:lang w:val="es-ES_tradnl" w:bidi="th-TH"/>
              </w:rPr>
              <w:t>Asia y el Pacífico (2).</w:t>
            </w:r>
          </w:p>
          <w:p w:rsidR="00B16400" w:rsidRPr="00C75C7E" w:rsidRDefault="00B16400" w:rsidP="004341A3">
            <w:pPr>
              <w:widowControl w:val="0"/>
              <w:rPr>
                <w:sz w:val="16"/>
                <w:szCs w:val="16"/>
                <w:lang w:val="es-ES_tradnl" w:bidi="th-TH"/>
              </w:rPr>
            </w:pPr>
          </w:p>
          <w:p w:rsidR="00B16400" w:rsidRPr="00C75C7E" w:rsidRDefault="00B16400" w:rsidP="004341A3">
            <w:pPr>
              <w:widowControl w:val="0"/>
              <w:rPr>
                <w:sz w:val="16"/>
                <w:szCs w:val="16"/>
                <w:lang w:val="es-ES_tradnl" w:bidi="th-TH"/>
              </w:rPr>
            </w:pPr>
          </w:p>
          <w:p w:rsidR="00B16400" w:rsidRPr="00C75C7E" w:rsidRDefault="00B16400" w:rsidP="004341A3">
            <w:pPr>
              <w:widowControl w:val="0"/>
              <w:rPr>
                <w:sz w:val="16"/>
                <w:szCs w:val="16"/>
                <w:lang w:val="es-ES_tradnl" w:bidi="th-TH"/>
              </w:rPr>
            </w:pPr>
            <w:r w:rsidRPr="00C75C7E">
              <w:rPr>
                <w:sz w:val="16"/>
                <w:szCs w:val="16"/>
                <w:lang w:val="es-ES_tradnl" w:bidi="th-TH"/>
              </w:rPr>
              <w:t>América Latina y el Caribe (4).</w:t>
            </w:r>
          </w:p>
          <w:p w:rsidR="00B16400" w:rsidRPr="00C75C7E" w:rsidRDefault="00B16400" w:rsidP="004341A3">
            <w:pPr>
              <w:widowControl w:val="0"/>
              <w:rPr>
                <w:sz w:val="16"/>
                <w:szCs w:val="16"/>
                <w:lang w:val="es-ES_tradnl" w:bidi="th-TH"/>
              </w:rPr>
            </w:pPr>
          </w:p>
          <w:p w:rsidR="00B16400" w:rsidRPr="00C75C7E" w:rsidRDefault="00B16400" w:rsidP="004341A3">
            <w:pPr>
              <w:widowControl w:val="0"/>
              <w:rPr>
                <w:sz w:val="16"/>
                <w:szCs w:val="16"/>
                <w:lang w:val="es-ES_tradnl" w:bidi="th-TH"/>
              </w:rPr>
            </w:pPr>
            <w:r w:rsidRPr="00C75C7E">
              <w:rPr>
                <w:sz w:val="16"/>
                <w:szCs w:val="16"/>
                <w:lang w:val="es-ES_tradnl" w:bidi="th-TH"/>
              </w:rPr>
              <w:t>6 PMA incluidos en el desglose regional precedente.</w:t>
            </w:r>
          </w:p>
        </w:tc>
        <w:tc>
          <w:tcPr>
            <w:tcW w:w="1082" w:type="pct"/>
            <w:shd w:val="clear" w:color="auto" w:fill="auto"/>
            <w:tcMar>
              <w:top w:w="113" w:type="dxa"/>
            </w:tcMar>
          </w:tcPr>
          <w:p w:rsidR="00B16400" w:rsidRPr="00C75C7E" w:rsidRDefault="00B16400" w:rsidP="004341A3">
            <w:pPr>
              <w:widowControl w:val="0"/>
              <w:ind w:right="3"/>
              <w:rPr>
                <w:bCs/>
                <w:sz w:val="16"/>
                <w:szCs w:val="16"/>
                <w:lang w:val="es-ES_tradnl"/>
              </w:rPr>
            </w:pPr>
            <w:r w:rsidRPr="00C75C7E">
              <w:rPr>
                <w:bCs/>
                <w:sz w:val="16"/>
                <w:szCs w:val="16"/>
                <w:lang w:val="es-ES_tradnl"/>
              </w:rPr>
              <w:t>23 redes nacionales de CATI (en total):</w:t>
            </w:r>
          </w:p>
          <w:p w:rsidR="00B16400" w:rsidRPr="00C75C7E" w:rsidRDefault="00B16400" w:rsidP="004341A3">
            <w:pPr>
              <w:widowControl w:val="0"/>
              <w:ind w:right="161"/>
              <w:rPr>
                <w:bCs/>
                <w:sz w:val="16"/>
                <w:szCs w:val="16"/>
                <w:lang w:val="es-ES_tradnl"/>
              </w:rPr>
            </w:pPr>
          </w:p>
          <w:p w:rsidR="00B16400" w:rsidRPr="00C75C7E" w:rsidRDefault="00B16400" w:rsidP="004341A3">
            <w:pPr>
              <w:widowControl w:val="0"/>
              <w:ind w:right="161"/>
              <w:rPr>
                <w:bCs/>
                <w:sz w:val="16"/>
                <w:szCs w:val="16"/>
                <w:lang w:val="es-ES_tradnl"/>
              </w:rPr>
            </w:pPr>
            <w:r w:rsidRPr="00C75C7E">
              <w:rPr>
                <w:bCs/>
                <w:sz w:val="16"/>
                <w:szCs w:val="16"/>
                <w:lang w:val="es-ES_tradnl"/>
              </w:rPr>
              <w:t>África (10 de los que 8 son PMA)</w:t>
            </w:r>
          </w:p>
          <w:p w:rsidR="00B16400" w:rsidRPr="00C75C7E" w:rsidRDefault="00B16400" w:rsidP="004341A3">
            <w:pPr>
              <w:widowControl w:val="0"/>
              <w:ind w:right="161"/>
              <w:rPr>
                <w:bCs/>
                <w:sz w:val="16"/>
                <w:szCs w:val="16"/>
                <w:lang w:val="es-ES_tradnl"/>
              </w:rPr>
            </w:pPr>
          </w:p>
          <w:p w:rsidR="00B16400" w:rsidRPr="00C75C7E" w:rsidRDefault="00B16400" w:rsidP="004341A3">
            <w:pPr>
              <w:widowControl w:val="0"/>
              <w:ind w:right="161"/>
              <w:rPr>
                <w:bCs/>
                <w:sz w:val="16"/>
                <w:szCs w:val="16"/>
                <w:lang w:val="es-ES_tradnl"/>
              </w:rPr>
            </w:pPr>
            <w:r w:rsidRPr="00C75C7E">
              <w:rPr>
                <w:bCs/>
                <w:sz w:val="16"/>
                <w:szCs w:val="16"/>
                <w:lang w:val="es-ES_tradnl"/>
              </w:rPr>
              <w:t xml:space="preserve">Región de los Países Árabes (3). </w:t>
            </w:r>
          </w:p>
          <w:p w:rsidR="00B16400" w:rsidRPr="00C75C7E" w:rsidRDefault="00B16400" w:rsidP="004341A3">
            <w:pPr>
              <w:widowControl w:val="0"/>
              <w:ind w:right="161"/>
              <w:rPr>
                <w:bCs/>
                <w:sz w:val="16"/>
                <w:szCs w:val="16"/>
                <w:lang w:val="es-ES_tradnl"/>
              </w:rPr>
            </w:pPr>
          </w:p>
          <w:p w:rsidR="00B16400" w:rsidRPr="00C75C7E" w:rsidRDefault="00B16400" w:rsidP="004341A3">
            <w:pPr>
              <w:widowControl w:val="0"/>
              <w:ind w:right="161"/>
              <w:rPr>
                <w:bCs/>
                <w:sz w:val="16"/>
                <w:szCs w:val="16"/>
                <w:lang w:val="es-ES_tradnl"/>
              </w:rPr>
            </w:pPr>
            <w:r w:rsidRPr="00C75C7E">
              <w:rPr>
                <w:bCs/>
                <w:sz w:val="16"/>
                <w:szCs w:val="16"/>
                <w:lang w:val="es-ES_tradnl"/>
              </w:rPr>
              <w:t>Asia y el Pacífico (4 de los que 2 son PMA)</w:t>
            </w:r>
          </w:p>
          <w:p w:rsidR="00B16400" w:rsidRPr="00C75C7E" w:rsidRDefault="00B16400" w:rsidP="004341A3">
            <w:pPr>
              <w:widowControl w:val="0"/>
              <w:ind w:right="161"/>
              <w:rPr>
                <w:bCs/>
                <w:sz w:val="16"/>
                <w:szCs w:val="16"/>
                <w:lang w:val="es-ES_tradnl"/>
              </w:rPr>
            </w:pPr>
          </w:p>
          <w:p w:rsidR="00B16400" w:rsidRPr="00C75C7E" w:rsidRDefault="00B16400" w:rsidP="004341A3">
            <w:pPr>
              <w:widowControl w:val="0"/>
              <w:ind w:right="161"/>
              <w:rPr>
                <w:bCs/>
                <w:sz w:val="16"/>
                <w:szCs w:val="16"/>
                <w:lang w:val="es-ES_tradnl"/>
              </w:rPr>
            </w:pPr>
            <w:r w:rsidRPr="00C75C7E">
              <w:rPr>
                <w:bCs/>
                <w:sz w:val="16"/>
                <w:szCs w:val="16"/>
                <w:lang w:val="es-ES_tradnl"/>
              </w:rPr>
              <w:t>América Latina y el Caribe (6).</w:t>
            </w:r>
          </w:p>
          <w:p w:rsidR="00B16400" w:rsidRPr="00C75C7E" w:rsidRDefault="00B16400" w:rsidP="004341A3">
            <w:pPr>
              <w:widowControl w:val="0"/>
              <w:ind w:right="161"/>
              <w:rPr>
                <w:bCs/>
                <w:sz w:val="16"/>
                <w:szCs w:val="16"/>
                <w:lang w:val="es-ES_tradnl"/>
              </w:rPr>
            </w:pPr>
          </w:p>
        </w:tc>
      </w:tr>
      <w:tr w:rsidR="00B16400" w:rsidRPr="00C75C7E" w:rsidTr="004341A3">
        <w:trPr>
          <w:cantSplit/>
          <w:trHeight w:val="795"/>
        </w:trPr>
        <w:tc>
          <w:tcPr>
            <w:tcW w:w="1249" w:type="pct"/>
            <w:shd w:val="clear" w:color="auto" w:fill="auto"/>
            <w:tcMar>
              <w:top w:w="113" w:type="dxa"/>
            </w:tcMar>
          </w:tcPr>
          <w:p w:rsidR="00B16400" w:rsidRPr="00C75C7E" w:rsidRDefault="00B16400" w:rsidP="004341A3">
            <w:pPr>
              <w:widowControl w:val="0"/>
              <w:rPr>
                <w:sz w:val="16"/>
                <w:szCs w:val="16"/>
                <w:lang w:val="es-ES_tradnl"/>
              </w:rPr>
            </w:pPr>
          </w:p>
        </w:tc>
        <w:tc>
          <w:tcPr>
            <w:tcW w:w="1514" w:type="pct"/>
            <w:shd w:val="clear" w:color="auto" w:fill="auto"/>
            <w:tcMar>
              <w:top w:w="113" w:type="dxa"/>
            </w:tcMar>
          </w:tcPr>
          <w:p w:rsidR="00B16400" w:rsidRPr="00C75C7E" w:rsidRDefault="00B16400" w:rsidP="004341A3">
            <w:pPr>
              <w:widowControl w:val="0"/>
              <w:rPr>
                <w:sz w:val="16"/>
                <w:szCs w:val="16"/>
                <w:lang w:val="es-ES_tradnl"/>
              </w:rPr>
            </w:pPr>
            <w:r w:rsidRPr="00C75C7E">
              <w:rPr>
                <w:sz w:val="16"/>
                <w:szCs w:val="16"/>
                <w:lang w:val="es-ES_tradnl"/>
              </w:rPr>
              <w:t>Promedio de usuarios que utilizan los servicios de los CATI por trimestre y por país.</w:t>
            </w:r>
          </w:p>
        </w:tc>
        <w:tc>
          <w:tcPr>
            <w:tcW w:w="1155" w:type="pct"/>
            <w:shd w:val="clear" w:color="auto" w:fill="FFFFFF"/>
            <w:tcMar>
              <w:top w:w="113" w:type="dxa"/>
            </w:tcMar>
          </w:tcPr>
          <w:p w:rsidR="00B16400" w:rsidRPr="00C75C7E" w:rsidRDefault="00B16400" w:rsidP="004341A3">
            <w:pPr>
              <w:widowControl w:val="0"/>
              <w:rPr>
                <w:sz w:val="16"/>
                <w:szCs w:val="16"/>
                <w:lang w:val="es-ES_tradnl" w:bidi="th-TH"/>
              </w:rPr>
            </w:pPr>
            <w:r w:rsidRPr="00C75C7E">
              <w:rPr>
                <w:sz w:val="16"/>
                <w:szCs w:val="16"/>
                <w:lang w:val="es-ES_tradnl" w:bidi="th-TH"/>
              </w:rPr>
              <w:t>200 (min.) – 630 (máx.).</w:t>
            </w:r>
          </w:p>
        </w:tc>
        <w:tc>
          <w:tcPr>
            <w:tcW w:w="1082" w:type="pct"/>
            <w:shd w:val="clear" w:color="auto" w:fill="auto"/>
            <w:tcMar>
              <w:top w:w="113" w:type="dxa"/>
            </w:tcMar>
          </w:tcPr>
          <w:p w:rsidR="00B16400" w:rsidRPr="00C75C7E" w:rsidRDefault="00B16400" w:rsidP="004341A3">
            <w:pPr>
              <w:widowControl w:val="0"/>
              <w:ind w:right="161"/>
              <w:rPr>
                <w:bCs/>
                <w:sz w:val="16"/>
                <w:szCs w:val="16"/>
                <w:lang w:val="es-ES_tradnl"/>
              </w:rPr>
            </w:pPr>
            <w:r w:rsidRPr="00C75C7E">
              <w:rPr>
                <w:sz w:val="16"/>
                <w:szCs w:val="16"/>
                <w:lang w:val="es-ES_tradnl" w:bidi="th-TH"/>
              </w:rPr>
              <w:t>300 (min.) – 750 (máx.).</w:t>
            </w:r>
          </w:p>
        </w:tc>
      </w:tr>
      <w:tr w:rsidR="00B16400" w:rsidRPr="00C75C7E" w:rsidTr="004341A3">
        <w:trPr>
          <w:cantSplit/>
          <w:trHeight w:val="795"/>
        </w:trPr>
        <w:tc>
          <w:tcPr>
            <w:tcW w:w="1249" w:type="pct"/>
            <w:shd w:val="clear" w:color="auto" w:fill="auto"/>
            <w:tcMar>
              <w:top w:w="113" w:type="dxa"/>
            </w:tcMar>
          </w:tcPr>
          <w:p w:rsidR="00B16400" w:rsidRPr="00C75C7E" w:rsidRDefault="00B16400" w:rsidP="004341A3">
            <w:pPr>
              <w:widowControl w:val="0"/>
              <w:rPr>
                <w:sz w:val="16"/>
                <w:szCs w:val="16"/>
                <w:lang w:val="es-ES_tradnl"/>
              </w:rPr>
            </w:pPr>
          </w:p>
        </w:tc>
        <w:tc>
          <w:tcPr>
            <w:tcW w:w="1514" w:type="pct"/>
            <w:shd w:val="clear" w:color="auto" w:fill="auto"/>
            <w:tcMar>
              <w:top w:w="113" w:type="dxa"/>
            </w:tcMar>
          </w:tcPr>
          <w:p w:rsidR="00B16400" w:rsidRPr="00C75C7E" w:rsidRDefault="00B16400" w:rsidP="004341A3">
            <w:pPr>
              <w:widowControl w:val="0"/>
              <w:rPr>
                <w:sz w:val="16"/>
                <w:szCs w:val="16"/>
                <w:lang w:val="es-ES_tradnl"/>
              </w:rPr>
            </w:pPr>
            <w:r w:rsidRPr="00C75C7E">
              <w:rPr>
                <w:sz w:val="16"/>
                <w:szCs w:val="16"/>
                <w:lang w:val="es-ES_tradnl"/>
              </w:rPr>
              <w:t>Número de países que utilizan la base de datos de asistencia técnica en P.I. (IP-TAD) y la lista de consultores (IP_ROC).</w:t>
            </w:r>
          </w:p>
        </w:tc>
        <w:tc>
          <w:tcPr>
            <w:tcW w:w="1155" w:type="pct"/>
            <w:shd w:val="clear" w:color="auto" w:fill="FFFFFF"/>
            <w:tcMar>
              <w:top w:w="113" w:type="dxa"/>
            </w:tcMar>
          </w:tcPr>
          <w:p w:rsidR="00B16400" w:rsidRPr="00C75C7E" w:rsidRDefault="00B16400" w:rsidP="004341A3">
            <w:pPr>
              <w:widowControl w:val="0"/>
              <w:rPr>
                <w:sz w:val="16"/>
                <w:szCs w:val="16"/>
                <w:lang w:val="es-ES_tradnl" w:bidi="th-TH"/>
              </w:rPr>
            </w:pPr>
            <w:r w:rsidRPr="00C75C7E">
              <w:rPr>
                <w:sz w:val="16"/>
                <w:szCs w:val="16"/>
                <w:lang w:val="es-ES_tradnl" w:bidi="th-TH"/>
              </w:rPr>
              <w:t>60 (al 01.03.2013)</w:t>
            </w:r>
          </w:p>
        </w:tc>
        <w:tc>
          <w:tcPr>
            <w:tcW w:w="1082" w:type="pct"/>
            <w:shd w:val="clear" w:color="auto" w:fill="auto"/>
            <w:tcMar>
              <w:top w:w="113" w:type="dxa"/>
            </w:tcMar>
          </w:tcPr>
          <w:p w:rsidR="00B16400" w:rsidRPr="00C75C7E" w:rsidRDefault="00B16400" w:rsidP="004341A3">
            <w:pPr>
              <w:widowControl w:val="0"/>
              <w:ind w:right="161"/>
              <w:rPr>
                <w:bCs/>
                <w:sz w:val="16"/>
                <w:szCs w:val="16"/>
                <w:lang w:val="es-ES_tradnl"/>
              </w:rPr>
            </w:pPr>
            <w:r w:rsidRPr="00C75C7E">
              <w:rPr>
                <w:bCs/>
                <w:sz w:val="16"/>
                <w:szCs w:val="16"/>
                <w:lang w:val="es-ES_tradnl"/>
              </w:rPr>
              <w:t>70</w:t>
            </w:r>
          </w:p>
        </w:tc>
      </w:tr>
      <w:tr w:rsidR="00B52FA1" w:rsidRPr="00C75C7E" w:rsidTr="004341A3">
        <w:trPr>
          <w:cantSplit/>
          <w:trHeight w:val="795"/>
        </w:trPr>
        <w:tc>
          <w:tcPr>
            <w:tcW w:w="1249" w:type="pct"/>
            <w:shd w:val="clear" w:color="auto" w:fill="auto"/>
            <w:tcMar>
              <w:top w:w="113" w:type="dxa"/>
            </w:tcMar>
          </w:tcPr>
          <w:p w:rsidR="00B52FA1" w:rsidRPr="00C75C7E" w:rsidRDefault="00B52FA1" w:rsidP="004341A3">
            <w:pPr>
              <w:widowControl w:val="0"/>
              <w:rPr>
                <w:sz w:val="16"/>
                <w:szCs w:val="16"/>
                <w:lang w:val="es-ES_tradnl"/>
              </w:rPr>
            </w:pPr>
          </w:p>
        </w:tc>
        <w:tc>
          <w:tcPr>
            <w:tcW w:w="1514" w:type="pct"/>
            <w:shd w:val="clear" w:color="auto" w:fill="auto"/>
            <w:tcMar>
              <w:top w:w="113" w:type="dxa"/>
            </w:tcMar>
          </w:tcPr>
          <w:p w:rsidR="00B52FA1" w:rsidRPr="00C75C7E" w:rsidRDefault="001F769A" w:rsidP="001F769A">
            <w:pPr>
              <w:widowControl w:val="0"/>
              <w:rPr>
                <w:sz w:val="16"/>
                <w:szCs w:val="16"/>
                <w:lang w:val="es-ES_tradnl"/>
              </w:rPr>
            </w:pPr>
            <w:r w:rsidRPr="001F769A">
              <w:rPr>
                <w:sz w:val="16"/>
                <w:szCs w:val="16"/>
                <w:lang w:val="es-ES_tradnl"/>
              </w:rPr>
              <w:t xml:space="preserve">Número de </w:t>
            </w:r>
            <w:r>
              <w:rPr>
                <w:sz w:val="16"/>
                <w:szCs w:val="16"/>
                <w:lang w:val="es-ES_tradnl"/>
              </w:rPr>
              <w:t>OTT</w:t>
            </w:r>
            <w:r w:rsidRPr="001F769A">
              <w:rPr>
                <w:sz w:val="16"/>
                <w:szCs w:val="16"/>
                <w:lang w:val="es-ES_tradnl"/>
              </w:rPr>
              <w:t xml:space="preserve"> </w:t>
            </w:r>
            <w:r>
              <w:rPr>
                <w:sz w:val="16"/>
                <w:szCs w:val="16"/>
                <w:lang w:val="es-ES_tradnl"/>
              </w:rPr>
              <w:t>establecida</w:t>
            </w:r>
            <w:r w:rsidRPr="001F769A">
              <w:rPr>
                <w:sz w:val="16"/>
                <w:szCs w:val="16"/>
                <w:lang w:val="es-ES_tradnl"/>
              </w:rPr>
              <w:t>s</w:t>
            </w:r>
            <w:r>
              <w:rPr>
                <w:sz w:val="16"/>
                <w:szCs w:val="16"/>
                <w:lang w:val="es-ES_tradnl"/>
              </w:rPr>
              <w:t xml:space="preserve"> o fortalecidas en universidades o instituciones de I+D</w:t>
            </w:r>
          </w:p>
        </w:tc>
        <w:tc>
          <w:tcPr>
            <w:tcW w:w="1155" w:type="pct"/>
            <w:shd w:val="clear" w:color="auto" w:fill="FFFFFF"/>
            <w:tcMar>
              <w:top w:w="113" w:type="dxa"/>
            </w:tcMar>
          </w:tcPr>
          <w:p w:rsidR="00B52FA1" w:rsidRPr="00C75C7E" w:rsidRDefault="00460232" w:rsidP="004341A3">
            <w:pPr>
              <w:widowControl w:val="0"/>
              <w:rPr>
                <w:sz w:val="16"/>
                <w:szCs w:val="16"/>
                <w:lang w:val="es-ES_tradnl" w:bidi="th-TH"/>
              </w:rPr>
            </w:pPr>
            <w:r>
              <w:rPr>
                <w:sz w:val="16"/>
                <w:szCs w:val="16"/>
                <w:lang w:val="es-ES_tradnl" w:bidi="th-TH"/>
              </w:rPr>
              <w:t>Por confirmar.</w:t>
            </w:r>
          </w:p>
        </w:tc>
        <w:tc>
          <w:tcPr>
            <w:tcW w:w="1082" w:type="pct"/>
            <w:shd w:val="clear" w:color="auto" w:fill="auto"/>
            <w:tcMar>
              <w:top w:w="113" w:type="dxa"/>
            </w:tcMar>
          </w:tcPr>
          <w:p w:rsidR="00B52FA1" w:rsidRPr="00C75C7E" w:rsidRDefault="001F769A" w:rsidP="001F769A">
            <w:pPr>
              <w:widowControl w:val="0"/>
              <w:ind w:right="161"/>
              <w:rPr>
                <w:bCs/>
                <w:sz w:val="16"/>
                <w:szCs w:val="16"/>
                <w:lang w:val="es-ES_tradnl"/>
              </w:rPr>
            </w:pPr>
            <w:r>
              <w:rPr>
                <w:bCs/>
                <w:sz w:val="16"/>
                <w:szCs w:val="16"/>
                <w:lang w:val="es-ES_tradnl"/>
              </w:rPr>
              <w:t>Países árabes: 5 OTT en total</w:t>
            </w:r>
            <w:r w:rsidR="00460232">
              <w:rPr>
                <w:bCs/>
                <w:sz w:val="16"/>
                <w:szCs w:val="16"/>
                <w:lang w:val="es-ES_tradnl"/>
              </w:rPr>
              <w:t>.</w:t>
            </w:r>
          </w:p>
        </w:tc>
      </w:tr>
      <w:tr w:rsidR="00B16400" w:rsidRPr="00C75C7E" w:rsidTr="004341A3">
        <w:trPr>
          <w:cantSplit/>
          <w:trHeight w:val="795"/>
        </w:trPr>
        <w:tc>
          <w:tcPr>
            <w:tcW w:w="1249" w:type="pct"/>
            <w:shd w:val="clear" w:color="auto" w:fill="auto"/>
            <w:tcMar>
              <w:top w:w="113" w:type="dxa"/>
            </w:tcMar>
          </w:tcPr>
          <w:p w:rsidR="00B16400" w:rsidRPr="00C75C7E" w:rsidRDefault="00B16400" w:rsidP="00460232">
            <w:pPr>
              <w:widowControl w:val="0"/>
              <w:rPr>
                <w:sz w:val="16"/>
                <w:szCs w:val="16"/>
                <w:lang w:val="es-ES_tradnl"/>
              </w:rPr>
            </w:pPr>
            <w:r w:rsidRPr="00C75C7E">
              <w:rPr>
                <w:sz w:val="16"/>
                <w:szCs w:val="16"/>
                <w:lang w:val="es-ES_tradnl"/>
              </w:rPr>
              <w:t xml:space="preserve">IV.4 </w:t>
            </w:r>
            <w:r w:rsidR="00B52FA1">
              <w:rPr>
                <w:sz w:val="16"/>
                <w:szCs w:val="16"/>
                <w:lang w:val="es-ES_tradnl"/>
              </w:rPr>
              <w:t xml:space="preserve"> </w:t>
            </w:r>
            <w:r w:rsidRPr="00C75C7E">
              <w:rPr>
                <w:sz w:val="16"/>
                <w:szCs w:val="16"/>
                <w:lang w:val="es-ES_tradnl"/>
              </w:rPr>
              <w:t xml:space="preserve">Mejora en la infraestructura técnica y de conocimientos de las oficinas y demás instituciones de P.I. </w:t>
            </w:r>
            <w:r w:rsidR="00177006">
              <w:rPr>
                <w:sz w:val="16"/>
                <w:szCs w:val="16"/>
                <w:lang w:val="es-ES_tradnl"/>
              </w:rPr>
              <w:t>que les permita prestar mejores servicios</w:t>
            </w:r>
            <w:r w:rsidRPr="00C75C7E">
              <w:rPr>
                <w:sz w:val="16"/>
                <w:szCs w:val="16"/>
                <w:lang w:val="es-ES_tradnl"/>
              </w:rPr>
              <w:t xml:space="preserve"> (más económicos, más rápidos y de mejor calidad) a sus partes interesadas.</w:t>
            </w:r>
          </w:p>
        </w:tc>
        <w:tc>
          <w:tcPr>
            <w:tcW w:w="1514" w:type="pct"/>
            <w:shd w:val="clear" w:color="auto" w:fill="auto"/>
            <w:tcMar>
              <w:top w:w="113" w:type="dxa"/>
            </w:tcMar>
          </w:tcPr>
          <w:p w:rsidR="00B16400" w:rsidRPr="00C75C7E" w:rsidRDefault="00B16400" w:rsidP="004341A3">
            <w:pPr>
              <w:widowControl w:val="0"/>
              <w:rPr>
                <w:sz w:val="16"/>
                <w:szCs w:val="16"/>
                <w:lang w:val="es-ES_tradnl"/>
              </w:rPr>
            </w:pPr>
            <w:r w:rsidRPr="00C75C7E">
              <w:rPr>
                <w:sz w:val="16"/>
                <w:szCs w:val="16"/>
                <w:lang w:val="es-ES_tradnl"/>
              </w:rPr>
              <w:t>Media del nivel de los servicios prestados por las Oficinas de P.I. que reciben asistencia (en una escala del 1 al 5).</w:t>
            </w:r>
          </w:p>
        </w:tc>
        <w:tc>
          <w:tcPr>
            <w:tcW w:w="1155" w:type="pct"/>
            <w:shd w:val="clear" w:color="auto" w:fill="FFFFFF"/>
            <w:tcMar>
              <w:top w:w="113" w:type="dxa"/>
            </w:tcMar>
          </w:tcPr>
          <w:p w:rsidR="00B16400" w:rsidRPr="00C75C7E" w:rsidRDefault="001F769A" w:rsidP="004341A3">
            <w:pPr>
              <w:widowControl w:val="0"/>
              <w:rPr>
                <w:sz w:val="16"/>
                <w:szCs w:val="16"/>
                <w:lang w:val="es-ES_tradnl" w:bidi="th-TH"/>
              </w:rPr>
            </w:pPr>
            <w:r>
              <w:rPr>
                <w:sz w:val="16"/>
                <w:szCs w:val="16"/>
                <w:lang w:val="es-ES_tradnl" w:bidi="th-TH"/>
              </w:rPr>
              <w:t>Por determinar</w:t>
            </w:r>
            <w:r w:rsidR="00460232">
              <w:rPr>
                <w:sz w:val="16"/>
                <w:szCs w:val="16"/>
                <w:lang w:val="es-ES_tradnl" w:bidi="th-TH"/>
              </w:rPr>
              <w:t>.</w:t>
            </w:r>
          </w:p>
        </w:tc>
        <w:tc>
          <w:tcPr>
            <w:tcW w:w="1082" w:type="pct"/>
            <w:shd w:val="clear" w:color="auto" w:fill="auto"/>
            <w:tcMar>
              <w:top w:w="113" w:type="dxa"/>
            </w:tcMar>
          </w:tcPr>
          <w:p w:rsidR="00B16400" w:rsidRPr="00C75C7E" w:rsidRDefault="001F769A" w:rsidP="004341A3">
            <w:pPr>
              <w:widowControl w:val="0"/>
              <w:ind w:right="161"/>
              <w:rPr>
                <w:bCs/>
                <w:sz w:val="16"/>
                <w:szCs w:val="16"/>
                <w:lang w:val="es-ES_tradnl"/>
              </w:rPr>
            </w:pPr>
            <w:r>
              <w:rPr>
                <w:bCs/>
                <w:sz w:val="16"/>
                <w:szCs w:val="16"/>
                <w:lang w:val="es-ES_tradnl"/>
              </w:rPr>
              <w:t>Por determinar</w:t>
            </w:r>
            <w:r w:rsidR="00460232">
              <w:rPr>
                <w:bCs/>
                <w:sz w:val="16"/>
                <w:szCs w:val="16"/>
                <w:lang w:val="es-ES_tradnl"/>
              </w:rPr>
              <w:t>.</w:t>
            </w:r>
          </w:p>
        </w:tc>
      </w:tr>
    </w:tbl>
    <w:p w:rsidR="00B16400" w:rsidRDefault="00B16400" w:rsidP="00B16400">
      <w:pPr>
        <w:widowControl w:val="0"/>
        <w:autoSpaceDE w:val="0"/>
        <w:autoSpaceDN w:val="0"/>
        <w:adjustRightInd w:val="0"/>
        <w:jc w:val="both"/>
        <w:rPr>
          <w:szCs w:val="22"/>
          <w:lang w:val="es-ES_tradnl"/>
        </w:rPr>
      </w:pPr>
    </w:p>
    <w:p w:rsidR="00D73C7C" w:rsidRPr="00F039C2" w:rsidRDefault="00D73C7C" w:rsidP="00D73C7C">
      <w:pPr>
        <w:widowControl w:val="0"/>
        <w:autoSpaceDE w:val="0"/>
        <w:autoSpaceDN w:val="0"/>
        <w:adjustRightInd w:val="0"/>
        <w:jc w:val="both"/>
        <w:rPr>
          <w:szCs w:val="22"/>
        </w:rPr>
      </w:pPr>
    </w:p>
    <w:p w:rsidR="00D73C7C" w:rsidRPr="00CA3895" w:rsidRDefault="00D73C7C" w:rsidP="00D73C7C">
      <w:pPr>
        <w:widowControl w:val="0"/>
        <w:autoSpaceDE w:val="0"/>
        <w:autoSpaceDN w:val="0"/>
        <w:adjustRightInd w:val="0"/>
        <w:jc w:val="both"/>
        <w:rPr>
          <w:szCs w:val="22"/>
        </w:rPr>
      </w:pPr>
      <w:r w:rsidRPr="00CA3895">
        <w:rPr>
          <w:szCs w:val="22"/>
        </w:rPr>
        <w:t>RECURSOS PARA EL PROGRAMA 9</w:t>
      </w:r>
    </w:p>
    <w:p w:rsidR="00D73C7C" w:rsidRPr="00CA3895" w:rsidRDefault="00D73C7C" w:rsidP="00D73C7C">
      <w:pPr>
        <w:widowControl w:val="0"/>
        <w:autoSpaceDE w:val="0"/>
        <w:autoSpaceDN w:val="0"/>
        <w:adjustRightInd w:val="0"/>
        <w:rPr>
          <w:b/>
          <w:bCs/>
          <w:iCs/>
          <w:sz w:val="20"/>
        </w:rPr>
      </w:pPr>
    </w:p>
    <w:p w:rsidR="00D73C7C" w:rsidRPr="00F039C2" w:rsidRDefault="00D73C7C" w:rsidP="00BA276E">
      <w:pPr>
        <w:widowControl w:val="0"/>
        <w:numPr>
          <w:ilvl w:val="0"/>
          <w:numId w:val="31"/>
        </w:numPr>
        <w:ind w:left="0"/>
        <w:jc w:val="both"/>
        <w:rPr>
          <w:sz w:val="20"/>
        </w:rPr>
      </w:pPr>
      <w:r w:rsidRPr="00CA3895">
        <w:rPr>
          <w:sz w:val="20"/>
        </w:rPr>
        <w:t>La</w:t>
      </w:r>
      <w:r w:rsidRPr="00F039C2">
        <w:rPr>
          <w:sz w:val="20"/>
        </w:rPr>
        <w:t xml:space="preserve"> </w:t>
      </w:r>
      <w:r>
        <w:rPr>
          <w:sz w:val="20"/>
        </w:rPr>
        <w:t xml:space="preserve">disminución </w:t>
      </w:r>
      <w:r w:rsidRPr="00F039C2">
        <w:rPr>
          <w:sz w:val="20"/>
        </w:rPr>
        <w:t>en los recursos para los resultados I.2 (</w:t>
      </w:r>
      <w:r w:rsidRPr="00CA3895">
        <w:rPr>
          <w:sz w:val="20"/>
        </w:rPr>
        <w:t>Asesoramiento legislativ</w:t>
      </w:r>
      <w:r>
        <w:rPr>
          <w:sz w:val="20"/>
        </w:rPr>
        <w:t>o</w:t>
      </w:r>
      <w:r w:rsidRPr="00F039C2">
        <w:rPr>
          <w:sz w:val="20"/>
        </w:rPr>
        <w:t xml:space="preserve">) y IV.2 (Mejora </w:t>
      </w:r>
      <w:r>
        <w:rPr>
          <w:sz w:val="20"/>
        </w:rPr>
        <w:t xml:space="preserve">del acceso y uso de </w:t>
      </w:r>
      <w:r w:rsidRPr="00F039C2">
        <w:rPr>
          <w:sz w:val="20"/>
        </w:rPr>
        <w:t xml:space="preserve">información y conocimientos </w:t>
      </w:r>
      <w:r>
        <w:rPr>
          <w:sz w:val="20"/>
        </w:rPr>
        <w:t xml:space="preserve">de </w:t>
      </w:r>
      <w:r w:rsidRPr="00F039C2">
        <w:rPr>
          <w:sz w:val="20"/>
        </w:rPr>
        <w:t>P.I.)</w:t>
      </w:r>
      <w:r>
        <w:rPr>
          <w:sz w:val="20"/>
        </w:rPr>
        <w:t xml:space="preserve"> </w:t>
      </w:r>
      <w:r w:rsidRPr="00F039C2">
        <w:rPr>
          <w:sz w:val="20"/>
        </w:rPr>
        <w:t>reflej</w:t>
      </w:r>
      <w:r>
        <w:rPr>
          <w:sz w:val="20"/>
        </w:rPr>
        <w:t>a</w:t>
      </w:r>
      <w:r w:rsidRPr="00F039C2">
        <w:rPr>
          <w:sz w:val="20"/>
        </w:rPr>
        <w:t xml:space="preserve"> la puesta en práctica continuada del modelo de </w:t>
      </w:r>
      <w:r>
        <w:rPr>
          <w:sz w:val="20"/>
        </w:rPr>
        <w:t xml:space="preserve">ejecución </w:t>
      </w:r>
      <w:r w:rsidRPr="00F039C2">
        <w:rPr>
          <w:sz w:val="20"/>
        </w:rPr>
        <w:t>de las actividades orientadas a potenciar el desarrollo, en virtud del cual los programas especializados asumen la responsabilidad técnica de la ejecución de las actividades relacionadas con el asesoramiento legislativ</w:t>
      </w:r>
      <w:r>
        <w:rPr>
          <w:sz w:val="20"/>
        </w:rPr>
        <w:t>o</w:t>
      </w:r>
      <w:r w:rsidRPr="00F039C2">
        <w:rPr>
          <w:sz w:val="20"/>
        </w:rPr>
        <w:t xml:space="preserve">, la infraestructura de las oficinas de P.I. y </w:t>
      </w:r>
      <w:r>
        <w:rPr>
          <w:sz w:val="20"/>
        </w:rPr>
        <w:t xml:space="preserve">la </w:t>
      </w:r>
      <w:r w:rsidRPr="00F039C2">
        <w:rPr>
          <w:sz w:val="20"/>
        </w:rPr>
        <w:t>facilita</w:t>
      </w:r>
      <w:r>
        <w:rPr>
          <w:sz w:val="20"/>
        </w:rPr>
        <w:t>ción d</w:t>
      </w:r>
      <w:r w:rsidRPr="00F039C2">
        <w:rPr>
          <w:sz w:val="20"/>
        </w:rPr>
        <w:t xml:space="preserve">el acceso a información y conocimientos </w:t>
      </w:r>
      <w:r>
        <w:rPr>
          <w:sz w:val="20"/>
        </w:rPr>
        <w:t>de</w:t>
      </w:r>
      <w:r w:rsidRPr="00F039C2">
        <w:rPr>
          <w:sz w:val="20"/>
        </w:rPr>
        <w:t xml:space="preserve"> P.I.  Ello se </w:t>
      </w:r>
      <w:r>
        <w:rPr>
          <w:sz w:val="20"/>
        </w:rPr>
        <w:t xml:space="preserve">materializa </w:t>
      </w:r>
      <w:r w:rsidRPr="00F039C2">
        <w:rPr>
          <w:sz w:val="20"/>
        </w:rPr>
        <w:t xml:space="preserve">en </w:t>
      </w:r>
      <w:r>
        <w:rPr>
          <w:sz w:val="20"/>
        </w:rPr>
        <w:t xml:space="preserve">disminuciones </w:t>
      </w:r>
      <w:r w:rsidRPr="00F039C2">
        <w:rPr>
          <w:sz w:val="20"/>
        </w:rPr>
        <w:t xml:space="preserve">en los </w:t>
      </w:r>
      <w:r w:rsidRPr="00361C81">
        <w:rPr>
          <w:sz w:val="20"/>
        </w:rPr>
        <w:t>servicios contractuales individuales</w:t>
      </w:r>
      <w:r w:rsidRPr="00F039C2">
        <w:rPr>
          <w:sz w:val="20"/>
        </w:rPr>
        <w:t>, las misiones del personal y viajes de terceros (</w:t>
      </w:r>
      <w:r>
        <w:rPr>
          <w:sz w:val="20"/>
        </w:rPr>
        <w:t xml:space="preserve">disminución </w:t>
      </w:r>
      <w:r w:rsidRPr="00F039C2">
        <w:rPr>
          <w:sz w:val="20"/>
        </w:rPr>
        <w:t xml:space="preserve">que también se ve afectada por la </w:t>
      </w:r>
      <w:r>
        <w:rPr>
          <w:sz w:val="20"/>
        </w:rPr>
        <w:t xml:space="preserve">mejora de la </w:t>
      </w:r>
      <w:r w:rsidRPr="00F039C2">
        <w:rPr>
          <w:sz w:val="20"/>
        </w:rPr>
        <w:t>eficacia en función de los costos en los viajes).</w:t>
      </w:r>
    </w:p>
    <w:p w:rsidR="00D73C7C" w:rsidRPr="00F039C2" w:rsidRDefault="00D73C7C" w:rsidP="00D73C7C">
      <w:pPr>
        <w:widowControl w:val="0"/>
        <w:jc w:val="both"/>
        <w:rPr>
          <w:sz w:val="20"/>
        </w:rPr>
      </w:pPr>
    </w:p>
    <w:p w:rsidR="00D73C7C" w:rsidRPr="00F039C2" w:rsidRDefault="00D73C7C" w:rsidP="00BA276E">
      <w:pPr>
        <w:widowControl w:val="0"/>
        <w:numPr>
          <w:ilvl w:val="0"/>
          <w:numId w:val="31"/>
        </w:numPr>
        <w:ind w:left="0"/>
        <w:jc w:val="both"/>
        <w:rPr>
          <w:sz w:val="20"/>
        </w:rPr>
      </w:pPr>
      <w:r w:rsidRPr="00F039C2">
        <w:rPr>
          <w:sz w:val="20"/>
        </w:rPr>
        <w:t>El aumento en los recursos para el resultado III.1 (Estrategias nacionales de P.I.) y el aumento en los recursos totales combinados para los resultados III.2 (Mejora de las capacidades en el ámbito de los recursos humanos) y III.4 (Mecanismos y programas</w:t>
      </w:r>
      <w:r>
        <w:rPr>
          <w:sz w:val="20"/>
        </w:rPr>
        <w:t xml:space="preserve"> de cooperación</w:t>
      </w:r>
      <w:r w:rsidRPr="00F039C2">
        <w:rPr>
          <w:sz w:val="20"/>
        </w:rPr>
        <w:t xml:space="preserve">) reflejan nuevamente la puesta en práctica del modelo de </w:t>
      </w:r>
      <w:r>
        <w:rPr>
          <w:sz w:val="20"/>
        </w:rPr>
        <w:t>ejecución</w:t>
      </w:r>
      <w:r w:rsidRPr="00F039C2">
        <w:rPr>
          <w:sz w:val="20"/>
        </w:rPr>
        <w:t xml:space="preserve">, en virtud del cual se ha reforzado la responsabilidad de la Oficinas Regionales por las estrategias y planes nacionales de P.I. y el fortalecimiento de las capacidades.  Ello se ha reflejado en una redistribución interna de los recursos a fin de velar por que se atiendan las características específicas regionales de las </w:t>
      </w:r>
      <w:r w:rsidR="004E3B39" w:rsidRPr="00F039C2">
        <w:rPr>
          <w:sz w:val="20"/>
        </w:rPr>
        <w:t xml:space="preserve">pymes </w:t>
      </w:r>
      <w:r w:rsidRPr="00F039C2">
        <w:rPr>
          <w:sz w:val="20"/>
        </w:rPr>
        <w:t xml:space="preserve">en consonancia con las estrategias y planes nacionales de P.I. y que se </w:t>
      </w:r>
      <w:r>
        <w:rPr>
          <w:sz w:val="20"/>
        </w:rPr>
        <w:t xml:space="preserve">disponga de </w:t>
      </w:r>
      <w:r w:rsidRPr="00F039C2">
        <w:rPr>
          <w:sz w:val="20"/>
        </w:rPr>
        <w:t xml:space="preserve">conocimientos especializados reforzados sobre la transferencia de tecnología para abordar las características específicas de los PMA.  </w:t>
      </w:r>
    </w:p>
    <w:p w:rsidR="00D73C7C" w:rsidRPr="00F039C2" w:rsidRDefault="00D73C7C" w:rsidP="00D73C7C">
      <w:pPr>
        <w:widowControl w:val="0"/>
        <w:jc w:val="both"/>
        <w:rPr>
          <w:sz w:val="20"/>
        </w:rPr>
      </w:pPr>
    </w:p>
    <w:p w:rsidR="00D73C7C" w:rsidRPr="00F039C2" w:rsidRDefault="00D73C7C" w:rsidP="00BA276E">
      <w:pPr>
        <w:widowControl w:val="0"/>
        <w:numPr>
          <w:ilvl w:val="0"/>
          <w:numId w:val="31"/>
        </w:numPr>
        <w:ind w:left="0"/>
        <w:jc w:val="both"/>
        <w:rPr>
          <w:sz w:val="20"/>
        </w:rPr>
      </w:pPr>
      <w:r w:rsidRPr="00F039C2">
        <w:rPr>
          <w:sz w:val="20"/>
        </w:rPr>
        <w:t>El trasvase de recursos entre los resultados III.2</w:t>
      </w:r>
      <w:r w:rsidR="001F769A">
        <w:rPr>
          <w:sz w:val="20"/>
        </w:rPr>
        <w:t>,</w:t>
      </w:r>
      <w:r w:rsidRPr="00F039C2">
        <w:rPr>
          <w:sz w:val="20"/>
        </w:rPr>
        <w:t xml:space="preserve"> III.4</w:t>
      </w:r>
      <w:r w:rsidR="001F769A">
        <w:rPr>
          <w:sz w:val="20"/>
        </w:rPr>
        <w:t xml:space="preserve"> y III.6</w:t>
      </w:r>
      <w:r w:rsidRPr="00F039C2">
        <w:rPr>
          <w:sz w:val="20"/>
        </w:rPr>
        <w:t xml:space="preserve"> refleja</w:t>
      </w:r>
      <w:r w:rsidR="001F769A">
        <w:rPr>
          <w:sz w:val="20"/>
        </w:rPr>
        <w:t>:  i)</w:t>
      </w:r>
      <w:r w:rsidRPr="00F039C2">
        <w:rPr>
          <w:sz w:val="20"/>
        </w:rPr>
        <w:t xml:space="preserve"> la ampliación de</w:t>
      </w:r>
      <w:r w:rsidR="001F769A">
        <w:rPr>
          <w:sz w:val="20"/>
        </w:rPr>
        <w:t xml:space="preserve">l </w:t>
      </w:r>
      <w:r w:rsidRPr="00F039C2">
        <w:rPr>
          <w:sz w:val="20"/>
        </w:rPr>
        <w:t xml:space="preserve">último resultado </w:t>
      </w:r>
      <w:r w:rsidR="001F769A">
        <w:rPr>
          <w:sz w:val="20"/>
        </w:rPr>
        <w:t xml:space="preserve">III.4 </w:t>
      </w:r>
      <w:r w:rsidRPr="00F039C2">
        <w:rPr>
          <w:sz w:val="20"/>
        </w:rPr>
        <w:t xml:space="preserve">para abarcar los mecanismos y programas de cooperación tanto en los países en </w:t>
      </w:r>
      <w:r w:rsidRPr="00F039C2">
        <w:rPr>
          <w:sz w:val="20"/>
        </w:rPr>
        <w:lastRenderedPageBreak/>
        <w:t xml:space="preserve">desarrollo como en los PMA, en comparación con el bienio </w:t>
      </w:r>
      <w:r>
        <w:rPr>
          <w:sz w:val="20"/>
        </w:rPr>
        <w:t xml:space="preserve">de </w:t>
      </w:r>
      <w:r w:rsidRPr="00F039C2">
        <w:rPr>
          <w:sz w:val="20"/>
        </w:rPr>
        <w:t>2012/13, en el que el resultado se centraba por completo en dichos mecanismos en los PMA solamente</w:t>
      </w:r>
      <w:r w:rsidR="001F769A">
        <w:rPr>
          <w:sz w:val="20"/>
        </w:rPr>
        <w:t>;  y ii) la creación de coordinadores de pymes en las oficinas regionales en la Sede para la ejecución de actividades de fortalecimiento de capacidades relativas a las pymes</w:t>
      </w:r>
      <w:r w:rsidR="00A83AE4">
        <w:rPr>
          <w:sz w:val="20"/>
        </w:rPr>
        <w:t>, contribuye al resultado III.6</w:t>
      </w:r>
      <w:r w:rsidR="001F769A">
        <w:rPr>
          <w:sz w:val="20"/>
        </w:rPr>
        <w:t xml:space="preserve">.  </w:t>
      </w:r>
      <w:r w:rsidRPr="00F039C2">
        <w:rPr>
          <w:sz w:val="20"/>
        </w:rPr>
        <w:t xml:space="preserve">Una gran parte de la labor en el marco de </w:t>
      </w:r>
      <w:r w:rsidR="001F769A">
        <w:rPr>
          <w:sz w:val="20"/>
        </w:rPr>
        <w:t>los</w:t>
      </w:r>
      <w:r w:rsidRPr="00F039C2">
        <w:rPr>
          <w:sz w:val="20"/>
        </w:rPr>
        <w:t xml:space="preserve"> resultado</w:t>
      </w:r>
      <w:r w:rsidR="001F769A">
        <w:rPr>
          <w:sz w:val="20"/>
        </w:rPr>
        <w:t>s III.4 y III.6</w:t>
      </w:r>
      <w:r w:rsidRPr="00F039C2">
        <w:rPr>
          <w:sz w:val="20"/>
        </w:rPr>
        <w:t xml:space="preserve"> incluye las actividades de fortalecimiento de capacidades. </w:t>
      </w:r>
    </w:p>
    <w:p w:rsidR="00D73C7C" w:rsidRPr="00F039C2" w:rsidRDefault="00D73C7C" w:rsidP="00D73C7C">
      <w:pPr>
        <w:widowControl w:val="0"/>
        <w:jc w:val="both"/>
        <w:rPr>
          <w:sz w:val="20"/>
        </w:rPr>
      </w:pPr>
    </w:p>
    <w:p w:rsidR="00D73C7C" w:rsidRPr="00F039C2" w:rsidRDefault="00D73C7C" w:rsidP="00BA276E">
      <w:pPr>
        <w:widowControl w:val="0"/>
        <w:numPr>
          <w:ilvl w:val="0"/>
          <w:numId w:val="31"/>
        </w:numPr>
        <w:ind w:left="0"/>
        <w:jc w:val="both"/>
        <w:rPr>
          <w:sz w:val="20"/>
        </w:rPr>
      </w:pPr>
      <w:r w:rsidRPr="00F039C2">
        <w:rPr>
          <w:sz w:val="20"/>
        </w:rPr>
        <w:t xml:space="preserve">La </w:t>
      </w:r>
      <w:r>
        <w:rPr>
          <w:sz w:val="20"/>
        </w:rPr>
        <w:t xml:space="preserve">disminución </w:t>
      </w:r>
      <w:r w:rsidRPr="00F039C2">
        <w:rPr>
          <w:sz w:val="20"/>
        </w:rPr>
        <w:t>en los recursos para el resultado III.3 (</w:t>
      </w:r>
      <w:r w:rsidRPr="00F039C2">
        <w:rPr>
          <w:bCs/>
          <w:sz w:val="20"/>
        </w:rPr>
        <w:t xml:space="preserve">Incorporación de </w:t>
      </w:r>
      <w:r>
        <w:rPr>
          <w:bCs/>
          <w:sz w:val="20"/>
        </w:rPr>
        <w:t>la A.D.</w:t>
      </w:r>
      <w:r w:rsidRPr="00F039C2">
        <w:rPr>
          <w:bCs/>
          <w:sz w:val="20"/>
        </w:rPr>
        <w:t>) se debe principalmente al cambio en la fuente de financiación para el proyecto de la A</w:t>
      </w:r>
      <w:r>
        <w:rPr>
          <w:bCs/>
          <w:sz w:val="20"/>
        </w:rPr>
        <w:t xml:space="preserve">.D. </w:t>
      </w:r>
      <w:r w:rsidRPr="00F039C2">
        <w:rPr>
          <w:bCs/>
          <w:sz w:val="20"/>
        </w:rPr>
        <w:t>sobre la cooperación Sur-Sur en materia de P.I. y desarrollo entre los países en desarrollo y los PMA (que se financia ahora con cargo a las reservas).</w:t>
      </w:r>
    </w:p>
    <w:p w:rsidR="00D73C7C" w:rsidRPr="00F039C2" w:rsidRDefault="00D73C7C" w:rsidP="00D73C7C">
      <w:pPr>
        <w:widowControl w:val="0"/>
        <w:jc w:val="both"/>
        <w:rPr>
          <w:sz w:val="20"/>
        </w:rPr>
      </w:pPr>
    </w:p>
    <w:p w:rsidR="00D73C7C" w:rsidRPr="00F039C2" w:rsidRDefault="00D73C7C" w:rsidP="00BA276E">
      <w:pPr>
        <w:widowControl w:val="0"/>
        <w:numPr>
          <w:ilvl w:val="0"/>
          <w:numId w:val="31"/>
        </w:numPr>
        <w:ind w:left="0"/>
        <w:jc w:val="both"/>
        <w:rPr>
          <w:sz w:val="20"/>
        </w:rPr>
      </w:pPr>
      <w:r w:rsidRPr="00F039C2">
        <w:rPr>
          <w:sz w:val="20"/>
        </w:rPr>
        <w:t xml:space="preserve">El aumento en los recursos para el resultado IV.4 (Mejora en la infraestructura técnica y de conocimientos) se debe principalmente a los proyectos piloto sobre transferencia de tecnología y </w:t>
      </w:r>
      <w:r>
        <w:rPr>
          <w:sz w:val="20"/>
        </w:rPr>
        <w:t xml:space="preserve">a </w:t>
      </w:r>
      <w:r w:rsidRPr="00F039C2">
        <w:rPr>
          <w:sz w:val="20"/>
        </w:rPr>
        <w:t xml:space="preserve">las reuniones regionales sobre </w:t>
      </w:r>
      <w:r>
        <w:rPr>
          <w:sz w:val="20"/>
        </w:rPr>
        <w:t xml:space="preserve">las </w:t>
      </w:r>
      <w:r w:rsidRPr="00F039C2">
        <w:rPr>
          <w:sz w:val="20"/>
        </w:rPr>
        <w:t>herramientas TI</w:t>
      </w:r>
      <w:r>
        <w:rPr>
          <w:sz w:val="20"/>
        </w:rPr>
        <w:t>C</w:t>
      </w:r>
      <w:r w:rsidRPr="00F039C2">
        <w:rPr>
          <w:sz w:val="20"/>
        </w:rPr>
        <w:t xml:space="preserve"> </w:t>
      </w:r>
      <w:r>
        <w:rPr>
          <w:sz w:val="20"/>
        </w:rPr>
        <w:t xml:space="preserve">y el </w:t>
      </w:r>
      <w:r w:rsidRPr="00F039C2">
        <w:rPr>
          <w:sz w:val="20"/>
        </w:rPr>
        <w:t>intercambio de datos en la región árabe.</w:t>
      </w:r>
    </w:p>
    <w:p w:rsidR="00D73C7C" w:rsidRPr="00CA3895" w:rsidRDefault="00D73C7C" w:rsidP="00D73C7C">
      <w:pPr>
        <w:widowControl w:val="0"/>
        <w:jc w:val="both"/>
        <w:rPr>
          <w:sz w:val="20"/>
        </w:rPr>
      </w:pPr>
    </w:p>
    <w:p w:rsidR="00D73C7C" w:rsidRPr="00D73C7C" w:rsidRDefault="00D73C7C" w:rsidP="00B16400">
      <w:pPr>
        <w:widowControl w:val="0"/>
        <w:autoSpaceDE w:val="0"/>
        <w:autoSpaceDN w:val="0"/>
        <w:adjustRightInd w:val="0"/>
        <w:jc w:val="both"/>
        <w:rPr>
          <w:szCs w:val="22"/>
        </w:rPr>
      </w:pPr>
    </w:p>
    <w:p w:rsidR="00B16400" w:rsidRPr="00C75C7E" w:rsidRDefault="00A83AE4" w:rsidP="00D73C7C">
      <w:pPr>
        <w:keepNext/>
        <w:widowControl w:val="0"/>
        <w:autoSpaceDE w:val="0"/>
        <w:autoSpaceDN w:val="0"/>
        <w:adjustRightInd w:val="0"/>
        <w:jc w:val="center"/>
        <w:rPr>
          <w:b/>
          <w:bCs/>
          <w:iCs/>
          <w:sz w:val="20"/>
          <w:lang w:val="es-ES_tradnl"/>
        </w:rPr>
      </w:pPr>
      <w:r>
        <w:rPr>
          <w:b/>
          <w:bCs/>
          <w:iCs/>
          <w:sz w:val="20"/>
          <w:lang w:val="es-ES_tradnl"/>
        </w:rPr>
        <w:t xml:space="preserve">Programa 9:  </w:t>
      </w:r>
      <w:r w:rsidR="00B16400" w:rsidRPr="00C75C7E">
        <w:rPr>
          <w:b/>
          <w:bCs/>
          <w:iCs/>
          <w:sz w:val="20"/>
          <w:lang w:val="es-ES_tradnl"/>
        </w:rPr>
        <w:t>Recursos por resultado</w:t>
      </w:r>
    </w:p>
    <w:p w:rsidR="00B16400" w:rsidRPr="00C75C7E" w:rsidRDefault="00B16400" w:rsidP="00D73C7C">
      <w:pPr>
        <w:keepNext/>
        <w:widowControl w:val="0"/>
        <w:autoSpaceDE w:val="0"/>
        <w:autoSpaceDN w:val="0"/>
        <w:adjustRightInd w:val="0"/>
        <w:jc w:val="center"/>
        <w:rPr>
          <w:bCs/>
          <w:i/>
          <w:sz w:val="20"/>
          <w:lang w:val="es-ES_tradnl"/>
        </w:rPr>
      </w:pPr>
      <w:r w:rsidRPr="00C75C7E">
        <w:rPr>
          <w:bCs/>
          <w:i/>
          <w:sz w:val="20"/>
          <w:lang w:val="es-ES_tradnl"/>
        </w:rPr>
        <w:t>(en miles de francos suizos)</w:t>
      </w:r>
    </w:p>
    <w:p w:rsidR="00B16400" w:rsidRPr="00C75C7E" w:rsidRDefault="00B16400" w:rsidP="00D73C7C">
      <w:pPr>
        <w:keepNext/>
        <w:widowControl w:val="0"/>
        <w:autoSpaceDE w:val="0"/>
        <w:autoSpaceDN w:val="0"/>
        <w:adjustRightInd w:val="0"/>
        <w:jc w:val="center"/>
        <w:rPr>
          <w:bCs/>
          <w:i/>
          <w:sz w:val="18"/>
          <w:szCs w:val="18"/>
          <w:lang w:val="es-ES_tradnl"/>
        </w:rPr>
      </w:pPr>
    </w:p>
    <w:p w:rsidR="00B16400" w:rsidRPr="00C75C7E" w:rsidRDefault="00A83AE4" w:rsidP="00D73C7C">
      <w:pPr>
        <w:keepNext/>
        <w:widowControl w:val="0"/>
        <w:autoSpaceDE w:val="0"/>
        <w:autoSpaceDN w:val="0"/>
        <w:adjustRightInd w:val="0"/>
        <w:jc w:val="center"/>
        <w:rPr>
          <w:lang w:val="es-ES_tradnl"/>
        </w:rPr>
      </w:pPr>
      <w:r w:rsidRPr="00A83AE4">
        <w:rPr>
          <w:noProof/>
          <w:lang w:val="en-US" w:eastAsia="en-US"/>
        </w:rPr>
        <w:drawing>
          <wp:inline distT="0" distB="0" distL="0" distR="0" wp14:anchorId="45742CF6" wp14:editId="14EDC617">
            <wp:extent cx="5940425" cy="4316955"/>
            <wp:effectExtent l="0" t="0" r="3175" b="762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940425" cy="4316955"/>
                    </a:xfrm>
                    <a:prstGeom prst="rect">
                      <a:avLst/>
                    </a:prstGeom>
                    <a:noFill/>
                    <a:ln>
                      <a:noFill/>
                    </a:ln>
                  </pic:spPr>
                </pic:pic>
              </a:graphicData>
            </a:graphic>
          </wp:inline>
        </w:drawing>
      </w:r>
    </w:p>
    <w:p w:rsidR="00B16400" w:rsidRPr="00C75C7E" w:rsidRDefault="00B16400" w:rsidP="00B16400">
      <w:pPr>
        <w:widowControl w:val="0"/>
        <w:autoSpaceDE w:val="0"/>
        <w:autoSpaceDN w:val="0"/>
        <w:adjustRightInd w:val="0"/>
        <w:jc w:val="center"/>
        <w:rPr>
          <w:sz w:val="20"/>
          <w:lang w:val="es-ES_tradnl"/>
        </w:rPr>
      </w:pPr>
    </w:p>
    <w:p w:rsidR="00B16400" w:rsidRPr="00C75C7E" w:rsidRDefault="00B16400" w:rsidP="00B16400">
      <w:pPr>
        <w:widowControl w:val="0"/>
        <w:autoSpaceDE w:val="0"/>
        <w:autoSpaceDN w:val="0"/>
        <w:adjustRightInd w:val="0"/>
        <w:rPr>
          <w:sz w:val="20"/>
          <w:lang w:val="es-ES_tradnl"/>
        </w:rPr>
      </w:pPr>
      <w:r w:rsidRPr="00C75C7E">
        <w:rPr>
          <w:sz w:val="16"/>
          <w:szCs w:val="16"/>
          <w:lang w:val="es-ES_tradnl"/>
        </w:rPr>
        <w:t xml:space="preserve">Nota: </w:t>
      </w:r>
      <w:r w:rsidR="008A65E0">
        <w:rPr>
          <w:sz w:val="16"/>
          <w:szCs w:val="16"/>
          <w:lang w:val="es-ES_tradnl"/>
        </w:rPr>
        <w:t xml:space="preserve"> </w:t>
      </w:r>
      <w:r w:rsidRPr="00C75C7E">
        <w:rPr>
          <w:sz w:val="16"/>
          <w:szCs w:val="16"/>
          <w:lang w:val="es-ES_tradnl"/>
        </w:rPr>
        <w:t>Se ha reexpresado el presupuesto aprobado de 2012/13 y el presupuesto de dicho bienio después de las transferencias, por resultado previsto, para reflejar el marco de resultados de la Organización propuesto para 2014/15.</w:t>
      </w:r>
    </w:p>
    <w:p w:rsidR="00B16400" w:rsidRPr="00C75C7E" w:rsidRDefault="00B16400" w:rsidP="00B16400">
      <w:pPr>
        <w:widowControl w:val="0"/>
        <w:autoSpaceDE w:val="0"/>
        <w:autoSpaceDN w:val="0"/>
        <w:adjustRightInd w:val="0"/>
        <w:jc w:val="center"/>
        <w:rPr>
          <w:sz w:val="20"/>
          <w:lang w:val="es-ES_tradnl"/>
        </w:rPr>
      </w:pPr>
    </w:p>
    <w:p w:rsidR="00B16400" w:rsidRPr="00C75C7E" w:rsidRDefault="00B16400" w:rsidP="00B16400">
      <w:pPr>
        <w:widowControl w:val="0"/>
        <w:jc w:val="center"/>
        <w:rPr>
          <w:bCs/>
          <w:sz w:val="20"/>
          <w:lang w:val="es-ES_tradnl"/>
        </w:rPr>
      </w:pPr>
    </w:p>
    <w:p w:rsidR="00B16400" w:rsidRPr="00C75C7E" w:rsidRDefault="00A83AE4" w:rsidP="00D73C7C">
      <w:pPr>
        <w:keepNext/>
        <w:widowControl w:val="0"/>
        <w:autoSpaceDE w:val="0"/>
        <w:autoSpaceDN w:val="0"/>
        <w:adjustRightInd w:val="0"/>
        <w:jc w:val="center"/>
        <w:rPr>
          <w:b/>
          <w:bCs/>
          <w:iCs/>
          <w:sz w:val="20"/>
          <w:lang w:val="es-ES_tradnl"/>
        </w:rPr>
      </w:pPr>
      <w:r>
        <w:rPr>
          <w:b/>
          <w:bCs/>
          <w:iCs/>
          <w:sz w:val="20"/>
          <w:lang w:val="es-ES_tradnl"/>
        </w:rPr>
        <w:lastRenderedPageBreak/>
        <w:t xml:space="preserve">Programa 9:  </w:t>
      </w:r>
      <w:r w:rsidR="00B16400" w:rsidRPr="00C75C7E">
        <w:rPr>
          <w:b/>
          <w:bCs/>
          <w:iCs/>
          <w:sz w:val="20"/>
          <w:lang w:val="es-ES_tradnl"/>
        </w:rPr>
        <w:t>Recursos por objeto de gasto</w:t>
      </w:r>
    </w:p>
    <w:p w:rsidR="00B16400" w:rsidRPr="00C75C7E" w:rsidRDefault="00B16400" w:rsidP="00D73C7C">
      <w:pPr>
        <w:keepNext/>
        <w:widowControl w:val="0"/>
        <w:autoSpaceDE w:val="0"/>
        <w:autoSpaceDN w:val="0"/>
        <w:adjustRightInd w:val="0"/>
        <w:jc w:val="center"/>
        <w:rPr>
          <w:bCs/>
          <w:i/>
          <w:sz w:val="20"/>
          <w:lang w:val="es-ES_tradnl"/>
        </w:rPr>
      </w:pPr>
      <w:r w:rsidRPr="00C75C7E">
        <w:rPr>
          <w:bCs/>
          <w:i/>
          <w:sz w:val="20"/>
          <w:lang w:val="es-ES_tradnl"/>
        </w:rPr>
        <w:t>(en miles de francos suizos)</w:t>
      </w:r>
    </w:p>
    <w:p w:rsidR="00B16400" w:rsidRDefault="00B16400" w:rsidP="00D73C7C">
      <w:pPr>
        <w:keepNext/>
        <w:widowControl w:val="0"/>
        <w:jc w:val="center"/>
        <w:rPr>
          <w:i/>
          <w:sz w:val="18"/>
          <w:szCs w:val="18"/>
          <w:lang w:val="es-ES_tradnl"/>
        </w:rPr>
      </w:pPr>
    </w:p>
    <w:p w:rsidR="00723CAF" w:rsidRPr="00C75C7E" w:rsidRDefault="00C40A11" w:rsidP="00D73C7C">
      <w:pPr>
        <w:keepNext/>
        <w:widowControl w:val="0"/>
        <w:jc w:val="center"/>
        <w:rPr>
          <w:i/>
          <w:sz w:val="18"/>
          <w:szCs w:val="18"/>
          <w:lang w:val="es-ES_tradnl"/>
        </w:rPr>
      </w:pPr>
      <w:r>
        <w:rPr>
          <w:noProof/>
          <w:lang w:val="en-US" w:eastAsia="en-US"/>
        </w:rPr>
        <w:drawing>
          <wp:inline distT="0" distB="0" distL="0" distR="0" wp14:anchorId="00D52957" wp14:editId="0C9F9EF0">
            <wp:extent cx="5936615" cy="5739130"/>
            <wp:effectExtent l="0" t="0" r="698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936615" cy="5739130"/>
                    </a:xfrm>
                    <a:prstGeom prst="rect">
                      <a:avLst/>
                    </a:prstGeom>
                    <a:noFill/>
                    <a:ln>
                      <a:noFill/>
                    </a:ln>
                  </pic:spPr>
                </pic:pic>
              </a:graphicData>
            </a:graphic>
          </wp:inline>
        </w:drawing>
      </w:r>
    </w:p>
    <w:p w:rsidR="00B16400" w:rsidRPr="00C75C7E" w:rsidRDefault="00B16400" w:rsidP="00B16400">
      <w:pPr>
        <w:widowControl w:val="0"/>
        <w:autoSpaceDE w:val="0"/>
        <w:autoSpaceDN w:val="0"/>
        <w:adjustRightInd w:val="0"/>
        <w:rPr>
          <w:sz w:val="20"/>
          <w:lang w:val="es-ES_tradnl"/>
        </w:rPr>
      </w:pPr>
    </w:p>
    <w:p w:rsidR="00B16400" w:rsidRPr="00C75C7E" w:rsidRDefault="00B16400" w:rsidP="00B16400">
      <w:pPr>
        <w:widowControl w:val="0"/>
        <w:rPr>
          <w:sz w:val="16"/>
          <w:szCs w:val="16"/>
          <w:lang w:val="es-ES_tradnl"/>
        </w:rPr>
      </w:pPr>
      <w:r w:rsidRPr="00C75C7E">
        <w:rPr>
          <w:sz w:val="16"/>
          <w:szCs w:val="16"/>
          <w:lang w:val="es-ES_tradnl"/>
        </w:rPr>
        <w:t>Notas:</w:t>
      </w:r>
    </w:p>
    <w:p w:rsidR="00B16400" w:rsidRPr="00C75C7E" w:rsidRDefault="00B16400" w:rsidP="00B16400">
      <w:pPr>
        <w:widowControl w:val="0"/>
        <w:rPr>
          <w:sz w:val="16"/>
          <w:szCs w:val="16"/>
          <w:u w:val="single"/>
          <w:lang w:val="es-ES_tradnl"/>
        </w:rPr>
      </w:pPr>
    </w:p>
    <w:p w:rsidR="00B16400" w:rsidRDefault="008A65E0" w:rsidP="00B16400">
      <w:pPr>
        <w:widowControl w:val="0"/>
        <w:rPr>
          <w:sz w:val="16"/>
          <w:szCs w:val="16"/>
          <w:lang w:val="es-ES_tradnl"/>
        </w:rPr>
      </w:pPr>
      <w:r>
        <w:rPr>
          <w:sz w:val="16"/>
          <w:szCs w:val="16"/>
          <w:lang w:val="es-ES_tradnl"/>
        </w:rPr>
        <w:t xml:space="preserve">1)  </w:t>
      </w:r>
      <w:r w:rsidR="00B16400" w:rsidRPr="00C75C7E">
        <w:rPr>
          <w:sz w:val="16"/>
          <w:szCs w:val="16"/>
          <w:lang w:val="es-ES_tradnl"/>
        </w:rPr>
        <w:t>El presupuesto aprobado de 2012/13 y el presupuesto de dicho bienio después de las transferencias se reexpresan sobre la base de la estructura de categorías de costos propuesta para 2014/15.</w:t>
      </w:r>
    </w:p>
    <w:p w:rsidR="00B16400" w:rsidRPr="00C75C7E" w:rsidRDefault="00B16400" w:rsidP="00B16400">
      <w:pPr>
        <w:widowControl w:val="0"/>
        <w:rPr>
          <w:sz w:val="16"/>
          <w:szCs w:val="16"/>
          <w:lang w:val="es-ES_tradnl"/>
        </w:rPr>
      </w:pPr>
    </w:p>
    <w:p w:rsidR="00B16400" w:rsidRDefault="00B16400" w:rsidP="00B16400">
      <w:pPr>
        <w:widowControl w:val="0"/>
        <w:rPr>
          <w:rFonts w:cs="ArialMT"/>
          <w:sz w:val="16"/>
          <w:szCs w:val="16"/>
          <w:lang w:val="es-ES_tradnl"/>
        </w:rPr>
      </w:pPr>
      <w:r>
        <w:rPr>
          <w:sz w:val="16"/>
          <w:szCs w:val="16"/>
          <w:lang w:val="es-ES_tradnl"/>
        </w:rPr>
        <w:t>2)</w:t>
      </w:r>
      <w:r w:rsidR="008A65E0">
        <w:rPr>
          <w:sz w:val="16"/>
          <w:szCs w:val="16"/>
          <w:lang w:val="es-ES_tradnl"/>
        </w:rPr>
        <w:t xml:space="preserve">  </w:t>
      </w:r>
      <w:r w:rsidRPr="00C75C7E">
        <w:rPr>
          <w:sz w:val="16"/>
          <w:szCs w:val="16"/>
          <w:lang w:val="es-ES_tradnl"/>
        </w:rPr>
        <w:t xml:space="preserve">El presupuesto después de las transferencias refleja el presupuesto de los programas ajustado tras las transferencias efectuadas en 2012/13 en virtud del artículo 5.5 del Reglamento Financiero. Para más información sobre el presupuesto de 2012/13 después de las transferencias, cabe remitirse al cuadro que figura en el Anexo I (Presupuesto después de las transferencias, por programa) del presente documento y al documento WO/PBC/20/2 (Informe sobre el rendimiento de los programas en 2012).  </w:t>
      </w:r>
      <w:r w:rsidRPr="00C75C7E">
        <w:rPr>
          <w:rFonts w:cs="ArialMT"/>
          <w:sz w:val="16"/>
          <w:szCs w:val="16"/>
          <w:lang w:val="es-ES_tradnl"/>
        </w:rPr>
        <w:t xml:space="preserve">Los costos de </w:t>
      </w:r>
      <w:r w:rsidRPr="007045EB">
        <w:rPr>
          <w:sz w:val="16"/>
          <w:szCs w:val="16"/>
          <w:lang w:val="es-ES_tradnl"/>
        </w:rPr>
        <w:t>personal</w:t>
      </w:r>
      <w:r w:rsidRPr="00C75C7E">
        <w:rPr>
          <w:rFonts w:cs="ArialMT"/>
          <w:sz w:val="16"/>
          <w:szCs w:val="16"/>
          <w:lang w:val="es-ES_tradnl"/>
        </w:rPr>
        <w:t xml:space="preserve"> del presupuesto de 2012/13 después de las transferencias representan los gastos reales efectuados hasta el 31 de marzo de 2013 y los importes presupuestados para los nueve meses restantes de 2013, sobre la base de costos estándar. </w:t>
      </w:r>
    </w:p>
    <w:p w:rsidR="00B16400" w:rsidRPr="00C75C7E" w:rsidRDefault="00B16400" w:rsidP="00B16400">
      <w:pPr>
        <w:widowControl w:val="0"/>
        <w:rPr>
          <w:sz w:val="16"/>
          <w:szCs w:val="16"/>
          <w:lang w:val="es-ES_tradnl"/>
        </w:rPr>
      </w:pPr>
    </w:p>
    <w:p w:rsidR="00B16400" w:rsidRDefault="00B16400" w:rsidP="008541BE">
      <w:pPr>
        <w:widowControl w:val="0"/>
        <w:spacing w:after="120"/>
        <w:rPr>
          <w:sz w:val="20"/>
          <w:lang w:val="es-ES_tradnl"/>
        </w:rPr>
      </w:pPr>
      <w:r>
        <w:rPr>
          <w:sz w:val="16"/>
          <w:szCs w:val="16"/>
          <w:lang w:val="es-ES_tradnl"/>
        </w:rPr>
        <w:t>3)</w:t>
      </w:r>
      <w:r w:rsidR="008A65E0">
        <w:rPr>
          <w:sz w:val="16"/>
          <w:szCs w:val="16"/>
          <w:lang w:val="es-ES_tradnl"/>
        </w:rPr>
        <w:t xml:space="preserve">  </w:t>
      </w:r>
      <w:r w:rsidRPr="00C75C7E">
        <w:rPr>
          <w:sz w:val="16"/>
          <w:szCs w:val="16"/>
          <w:lang w:val="es-ES_tradnl"/>
        </w:rPr>
        <w:t>Para más información sobre los puestos del programa cabe remitirse al cuadro que figura en el Anexo II.</w:t>
      </w:r>
    </w:p>
    <w:p w:rsidR="00F14A90" w:rsidRPr="00C75C7E" w:rsidRDefault="00F14A90" w:rsidP="002E7DC3">
      <w:pPr>
        <w:keepNext/>
        <w:widowControl w:val="0"/>
        <w:jc w:val="center"/>
        <w:rPr>
          <w:sz w:val="20"/>
          <w:lang w:val="es-ES_tradnl"/>
        </w:rPr>
      </w:pPr>
    </w:p>
    <w:p w:rsidR="00B16400" w:rsidRPr="00C75C7E" w:rsidRDefault="00B16400" w:rsidP="002E7DC3">
      <w:pPr>
        <w:keepNext/>
        <w:widowControl w:val="0"/>
        <w:jc w:val="center"/>
        <w:rPr>
          <w:sz w:val="16"/>
          <w:szCs w:val="16"/>
          <w:lang w:val="es-ES_tradnl"/>
        </w:rPr>
      </w:pPr>
      <w:r w:rsidRPr="00C75C7E">
        <w:rPr>
          <w:sz w:val="18"/>
          <w:szCs w:val="18"/>
          <w:lang w:val="es-ES_tradnl"/>
        </w:rPr>
        <w:t>Fondos fiduciarios disponibles potencialmente para su utilización en 2014/15*</w:t>
      </w:r>
    </w:p>
    <w:p w:rsidR="00B16400" w:rsidRPr="00C75C7E" w:rsidRDefault="00B16400" w:rsidP="002E7DC3">
      <w:pPr>
        <w:keepNext/>
        <w:widowControl w:val="0"/>
        <w:jc w:val="center"/>
        <w:rPr>
          <w:sz w:val="18"/>
          <w:szCs w:val="18"/>
          <w:lang w:val="es-ES_tradnl"/>
        </w:rPr>
      </w:pPr>
      <w:r w:rsidRPr="00C75C7E">
        <w:rPr>
          <w:iCs/>
          <w:sz w:val="18"/>
          <w:szCs w:val="18"/>
          <w:lang w:val="es-ES_tradnl"/>
        </w:rPr>
        <w:t>(en miles de francos suizos)</w:t>
      </w:r>
    </w:p>
    <w:p w:rsidR="00B16400" w:rsidRPr="00C75C7E" w:rsidRDefault="00B16400" w:rsidP="002E7DC3">
      <w:pPr>
        <w:keepNext/>
        <w:widowControl w:val="0"/>
        <w:jc w:val="center"/>
        <w:rPr>
          <w:sz w:val="20"/>
          <w:lang w:val="es-ES_tradnl"/>
        </w:rPr>
      </w:pPr>
    </w:p>
    <w:p w:rsidR="00B16400" w:rsidRPr="00C75C7E" w:rsidRDefault="00C40A11" w:rsidP="002E7DC3">
      <w:pPr>
        <w:keepNext/>
        <w:widowControl w:val="0"/>
        <w:ind w:left="1134"/>
        <w:rPr>
          <w:sz w:val="16"/>
          <w:szCs w:val="16"/>
          <w:lang w:val="es-ES_tradnl"/>
        </w:rPr>
      </w:pPr>
      <w:r>
        <w:rPr>
          <w:noProof/>
          <w:lang w:val="en-US" w:eastAsia="en-US"/>
        </w:rPr>
        <w:drawing>
          <wp:inline distT="0" distB="0" distL="0" distR="0" wp14:anchorId="62A116BB" wp14:editId="58F1FC74">
            <wp:extent cx="4217035" cy="1433195"/>
            <wp:effectExtent l="0" t="0" r="0" b="0"/>
            <wp:docPr id="41"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217035" cy="1433195"/>
                    </a:xfrm>
                    <a:prstGeom prst="rect">
                      <a:avLst/>
                    </a:prstGeom>
                    <a:noFill/>
                    <a:ln>
                      <a:noFill/>
                    </a:ln>
                  </pic:spPr>
                </pic:pic>
              </a:graphicData>
            </a:graphic>
          </wp:inline>
        </w:drawing>
      </w:r>
    </w:p>
    <w:p w:rsidR="00B16400" w:rsidRPr="00C75C7E" w:rsidRDefault="00B16400" w:rsidP="00B16400">
      <w:pPr>
        <w:widowControl w:val="0"/>
        <w:ind w:left="1134"/>
        <w:rPr>
          <w:sz w:val="16"/>
          <w:szCs w:val="16"/>
          <w:lang w:val="es-ES_tradnl"/>
        </w:rPr>
      </w:pPr>
    </w:p>
    <w:p w:rsidR="00B16400" w:rsidRPr="00C75C7E" w:rsidRDefault="00B16400" w:rsidP="00B16400">
      <w:pPr>
        <w:widowControl w:val="0"/>
        <w:ind w:left="1134"/>
        <w:jc w:val="both"/>
        <w:rPr>
          <w:sz w:val="16"/>
          <w:szCs w:val="16"/>
          <w:lang w:val="es-ES_tradnl"/>
        </w:rPr>
      </w:pPr>
      <w:r w:rsidRPr="00C75C7E">
        <w:rPr>
          <w:sz w:val="16"/>
          <w:szCs w:val="16"/>
          <w:lang w:val="es-ES_tradnl"/>
        </w:rPr>
        <w:t>*  A título informativo únicamente.  Cabe observar que en algunos acuerdos de fondos fiduciarios se contemplan recursos para actividades que van más allá de la región/programa.  Para más información cabe remitirse al Anexo VIII.</w:t>
      </w:r>
    </w:p>
    <w:p w:rsidR="00B16400" w:rsidRPr="00C75C7E" w:rsidRDefault="00B16400" w:rsidP="00B16400">
      <w:pPr>
        <w:widowControl w:val="0"/>
        <w:ind w:left="1134"/>
        <w:jc w:val="both"/>
        <w:rPr>
          <w:sz w:val="16"/>
          <w:szCs w:val="16"/>
          <w:lang w:val="es-ES_tradnl"/>
        </w:rPr>
      </w:pPr>
    </w:p>
    <w:p w:rsidR="00B16400" w:rsidRPr="00C75C7E" w:rsidRDefault="00B16400" w:rsidP="00B16400">
      <w:pPr>
        <w:widowControl w:val="0"/>
        <w:ind w:left="1134"/>
        <w:jc w:val="both"/>
        <w:rPr>
          <w:sz w:val="16"/>
          <w:szCs w:val="16"/>
          <w:lang w:val="es-ES_tradnl"/>
        </w:rPr>
      </w:pPr>
      <w:r w:rsidRPr="00C75C7E">
        <w:rPr>
          <w:sz w:val="16"/>
          <w:szCs w:val="16"/>
          <w:lang w:val="es-ES_tradnl"/>
        </w:rPr>
        <w:t>**  En las cifras no se han incluido los intereses ni los ajustes cambiarios.  Cabe observar asimismo que estos fondos se destinan generalmente a actividades que cubren un período que va más allá de un solo bienio, a medida que se reciben los ingresos y se incurre en gastos.</w:t>
      </w:r>
    </w:p>
    <w:p w:rsidR="00B16400" w:rsidRPr="00C75C7E" w:rsidRDefault="00B16400" w:rsidP="00B16400">
      <w:pPr>
        <w:widowControl w:val="0"/>
        <w:ind w:left="1134"/>
        <w:jc w:val="both"/>
        <w:rPr>
          <w:sz w:val="16"/>
          <w:szCs w:val="16"/>
          <w:lang w:val="es-ES_tradnl"/>
        </w:rPr>
      </w:pPr>
    </w:p>
    <w:p w:rsidR="00B16400" w:rsidRPr="00C75C7E" w:rsidRDefault="00B16400" w:rsidP="00B16400">
      <w:pPr>
        <w:widowControl w:val="0"/>
        <w:ind w:left="1134"/>
        <w:jc w:val="both"/>
        <w:rPr>
          <w:sz w:val="16"/>
          <w:szCs w:val="16"/>
          <w:lang w:val="es-ES_tradnl"/>
        </w:rPr>
      </w:pPr>
      <w:r w:rsidRPr="00C75C7E">
        <w:rPr>
          <w:sz w:val="16"/>
          <w:szCs w:val="16"/>
          <w:lang w:val="es-ES_tradnl"/>
        </w:rPr>
        <w:t>***  Las contribuciones anuales varían y se han observado fluctuaciones de un año a otro.</w:t>
      </w:r>
    </w:p>
    <w:p w:rsidR="00B16400" w:rsidRPr="00C75C7E" w:rsidRDefault="00B16400" w:rsidP="00B16400">
      <w:pPr>
        <w:widowControl w:val="0"/>
        <w:ind w:left="1134"/>
        <w:jc w:val="both"/>
        <w:rPr>
          <w:sz w:val="16"/>
          <w:szCs w:val="16"/>
          <w:lang w:val="es-ES_tradnl"/>
        </w:rPr>
      </w:pPr>
    </w:p>
    <w:p w:rsidR="00B16400" w:rsidRPr="00C75C7E" w:rsidRDefault="00B16400" w:rsidP="00B16400">
      <w:pPr>
        <w:widowControl w:val="0"/>
        <w:ind w:left="1134"/>
        <w:jc w:val="both"/>
        <w:rPr>
          <w:sz w:val="16"/>
          <w:szCs w:val="16"/>
          <w:lang w:val="es-ES_tradnl"/>
        </w:rPr>
      </w:pPr>
      <w:r w:rsidRPr="00C75C7E">
        <w:rPr>
          <w:sz w:val="16"/>
          <w:szCs w:val="16"/>
          <w:lang w:val="es-ES_tradnl"/>
        </w:rPr>
        <w:t>****  Las cifras expuestas en esta columna son puramente indicativas y se basan en patrones de financiación anteriores.  Además, no representan los compromisos de los Estados miembros salvo cuando quedan incluidos en el acuerdo de fondos fiduciarios.</w:t>
      </w:r>
    </w:p>
    <w:p w:rsidR="002E7DC3" w:rsidRPr="00CA3895" w:rsidRDefault="00F14A90" w:rsidP="008541BE">
      <w:pPr>
        <w:pStyle w:val="StyleHeading3ComplexItalic"/>
        <w:keepNext w:val="0"/>
        <w:widowControl w:val="0"/>
        <w:rPr>
          <w:lang w:val="es-ES"/>
        </w:rPr>
      </w:pPr>
      <w:r>
        <w:rPr>
          <w:sz w:val="18"/>
          <w:szCs w:val="18"/>
          <w:lang w:val="es-ES_tradnl"/>
        </w:rPr>
        <w:br w:type="page"/>
      </w:r>
      <w:bookmarkStart w:id="42" w:name="_Toc356567759"/>
      <w:bookmarkStart w:id="43" w:name="_Toc358816697"/>
      <w:r w:rsidR="006A15F5" w:rsidRPr="00CA3895">
        <w:rPr>
          <w:caps w:val="0"/>
          <w:lang w:val="es-ES"/>
        </w:rPr>
        <w:lastRenderedPageBreak/>
        <w:t>PROGRAMA 10</w:t>
      </w:r>
      <w:r w:rsidR="006A15F5" w:rsidRPr="00CA3895">
        <w:rPr>
          <w:caps w:val="0"/>
          <w:lang w:val="es-ES"/>
        </w:rPr>
        <w:tab/>
        <w:t>COOPERACIÓN CON DETERMINADOS PAÍSES DE EUROPA Y ASIA</w:t>
      </w:r>
      <w:bookmarkEnd w:id="42"/>
      <w:bookmarkEnd w:id="43"/>
      <w:r w:rsidR="006A15F5" w:rsidRPr="00CA3895">
        <w:rPr>
          <w:caps w:val="0"/>
          <w:lang w:val="es-ES"/>
        </w:rPr>
        <w:t xml:space="preserve"> </w:t>
      </w:r>
    </w:p>
    <w:p w:rsidR="002E7DC3" w:rsidRPr="00CA3895" w:rsidRDefault="002E7DC3" w:rsidP="006A15F5"/>
    <w:p w:rsidR="002E7DC3" w:rsidRPr="00CA3895" w:rsidRDefault="002E7DC3" w:rsidP="006A15F5">
      <w:pPr>
        <w:rPr>
          <w:b/>
        </w:rPr>
      </w:pPr>
    </w:p>
    <w:p w:rsidR="002E7DC3" w:rsidRPr="00F039C2" w:rsidRDefault="002E7DC3" w:rsidP="002E7DC3">
      <w:pPr>
        <w:pStyle w:val="BodyTextIndent"/>
        <w:widowControl w:val="0"/>
        <w:ind w:left="1985" w:hanging="1985"/>
        <w:jc w:val="both"/>
        <w:rPr>
          <w:rFonts w:ascii="Arial" w:hAnsi="Arial" w:cs="Arial"/>
          <w:sz w:val="22"/>
          <w:szCs w:val="22"/>
          <w:lang w:val="es-ES"/>
        </w:rPr>
      </w:pPr>
      <w:r w:rsidRPr="00F039C2">
        <w:rPr>
          <w:rFonts w:ascii="Arial" w:hAnsi="Arial" w:cs="Arial"/>
          <w:sz w:val="22"/>
          <w:szCs w:val="22"/>
          <w:lang w:val="es-ES"/>
        </w:rPr>
        <w:t xml:space="preserve">CONTEXTO DE PLANIFICACIÓN  </w:t>
      </w:r>
    </w:p>
    <w:p w:rsidR="002E7DC3" w:rsidRPr="00F039C2" w:rsidRDefault="002E7DC3" w:rsidP="002E7DC3">
      <w:pPr>
        <w:widowControl w:val="0"/>
        <w:rPr>
          <w:sz w:val="20"/>
        </w:rPr>
      </w:pPr>
    </w:p>
    <w:p w:rsidR="002E7DC3" w:rsidRPr="00F039C2" w:rsidRDefault="002E7DC3" w:rsidP="00BA276E">
      <w:pPr>
        <w:widowControl w:val="0"/>
        <w:numPr>
          <w:ilvl w:val="0"/>
          <w:numId w:val="32"/>
        </w:numPr>
        <w:ind w:left="0"/>
        <w:jc w:val="both"/>
        <w:rPr>
          <w:sz w:val="20"/>
        </w:rPr>
      </w:pPr>
      <w:r w:rsidRPr="00F039C2">
        <w:rPr>
          <w:sz w:val="20"/>
        </w:rPr>
        <w:t xml:space="preserve">Los principales desafíos del programa serán dos:  en primer lugar, prestar apoyo para mejorar la participación de los Estados de Europa Central y del Báltico, Asia Central, Europa Oriental y el Cáucaso, así como </w:t>
      </w:r>
      <w:r>
        <w:rPr>
          <w:sz w:val="20"/>
        </w:rPr>
        <w:t xml:space="preserve">de </w:t>
      </w:r>
      <w:r w:rsidRPr="00F039C2">
        <w:rPr>
          <w:sz w:val="20"/>
        </w:rPr>
        <w:t>algunos países del Mediterráneo, en el sistema internacional de P.I. y en los beneficios económicos y sociales que se derivan de la innovación y la creatividad; y en segundo lugar, coordinar el fomento y prestación de servicios y programas a los países desarroll</w:t>
      </w:r>
      <w:r>
        <w:rPr>
          <w:sz w:val="20"/>
        </w:rPr>
        <w:t>ados</w:t>
      </w:r>
      <w:r w:rsidRPr="00F039C2">
        <w:rPr>
          <w:sz w:val="20"/>
        </w:rPr>
        <w:t xml:space="preserve"> por parte de la OMPI.</w:t>
      </w:r>
    </w:p>
    <w:p w:rsidR="002E7DC3" w:rsidRPr="00F039C2" w:rsidRDefault="002E7DC3" w:rsidP="002E7DC3">
      <w:pPr>
        <w:widowControl w:val="0"/>
        <w:jc w:val="both"/>
        <w:rPr>
          <w:sz w:val="20"/>
        </w:rPr>
      </w:pPr>
    </w:p>
    <w:p w:rsidR="002E7DC3" w:rsidRPr="00F039C2" w:rsidRDefault="002E7DC3" w:rsidP="00BA276E">
      <w:pPr>
        <w:widowControl w:val="0"/>
        <w:numPr>
          <w:ilvl w:val="0"/>
          <w:numId w:val="32"/>
        </w:numPr>
        <w:ind w:left="0"/>
        <w:jc w:val="both"/>
        <w:rPr>
          <w:sz w:val="20"/>
        </w:rPr>
      </w:pPr>
      <w:r w:rsidRPr="00F039C2">
        <w:rPr>
          <w:sz w:val="20"/>
        </w:rPr>
        <w:t>La asistencia que garantiza el programa tendrá que adaptarse a las necesidades específicas de los países interesados, que tienen diferentes niveles de desarrollo económico y necesidades m</w:t>
      </w:r>
      <w:r>
        <w:rPr>
          <w:sz w:val="20"/>
        </w:rPr>
        <w:t>uy distintas en materia de P.I.</w:t>
      </w:r>
      <w:r w:rsidRPr="00F039C2">
        <w:rPr>
          <w:sz w:val="20"/>
        </w:rPr>
        <w:t xml:space="preserve">  Algunos países necesitan un apoyo continuado a los esfuerzos de los gobiernos por establecer un entorno institucional y jurídico nacional que sea seguro y equilibrado, mientras que en otros países se tratará de conseguir una asistencia especializada para construir un sistema de innovación favorable.  Además, algunos países de la región se preparan para ser miembros de la Unión Europea (UE) y la Organización Europea de Patentes (OEP) y necesitan adaptar sus sistemas de P.I. en consecuencia.</w:t>
      </w:r>
    </w:p>
    <w:p w:rsidR="002E7DC3" w:rsidRPr="00F039C2" w:rsidRDefault="002E7DC3" w:rsidP="002E7DC3">
      <w:pPr>
        <w:widowControl w:val="0"/>
        <w:jc w:val="both"/>
        <w:rPr>
          <w:sz w:val="20"/>
        </w:rPr>
      </w:pPr>
    </w:p>
    <w:p w:rsidR="002E7DC3" w:rsidRPr="00F039C2" w:rsidRDefault="002E7DC3" w:rsidP="00BA276E">
      <w:pPr>
        <w:widowControl w:val="0"/>
        <w:numPr>
          <w:ilvl w:val="0"/>
          <w:numId w:val="32"/>
        </w:numPr>
        <w:ind w:left="0"/>
        <w:jc w:val="both"/>
        <w:rPr>
          <w:sz w:val="20"/>
        </w:rPr>
      </w:pPr>
      <w:r w:rsidRPr="00F039C2">
        <w:rPr>
          <w:sz w:val="20"/>
        </w:rPr>
        <w:t>En el contexto de la economía mundial parece indispensable potenciar la interacción entre las partes interesadas e instituciones de los países desarrollados y la OMPI, con objeto de dar mayor relieve al perfil y la posición de la OMPI en los países interesados.  Un enfoque institucional coordinado ante los países desarrollados aportará beneficios tanto a la OMPI como a sus Estados miembros.</w:t>
      </w:r>
    </w:p>
    <w:p w:rsidR="002E7DC3" w:rsidRPr="00F039C2" w:rsidRDefault="002E7DC3" w:rsidP="002E7DC3">
      <w:pPr>
        <w:widowControl w:val="0"/>
        <w:jc w:val="both"/>
        <w:rPr>
          <w:sz w:val="20"/>
        </w:rPr>
      </w:pPr>
    </w:p>
    <w:p w:rsidR="002E7DC3" w:rsidRPr="00F039C2" w:rsidRDefault="002E7DC3" w:rsidP="00BA276E">
      <w:pPr>
        <w:widowControl w:val="0"/>
        <w:numPr>
          <w:ilvl w:val="0"/>
          <w:numId w:val="32"/>
        </w:numPr>
        <w:ind w:left="0"/>
        <w:jc w:val="both"/>
        <w:rPr>
          <w:sz w:val="20"/>
        </w:rPr>
      </w:pPr>
      <w:r w:rsidRPr="00F039C2">
        <w:rPr>
          <w:sz w:val="20"/>
        </w:rPr>
        <w:t>Como consecuencia de la crisis económica y financiera, muchos países consideraron que el papel de la innovación y la P.I. e</w:t>
      </w:r>
      <w:r>
        <w:rPr>
          <w:sz w:val="20"/>
        </w:rPr>
        <w:t>ra</w:t>
      </w:r>
      <w:r w:rsidRPr="00F039C2">
        <w:rPr>
          <w:sz w:val="20"/>
        </w:rPr>
        <w:t xml:space="preserve"> fundamental para su recuperación.  Esto ha llevado a una mayor sensibilización y un</w:t>
      </w:r>
      <w:r>
        <w:rPr>
          <w:sz w:val="20"/>
        </w:rPr>
        <w:t>a</w:t>
      </w:r>
      <w:r w:rsidRPr="00F039C2">
        <w:rPr>
          <w:sz w:val="20"/>
        </w:rPr>
        <w:t xml:space="preserve"> mejor </w:t>
      </w:r>
      <w:r>
        <w:rPr>
          <w:sz w:val="20"/>
        </w:rPr>
        <w:t xml:space="preserve">comprensión </w:t>
      </w:r>
      <w:r w:rsidRPr="00F039C2">
        <w:rPr>
          <w:sz w:val="20"/>
        </w:rPr>
        <w:t xml:space="preserve">de un planteamiento más sistemático y a largo plazo ante la P.I. y la innovación.  Por ello la demanda para elaborar estrategias y planes nacionales en materia de P.I. seguirá aumentando en el próximo bienio. </w:t>
      </w:r>
    </w:p>
    <w:p w:rsidR="002E7DC3" w:rsidRPr="00F039C2" w:rsidRDefault="002E7DC3" w:rsidP="002E7DC3">
      <w:pPr>
        <w:widowControl w:val="0"/>
        <w:jc w:val="both"/>
        <w:rPr>
          <w:sz w:val="20"/>
        </w:rPr>
      </w:pPr>
    </w:p>
    <w:p w:rsidR="002E7DC3" w:rsidRPr="00F039C2" w:rsidRDefault="002E7DC3" w:rsidP="00BA276E">
      <w:pPr>
        <w:widowControl w:val="0"/>
        <w:numPr>
          <w:ilvl w:val="0"/>
          <w:numId w:val="32"/>
        </w:numPr>
        <w:ind w:left="0"/>
        <w:jc w:val="both"/>
        <w:rPr>
          <w:sz w:val="20"/>
        </w:rPr>
      </w:pPr>
      <w:r w:rsidRPr="00F039C2">
        <w:rPr>
          <w:sz w:val="20"/>
        </w:rPr>
        <w:t xml:space="preserve">Las pequeñas y </w:t>
      </w:r>
      <w:r w:rsidR="004E3B39">
        <w:rPr>
          <w:sz w:val="20"/>
        </w:rPr>
        <w:t>medianas empresas (p</w:t>
      </w:r>
      <w:r w:rsidRPr="00F039C2">
        <w:rPr>
          <w:sz w:val="20"/>
        </w:rPr>
        <w:t>ymes) son una pieza esencial en el sistema nacional de innovación.  El desarrollo econó</w:t>
      </w:r>
      <w:r w:rsidR="004E3B39">
        <w:rPr>
          <w:sz w:val="20"/>
        </w:rPr>
        <w:t>mico depende de ellas.  Muchas p</w:t>
      </w:r>
      <w:r w:rsidRPr="00F039C2">
        <w:rPr>
          <w:sz w:val="20"/>
        </w:rPr>
        <w:t>ymes de la región empiezan a ofrecer productos y prestar servicios en industrias que ha</w:t>
      </w:r>
      <w:r>
        <w:rPr>
          <w:sz w:val="20"/>
        </w:rPr>
        <w:t>cen un uso intensivo de la P.I.</w:t>
      </w:r>
      <w:r w:rsidRPr="00F039C2">
        <w:rPr>
          <w:sz w:val="20"/>
        </w:rPr>
        <w:t xml:space="preserve">  En consecuencia, es necesario potenciar que entiendan mejor la P.I., por ejemplo, cómo integrar la P.I. en sus políticas en materia de innovación, cómo hacer un mejor uso del sistema de innovación y c</w:t>
      </w:r>
      <w:r>
        <w:rPr>
          <w:sz w:val="20"/>
        </w:rPr>
        <w:t>ó</w:t>
      </w:r>
      <w:r w:rsidRPr="00F039C2">
        <w:rPr>
          <w:sz w:val="20"/>
        </w:rPr>
        <w:t>mo beneficiarse de los servicios de la OMPI.</w:t>
      </w:r>
    </w:p>
    <w:p w:rsidR="002E7DC3" w:rsidRPr="00F039C2" w:rsidRDefault="002E7DC3" w:rsidP="002E7DC3">
      <w:pPr>
        <w:widowControl w:val="0"/>
        <w:jc w:val="both"/>
        <w:rPr>
          <w:sz w:val="20"/>
        </w:rPr>
      </w:pPr>
    </w:p>
    <w:p w:rsidR="002E7DC3" w:rsidRPr="00F039C2" w:rsidRDefault="002E7DC3" w:rsidP="00BA276E">
      <w:pPr>
        <w:widowControl w:val="0"/>
        <w:numPr>
          <w:ilvl w:val="0"/>
          <w:numId w:val="32"/>
        </w:numPr>
        <w:ind w:left="0"/>
        <w:jc w:val="both"/>
        <w:rPr>
          <w:sz w:val="20"/>
        </w:rPr>
      </w:pPr>
      <w:r w:rsidRPr="00F039C2">
        <w:rPr>
          <w:sz w:val="20"/>
        </w:rPr>
        <w:t>Si bien se han logrado progresos importantes en la región hacia una economía basada en los conocimientos, aún pueden introducirse mejoras que propicien el flujo de innovación y creatividad de</w:t>
      </w:r>
      <w:r>
        <w:rPr>
          <w:sz w:val="20"/>
        </w:rPr>
        <w:t>sde</w:t>
      </w:r>
      <w:r w:rsidRPr="00F039C2">
        <w:rPr>
          <w:sz w:val="20"/>
        </w:rPr>
        <w:t xml:space="preserve"> las universidades a las empresas.  Además de constituir oficinas de transferencia de tecnología (OTT) y centros de información en materia de P.I., uno de los aspectos fundamentales que exigen atención es el desarrollo de políticas en materia de P.I. en universidades e instituciones de investigación.</w:t>
      </w:r>
    </w:p>
    <w:p w:rsidR="002E7DC3" w:rsidRPr="00F039C2" w:rsidRDefault="002E7DC3" w:rsidP="002E7DC3">
      <w:pPr>
        <w:widowControl w:val="0"/>
        <w:jc w:val="both"/>
        <w:rPr>
          <w:sz w:val="20"/>
        </w:rPr>
      </w:pPr>
    </w:p>
    <w:p w:rsidR="002E7DC3" w:rsidRPr="00F039C2" w:rsidRDefault="002E7DC3" w:rsidP="00BA276E">
      <w:pPr>
        <w:widowControl w:val="0"/>
        <w:numPr>
          <w:ilvl w:val="0"/>
          <w:numId w:val="32"/>
        </w:numPr>
        <w:ind w:left="0"/>
        <w:jc w:val="both"/>
        <w:rPr>
          <w:sz w:val="20"/>
        </w:rPr>
      </w:pPr>
      <w:r w:rsidRPr="00F039C2">
        <w:rPr>
          <w:sz w:val="20"/>
        </w:rPr>
        <w:t xml:space="preserve">Muchos países de la región se han unido a los sistemas de la OMPI, en concreto el </w:t>
      </w:r>
      <w:r>
        <w:rPr>
          <w:sz w:val="20"/>
        </w:rPr>
        <w:t>s</w:t>
      </w:r>
      <w:r w:rsidRPr="00F039C2">
        <w:rPr>
          <w:sz w:val="20"/>
        </w:rPr>
        <w:t xml:space="preserve">istema del PCT y el </w:t>
      </w:r>
      <w:r>
        <w:rPr>
          <w:sz w:val="20"/>
        </w:rPr>
        <w:t>s</w:t>
      </w:r>
      <w:r w:rsidRPr="00F039C2">
        <w:rPr>
          <w:sz w:val="20"/>
        </w:rPr>
        <w:t xml:space="preserve">istema de Madrid, y algunos tienen previsto unirse al </w:t>
      </w:r>
      <w:r>
        <w:rPr>
          <w:sz w:val="20"/>
        </w:rPr>
        <w:t>s</w:t>
      </w:r>
      <w:r w:rsidRPr="00F039C2">
        <w:rPr>
          <w:sz w:val="20"/>
        </w:rPr>
        <w:t xml:space="preserve">istema de La Haya.  Todavía no se ha hecho efectivo plenamente el potencial de dichos sistemas en la región.  Por ello es necesario </w:t>
      </w:r>
      <w:r>
        <w:rPr>
          <w:sz w:val="20"/>
        </w:rPr>
        <w:t xml:space="preserve">seguir fomentándolos y </w:t>
      </w:r>
      <w:r w:rsidRPr="00F039C2">
        <w:rPr>
          <w:sz w:val="20"/>
        </w:rPr>
        <w:t>organizando formación específica sobre su utilización.</w:t>
      </w:r>
    </w:p>
    <w:p w:rsidR="002E7DC3" w:rsidRPr="009F406F" w:rsidRDefault="002E7DC3" w:rsidP="002E7DC3">
      <w:pPr>
        <w:widowControl w:val="0"/>
        <w:jc w:val="both"/>
        <w:rPr>
          <w:sz w:val="20"/>
        </w:rPr>
      </w:pPr>
    </w:p>
    <w:p w:rsidR="002E7DC3" w:rsidRPr="009F406F" w:rsidRDefault="002E7DC3" w:rsidP="002E7DC3">
      <w:pPr>
        <w:widowControl w:val="0"/>
        <w:rPr>
          <w:sz w:val="20"/>
        </w:rPr>
      </w:pPr>
    </w:p>
    <w:p w:rsidR="002E7DC3" w:rsidRPr="00F039C2" w:rsidRDefault="002E7DC3" w:rsidP="002E7DC3">
      <w:pPr>
        <w:widowControl w:val="0"/>
        <w:tabs>
          <w:tab w:val="left" w:pos="567"/>
          <w:tab w:val="left" w:pos="1985"/>
        </w:tabs>
        <w:jc w:val="both"/>
        <w:rPr>
          <w:bCs/>
          <w:szCs w:val="22"/>
        </w:rPr>
      </w:pPr>
      <w:r w:rsidRPr="001F5DCE">
        <w:rPr>
          <w:bCs/>
          <w:szCs w:val="22"/>
        </w:rPr>
        <w:t>ESTRATEGIAS DE EJECUCIÓN</w:t>
      </w:r>
      <w:r w:rsidRPr="00F039C2">
        <w:rPr>
          <w:bCs/>
          <w:szCs w:val="22"/>
        </w:rPr>
        <w:t xml:space="preserve"> </w:t>
      </w:r>
    </w:p>
    <w:p w:rsidR="002E7DC3" w:rsidRPr="00F039C2" w:rsidRDefault="002E7DC3" w:rsidP="002E7DC3">
      <w:pPr>
        <w:widowControl w:val="0"/>
        <w:tabs>
          <w:tab w:val="left" w:pos="567"/>
          <w:tab w:val="left" w:pos="1985"/>
        </w:tabs>
        <w:jc w:val="both"/>
        <w:rPr>
          <w:bCs/>
          <w:sz w:val="20"/>
        </w:rPr>
      </w:pPr>
    </w:p>
    <w:p w:rsidR="002E7DC3" w:rsidRPr="00F039C2" w:rsidRDefault="002E7DC3" w:rsidP="00BA276E">
      <w:pPr>
        <w:widowControl w:val="0"/>
        <w:numPr>
          <w:ilvl w:val="0"/>
          <w:numId w:val="32"/>
        </w:numPr>
        <w:ind w:left="0"/>
        <w:jc w:val="both"/>
        <w:rPr>
          <w:sz w:val="20"/>
        </w:rPr>
      </w:pPr>
      <w:r w:rsidRPr="00F039C2">
        <w:rPr>
          <w:sz w:val="20"/>
        </w:rPr>
        <w:t>La labor del programa para los países con economías en transición seguirá guiándose por las recomendaciones de la A</w:t>
      </w:r>
      <w:r>
        <w:rPr>
          <w:sz w:val="20"/>
        </w:rPr>
        <w:t>.D. sobre</w:t>
      </w:r>
      <w:r w:rsidRPr="00F039C2">
        <w:rPr>
          <w:sz w:val="20"/>
        </w:rPr>
        <w:t xml:space="preserve"> asistencia técnica y fortalecimiento de capacidades, en particular las recomendaciones 1, 6, 12, 13 y 14.  El programa seguirá ofreciendo asistencia a los países de la región, centrando la atención en marcos de P.I</w:t>
      </w:r>
      <w:r>
        <w:rPr>
          <w:sz w:val="20"/>
        </w:rPr>
        <w:t>.</w:t>
      </w:r>
      <w:r w:rsidRPr="00F039C2">
        <w:rPr>
          <w:sz w:val="20"/>
        </w:rPr>
        <w:t xml:space="preserve"> adaptados y equilibrados en el ámbito legislativo, reg</w:t>
      </w:r>
      <w:r>
        <w:rPr>
          <w:sz w:val="20"/>
        </w:rPr>
        <w:t xml:space="preserve">lamentario </w:t>
      </w:r>
      <w:r w:rsidRPr="00F039C2">
        <w:rPr>
          <w:sz w:val="20"/>
        </w:rPr>
        <w:t xml:space="preserve">y de política;  políticas nacionales de innovación y de P.I. claramente definidas y coherentes, estrategias y planes de desarrollo que estén en sintonía con las metas y los objetivos nacionales de desarrollo;  una mejora en la infraestructura técnica y de conocimientos de las oficinas y demás instituciones de P.I. que les permita prestar mejores servicios (más económicos, más rápidos y de mejor calidad) a sus usuarios;  y una mejora de las capacidades en el ámbito de los recursos humanos para hacer frente al amplio </w:t>
      </w:r>
      <w:r w:rsidRPr="00F039C2">
        <w:rPr>
          <w:sz w:val="20"/>
        </w:rPr>
        <w:lastRenderedPageBreak/>
        <w:t xml:space="preserve">espectro de exigencias que supone la utilización eficaz de la P.I. en aras del desarrollo en los países en desarrollo, </w:t>
      </w:r>
      <w:r>
        <w:rPr>
          <w:sz w:val="20"/>
        </w:rPr>
        <w:t xml:space="preserve">los </w:t>
      </w:r>
      <w:r w:rsidRPr="00F039C2">
        <w:rPr>
          <w:sz w:val="20"/>
        </w:rPr>
        <w:t xml:space="preserve">PMA y </w:t>
      </w:r>
      <w:r>
        <w:rPr>
          <w:sz w:val="20"/>
        </w:rPr>
        <w:t xml:space="preserve">los </w:t>
      </w:r>
      <w:r w:rsidRPr="00F039C2">
        <w:rPr>
          <w:sz w:val="20"/>
        </w:rPr>
        <w:t>países con economías en transición.</w:t>
      </w:r>
    </w:p>
    <w:p w:rsidR="002E7DC3" w:rsidRPr="00F039C2" w:rsidRDefault="002E7DC3" w:rsidP="002E7DC3">
      <w:pPr>
        <w:widowControl w:val="0"/>
        <w:jc w:val="both"/>
        <w:rPr>
          <w:sz w:val="20"/>
        </w:rPr>
      </w:pPr>
    </w:p>
    <w:p w:rsidR="00A83AE4" w:rsidRDefault="00A83AE4" w:rsidP="00BA276E">
      <w:pPr>
        <w:widowControl w:val="0"/>
        <w:numPr>
          <w:ilvl w:val="0"/>
          <w:numId w:val="32"/>
        </w:numPr>
        <w:ind w:left="0"/>
        <w:jc w:val="both"/>
        <w:rPr>
          <w:sz w:val="20"/>
        </w:rPr>
      </w:pPr>
      <w:r>
        <w:rPr>
          <w:rFonts w:eastAsia="Times New Roman" w:cs="Times New Roman"/>
          <w:sz w:val="20"/>
          <w:lang w:eastAsia="en-US"/>
        </w:rPr>
        <w:t>Las actividades de fortalecimiento de capacidades para las pymes serán planificadas y ejecutadas de conformidad con las estrategias nacionales vigentes en materia de P.I., y bajo la modalidad de “formar al formador” para que haya una mayor divulgación.  La concepción de los cursos de formación deberá realizarse en estrecha coordinación con los programas 9, 11 y 30.</w:t>
      </w:r>
    </w:p>
    <w:p w:rsidR="00A83AE4" w:rsidRDefault="00A83AE4" w:rsidP="00A83AE4">
      <w:pPr>
        <w:widowControl w:val="0"/>
        <w:jc w:val="both"/>
        <w:rPr>
          <w:sz w:val="20"/>
        </w:rPr>
      </w:pPr>
    </w:p>
    <w:p w:rsidR="002E7DC3" w:rsidRPr="00F039C2" w:rsidRDefault="002E7DC3" w:rsidP="00BA276E">
      <w:pPr>
        <w:widowControl w:val="0"/>
        <w:numPr>
          <w:ilvl w:val="0"/>
          <w:numId w:val="32"/>
        </w:numPr>
        <w:ind w:left="0"/>
        <w:jc w:val="both"/>
        <w:rPr>
          <w:sz w:val="20"/>
        </w:rPr>
      </w:pPr>
      <w:r w:rsidRPr="00F039C2">
        <w:rPr>
          <w:sz w:val="20"/>
        </w:rPr>
        <w:t xml:space="preserve">Por lo que respecta a los países desarrollados, es necesario adoptar un enfoque más coordinado </w:t>
      </w:r>
      <w:r>
        <w:rPr>
          <w:sz w:val="20"/>
        </w:rPr>
        <w:t>con respecto a</w:t>
      </w:r>
      <w:r w:rsidRPr="00F039C2">
        <w:rPr>
          <w:sz w:val="20"/>
        </w:rPr>
        <w:t xml:space="preserve">l fomento y la </w:t>
      </w:r>
      <w:r>
        <w:rPr>
          <w:sz w:val="20"/>
        </w:rPr>
        <w:t xml:space="preserve">ejecución </w:t>
      </w:r>
      <w:r w:rsidRPr="00F039C2">
        <w:rPr>
          <w:sz w:val="20"/>
        </w:rPr>
        <w:t xml:space="preserve">de diferentes servicios y actividades </w:t>
      </w:r>
      <w:r>
        <w:rPr>
          <w:sz w:val="20"/>
        </w:rPr>
        <w:t xml:space="preserve">por parte </w:t>
      </w:r>
      <w:r w:rsidRPr="00F039C2">
        <w:rPr>
          <w:sz w:val="20"/>
        </w:rPr>
        <w:t>de la OMPI, entre ellos los sistemas mundiales de P.I., el programa normativo</w:t>
      </w:r>
      <w:r w:rsidRPr="00873831">
        <w:rPr>
          <w:sz w:val="20"/>
        </w:rPr>
        <w:t>, los estudios importantes</w:t>
      </w:r>
      <w:r w:rsidRPr="00F039C2">
        <w:rPr>
          <w:sz w:val="20"/>
        </w:rPr>
        <w:t xml:space="preserve">, las bases de datos mundiales para la P.I. y las plataformas y herramientas </w:t>
      </w:r>
      <w:r w:rsidRPr="008A05E8">
        <w:rPr>
          <w:sz w:val="20"/>
        </w:rPr>
        <w:t>para la economía de los conocimientos caracterizada por el establecimiento de conexiones.</w:t>
      </w:r>
      <w:r w:rsidRPr="00F039C2">
        <w:rPr>
          <w:sz w:val="20"/>
        </w:rPr>
        <w:t xml:space="preserve">  Además, es importante recabar y procesar la información disponible sobre las tendencias y desafíos para la P.I. en los países interesados, de manera que sea posible mejorar la cooperación con las autoridades públicas y l</w:t>
      </w:r>
      <w:r>
        <w:rPr>
          <w:sz w:val="20"/>
        </w:rPr>
        <w:t>a</w:t>
      </w:r>
      <w:r w:rsidRPr="00F039C2">
        <w:rPr>
          <w:sz w:val="20"/>
        </w:rPr>
        <w:t xml:space="preserve">s </w:t>
      </w:r>
      <w:r>
        <w:rPr>
          <w:sz w:val="20"/>
        </w:rPr>
        <w:t xml:space="preserve">partes </w:t>
      </w:r>
      <w:r w:rsidRPr="00F039C2">
        <w:rPr>
          <w:sz w:val="20"/>
        </w:rPr>
        <w:t>interesad</w:t>
      </w:r>
      <w:r>
        <w:rPr>
          <w:sz w:val="20"/>
        </w:rPr>
        <w:t>a</w:t>
      </w:r>
      <w:r w:rsidRPr="00F039C2">
        <w:rPr>
          <w:sz w:val="20"/>
        </w:rPr>
        <w:t>s con respecto a los diferentes servicios y actividades de la OMPI.</w:t>
      </w:r>
    </w:p>
    <w:p w:rsidR="002E7DC3" w:rsidRPr="00F039C2" w:rsidRDefault="002E7DC3" w:rsidP="002E7DC3">
      <w:pPr>
        <w:widowControl w:val="0"/>
        <w:jc w:val="both"/>
        <w:rPr>
          <w:sz w:val="20"/>
        </w:rPr>
      </w:pPr>
    </w:p>
    <w:p w:rsidR="002E7DC3" w:rsidRPr="00F039C2" w:rsidRDefault="002E7DC3" w:rsidP="00BA276E">
      <w:pPr>
        <w:widowControl w:val="0"/>
        <w:numPr>
          <w:ilvl w:val="0"/>
          <w:numId w:val="32"/>
        </w:numPr>
        <w:ind w:left="0"/>
        <w:jc w:val="both"/>
        <w:rPr>
          <w:sz w:val="20"/>
        </w:rPr>
      </w:pPr>
      <w:r w:rsidRPr="00F039C2">
        <w:rPr>
          <w:sz w:val="20"/>
        </w:rPr>
        <w:t xml:space="preserve">El programa, con el apoyo y la coordinación de las aportaciones de todos los programas pertinentes de la OMPI, conseguirá </w:t>
      </w:r>
      <w:r>
        <w:rPr>
          <w:sz w:val="20"/>
        </w:rPr>
        <w:t>los</w:t>
      </w:r>
      <w:r w:rsidRPr="00F039C2">
        <w:rPr>
          <w:sz w:val="20"/>
        </w:rPr>
        <w:t xml:space="preserve"> resultados previstos a través de un amplio espectro de actividades para el fortalecimiento de las capacidades, así como con la realización de los análisis pertinentes y la preparación de estudios de apoyo.  La evaluación de las actividades permitirá que el programa siga mejorando y adaptando sus actividades a las necesidades específicas de la región.</w:t>
      </w:r>
    </w:p>
    <w:p w:rsidR="002E7DC3" w:rsidRPr="00F039C2" w:rsidRDefault="002E7DC3" w:rsidP="002E7DC3">
      <w:pPr>
        <w:widowControl w:val="0"/>
        <w:jc w:val="both"/>
        <w:rPr>
          <w:sz w:val="20"/>
        </w:rPr>
      </w:pPr>
    </w:p>
    <w:p w:rsidR="002E7DC3" w:rsidRPr="00F039C2" w:rsidRDefault="002E7DC3" w:rsidP="00BA276E">
      <w:pPr>
        <w:widowControl w:val="0"/>
        <w:numPr>
          <w:ilvl w:val="0"/>
          <w:numId w:val="32"/>
        </w:numPr>
        <w:ind w:left="0"/>
        <w:jc w:val="both"/>
        <w:rPr>
          <w:sz w:val="20"/>
        </w:rPr>
      </w:pPr>
      <w:r w:rsidRPr="00F039C2">
        <w:rPr>
          <w:sz w:val="20"/>
        </w:rPr>
        <w:t xml:space="preserve">Para satisfacer las diversas necesidades y expectativas de esos países en materia de P.I. será necesario efectuar actividades de evaluación de necesidades en cada país, que constituirán la base para la elaboración de estrategias nacionales de innovación  y de P.I. específicas. </w:t>
      </w:r>
    </w:p>
    <w:p w:rsidR="002E7DC3" w:rsidRPr="00F039C2" w:rsidRDefault="002E7DC3" w:rsidP="002E7DC3">
      <w:pPr>
        <w:widowControl w:val="0"/>
        <w:jc w:val="both"/>
        <w:rPr>
          <w:sz w:val="20"/>
        </w:rPr>
      </w:pPr>
    </w:p>
    <w:p w:rsidR="002E7DC3" w:rsidRPr="00F039C2" w:rsidRDefault="002E7DC3" w:rsidP="00BA276E">
      <w:pPr>
        <w:widowControl w:val="0"/>
        <w:numPr>
          <w:ilvl w:val="0"/>
          <w:numId w:val="32"/>
        </w:numPr>
        <w:ind w:left="0"/>
        <w:jc w:val="both"/>
        <w:rPr>
          <w:sz w:val="20"/>
        </w:rPr>
      </w:pPr>
      <w:r w:rsidRPr="00F039C2">
        <w:rPr>
          <w:sz w:val="20"/>
        </w:rPr>
        <w:t xml:space="preserve">Además, el programa </w:t>
      </w:r>
      <w:r>
        <w:rPr>
          <w:sz w:val="20"/>
        </w:rPr>
        <w:t xml:space="preserve">aprovechará </w:t>
      </w:r>
      <w:r w:rsidRPr="00F039C2">
        <w:rPr>
          <w:sz w:val="20"/>
        </w:rPr>
        <w:t>también ciertos puntos comunes y características compartidas de los sistemas económicos y de P.I. de los países de la región y posibilitará el intercambio de experiencias, lecciones aprendidas y prácticas más difundidas.</w:t>
      </w:r>
    </w:p>
    <w:p w:rsidR="002E7DC3" w:rsidRPr="00F039C2" w:rsidRDefault="002E7DC3" w:rsidP="002E7DC3">
      <w:pPr>
        <w:widowControl w:val="0"/>
        <w:jc w:val="both"/>
        <w:rPr>
          <w:sz w:val="20"/>
        </w:rPr>
      </w:pPr>
    </w:p>
    <w:p w:rsidR="002E7DC3" w:rsidRPr="00F039C2" w:rsidRDefault="002E7DC3" w:rsidP="00BA276E">
      <w:pPr>
        <w:widowControl w:val="0"/>
        <w:numPr>
          <w:ilvl w:val="0"/>
          <w:numId w:val="32"/>
        </w:numPr>
        <w:ind w:left="0"/>
        <w:jc w:val="both"/>
        <w:rPr>
          <w:sz w:val="20"/>
        </w:rPr>
      </w:pPr>
      <w:r w:rsidRPr="00F039C2">
        <w:rPr>
          <w:sz w:val="20"/>
        </w:rPr>
        <w:t>Dado que el número de instituciones de enseñanza superior con políticas de P.I. sigue siendo relativamente bajo en algunos de los países que se enmarcan en el programa, a petición de tales países mediante el programa se seguirá prestando asistencia a las iniciativas pertinentes en el ámbito nacional, con lo que se fomentara la puesta en práctica de dichas políticas.</w:t>
      </w:r>
    </w:p>
    <w:p w:rsidR="002E7DC3" w:rsidRPr="00F039C2" w:rsidRDefault="002E7DC3" w:rsidP="002E7DC3">
      <w:pPr>
        <w:widowControl w:val="0"/>
        <w:jc w:val="both"/>
        <w:rPr>
          <w:sz w:val="20"/>
        </w:rPr>
      </w:pPr>
    </w:p>
    <w:p w:rsidR="002E7DC3" w:rsidRPr="009F406F" w:rsidRDefault="002E7DC3" w:rsidP="00BA276E">
      <w:pPr>
        <w:widowControl w:val="0"/>
        <w:numPr>
          <w:ilvl w:val="0"/>
          <w:numId w:val="32"/>
        </w:numPr>
        <w:autoSpaceDE w:val="0"/>
        <w:autoSpaceDN w:val="0"/>
        <w:adjustRightInd w:val="0"/>
        <w:ind w:left="0"/>
        <w:jc w:val="both"/>
        <w:rPr>
          <w:sz w:val="20"/>
          <w:lang w:eastAsia="es-ES"/>
        </w:rPr>
      </w:pPr>
      <w:r w:rsidRPr="00F039C2">
        <w:rPr>
          <w:sz w:val="20"/>
        </w:rPr>
        <w:t xml:space="preserve"> Algunos países de Europa y Asia mantienen una estrecha relación con la UE o ya son miembros.</w:t>
      </w:r>
      <w:r>
        <w:rPr>
          <w:sz w:val="20"/>
        </w:rPr>
        <w:t xml:space="preserve"> </w:t>
      </w:r>
      <w:r w:rsidRPr="00F039C2">
        <w:rPr>
          <w:sz w:val="20"/>
        </w:rPr>
        <w:t xml:space="preserve"> De ser pertinente, se tendrán en cuenta en la cooperación con esos países las necesidades derivadas de la adhesión a la UE de algunos de ellos, así como las necesidades específicas de los países adherentes, los países candidatos a la adhesión y los países que se beneficien de la política </w:t>
      </w:r>
      <w:r>
        <w:rPr>
          <w:sz w:val="20"/>
        </w:rPr>
        <w:t>e</w:t>
      </w:r>
      <w:r w:rsidRPr="00F039C2">
        <w:rPr>
          <w:sz w:val="20"/>
        </w:rPr>
        <w:t xml:space="preserve">uropea de Vecindad y la política de la Asociación Oriental.  </w:t>
      </w:r>
      <w:r w:rsidRPr="00F039C2">
        <w:rPr>
          <w:sz w:val="20"/>
          <w:lang w:eastAsia="es-ES"/>
        </w:rPr>
        <w:t xml:space="preserve">Se tratará de establecer sinergias para los programas de P.I. que esos países </w:t>
      </w:r>
      <w:r>
        <w:rPr>
          <w:sz w:val="20"/>
          <w:lang w:eastAsia="es-ES"/>
        </w:rPr>
        <w:t xml:space="preserve">puedan </w:t>
      </w:r>
      <w:r w:rsidRPr="00F039C2">
        <w:rPr>
          <w:sz w:val="20"/>
          <w:lang w:eastAsia="es-ES"/>
        </w:rPr>
        <w:t>emprend</w:t>
      </w:r>
      <w:r>
        <w:rPr>
          <w:sz w:val="20"/>
          <w:lang w:eastAsia="es-ES"/>
        </w:rPr>
        <w:t>er</w:t>
      </w:r>
      <w:r w:rsidRPr="00F039C2">
        <w:rPr>
          <w:sz w:val="20"/>
          <w:lang w:eastAsia="es-ES"/>
        </w:rPr>
        <w:t xml:space="preserve"> en el marco de la UE o de la Organización Europea de Patentes (OEP).  </w:t>
      </w:r>
      <w:r w:rsidRPr="00F039C2">
        <w:rPr>
          <w:sz w:val="20"/>
        </w:rPr>
        <w:t xml:space="preserve">Además, con el fin de crear sinergias con las iniciativas correspondientes, se tendrán debidamente en cuenta las actividades de cooperación que se realicen en los Estados miembros de la Comunidad de Estados Independientes (CEI), en particular en colaboración con el Consejo Interestatal </w:t>
      </w:r>
      <w:r>
        <w:rPr>
          <w:sz w:val="20"/>
        </w:rPr>
        <w:t>sobre</w:t>
      </w:r>
      <w:r w:rsidRPr="00F039C2">
        <w:rPr>
          <w:sz w:val="20"/>
        </w:rPr>
        <w:t xml:space="preserve"> la Protección de la Propiedad Industrial (I</w:t>
      </w:r>
      <w:r>
        <w:rPr>
          <w:sz w:val="20"/>
        </w:rPr>
        <w:t>C</w:t>
      </w:r>
      <w:r w:rsidRPr="00F039C2">
        <w:rPr>
          <w:sz w:val="20"/>
        </w:rPr>
        <w:t>PI</w:t>
      </w:r>
      <w:r>
        <w:rPr>
          <w:sz w:val="20"/>
        </w:rPr>
        <w:t>P</w:t>
      </w:r>
      <w:r w:rsidRPr="00F039C2">
        <w:rPr>
          <w:sz w:val="20"/>
        </w:rPr>
        <w:t>) y la Asamblea Interparlamentaria de los Estados miembros de la CEI</w:t>
      </w:r>
      <w:r>
        <w:rPr>
          <w:sz w:val="20"/>
        </w:rPr>
        <w:t xml:space="preserve"> (IPACIS)</w:t>
      </w:r>
      <w:r w:rsidRPr="00F039C2">
        <w:rPr>
          <w:sz w:val="20"/>
        </w:rPr>
        <w:t xml:space="preserve">.  </w:t>
      </w:r>
      <w:r w:rsidRPr="00F039C2">
        <w:rPr>
          <w:sz w:val="20"/>
          <w:lang w:eastAsia="es-ES"/>
        </w:rPr>
        <w:t>Seguirá prestándose particular atención a la cooperación con la Organización Eurasiática de Patentes</w:t>
      </w:r>
      <w:r>
        <w:rPr>
          <w:sz w:val="20"/>
          <w:lang w:eastAsia="es-ES"/>
        </w:rPr>
        <w:t>,</w:t>
      </w:r>
      <w:r w:rsidRPr="00F039C2">
        <w:rPr>
          <w:sz w:val="20"/>
          <w:lang w:eastAsia="es-ES"/>
        </w:rPr>
        <w:t xml:space="preserve"> que se fortalecerá aún más para promover los vínculos con el </w:t>
      </w:r>
      <w:r>
        <w:rPr>
          <w:sz w:val="20"/>
          <w:lang w:eastAsia="es-ES"/>
        </w:rPr>
        <w:t>s</w:t>
      </w:r>
      <w:r w:rsidRPr="00E23914">
        <w:rPr>
          <w:sz w:val="20"/>
          <w:lang w:eastAsia="es-ES"/>
        </w:rPr>
        <w:t>istema</w:t>
      </w:r>
      <w:r w:rsidRPr="00F039C2">
        <w:rPr>
          <w:sz w:val="20"/>
          <w:lang w:eastAsia="es-ES"/>
        </w:rPr>
        <w:t xml:space="preserve"> del PCT y mancomunar los esfuerzos destinados a facilitar el uso de los sistemas y activos de P.I. en pos del desarrollo sostenible de la región. </w:t>
      </w:r>
      <w:r>
        <w:rPr>
          <w:sz w:val="20"/>
          <w:lang w:eastAsia="es-ES"/>
        </w:rPr>
        <w:t xml:space="preserve"> </w:t>
      </w:r>
      <w:r w:rsidRPr="00F039C2">
        <w:rPr>
          <w:sz w:val="20"/>
          <w:lang w:eastAsia="es-ES"/>
        </w:rPr>
        <w:t xml:space="preserve">Mediante el programa se cooperará también con la </w:t>
      </w:r>
      <w:r w:rsidRPr="008A05E8">
        <w:rPr>
          <w:sz w:val="20"/>
          <w:lang w:eastAsia="es-ES"/>
        </w:rPr>
        <w:t>Comisión Económica Eurasiática</w:t>
      </w:r>
      <w:r w:rsidRPr="00F039C2">
        <w:rPr>
          <w:sz w:val="20"/>
          <w:lang w:eastAsia="es-ES"/>
        </w:rPr>
        <w:t xml:space="preserve"> en actividades </w:t>
      </w:r>
      <w:r w:rsidRPr="009F406F">
        <w:rPr>
          <w:sz w:val="20"/>
          <w:lang w:eastAsia="es-ES"/>
        </w:rPr>
        <w:t>específicas de la región.</w:t>
      </w:r>
    </w:p>
    <w:p w:rsidR="002E7DC3" w:rsidRPr="009F406F" w:rsidRDefault="002E7DC3" w:rsidP="002E7DC3">
      <w:pPr>
        <w:widowControl w:val="0"/>
        <w:autoSpaceDE w:val="0"/>
        <w:autoSpaceDN w:val="0"/>
        <w:adjustRightInd w:val="0"/>
        <w:jc w:val="both"/>
        <w:rPr>
          <w:sz w:val="20"/>
          <w:lang w:eastAsia="es-ES"/>
        </w:rPr>
      </w:pPr>
    </w:p>
    <w:p w:rsidR="00F14A90" w:rsidRPr="002E7DC3" w:rsidRDefault="00F14A90" w:rsidP="00B16400">
      <w:pPr>
        <w:widowControl w:val="0"/>
      </w:pPr>
    </w:p>
    <w:p w:rsidR="00B16400" w:rsidRPr="00C75C7E" w:rsidRDefault="00B16400" w:rsidP="00B16400">
      <w:pPr>
        <w:widowControl w:val="0"/>
        <w:rPr>
          <w:lang w:val="pl-PL"/>
        </w:rPr>
      </w:pPr>
      <w:r w:rsidRPr="00C75C7E">
        <w:rPr>
          <w:lang w:val="pl-PL"/>
        </w:rPr>
        <w:t xml:space="preserve">PRINCIPALES RIESGOS Y ESTRATEGIAS DE MITIGACIÓN  </w:t>
      </w:r>
    </w:p>
    <w:p w:rsidR="00B16400" w:rsidRPr="00C75C7E" w:rsidRDefault="00B16400" w:rsidP="00B16400">
      <w:pPr>
        <w:widowControl w:val="0"/>
        <w:rPr>
          <w:sz w:val="20"/>
          <w:lang w:val="pl-PL"/>
        </w:rPr>
      </w:pPr>
    </w:p>
    <w:tbl>
      <w:tblPr>
        <w:tblW w:w="9548" w:type="dxa"/>
        <w:tblInd w:w="108" w:type="dxa"/>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4537"/>
        <w:gridCol w:w="5011"/>
      </w:tblGrid>
      <w:tr w:rsidR="00B16400" w:rsidRPr="00C75C7E" w:rsidTr="001D4249">
        <w:trPr>
          <w:cantSplit/>
          <w:trHeight w:val="347"/>
        </w:trPr>
        <w:tc>
          <w:tcPr>
            <w:tcW w:w="4537" w:type="dxa"/>
            <w:shd w:val="clear" w:color="auto" w:fill="CCFFFF"/>
            <w:tcMar>
              <w:top w:w="113" w:type="dxa"/>
            </w:tcMar>
            <w:vAlign w:val="center"/>
          </w:tcPr>
          <w:p w:rsidR="00B16400" w:rsidRPr="00C75C7E" w:rsidRDefault="00B16400" w:rsidP="004341A3">
            <w:pPr>
              <w:widowControl w:val="0"/>
              <w:autoSpaceDE w:val="0"/>
              <w:autoSpaceDN w:val="0"/>
              <w:adjustRightInd w:val="0"/>
              <w:ind w:right="-59"/>
              <w:jc w:val="center"/>
              <w:rPr>
                <w:b/>
                <w:bCs/>
                <w:iCs/>
                <w:sz w:val="18"/>
                <w:szCs w:val="18"/>
                <w:lang w:val="es-ES_tradnl"/>
              </w:rPr>
            </w:pPr>
            <w:r w:rsidRPr="00C75C7E">
              <w:rPr>
                <w:b/>
                <w:bCs/>
                <w:iCs/>
                <w:sz w:val="18"/>
                <w:szCs w:val="18"/>
                <w:lang w:val="es-ES_tradnl"/>
              </w:rPr>
              <w:t>Riesgos en el logro de los resultados del programa</w:t>
            </w:r>
          </w:p>
        </w:tc>
        <w:tc>
          <w:tcPr>
            <w:tcW w:w="5011" w:type="dxa"/>
            <w:shd w:val="clear" w:color="auto" w:fill="CCFFFF"/>
            <w:tcMar>
              <w:top w:w="113" w:type="dxa"/>
            </w:tcMar>
            <w:vAlign w:val="center"/>
          </w:tcPr>
          <w:p w:rsidR="00B16400" w:rsidRPr="00C75C7E" w:rsidRDefault="00B16400" w:rsidP="001D4249">
            <w:pPr>
              <w:widowControl w:val="0"/>
              <w:autoSpaceDE w:val="0"/>
              <w:autoSpaceDN w:val="0"/>
              <w:adjustRightInd w:val="0"/>
              <w:ind w:right="-59"/>
              <w:rPr>
                <w:b/>
                <w:bCs/>
                <w:iCs/>
                <w:sz w:val="18"/>
                <w:szCs w:val="18"/>
                <w:lang w:val="es-ES_tradnl"/>
              </w:rPr>
            </w:pPr>
            <w:r w:rsidRPr="00C75C7E">
              <w:rPr>
                <w:b/>
                <w:bCs/>
                <w:iCs/>
                <w:sz w:val="18"/>
                <w:szCs w:val="18"/>
                <w:lang w:val="es-ES_tradnl"/>
              </w:rPr>
              <w:t xml:space="preserve">Planes de mitigación ejecutados o en ejecución </w:t>
            </w:r>
          </w:p>
        </w:tc>
      </w:tr>
      <w:tr w:rsidR="00B16400" w:rsidRPr="00C75C7E" w:rsidTr="001D4249">
        <w:trPr>
          <w:cantSplit/>
          <w:trHeight w:val="785"/>
        </w:trPr>
        <w:tc>
          <w:tcPr>
            <w:tcW w:w="4537" w:type="dxa"/>
            <w:shd w:val="clear" w:color="auto" w:fill="auto"/>
            <w:tcMar>
              <w:top w:w="113" w:type="dxa"/>
            </w:tcMar>
          </w:tcPr>
          <w:p w:rsidR="00B16400" w:rsidRPr="00C75C7E" w:rsidRDefault="00B16400" w:rsidP="001D4249">
            <w:pPr>
              <w:widowControl w:val="0"/>
              <w:autoSpaceDE w:val="0"/>
              <w:autoSpaceDN w:val="0"/>
              <w:adjustRightInd w:val="0"/>
              <w:ind w:right="-59"/>
              <w:rPr>
                <w:sz w:val="16"/>
                <w:szCs w:val="16"/>
                <w:lang w:val="es-ES_tradnl"/>
              </w:rPr>
            </w:pPr>
            <w:r w:rsidRPr="00C75C7E">
              <w:rPr>
                <w:sz w:val="16"/>
                <w:szCs w:val="16"/>
                <w:lang w:val="es-ES_tradnl"/>
              </w:rPr>
              <w:t xml:space="preserve">Los cambios económicos y políticos podrían obstaculizar o enlentecer la aplicación de estrategias </w:t>
            </w:r>
            <w:r w:rsidR="001D4249">
              <w:rPr>
                <w:sz w:val="16"/>
                <w:szCs w:val="16"/>
                <w:lang w:val="es-ES_tradnl"/>
              </w:rPr>
              <w:t>nacionales en materia de P.I.</w:t>
            </w:r>
          </w:p>
        </w:tc>
        <w:tc>
          <w:tcPr>
            <w:tcW w:w="5011" w:type="dxa"/>
            <w:shd w:val="clear" w:color="auto" w:fill="auto"/>
            <w:tcMar>
              <w:top w:w="113" w:type="dxa"/>
            </w:tcMar>
          </w:tcPr>
          <w:p w:rsidR="00B16400" w:rsidRPr="00C75C7E" w:rsidRDefault="00B16400" w:rsidP="004341A3">
            <w:pPr>
              <w:widowControl w:val="0"/>
              <w:autoSpaceDE w:val="0"/>
              <w:autoSpaceDN w:val="0"/>
              <w:adjustRightInd w:val="0"/>
              <w:ind w:right="-59"/>
              <w:rPr>
                <w:sz w:val="16"/>
                <w:szCs w:val="16"/>
                <w:lang w:val="es-ES_tradnl"/>
              </w:rPr>
            </w:pPr>
            <w:r w:rsidRPr="00C75C7E">
              <w:rPr>
                <w:sz w:val="16"/>
                <w:szCs w:val="16"/>
                <w:lang w:val="es-ES_tradnl"/>
              </w:rPr>
              <w:t xml:space="preserve">Mantenimiento de relaciones con todas las partes interesadas en los países y planificación anticipada en todos los niveles.  Los planes de cooperación ofrecerán flexibilidad. </w:t>
            </w:r>
          </w:p>
        </w:tc>
      </w:tr>
    </w:tbl>
    <w:p w:rsidR="00B16400" w:rsidRPr="00C75C7E" w:rsidRDefault="00B16400" w:rsidP="00B16400">
      <w:pPr>
        <w:widowControl w:val="0"/>
        <w:tabs>
          <w:tab w:val="left" w:pos="567"/>
          <w:tab w:val="left" w:pos="1985"/>
        </w:tabs>
        <w:jc w:val="both"/>
        <w:rPr>
          <w:bCs/>
          <w:sz w:val="20"/>
          <w:lang w:val="es-ES_tradnl"/>
        </w:rPr>
      </w:pPr>
    </w:p>
    <w:p w:rsidR="00B16400" w:rsidRPr="00C75C7E" w:rsidRDefault="00B16400" w:rsidP="00B16400">
      <w:pPr>
        <w:widowControl w:val="0"/>
        <w:tabs>
          <w:tab w:val="left" w:pos="567"/>
          <w:tab w:val="left" w:pos="1985"/>
        </w:tabs>
        <w:jc w:val="both"/>
        <w:rPr>
          <w:bCs/>
          <w:sz w:val="20"/>
          <w:lang w:val="es-ES_tradnl"/>
        </w:rPr>
      </w:pPr>
    </w:p>
    <w:p w:rsidR="00B16400" w:rsidRPr="00C75C7E" w:rsidRDefault="00B16400" w:rsidP="008541BE">
      <w:pPr>
        <w:keepNext/>
        <w:widowControl w:val="0"/>
        <w:tabs>
          <w:tab w:val="left" w:pos="567"/>
          <w:tab w:val="left" w:pos="1985"/>
        </w:tabs>
        <w:jc w:val="both"/>
        <w:rPr>
          <w:bCs/>
          <w:sz w:val="20"/>
          <w:lang w:val="es-ES_tradnl"/>
        </w:rPr>
      </w:pPr>
      <w:r w:rsidRPr="00C75C7E">
        <w:rPr>
          <w:bCs/>
          <w:szCs w:val="22"/>
          <w:lang w:val="es-ES_tradnl"/>
        </w:rPr>
        <w:t>MARCO DE RESULTADOS</w:t>
      </w:r>
    </w:p>
    <w:p w:rsidR="00B16400" w:rsidRPr="00C75C7E" w:rsidRDefault="00B16400" w:rsidP="008541BE">
      <w:pPr>
        <w:keepNext/>
        <w:widowControl w:val="0"/>
        <w:tabs>
          <w:tab w:val="left" w:pos="567"/>
          <w:tab w:val="left" w:pos="1985"/>
        </w:tabs>
        <w:jc w:val="both"/>
        <w:rPr>
          <w:bCs/>
          <w:sz w:val="20"/>
          <w:lang w:val="es-ES_tradnl"/>
        </w:rPr>
      </w:pPr>
    </w:p>
    <w:tbl>
      <w:tblPr>
        <w:tblW w:w="4914"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349"/>
        <w:gridCol w:w="2848"/>
        <w:gridCol w:w="2175"/>
        <w:gridCol w:w="2034"/>
      </w:tblGrid>
      <w:tr w:rsidR="00B16400" w:rsidRPr="00C75C7E" w:rsidTr="004341A3">
        <w:trPr>
          <w:cantSplit/>
          <w:trHeight w:val="425"/>
          <w:tblHeader/>
        </w:trPr>
        <w:tc>
          <w:tcPr>
            <w:tcW w:w="1249" w:type="pct"/>
            <w:tcBorders>
              <w:top w:val="single" w:sz="4" w:space="0" w:color="auto"/>
              <w:bottom w:val="single" w:sz="4" w:space="0" w:color="auto"/>
            </w:tcBorders>
            <w:shd w:val="clear" w:color="auto" w:fill="CCFFFF"/>
            <w:vAlign w:val="center"/>
          </w:tcPr>
          <w:p w:rsidR="00B16400" w:rsidRPr="00C75C7E" w:rsidRDefault="00B16400" w:rsidP="004341A3">
            <w:pPr>
              <w:widowControl w:val="0"/>
              <w:spacing w:after="120"/>
              <w:jc w:val="center"/>
              <w:rPr>
                <w:b/>
                <w:bCs/>
                <w:sz w:val="18"/>
                <w:szCs w:val="18"/>
                <w:lang w:val="es-ES_tradnl"/>
              </w:rPr>
            </w:pPr>
            <w:r w:rsidRPr="00C75C7E">
              <w:rPr>
                <w:b/>
                <w:bCs/>
                <w:sz w:val="18"/>
                <w:szCs w:val="18"/>
                <w:lang w:val="es-ES_tradnl"/>
              </w:rPr>
              <w:t>Resultados previstos</w:t>
            </w:r>
          </w:p>
        </w:tc>
        <w:tc>
          <w:tcPr>
            <w:tcW w:w="1514" w:type="pct"/>
            <w:tcBorders>
              <w:top w:val="single" w:sz="4" w:space="0" w:color="auto"/>
              <w:bottom w:val="single" w:sz="4" w:space="0" w:color="auto"/>
            </w:tcBorders>
            <w:shd w:val="clear" w:color="auto" w:fill="CCFFFF"/>
            <w:tcMar>
              <w:top w:w="110" w:type="dxa"/>
            </w:tcMar>
            <w:vAlign w:val="center"/>
          </w:tcPr>
          <w:p w:rsidR="00B16400" w:rsidRPr="00C75C7E" w:rsidRDefault="00B16400" w:rsidP="004341A3">
            <w:pPr>
              <w:widowControl w:val="0"/>
              <w:spacing w:after="120"/>
              <w:jc w:val="center"/>
              <w:rPr>
                <w:b/>
                <w:bCs/>
                <w:sz w:val="18"/>
                <w:szCs w:val="18"/>
                <w:lang w:val="es-ES_tradnl"/>
              </w:rPr>
            </w:pPr>
            <w:r w:rsidRPr="00C75C7E">
              <w:rPr>
                <w:b/>
                <w:bCs/>
                <w:sz w:val="18"/>
                <w:szCs w:val="18"/>
                <w:lang w:val="es-ES_tradnl"/>
              </w:rPr>
              <w:t>Indicadores de rendimiento</w:t>
            </w:r>
          </w:p>
        </w:tc>
        <w:tc>
          <w:tcPr>
            <w:tcW w:w="1156" w:type="pct"/>
            <w:tcBorders>
              <w:top w:val="single" w:sz="4" w:space="0" w:color="auto"/>
              <w:bottom w:val="single" w:sz="4" w:space="0" w:color="auto"/>
            </w:tcBorders>
            <w:shd w:val="clear" w:color="auto" w:fill="CCFFFF"/>
            <w:tcMar>
              <w:top w:w="110" w:type="dxa"/>
            </w:tcMar>
            <w:vAlign w:val="center"/>
          </w:tcPr>
          <w:p w:rsidR="00B16400" w:rsidRPr="00C75C7E" w:rsidRDefault="00B16400" w:rsidP="004341A3">
            <w:pPr>
              <w:widowControl w:val="0"/>
              <w:spacing w:after="120"/>
              <w:ind w:left="85"/>
              <w:jc w:val="center"/>
              <w:rPr>
                <w:b/>
                <w:bCs/>
                <w:sz w:val="18"/>
                <w:szCs w:val="18"/>
                <w:lang w:val="es-ES_tradnl"/>
              </w:rPr>
            </w:pPr>
            <w:r w:rsidRPr="00C75C7E">
              <w:rPr>
                <w:b/>
                <w:bCs/>
                <w:sz w:val="18"/>
                <w:szCs w:val="18"/>
                <w:lang w:val="es-ES_tradnl"/>
              </w:rPr>
              <w:t>Referencia</w:t>
            </w:r>
          </w:p>
        </w:tc>
        <w:tc>
          <w:tcPr>
            <w:tcW w:w="1081" w:type="pct"/>
            <w:tcBorders>
              <w:top w:val="single" w:sz="4" w:space="0" w:color="auto"/>
              <w:bottom w:val="single" w:sz="4" w:space="0" w:color="auto"/>
            </w:tcBorders>
            <w:shd w:val="clear" w:color="auto" w:fill="CCFFFF"/>
            <w:tcMar>
              <w:top w:w="110" w:type="dxa"/>
            </w:tcMar>
            <w:vAlign w:val="center"/>
          </w:tcPr>
          <w:p w:rsidR="00B16400" w:rsidRPr="00C75C7E" w:rsidRDefault="00B16400" w:rsidP="004341A3">
            <w:pPr>
              <w:widowControl w:val="0"/>
              <w:spacing w:after="120"/>
              <w:ind w:right="51"/>
              <w:jc w:val="center"/>
              <w:rPr>
                <w:b/>
                <w:bCs/>
                <w:sz w:val="18"/>
                <w:szCs w:val="18"/>
                <w:lang w:val="es-ES_tradnl"/>
              </w:rPr>
            </w:pPr>
            <w:r w:rsidRPr="00C75C7E">
              <w:rPr>
                <w:b/>
                <w:bCs/>
                <w:sz w:val="18"/>
                <w:szCs w:val="18"/>
                <w:lang w:val="es-ES_tradnl"/>
              </w:rPr>
              <w:t>Objetivos</w:t>
            </w:r>
          </w:p>
        </w:tc>
      </w:tr>
      <w:tr w:rsidR="00B16400" w:rsidRPr="00C75C7E" w:rsidTr="004341A3">
        <w:trPr>
          <w:cantSplit/>
          <w:trHeight w:val="596"/>
        </w:trPr>
        <w:tc>
          <w:tcPr>
            <w:tcW w:w="1249" w:type="pct"/>
            <w:tcBorders>
              <w:top w:val="single" w:sz="4" w:space="0" w:color="auto"/>
            </w:tcBorders>
            <w:shd w:val="clear" w:color="auto" w:fill="auto"/>
            <w:tcMar>
              <w:top w:w="113" w:type="dxa"/>
              <w:bottom w:w="85" w:type="dxa"/>
            </w:tcMar>
          </w:tcPr>
          <w:p w:rsidR="00B16400" w:rsidRPr="00C75C7E" w:rsidRDefault="00B16400" w:rsidP="001D4249">
            <w:pPr>
              <w:widowControl w:val="0"/>
              <w:rPr>
                <w:sz w:val="16"/>
                <w:szCs w:val="16"/>
                <w:lang w:val="es-ES_tradnl"/>
              </w:rPr>
            </w:pPr>
            <w:r w:rsidRPr="00C75C7E">
              <w:rPr>
                <w:sz w:val="16"/>
                <w:szCs w:val="16"/>
                <w:lang w:val="es-ES_tradnl"/>
              </w:rPr>
              <w:t>I.2</w:t>
            </w:r>
            <w:r w:rsidR="001D4249">
              <w:rPr>
                <w:sz w:val="16"/>
                <w:szCs w:val="16"/>
                <w:lang w:val="es-ES_tradnl"/>
              </w:rPr>
              <w:t xml:space="preserve"> </w:t>
            </w:r>
            <w:r w:rsidRPr="00C75C7E">
              <w:rPr>
                <w:sz w:val="16"/>
                <w:szCs w:val="16"/>
                <w:lang w:val="es-ES_tradnl"/>
              </w:rPr>
              <w:t xml:space="preserve"> Marcos de P.I. adaptados y equilibrados en el ámbito legislativo, reglamentario y de política.</w:t>
            </w:r>
          </w:p>
        </w:tc>
        <w:tc>
          <w:tcPr>
            <w:tcW w:w="1514" w:type="pct"/>
            <w:tcBorders>
              <w:top w:val="single" w:sz="4" w:space="0" w:color="auto"/>
            </w:tcBorders>
            <w:shd w:val="clear" w:color="auto" w:fill="auto"/>
            <w:tcMar>
              <w:top w:w="113" w:type="dxa"/>
              <w:bottom w:w="85" w:type="dxa"/>
            </w:tcMar>
          </w:tcPr>
          <w:p w:rsidR="00B16400" w:rsidRPr="00C75C7E" w:rsidRDefault="00B16400" w:rsidP="004341A3">
            <w:pPr>
              <w:widowControl w:val="0"/>
              <w:rPr>
                <w:sz w:val="16"/>
                <w:szCs w:val="16"/>
                <w:lang w:val="es-ES_tradnl"/>
              </w:rPr>
            </w:pPr>
            <w:r w:rsidRPr="00C75C7E">
              <w:rPr>
                <w:sz w:val="16"/>
                <w:szCs w:val="16"/>
                <w:lang w:val="es-ES_tradnl"/>
              </w:rPr>
              <w:t>Número de países que han actualizado su legislación o sus reglamentos.</w:t>
            </w:r>
          </w:p>
        </w:tc>
        <w:tc>
          <w:tcPr>
            <w:tcW w:w="1156" w:type="pct"/>
            <w:tcBorders>
              <w:top w:val="single" w:sz="4" w:space="0" w:color="auto"/>
            </w:tcBorders>
            <w:shd w:val="clear" w:color="auto" w:fill="FFFFFF"/>
            <w:tcMar>
              <w:top w:w="113" w:type="dxa"/>
              <w:bottom w:w="85" w:type="dxa"/>
            </w:tcMar>
          </w:tcPr>
          <w:p w:rsidR="00B16400" w:rsidRPr="00C75C7E" w:rsidRDefault="00B16400" w:rsidP="004341A3">
            <w:pPr>
              <w:widowControl w:val="0"/>
              <w:rPr>
                <w:sz w:val="16"/>
                <w:szCs w:val="16"/>
                <w:lang w:val="es-ES_tradnl" w:bidi="th-TH"/>
              </w:rPr>
            </w:pPr>
            <w:r w:rsidRPr="00C75C7E">
              <w:rPr>
                <w:sz w:val="16"/>
                <w:szCs w:val="16"/>
                <w:lang w:val="es-ES_tradnl" w:bidi="th-TH"/>
              </w:rPr>
              <w:t>18 a fines de 2013.</w:t>
            </w:r>
          </w:p>
          <w:p w:rsidR="00B16400" w:rsidRPr="00C75C7E" w:rsidRDefault="00B16400" w:rsidP="004341A3">
            <w:pPr>
              <w:widowControl w:val="0"/>
              <w:rPr>
                <w:sz w:val="16"/>
                <w:szCs w:val="16"/>
                <w:lang w:val="es-ES_tradnl" w:bidi="th-TH"/>
              </w:rPr>
            </w:pPr>
          </w:p>
          <w:p w:rsidR="00B16400" w:rsidRPr="00C75C7E" w:rsidRDefault="00B16400" w:rsidP="004341A3">
            <w:pPr>
              <w:widowControl w:val="0"/>
              <w:rPr>
                <w:sz w:val="16"/>
                <w:szCs w:val="16"/>
                <w:lang w:val="es-ES_tradnl"/>
              </w:rPr>
            </w:pPr>
          </w:p>
        </w:tc>
        <w:tc>
          <w:tcPr>
            <w:tcW w:w="1081" w:type="pct"/>
            <w:tcBorders>
              <w:top w:val="single" w:sz="4" w:space="0" w:color="auto"/>
            </w:tcBorders>
            <w:shd w:val="clear" w:color="auto" w:fill="auto"/>
            <w:tcMar>
              <w:top w:w="113" w:type="dxa"/>
              <w:bottom w:w="85" w:type="dxa"/>
            </w:tcMar>
          </w:tcPr>
          <w:p w:rsidR="00B16400" w:rsidRPr="00C75C7E" w:rsidRDefault="00B16400" w:rsidP="004341A3">
            <w:pPr>
              <w:widowControl w:val="0"/>
              <w:ind w:right="381"/>
              <w:rPr>
                <w:bCs/>
                <w:sz w:val="16"/>
                <w:szCs w:val="16"/>
                <w:lang w:val="es-ES_tradnl"/>
              </w:rPr>
            </w:pPr>
            <w:r w:rsidRPr="00C75C7E">
              <w:rPr>
                <w:bCs/>
                <w:sz w:val="16"/>
                <w:szCs w:val="16"/>
                <w:lang w:val="es-ES_tradnl"/>
              </w:rPr>
              <w:t>Otros cuatro países.</w:t>
            </w:r>
          </w:p>
        </w:tc>
      </w:tr>
      <w:tr w:rsidR="00B16400" w:rsidRPr="00C75C7E" w:rsidTr="004341A3">
        <w:trPr>
          <w:cantSplit/>
        </w:trPr>
        <w:tc>
          <w:tcPr>
            <w:tcW w:w="1249" w:type="pct"/>
            <w:shd w:val="clear" w:color="auto" w:fill="auto"/>
            <w:tcMar>
              <w:top w:w="113" w:type="dxa"/>
              <w:bottom w:w="85" w:type="dxa"/>
            </w:tcMar>
          </w:tcPr>
          <w:p w:rsidR="00B16400" w:rsidRPr="00C75C7E" w:rsidRDefault="00B16400" w:rsidP="001D4249">
            <w:pPr>
              <w:widowControl w:val="0"/>
              <w:rPr>
                <w:sz w:val="16"/>
                <w:szCs w:val="16"/>
                <w:lang w:val="es-ES_tradnl"/>
              </w:rPr>
            </w:pPr>
            <w:r w:rsidRPr="00C75C7E">
              <w:rPr>
                <w:sz w:val="16"/>
                <w:szCs w:val="16"/>
                <w:lang w:val="es-ES_tradnl"/>
              </w:rPr>
              <w:t>II.1</w:t>
            </w:r>
            <w:r w:rsidR="001D4249">
              <w:rPr>
                <w:sz w:val="16"/>
                <w:szCs w:val="16"/>
                <w:lang w:val="es-ES_tradnl"/>
              </w:rPr>
              <w:t xml:space="preserve"> </w:t>
            </w:r>
            <w:r w:rsidRPr="00C75C7E">
              <w:rPr>
                <w:sz w:val="16"/>
                <w:szCs w:val="16"/>
                <w:lang w:val="es-ES_tradnl"/>
              </w:rPr>
              <w:t xml:space="preserve"> Fomento del uso de la vía del PCT para la presentación de solicitudes </w:t>
            </w:r>
            <w:r w:rsidR="005C32FC">
              <w:rPr>
                <w:sz w:val="16"/>
                <w:szCs w:val="16"/>
                <w:lang w:val="es-ES_tradnl"/>
              </w:rPr>
              <w:t xml:space="preserve">internacionales </w:t>
            </w:r>
            <w:r w:rsidRPr="00C75C7E">
              <w:rPr>
                <w:sz w:val="16"/>
                <w:szCs w:val="16"/>
                <w:lang w:val="es-ES_tradnl"/>
              </w:rPr>
              <w:t xml:space="preserve">de patente. </w:t>
            </w:r>
          </w:p>
        </w:tc>
        <w:tc>
          <w:tcPr>
            <w:tcW w:w="1514" w:type="pct"/>
            <w:shd w:val="clear" w:color="auto" w:fill="auto"/>
            <w:tcMar>
              <w:top w:w="113" w:type="dxa"/>
              <w:bottom w:w="85" w:type="dxa"/>
            </w:tcMar>
          </w:tcPr>
          <w:p w:rsidR="00B16400" w:rsidRPr="00C75C7E" w:rsidRDefault="00B16400" w:rsidP="001D4249">
            <w:pPr>
              <w:widowControl w:val="0"/>
              <w:rPr>
                <w:sz w:val="16"/>
                <w:szCs w:val="16"/>
                <w:lang w:val="es-ES_tradnl"/>
              </w:rPr>
            </w:pPr>
            <w:r w:rsidRPr="00C75C7E">
              <w:rPr>
                <w:sz w:val="16"/>
                <w:szCs w:val="16"/>
                <w:lang w:val="es-ES_tradnl"/>
              </w:rPr>
              <w:t>Número de solicit</w:t>
            </w:r>
            <w:r w:rsidR="001D4249">
              <w:rPr>
                <w:sz w:val="16"/>
                <w:szCs w:val="16"/>
                <w:lang w:val="es-ES_tradnl"/>
              </w:rPr>
              <w:t>udes PCT</w:t>
            </w:r>
            <w:r w:rsidRPr="00C75C7E">
              <w:rPr>
                <w:sz w:val="16"/>
                <w:szCs w:val="16"/>
                <w:lang w:val="es-ES_tradnl"/>
              </w:rPr>
              <w:t xml:space="preserve"> procedentes de países con economías en transición y países desarrollados.</w:t>
            </w:r>
          </w:p>
        </w:tc>
        <w:tc>
          <w:tcPr>
            <w:tcW w:w="1156" w:type="pct"/>
            <w:shd w:val="clear" w:color="auto" w:fill="FFFFFF"/>
            <w:tcMar>
              <w:top w:w="113" w:type="dxa"/>
              <w:bottom w:w="85" w:type="dxa"/>
            </w:tcMar>
          </w:tcPr>
          <w:p w:rsidR="00B16400" w:rsidRPr="00C75C7E" w:rsidRDefault="00B16400" w:rsidP="004341A3">
            <w:pPr>
              <w:widowControl w:val="0"/>
              <w:rPr>
                <w:lang w:val="es-ES_tradnl"/>
              </w:rPr>
            </w:pPr>
            <w:r w:rsidRPr="00C75C7E">
              <w:rPr>
                <w:sz w:val="16"/>
                <w:szCs w:val="16"/>
                <w:lang w:val="es-ES_tradnl" w:bidi="th-TH"/>
              </w:rPr>
              <w:t>Por determinar.</w:t>
            </w:r>
          </w:p>
        </w:tc>
        <w:tc>
          <w:tcPr>
            <w:tcW w:w="1081" w:type="pct"/>
            <w:shd w:val="clear" w:color="auto" w:fill="auto"/>
            <w:tcMar>
              <w:top w:w="113" w:type="dxa"/>
              <w:bottom w:w="85" w:type="dxa"/>
            </w:tcMar>
          </w:tcPr>
          <w:p w:rsidR="00B16400" w:rsidRPr="00C75C7E" w:rsidRDefault="00B16400" w:rsidP="004341A3">
            <w:pPr>
              <w:widowControl w:val="0"/>
              <w:ind w:right="51"/>
              <w:rPr>
                <w:bCs/>
                <w:sz w:val="16"/>
                <w:szCs w:val="16"/>
                <w:lang w:val="es-ES_tradnl"/>
              </w:rPr>
            </w:pPr>
            <w:r w:rsidRPr="00C75C7E">
              <w:rPr>
                <w:bCs/>
                <w:sz w:val="16"/>
                <w:szCs w:val="16"/>
                <w:lang w:val="es-ES_tradnl"/>
              </w:rPr>
              <w:t>Aumento del 2%.</w:t>
            </w:r>
          </w:p>
        </w:tc>
      </w:tr>
      <w:tr w:rsidR="00B16400" w:rsidRPr="00C75C7E" w:rsidTr="004341A3">
        <w:trPr>
          <w:cantSplit/>
          <w:trHeight w:val="653"/>
        </w:trPr>
        <w:tc>
          <w:tcPr>
            <w:tcW w:w="1249" w:type="pct"/>
            <w:shd w:val="clear" w:color="auto" w:fill="auto"/>
            <w:tcMar>
              <w:top w:w="113" w:type="dxa"/>
              <w:bottom w:w="85" w:type="dxa"/>
            </w:tcMar>
          </w:tcPr>
          <w:p w:rsidR="00B16400" w:rsidRPr="00C75C7E" w:rsidRDefault="00B16400" w:rsidP="001D4249">
            <w:pPr>
              <w:widowControl w:val="0"/>
              <w:rPr>
                <w:sz w:val="16"/>
                <w:szCs w:val="16"/>
                <w:lang w:val="es-ES_tradnl"/>
              </w:rPr>
            </w:pPr>
            <w:r w:rsidRPr="00C75C7E">
              <w:rPr>
                <w:sz w:val="16"/>
                <w:szCs w:val="16"/>
                <w:lang w:val="es-ES_tradnl"/>
              </w:rPr>
              <w:t>II.4</w:t>
            </w:r>
            <w:r w:rsidR="001D4249">
              <w:rPr>
                <w:sz w:val="16"/>
                <w:szCs w:val="16"/>
                <w:lang w:val="es-ES_tradnl"/>
              </w:rPr>
              <w:t xml:space="preserve"> </w:t>
            </w:r>
            <w:r w:rsidRPr="00C75C7E">
              <w:rPr>
                <w:sz w:val="16"/>
                <w:szCs w:val="16"/>
                <w:lang w:val="es-ES_tradnl"/>
              </w:rPr>
              <w:t xml:space="preserve"> Ampliación y mejora del uso del sistema de La Haya por los países en desarrollo y los PMA, entre otros.</w:t>
            </w:r>
          </w:p>
        </w:tc>
        <w:tc>
          <w:tcPr>
            <w:tcW w:w="1514" w:type="pct"/>
            <w:shd w:val="clear" w:color="auto" w:fill="auto"/>
            <w:tcMar>
              <w:top w:w="113" w:type="dxa"/>
              <w:bottom w:w="85" w:type="dxa"/>
            </w:tcMar>
          </w:tcPr>
          <w:p w:rsidR="00B16400" w:rsidRPr="00C75C7E" w:rsidRDefault="00B16400" w:rsidP="004341A3">
            <w:pPr>
              <w:widowControl w:val="0"/>
              <w:rPr>
                <w:sz w:val="16"/>
                <w:szCs w:val="16"/>
                <w:lang w:val="es-ES_tradnl"/>
              </w:rPr>
            </w:pPr>
            <w:r w:rsidRPr="00C75C7E">
              <w:rPr>
                <w:sz w:val="16"/>
                <w:szCs w:val="16"/>
                <w:lang w:val="es-ES_tradnl"/>
              </w:rPr>
              <w:t>Número de solicitantes del sistema de La Haya procedentes de países con economías en transición y países desarrollados.</w:t>
            </w:r>
          </w:p>
        </w:tc>
        <w:tc>
          <w:tcPr>
            <w:tcW w:w="1156" w:type="pct"/>
            <w:shd w:val="clear" w:color="auto" w:fill="FFFFFF"/>
            <w:tcMar>
              <w:top w:w="113" w:type="dxa"/>
              <w:bottom w:w="85" w:type="dxa"/>
            </w:tcMar>
          </w:tcPr>
          <w:p w:rsidR="00B16400" w:rsidRPr="00C75C7E" w:rsidRDefault="00B16400" w:rsidP="004341A3">
            <w:pPr>
              <w:widowControl w:val="0"/>
              <w:rPr>
                <w:lang w:val="es-ES_tradnl"/>
              </w:rPr>
            </w:pPr>
            <w:r w:rsidRPr="00C75C7E">
              <w:rPr>
                <w:sz w:val="16"/>
                <w:szCs w:val="16"/>
                <w:lang w:val="es-ES_tradnl" w:bidi="th-TH"/>
              </w:rPr>
              <w:t>Por determinar.</w:t>
            </w:r>
          </w:p>
        </w:tc>
        <w:tc>
          <w:tcPr>
            <w:tcW w:w="1081" w:type="pct"/>
            <w:shd w:val="clear" w:color="auto" w:fill="auto"/>
            <w:tcMar>
              <w:top w:w="113" w:type="dxa"/>
              <w:bottom w:w="85" w:type="dxa"/>
            </w:tcMar>
          </w:tcPr>
          <w:p w:rsidR="00B16400" w:rsidRPr="00C75C7E" w:rsidRDefault="00B16400" w:rsidP="004341A3">
            <w:pPr>
              <w:widowControl w:val="0"/>
              <w:ind w:right="161"/>
              <w:rPr>
                <w:bCs/>
                <w:sz w:val="16"/>
                <w:szCs w:val="16"/>
                <w:lang w:val="es-ES_tradnl"/>
              </w:rPr>
            </w:pPr>
            <w:r w:rsidRPr="00C75C7E">
              <w:rPr>
                <w:bCs/>
                <w:sz w:val="16"/>
                <w:szCs w:val="16"/>
                <w:lang w:val="es-ES_tradnl"/>
              </w:rPr>
              <w:t>Aumento del 2%.</w:t>
            </w:r>
          </w:p>
        </w:tc>
      </w:tr>
      <w:tr w:rsidR="00B16400" w:rsidRPr="00C75C7E" w:rsidTr="004341A3">
        <w:trPr>
          <w:cantSplit/>
          <w:trHeight w:val="983"/>
        </w:trPr>
        <w:tc>
          <w:tcPr>
            <w:tcW w:w="1249" w:type="pct"/>
            <w:shd w:val="clear" w:color="auto" w:fill="auto"/>
            <w:tcMar>
              <w:top w:w="113" w:type="dxa"/>
              <w:bottom w:w="85" w:type="dxa"/>
            </w:tcMar>
          </w:tcPr>
          <w:p w:rsidR="00B16400" w:rsidRPr="00C75C7E" w:rsidRDefault="00B16400" w:rsidP="001D4249">
            <w:pPr>
              <w:widowControl w:val="0"/>
              <w:rPr>
                <w:sz w:val="16"/>
                <w:szCs w:val="16"/>
                <w:lang w:val="es-ES_tradnl"/>
              </w:rPr>
            </w:pPr>
            <w:r w:rsidRPr="00C75C7E">
              <w:rPr>
                <w:sz w:val="16"/>
                <w:szCs w:val="16"/>
                <w:lang w:val="es-ES_tradnl"/>
              </w:rPr>
              <w:t>II.6</w:t>
            </w:r>
            <w:r w:rsidR="001D4249">
              <w:rPr>
                <w:sz w:val="16"/>
                <w:szCs w:val="16"/>
                <w:lang w:val="es-ES_tradnl"/>
              </w:rPr>
              <w:t xml:space="preserve"> </w:t>
            </w:r>
            <w:r w:rsidRPr="00C75C7E">
              <w:rPr>
                <w:sz w:val="16"/>
                <w:szCs w:val="16"/>
                <w:lang w:val="es-ES_tradnl"/>
              </w:rPr>
              <w:t xml:space="preserve"> Ampliación y mejora del uso de los sistemas de Madrid y de Lisboa por los países en desarrollo y los PMA, entre otros.</w:t>
            </w:r>
          </w:p>
        </w:tc>
        <w:tc>
          <w:tcPr>
            <w:tcW w:w="1514" w:type="pct"/>
            <w:shd w:val="clear" w:color="auto" w:fill="auto"/>
            <w:tcMar>
              <w:top w:w="113" w:type="dxa"/>
              <w:bottom w:w="85" w:type="dxa"/>
            </w:tcMar>
          </w:tcPr>
          <w:p w:rsidR="00B16400" w:rsidRPr="00C75C7E" w:rsidRDefault="00B16400" w:rsidP="004341A3">
            <w:pPr>
              <w:widowControl w:val="0"/>
              <w:rPr>
                <w:sz w:val="16"/>
                <w:szCs w:val="16"/>
                <w:lang w:val="es-ES_tradnl"/>
              </w:rPr>
            </w:pPr>
            <w:r w:rsidRPr="00C75C7E">
              <w:rPr>
                <w:sz w:val="16"/>
                <w:szCs w:val="16"/>
                <w:lang w:val="es-ES_tradnl"/>
              </w:rPr>
              <w:t>Número de solicitantes de los sistemas de Madrid y de Lisboa procedentes de países con economías en transición y países desarrollados.</w:t>
            </w:r>
          </w:p>
        </w:tc>
        <w:tc>
          <w:tcPr>
            <w:tcW w:w="1156" w:type="pct"/>
            <w:shd w:val="clear" w:color="auto" w:fill="FFFFFF"/>
            <w:tcMar>
              <w:top w:w="113" w:type="dxa"/>
              <w:bottom w:w="85" w:type="dxa"/>
            </w:tcMar>
          </w:tcPr>
          <w:p w:rsidR="00B16400" w:rsidRPr="00C75C7E" w:rsidRDefault="00B16400" w:rsidP="004341A3">
            <w:pPr>
              <w:widowControl w:val="0"/>
              <w:rPr>
                <w:lang w:val="es-ES_tradnl"/>
              </w:rPr>
            </w:pPr>
            <w:r w:rsidRPr="00C75C7E">
              <w:rPr>
                <w:sz w:val="16"/>
                <w:szCs w:val="16"/>
                <w:lang w:val="es-ES_tradnl" w:bidi="th-TH"/>
              </w:rPr>
              <w:t>Por determinar.</w:t>
            </w:r>
          </w:p>
        </w:tc>
        <w:tc>
          <w:tcPr>
            <w:tcW w:w="1081" w:type="pct"/>
            <w:shd w:val="clear" w:color="auto" w:fill="auto"/>
            <w:tcMar>
              <w:top w:w="113" w:type="dxa"/>
              <w:bottom w:w="85" w:type="dxa"/>
            </w:tcMar>
          </w:tcPr>
          <w:p w:rsidR="00B16400" w:rsidRPr="00C75C7E" w:rsidRDefault="00B16400" w:rsidP="004341A3">
            <w:pPr>
              <w:widowControl w:val="0"/>
              <w:ind w:right="161"/>
              <w:rPr>
                <w:bCs/>
                <w:sz w:val="16"/>
                <w:szCs w:val="16"/>
                <w:lang w:val="es-ES_tradnl"/>
              </w:rPr>
            </w:pPr>
            <w:r w:rsidRPr="00C75C7E">
              <w:rPr>
                <w:bCs/>
                <w:sz w:val="16"/>
                <w:szCs w:val="16"/>
                <w:lang w:val="es-ES_tradnl"/>
              </w:rPr>
              <w:t>Aumento del 2%.</w:t>
            </w:r>
          </w:p>
        </w:tc>
      </w:tr>
      <w:tr w:rsidR="00B16400" w:rsidRPr="00C75C7E" w:rsidTr="004341A3">
        <w:trPr>
          <w:cantSplit/>
          <w:trHeight w:val="1417"/>
        </w:trPr>
        <w:tc>
          <w:tcPr>
            <w:tcW w:w="1249" w:type="pct"/>
            <w:shd w:val="clear" w:color="auto" w:fill="auto"/>
            <w:tcMar>
              <w:top w:w="113" w:type="dxa"/>
              <w:bottom w:w="85" w:type="dxa"/>
            </w:tcMar>
          </w:tcPr>
          <w:p w:rsidR="00B16400" w:rsidRPr="00C75C7E" w:rsidRDefault="00B16400" w:rsidP="001D4249">
            <w:pPr>
              <w:widowControl w:val="0"/>
              <w:rPr>
                <w:sz w:val="16"/>
                <w:szCs w:val="16"/>
                <w:lang w:val="es-ES_tradnl"/>
              </w:rPr>
            </w:pPr>
            <w:r w:rsidRPr="00C75C7E">
              <w:rPr>
                <w:sz w:val="16"/>
                <w:szCs w:val="16"/>
                <w:lang w:val="es-ES_tradnl"/>
              </w:rPr>
              <w:t>II.8</w:t>
            </w:r>
            <w:r w:rsidR="001D4249">
              <w:rPr>
                <w:sz w:val="16"/>
                <w:szCs w:val="16"/>
                <w:lang w:val="es-ES_tradnl"/>
              </w:rPr>
              <w:t xml:space="preserve"> </w:t>
            </w:r>
            <w:r w:rsidRPr="00C75C7E">
              <w:rPr>
                <w:sz w:val="16"/>
                <w:szCs w:val="16"/>
                <w:lang w:val="es-ES_tradnl"/>
              </w:rPr>
              <w:t xml:space="preserve"> Las controversias nacionales e internacionales en materia de P.I. se evitan o resuelven cada vez con más frecuencia mediante procedimientos de mediación, arbitraje y demás métodos de solución extrajudicial de controversias.</w:t>
            </w:r>
          </w:p>
        </w:tc>
        <w:tc>
          <w:tcPr>
            <w:tcW w:w="1514" w:type="pct"/>
            <w:shd w:val="clear" w:color="auto" w:fill="auto"/>
            <w:tcMar>
              <w:top w:w="113" w:type="dxa"/>
              <w:bottom w:w="85" w:type="dxa"/>
            </w:tcMar>
          </w:tcPr>
          <w:p w:rsidR="00B16400" w:rsidRPr="00C75C7E" w:rsidRDefault="00B16400" w:rsidP="004341A3">
            <w:pPr>
              <w:widowControl w:val="0"/>
              <w:rPr>
                <w:sz w:val="16"/>
                <w:szCs w:val="16"/>
                <w:lang w:val="es-ES_tradnl"/>
              </w:rPr>
            </w:pPr>
            <w:r w:rsidRPr="00C75C7E">
              <w:rPr>
                <w:sz w:val="16"/>
                <w:szCs w:val="16"/>
                <w:lang w:val="es-ES_tradnl"/>
              </w:rPr>
              <w:t>Número de usuarios de países con economías en transición y países desarrollados que utilizan los servicios del Centro de Arbitraje y Mediación.</w:t>
            </w:r>
          </w:p>
        </w:tc>
        <w:tc>
          <w:tcPr>
            <w:tcW w:w="1156" w:type="pct"/>
            <w:shd w:val="clear" w:color="auto" w:fill="FFFFFF"/>
            <w:tcMar>
              <w:top w:w="113" w:type="dxa"/>
              <w:bottom w:w="85" w:type="dxa"/>
            </w:tcMar>
          </w:tcPr>
          <w:p w:rsidR="00B16400" w:rsidRPr="00C75C7E" w:rsidRDefault="00B16400" w:rsidP="004341A3">
            <w:pPr>
              <w:widowControl w:val="0"/>
              <w:rPr>
                <w:lang w:val="es-ES_tradnl"/>
              </w:rPr>
            </w:pPr>
            <w:r w:rsidRPr="00C75C7E">
              <w:rPr>
                <w:sz w:val="16"/>
                <w:szCs w:val="16"/>
                <w:lang w:val="es-ES_tradnl" w:bidi="th-TH"/>
              </w:rPr>
              <w:t>Por determinar.</w:t>
            </w:r>
          </w:p>
        </w:tc>
        <w:tc>
          <w:tcPr>
            <w:tcW w:w="1081" w:type="pct"/>
            <w:shd w:val="clear" w:color="auto" w:fill="auto"/>
            <w:tcMar>
              <w:top w:w="113" w:type="dxa"/>
              <w:bottom w:w="85" w:type="dxa"/>
            </w:tcMar>
          </w:tcPr>
          <w:p w:rsidR="00B16400" w:rsidRPr="00C75C7E" w:rsidRDefault="00B16400" w:rsidP="004341A3">
            <w:pPr>
              <w:widowControl w:val="0"/>
              <w:ind w:right="161"/>
              <w:rPr>
                <w:bCs/>
                <w:sz w:val="16"/>
                <w:szCs w:val="16"/>
                <w:lang w:val="es-ES_tradnl"/>
              </w:rPr>
            </w:pPr>
            <w:r w:rsidRPr="00C75C7E">
              <w:rPr>
                <w:bCs/>
                <w:sz w:val="16"/>
                <w:szCs w:val="16"/>
                <w:lang w:val="es-ES_tradnl"/>
              </w:rPr>
              <w:t>Aumento del 2%.</w:t>
            </w:r>
          </w:p>
        </w:tc>
      </w:tr>
      <w:tr w:rsidR="00B16400" w:rsidRPr="00C75C7E" w:rsidTr="004341A3">
        <w:trPr>
          <w:cantSplit/>
          <w:trHeight w:val="638"/>
        </w:trPr>
        <w:tc>
          <w:tcPr>
            <w:tcW w:w="1249" w:type="pct"/>
            <w:shd w:val="clear" w:color="auto" w:fill="auto"/>
            <w:tcMar>
              <w:top w:w="113" w:type="dxa"/>
              <w:bottom w:w="85" w:type="dxa"/>
            </w:tcMar>
          </w:tcPr>
          <w:p w:rsidR="00B16400" w:rsidRPr="00C75C7E" w:rsidRDefault="00B16400" w:rsidP="001D4249">
            <w:pPr>
              <w:widowControl w:val="0"/>
              <w:rPr>
                <w:sz w:val="16"/>
                <w:szCs w:val="16"/>
                <w:lang w:val="es-ES_tradnl"/>
              </w:rPr>
            </w:pPr>
            <w:r w:rsidRPr="00C75C7E">
              <w:rPr>
                <w:sz w:val="16"/>
                <w:szCs w:val="16"/>
                <w:lang w:val="es-ES_tradnl"/>
              </w:rPr>
              <w:t>III.1</w:t>
            </w:r>
            <w:r w:rsidR="001D4249">
              <w:rPr>
                <w:sz w:val="16"/>
                <w:szCs w:val="16"/>
                <w:lang w:val="es-ES_tradnl"/>
              </w:rPr>
              <w:t xml:space="preserve"> </w:t>
            </w:r>
            <w:r w:rsidRPr="00C75C7E">
              <w:rPr>
                <w:sz w:val="16"/>
                <w:szCs w:val="16"/>
                <w:lang w:val="es-ES_tradnl"/>
              </w:rPr>
              <w:t xml:space="preserve"> Estrategias y planes nacionales de innovación y de P.I. que estén en sintonía con los objetivos nacionales de desarrollo.</w:t>
            </w:r>
          </w:p>
        </w:tc>
        <w:tc>
          <w:tcPr>
            <w:tcW w:w="1514" w:type="pct"/>
            <w:shd w:val="clear" w:color="auto" w:fill="auto"/>
            <w:tcMar>
              <w:top w:w="113" w:type="dxa"/>
              <w:bottom w:w="85" w:type="dxa"/>
            </w:tcMar>
          </w:tcPr>
          <w:p w:rsidR="00B16400" w:rsidRPr="00C75C7E" w:rsidRDefault="00B16400" w:rsidP="004341A3">
            <w:pPr>
              <w:widowControl w:val="0"/>
              <w:rPr>
                <w:sz w:val="16"/>
                <w:szCs w:val="16"/>
                <w:lang w:val="es-ES_tradnl"/>
              </w:rPr>
            </w:pPr>
            <w:r w:rsidRPr="00C75C7E">
              <w:rPr>
                <w:sz w:val="16"/>
                <w:szCs w:val="16"/>
                <w:lang w:val="es-ES_tradnl"/>
              </w:rPr>
              <w:t>Número de universidades que han elaborado políticas de P.I.</w:t>
            </w:r>
          </w:p>
        </w:tc>
        <w:tc>
          <w:tcPr>
            <w:tcW w:w="1156" w:type="pct"/>
            <w:shd w:val="clear" w:color="auto" w:fill="FFFFFF"/>
            <w:tcMar>
              <w:top w:w="113" w:type="dxa"/>
              <w:bottom w:w="85" w:type="dxa"/>
            </w:tcMar>
          </w:tcPr>
          <w:p w:rsidR="00B16400" w:rsidRPr="00C75C7E" w:rsidRDefault="00B16400" w:rsidP="004341A3">
            <w:pPr>
              <w:widowControl w:val="0"/>
              <w:rPr>
                <w:lang w:val="es-ES_tradnl"/>
              </w:rPr>
            </w:pPr>
            <w:r w:rsidRPr="00C75C7E">
              <w:rPr>
                <w:sz w:val="16"/>
                <w:szCs w:val="16"/>
                <w:lang w:val="es-ES_tradnl" w:bidi="th-TH"/>
              </w:rPr>
              <w:t>Por determinar.</w:t>
            </w:r>
          </w:p>
        </w:tc>
        <w:tc>
          <w:tcPr>
            <w:tcW w:w="1081" w:type="pct"/>
            <w:shd w:val="clear" w:color="auto" w:fill="auto"/>
            <w:tcMar>
              <w:top w:w="113" w:type="dxa"/>
              <w:bottom w:w="85" w:type="dxa"/>
            </w:tcMar>
          </w:tcPr>
          <w:p w:rsidR="00B16400" w:rsidRPr="00C75C7E" w:rsidRDefault="00B16400" w:rsidP="004341A3">
            <w:pPr>
              <w:widowControl w:val="0"/>
              <w:ind w:right="161"/>
              <w:rPr>
                <w:bCs/>
                <w:sz w:val="16"/>
                <w:szCs w:val="16"/>
                <w:lang w:val="es-ES_tradnl"/>
              </w:rPr>
            </w:pPr>
            <w:r w:rsidRPr="00C75C7E">
              <w:rPr>
                <w:bCs/>
                <w:sz w:val="16"/>
                <w:szCs w:val="16"/>
                <w:lang w:val="es-ES_tradnl"/>
              </w:rPr>
              <w:t>Otras 30 universidades.</w:t>
            </w:r>
          </w:p>
        </w:tc>
      </w:tr>
      <w:tr w:rsidR="00B16400" w:rsidRPr="00C75C7E" w:rsidTr="004341A3">
        <w:trPr>
          <w:cantSplit/>
          <w:trHeight w:val="517"/>
        </w:trPr>
        <w:tc>
          <w:tcPr>
            <w:tcW w:w="1249" w:type="pct"/>
            <w:shd w:val="clear" w:color="auto" w:fill="auto"/>
            <w:tcMar>
              <w:top w:w="113" w:type="dxa"/>
              <w:bottom w:w="85" w:type="dxa"/>
            </w:tcMar>
          </w:tcPr>
          <w:p w:rsidR="00B16400" w:rsidRPr="00C75C7E" w:rsidRDefault="00B16400" w:rsidP="004341A3">
            <w:pPr>
              <w:widowControl w:val="0"/>
              <w:rPr>
                <w:sz w:val="16"/>
                <w:szCs w:val="16"/>
                <w:lang w:val="es-ES_tradnl"/>
              </w:rPr>
            </w:pPr>
          </w:p>
        </w:tc>
        <w:tc>
          <w:tcPr>
            <w:tcW w:w="1514" w:type="pct"/>
            <w:shd w:val="clear" w:color="auto" w:fill="auto"/>
            <w:tcMar>
              <w:top w:w="113" w:type="dxa"/>
              <w:bottom w:w="85" w:type="dxa"/>
            </w:tcMar>
          </w:tcPr>
          <w:p w:rsidR="00B16400" w:rsidRPr="00C75C7E" w:rsidRDefault="00B16400" w:rsidP="004341A3">
            <w:pPr>
              <w:widowControl w:val="0"/>
              <w:rPr>
                <w:sz w:val="16"/>
                <w:szCs w:val="16"/>
                <w:lang w:val="es-ES_tradnl"/>
              </w:rPr>
            </w:pPr>
            <w:r w:rsidRPr="00C75C7E">
              <w:rPr>
                <w:sz w:val="16"/>
                <w:szCs w:val="16"/>
                <w:lang w:val="es-ES_tradnl"/>
              </w:rPr>
              <w:t>Número de países que han elaborado estrategias/planes nacionales de P.I.</w:t>
            </w:r>
          </w:p>
        </w:tc>
        <w:tc>
          <w:tcPr>
            <w:tcW w:w="1156" w:type="pct"/>
            <w:shd w:val="clear" w:color="auto" w:fill="FFFFFF"/>
            <w:tcMar>
              <w:top w:w="113" w:type="dxa"/>
              <w:bottom w:w="85" w:type="dxa"/>
            </w:tcMar>
          </w:tcPr>
          <w:p w:rsidR="00B16400" w:rsidRPr="00872D10" w:rsidRDefault="00B16400" w:rsidP="004341A3">
            <w:pPr>
              <w:widowControl w:val="0"/>
              <w:rPr>
                <w:sz w:val="16"/>
                <w:szCs w:val="16"/>
                <w:lang w:val="es-ES_tradnl" w:bidi="th-TH"/>
              </w:rPr>
            </w:pPr>
            <w:r w:rsidRPr="00872D10">
              <w:rPr>
                <w:sz w:val="16"/>
                <w:szCs w:val="16"/>
                <w:lang w:val="es-ES_tradnl" w:bidi="th-TH"/>
              </w:rPr>
              <w:t>14 (en total al final de 2013).</w:t>
            </w:r>
          </w:p>
          <w:p w:rsidR="00B16400" w:rsidRPr="00872D10" w:rsidRDefault="00B16400" w:rsidP="004341A3">
            <w:pPr>
              <w:widowControl w:val="0"/>
              <w:rPr>
                <w:sz w:val="16"/>
                <w:szCs w:val="16"/>
                <w:lang w:val="es-ES_tradnl" w:bidi="th-TH"/>
              </w:rPr>
            </w:pPr>
          </w:p>
        </w:tc>
        <w:tc>
          <w:tcPr>
            <w:tcW w:w="1081" w:type="pct"/>
            <w:shd w:val="clear" w:color="auto" w:fill="auto"/>
            <w:tcMar>
              <w:top w:w="113" w:type="dxa"/>
              <w:bottom w:w="85" w:type="dxa"/>
            </w:tcMar>
          </w:tcPr>
          <w:p w:rsidR="00B16400" w:rsidRPr="00C75C7E" w:rsidRDefault="00B16400" w:rsidP="004341A3">
            <w:pPr>
              <w:widowControl w:val="0"/>
              <w:ind w:right="161"/>
              <w:rPr>
                <w:bCs/>
                <w:sz w:val="16"/>
                <w:szCs w:val="16"/>
                <w:lang w:val="es-ES_tradnl"/>
              </w:rPr>
            </w:pPr>
            <w:r w:rsidRPr="00C75C7E">
              <w:rPr>
                <w:bCs/>
                <w:sz w:val="16"/>
                <w:szCs w:val="16"/>
                <w:lang w:val="es-ES_tradnl"/>
              </w:rPr>
              <w:t>Otros seis países.</w:t>
            </w:r>
          </w:p>
        </w:tc>
      </w:tr>
      <w:tr w:rsidR="00B16400" w:rsidRPr="00C75C7E" w:rsidTr="004341A3">
        <w:trPr>
          <w:cantSplit/>
          <w:trHeight w:val="1689"/>
        </w:trPr>
        <w:tc>
          <w:tcPr>
            <w:tcW w:w="1249" w:type="pct"/>
            <w:shd w:val="clear" w:color="auto" w:fill="auto"/>
            <w:tcMar>
              <w:top w:w="113" w:type="dxa"/>
              <w:bottom w:w="85" w:type="dxa"/>
            </w:tcMar>
          </w:tcPr>
          <w:p w:rsidR="00B16400" w:rsidRPr="00C75C7E" w:rsidRDefault="00B16400" w:rsidP="004341A3">
            <w:pPr>
              <w:widowControl w:val="0"/>
              <w:rPr>
                <w:sz w:val="16"/>
                <w:szCs w:val="16"/>
                <w:lang w:val="es-ES_tradnl"/>
              </w:rPr>
            </w:pPr>
            <w:r w:rsidRPr="00C75C7E">
              <w:rPr>
                <w:sz w:val="16"/>
                <w:szCs w:val="16"/>
                <w:lang w:val="es-ES_tradnl"/>
              </w:rPr>
              <w:t xml:space="preserve">III.2 </w:t>
            </w:r>
            <w:r w:rsidR="001D4249">
              <w:rPr>
                <w:sz w:val="16"/>
                <w:szCs w:val="16"/>
                <w:lang w:val="es-ES_tradnl"/>
              </w:rPr>
              <w:t xml:space="preserve"> </w:t>
            </w:r>
            <w:r w:rsidRPr="00C75C7E">
              <w:rPr>
                <w:sz w:val="16"/>
                <w:szCs w:val="16"/>
                <w:lang w:val="es-ES_tradnl"/>
              </w:rPr>
              <w:t>Mejora de las capacidades en el ámbito de los recursos humanos para hacer frente al amplio espectro de exigencias que supone la utilización eficaz de la P.I. en aras del desarrollo en los países en desarrollo, PMA y países con economías en transición.</w:t>
            </w:r>
          </w:p>
        </w:tc>
        <w:tc>
          <w:tcPr>
            <w:tcW w:w="1514" w:type="pct"/>
            <w:shd w:val="clear" w:color="auto" w:fill="auto"/>
            <w:tcMar>
              <w:top w:w="113" w:type="dxa"/>
              <w:bottom w:w="85" w:type="dxa"/>
            </w:tcMar>
          </w:tcPr>
          <w:p w:rsidR="00B16400" w:rsidRPr="00C75C7E" w:rsidRDefault="00B16400" w:rsidP="001D4249">
            <w:pPr>
              <w:widowControl w:val="0"/>
              <w:rPr>
                <w:sz w:val="16"/>
                <w:szCs w:val="16"/>
                <w:lang w:val="es-ES_tradnl"/>
              </w:rPr>
            </w:pPr>
            <w:r w:rsidRPr="00C75C7E">
              <w:rPr>
                <w:sz w:val="16"/>
                <w:szCs w:val="16"/>
                <w:lang w:val="es-ES_tradnl"/>
              </w:rPr>
              <w:t>Número de países con economías en transición que han establecido programas o cursos anuales de formación en P.I. para los profesionales de la P.I.</w:t>
            </w:r>
          </w:p>
        </w:tc>
        <w:tc>
          <w:tcPr>
            <w:tcW w:w="1156" w:type="pct"/>
            <w:shd w:val="clear" w:color="auto" w:fill="FFFFFF"/>
            <w:tcMar>
              <w:top w:w="113" w:type="dxa"/>
              <w:bottom w:w="85" w:type="dxa"/>
            </w:tcMar>
          </w:tcPr>
          <w:p w:rsidR="00B16400" w:rsidRPr="00872D10" w:rsidRDefault="00B16400" w:rsidP="004341A3">
            <w:pPr>
              <w:widowControl w:val="0"/>
              <w:rPr>
                <w:sz w:val="16"/>
                <w:szCs w:val="16"/>
                <w:lang w:val="es-ES_tradnl" w:bidi="th-TH"/>
              </w:rPr>
            </w:pPr>
            <w:r w:rsidRPr="00872D10">
              <w:rPr>
                <w:sz w:val="16"/>
                <w:szCs w:val="16"/>
                <w:lang w:val="es-ES_tradnl" w:bidi="th-TH"/>
              </w:rPr>
              <w:t>Por determinar.</w:t>
            </w:r>
          </w:p>
        </w:tc>
        <w:tc>
          <w:tcPr>
            <w:tcW w:w="1081" w:type="pct"/>
            <w:shd w:val="clear" w:color="auto" w:fill="auto"/>
            <w:tcMar>
              <w:top w:w="113" w:type="dxa"/>
              <w:bottom w:w="85" w:type="dxa"/>
            </w:tcMar>
          </w:tcPr>
          <w:p w:rsidR="00B16400" w:rsidRPr="00C75C7E" w:rsidRDefault="00B16400" w:rsidP="004341A3">
            <w:pPr>
              <w:widowControl w:val="0"/>
              <w:ind w:right="161"/>
              <w:rPr>
                <w:bCs/>
                <w:sz w:val="16"/>
                <w:szCs w:val="16"/>
                <w:lang w:val="es-ES_tradnl"/>
              </w:rPr>
            </w:pPr>
            <w:r w:rsidRPr="00C75C7E">
              <w:rPr>
                <w:bCs/>
                <w:sz w:val="16"/>
                <w:szCs w:val="16"/>
                <w:lang w:val="es-ES_tradnl"/>
              </w:rPr>
              <w:t>10</w:t>
            </w:r>
          </w:p>
        </w:tc>
      </w:tr>
      <w:tr w:rsidR="00B16400" w:rsidRPr="00C75C7E" w:rsidTr="004341A3">
        <w:trPr>
          <w:cantSplit/>
          <w:trHeight w:val="489"/>
        </w:trPr>
        <w:tc>
          <w:tcPr>
            <w:tcW w:w="1249" w:type="pct"/>
            <w:shd w:val="clear" w:color="auto" w:fill="auto"/>
            <w:tcMar>
              <w:top w:w="113" w:type="dxa"/>
              <w:bottom w:w="85" w:type="dxa"/>
            </w:tcMar>
          </w:tcPr>
          <w:p w:rsidR="00B16400" w:rsidRPr="00C75C7E" w:rsidRDefault="00B16400" w:rsidP="004341A3">
            <w:pPr>
              <w:widowControl w:val="0"/>
              <w:rPr>
                <w:sz w:val="16"/>
                <w:szCs w:val="16"/>
                <w:lang w:val="es-ES_tradnl"/>
              </w:rPr>
            </w:pPr>
          </w:p>
        </w:tc>
        <w:tc>
          <w:tcPr>
            <w:tcW w:w="1514" w:type="pct"/>
            <w:shd w:val="clear" w:color="auto" w:fill="auto"/>
            <w:tcMar>
              <w:top w:w="113" w:type="dxa"/>
              <w:bottom w:w="85" w:type="dxa"/>
            </w:tcMar>
          </w:tcPr>
          <w:p w:rsidR="00B16400" w:rsidRPr="00C75C7E" w:rsidRDefault="00B16400" w:rsidP="004341A3">
            <w:pPr>
              <w:widowControl w:val="0"/>
              <w:rPr>
                <w:sz w:val="16"/>
                <w:szCs w:val="16"/>
                <w:lang w:val="es-ES_tradnl"/>
              </w:rPr>
            </w:pPr>
            <w:r w:rsidRPr="00C75C7E">
              <w:rPr>
                <w:sz w:val="16"/>
                <w:szCs w:val="16"/>
                <w:lang w:val="es-ES_tradnl"/>
              </w:rPr>
              <w:t>Porcentaje de profesionales de P.I. y funcionarios de oficinas de P.I. que han recibido formación y utilizan en su trabajo las nuevas aptitudes adquiridas.</w:t>
            </w:r>
          </w:p>
        </w:tc>
        <w:tc>
          <w:tcPr>
            <w:tcW w:w="1156" w:type="pct"/>
            <w:shd w:val="clear" w:color="auto" w:fill="FFFFFF"/>
            <w:tcMar>
              <w:top w:w="113" w:type="dxa"/>
              <w:bottom w:w="85" w:type="dxa"/>
            </w:tcMar>
          </w:tcPr>
          <w:p w:rsidR="00B16400" w:rsidRPr="00C75C7E" w:rsidRDefault="00B16400" w:rsidP="004341A3">
            <w:pPr>
              <w:widowControl w:val="0"/>
              <w:rPr>
                <w:sz w:val="16"/>
                <w:szCs w:val="16"/>
                <w:lang w:val="es-ES_tradnl" w:bidi="th-TH"/>
              </w:rPr>
            </w:pPr>
            <w:r w:rsidRPr="00C75C7E">
              <w:rPr>
                <w:sz w:val="16"/>
                <w:szCs w:val="16"/>
                <w:lang w:val="es-ES_tradnl" w:bidi="th-TH"/>
              </w:rPr>
              <w:t>40%</w:t>
            </w:r>
          </w:p>
          <w:p w:rsidR="00B16400" w:rsidRPr="00C75C7E" w:rsidRDefault="00B16400" w:rsidP="004341A3">
            <w:pPr>
              <w:widowControl w:val="0"/>
              <w:rPr>
                <w:sz w:val="16"/>
                <w:szCs w:val="16"/>
                <w:lang w:val="es-ES_tradnl" w:bidi="th-TH"/>
              </w:rPr>
            </w:pPr>
          </w:p>
        </w:tc>
        <w:tc>
          <w:tcPr>
            <w:tcW w:w="1081" w:type="pct"/>
            <w:shd w:val="clear" w:color="auto" w:fill="auto"/>
            <w:tcMar>
              <w:top w:w="113" w:type="dxa"/>
              <w:bottom w:w="85" w:type="dxa"/>
            </w:tcMar>
          </w:tcPr>
          <w:p w:rsidR="00B16400" w:rsidRPr="00C75C7E" w:rsidRDefault="00B16400" w:rsidP="004341A3">
            <w:pPr>
              <w:widowControl w:val="0"/>
              <w:ind w:right="161"/>
              <w:rPr>
                <w:bCs/>
                <w:sz w:val="16"/>
                <w:szCs w:val="16"/>
                <w:lang w:val="es-ES_tradnl"/>
              </w:rPr>
            </w:pPr>
            <w:r w:rsidRPr="00C75C7E">
              <w:rPr>
                <w:bCs/>
                <w:sz w:val="16"/>
                <w:szCs w:val="16"/>
                <w:lang w:val="es-ES_tradnl"/>
              </w:rPr>
              <w:t>50%</w:t>
            </w:r>
          </w:p>
        </w:tc>
      </w:tr>
      <w:tr w:rsidR="00B16400" w:rsidRPr="00C75C7E" w:rsidTr="004341A3">
        <w:trPr>
          <w:cantSplit/>
          <w:trHeight w:val="948"/>
        </w:trPr>
        <w:tc>
          <w:tcPr>
            <w:tcW w:w="1249" w:type="pct"/>
            <w:shd w:val="clear" w:color="auto" w:fill="auto"/>
            <w:tcMar>
              <w:top w:w="113" w:type="dxa"/>
              <w:bottom w:w="85" w:type="dxa"/>
            </w:tcMar>
          </w:tcPr>
          <w:p w:rsidR="00B16400" w:rsidRPr="00C75C7E" w:rsidRDefault="00B16400" w:rsidP="001D4249">
            <w:pPr>
              <w:widowControl w:val="0"/>
              <w:rPr>
                <w:sz w:val="16"/>
                <w:szCs w:val="16"/>
                <w:lang w:val="es-ES_tradnl"/>
              </w:rPr>
            </w:pPr>
            <w:r w:rsidRPr="00C75C7E">
              <w:rPr>
                <w:sz w:val="16"/>
                <w:szCs w:val="16"/>
                <w:lang w:val="es-ES_tradnl"/>
              </w:rPr>
              <w:lastRenderedPageBreak/>
              <w:t>III.4</w:t>
            </w:r>
            <w:r w:rsidR="001D4249">
              <w:rPr>
                <w:sz w:val="16"/>
                <w:szCs w:val="16"/>
                <w:lang w:val="es-ES_tradnl"/>
              </w:rPr>
              <w:t xml:space="preserve"> </w:t>
            </w:r>
            <w:r w:rsidRPr="00C75C7E">
              <w:rPr>
                <w:sz w:val="16"/>
                <w:szCs w:val="16"/>
                <w:lang w:val="es-ES_tradnl"/>
              </w:rPr>
              <w:t xml:space="preserve"> Fortalecimiento de los mecanismos de cooperación y de los programas adaptados a las necesidades de los países en desarrollo y los PMA.</w:t>
            </w:r>
          </w:p>
        </w:tc>
        <w:tc>
          <w:tcPr>
            <w:tcW w:w="1514" w:type="pct"/>
            <w:shd w:val="clear" w:color="auto" w:fill="auto"/>
            <w:tcMar>
              <w:top w:w="113" w:type="dxa"/>
              <w:bottom w:w="85" w:type="dxa"/>
            </w:tcMar>
          </w:tcPr>
          <w:p w:rsidR="00B16400" w:rsidRPr="00C75C7E" w:rsidRDefault="00B16400" w:rsidP="004341A3">
            <w:pPr>
              <w:widowControl w:val="0"/>
              <w:rPr>
                <w:sz w:val="16"/>
                <w:szCs w:val="16"/>
                <w:lang w:val="es-ES_tradnl"/>
              </w:rPr>
            </w:pPr>
            <w:r w:rsidRPr="00C75C7E">
              <w:rPr>
                <w:sz w:val="16"/>
                <w:szCs w:val="16"/>
                <w:lang w:val="es-ES_tradnl"/>
              </w:rPr>
              <w:t>Número de asociaciones establecidas en las que la parte que ofrece asistencia procede de un país desarrollado.</w:t>
            </w:r>
          </w:p>
        </w:tc>
        <w:tc>
          <w:tcPr>
            <w:tcW w:w="1156" w:type="pct"/>
            <w:shd w:val="clear" w:color="auto" w:fill="FFFFFF"/>
            <w:tcMar>
              <w:top w:w="113" w:type="dxa"/>
              <w:bottom w:w="85" w:type="dxa"/>
            </w:tcMar>
          </w:tcPr>
          <w:p w:rsidR="00B16400" w:rsidRPr="00C75C7E" w:rsidRDefault="00B16400" w:rsidP="004341A3">
            <w:pPr>
              <w:widowControl w:val="0"/>
              <w:rPr>
                <w:sz w:val="16"/>
                <w:szCs w:val="16"/>
                <w:lang w:val="es-ES_tradnl" w:bidi="th-TH"/>
              </w:rPr>
            </w:pPr>
            <w:r w:rsidRPr="00C75C7E">
              <w:rPr>
                <w:sz w:val="16"/>
                <w:szCs w:val="16"/>
                <w:lang w:val="es-ES_tradnl" w:bidi="th-TH"/>
              </w:rPr>
              <w:t>Por determinar.</w:t>
            </w:r>
          </w:p>
        </w:tc>
        <w:tc>
          <w:tcPr>
            <w:tcW w:w="1081" w:type="pct"/>
            <w:shd w:val="clear" w:color="auto" w:fill="auto"/>
            <w:tcMar>
              <w:top w:w="113" w:type="dxa"/>
              <w:bottom w:w="85" w:type="dxa"/>
            </w:tcMar>
          </w:tcPr>
          <w:p w:rsidR="00B16400" w:rsidRPr="00C75C7E" w:rsidRDefault="00B16400" w:rsidP="004341A3">
            <w:pPr>
              <w:widowControl w:val="0"/>
              <w:ind w:right="161"/>
              <w:rPr>
                <w:bCs/>
                <w:sz w:val="16"/>
                <w:szCs w:val="16"/>
                <w:lang w:val="es-ES_tradnl"/>
              </w:rPr>
            </w:pPr>
            <w:r w:rsidRPr="00C75C7E">
              <w:rPr>
                <w:bCs/>
                <w:sz w:val="16"/>
                <w:szCs w:val="16"/>
                <w:lang w:val="es-ES_tradnl"/>
              </w:rPr>
              <w:t>Otros 4 memorandos de entendimiento; otros 10 emparejamientos en la Base de datos de vinculación para atender las necesidades de desarrollo en materia de P.I.</w:t>
            </w:r>
          </w:p>
        </w:tc>
      </w:tr>
      <w:tr w:rsidR="001D4249" w:rsidRPr="00C75C7E" w:rsidTr="004341A3">
        <w:trPr>
          <w:cantSplit/>
          <w:trHeight w:val="1283"/>
        </w:trPr>
        <w:tc>
          <w:tcPr>
            <w:tcW w:w="1249" w:type="pct"/>
            <w:shd w:val="clear" w:color="auto" w:fill="auto"/>
            <w:tcMar>
              <w:top w:w="113" w:type="dxa"/>
              <w:bottom w:w="85" w:type="dxa"/>
            </w:tcMar>
          </w:tcPr>
          <w:p w:rsidR="001D4249" w:rsidRPr="00C75C7E" w:rsidRDefault="001D4249" w:rsidP="001D4249">
            <w:pPr>
              <w:widowControl w:val="0"/>
              <w:rPr>
                <w:sz w:val="16"/>
                <w:szCs w:val="16"/>
                <w:lang w:val="es-ES_tradnl"/>
              </w:rPr>
            </w:pPr>
            <w:r>
              <w:rPr>
                <w:sz w:val="16"/>
                <w:szCs w:val="16"/>
                <w:lang w:val="es-ES_tradnl"/>
              </w:rPr>
              <w:t xml:space="preserve">III.6  </w:t>
            </w:r>
            <w:r w:rsidRPr="00DB4C60">
              <w:rPr>
                <w:sz w:val="16"/>
                <w:szCs w:val="16"/>
                <w:lang w:val="es-ES_tradnl"/>
              </w:rPr>
              <w:t>Mejor capacidad de las pymes para utilizar con éxito la P.I. con el fin de apoyar la innovación</w:t>
            </w:r>
          </w:p>
        </w:tc>
        <w:tc>
          <w:tcPr>
            <w:tcW w:w="1514" w:type="pct"/>
            <w:shd w:val="clear" w:color="auto" w:fill="auto"/>
            <w:tcMar>
              <w:top w:w="113" w:type="dxa"/>
              <w:bottom w:w="85" w:type="dxa"/>
            </w:tcMar>
          </w:tcPr>
          <w:p w:rsidR="001D4249" w:rsidRPr="00C75C7E" w:rsidRDefault="001D4249" w:rsidP="004341A3">
            <w:pPr>
              <w:widowControl w:val="0"/>
              <w:rPr>
                <w:sz w:val="16"/>
                <w:szCs w:val="16"/>
                <w:lang w:val="es-ES_tradnl"/>
              </w:rPr>
            </w:pPr>
            <w:r>
              <w:rPr>
                <w:sz w:val="16"/>
                <w:szCs w:val="16"/>
                <w:lang w:val="es-ES_tradnl"/>
              </w:rPr>
              <w:t>Porcentaje de participantes en programas de formación destinados a instituciones de apoyo a las pymes que manifiestan satisfacción con el contenido y la organización de esos eventos.</w:t>
            </w:r>
          </w:p>
        </w:tc>
        <w:tc>
          <w:tcPr>
            <w:tcW w:w="1156" w:type="pct"/>
            <w:shd w:val="clear" w:color="auto" w:fill="FFFFFF"/>
            <w:tcMar>
              <w:top w:w="113" w:type="dxa"/>
              <w:bottom w:w="85" w:type="dxa"/>
            </w:tcMar>
          </w:tcPr>
          <w:p w:rsidR="001D4249" w:rsidRPr="00C75C7E" w:rsidRDefault="001D4249" w:rsidP="004341A3">
            <w:pPr>
              <w:widowControl w:val="0"/>
              <w:rPr>
                <w:sz w:val="16"/>
                <w:szCs w:val="16"/>
                <w:lang w:val="es-ES_tradnl" w:bidi="th-TH"/>
              </w:rPr>
            </w:pPr>
            <w:r>
              <w:rPr>
                <w:sz w:val="16"/>
                <w:szCs w:val="16"/>
                <w:lang w:val="es-ES_tradnl" w:bidi="th-TH"/>
              </w:rPr>
              <w:t>Por determinar.</w:t>
            </w:r>
          </w:p>
        </w:tc>
        <w:tc>
          <w:tcPr>
            <w:tcW w:w="1081" w:type="pct"/>
            <w:shd w:val="clear" w:color="auto" w:fill="auto"/>
            <w:tcMar>
              <w:top w:w="113" w:type="dxa"/>
              <w:bottom w:w="85" w:type="dxa"/>
            </w:tcMar>
          </w:tcPr>
          <w:p w:rsidR="001D4249" w:rsidRPr="00C75C7E" w:rsidRDefault="001D4249" w:rsidP="004341A3">
            <w:pPr>
              <w:widowControl w:val="0"/>
              <w:ind w:right="161"/>
              <w:rPr>
                <w:bCs/>
                <w:sz w:val="16"/>
                <w:szCs w:val="16"/>
                <w:lang w:val="es-ES_tradnl"/>
              </w:rPr>
            </w:pPr>
            <w:r>
              <w:rPr>
                <w:bCs/>
                <w:sz w:val="16"/>
                <w:szCs w:val="16"/>
                <w:lang w:val="es-ES_tradnl"/>
              </w:rPr>
              <w:t>Por determinar.</w:t>
            </w:r>
          </w:p>
        </w:tc>
      </w:tr>
      <w:tr w:rsidR="001D4249" w:rsidRPr="00C75C7E" w:rsidTr="00460232">
        <w:trPr>
          <w:cantSplit/>
          <w:trHeight w:val="1221"/>
        </w:trPr>
        <w:tc>
          <w:tcPr>
            <w:tcW w:w="1249" w:type="pct"/>
            <w:shd w:val="clear" w:color="auto" w:fill="auto"/>
            <w:tcMar>
              <w:top w:w="113" w:type="dxa"/>
              <w:bottom w:w="85" w:type="dxa"/>
            </w:tcMar>
          </w:tcPr>
          <w:p w:rsidR="001D4249" w:rsidRPr="00C75C7E" w:rsidRDefault="001D4249" w:rsidP="001D4249">
            <w:pPr>
              <w:widowControl w:val="0"/>
              <w:rPr>
                <w:sz w:val="16"/>
                <w:szCs w:val="16"/>
                <w:lang w:val="es-ES_tradnl"/>
              </w:rPr>
            </w:pPr>
          </w:p>
        </w:tc>
        <w:tc>
          <w:tcPr>
            <w:tcW w:w="1514" w:type="pct"/>
            <w:shd w:val="clear" w:color="auto" w:fill="auto"/>
            <w:tcMar>
              <w:top w:w="113" w:type="dxa"/>
              <w:bottom w:w="85" w:type="dxa"/>
            </w:tcMar>
          </w:tcPr>
          <w:p w:rsidR="001D4249" w:rsidRPr="00C75C7E" w:rsidRDefault="00460232" w:rsidP="004341A3">
            <w:pPr>
              <w:widowControl w:val="0"/>
              <w:rPr>
                <w:sz w:val="16"/>
                <w:szCs w:val="16"/>
                <w:lang w:val="es-ES_tradnl"/>
              </w:rPr>
            </w:pPr>
            <w:r w:rsidRPr="00A602DB">
              <w:rPr>
                <w:sz w:val="16"/>
                <w:szCs w:val="16"/>
                <w:lang w:val="es-ES_tradnl"/>
              </w:rPr>
              <w:t xml:space="preserve">Porcentaje de instituciones de apoyo a las pymes </w:t>
            </w:r>
            <w:r>
              <w:rPr>
                <w:sz w:val="16"/>
                <w:szCs w:val="16"/>
                <w:lang w:val="es-ES_tradnl"/>
              </w:rPr>
              <w:t>que han recibido formación, que a su vez brindan información, apoyo y servicios de consultoría/asesoramiento en gestión de activos de P.I.</w:t>
            </w:r>
          </w:p>
        </w:tc>
        <w:tc>
          <w:tcPr>
            <w:tcW w:w="1156" w:type="pct"/>
            <w:shd w:val="clear" w:color="auto" w:fill="FFFFFF"/>
            <w:tcMar>
              <w:top w:w="113" w:type="dxa"/>
              <w:bottom w:w="85" w:type="dxa"/>
            </w:tcMar>
          </w:tcPr>
          <w:p w:rsidR="001D4249" w:rsidRPr="00C75C7E" w:rsidRDefault="001D4249" w:rsidP="004341A3">
            <w:pPr>
              <w:widowControl w:val="0"/>
              <w:rPr>
                <w:sz w:val="16"/>
                <w:szCs w:val="16"/>
                <w:lang w:val="es-ES_tradnl" w:bidi="th-TH"/>
              </w:rPr>
            </w:pPr>
            <w:r>
              <w:rPr>
                <w:sz w:val="16"/>
                <w:szCs w:val="16"/>
                <w:lang w:val="es-ES_tradnl" w:bidi="th-TH"/>
              </w:rPr>
              <w:t>Por determinar.</w:t>
            </w:r>
          </w:p>
        </w:tc>
        <w:tc>
          <w:tcPr>
            <w:tcW w:w="1081" w:type="pct"/>
            <w:shd w:val="clear" w:color="auto" w:fill="auto"/>
            <w:tcMar>
              <w:top w:w="113" w:type="dxa"/>
              <w:bottom w:w="85" w:type="dxa"/>
            </w:tcMar>
          </w:tcPr>
          <w:p w:rsidR="001D4249" w:rsidRPr="00C75C7E" w:rsidRDefault="001D4249" w:rsidP="004341A3">
            <w:pPr>
              <w:widowControl w:val="0"/>
              <w:ind w:right="161"/>
              <w:rPr>
                <w:bCs/>
                <w:sz w:val="16"/>
                <w:szCs w:val="16"/>
                <w:lang w:val="es-ES_tradnl"/>
              </w:rPr>
            </w:pPr>
            <w:r>
              <w:rPr>
                <w:sz w:val="16"/>
                <w:szCs w:val="16"/>
                <w:lang w:val="es-ES_tradnl" w:bidi="th-TH"/>
              </w:rPr>
              <w:t>Por determinar.</w:t>
            </w:r>
          </w:p>
        </w:tc>
      </w:tr>
      <w:tr w:rsidR="001D4249" w:rsidRPr="00C75C7E" w:rsidTr="00460232">
        <w:trPr>
          <w:cantSplit/>
          <w:trHeight w:val="731"/>
        </w:trPr>
        <w:tc>
          <w:tcPr>
            <w:tcW w:w="1249" w:type="pct"/>
            <w:shd w:val="clear" w:color="auto" w:fill="auto"/>
            <w:tcMar>
              <w:top w:w="113" w:type="dxa"/>
              <w:bottom w:w="85" w:type="dxa"/>
            </w:tcMar>
          </w:tcPr>
          <w:p w:rsidR="001D4249" w:rsidRPr="00C75C7E" w:rsidRDefault="001D4249" w:rsidP="001D4249">
            <w:pPr>
              <w:widowControl w:val="0"/>
              <w:rPr>
                <w:sz w:val="16"/>
                <w:szCs w:val="16"/>
                <w:lang w:val="es-ES_tradnl"/>
              </w:rPr>
            </w:pPr>
          </w:p>
        </w:tc>
        <w:tc>
          <w:tcPr>
            <w:tcW w:w="1514" w:type="pct"/>
            <w:shd w:val="clear" w:color="auto" w:fill="auto"/>
            <w:tcMar>
              <w:top w:w="113" w:type="dxa"/>
              <w:bottom w:w="85" w:type="dxa"/>
            </w:tcMar>
          </w:tcPr>
          <w:p w:rsidR="001D4249" w:rsidRPr="00C75C7E" w:rsidRDefault="00460232" w:rsidP="004341A3">
            <w:pPr>
              <w:widowControl w:val="0"/>
              <w:rPr>
                <w:sz w:val="16"/>
                <w:szCs w:val="16"/>
                <w:lang w:val="es-ES_tradnl"/>
              </w:rPr>
            </w:pPr>
            <w:r>
              <w:rPr>
                <w:sz w:val="16"/>
                <w:szCs w:val="16"/>
                <w:lang w:val="es-ES_tradnl"/>
              </w:rPr>
              <w:t>Número de países que han establecido programas de formación en P.I. destinados a las pymes.</w:t>
            </w:r>
          </w:p>
        </w:tc>
        <w:tc>
          <w:tcPr>
            <w:tcW w:w="1156" w:type="pct"/>
            <w:shd w:val="clear" w:color="auto" w:fill="FFFFFF"/>
            <w:tcMar>
              <w:top w:w="113" w:type="dxa"/>
              <w:bottom w:w="85" w:type="dxa"/>
            </w:tcMar>
          </w:tcPr>
          <w:p w:rsidR="001D4249" w:rsidRPr="00C75C7E" w:rsidRDefault="001D4249" w:rsidP="004341A3">
            <w:pPr>
              <w:widowControl w:val="0"/>
              <w:rPr>
                <w:sz w:val="16"/>
                <w:szCs w:val="16"/>
                <w:lang w:val="es-ES_tradnl" w:bidi="th-TH"/>
              </w:rPr>
            </w:pPr>
            <w:r>
              <w:rPr>
                <w:sz w:val="16"/>
                <w:szCs w:val="16"/>
                <w:lang w:val="es-ES_tradnl" w:bidi="th-TH"/>
              </w:rPr>
              <w:t>Por determinar.</w:t>
            </w:r>
          </w:p>
        </w:tc>
        <w:tc>
          <w:tcPr>
            <w:tcW w:w="1081" w:type="pct"/>
            <w:shd w:val="clear" w:color="auto" w:fill="auto"/>
            <w:tcMar>
              <w:top w:w="113" w:type="dxa"/>
              <w:bottom w:w="85" w:type="dxa"/>
            </w:tcMar>
          </w:tcPr>
          <w:p w:rsidR="001D4249" w:rsidRPr="00C75C7E" w:rsidRDefault="001D4249" w:rsidP="004341A3">
            <w:pPr>
              <w:widowControl w:val="0"/>
              <w:ind w:right="161"/>
              <w:rPr>
                <w:bCs/>
                <w:sz w:val="16"/>
                <w:szCs w:val="16"/>
                <w:lang w:val="es-ES_tradnl"/>
              </w:rPr>
            </w:pPr>
            <w:r>
              <w:rPr>
                <w:sz w:val="16"/>
                <w:szCs w:val="16"/>
                <w:lang w:val="es-ES_tradnl" w:bidi="th-TH"/>
              </w:rPr>
              <w:t>Por determinar.</w:t>
            </w:r>
          </w:p>
        </w:tc>
      </w:tr>
      <w:tr w:rsidR="001D4249" w:rsidRPr="00C75C7E" w:rsidTr="004341A3">
        <w:trPr>
          <w:cantSplit/>
          <w:trHeight w:val="1283"/>
        </w:trPr>
        <w:tc>
          <w:tcPr>
            <w:tcW w:w="1249" w:type="pct"/>
            <w:shd w:val="clear" w:color="auto" w:fill="auto"/>
            <w:tcMar>
              <w:top w:w="113" w:type="dxa"/>
              <w:bottom w:w="85" w:type="dxa"/>
            </w:tcMar>
          </w:tcPr>
          <w:p w:rsidR="001D4249" w:rsidRPr="00C75C7E" w:rsidRDefault="00460232" w:rsidP="001D4249">
            <w:pPr>
              <w:widowControl w:val="0"/>
              <w:rPr>
                <w:sz w:val="16"/>
                <w:szCs w:val="16"/>
                <w:lang w:val="es-ES_tradnl"/>
              </w:rPr>
            </w:pPr>
            <w:r w:rsidRPr="00C75C7E">
              <w:rPr>
                <w:sz w:val="16"/>
                <w:szCs w:val="16"/>
                <w:lang w:val="es-ES_tradnl"/>
              </w:rPr>
              <w:t>IV.2</w:t>
            </w:r>
            <w:r>
              <w:rPr>
                <w:sz w:val="16"/>
                <w:szCs w:val="16"/>
                <w:lang w:val="es-ES_tradnl"/>
              </w:rPr>
              <w:t xml:space="preserve"> </w:t>
            </w:r>
            <w:r w:rsidRPr="00C75C7E">
              <w:rPr>
                <w:sz w:val="16"/>
                <w:szCs w:val="16"/>
                <w:lang w:val="es-ES_tradnl"/>
              </w:rPr>
              <w:t xml:space="preserve"> Mejora del acceso y uso de información y conocimien</w:t>
            </w:r>
            <w:r>
              <w:rPr>
                <w:sz w:val="16"/>
                <w:szCs w:val="16"/>
                <w:lang w:val="es-ES_tradnl"/>
              </w:rPr>
              <w:t>-</w:t>
            </w:r>
            <w:r w:rsidRPr="00C75C7E">
              <w:rPr>
                <w:sz w:val="16"/>
                <w:szCs w:val="16"/>
                <w:lang w:val="es-ES_tradnl"/>
              </w:rPr>
              <w:t>tos de P.I. por parte de instituciones de P.I. y el público para fomentar la innovación y la creatividad.</w:t>
            </w:r>
          </w:p>
        </w:tc>
        <w:tc>
          <w:tcPr>
            <w:tcW w:w="1514" w:type="pct"/>
            <w:shd w:val="clear" w:color="auto" w:fill="auto"/>
            <w:tcMar>
              <w:top w:w="113" w:type="dxa"/>
              <w:bottom w:w="85" w:type="dxa"/>
            </w:tcMar>
          </w:tcPr>
          <w:p w:rsidR="001D4249" w:rsidRDefault="00460232" w:rsidP="00460232">
            <w:pPr>
              <w:widowControl w:val="0"/>
              <w:rPr>
                <w:sz w:val="16"/>
                <w:szCs w:val="16"/>
                <w:lang w:val="es-ES_tradnl"/>
              </w:rPr>
            </w:pPr>
            <w:r w:rsidRPr="001F769A">
              <w:rPr>
                <w:sz w:val="16"/>
                <w:szCs w:val="16"/>
                <w:lang w:val="es-ES_tradnl"/>
              </w:rPr>
              <w:t xml:space="preserve">Número de </w:t>
            </w:r>
            <w:r>
              <w:rPr>
                <w:sz w:val="16"/>
                <w:szCs w:val="16"/>
                <w:lang w:val="es-ES_tradnl"/>
              </w:rPr>
              <w:t>OTT</w:t>
            </w:r>
            <w:r w:rsidRPr="001F769A">
              <w:rPr>
                <w:sz w:val="16"/>
                <w:szCs w:val="16"/>
                <w:lang w:val="es-ES_tradnl"/>
              </w:rPr>
              <w:t xml:space="preserve"> </w:t>
            </w:r>
            <w:r>
              <w:rPr>
                <w:sz w:val="16"/>
                <w:szCs w:val="16"/>
                <w:lang w:val="es-ES_tradnl"/>
              </w:rPr>
              <w:t>o de centros de información establecidos.</w:t>
            </w:r>
          </w:p>
          <w:p w:rsidR="00460232" w:rsidRDefault="00460232" w:rsidP="00460232">
            <w:pPr>
              <w:widowControl w:val="0"/>
              <w:rPr>
                <w:sz w:val="16"/>
                <w:szCs w:val="16"/>
                <w:lang w:val="es-ES_tradnl"/>
              </w:rPr>
            </w:pPr>
          </w:p>
          <w:p w:rsidR="00460232" w:rsidRDefault="00460232" w:rsidP="00460232">
            <w:pPr>
              <w:widowControl w:val="0"/>
              <w:rPr>
                <w:sz w:val="16"/>
                <w:szCs w:val="16"/>
                <w:lang w:val="es-ES_tradnl"/>
              </w:rPr>
            </w:pPr>
          </w:p>
          <w:p w:rsidR="00460232" w:rsidRPr="00C75C7E" w:rsidRDefault="00460232" w:rsidP="00460232">
            <w:pPr>
              <w:widowControl w:val="0"/>
              <w:rPr>
                <w:sz w:val="16"/>
                <w:szCs w:val="16"/>
                <w:lang w:val="es-ES_tradnl"/>
              </w:rPr>
            </w:pPr>
            <w:r>
              <w:rPr>
                <w:sz w:val="16"/>
                <w:szCs w:val="16"/>
                <w:lang w:val="es-ES_tradnl"/>
              </w:rPr>
              <w:t>Número de redes sostenibles de CATI nacionales.</w:t>
            </w:r>
          </w:p>
        </w:tc>
        <w:tc>
          <w:tcPr>
            <w:tcW w:w="1156" w:type="pct"/>
            <w:shd w:val="clear" w:color="auto" w:fill="FFFFFF"/>
            <w:tcMar>
              <w:top w:w="113" w:type="dxa"/>
              <w:bottom w:w="85" w:type="dxa"/>
            </w:tcMar>
          </w:tcPr>
          <w:p w:rsidR="001D4249" w:rsidRDefault="00460232" w:rsidP="004341A3">
            <w:pPr>
              <w:widowControl w:val="0"/>
              <w:rPr>
                <w:sz w:val="16"/>
                <w:szCs w:val="16"/>
                <w:lang w:val="es-ES_tradnl" w:bidi="th-TH"/>
              </w:rPr>
            </w:pPr>
            <w:r>
              <w:rPr>
                <w:sz w:val="16"/>
                <w:szCs w:val="16"/>
                <w:lang w:val="es-ES_tradnl" w:bidi="th-TH"/>
              </w:rPr>
              <w:t>Por confirmar.</w:t>
            </w:r>
          </w:p>
          <w:p w:rsidR="00460232" w:rsidRDefault="00460232" w:rsidP="004341A3">
            <w:pPr>
              <w:widowControl w:val="0"/>
              <w:rPr>
                <w:sz w:val="16"/>
                <w:szCs w:val="16"/>
                <w:lang w:val="es-ES_tradnl" w:bidi="th-TH"/>
              </w:rPr>
            </w:pPr>
          </w:p>
          <w:p w:rsidR="00460232" w:rsidRDefault="00460232" w:rsidP="004341A3">
            <w:pPr>
              <w:widowControl w:val="0"/>
              <w:rPr>
                <w:sz w:val="16"/>
                <w:szCs w:val="16"/>
                <w:lang w:val="es-ES_tradnl" w:bidi="th-TH"/>
              </w:rPr>
            </w:pPr>
          </w:p>
          <w:p w:rsidR="00460232" w:rsidRDefault="00460232" w:rsidP="004341A3">
            <w:pPr>
              <w:widowControl w:val="0"/>
              <w:rPr>
                <w:sz w:val="16"/>
                <w:szCs w:val="16"/>
                <w:lang w:val="es-ES_tradnl" w:bidi="th-TH"/>
              </w:rPr>
            </w:pPr>
          </w:p>
          <w:p w:rsidR="00460232" w:rsidRPr="00C75C7E" w:rsidRDefault="00460232" w:rsidP="004341A3">
            <w:pPr>
              <w:widowControl w:val="0"/>
              <w:rPr>
                <w:sz w:val="16"/>
                <w:szCs w:val="16"/>
                <w:lang w:val="es-ES_tradnl" w:bidi="th-TH"/>
              </w:rPr>
            </w:pPr>
            <w:r>
              <w:rPr>
                <w:sz w:val="16"/>
                <w:szCs w:val="16"/>
                <w:lang w:val="es-ES_tradnl" w:bidi="th-TH"/>
              </w:rPr>
              <w:t>1 red nacional de CATI (en total al final del primer trimestre de 2013): Determinados países de Europa y Asia (1)</w:t>
            </w:r>
          </w:p>
        </w:tc>
        <w:tc>
          <w:tcPr>
            <w:tcW w:w="1081" w:type="pct"/>
            <w:shd w:val="clear" w:color="auto" w:fill="auto"/>
            <w:tcMar>
              <w:top w:w="113" w:type="dxa"/>
              <w:bottom w:w="85" w:type="dxa"/>
            </w:tcMar>
          </w:tcPr>
          <w:p w:rsidR="001D4249" w:rsidRDefault="00460232" w:rsidP="004341A3">
            <w:pPr>
              <w:widowControl w:val="0"/>
              <w:ind w:right="161"/>
              <w:rPr>
                <w:bCs/>
                <w:sz w:val="16"/>
                <w:szCs w:val="16"/>
                <w:lang w:val="es-ES_tradnl"/>
              </w:rPr>
            </w:pPr>
            <w:r>
              <w:rPr>
                <w:bCs/>
                <w:sz w:val="16"/>
                <w:szCs w:val="16"/>
                <w:lang w:val="es-ES_tradnl"/>
              </w:rPr>
              <w:t>Seis OTT o centros de información adicionales.</w:t>
            </w:r>
          </w:p>
          <w:p w:rsidR="00460232" w:rsidRDefault="00460232" w:rsidP="004341A3">
            <w:pPr>
              <w:widowControl w:val="0"/>
              <w:ind w:right="161"/>
              <w:rPr>
                <w:bCs/>
                <w:sz w:val="16"/>
                <w:szCs w:val="16"/>
                <w:lang w:val="es-ES_tradnl"/>
              </w:rPr>
            </w:pPr>
          </w:p>
          <w:p w:rsidR="00460232" w:rsidRPr="00C75C7E" w:rsidRDefault="00460232" w:rsidP="004341A3">
            <w:pPr>
              <w:widowControl w:val="0"/>
              <w:ind w:right="161"/>
              <w:rPr>
                <w:bCs/>
                <w:sz w:val="16"/>
                <w:szCs w:val="16"/>
                <w:lang w:val="es-ES_tradnl"/>
              </w:rPr>
            </w:pPr>
            <w:r>
              <w:rPr>
                <w:bCs/>
                <w:sz w:val="16"/>
                <w:szCs w:val="16"/>
                <w:lang w:val="es-ES_tradnl"/>
              </w:rPr>
              <w:t>2 redes nacionales de CATI (en total): Determinados países de Europa y Asia (2).</w:t>
            </w:r>
          </w:p>
        </w:tc>
      </w:tr>
      <w:tr w:rsidR="001D4249" w:rsidRPr="00C75C7E" w:rsidTr="00460232">
        <w:trPr>
          <w:cantSplit/>
          <w:trHeight w:val="620"/>
        </w:trPr>
        <w:tc>
          <w:tcPr>
            <w:tcW w:w="1249" w:type="pct"/>
            <w:shd w:val="clear" w:color="auto" w:fill="auto"/>
            <w:tcMar>
              <w:top w:w="113" w:type="dxa"/>
              <w:bottom w:w="85" w:type="dxa"/>
            </w:tcMar>
          </w:tcPr>
          <w:p w:rsidR="001D4249" w:rsidRPr="00C75C7E" w:rsidRDefault="001D4249" w:rsidP="001D4249">
            <w:pPr>
              <w:widowControl w:val="0"/>
              <w:rPr>
                <w:sz w:val="16"/>
                <w:szCs w:val="16"/>
                <w:lang w:val="es-ES_tradnl"/>
              </w:rPr>
            </w:pPr>
          </w:p>
        </w:tc>
        <w:tc>
          <w:tcPr>
            <w:tcW w:w="1514" w:type="pct"/>
            <w:shd w:val="clear" w:color="auto" w:fill="auto"/>
            <w:tcMar>
              <w:top w:w="113" w:type="dxa"/>
              <w:bottom w:w="85" w:type="dxa"/>
            </w:tcMar>
          </w:tcPr>
          <w:p w:rsidR="001D4249" w:rsidRPr="00C75C7E" w:rsidRDefault="00460232" w:rsidP="004341A3">
            <w:pPr>
              <w:widowControl w:val="0"/>
              <w:rPr>
                <w:sz w:val="16"/>
                <w:szCs w:val="16"/>
                <w:lang w:val="es-ES_tradnl"/>
              </w:rPr>
            </w:pPr>
            <w:r>
              <w:rPr>
                <w:sz w:val="16"/>
                <w:szCs w:val="16"/>
                <w:lang w:val="es-ES_tradnl"/>
              </w:rPr>
              <w:t>Número promedio de usuarios atendidos por CATI, por trimestre y país.</w:t>
            </w:r>
          </w:p>
        </w:tc>
        <w:tc>
          <w:tcPr>
            <w:tcW w:w="1156" w:type="pct"/>
            <w:shd w:val="clear" w:color="auto" w:fill="FFFFFF"/>
            <w:tcMar>
              <w:top w:w="113" w:type="dxa"/>
              <w:bottom w:w="85" w:type="dxa"/>
            </w:tcMar>
          </w:tcPr>
          <w:p w:rsidR="001D4249" w:rsidRPr="00C75C7E" w:rsidRDefault="00460232" w:rsidP="004341A3">
            <w:pPr>
              <w:widowControl w:val="0"/>
              <w:rPr>
                <w:sz w:val="16"/>
                <w:szCs w:val="16"/>
                <w:lang w:val="es-ES_tradnl" w:bidi="th-TH"/>
              </w:rPr>
            </w:pPr>
            <w:r>
              <w:rPr>
                <w:sz w:val="16"/>
                <w:szCs w:val="16"/>
                <w:lang w:val="es-ES_tradnl" w:bidi="th-TH"/>
              </w:rPr>
              <w:t>200 (min.) – 630 (max.)</w:t>
            </w:r>
          </w:p>
        </w:tc>
        <w:tc>
          <w:tcPr>
            <w:tcW w:w="1081" w:type="pct"/>
            <w:shd w:val="clear" w:color="auto" w:fill="auto"/>
            <w:tcMar>
              <w:top w:w="113" w:type="dxa"/>
              <w:bottom w:w="85" w:type="dxa"/>
            </w:tcMar>
          </w:tcPr>
          <w:p w:rsidR="001D4249" w:rsidRPr="00C75C7E" w:rsidRDefault="00460232" w:rsidP="004341A3">
            <w:pPr>
              <w:widowControl w:val="0"/>
              <w:ind w:right="161"/>
              <w:rPr>
                <w:bCs/>
                <w:sz w:val="16"/>
                <w:szCs w:val="16"/>
                <w:lang w:val="es-ES_tradnl"/>
              </w:rPr>
            </w:pPr>
            <w:r>
              <w:rPr>
                <w:bCs/>
                <w:sz w:val="16"/>
                <w:szCs w:val="16"/>
                <w:lang w:val="es-ES_tradnl"/>
              </w:rPr>
              <w:t>300 (min.) – 750 (max.)</w:t>
            </w:r>
          </w:p>
        </w:tc>
      </w:tr>
      <w:tr w:rsidR="00B16400" w:rsidRPr="00C75C7E" w:rsidTr="004341A3">
        <w:trPr>
          <w:cantSplit/>
          <w:trHeight w:val="1283"/>
        </w:trPr>
        <w:tc>
          <w:tcPr>
            <w:tcW w:w="1249" w:type="pct"/>
            <w:shd w:val="clear" w:color="auto" w:fill="auto"/>
            <w:tcMar>
              <w:top w:w="113" w:type="dxa"/>
              <w:bottom w:w="85" w:type="dxa"/>
            </w:tcMar>
          </w:tcPr>
          <w:p w:rsidR="00B16400" w:rsidRPr="00C75C7E" w:rsidRDefault="00B16400" w:rsidP="001D4249">
            <w:pPr>
              <w:widowControl w:val="0"/>
              <w:rPr>
                <w:sz w:val="16"/>
                <w:szCs w:val="16"/>
                <w:lang w:val="es-ES_tradnl"/>
              </w:rPr>
            </w:pPr>
            <w:r w:rsidRPr="00C75C7E">
              <w:rPr>
                <w:sz w:val="16"/>
                <w:szCs w:val="16"/>
                <w:lang w:val="es-ES_tradnl"/>
              </w:rPr>
              <w:t>IV.4</w:t>
            </w:r>
            <w:r w:rsidR="001D4249">
              <w:rPr>
                <w:sz w:val="16"/>
                <w:szCs w:val="16"/>
                <w:lang w:val="es-ES_tradnl"/>
              </w:rPr>
              <w:t xml:space="preserve"> </w:t>
            </w:r>
            <w:r w:rsidRPr="00C75C7E">
              <w:rPr>
                <w:sz w:val="16"/>
                <w:szCs w:val="16"/>
                <w:lang w:val="es-ES_tradnl"/>
              </w:rPr>
              <w:t xml:space="preserve"> Mejora en la infraestructura técnica y de conocimientos de las oficinas y demás instituciones de P.I. </w:t>
            </w:r>
            <w:r w:rsidR="00177006">
              <w:rPr>
                <w:sz w:val="16"/>
                <w:szCs w:val="16"/>
                <w:lang w:val="es-ES_tradnl"/>
              </w:rPr>
              <w:t>que les permita prestar mejores servicios</w:t>
            </w:r>
            <w:r w:rsidRPr="00C75C7E">
              <w:rPr>
                <w:sz w:val="16"/>
                <w:szCs w:val="16"/>
                <w:lang w:val="es-ES_tradnl"/>
              </w:rPr>
              <w:t xml:space="preserve"> (más económicos, más rápidos y de mejor calidad) a sus partes interesadas.</w:t>
            </w:r>
          </w:p>
        </w:tc>
        <w:tc>
          <w:tcPr>
            <w:tcW w:w="1514" w:type="pct"/>
            <w:shd w:val="clear" w:color="auto" w:fill="auto"/>
            <w:tcMar>
              <w:top w:w="113" w:type="dxa"/>
              <w:bottom w:w="85" w:type="dxa"/>
            </w:tcMar>
          </w:tcPr>
          <w:p w:rsidR="00B16400" w:rsidRPr="00C75C7E" w:rsidRDefault="00B16400" w:rsidP="004341A3">
            <w:pPr>
              <w:widowControl w:val="0"/>
              <w:rPr>
                <w:sz w:val="16"/>
                <w:szCs w:val="16"/>
                <w:lang w:val="es-ES_tradnl"/>
              </w:rPr>
            </w:pPr>
            <w:r w:rsidRPr="00C75C7E">
              <w:rPr>
                <w:sz w:val="16"/>
                <w:szCs w:val="16"/>
                <w:lang w:val="es-ES_tradnl"/>
              </w:rPr>
              <w:t>Media del nivel de los servicios prestados por las Oficinas de P.I. que reciben asistencia (en una escala del 1 al 5).</w:t>
            </w:r>
          </w:p>
        </w:tc>
        <w:tc>
          <w:tcPr>
            <w:tcW w:w="1156" w:type="pct"/>
            <w:shd w:val="clear" w:color="auto" w:fill="FFFFFF"/>
            <w:tcMar>
              <w:top w:w="113" w:type="dxa"/>
              <w:bottom w:w="85" w:type="dxa"/>
            </w:tcMar>
          </w:tcPr>
          <w:p w:rsidR="00B16400" w:rsidRPr="00C75C7E" w:rsidRDefault="00B16400" w:rsidP="004341A3">
            <w:pPr>
              <w:widowControl w:val="0"/>
              <w:rPr>
                <w:sz w:val="16"/>
                <w:szCs w:val="16"/>
                <w:lang w:val="es-ES_tradnl" w:bidi="th-TH"/>
              </w:rPr>
            </w:pPr>
            <w:r w:rsidRPr="00C75C7E">
              <w:rPr>
                <w:sz w:val="16"/>
                <w:szCs w:val="16"/>
                <w:lang w:val="es-ES_tradnl" w:bidi="th-TH"/>
              </w:rPr>
              <w:t>Por determinar.</w:t>
            </w:r>
          </w:p>
        </w:tc>
        <w:tc>
          <w:tcPr>
            <w:tcW w:w="1081" w:type="pct"/>
            <w:shd w:val="clear" w:color="auto" w:fill="auto"/>
            <w:tcMar>
              <w:top w:w="113" w:type="dxa"/>
              <w:bottom w:w="85" w:type="dxa"/>
            </w:tcMar>
          </w:tcPr>
          <w:p w:rsidR="00B16400" w:rsidRPr="00C75C7E" w:rsidRDefault="00B16400" w:rsidP="004341A3">
            <w:pPr>
              <w:widowControl w:val="0"/>
              <w:ind w:right="161"/>
              <w:rPr>
                <w:bCs/>
                <w:sz w:val="16"/>
                <w:szCs w:val="16"/>
                <w:lang w:val="es-ES_tradnl"/>
              </w:rPr>
            </w:pPr>
            <w:r w:rsidRPr="00C75C7E">
              <w:rPr>
                <w:bCs/>
                <w:sz w:val="16"/>
                <w:szCs w:val="16"/>
                <w:lang w:val="es-ES_tradnl"/>
              </w:rPr>
              <w:t>Por determinar.</w:t>
            </w:r>
          </w:p>
        </w:tc>
      </w:tr>
    </w:tbl>
    <w:p w:rsidR="00B16400" w:rsidRPr="00C75C7E" w:rsidRDefault="00B16400" w:rsidP="00B16400">
      <w:pPr>
        <w:widowControl w:val="0"/>
        <w:tabs>
          <w:tab w:val="left" w:pos="567"/>
          <w:tab w:val="left" w:pos="1985"/>
        </w:tabs>
        <w:rPr>
          <w:bCs/>
          <w:sz w:val="20"/>
          <w:lang w:val="es-ES_tradnl"/>
        </w:rPr>
      </w:pPr>
    </w:p>
    <w:p w:rsidR="002E7DC3" w:rsidRPr="00F039C2" w:rsidRDefault="002E7DC3" w:rsidP="002E7DC3">
      <w:pPr>
        <w:widowControl w:val="0"/>
        <w:rPr>
          <w:sz w:val="20"/>
        </w:rPr>
      </w:pPr>
    </w:p>
    <w:p w:rsidR="002E7DC3" w:rsidRPr="009F406F" w:rsidRDefault="002E7DC3" w:rsidP="002E7DC3">
      <w:pPr>
        <w:widowControl w:val="0"/>
        <w:autoSpaceDE w:val="0"/>
        <w:autoSpaceDN w:val="0"/>
        <w:adjustRightInd w:val="0"/>
        <w:jc w:val="both"/>
        <w:rPr>
          <w:szCs w:val="22"/>
        </w:rPr>
      </w:pPr>
      <w:r w:rsidRPr="00F039C2">
        <w:rPr>
          <w:szCs w:val="22"/>
        </w:rPr>
        <w:t xml:space="preserve">RECURSOS PARA EL PROGRAMA </w:t>
      </w:r>
      <w:r w:rsidRPr="009F406F">
        <w:rPr>
          <w:szCs w:val="22"/>
        </w:rPr>
        <w:t>10</w:t>
      </w:r>
    </w:p>
    <w:p w:rsidR="002E7DC3" w:rsidRPr="009F406F" w:rsidRDefault="002E7DC3" w:rsidP="002E7DC3">
      <w:pPr>
        <w:widowControl w:val="0"/>
        <w:autoSpaceDE w:val="0"/>
        <w:autoSpaceDN w:val="0"/>
        <w:adjustRightInd w:val="0"/>
        <w:jc w:val="both"/>
        <w:rPr>
          <w:sz w:val="20"/>
        </w:rPr>
      </w:pPr>
    </w:p>
    <w:p w:rsidR="002E7DC3" w:rsidRPr="009F406F" w:rsidRDefault="002E7DC3" w:rsidP="00BA276E">
      <w:pPr>
        <w:widowControl w:val="0"/>
        <w:numPr>
          <w:ilvl w:val="0"/>
          <w:numId w:val="32"/>
        </w:numPr>
        <w:ind w:left="0"/>
        <w:jc w:val="both"/>
        <w:rPr>
          <w:sz w:val="20"/>
        </w:rPr>
      </w:pPr>
      <w:r w:rsidRPr="009F406F">
        <w:rPr>
          <w:sz w:val="20"/>
        </w:rPr>
        <w:t>Los cambios en los recursos para los resultados establecidos en este programa se deben principalmente a lo siguiente:  i) la aplicación continuada del modelo de ejecución para las actividades orientadas al desarrollo (resultados I.2 (</w:t>
      </w:r>
      <w:r w:rsidRPr="00CA3895">
        <w:rPr>
          <w:sz w:val="20"/>
        </w:rPr>
        <w:t>Asesoramiento legislativ</w:t>
      </w:r>
      <w:r>
        <w:rPr>
          <w:sz w:val="20"/>
        </w:rPr>
        <w:t>o</w:t>
      </w:r>
      <w:r w:rsidRPr="00CA3895">
        <w:rPr>
          <w:sz w:val="20"/>
        </w:rPr>
        <w:t>)</w:t>
      </w:r>
      <w:r w:rsidRPr="009F406F">
        <w:rPr>
          <w:sz w:val="20"/>
        </w:rPr>
        <w:t xml:space="preserve"> y III.1 (Estrategias nacionales de P.I.));  y ii) la redistribución interna de los recursos a fin de garantizar que se aborden las características</w:t>
      </w:r>
      <w:r w:rsidR="004E3B39">
        <w:rPr>
          <w:sz w:val="20"/>
        </w:rPr>
        <w:t xml:space="preserve"> específicas regionales de las p</w:t>
      </w:r>
      <w:r w:rsidRPr="009F406F">
        <w:rPr>
          <w:sz w:val="20"/>
        </w:rPr>
        <w:t>ymes en consonancia con las estrategias y planes nacionales de P.I. y de dar cabida a las actividades para los países desarrollados.</w:t>
      </w:r>
    </w:p>
    <w:p w:rsidR="002E7DC3" w:rsidRPr="009F406F" w:rsidRDefault="002E7DC3" w:rsidP="002E7DC3">
      <w:pPr>
        <w:widowControl w:val="0"/>
        <w:jc w:val="both"/>
        <w:rPr>
          <w:sz w:val="20"/>
        </w:rPr>
      </w:pPr>
    </w:p>
    <w:p w:rsidR="00B16400" w:rsidRPr="00C75C7E" w:rsidRDefault="00460232" w:rsidP="002E7DC3">
      <w:pPr>
        <w:keepNext/>
        <w:widowControl w:val="0"/>
        <w:autoSpaceDE w:val="0"/>
        <w:autoSpaceDN w:val="0"/>
        <w:adjustRightInd w:val="0"/>
        <w:jc w:val="center"/>
        <w:rPr>
          <w:b/>
          <w:bCs/>
          <w:iCs/>
          <w:sz w:val="20"/>
          <w:lang w:val="es-ES_tradnl"/>
        </w:rPr>
      </w:pPr>
      <w:r>
        <w:rPr>
          <w:b/>
          <w:bCs/>
          <w:iCs/>
          <w:sz w:val="20"/>
          <w:lang w:val="es-ES_tradnl"/>
        </w:rPr>
        <w:lastRenderedPageBreak/>
        <w:t xml:space="preserve">Programa 10:  </w:t>
      </w:r>
      <w:r w:rsidR="00B16400" w:rsidRPr="00C75C7E">
        <w:rPr>
          <w:b/>
          <w:bCs/>
          <w:iCs/>
          <w:sz w:val="20"/>
          <w:lang w:val="es-ES_tradnl"/>
        </w:rPr>
        <w:t>Recursos por resultado</w:t>
      </w:r>
    </w:p>
    <w:p w:rsidR="00B16400" w:rsidRPr="00C75C7E" w:rsidRDefault="00B16400" w:rsidP="002E7DC3">
      <w:pPr>
        <w:keepNext/>
        <w:widowControl w:val="0"/>
        <w:autoSpaceDE w:val="0"/>
        <w:autoSpaceDN w:val="0"/>
        <w:adjustRightInd w:val="0"/>
        <w:jc w:val="center"/>
        <w:rPr>
          <w:bCs/>
          <w:i/>
          <w:sz w:val="20"/>
          <w:lang w:val="es-ES_tradnl"/>
        </w:rPr>
      </w:pPr>
      <w:r w:rsidRPr="00C75C7E">
        <w:rPr>
          <w:bCs/>
          <w:i/>
          <w:sz w:val="20"/>
          <w:lang w:val="es-ES_tradnl"/>
        </w:rPr>
        <w:t>(en miles de francos suizos)</w:t>
      </w:r>
    </w:p>
    <w:p w:rsidR="00B16400" w:rsidRDefault="00B16400" w:rsidP="002E7DC3">
      <w:pPr>
        <w:keepNext/>
        <w:widowControl w:val="0"/>
        <w:autoSpaceDE w:val="0"/>
        <w:autoSpaceDN w:val="0"/>
        <w:adjustRightInd w:val="0"/>
        <w:jc w:val="center"/>
        <w:rPr>
          <w:bCs/>
          <w:i/>
          <w:sz w:val="20"/>
          <w:lang w:val="es-ES_tradnl"/>
        </w:rPr>
      </w:pPr>
    </w:p>
    <w:p w:rsidR="006265DC" w:rsidRPr="00C75C7E" w:rsidRDefault="00460232" w:rsidP="002E7DC3">
      <w:pPr>
        <w:keepNext/>
        <w:widowControl w:val="0"/>
        <w:autoSpaceDE w:val="0"/>
        <w:autoSpaceDN w:val="0"/>
        <w:adjustRightInd w:val="0"/>
        <w:jc w:val="center"/>
        <w:rPr>
          <w:bCs/>
          <w:i/>
          <w:sz w:val="20"/>
          <w:lang w:val="es-ES_tradnl"/>
        </w:rPr>
      </w:pPr>
      <w:r w:rsidRPr="00460232">
        <w:rPr>
          <w:noProof/>
          <w:lang w:val="en-US" w:eastAsia="en-US"/>
        </w:rPr>
        <w:drawing>
          <wp:inline distT="0" distB="0" distL="0" distR="0" wp14:anchorId="566EE1AE" wp14:editId="76D4AD7E">
            <wp:extent cx="5762625" cy="6191250"/>
            <wp:effectExtent l="0" t="0" r="9525" b="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762625" cy="6191250"/>
                    </a:xfrm>
                    <a:prstGeom prst="rect">
                      <a:avLst/>
                    </a:prstGeom>
                    <a:noFill/>
                    <a:ln>
                      <a:noFill/>
                    </a:ln>
                  </pic:spPr>
                </pic:pic>
              </a:graphicData>
            </a:graphic>
          </wp:inline>
        </w:drawing>
      </w:r>
    </w:p>
    <w:p w:rsidR="00B16400" w:rsidRPr="00C75C7E" w:rsidRDefault="00B16400" w:rsidP="00B16400">
      <w:pPr>
        <w:widowControl w:val="0"/>
        <w:autoSpaceDE w:val="0"/>
        <w:autoSpaceDN w:val="0"/>
        <w:adjustRightInd w:val="0"/>
        <w:rPr>
          <w:sz w:val="20"/>
          <w:lang w:val="es-ES_tradnl"/>
        </w:rPr>
      </w:pPr>
    </w:p>
    <w:p w:rsidR="00B16400" w:rsidRPr="00C75C7E" w:rsidRDefault="00B16400" w:rsidP="00B16400">
      <w:pPr>
        <w:widowControl w:val="0"/>
        <w:autoSpaceDE w:val="0"/>
        <w:autoSpaceDN w:val="0"/>
        <w:adjustRightInd w:val="0"/>
        <w:rPr>
          <w:sz w:val="20"/>
          <w:lang w:val="es-ES_tradnl"/>
        </w:rPr>
      </w:pPr>
      <w:r w:rsidRPr="00C75C7E">
        <w:rPr>
          <w:sz w:val="16"/>
          <w:szCs w:val="16"/>
          <w:lang w:val="es-ES_tradnl"/>
        </w:rPr>
        <w:t xml:space="preserve">Nota: </w:t>
      </w:r>
      <w:r w:rsidR="00506923">
        <w:rPr>
          <w:sz w:val="16"/>
          <w:szCs w:val="16"/>
          <w:lang w:val="es-ES_tradnl"/>
        </w:rPr>
        <w:t xml:space="preserve"> </w:t>
      </w:r>
      <w:r w:rsidRPr="00C75C7E">
        <w:rPr>
          <w:sz w:val="16"/>
          <w:szCs w:val="16"/>
          <w:lang w:val="es-ES_tradnl"/>
        </w:rPr>
        <w:t>Se ha reexpresado el presupuesto aprobado de 2012/13 y el presupuesto de dicho bienio después de las transferencias, por resultado previsto, para reflejar el marco de resultados de la Organización propuesto para 2014/15.</w:t>
      </w:r>
    </w:p>
    <w:p w:rsidR="00B16400" w:rsidRPr="00C75C7E" w:rsidRDefault="00B16400" w:rsidP="00B16400">
      <w:pPr>
        <w:widowControl w:val="0"/>
        <w:autoSpaceDE w:val="0"/>
        <w:autoSpaceDN w:val="0"/>
        <w:adjustRightInd w:val="0"/>
        <w:rPr>
          <w:sz w:val="20"/>
          <w:lang w:val="es-ES_tradnl"/>
        </w:rPr>
      </w:pPr>
    </w:p>
    <w:p w:rsidR="00B16400" w:rsidRPr="00C75C7E" w:rsidRDefault="00B16400" w:rsidP="00B16400">
      <w:pPr>
        <w:widowControl w:val="0"/>
        <w:autoSpaceDE w:val="0"/>
        <w:autoSpaceDN w:val="0"/>
        <w:adjustRightInd w:val="0"/>
        <w:rPr>
          <w:sz w:val="20"/>
          <w:lang w:val="es-ES_tradnl"/>
        </w:rPr>
      </w:pPr>
    </w:p>
    <w:p w:rsidR="00B16400" w:rsidRPr="00C75C7E" w:rsidRDefault="001144DA" w:rsidP="002E7DC3">
      <w:pPr>
        <w:keepNext/>
        <w:widowControl w:val="0"/>
        <w:autoSpaceDE w:val="0"/>
        <w:autoSpaceDN w:val="0"/>
        <w:adjustRightInd w:val="0"/>
        <w:ind w:firstLine="567"/>
        <w:jc w:val="center"/>
        <w:rPr>
          <w:b/>
          <w:bCs/>
          <w:iCs/>
          <w:sz w:val="20"/>
          <w:lang w:val="es-ES_tradnl"/>
        </w:rPr>
      </w:pPr>
      <w:r>
        <w:rPr>
          <w:b/>
          <w:bCs/>
          <w:iCs/>
          <w:sz w:val="20"/>
          <w:lang w:val="es-ES_tradnl"/>
        </w:rPr>
        <w:lastRenderedPageBreak/>
        <w:t xml:space="preserve">Programa 10:  </w:t>
      </w:r>
      <w:r w:rsidR="00B16400" w:rsidRPr="00C75C7E">
        <w:rPr>
          <w:b/>
          <w:bCs/>
          <w:iCs/>
          <w:sz w:val="20"/>
          <w:lang w:val="es-ES_tradnl"/>
        </w:rPr>
        <w:t>Recursos por objeto de gasto</w:t>
      </w:r>
    </w:p>
    <w:p w:rsidR="00B16400" w:rsidRPr="00C75C7E" w:rsidRDefault="00B16400" w:rsidP="002E7DC3">
      <w:pPr>
        <w:keepNext/>
        <w:widowControl w:val="0"/>
        <w:autoSpaceDE w:val="0"/>
        <w:autoSpaceDN w:val="0"/>
        <w:adjustRightInd w:val="0"/>
        <w:ind w:firstLine="567"/>
        <w:jc w:val="center"/>
        <w:rPr>
          <w:bCs/>
          <w:i/>
          <w:sz w:val="20"/>
          <w:lang w:val="es-ES_tradnl"/>
        </w:rPr>
      </w:pPr>
      <w:r w:rsidRPr="00C75C7E">
        <w:rPr>
          <w:bCs/>
          <w:i/>
          <w:sz w:val="20"/>
          <w:lang w:val="es-ES_tradnl"/>
        </w:rPr>
        <w:t>(en miles de francos suizos)</w:t>
      </w:r>
    </w:p>
    <w:p w:rsidR="00B16400" w:rsidRDefault="00B16400" w:rsidP="002E7DC3">
      <w:pPr>
        <w:keepNext/>
        <w:widowControl w:val="0"/>
        <w:jc w:val="center"/>
        <w:rPr>
          <w:sz w:val="18"/>
          <w:szCs w:val="18"/>
          <w:lang w:val="es-ES_tradnl"/>
        </w:rPr>
      </w:pPr>
    </w:p>
    <w:p w:rsidR="00723CAF" w:rsidRPr="00C75C7E" w:rsidRDefault="00C40A11" w:rsidP="002E7DC3">
      <w:pPr>
        <w:keepNext/>
        <w:widowControl w:val="0"/>
        <w:jc w:val="center"/>
        <w:rPr>
          <w:sz w:val="18"/>
          <w:szCs w:val="18"/>
          <w:lang w:val="es-ES_tradnl"/>
        </w:rPr>
      </w:pPr>
      <w:r>
        <w:rPr>
          <w:noProof/>
          <w:lang w:val="en-US" w:eastAsia="en-US"/>
        </w:rPr>
        <w:drawing>
          <wp:inline distT="0" distB="0" distL="0" distR="0" wp14:anchorId="5810C072" wp14:editId="15B3B10E">
            <wp:extent cx="5936615" cy="5732145"/>
            <wp:effectExtent l="0" t="0" r="6985" b="190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936615" cy="5732145"/>
                    </a:xfrm>
                    <a:prstGeom prst="rect">
                      <a:avLst/>
                    </a:prstGeom>
                    <a:noFill/>
                    <a:ln>
                      <a:noFill/>
                    </a:ln>
                  </pic:spPr>
                </pic:pic>
              </a:graphicData>
            </a:graphic>
          </wp:inline>
        </w:drawing>
      </w:r>
    </w:p>
    <w:p w:rsidR="00723CAF" w:rsidRDefault="00723CAF" w:rsidP="00B16400">
      <w:pPr>
        <w:widowControl w:val="0"/>
        <w:rPr>
          <w:sz w:val="18"/>
          <w:szCs w:val="18"/>
          <w:lang w:val="es-ES_tradnl"/>
        </w:rPr>
      </w:pPr>
    </w:p>
    <w:p w:rsidR="00B16400" w:rsidRPr="00C75C7E" w:rsidRDefault="00B16400" w:rsidP="00B16400">
      <w:pPr>
        <w:widowControl w:val="0"/>
        <w:rPr>
          <w:sz w:val="16"/>
          <w:szCs w:val="16"/>
          <w:lang w:val="es-ES_tradnl"/>
        </w:rPr>
      </w:pPr>
      <w:r w:rsidRPr="00C75C7E">
        <w:rPr>
          <w:sz w:val="16"/>
          <w:szCs w:val="16"/>
          <w:lang w:val="es-ES_tradnl"/>
        </w:rPr>
        <w:t>Notas:</w:t>
      </w:r>
    </w:p>
    <w:p w:rsidR="00B16400" w:rsidRPr="00C75C7E" w:rsidRDefault="00B16400" w:rsidP="00B16400">
      <w:pPr>
        <w:widowControl w:val="0"/>
        <w:rPr>
          <w:sz w:val="16"/>
          <w:szCs w:val="16"/>
          <w:u w:val="single"/>
          <w:lang w:val="es-ES_tradnl"/>
        </w:rPr>
      </w:pPr>
    </w:p>
    <w:p w:rsidR="00B16400" w:rsidRDefault="00B16400" w:rsidP="00B16400">
      <w:pPr>
        <w:widowControl w:val="0"/>
        <w:tabs>
          <w:tab w:val="left" w:pos="567"/>
        </w:tabs>
        <w:rPr>
          <w:sz w:val="16"/>
          <w:szCs w:val="16"/>
          <w:lang w:val="es-ES_tradnl"/>
        </w:rPr>
      </w:pPr>
      <w:r w:rsidRPr="00C75C7E">
        <w:rPr>
          <w:sz w:val="16"/>
          <w:szCs w:val="16"/>
          <w:lang w:val="es-ES_tradnl"/>
        </w:rPr>
        <w:t>1)  El presupuesto aprobado de 2012/13 y el presupuesto de dicho bienio después de las transferencias se reexpresan sobre la base de la estructura de categorías de costos propuesta para 2014/15.</w:t>
      </w:r>
    </w:p>
    <w:p w:rsidR="00B16400" w:rsidRPr="00C75C7E" w:rsidRDefault="00B16400" w:rsidP="00B16400">
      <w:pPr>
        <w:widowControl w:val="0"/>
        <w:tabs>
          <w:tab w:val="left" w:pos="567"/>
        </w:tabs>
        <w:rPr>
          <w:sz w:val="16"/>
          <w:szCs w:val="16"/>
          <w:lang w:val="es-ES_tradnl"/>
        </w:rPr>
      </w:pPr>
    </w:p>
    <w:p w:rsidR="00B16400" w:rsidRDefault="00506923" w:rsidP="00B16400">
      <w:pPr>
        <w:widowControl w:val="0"/>
        <w:rPr>
          <w:rFonts w:cs="ArialMT"/>
          <w:sz w:val="16"/>
          <w:szCs w:val="16"/>
          <w:lang w:val="es-ES_tradnl"/>
        </w:rPr>
      </w:pPr>
      <w:r>
        <w:rPr>
          <w:sz w:val="16"/>
          <w:szCs w:val="16"/>
          <w:lang w:val="es-ES_tradnl"/>
        </w:rPr>
        <w:t xml:space="preserve">2)  </w:t>
      </w:r>
      <w:r w:rsidR="00B16400" w:rsidRPr="00C75C7E">
        <w:rPr>
          <w:sz w:val="16"/>
          <w:szCs w:val="16"/>
          <w:lang w:val="es-ES_tradnl"/>
        </w:rPr>
        <w:t xml:space="preserve">El presupuesto después de las transferencias refleja el presupuesto de los programas ajustado tras las transferencias efectuadas en 2012/13 en virtud del artículo 5.5 del Reglamento Financiero. Para más información sobre el presupuesto de 2012/13 después de las transferencias, cabe remitirse al cuadro que figura en el Anexo I (Presupuesto después de las transferencias, por programa) del presente documento y al documento WO/PBC/20/2 (Informe sobre el rendimiento de los programas en 2012).  </w:t>
      </w:r>
      <w:r w:rsidR="00B16400" w:rsidRPr="00C75C7E">
        <w:rPr>
          <w:rFonts w:cs="ArialMT"/>
          <w:sz w:val="16"/>
          <w:szCs w:val="16"/>
          <w:lang w:val="es-ES_tradnl"/>
        </w:rPr>
        <w:t xml:space="preserve">Los costos de personal del presupuesto de 2012/13 después de las transferencias representan los gastos reales efectuados hasta el 31 de marzo de 2013 y los importes presupuestados para los nueve meses restantes de 2013, sobre la base de costos estándar. </w:t>
      </w:r>
    </w:p>
    <w:p w:rsidR="00B16400" w:rsidRPr="00C75C7E" w:rsidRDefault="00B16400" w:rsidP="00B16400">
      <w:pPr>
        <w:widowControl w:val="0"/>
        <w:rPr>
          <w:sz w:val="16"/>
          <w:szCs w:val="16"/>
          <w:lang w:val="es-ES_tradnl"/>
        </w:rPr>
      </w:pPr>
    </w:p>
    <w:p w:rsidR="00B16400" w:rsidRPr="00C75C7E" w:rsidRDefault="00B16400" w:rsidP="00B16400">
      <w:pPr>
        <w:widowControl w:val="0"/>
        <w:rPr>
          <w:sz w:val="16"/>
          <w:szCs w:val="16"/>
          <w:lang w:val="es-ES_tradnl"/>
        </w:rPr>
      </w:pPr>
      <w:r>
        <w:rPr>
          <w:sz w:val="16"/>
          <w:szCs w:val="16"/>
          <w:lang w:val="es-ES_tradnl"/>
        </w:rPr>
        <w:t>3)</w:t>
      </w:r>
      <w:r w:rsidR="00506923">
        <w:rPr>
          <w:sz w:val="16"/>
          <w:szCs w:val="16"/>
          <w:lang w:val="es-ES_tradnl"/>
        </w:rPr>
        <w:t xml:space="preserve">  </w:t>
      </w:r>
      <w:r w:rsidRPr="00C75C7E">
        <w:rPr>
          <w:sz w:val="16"/>
          <w:szCs w:val="16"/>
          <w:lang w:val="es-ES_tradnl"/>
        </w:rPr>
        <w:t>Para más información sobre los puestos del programa cabe remitirse al cuadro que figura en el Anexo II.</w:t>
      </w:r>
    </w:p>
    <w:p w:rsidR="002E7DC3" w:rsidRPr="008541BE" w:rsidRDefault="00B16400" w:rsidP="008541BE">
      <w:pPr>
        <w:pStyle w:val="Heading3"/>
        <w:tabs>
          <w:tab w:val="left" w:pos="1985"/>
        </w:tabs>
        <w:rPr>
          <w:b/>
          <w:iCs/>
          <w:caps/>
          <w:u w:val="none"/>
        </w:rPr>
      </w:pPr>
      <w:r w:rsidRPr="00C75C7E">
        <w:rPr>
          <w:sz w:val="16"/>
          <w:szCs w:val="16"/>
          <w:lang w:val="es-ES_tradnl"/>
        </w:rPr>
        <w:br w:type="page"/>
      </w:r>
      <w:bookmarkStart w:id="44" w:name="_Toc356567760"/>
      <w:bookmarkStart w:id="45" w:name="_Toc358816698"/>
      <w:r w:rsidR="006A15F5" w:rsidRPr="008541BE">
        <w:rPr>
          <w:b/>
          <w:iCs/>
          <w:u w:val="none"/>
        </w:rPr>
        <w:lastRenderedPageBreak/>
        <w:t>PROGRAMA 11</w:t>
      </w:r>
      <w:r w:rsidR="006A15F5" w:rsidRPr="008541BE">
        <w:rPr>
          <w:b/>
          <w:iCs/>
          <w:u w:val="none"/>
        </w:rPr>
        <w:tab/>
      </w:r>
      <w:r w:rsidR="001144DA">
        <w:rPr>
          <w:b/>
          <w:iCs/>
          <w:u w:val="none"/>
        </w:rPr>
        <w:t xml:space="preserve">ACADEMIA </w:t>
      </w:r>
      <w:r w:rsidR="006A15F5" w:rsidRPr="008541BE">
        <w:rPr>
          <w:b/>
          <w:iCs/>
          <w:u w:val="none"/>
        </w:rPr>
        <w:t>DE LA OMPI</w:t>
      </w:r>
      <w:bookmarkEnd w:id="44"/>
      <w:bookmarkEnd w:id="45"/>
      <w:r w:rsidR="006A15F5" w:rsidRPr="008541BE">
        <w:rPr>
          <w:b/>
          <w:iCs/>
          <w:u w:val="none"/>
        </w:rPr>
        <w:t xml:space="preserve"> </w:t>
      </w:r>
    </w:p>
    <w:p w:rsidR="002E7DC3" w:rsidRPr="002E7DC3" w:rsidRDefault="002E7DC3" w:rsidP="006A15F5">
      <w:pPr>
        <w:rPr>
          <w:lang w:eastAsia="en-US"/>
        </w:rPr>
      </w:pPr>
    </w:p>
    <w:p w:rsidR="002E7DC3" w:rsidRPr="002E7DC3" w:rsidRDefault="002E7DC3" w:rsidP="006A15F5">
      <w:pPr>
        <w:rPr>
          <w:rFonts w:cs="Times New Roman"/>
          <w:lang w:eastAsia="en-US"/>
        </w:rPr>
      </w:pPr>
    </w:p>
    <w:p w:rsidR="002E7DC3" w:rsidRPr="002E7DC3" w:rsidRDefault="002E7DC3" w:rsidP="002E7DC3">
      <w:pPr>
        <w:widowControl w:val="0"/>
        <w:ind w:left="1985" w:hanging="1985"/>
        <w:jc w:val="both"/>
        <w:rPr>
          <w:rFonts w:eastAsia="Times New Roman"/>
          <w:szCs w:val="22"/>
          <w:lang w:eastAsia="en-US"/>
        </w:rPr>
      </w:pPr>
      <w:r w:rsidRPr="002E7DC3">
        <w:rPr>
          <w:rFonts w:eastAsia="Times New Roman"/>
          <w:szCs w:val="22"/>
          <w:lang w:eastAsia="en-US"/>
        </w:rPr>
        <w:t xml:space="preserve">CONTEXTO DE PLANIFICACIÓN  </w:t>
      </w:r>
    </w:p>
    <w:p w:rsidR="002E7DC3" w:rsidRPr="002E7DC3" w:rsidRDefault="002E7DC3" w:rsidP="002E7DC3">
      <w:pPr>
        <w:widowControl w:val="0"/>
        <w:autoSpaceDE w:val="0"/>
        <w:autoSpaceDN w:val="0"/>
        <w:adjustRightInd w:val="0"/>
        <w:jc w:val="both"/>
        <w:rPr>
          <w:rFonts w:eastAsia="Times New Roman"/>
          <w:sz w:val="20"/>
          <w:lang w:eastAsia="en-US"/>
        </w:rPr>
      </w:pPr>
    </w:p>
    <w:p w:rsidR="002E7DC3" w:rsidRPr="002E7DC3" w:rsidRDefault="002E7DC3" w:rsidP="00BA276E">
      <w:pPr>
        <w:widowControl w:val="0"/>
        <w:numPr>
          <w:ilvl w:val="0"/>
          <w:numId w:val="33"/>
        </w:numPr>
        <w:ind w:right="44"/>
        <w:jc w:val="both"/>
        <w:rPr>
          <w:rFonts w:eastAsia="Times New Roman"/>
          <w:sz w:val="20"/>
          <w:lang w:eastAsia="en-US"/>
        </w:rPr>
      </w:pPr>
      <w:r w:rsidRPr="002E7DC3">
        <w:rPr>
          <w:rFonts w:eastAsia="Times New Roman"/>
          <w:sz w:val="20"/>
          <w:lang w:eastAsia="en-US"/>
        </w:rPr>
        <w:t>En el momento en que se constituyó, en 1998, la Academia de la OMPI era el principal proveedor de formación y educación para el desarrollo.  En la actualidad, son varios los programas de la OMPI que incluyen un componente de formación y los recursos de la Academia son tan solo una fracción de los recursos generales que la Organización dedica al fortalecimiento de las capacidades.</w:t>
      </w:r>
    </w:p>
    <w:p w:rsidR="002E7DC3" w:rsidRPr="002E7DC3" w:rsidRDefault="002E7DC3" w:rsidP="002E7DC3">
      <w:pPr>
        <w:widowControl w:val="0"/>
        <w:ind w:right="44"/>
        <w:jc w:val="both"/>
        <w:rPr>
          <w:rFonts w:eastAsia="Times New Roman"/>
          <w:sz w:val="20"/>
          <w:lang w:eastAsia="en-US"/>
        </w:rPr>
      </w:pPr>
    </w:p>
    <w:p w:rsidR="002E7DC3" w:rsidRPr="002E7DC3" w:rsidRDefault="002E7DC3" w:rsidP="00BA276E">
      <w:pPr>
        <w:widowControl w:val="0"/>
        <w:numPr>
          <w:ilvl w:val="0"/>
          <w:numId w:val="33"/>
        </w:numPr>
        <w:ind w:right="44"/>
        <w:jc w:val="both"/>
        <w:rPr>
          <w:rFonts w:eastAsia="Times New Roman"/>
          <w:sz w:val="20"/>
          <w:lang w:eastAsia="en-US"/>
        </w:rPr>
      </w:pPr>
      <w:r w:rsidRPr="002E7DC3">
        <w:rPr>
          <w:rFonts w:eastAsia="Times New Roman"/>
          <w:sz w:val="20"/>
          <w:lang w:eastAsia="en-US"/>
        </w:rPr>
        <w:t xml:space="preserve">En un examen independiente de la Academia de la OMPI que se realizó en 2012 para  la dirección se concluyó que la OMPI tiene un ámbito de actuación claro en la formación orientada al desarrollo y una ventaja comparativa respecto de otros proveedores de formación en P.I.  En el examen se recomendaba que a fin de lograr una planificación más integrada de las actividades de formación y fortalecimiento de capacidades que realiza la OMPI y aprovechar al máximo los recursos disponibles, a medio plazo, todas las actividades de esa índole debían agruparse en una sola dependencia.  </w:t>
      </w:r>
      <w:r w:rsidR="001144DA">
        <w:rPr>
          <w:rFonts w:eastAsia="Times New Roman"/>
          <w:sz w:val="20"/>
          <w:lang w:eastAsia="en-US"/>
        </w:rPr>
        <w:t>La Academia</w:t>
      </w:r>
      <w:r w:rsidRPr="002E7DC3">
        <w:rPr>
          <w:rFonts w:eastAsia="Times New Roman"/>
          <w:sz w:val="20"/>
          <w:lang w:eastAsia="en-US"/>
        </w:rPr>
        <w:t xml:space="preserve"> pasaría a ser el principal vehículo de la Organización para la formación y el fortalecimiento de las capacidades y desempeñaría cinco funciones principales:  órgano ejecutor para la prestación directa de servicios de formación profesional;  catalizador de redes y asociaciones para ampliar la diversidad de las oportunidades de formación en los países y su repercusión;  centro propio de excelencia en la formación;  centro de información en Internet de acceso abierto sobre todas las actividades, herramientas y servicios de formación de la OMPI;  y una plataforma que agrupe las redes virtuales de asociados, expertos y docentes en el ámbito de la formación en P.I. orientada al desarrollo. </w:t>
      </w:r>
    </w:p>
    <w:p w:rsidR="002E7DC3" w:rsidRPr="002E7DC3" w:rsidRDefault="002E7DC3" w:rsidP="002E7DC3">
      <w:pPr>
        <w:widowControl w:val="0"/>
        <w:ind w:right="44"/>
        <w:jc w:val="both"/>
        <w:rPr>
          <w:rFonts w:eastAsia="Times New Roman"/>
          <w:sz w:val="20"/>
          <w:lang w:eastAsia="en-US"/>
        </w:rPr>
      </w:pPr>
    </w:p>
    <w:p w:rsidR="002E7DC3" w:rsidRPr="002E7DC3" w:rsidRDefault="002E7DC3" w:rsidP="00BA276E">
      <w:pPr>
        <w:widowControl w:val="0"/>
        <w:numPr>
          <w:ilvl w:val="0"/>
          <w:numId w:val="33"/>
        </w:numPr>
        <w:ind w:right="44"/>
        <w:jc w:val="both"/>
        <w:rPr>
          <w:rFonts w:eastAsia="Times New Roman"/>
          <w:sz w:val="20"/>
          <w:lang w:eastAsia="en-US"/>
        </w:rPr>
      </w:pPr>
      <w:r w:rsidRPr="002E7DC3">
        <w:rPr>
          <w:rFonts w:eastAsia="Times New Roman"/>
          <w:sz w:val="20"/>
          <w:lang w:eastAsia="en-US"/>
        </w:rPr>
        <w:t>Sin dejar de reconocer los esfuerzos que lleva a cabo actualmente la Academia y los excelentes resultados de su programa de enseñanza a distancia, en el examen se critica la falta de políticas explícitas sobre asociaciones y de un mecanismo transparente para examinar, actualizar y orientar hacia el desarrollo los contenidos, el conjunto de competencias que fomenta actualmente y las sinergias insuficientes con otros ámbitos de la Organización.  Finalmente, en el examen se esbozaba un plan quinquenal para la transición desde el formato actual hasta el establecimiento de un</w:t>
      </w:r>
      <w:r w:rsidR="001144DA">
        <w:rPr>
          <w:rFonts w:eastAsia="Times New Roman"/>
          <w:sz w:val="20"/>
          <w:lang w:eastAsia="en-US"/>
        </w:rPr>
        <w:t>a Academia</w:t>
      </w:r>
      <w:r w:rsidRPr="002E7DC3">
        <w:rPr>
          <w:rFonts w:eastAsia="Times New Roman"/>
          <w:sz w:val="20"/>
          <w:lang w:eastAsia="en-US"/>
        </w:rPr>
        <w:t xml:space="preserve"> de la OMPI plenamente desarrollad</w:t>
      </w:r>
      <w:r w:rsidR="001144DA">
        <w:rPr>
          <w:rFonts w:eastAsia="Times New Roman"/>
          <w:sz w:val="20"/>
          <w:lang w:eastAsia="en-US"/>
        </w:rPr>
        <w:t>a</w:t>
      </w:r>
      <w:r w:rsidRPr="002E7DC3">
        <w:rPr>
          <w:rFonts w:eastAsia="Times New Roman"/>
          <w:sz w:val="20"/>
          <w:lang w:eastAsia="en-US"/>
        </w:rPr>
        <w:t xml:space="preserve"> y se formulaban recomendaciones pormenorizadas sobre el mandato, las políticas, el ámbito de aplicación y el modo de funcionar de</w:t>
      </w:r>
      <w:r w:rsidR="001144DA">
        <w:rPr>
          <w:rFonts w:eastAsia="Times New Roman"/>
          <w:sz w:val="20"/>
          <w:lang w:eastAsia="en-US"/>
        </w:rPr>
        <w:t xml:space="preserve"> la </w:t>
      </w:r>
      <w:r w:rsidR="001144DA" w:rsidRPr="001144DA">
        <w:rPr>
          <w:rFonts w:eastAsia="Times New Roman"/>
          <w:sz w:val="20"/>
          <w:lang w:eastAsia="en-US"/>
        </w:rPr>
        <w:t>A</w:t>
      </w:r>
      <w:r w:rsidR="001144DA">
        <w:rPr>
          <w:rFonts w:eastAsia="Times New Roman"/>
          <w:sz w:val="20"/>
          <w:lang w:eastAsia="en-US"/>
        </w:rPr>
        <w:t>cademia</w:t>
      </w:r>
      <w:r w:rsidRPr="002E7DC3">
        <w:rPr>
          <w:rFonts w:eastAsia="Times New Roman"/>
          <w:sz w:val="20"/>
          <w:lang w:eastAsia="en-US"/>
        </w:rPr>
        <w:t xml:space="preserve">.  </w:t>
      </w:r>
    </w:p>
    <w:p w:rsidR="002E7DC3" w:rsidRDefault="002E7DC3" w:rsidP="002E7DC3">
      <w:pPr>
        <w:widowControl w:val="0"/>
        <w:autoSpaceDE w:val="0"/>
        <w:autoSpaceDN w:val="0"/>
        <w:adjustRightInd w:val="0"/>
        <w:jc w:val="both"/>
        <w:rPr>
          <w:rFonts w:eastAsia="Times New Roman"/>
          <w:bCs/>
          <w:sz w:val="20"/>
          <w:lang w:eastAsia="en-US"/>
        </w:rPr>
      </w:pPr>
    </w:p>
    <w:p w:rsidR="002E7DC3" w:rsidRPr="002E7DC3" w:rsidRDefault="002E7DC3" w:rsidP="002E7DC3">
      <w:pPr>
        <w:widowControl w:val="0"/>
        <w:autoSpaceDE w:val="0"/>
        <w:autoSpaceDN w:val="0"/>
        <w:adjustRightInd w:val="0"/>
        <w:jc w:val="both"/>
        <w:rPr>
          <w:rFonts w:eastAsia="Times New Roman"/>
          <w:bCs/>
          <w:sz w:val="20"/>
          <w:lang w:eastAsia="en-US"/>
        </w:rPr>
      </w:pPr>
    </w:p>
    <w:p w:rsidR="002E7DC3" w:rsidRPr="002E7DC3" w:rsidRDefault="002E7DC3" w:rsidP="002E7DC3">
      <w:pPr>
        <w:widowControl w:val="0"/>
        <w:ind w:right="363"/>
        <w:rPr>
          <w:rFonts w:eastAsia="Times New Roman"/>
          <w:szCs w:val="22"/>
          <w:lang w:eastAsia="en-US"/>
        </w:rPr>
      </w:pPr>
      <w:r w:rsidRPr="002E7DC3">
        <w:rPr>
          <w:rFonts w:eastAsia="Times New Roman"/>
          <w:szCs w:val="22"/>
          <w:lang w:eastAsia="en-US"/>
        </w:rPr>
        <w:t xml:space="preserve">ESTRATEGIAS DE EJECUCIÓN </w:t>
      </w:r>
    </w:p>
    <w:p w:rsidR="002E7DC3" w:rsidRPr="002E7DC3" w:rsidRDefault="002E7DC3" w:rsidP="002E7DC3">
      <w:pPr>
        <w:widowControl w:val="0"/>
        <w:autoSpaceDE w:val="0"/>
        <w:autoSpaceDN w:val="0"/>
        <w:adjustRightInd w:val="0"/>
        <w:jc w:val="both"/>
        <w:rPr>
          <w:rFonts w:eastAsia="Times New Roman"/>
          <w:bCs/>
          <w:sz w:val="20"/>
          <w:lang w:eastAsia="en-US"/>
        </w:rPr>
      </w:pPr>
    </w:p>
    <w:p w:rsidR="002E7DC3" w:rsidRPr="002E7DC3" w:rsidRDefault="002E7DC3" w:rsidP="00BA276E">
      <w:pPr>
        <w:widowControl w:val="0"/>
        <w:numPr>
          <w:ilvl w:val="0"/>
          <w:numId w:val="33"/>
        </w:numPr>
        <w:ind w:right="44"/>
        <w:jc w:val="both"/>
        <w:rPr>
          <w:rFonts w:eastAsia="Times New Roman"/>
          <w:sz w:val="20"/>
          <w:lang w:eastAsia="en-US"/>
        </w:rPr>
      </w:pPr>
      <w:r w:rsidRPr="002E7DC3">
        <w:rPr>
          <w:rFonts w:eastAsia="Times New Roman"/>
          <w:sz w:val="20"/>
          <w:lang w:eastAsia="en-US"/>
        </w:rPr>
        <w:t>A raíz de lo anterior, el desafío principal del programa para el próximo bienio es la puesta en marcha de la ejecución de dicha visión sin dejar de ofrecer a los Estados miembros servicios de formación y educación de gran calidad en consonancia con las recomendaciones 1, 3, 6 y 12 de la A.D.</w:t>
      </w:r>
    </w:p>
    <w:p w:rsidR="002E7DC3" w:rsidRPr="002E7DC3" w:rsidRDefault="002E7DC3" w:rsidP="002E7DC3">
      <w:pPr>
        <w:widowControl w:val="0"/>
        <w:ind w:right="44"/>
        <w:jc w:val="both"/>
        <w:rPr>
          <w:rFonts w:eastAsia="Times New Roman"/>
          <w:sz w:val="20"/>
          <w:lang w:eastAsia="en-US"/>
        </w:rPr>
      </w:pPr>
      <w:r w:rsidRPr="002E7DC3">
        <w:rPr>
          <w:rFonts w:eastAsia="Times New Roman"/>
          <w:sz w:val="20"/>
          <w:lang w:eastAsia="en-US"/>
        </w:rPr>
        <w:t xml:space="preserve"> </w:t>
      </w:r>
    </w:p>
    <w:p w:rsidR="002E7DC3" w:rsidRPr="002E7DC3" w:rsidRDefault="002E7DC3" w:rsidP="00BA276E">
      <w:pPr>
        <w:widowControl w:val="0"/>
        <w:numPr>
          <w:ilvl w:val="0"/>
          <w:numId w:val="33"/>
        </w:numPr>
        <w:ind w:right="44"/>
        <w:jc w:val="both"/>
        <w:rPr>
          <w:rFonts w:eastAsia="Times New Roman"/>
          <w:sz w:val="20"/>
          <w:lang w:eastAsia="en-US"/>
        </w:rPr>
      </w:pPr>
      <w:r w:rsidRPr="002E7DC3">
        <w:rPr>
          <w:rFonts w:eastAsia="Times New Roman"/>
          <w:sz w:val="20"/>
          <w:lang w:eastAsia="en-US"/>
        </w:rPr>
        <w:t xml:space="preserve">En el próximo bienio, la OMPI sentará las bases para que la Academia vuelva a ser la dependencia principal de la OMPI en formación y fortalecimiento de las capacidades para los países en desarrollo, los PMA y los países con economías en transición.  Ello incluirá la publicación de directrices de política sobre las respectivas funciones y responsabilidades </w:t>
      </w:r>
      <w:r w:rsidR="001144DA">
        <w:rPr>
          <w:rFonts w:eastAsia="Times New Roman"/>
          <w:sz w:val="20"/>
          <w:lang w:eastAsia="en-US"/>
        </w:rPr>
        <w:t>de la Academia</w:t>
      </w:r>
      <w:r w:rsidRPr="002E7DC3">
        <w:rPr>
          <w:rFonts w:eastAsia="Times New Roman"/>
          <w:sz w:val="20"/>
          <w:lang w:eastAsia="en-US"/>
        </w:rPr>
        <w:t>, las Oficinas Regionales</w:t>
      </w:r>
      <w:r w:rsidR="001144DA">
        <w:rPr>
          <w:rFonts w:eastAsia="Times New Roman"/>
          <w:sz w:val="20"/>
          <w:lang w:eastAsia="en-US"/>
        </w:rPr>
        <w:t xml:space="preserve"> en la Sede</w:t>
      </w:r>
      <w:r w:rsidRPr="002E7DC3">
        <w:rPr>
          <w:rFonts w:eastAsia="Times New Roman"/>
          <w:sz w:val="20"/>
          <w:lang w:eastAsia="en-US"/>
        </w:rPr>
        <w:t>, la División de PMA, el programa 10 (Cooperación con determinados países de Europa y Asia), las oficinas en el exterior y los sectores especializados que tienen un componente de formación.  Además, se establecerá un mecanismo que permita coordinar mejor la formación con las evaluaciones de necesidades de los países y los planes nacionales, elaborar planes anuales de trabajo integrados, establecer procesos explícitos para aprovechar las evaluaciones de países que lleva a cabo la DASI y servirse de las reuniones regionales y subregionales sobre P.I. y de los grupos regionales para solicitar información sobre las necesidades de formación de una región concreta.</w:t>
      </w:r>
    </w:p>
    <w:p w:rsidR="002E7DC3" w:rsidRPr="002E7DC3" w:rsidRDefault="002E7DC3" w:rsidP="002E7DC3">
      <w:pPr>
        <w:widowControl w:val="0"/>
        <w:ind w:right="44"/>
        <w:jc w:val="both"/>
        <w:rPr>
          <w:rFonts w:eastAsia="Times New Roman"/>
          <w:sz w:val="20"/>
          <w:lang w:eastAsia="en-US"/>
        </w:rPr>
      </w:pPr>
    </w:p>
    <w:p w:rsidR="002E7DC3" w:rsidRPr="002E7DC3" w:rsidRDefault="002E7DC3" w:rsidP="00BA276E">
      <w:pPr>
        <w:widowControl w:val="0"/>
        <w:numPr>
          <w:ilvl w:val="0"/>
          <w:numId w:val="33"/>
        </w:numPr>
        <w:ind w:right="44"/>
        <w:jc w:val="both"/>
        <w:rPr>
          <w:rFonts w:eastAsia="Times New Roman"/>
          <w:sz w:val="20"/>
          <w:lang w:eastAsia="en-US"/>
        </w:rPr>
      </w:pPr>
      <w:r w:rsidRPr="002E7DC3">
        <w:rPr>
          <w:rFonts w:eastAsia="Times New Roman"/>
          <w:sz w:val="20"/>
          <w:lang w:eastAsia="en-US"/>
        </w:rPr>
        <w:t xml:space="preserve">En una segunda etapa, la OMPI llevará a cabo una revisión general de la cartera de formación profesional que ofrece actualmente la Academia con objeto de alinearla con una declaración de política sobre su ámbito de actuación estratégico, los beneficiarios específicos y los temas prioritarios.  Se propone que debe concederse prioridad a los funcionarios gubernamentales y a los empleados del sector público de los Estados miembros (incluidos los encargados de la adopción de políticas y los administradores procedentes de cualquier organismo o ministerio gubernamental del que emerjan cuestiones de P.I., jueces y diplomáticos), así como a las organizaciones que participan en procesos consultivos nacionales sobre adopción de políticas de P.I. y asociaciones de partes interesadas con un </w:t>
      </w:r>
      <w:r w:rsidRPr="002E7DC3">
        <w:rPr>
          <w:rFonts w:eastAsia="Times New Roman"/>
          <w:sz w:val="20"/>
          <w:lang w:eastAsia="en-US"/>
        </w:rPr>
        <w:lastRenderedPageBreak/>
        <w:t>potencial demostrado para multiplicar la formación entre los sectores que las conforman.  Por lo que respecta a los temas, se propone que la cartera revisada gire en torno a cuatro ejes:  política y derecho nacional e internacional sobre P.I., administración de la P.I., uso de la P.I. en aras del desarrollo, y creatividad e innovación.</w:t>
      </w:r>
    </w:p>
    <w:p w:rsidR="002E7DC3" w:rsidRPr="002E7DC3" w:rsidRDefault="002E7DC3" w:rsidP="002E7DC3">
      <w:pPr>
        <w:widowControl w:val="0"/>
        <w:ind w:right="44"/>
        <w:jc w:val="both"/>
        <w:rPr>
          <w:rFonts w:eastAsia="Times New Roman"/>
          <w:sz w:val="20"/>
          <w:lang w:eastAsia="en-US"/>
        </w:rPr>
      </w:pPr>
    </w:p>
    <w:p w:rsidR="002E7DC3" w:rsidRPr="002E7DC3" w:rsidRDefault="002E7DC3" w:rsidP="00BA276E">
      <w:pPr>
        <w:widowControl w:val="0"/>
        <w:numPr>
          <w:ilvl w:val="0"/>
          <w:numId w:val="33"/>
        </w:numPr>
        <w:ind w:right="44"/>
        <w:jc w:val="both"/>
        <w:rPr>
          <w:rFonts w:eastAsia="Times New Roman"/>
          <w:sz w:val="20"/>
          <w:lang w:eastAsia="en-US"/>
        </w:rPr>
      </w:pPr>
      <w:r w:rsidRPr="002E7DC3">
        <w:rPr>
          <w:rFonts w:eastAsia="Times New Roman"/>
          <w:sz w:val="20"/>
          <w:lang w:eastAsia="en-US"/>
        </w:rPr>
        <w:t>Las modalidades de ejecución seguirán siendo una combinación de cursos periódicos integrados y de módulos de formación práctica, según sea pertinente;  una serie de módulos de formación de corta duración "según la demanda";  un número limitado de visitas de estudio predefinidas por año;  enseñanza a distancia (a través del programa de enseñanza a distancia);  becas para estudios de posgrado y provisión de herramientas y redes para el fortalecimiento de las capacidades en una país concreto;  y un número limitado de cursos de verano con carácter rotativo.</w:t>
      </w:r>
    </w:p>
    <w:p w:rsidR="002E7DC3" w:rsidRPr="002E7DC3" w:rsidRDefault="002E7DC3" w:rsidP="002E7DC3">
      <w:pPr>
        <w:widowControl w:val="0"/>
        <w:ind w:right="44"/>
        <w:jc w:val="both"/>
        <w:rPr>
          <w:rFonts w:eastAsia="Times New Roman"/>
          <w:sz w:val="20"/>
          <w:lang w:eastAsia="en-US"/>
        </w:rPr>
      </w:pPr>
    </w:p>
    <w:p w:rsidR="002E7DC3" w:rsidRPr="002E7DC3" w:rsidRDefault="002E7DC3" w:rsidP="00BA276E">
      <w:pPr>
        <w:widowControl w:val="0"/>
        <w:numPr>
          <w:ilvl w:val="0"/>
          <w:numId w:val="33"/>
        </w:numPr>
        <w:ind w:right="44"/>
        <w:jc w:val="both"/>
        <w:rPr>
          <w:rFonts w:eastAsia="Times New Roman"/>
          <w:sz w:val="20"/>
          <w:lang w:eastAsia="en-US"/>
        </w:rPr>
      </w:pPr>
      <w:r w:rsidRPr="002E7DC3">
        <w:rPr>
          <w:rFonts w:eastAsia="Times New Roman"/>
          <w:sz w:val="20"/>
          <w:lang w:eastAsia="en-US"/>
        </w:rPr>
        <w:t>Si bien la OMPI no puede competir con las facultades de derecho, se estima que tiene una importante función que desempeñar para facilitar el acceso a los estudios superiores en P.I.  A corto plazo, la OMPI debe seguir apoyando la educación de posgrado en P.I. a través de programas de máster conjuntos.  En última instancia, el papel de la OMPI debería evolucionar desde el de proveedor conjunto de diplomas, a un papel de intermediario, catalizador y asesor.  Al finalizar el lustro de transición, la OMPI no debería expedir másteres en derecho ni ninguna otra cualificación académica y los programas académicos a cuya creación ha contribuido deberían tener lugar sin el apoyo operativo directo de la OMPI.</w:t>
      </w:r>
    </w:p>
    <w:p w:rsidR="002E7DC3" w:rsidRPr="002E7DC3" w:rsidRDefault="002E7DC3" w:rsidP="002E7DC3">
      <w:pPr>
        <w:widowControl w:val="0"/>
        <w:ind w:right="44"/>
        <w:jc w:val="both"/>
        <w:rPr>
          <w:rFonts w:eastAsia="Times New Roman"/>
          <w:sz w:val="20"/>
          <w:lang w:eastAsia="en-US"/>
        </w:rPr>
      </w:pPr>
    </w:p>
    <w:p w:rsidR="002E7DC3" w:rsidRPr="002E7DC3" w:rsidRDefault="002E7DC3" w:rsidP="00BA276E">
      <w:pPr>
        <w:widowControl w:val="0"/>
        <w:numPr>
          <w:ilvl w:val="0"/>
          <w:numId w:val="33"/>
        </w:numPr>
        <w:ind w:right="44"/>
        <w:jc w:val="both"/>
        <w:rPr>
          <w:rFonts w:eastAsia="Times New Roman"/>
          <w:sz w:val="20"/>
          <w:lang w:eastAsia="en-US"/>
        </w:rPr>
      </w:pPr>
      <w:r w:rsidRPr="002E7DC3">
        <w:rPr>
          <w:rFonts w:eastAsia="Times New Roman"/>
          <w:sz w:val="20"/>
          <w:lang w:eastAsia="en-US"/>
        </w:rPr>
        <w:t xml:space="preserve">En el próximo bienio, </w:t>
      </w:r>
      <w:r w:rsidR="001144DA">
        <w:rPr>
          <w:rFonts w:eastAsia="Times New Roman"/>
          <w:sz w:val="20"/>
          <w:lang w:eastAsia="en-US"/>
        </w:rPr>
        <w:t>la Academia</w:t>
      </w:r>
      <w:r w:rsidRPr="002E7DC3">
        <w:rPr>
          <w:rFonts w:eastAsia="Times New Roman"/>
          <w:sz w:val="20"/>
          <w:lang w:eastAsia="en-US"/>
        </w:rPr>
        <w:t xml:space="preserve"> comenzará a ejercer su función de catalizador a través del establecimiento de una red virtual de universidades destacadas que imparten formación en P.I. y en cuestiones conexas (tecnología, innovación, industrias culturales, estrategia industrial, desarrollo), negociando tasas reducidas en másteres en derecho ofrecidos en países desarrollados para participantes procedentes de países en desarrollo;  ofreciendo becas para que los mejores estudiantes de los países en desarrollo participen en sus programas, servicios de asesoramiento sobre la creación de nuevos programas de máster y asesoramiento sobre la integración de la formación en P.I. en cursos de derecho para estudiantes universitarios y posgraduados y en otros cursos pertinentes, incluido el uso de los módulos de enseñanza a distancia de la OMPI para la concesión de créditos. </w:t>
      </w:r>
    </w:p>
    <w:p w:rsidR="002E7DC3" w:rsidRPr="002E7DC3" w:rsidRDefault="002E7DC3" w:rsidP="002E7DC3">
      <w:pPr>
        <w:widowControl w:val="0"/>
        <w:ind w:right="44"/>
        <w:jc w:val="both"/>
        <w:rPr>
          <w:rFonts w:eastAsia="Times New Roman"/>
          <w:sz w:val="20"/>
          <w:lang w:eastAsia="en-US"/>
        </w:rPr>
      </w:pPr>
    </w:p>
    <w:p w:rsidR="002E7DC3" w:rsidRPr="002E7DC3" w:rsidRDefault="002E7DC3" w:rsidP="00BA276E">
      <w:pPr>
        <w:widowControl w:val="0"/>
        <w:numPr>
          <w:ilvl w:val="0"/>
          <w:numId w:val="33"/>
        </w:numPr>
        <w:ind w:right="44"/>
        <w:jc w:val="both"/>
        <w:rPr>
          <w:rFonts w:eastAsia="Times New Roman"/>
          <w:sz w:val="20"/>
          <w:lang w:eastAsia="en-US"/>
        </w:rPr>
      </w:pPr>
      <w:r w:rsidRPr="002E7DC3">
        <w:rPr>
          <w:rFonts w:eastAsia="Times New Roman"/>
          <w:sz w:val="20"/>
          <w:lang w:eastAsia="en-US"/>
        </w:rPr>
        <w:t>A finales de 2012, más de 275.000 personas procedentes de 183 países se habían matriculado en la plataforma de enseñanza a distancia de la OMPI para utilizar una cartera conjunta de unos 15 módulos en 11 idiomas diferentes.  A fin de seguir reforzando los logros en ese ámbito durante el próximo bienio, la OMPI seguirá mejorando la diversidad plurilingüe de los cursos de enseñanza a distancia, alineará la cartera de enseñanza a distancia con su declaración de política sobre temas prioritarios y beneficiarios y establecerá un mecanismo para el examen periódico por parte de expertos de la calidad y orientación hacia el desarrollo de los contenidos, así como tutores que reciban las aportaciones de los expertos externos.  Además, el programa de enseñanza a distancia seguirá asociándose con oficinas nacionales de P.I. para organizar cursos de enseñanza a distancia en los respectivos idiomas y sistemas nacionales (proyectos de adaptación), así como con universidades, instituciones de investigación y desarrollo y CATI.</w:t>
      </w:r>
    </w:p>
    <w:p w:rsidR="002E7DC3" w:rsidRPr="002E7DC3" w:rsidRDefault="002E7DC3" w:rsidP="002E7DC3">
      <w:pPr>
        <w:widowControl w:val="0"/>
        <w:ind w:right="44"/>
        <w:jc w:val="both"/>
        <w:rPr>
          <w:rFonts w:eastAsia="Times New Roman"/>
          <w:sz w:val="20"/>
          <w:lang w:eastAsia="en-US"/>
        </w:rPr>
      </w:pPr>
    </w:p>
    <w:p w:rsidR="002E7DC3" w:rsidRPr="002E7DC3" w:rsidRDefault="002E7DC3" w:rsidP="00BA276E">
      <w:pPr>
        <w:widowControl w:val="0"/>
        <w:numPr>
          <w:ilvl w:val="0"/>
          <w:numId w:val="33"/>
        </w:numPr>
        <w:ind w:right="44"/>
        <w:jc w:val="both"/>
        <w:rPr>
          <w:rFonts w:eastAsia="Times New Roman"/>
          <w:sz w:val="20"/>
          <w:lang w:eastAsia="en-US"/>
        </w:rPr>
      </w:pPr>
      <w:r w:rsidRPr="002E7DC3">
        <w:rPr>
          <w:rFonts w:eastAsia="Times New Roman"/>
          <w:sz w:val="20"/>
          <w:lang w:eastAsia="en-US"/>
        </w:rPr>
        <w:t xml:space="preserve">Finalmente, </w:t>
      </w:r>
      <w:r w:rsidR="001144DA">
        <w:rPr>
          <w:rFonts w:eastAsia="Times New Roman"/>
          <w:sz w:val="20"/>
          <w:lang w:eastAsia="en-US"/>
        </w:rPr>
        <w:t>la Academia</w:t>
      </w:r>
      <w:r w:rsidRPr="002E7DC3">
        <w:rPr>
          <w:rFonts w:eastAsia="Times New Roman"/>
          <w:sz w:val="20"/>
          <w:lang w:eastAsia="en-US"/>
        </w:rPr>
        <w:t xml:space="preserve"> seguirá manteniendo relaciones estrechas con la </w:t>
      </w:r>
      <w:r w:rsidRPr="002E7DC3">
        <w:rPr>
          <w:rFonts w:eastAsia="Times New Roman"/>
          <w:i/>
          <w:sz w:val="20"/>
          <w:lang w:eastAsia="es-ES"/>
        </w:rPr>
        <w:t>Global Network of IP Academies</w:t>
      </w:r>
      <w:r w:rsidRPr="002E7DC3">
        <w:rPr>
          <w:rFonts w:eastAsia="Times New Roman"/>
          <w:sz w:val="20"/>
          <w:lang w:eastAsia="en-US"/>
        </w:rPr>
        <w:t xml:space="preserve"> (GNIPA) y buscando oportunidades para integrar la GNIPA en una red virtual más amplia de educadores, formadores y antiguos alumnos en el ámbito de la P.I.</w:t>
      </w:r>
    </w:p>
    <w:p w:rsidR="002E7DC3" w:rsidRPr="002E7DC3" w:rsidRDefault="002E7DC3" w:rsidP="002E7DC3">
      <w:pPr>
        <w:widowControl w:val="0"/>
        <w:ind w:right="44"/>
        <w:jc w:val="both"/>
        <w:rPr>
          <w:rFonts w:eastAsia="Times New Roman"/>
          <w:sz w:val="20"/>
          <w:lang w:eastAsia="en-US"/>
        </w:rPr>
      </w:pPr>
    </w:p>
    <w:p w:rsidR="002E7DC3" w:rsidRPr="002E7DC3" w:rsidRDefault="002E7DC3" w:rsidP="00BA276E">
      <w:pPr>
        <w:widowControl w:val="0"/>
        <w:numPr>
          <w:ilvl w:val="0"/>
          <w:numId w:val="33"/>
        </w:numPr>
        <w:ind w:right="44"/>
        <w:jc w:val="both"/>
        <w:rPr>
          <w:rFonts w:eastAsia="Times New Roman"/>
          <w:sz w:val="20"/>
          <w:lang w:eastAsia="en-US"/>
        </w:rPr>
      </w:pPr>
      <w:r w:rsidRPr="002E7DC3">
        <w:rPr>
          <w:rFonts w:eastAsia="Times New Roman"/>
          <w:sz w:val="20"/>
          <w:lang w:eastAsia="en-US"/>
        </w:rPr>
        <w:t xml:space="preserve">Mediante el programa se seguirá prestando asistencia a los Estados miembros para el establecimiento de academias nacionales de P.I. a partir de las experiencias y las lecciones adquiridas en las dos fases del proyecto piloto de la A.D. para la creación de academias nacionales de P.I., ejecutado en los bienios 2010/11 y 2012/13. </w:t>
      </w:r>
    </w:p>
    <w:p w:rsidR="002E7DC3" w:rsidRPr="002E7DC3" w:rsidRDefault="002E7DC3" w:rsidP="002E7DC3">
      <w:pPr>
        <w:widowControl w:val="0"/>
        <w:ind w:right="44"/>
        <w:jc w:val="both"/>
        <w:rPr>
          <w:rFonts w:eastAsia="Times New Roman"/>
          <w:sz w:val="20"/>
          <w:lang w:eastAsia="en-US"/>
        </w:rPr>
      </w:pPr>
    </w:p>
    <w:p w:rsidR="002E7DC3" w:rsidRPr="002E7DC3" w:rsidRDefault="002E7DC3" w:rsidP="002E7DC3">
      <w:pPr>
        <w:widowControl w:val="0"/>
        <w:ind w:right="44"/>
        <w:jc w:val="both"/>
        <w:rPr>
          <w:rFonts w:eastAsia="Times New Roman"/>
          <w:sz w:val="20"/>
          <w:lang w:eastAsia="en-US"/>
        </w:rPr>
      </w:pPr>
    </w:p>
    <w:p w:rsidR="00B16400" w:rsidRPr="00C75C7E" w:rsidRDefault="00B16400" w:rsidP="008541BE">
      <w:pPr>
        <w:keepNext/>
        <w:widowControl w:val="0"/>
        <w:ind w:right="363"/>
        <w:rPr>
          <w:szCs w:val="22"/>
          <w:lang w:val="es-ES_tradnl"/>
        </w:rPr>
      </w:pPr>
      <w:r w:rsidRPr="00C75C7E">
        <w:rPr>
          <w:szCs w:val="22"/>
          <w:lang w:val="es-ES_tradnl"/>
        </w:rPr>
        <w:lastRenderedPageBreak/>
        <w:t>PRINCIPALES RIESGOS Y ESTRATEGIAS DE MITIGACIÓN</w:t>
      </w:r>
    </w:p>
    <w:p w:rsidR="00B16400" w:rsidRPr="00C75C7E" w:rsidRDefault="00B16400" w:rsidP="008541BE">
      <w:pPr>
        <w:keepNext/>
        <w:widowControl w:val="0"/>
        <w:autoSpaceDE w:val="0"/>
        <w:autoSpaceDN w:val="0"/>
        <w:adjustRightInd w:val="0"/>
        <w:jc w:val="both"/>
        <w:rPr>
          <w:bCs/>
          <w:sz w:val="20"/>
          <w:lang w:val="es-ES_tradnl"/>
        </w:rPr>
      </w:pPr>
    </w:p>
    <w:tbl>
      <w:tblPr>
        <w:tblW w:w="0" w:type="auto"/>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678"/>
        <w:gridCol w:w="4678"/>
      </w:tblGrid>
      <w:tr w:rsidR="00B16400" w:rsidRPr="00C75C7E" w:rsidTr="004341A3">
        <w:trPr>
          <w:trHeight w:val="488"/>
        </w:trPr>
        <w:tc>
          <w:tcPr>
            <w:tcW w:w="4678" w:type="dxa"/>
            <w:tcBorders>
              <w:top w:val="single" w:sz="4" w:space="0" w:color="auto"/>
              <w:bottom w:val="single" w:sz="4" w:space="0" w:color="auto"/>
            </w:tcBorders>
            <w:shd w:val="clear" w:color="auto" w:fill="CCFFFF"/>
            <w:tcMar>
              <w:top w:w="113" w:type="dxa"/>
              <w:bottom w:w="113" w:type="dxa"/>
            </w:tcMar>
            <w:vAlign w:val="center"/>
          </w:tcPr>
          <w:p w:rsidR="00B16400" w:rsidRPr="00C75C7E" w:rsidRDefault="00B16400" w:rsidP="008541BE">
            <w:pPr>
              <w:keepNext/>
              <w:widowControl w:val="0"/>
              <w:autoSpaceDE w:val="0"/>
              <w:autoSpaceDN w:val="0"/>
              <w:adjustRightInd w:val="0"/>
              <w:ind w:right="-59"/>
              <w:jc w:val="center"/>
              <w:rPr>
                <w:b/>
                <w:sz w:val="18"/>
                <w:szCs w:val="18"/>
                <w:lang w:val="es-ES_tradnl"/>
              </w:rPr>
            </w:pPr>
            <w:r w:rsidRPr="00C75C7E">
              <w:rPr>
                <w:b/>
                <w:iCs/>
                <w:sz w:val="18"/>
                <w:szCs w:val="18"/>
                <w:lang w:val="es-ES_tradnl"/>
              </w:rPr>
              <w:t>Riesgos en el logro de los resultados del programa</w:t>
            </w:r>
          </w:p>
        </w:tc>
        <w:tc>
          <w:tcPr>
            <w:tcW w:w="4678" w:type="dxa"/>
            <w:tcBorders>
              <w:top w:val="single" w:sz="4" w:space="0" w:color="auto"/>
              <w:bottom w:val="single" w:sz="4" w:space="0" w:color="auto"/>
            </w:tcBorders>
            <w:shd w:val="clear" w:color="auto" w:fill="CCFFFF"/>
            <w:tcMar>
              <w:top w:w="113" w:type="dxa"/>
              <w:bottom w:w="113" w:type="dxa"/>
            </w:tcMar>
            <w:vAlign w:val="center"/>
          </w:tcPr>
          <w:p w:rsidR="00B16400" w:rsidRPr="00C75C7E" w:rsidRDefault="00B16400" w:rsidP="008541BE">
            <w:pPr>
              <w:keepNext/>
              <w:widowControl w:val="0"/>
              <w:autoSpaceDE w:val="0"/>
              <w:autoSpaceDN w:val="0"/>
              <w:adjustRightInd w:val="0"/>
              <w:ind w:right="-59"/>
              <w:jc w:val="center"/>
              <w:rPr>
                <w:b/>
                <w:sz w:val="18"/>
                <w:szCs w:val="18"/>
                <w:lang w:val="es-ES_tradnl"/>
              </w:rPr>
            </w:pPr>
            <w:r w:rsidRPr="00C75C7E">
              <w:rPr>
                <w:b/>
                <w:iCs/>
                <w:sz w:val="18"/>
                <w:szCs w:val="18"/>
                <w:lang w:val="es-ES_tradnl"/>
              </w:rPr>
              <w:t>Planes de mitigación ejecutados o en ejecución</w:t>
            </w:r>
          </w:p>
        </w:tc>
      </w:tr>
      <w:tr w:rsidR="00B16400" w:rsidRPr="00C75C7E" w:rsidTr="004341A3">
        <w:trPr>
          <w:trHeight w:val="1197"/>
        </w:trPr>
        <w:tc>
          <w:tcPr>
            <w:tcW w:w="4678" w:type="dxa"/>
            <w:tcBorders>
              <w:top w:val="single" w:sz="4" w:space="0" w:color="auto"/>
            </w:tcBorders>
            <w:shd w:val="clear" w:color="auto" w:fill="auto"/>
            <w:tcMar>
              <w:top w:w="113" w:type="dxa"/>
              <w:bottom w:w="113" w:type="dxa"/>
            </w:tcMar>
          </w:tcPr>
          <w:p w:rsidR="00B16400" w:rsidRPr="00C75C7E" w:rsidRDefault="00B16400" w:rsidP="004341A3">
            <w:pPr>
              <w:widowControl w:val="0"/>
              <w:tabs>
                <w:tab w:val="left" w:pos="1170"/>
              </w:tabs>
              <w:rPr>
                <w:sz w:val="16"/>
                <w:szCs w:val="16"/>
                <w:lang w:val="es-ES_tradnl"/>
              </w:rPr>
            </w:pPr>
            <w:r w:rsidRPr="00C75C7E">
              <w:rPr>
                <w:sz w:val="16"/>
                <w:szCs w:val="16"/>
                <w:lang w:val="es-ES_tradnl"/>
              </w:rPr>
              <w:t>En un entorno tecnológico y de P.I. que cambia con gran rapidez, las expectativas y preferencias de los usuarios también evolucionan rápidamente.  Por consiguiente, la interfaz, la presentación gráfica y la plataforma informática de cursos de enseñanza a distancia y el contenido sobre P.I. de los distintos programas de formación de la Academia podrían dejar de corresponderse con los retos y los cambios mundiales que empiezan a aparecer.</w:t>
            </w:r>
          </w:p>
        </w:tc>
        <w:tc>
          <w:tcPr>
            <w:tcW w:w="4678" w:type="dxa"/>
            <w:tcBorders>
              <w:top w:val="single" w:sz="4" w:space="0" w:color="auto"/>
            </w:tcBorders>
            <w:shd w:val="clear" w:color="auto" w:fill="auto"/>
            <w:tcMar>
              <w:top w:w="113" w:type="dxa"/>
              <w:bottom w:w="113" w:type="dxa"/>
            </w:tcMar>
          </w:tcPr>
          <w:p w:rsidR="00B16400" w:rsidRPr="00C75C7E" w:rsidRDefault="00B16400" w:rsidP="004341A3">
            <w:pPr>
              <w:widowControl w:val="0"/>
              <w:autoSpaceDE w:val="0"/>
              <w:autoSpaceDN w:val="0"/>
              <w:adjustRightInd w:val="0"/>
              <w:ind w:right="-59"/>
              <w:rPr>
                <w:sz w:val="16"/>
                <w:szCs w:val="16"/>
                <w:lang w:val="es-ES_tradnl"/>
              </w:rPr>
            </w:pPr>
            <w:r w:rsidRPr="00C75C7E">
              <w:rPr>
                <w:sz w:val="16"/>
                <w:szCs w:val="16"/>
                <w:lang w:val="es-ES_tradnl"/>
              </w:rPr>
              <w:t>Se seguirán recabando las opiniones de los estudiantes y los tutores de los cursos de enseñanza a distancia y, tras un asesoramiento sustantivo de expertos en P.I., se actualizarán las plataformas a las que se presta apoyo y/o los contenidos sobre P.I.  </w:t>
            </w:r>
          </w:p>
        </w:tc>
      </w:tr>
    </w:tbl>
    <w:p w:rsidR="00B16400" w:rsidRPr="00C75C7E" w:rsidRDefault="00B16400" w:rsidP="006A15F5">
      <w:pPr>
        <w:rPr>
          <w:lang w:val="es-ES_tradnl"/>
        </w:rPr>
      </w:pPr>
    </w:p>
    <w:p w:rsidR="00B16400" w:rsidRPr="00C75C7E" w:rsidRDefault="00B16400" w:rsidP="006A15F5">
      <w:pPr>
        <w:rPr>
          <w:bCs/>
          <w:lang w:val="es-ES_tradnl"/>
        </w:rPr>
      </w:pPr>
    </w:p>
    <w:p w:rsidR="00B16400" w:rsidRPr="00C75C7E" w:rsidRDefault="00B16400" w:rsidP="00B16400">
      <w:pPr>
        <w:widowControl w:val="0"/>
        <w:tabs>
          <w:tab w:val="left" w:pos="567"/>
          <w:tab w:val="left" w:pos="1985"/>
        </w:tabs>
        <w:jc w:val="both"/>
        <w:rPr>
          <w:bCs/>
          <w:sz w:val="20"/>
          <w:lang w:val="es-ES_tradnl"/>
        </w:rPr>
      </w:pPr>
      <w:r w:rsidRPr="00C75C7E">
        <w:rPr>
          <w:bCs/>
          <w:szCs w:val="22"/>
          <w:lang w:val="es-ES_tradnl"/>
        </w:rPr>
        <w:t>MARCO DE RESULTADOS</w:t>
      </w:r>
    </w:p>
    <w:p w:rsidR="00B16400" w:rsidRPr="00C75C7E" w:rsidRDefault="00B16400" w:rsidP="00B16400">
      <w:pPr>
        <w:widowControl w:val="0"/>
        <w:tabs>
          <w:tab w:val="left" w:pos="567"/>
          <w:tab w:val="left" w:pos="1985"/>
        </w:tabs>
        <w:jc w:val="both"/>
        <w:rPr>
          <w:bCs/>
          <w:sz w:val="20"/>
          <w:lang w:val="es-ES_tradnl"/>
        </w:rPr>
      </w:pPr>
    </w:p>
    <w:tbl>
      <w:tblPr>
        <w:tblW w:w="4914"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49"/>
        <w:gridCol w:w="2848"/>
        <w:gridCol w:w="2175"/>
        <w:gridCol w:w="2034"/>
      </w:tblGrid>
      <w:tr w:rsidR="00B16400" w:rsidRPr="00C75C7E" w:rsidTr="004341A3">
        <w:trPr>
          <w:cantSplit/>
          <w:trHeight w:val="428"/>
        </w:trPr>
        <w:tc>
          <w:tcPr>
            <w:tcW w:w="1249" w:type="pct"/>
            <w:tcBorders>
              <w:top w:val="single" w:sz="4" w:space="0" w:color="auto"/>
              <w:bottom w:val="single" w:sz="4" w:space="0" w:color="auto"/>
            </w:tcBorders>
            <w:shd w:val="clear" w:color="auto" w:fill="CCFFFF"/>
            <w:vAlign w:val="center"/>
          </w:tcPr>
          <w:p w:rsidR="00B16400" w:rsidRPr="00C75C7E" w:rsidRDefault="00B16400" w:rsidP="004341A3">
            <w:pPr>
              <w:widowControl w:val="0"/>
              <w:spacing w:after="120"/>
              <w:jc w:val="center"/>
              <w:rPr>
                <w:b/>
                <w:bCs/>
                <w:sz w:val="18"/>
                <w:szCs w:val="18"/>
                <w:lang w:val="es-ES_tradnl"/>
              </w:rPr>
            </w:pPr>
            <w:r w:rsidRPr="00C75C7E">
              <w:rPr>
                <w:b/>
                <w:bCs/>
                <w:sz w:val="18"/>
                <w:szCs w:val="18"/>
                <w:lang w:val="es-ES_tradnl"/>
              </w:rPr>
              <w:t>Resultados previstos</w:t>
            </w:r>
          </w:p>
        </w:tc>
        <w:tc>
          <w:tcPr>
            <w:tcW w:w="1514" w:type="pct"/>
            <w:tcBorders>
              <w:top w:val="single" w:sz="4" w:space="0" w:color="auto"/>
              <w:bottom w:val="single" w:sz="4" w:space="0" w:color="auto"/>
            </w:tcBorders>
            <w:shd w:val="clear" w:color="auto" w:fill="CCFFFF"/>
            <w:tcMar>
              <w:top w:w="110" w:type="dxa"/>
            </w:tcMar>
            <w:vAlign w:val="center"/>
          </w:tcPr>
          <w:p w:rsidR="00B16400" w:rsidRPr="00C75C7E" w:rsidRDefault="00B16400" w:rsidP="004341A3">
            <w:pPr>
              <w:widowControl w:val="0"/>
              <w:spacing w:after="120"/>
              <w:jc w:val="center"/>
              <w:rPr>
                <w:b/>
                <w:sz w:val="18"/>
                <w:szCs w:val="18"/>
                <w:lang w:val="es-ES_tradnl"/>
              </w:rPr>
            </w:pPr>
            <w:r w:rsidRPr="00C75C7E">
              <w:rPr>
                <w:b/>
                <w:sz w:val="18"/>
                <w:szCs w:val="18"/>
                <w:lang w:val="es-ES_tradnl"/>
              </w:rPr>
              <w:t>Indicador de rendimiento</w:t>
            </w:r>
          </w:p>
        </w:tc>
        <w:tc>
          <w:tcPr>
            <w:tcW w:w="1156" w:type="pct"/>
            <w:tcBorders>
              <w:top w:val="single" w:sz="4" w:space="0" w:color="auto"/>
              <w:bottom w:val="single" w:sz="4" w:space="0" w:color="auto"/>
            </w:tcBorders>
            <w:shd w:val="clear" w:color="auto" w:fill="CCFFFF"/>
            <w:tcMar>
              <w:top w:w="110" w:type="dxa"/>
            </w:tcMar>
            <w:vAlign w:val="center"/>
          </w:tcPr>
          <w:p w:rsidR="00B16400" w:rsidRPr="00C75C7E" w:rsidRDefault="00B16400" w:rsidP="004341A3">
            <w:pPr>
              <w:widowControl w:val="0"/>
              <w:spacing w:after="120"/>
              <w:ind w:left="85"/>
              <w:jc w:val="center"/>
              <w:rPr>
                <w:sz w:val="18"/>
                <w:szCs w:val="18"/>
                <w:lang w:val="es-ES_tradnl"/>
              </w:rPr>
            </w:pPr>
            <w:r w:rsidRPr="00C75C7E">
              <w:rPr>
                <w:b/>
                <w:bCs/>
                <w:sz w:val="18"/>
                <w:szCs w:val="18"/>
                <w:lang w:val="es-ES_tradnl"/>
              </w:rPr>
              <w:t>Referencia</w:t>
            </w:r>
          </w:p>
        </w:tc>
        <w:tc>
          <w:tcPr>
            <w:tcW w:w="1082" w:type="pct"/>
            <w:tcBorders>
              <w:top w:val="single" w:sz="4" w:space="0" w:color="auto"/>
              <w:bottom w:val="single" w:sz="4" w:space="0" w:color="auto"/>
            </w:tcBorders>
            <w:shd w:val="clear" w:color="auto" w:fill="CCFFFF"/>
            <w:tcMar>
              <w:top w:w="110" w:type="dxa"/>
            </w:tcMar>
            <w:vAlign w:val="center"/>
          </w:tcPr>
          <w:p w:rsidR="00B16400" w:rsidRPr="00C75C7E" w:rsidRDefault="00B16400" w:rsidP="004341A3">
            <w:pPr>
              <w:widowControl w:val="0"/>
              <w:tabs>
                <w:tab w:val="left" w:pos="0"/>
              </w:tabs>
              <w:spacing w:after="120"/>
              <w:ind w:right="1"/>
              <w:jc w:val="center"/>
              <w:rPr>
                <w:b/>
                <w:bCs/>
                <w:sz w:val="18"/>
                <w:szCs w:val="18"/>
                <w:lang w:val="es-ES_tradnl"/>
              </w:rPr>
            </w:pPr>
            <w:r w:rsidRPr="00C75C7E">
              <w:rPr>
                <w:b/>
                <w:bCs/>
                <w:sz w:val="18"/>
                <w:szCs w:val="18"/>
                <w:lang w:val="es-ES_tradnl"/>
              </w:rPr>
              <w:t>Objetivos</w:t>
            </w:r>
          </w:p>
        </w:tc>
      </w:tr>
      <w:tr w:rsidR="00B16400" w:rsidRPr="00C75C7E" w:rsidTr="004341A3">
        <w:trPr>
          <w:cantSplit/>
          <w:trHeight w:val="1403"/>
        </w:trPr>
        <w:tc>
          <w:tcPr>
            <w:tcW w:w="1249" w:type="pct"/>
            <w:vMerge w:val="restart"/>
            <w:tcBorders>
              <w:top w:val="single" w:sz="4" w:space="0" w:color="auto"/>
            </w:tcBorders>
            <w:shd w:val="clear" w:color="auto" w:fill="auto"/>
            <w:tcMar>
              <w:top w:w="113" w:type="dxa"/>
            </w:tcMar>
          </w:tcPr>
          <w:p w:rsidR="00B16400" w:rsidRPr="00C75C7E" w:rsidRDefault="00B16400" w:rsidP="004341A3">
            <w:pPr>
              <w:widowControl w:val="0"/>
              <w:rPr>
                <w:sz w:val="16"/>
                <w:szCs w:val="16"/>
                <w:lang w:val="es-ES_tradnl"/>
              </w:rPr>
            </w:pPr>
            <w:r w:rsidRPr="00C75C7E">
              <w:rPr>
                <w:sz w:val="16"/>
                <w:szCs w:val="16"/>
                <w:lang w:val="es-ES_tradnl"/>
              </w:rPr>
              <w:t xml:space="preserve">III.2 </w:t>
            </w:r>
            <w:r w:rsidR="001144DA">
              <w:rPr>
                <w:sz w:val="16"/>
                <w:szCs w:val="16"/>
                <w:lang w:val="es-ES_tradnl"/>
              </w:rPr>
              <w:t xml:space="preserve"> </w:t>
            </w:r>
            <w:r w:rsidRPr="00C75C7E">
              <w:rPr>
                <w:sz w:val="16"/>
                <w:szCs w:val="16"/>
                <w:lang w:val="es-ES_tradnl"/>
              </w:rPr>
              <w:t>Mejora de las capacidades en el ámbito de los recursos humanos para hacer frente al amplio espectro de exigencias que supone la utilización eficaz de la P.I. en aras del desarrollo en los países en desarrollo, PMA y países con economías en transición.</w:t>
            </w:r>
          </w:p>
        </w:tc>
        <w:tc>
          <w:tcPr>
            <w:tcW w:w="1514" w:type="pct"/>
            <w:tcBorders>
              <w:top w:val="single" w:sz="4" w:space="0" w:color="auto"/>
            </w:tcBorders>
            <w:shd w:val="clear" w:color="auto" w:fill="auto"/>
            <w:tcMar>
              <w:top w:w="113" w:type="dxa"/>
            </w:tcMar>
          </w:tcPr>
          <w:p w:rsidR="00B16400" w:rsidRPr="00C75C7E" w:rsidRDefault="00B16400" w:rsidP="00E6555D">
            <w:pPr>
              <w:widowControl w:val="0"/>
              <w:rPr>
                <w:sz w:val="16"/>
                <w:szCs w:val="16"/>
                <w:lang w:val="es-ES_tradnl"/>
              </w:rPr>
            </w:pPr>
            <w:r w:rsidRPr="00C75C7E">
              <w:rPr>
                <w:sz w:val="16"/>
                <w:szCs w:val="16"/>
                <w:lang w:val="es-ES_tradnl"/>
              </w:rPr>
              <w:t>Cartera revisada de cursos de formación en P.I. para los países en desarrollo, PMA y países con economías en transición/ pertinencia del contenido de los cursos de formación para las necesidades de fortalecimiento de capacidades de los países en desarrollo, PMA y países con economías en transición.</w:t>
            </w:r>
          </w:p>
        </w:tc>
        <w:tc>
          <w:tcPr>
            <w:tcW w:w="1156" w:type="pct"/>
            <w:tcBorders>
              <w:top w:val="single" w:sz="4" w:space="0" w:color="auto"/>
            </w:tcBorders>
            <w:shd w:val="clear" w:color="auto" w:fill="FFFFFF"/>
            <w:tcMar>
              <w:top w:w="113" w:type="dxa"/>
            </w:tcMar>
          </w:tcPr>
          <w:p w:rsidR="00B16400" w:rsidRPr="00C75C7E" w:rsidRDefault="00B16400" w:rsidP="004341A3">
            <w:pPr>
              <w:widowControl w:val="0"/>
              <w:rPr>
                <w:sz w:val="16"/>
                <w:szCs w:val="16"/>
                <w:lang w:val="es-ES_tradnl"/>
              </w:rPr>
            </w:pPr>
            <w:r w:rsidRPr="00C75C7E">
              <w:rPr>
                <w:sz w:val="16"/>
                <w:szCs w:val="16"/>
                <w:lang w:val="es-ES_tradnl" w:bidi="th-TH"/>
              </w:rPr>
              <w:t>No se ha revisado la cartera de manera global desde la creación de la Academia.</w:t>
            </w:r>
          </w:p>
        </w:tc>
        <w:tc>
          <w:tcPr>
            <w:tcW w:w="1082" w:type="pct"/>
            <w:tcBorders>
              <w:top w:val="single" w:sz="4" w:space="0" w:color="auto"/>
            </w:tcBorders>
            <w:shd w:val="clear" w:color="auto" w:fill="auto"/>
            <w:tcMar>
              <w:top w:w="113" w:type="dxa"/>
            </w:tcMar>
          </w:tcPr>
          <w:p w:rsidR="00B16400" w:rsidRPr="00C75C7E" w:rsidRDefault="00B16400" w:rsidP="004341A3">
            <w:pPr>
              <w:widowControl w:val="0"/>
              <w:ind w:right="381"/>
              <w:rPr>
                <w:bCs/>
                <w:sz w:val="16"/>
                <w:szCs w:val="16"/>
                <w:lang w:val="es-ES_tradnl"/>
              </w:rPr>
            </w:pPr>
            <w:r w:rsidRPr="00C75C7E">
              <w:rPr>
                <w:bCs/>
                <w:sz w:val="16"/>
                <w:szCs w:val="16"/>
                <w:lang w:val="es-ES_tradnl"/>
              </w:rPr>
              <w:t>Cartera revisada disponible a fines del bienio.</w:t>
            </w:r>
          </w:p>
        </w:tc>
      </w:tr>
      <w:tr w:rsidR="00B16400" w:rsidRPr="00C75C7E" w:rsidTr="004341A3">
        <w:trPr>
          <w:cantSplit/>
          <w:trHeight w:val="1576"/>
        </w:trPr>
        <w:tc>
          <w:tcPr>
            <w:tcW w:w="1249" w:type="pct"/>
            <w:vMerge/>
            <w:shd w:val="clear" w:color="auto" w:fill="auto"/>
            <w:tcMar>
              <w:top w:w="113" w:type="dxa"/>
            </w:tcMar>
          </w:tcPr>
          <w:p w:rsidR="00B16400" w:rsidRPr="00C75C7E" w:rsidRDefault="00B16400" w:rsidP="004341A3">
            <w:pPr>
              <w:widowControl w:val="0"/>
              <w:rPr>
                <w:sz w:val="16"/>
                <w:szCs w:val="16"/>
                <w:lang w:val="es-ES_tradnl"/>
              </w:rPr>
            </w:pPr>
          </w:p>
        </w:tc>
        <w:tc>
          <w:tcPr>
            <w:tcW w:w="1514" w:type="pct"/>
            <w:shd w:val="clear" w:color="auto" w:fill="auto"/>
            <w:tcMar>
              <w:top w:w="113" w:type="dxa"/>
            </w:tcMar>
          </w:tcPr>
          <w:p w:rsidR="00B16400" w:rsidRPr="00C75C7E" w:rsidRDefault="00B16400" w:rsidP="00E6555D">
            <w:pPr>
              <w:widowControl w:val="0"/>
              <w:rPr>
                <w:sz w:val="16"/>
                <w:szCs w:val="16"/>
                <w:lang w:val="es-ES_tradnl"/>
              </w:rPr>
            </w:pPr>
            <w:r w:rsidRPr="00C75C7E">
              <w:rPr>
                <w:sz w:val="16"/>
                <w:szCs w:val="16"/>
                <w:lang w:val="es-ES_tradnl"/>
              </w:rPr>
              <w:t>Acceso ampliado y plurilingüe a la enseñanza a distancia de diversos aspectos de la P.I. para los países en desarrollo, PMA y países con economías en transición / pertinen</w:t>
            </w:r>
            <w:r w:rsidR="00E6555D">
              <w:rPr>
                <w:sz w:val="16"/>
                <w:szCs w:val="16"/>
                <w:lang w:val="es-ES_tradnl"/>
              </w:rPr>
              <w:t>-</w:t>
            </w:r>
            <w:r w:rsidRPr="00C75C7E">
              <w:rPr>
                <w:sz w:val="16"/>
                <w:szCs w:val="16"/>
                <w:lang w:val="es-ES_tradnl"/>
              </w:rPr>
              <w:t>cia del contenido de la cartera de cursos de enseñanza a distancia para las necesidades de fortalecimiento de capacidades de los países en desarrollo, PMA y países con economías en transición.</w:t>
            </w:r>
          </w:p>
        </w:tc>
        <w:tc>
          <w:tcPr>
            <w:tcW w:w="1156" w:type="pct"/>
            <w:shd w:val="clear" w:color="auto" w:fill="FFFFFF"/>
            <w:tcMar>
              <w:top w:w="113" w:type="dxa"/>
            </w:tcMar>
          </w:tcPr>
          <w:p w:rsidR="00B16400" w:rsidRPr="00C75C7E" w:rsidRDefault="00B16400" w:rsidP="004341A3">
            <w:pPr>
              <w:widowControl w:val="0"/>
              <w:rPr>
                <w:sz w:val="16"/>
                <w:szCs w:val="16"/>
                <w:lang w:val="es-ES_tradnl"/>
              </w:rPr>
            </w:pPr>
            <w:r w:rsidRPr="00C75C7E">
              <w:rPr>
                <w:sz w:val="16"/>
                <w:szCs w:val="16"/>
                <w:lang w:val="es-ES_tradnl" w:bidi="th-TH"/>
              </w:rPr>
              <w:t>No todos los cursos están disponibles en todos los idiomas;  el personal de la Academia es el único encargado de revisar el contenido de los cursos de manera ocasional.</w:t>
            </w:r>
          </w:p>
          <w:p w:rsidR="00B16400" w:rsidRPr="00C75C7E" w:rsidRDefault="00B16400" w:rsidP="004341A3">
            <w:pPr>
              <w:widowControl w:val="0"/>
              <w:rPr>
                <w:sz w:val="16"/>
                <w:szCs w:val="16"/>
                <w:lang w:val="es-ES_tradnl"/>
              </w:rPr>
            </w:pPr>
          </w:p>
        </w:tc>
        <w:tc>
          <w:tcPr>
            <w:tcW w:w="1082" w:type="pct"/>
            <w:shd w:val="clear" w:color="auto" w:fill="auto"/>
            <w:tcMar>
              <w:top w:w="113" w:type="dxa"/>
            </w:tcMar>
          </w:tcPr>
          <w:p w:rsidR="00B16400" w:rsidRPr="00C75C7E" w:rsidRDefault="00B16400" w:rsidP="004341A3">
            <w:pPr>
              <w:widowControl w:val="0"/>
              <w:tabs>
                <w:tab w:val="left" w:pos="2051"/>
              </w:tabs>
              <w:ind w:right="381"/>
              <w:rPr>
                <w:bCs/>
                <w:sz w:val="16"/>
                <w:szCs w:val="16"/>
                <w:lang w:val="es-ES_tradnl"/>
              </w:rPr>
            </w:pPr>
            <w:r w:rsidRPr="00C75C7E">
              <w:rPr>
                <w:bCs/>
                <w:sz w:val="16"/>
                <w:szCs w:val="16"/>
                <w:lang w:val="es-ES_tradnl"/>
              </w:rPr>
              <w:t>Todos los cursos disponibles en los idiomas de NN.UU.</w:t>
            </w:r>
          </w:p>
        </w:tc>
      </w:tr>
      <w:tr w:rsidR="00B16400" w:rsidRPr="00C75C7E" w:rsidTr="004341A3">
        <w:trPr>
          <w:cantSplit/>
          <w:trHeight w:val="1868"/>
        </w:trPr>
        <w:tc>
          <w:tcPr>
            <w:tcW w:w="1249" w:type="pct"/>
            <w:vMerge/>
            <w:shd w:val="clear" w:color="auto" w:fill="auto"/>
            <w:tcMar>
              <w:top w:w="113" w:type="dxa"/>
            </w:tcMar>
          </w:tcPr>
          <w:p w:rsidR="00B16400" w:rsidRPr="00C75C7E" w:rsidRDefault="00B16400" w:rsidP="004341A3">
            <w:pPr>
              <w:widowControl w:val="0"/>
              <w:rPr>
                <w:sz w:val="16"/>
                <w:szCs w:val="16"/>
                <w:lang w:val="es-ES_tradnl"/>
              </w:rPr>
            </w:pPr>
          </w:p>
        </w:tc>
        <w:tc>
          <w:tcPr>
            <w:tcW w:w="1514" w:type="pct"/>
            <w:shd w:val="clear" w:color="auto" w:fill="auto"/>
            <w:tcMar>
              <w:top w:w="113" w:type="dxa"/>
            </w:tcMar>
          </w:tcPr>
          <w:p w:rsidR="00B16400" w:rsidRPr="00C75C7E" w:rsidRDefault="00B16400" w:rsidP="004341A3">
            <w:pPr>
              <w:widowControl w:val="0"/>
              <w:rPr>
                <w:sz w:val="16"/>
                <w:szCs w:val="16"/>
                <w:lang w:val="es-ES_tradnl"/>
              </w:rPr>
            </w:pPr>
            <w:r w:rsidRPr="00C75C7E">
              <w:rPr>
                <w:sz w:val="16"/>
                <w:szCs w:val="16"/>
                <w:lang w:val="es-ES_tradnl"/>
              </w:rPr>
              <w:t>Fomento del acceso a los estudios superiores en P.I. para los países en desarrollo, los PMA y los países con economías en transición / número de universidades de países en desarrollo, PMA y países con economías en transición que ofrecen nuevos programas docentes de P.I.</w:t>
            </w:r>
          </w:p>
        </w:tc>
        <w:tc>
          <w:tcPr>
            <w:tcW w:w="1156" w:type="pct"/>
            <w:shd w:val="clear" w:color="auto" w:fill="FFFFFF"/>
            <w:tcMar>
              <w:top w:w="113" w:type="dxa"/>
            </w:tcMar>
          </w:tcPr>
          <w:p w:rsidR="00B16400" w:rsidRPr="00C75C7E" w:rsidRDefault="00B16400" w:rsidP="004341A3">
            <w:pPr>
              <w:widowControl w:val="0"/>
              <w:rPr>
                <w:sz w:val="16"/>
                <w:szCs w:val="16"/>
                <w:lang w:val="es-ES_tradnl" w:bidi="th-TH"/>
              </w:rPr>
            </w:pPr>
            <w:r w:rsidRPr="00C75C7E">
              <w:rPr>
                <w:sz w:val="16"/>
                <w:szCs w:val="16"/>
                <w:lang w:val="es-ES_tradnl" w:bidi="th-TH"/>
              </w:rPr>
              <w:t xml:space="preserve">La enseñanza universitaria de la P.I. está disponible únicamente en un número limitado de países en desarrollo, PMA y países con economías en transición;  la OMPI ofrece un programa conjunto de máster en P.I. con siete universidades, dos de ellas en África y una en América Latina. </w:t>
            </w:r>
          </w:p>
        </w:tc>
        <w:tc>
          <w:tcPr>
            <w:tcW w:w="1082" w:type="pct"/>
            <w:shd w:val="clear" w:color="auto" w:fill="auto"/>
            <w:tcMar>
              <w:top w:w="113" w:type="dxa"/>
            </w:tcMar>
          </w:tcPr>
          <w:p w:rsidR="00B16400" w:rsidRPr="00C75C7E" w:rsidRDefault="00B16400" w:rsidP="004341A3">
            <w:pPr>
              <w:widowControl w:val="0"/>
              <w:ind w:right="161"/>
              <w:rPr>
                <w:bCs/>
                <w:sz w:val="16"/>
                <w:szCs w:val="16"/>
                <w:lang w:val="es-ES_tradnl"/>
              </w:rPr>
            </w:pPr>
            <w:r w:rsidRPr="00C75C7E">
              <w:rPr>
                <w:bCs/>
                <w:sz w:val="16"/>
                <w:szCs w:val="16"/>
                <w:lang w:val="es-ES_tradnl"/>
              </w:rPr>
              <w:t>Al final del bienio habrá cinco universidades de países en desarrollo, PMA y países con economías en transición que ofrecen nuevos programas docentes en P.I.</w:t>
            </w:r>
          </w:p>
        </w:tc>
      </w:tr>
      <w:tr w:rsidR="00B16400" w:rsidRPr="00C75C7E" w:rsidTr="004341A3">
        <w:trPr>
          <w:cantSplit/>
          <w:trHeight w:val="962"/>
        </w:trPr>
        <w:tc>
          <w:tcPr>
            <w:tcW w:w="1249" w:type="pct"/>
            <w:vMerge/>
            <w:shd w:val="clear" w:color="auto" w:fill="auto"/>
            <w:tcMar>
              <w:top w:w="113" w:type="dxa"/>
            </w:tcMar>
          </w:tcPr>
          <w:p w:rsidR="00B16400" w:rsidRPr="00C75C7E" w:rsidRDefault="00B16400" w:rsidP="004341A3">
            <w:pPr>
              <w:widowControl w:val="0"/>
              <w:rPr>
                <w:sz w:val="16"/>
                <w:szCs w:val="16"/>
                <w:lang w:val="es-ES_tradnl"/>
              </w:rPr>
            </w:pPr>
          </w:p>
        </w:tc>
        <w:tc>
          <w:tcPr>
            <w:tcW w:w="1514" w:type="pct"/>
            <w:shd w:val="clear" w:color="auto" w:fill="auto"/>
            <w:tcMar>
              <w:top w:w="113" w:type="dxa"/>
            </w:tcMar>
          </w:tcPr>
          <w:p w:rsidR="00B16400" w:rsidRPr="00C75C7E" w:rsidRDefault="00B16400" w:rsidP="004341A3">
            <w:pPr>
              <w:widowControl w:val="0"/>
              <w:rPr>
                <w:sz w:val="16"/>
                <w:szCs w:val="16"/>
                <w:lang w:val="es-ES_tradnl"/>
              </w:rPr>
            </w:pPr>
            <w:r w:rsidRPr="00C75C7E">
              <w:rPr>
                <w:sz w:val="16"/>
                <w:szCs w:val="16"/>
                <w:lang w:val="es-ES_tradnl"/>
              </w:rPr>
              <w:t>Establecimiento progresivo de una red de expertos en P.I. en los países en desarrollo, PMA y países con economías en transición.</w:t>
            </w:r>
          </w:p>
        </w:tc>
        <w:tc>
          <w:tcPr>
            <w:tcW w:w="1156" w:type="pct"/>
            <w:shd w:val="clear" w:color="auto" w:fill="FFFFFF"/>
            <w:tcMar>
              <w:top w:w="113" w:type="dxa"/>
            </w:tcMar>
          </w:tcPr>
          <w:p w:rsidR="00B16400" w:rsidRPr="00C75C7E" w:rsidRDefault="00B16400" w:rsidP="004341A3">
            <w:pPr>
              <w:widowControl w:val="0"/>
              <w:rPr>
                <w:sz w:val="16"/>
                <w:szCs w:val="16"/>
                <w:lang w:val="es-ES_tradnl" w:bidi="th-TH"/>
              </w:rPr>
            </w:pPr>
            <w:r w:rsidRPr="00C75C7E">
              <w:rPr>
                <w:sz w:val="16"/>
                <w:szCs w:val="16"/>
                <w:lang w:val="es-ES_tradnl" w:bidi="th-TH"/>
              </w:rPr>
              <w:t>Número de académicos procedentes de países en desarrollo, PMA y países con economías en transición miembros de la ATRIP.</w:t>
            </w:r>
          </w:p>
        </w:tc>
        <w:tc>
          <w:tcPr>
            <w:tcW w:w="1082" w:type="pct"/>
            <w:shd w:val="clear" w:color="auto" w:fill="auto"/>
            <w:tcMar>
              <w:top w:w="113" w:type="dxa"/>
            </w:tcMar>
          </w:tcPr>
          <w:p w:rsidR="00B16400" w:rsidRPr="00C75C7E" w:rsidRDefault="00B16400" w:rsidP="004341A3">
            <w:pPr>
              <w:widowControl w:val="0"/>
              <w:ind w:right="161"/>
              <w:rPr>
                <w:bCs/>
                <w:sz w:val="16"/>
                <w:szCs w:val="16"/>
                <w:lang w:val="es-ES_tradnl"/>
              </w:rPr>
            </w:pPr>
            <w:r w:rsidRPr="00C75C7E">
              <w:rPr>
                <w:bCs/>
                <w:sz w:val="16"/>
                <w:szCs w:val="16"/>
                <w:lang w:val="es-ES_tradnl"/>
              </w:rPr>
              <w:t>Aumento del 15% en relación con la referencia.</w:t>
            </w:r>
          </w:p>
        </w:tc>
      </w:tr>
      <w:tr w:rsidR="001144DA" w:rsidRPr="00C75C7E" w:rsidTr="00E6555D">
        <w:trPr>
          <w:cantSplit/>
          <w:trHeight w:val="658"/>
        </w:trPr>
        <w:tc>
          <w:tcPr>
            <w:tcW w:w="1249" w:type="pct"/>
            <w:shd w:val="clear" w:color="auto" w:fill="auto"/>
            <w:tcMar>
              <w:top w:w="113" w:type="dxa"/>
            </w:tcMar>
          </w:tcPr>
          <w:p w:rsidR="001144DA" w:rsidRPr="00C75C7E" w:rsidRDefault="001144DA" w:rsidP="004341A3">
            <w:pPr>
              <w:widowControl w:val="0"/>
              <w:rPr>
                <w:sz w:val="16"/>
                <w:szCs w:val="16"/>
                <w:lang w:val="es-ES_tradnl"/>
              </w:rPr>
            </w:pPr>
          </w:p>
        </w:tc>
        <w:tc>
          <w:tcPr>
            <w:tcW w:w="1514" w:type="pct"/>
            <w:shd w:val="clear" w:color="auto" w:fill="auto"/>
            <w:tcMar>
              <w:top w:w="113" w:type="dxa"/>
            </w:tcMar>
          </w:tcPr>
          <w:p w:rsidR="001144DA" w:rsidRPr="00C75C7E" w:rsidRDefault="001144DA" w:rsidP="004341A3">
            <w:pPr>
              <w:widowControl w:val="0"/>
              <w:rPr>
                <w:sz w:val="16"/>
                <w:szCs w:val="16"/>
                <w:lang w:val="es-ES_tradnl"/>
              </w:rPr>
            </w:pPr>
            <w:r>
              <w:rPr>
                <w:sz w:val="16"/>
                <w:szCs w:val="16"/>
                <w:lang w:val="es-ES_tradnl"/>
              </w:rPr>
              <w:t>Número de nuevas academias nacionales establecidas tras la finalización de la fase piloto.</w:t>
            </w:r>
          </w:p>
        </w:tc>
        <w:tc>
          <w:tcPr>
            <w:tcW w:w="1156" w:type="pct"/>
            <w:shd w:val="clear" w:color="auto" w:fill="FFFFFF"/>
            <w:tcMar>
              <w:top w:w="113" w:type="dxa"/>
            </w:tcMar>
          </w:tcPr>
          <w:p w:rsidR="001144DA" w:rsidRPr="00C75C7E" w:rsidRDefault="001144DA" w:rsidP="004341A3">
            <w:pPr>
              <w:widowControl w:val="0"/>
              <w:rPr>
                <w:sz w:val="16"/>
                <w:szCs w:val="16"/>
                <w:lang w:val="es-ES_tradnl" w:bidi="th-TH"/>
              </w:rPr>
            </w:pPr>
            <w:r>
              <w:rPr>
                <w:sz w:val="16"/>
                <w:szCs w:val="16"/>
                <w:lang w:val="es-ES_tradnl" w:bidi="th-TH"/>
              </w:rPr>
              <w:t>0</w:t>
            </w:r>
          </w:p>
        </w:tc>
        <w:tc>
          <w:tcPr>
            <w:tcW w:w="1082" w:type="pct"/>
            <w:shd w:val="clear" w:color="auto" w:fill="auto"/>
            <w:tcMar>
              <w:top w:w="113" w:type="dxa"/>
            </w:tcMar>
          </w:tcPr>
          <w:p w:rsidR="001144DA" w:rsidRPr="00C75C7E" w:rsidRDefault="001144DA" w:rsidP="004341A3">
            <w:pPr>
              <w:widowControl w:val="0"/>
              <w:ind w:right="161"/>
              <w:rPr>
                <w:bCs/>
                <w:sz w:val="16"/>
                <w:szCs w:val="16"/>
                <w:lang w:val="es-ES_tradnl"/>
              </w:rPr>
            </w:pPr>
            <w:r>
              <w:rPr>
                <w:bCs/>
                <w:sz w:val="16"/>
                <w:szCs w:val="16"/>
                <w:lang w:val="es-ES_tradnl"/>
              </w:rPr>
              <w:t>4</w:t>
            </w:r>
          </w:p>
        </w:tc>
      </w:tr>
    </w:tbl>
    <w:p w:rsidR="00B16400" w:rsidRDefault="00B16400" w:rsidP="00B16400">
      <w:pPr>
        <w:widowControl w:val="0"/>
        <w:rPr>
          <w:lang w:val="es-ES_tradnl"/>
        </w:rPr>
      </w:pPr>
    </w:p>
    <w:p w:rsidR="002E7DC3" w:rsidRPr="002E7DC3" w:rsidRDefault="002E7DC3" w:rsidP="002E7DC3">
      <w:pPr>
        <w:widowControl w:val="0"/>
        <w:rPr>
          <w:rFonts w:eastAsia="Times New Roman" w:cs="Times New Roman"/>
          <w:sz w:val="20"/>
          <w:lang w:eastAsia="en-US"/>
        </w:rPr>
      </w:pPr>
    </w:p>
    <w:p w:rsidR="002E7DC3" w:rsidRPr="002E7DC3" w:rsidRDefault="002E7DC3" w:rsidP="00E6555D">
      <w:pPr>
        <w:widowControl w:val="0"/>
        <w:rPr>
          <w:rFonts w:eastAsia="Times New Roman"/>
          <w:szCs w:val="22"/>
          <w:lang w:eastAsia="en-US"/>
        </w:rPr>
      </w:pPr>
      <w:r w:rsidRPr="002E7DC3">
        <w:rPr>
          <w:rFonts w:eastAsia="Times New Roman"/>
          <w:szCs w:val="22"/>
          <w:lang w:eastAsia="en-US"/>
        </w:rPr>
        <w:t>RECURSOS PARA EL PROGRAMA 11</w:t>
      </w:r>
    </w:p>
    <w:p w:rsidR="002E7DC3" w:rsidRPr="002E7DC3" w:rsidRDefault="002E7DC3" w:rsidP="00E6555D">
      <w:pPr>
        <w:widowControl w:val="0"/>
        <w:autoSpaceDE w:val="0"/>
        <w:autoSpaceDN w:val="0"/>
        <w:adjustRightInd w:val="0"/>
        <w:rPr>
          <w:rFonts w:eastAsia="Times New Roman"/>
          <w:sz w:val="20"/>
          <w:lang w:eastAsia="en-US"/>
        </w:rPr>
      </w:pPr>
    </w:p>
    <w:p w:rsidR="002E7DC3" w:rsidRPr="002E7DC3" w:rsidRDefault="002E7DC3" w:rsidP="00E6555D">
      <w:pPr>
        <w:widowControl w:val="0"/>
        <w:numPr>
          <w:ilvl w:val="0"/>
          <w:numId w:val="33"/>
        </w:numPr>
        <w:ind w:right="44"/>
        <w:jc w:val="both"/>
        <w:rPr>
          <w:rFonts w:eastAsia="Times New Roman"/>
          <w:bCs/>
          <w:sz w:val="20"/>
          <w:lang w:eastAsia="en-US"/>
        </w:rPr>
      </w:pPr>
      <w:r w:rsidRPr="002E7DC3">
        <w:rPr>
          <w:rFonts w:eastAsia="Times New Roman"/>
          <w:bCs/>
          <w:sz w:val="20"/>
          <w:lang w:eastAsia="en-US"/>
        </w:rPr>
        <w:t>El muy leve aumento en los recursos para el resultado III.2 (Mejora de las capacidades en el ámbito de los recursos humanos) se debe a los aumentos reglamentarios en los costos de personal.</w:t>
      </w:r>
    </w:p>
    <w:p w:rsidR="002E7DC3" w:rsidRPr="002E7DC3" w:rsidRDefault="002E7DC3" w:rsidP="00B16400">
      <w:pPr>
        <w:widowControl w:val="0"/>
      </w:pPr>
    </w:p>
    <w:p w:rsidR="00B16400" w:rsidRPr="00C75C7E" w:rsidRDefault="001144DA" w:rsidP="002E7DC3">
      <w:pPr>
        <w:keepNext/>
        <w:widowControl w:val="0"/>
        <w:autoSpaceDE w:val="0"/>
        <w:autoSpaceDN w:val="0"/>
        <w:adjustRightInd w:val="0"/>
        <w:jc w:val="center"/>
        <w:rPr>
          <w:b/>
          <w:bCs/>
          <w:iCs/>
          <w:sz w:val="20"/>
          <w:lang w:val="es-ES_tradnl"/>
        </w:rPr>
      </w:pPr>
      <w:r>
        <w:rPr>
          <w:b/>
          <w:bCs/>
          <w:iCs/>
          <w:sz w:val="20"/>
          <w:lang w:val="es-ES_tradnl"/>
        </w:rPr>
        <w:t xml:space="preserve">Programa 11:  </w:t>
      </w:r>
      <w:r w:rsidR="00B16400" w:rsidRPr="00C75C7E">
        <w:rPr>
          <w:b/>
          <w:bCs/>
          <w:iCs/>
          <w:sz w:val="20"/>
          <w:lang w:val="es-ES_tradnl"/>
        </w:rPr>
        <w:t>Recursos por resultado</w:t>
      </w:r>
    </w:p>
    <w:p w:rsidR="00B16400" w:rsidRPr="00C75C7E" w:rsidRDefault="00B16400" w:rsidP="002E7DC3">
      <w:pPr>
        <w:keepNext/>
        <w:widowControl w:val="0"/>
        <w:autoSpaceDE w:val="0"/>
        <w:autoSpaceDN w:val="0"/>
        <w:adjustRightInd w:val="0"/>
        <w:jc w:val="center"/>
        <w:rPr>
          <w:bCs/>
          <w:i/>
          <w:sz w:val="20"/>
          <w:lang w:val="es-ES_tradnl"/>
        </w:rPr>
      </w:pPr>
      <w:r w:rsidRPr="00C75C7E">
        <w:rPr>
          <w:bCs/>
          <w:i/>
          <w:sz w:val="20"/>
          <w:lang w:val="es-ES_tradnl"/>
        </w:rPr>
        <w:t>(en miles de francos suizos)</w:t>
      </w:r>
    </w:p>
    <w:p w:rsidR="00B16400" w:rsidRPr="00C75C7E" w:rsidRDefault="00B16400" w:rsidP="002E7DC3">
      <w:pPr>
        <w:keepNext/>
        <w:widowControl w:val="0"/>
        <w:autoSpaceDE w:val="0"/>
        <w:autoSpaceDN w:val="0"/>
        <w:adjustRightInd w:val="0"/>
        <w:rPr>
          <w:sz w:val="20"/>
          <w:lang w:val="es-ES_tradnl"/>
        </w:rPr>
      </w:pPr>
    </w:p>
    <w:p w:rsidR="00B16400" w:rsidRPr="00C75C7E" w:rsidRDefault="00C40A11" w:rsidP="002E7DC3">
      <w:pPr>
        <w:keepNext/>
        <w:widowControl w:val="0"/>
        <w:autoSpaceDE w:val="0"/>
        <w:autoSpaceDN w:val="0"/>
        <w:adjustRightInd w:val="0"/>
        <w:rPr>
          <w:sz w:val="20"/>
          <w:lang w:val="es-ES_tradnl"/>
        </w:rPr>
      </w:pPr>
      <w:r>
        <w:rPr>
          <w:noProof/>
          <w:lang w:val="en-US" w:eastAsia="en-US"/>
        </w:rPr>
        <w:drawing>
          <wp:inline distT="0" distB="0" distL="0" distR="0" wp14:anchorId="299C1F2F" wp14:editId="65651148">
            <wp:extent cx="5752465" cy="1466850"/>
            <wp:effectExtent l="0" t="0" r="635" b="0"/>
            <wp:docPr id="44"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752465" cy="1466850"/>
                    </a:xfrm>
                    <a:prstGeom prst="rect">
                      <a:avLst/>
                    </a:prstGeom>
                    <a:noFill/>
                    <a:ln>
                      <a:noFill/>
                    </a:ln>
                  </pic:spPr>
                </pic:pic>
              </a:graphicData>
            </a:graphic>
          </wp:inline>
        </w:drawing>
      </w:r>
    </w:p>
    <w:p w:rsidR="00B16400" w:rsidRPr="00C75C7E" w:rsidRDefault="00B16400" w:rsidP="00B16400">
      <w:pPr>
        <w:widowControl w:val="0"/>
        <w:autoSpaceDE w:val="0"/>
        <w:autoSpaceDN w:val="0"/>
        <w:adjustRightInd w:val="0"/>
        <w:rPr>
          <w:sz w:val="20"/>
          <w:lang w:val="es-ES_tradnl"/>
        </w:rPr>
      </w:pPr>
    </w:p>
    <w:p w:rsidR="00B16400" w:rsidRPr="00C75C7E" w:rsidRDefault="00B16400" w:rsidP="00B16400">
      <w:pPr>
        <w:widowControl w:val="0"/>
        <w:autoSpaceDE w:val="0"/>
        <w:autoSpaceDN w:val="0"/>
        <w:adjustRightInd w:val="0"/>
        <w:rPr>
          <w:sz w:val="20"/>
          <w:lang w:val="es-ES_tradnl"/>
        </w:rPr>
      </w:pPr>
      <w:r w:rsidRPr="00C75C7E">
        <w:rPr>
          <w:sz w:val="16"/>
          <w:szCs w:val="16"/>
          <w:lang w:val="es-ES_tradnl"/>
        </w:rPr>
        <w:t>Nota: Se ha reexpresado el presupuesto aprobado de 2012/13 y el presupuesto de dicho bienio después de las transferencias, por resultado previsto, para reflejar el marco de resultados de la Organización propuesto para 2014/15.</w:t>
      </w:r>
    </w:p>
    <w:p w:rsidR="00B16400" w:rsidRPr="00C75C7E" w:rsidRDefault="00B16400" w:rsidP="00B16400">
      <w:pPr>
        <w:widowControl w:val="0"/>
        <w:autoSpaceDE w:val="0"/>
        <w:autoSpaceDN w:val="0"/>
        <w:adjustRightInd w:val="0"/>
        <w:rPr>
          <w:sz w:val="20"/>
          <w:lang w:val="es-ES_tradnl"/>
        </w:rPr>
      </w:pPr>
    </w:p>
    <w:p w:rsidR="00B16400" w:rsidRPr="00C75C7E" w:rsidRDefault="00B16400" w:rsidP="00B16400">
      <w:pPr>
        <w:widowControl w:val="0"/>
        <w:autoSpaceDE w:val="0"/>
        <w:autoSpaceDN w:val="0"/>
        <w:adjustRightInd w:val="0"/>
        <w:jc w:val="both"/>
        <w:rPr>
          <w:sz w:val="20"/>
          <w:lang w:val="es-ES_tradnl"/>
        </w:rPr>
      </w:pPr>
    </w:p>
    <w:p w:rsidR="00B16400" w:rsidRPr="00C75C7E" w:rsidRDefault="001144DA" w:rsidP="00B16400">
      <w:pPr>
        <w:widowControl w:val="0"/>
        <w:autoSpaceDE w:val="0"/>
        <w:autoSpaceDN w:val="0"/>
        <w:adjustRightInd w:val="0"/>
        <w:ind w:firstLine="567"/>
        <w:jc w:val="center"/>
        <w:rPr>
          <w:b/>
          <w:bCs/>
          <w:iCs/>
          <w:sz w:val="20"/>
          <w:lang w:val="es-ES_tradnl"/>
        </w:rPr>
      </w:pPr>
      <w:r>
        <w:rPr>
          <w:b/>
          <w:bCs/>
          <w:iCs/>
          <w:sz w:val="20"/>
          <w:lang w:val="es-ES_tradnl"/>
        </w:rPr>
        <w:t xml:space="preserve">Programa 11:  </w:t>
      </w:r>
      <w:r w:rsidR="00B16400" w:rsidRPr="00C75C7E">
        <w:rPr>
          <w:b/>
          <w:bCs/>
          <w:iCs/>
          <w:sz w:val="20"/>
          <w:lang w:val="es-ES_tradnl"/>
        </w:rPr>
        <w:t>Recursos por objeto de gasto</w:t>
      </w:r>
    </w:p>
    <w:p w:rsidR="00B16400" w:rsidRPr="00C75C7E" w:rsidRDefault="00B16400" w:rsidP="00B16400">
      <w:pPr>
        <w:widowControl w:val="0"/>
        <w:autoSpaceDE w:val="0"/>
        <w:autoSpaceDN w:val="0"/>
        <w:adjustRightInd w:val="0"/>
        <w:ind w:firstLine="567"/>
        <w:jc w:val="center"/>
        <w:rPr>
          <w:bCs/>
          <w:i/>
          <w:sz w:val="20"/>
          <w:lang w:val="es-ES_tradnl"/>
        </w:rPr>
      </w:pPr>
      <w:r w:rsidRPr="00C75C7E">
        <w:rPr>
          <w:bCs/>
          <w:i/>
          <w:sz w:val="20"/>
          <w:lang w:val="es-ES_tradnl"/>
        </w:rPr>
        <w:t>(en miles de francos suizos)</w:t>
      </w:r>
    </w:p>
    <w:p w:rsidR="00B16400" w:rsidRDefault="00B16400" w:rsidP="00B16400">
      <w:pPr>
        <w:widowControl w:val="0"/>
        <w:jc w:val="center"/>
        <w:rPr>
          <w:i/>
          <w:sz w:val="20"/>
          <w:lang w:val="es-ES_tradnl"/>
        </w:rPr>
      </w:pPr>
    </w:p>
    <w:p w:rsidR="00723CAF" w:rsidRPr="00C75C7E" w:rsidRDefault="00C40A11" w:rsidP="00B16400">
      <w:pPr>
        <w:widowControl w:val="0"/>
        <w:jc w:val="center"/>
        <w:rPr>
          <w:i/>
          <w:sz w:val="20"/>
          <w:lang w:val="es-ES_tradnl"/>
        </w:rPr>
      </w:pPr>
      <w:r>
        <w:rPr>
          <w:noProof/>
          <w:lang w:val="en-US" w:eastAsia="en-US"/>
        </w:rPr>
        <w:drawing>
          <wp:inline distT="0" distB="0" distL="0" distR="0" wp14:anchorId="7154F4BC" wp14:editId="633DBA9E">
            <wp:extent cx="5936615" cy="5739130"/>
            <wp:effectExtent l="0" t="0" r="698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936615" cy="5739130"/>
                    </a:xfrm>
                    <a:prstGeom prst="rect">
                      <a:avLst/>
                    </a:prstGeom>
                    <a:noFill/>
                    <a:ln>
                      <a:noFill/>
                    </a:ln>
                  </pic:spPr>
                </pic:pic>
              </a:graphicData>
            </a:graphic>
          </wp:inline>
        </w:drawing>
      </w:r>
    </w:p>
    <w:p w:rsidR="00B16400" w:rsidRPr="00C75C7E" w:rsidRDefault="00B16400" w:rsidP="00E6555D">
      <w:pPr>
        <w:keepNext/>
        <w:keepLines/>
        <w:widowControl w:val="0"/>
        <w:rPr>
          <w:sz w:val="16"/>
          <w:szCs w:val="16"/>
          <w:lang w:val="es-ES_tradnl"/>
        </w:rPr>
      </w:pPr>
      <w:r w:rsidRPr="00C75C7E">
        <w:rPr>
          <w:sz w:val="16"/>
          <w:szCs w:val="16"/>
          <w:lang w:val="es-ES_tradnl"/>
        </w:rPr>
        <w:lastRenderedPageBreak/>
        <w:t>Notas:</w:t>
      </w:r>
    </w:p>
    <w:p w:rsidR="00B16400" w:rsidRPr="00C75C7E" w:rsidRDefault="00B16400" w:rsidP="00E6555D">
      <w:pPr>
        <w:keepNext/>
        <w:keepLines/>
        <w:widowControl w:val="0"/>
        <w:rPr>
          <w:sz w:val="16"/>
          <w:szCs w:val="16"/>
          <w:u w:val="single"/>
          <w:lang w:val="es-ES_tradnl"/>
        </w:rPr>
      </w:pPr>
    </w:p>
    <w:p w:rsidR="00B16400" w:rsidRDefault="008F1386" w:rsidP="00E6555D">
      <w:pPr>
        <w:keepNext/>
        <w:keepLines/>
        <w:widowControl w:val="0"/>
        <w:tabs>
          <w:tab w:val="left" w:pos="567"/>
        </w:tabs>
        <w:rPr>
          <w:sz w:val="16"/>
          <w:szCs w:val="16"/>
          <w:lang w:val="es-ES_tradnl"/>
        </w:rPr>
      </w:pPr>
      <w:r>
        <w:rPr>
          <w:sz w:val="16"/>
          <w:szCs w:val="16"/>
          <w:lang w:val="es-ES_tradnl"/>
        </w:rPr>
        <w:t xml:space="preserve">1)  </w:t>
      </w:r>
      <w:r w:rsidR="00B16400" w:rsidRPr="00C75C7E">
        <w:rPr>
          <w:sz w:val="16"/>
          <w:szCs w:val="16"/>
          <w:lang w:val="es-ES_tradnl"/>
        </w:rPr>
        <w:t>El presupuesto aprobado de 2012/13 y el presupuesto de dicho bienio después de las transferencias se reexpresan sobre la base de la estructura de categorías de costos propuesta para 2014/15.</w:t>
      </w:r>
    </w:p>
    <w:p w:rsidR="00B16400" w:rsidRPr="00C75C7E" w:rsidRDefault="00B16400" w:rsidP="00B16400">
      <w:pPr>
        <w:widowControl w:val="0"/>
        <w:tabs>
          <w:tab w:val="left" w:pos="567"/>
        </w:tabs>
        <w:rPr>
          <w:sz w:val="16"/>
          <w:szCs w:val="16"/>
          <w:lang w:val="es-ES_tradnl"/>
        </w:rPr>
      </w:pPr>
    </w:p>
    <w:p w:rsidR="00B16400" w:rsidRDefault="00B16400" w:rsidP="00B16400">
      <w:pPr>
        <w:widowControl w:val="0"/>
        <w:tabs>
          <w:tab w:val="left" w:pos="567"/>
        </w:tabs>
        <w:rPr>
          <w:rFonts w:cs="ArialMT"/>
          <w:sz w:val="16"/>
          <w:szCs w:val="16"/>
          <w:lang w:val="es-ES_tradnl"/>
        </w:rPr>
      </w:pPr>
      <w:r>
        <w:rPr>
          <w:sz w:val="16"/>
          <w:szCs w:val="16"/>
          <w:lang w:val="es-ES_tradnl"/>
        </w:rPr>
        <w:t>2)</w:t>
      </w:r>
      <w:r w:rsidR="008F1386">
        <w:rPr>
          <w:sz w:val="16"/>
          <w:szCs w:val="16"/>
          <w:lang w:val="es-ES_tradnl"/>
        </w:rPr>
        <w:t xml:space="preserve">  </w:t>
      </w:r>
      <w:r w:rsidRPr="00C75C7E">
        <w:rPr>
          <w:sz w:val="16"/>
          <w:szCs w:val="16"/>
          <w:lang w:val="es-ES_tradnl"/>
        </w:rPr>
        <w:t xml:space="preserve">El presupuesto después de las transferencias refleja el presupuesto de los programas ajustado tras las transferencias efectuadas en 2012/13 en virtud del artículo 5.5 del Reglamento Financiero. Para más información sobre el presupuesto de 2012/13 después de las transferencias, cabe remitirse al cuadro que figura en el Anexo I (Presupuesto después de las transferencias, por programa) del presente documento y al documento WO/PBC/20/2 (Informe sobre el rendimiento de los programas en 2012).  </w:t>
      </w:r>
      <w:r w:rsidRPr="00C75C7E">
        <w:rPr>
          <w:rFonts w:cs="ArialMT"/>
          <w:sz w:val="16"/>
          <w:szCs w:val="16"/>
          <w:lang w:val="es-ES_tradnl"/>
        </w:rPr>
        <w:t xml:space="preserve">Los costos de personal del presupuesto de 2012/13 después de las transferencias representan los gastos reales efectuados hasta el 31 de marzo de 2013 y los importes presupuestados para los nueve meses restantes de 2013, sobre la base de costos estándar. </w:t>
      </w:r>
    </w:p>
    <w:p w:rsidR="00B16400" w:rsidRPr="00C75C7E" w:rsidRDefault="00B16400" w:rsidP="00B16400">
      <w:pPr>
        <w:widowControl w:val="0"/>
        <w:tabs>
          <w:tab w:val="left" w:pos="567"/>
        </w:tabs>
        <w:rPr>
          <w:sz w:val="16"/>
          <w:szCs w:val="16"/>
          <w:lang w:val="es-ES_tradnl"/>
        </w:rPr>
      </w:pPr>
    </w:p>
    <w:p w:rsidR="00B16400" w:rsidRPr="00C75C7E" w:rsidRDefault="00B16400" w:rsidP="00B16400">
      <w:pPr>
        <w:widowControl w:val="0"/>
        <w:spacing w:after="120"/>
        <w:rPr>
          <w:sz w:val="16"/>
          <w:szCs w:val="16"/>
          <w:lang w:val="es-ES_tradnl"/>
        </w:rPr>
      </w:pPr>
      <w:r>
        <w:rPr>
          <w:sz w:val="16"/>
          <w:szCs w:val="16"/>
          <w:lang w:val="es-ES_tradnl"/>
        </w:rPr>
        <w:t>3)</w:t>
      </w:r>
      <w:r w:rsidR="008F1386">
        <w:rPr>
          <w:sz w:val="16"/>
          <w:szCs w:val="16"/>
          <w:lang w:val="es-ES_tradnl"/>
        </w:rPr>
        <w:t xml:space="preserve">  </w:t>
      </w:r>
      <w:r w:rsidRPr="00C75C7E">
        <w:rPr>
          <w:sz w:val="16"/>
          <w:szCs w:val="16"/>
          <w:lang w:val="es-ES_tradnl"/>
        </w:rPr>
        <w:t>Para más información sobre los puestos del programa cabe remitirse al cuadro que figura en el Anexo II.</w:t>
      </w:r>
    </w:p>
    <w:p w:rsidR="008541BE" w:rsidRDefault="008541BE" w:rsidP="00B16400">
      <w:pPr>
        <w:widowControl w:val="0"/>
        <w:jc w:val="center"/>
        <w:rPr>
          <w:sz w:val="18"/>
          <w:szCs w:val="18"/>
          <w:lang w:val="es-ES_tradnl"/>
        </w:rPr>
      </w:pPr>
    </w:p>
    <w:p w:rsidR="008541BE" w:rsidRDefault="008541BE" w:rsidP="00B16400">
      <w:pPr>
        <w:widowControl w:val="0"/>
        <w:jc w:val="center"/>
        <w:rPr>
          <w:sz w:val="18"/>
          <w:szCs w:val="18"/>
          <w:lang w:val="es-ES_tradnl"/>
        </w:rPr>
      </w:pPr>
    </w:p>
    <w:p w:rsidR="00B16400" w:rsidRPr="00C75C7E" w:rsidRDefault="00B16400" w:rsidP="00B16400">
      <w:pPr>
        <w:widowControl w:val="0"/>
        <w:jc w:val="center"/>
        <w:rPr>
          <w:sz w:val="20"/>
          <w:lang w:val="es-ES_tradnl"/>
        </w:rPr>
      </w:pPr>
      <w:r w:rsidRPr="00C75C7E">
        <w:rPr>
          <w:sz w:val="18"/>
          <w:szCs w:val="18"/>
          <w:lang w:val="es-ES_tradnl"/>
        </w:rPr>
        <w:t>Fondos fiduciarios disponibles potencialmente para su utilización en 2014/15*</w:t>
      </w:r>
    </w:p>
    <w:p w:rsidR="00B16400" w:rsidRPr="00C75C7E" w:rsidRDefault="00B16400" w:rsidP="00B16400">
      <w:pPr>
        <w:widowControl w:val="0"/>
        <w:jc w:val="center"/>
        <w:rPr>
          <w:sz w:val="18"/>
          <w:szCs w:val="18"/>
          <w:lang w:val="es-ES_tradnl"/>
        </w:rPr>
      </w:pPr>
      <w:r w:rsidRPr="00C75C7E">
        <w:rPr>
          <w:iCs/>
          <w:sz w:val="18"/>
          <w:szCs w:val="18"/>
          <w:lang w:val="es-ES_tradnl"/>
        </w:rPr>
        <w:t>(en miles de francos suizos)</w:t>
      </w:r>
    </w:p>
    <w:p w:rsidR="00B16400" w:rsidRPr="00C75C7E" w:rsidRDefault="00B16400" w:rsidP="00B16400">
      <w:pPr>
        <w:widowControl w:val="0"/>
        <w:jc w:val="center"/>
        <w:rPr>
          <w:sz w:val="18"/>
          <w:szCs w:val="18"/>
          <w:lang w:val="es-ES_tradnl"/>
        </w:rPr>
      </w:pPr>
    </w:p>
    <w:p w:rsidR="00B16400" w:rsidRPr="00C75C7E" w:rsidRDefault="00C40A11" w:rsidP="00B16400">
      <w:pPr>
        <w:widowControl w:val="0"/>
        <w:jc w:val="center"/>
        <w:rPr>
          <w:sz w:val="18"/>
          <w:szCs w:val="18"/>
          <w:lang w:val="es-ES_tradnl"/>
        </w:rPr>
      </w:pPr>
      <w:r>
        <w:rPr>
          <w:noProof/>
          <w:lang w:val="en-US" w:eastAsia="en-US"/>
        </w:rPr>
        <w:drawing>
          <wp:inline distT="0" distB="0" distL="0" distR="0" wp14:anchorId="522D3602" wp14:editId="2B7DD92C">
            <wp:extent cx="4217035" cy="873760"/>
            <wp:effectExtent l="0" t="0" r="0" b="2540"/>
            <wp:docPr id="46"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217035" cy="873760"/>
                    </a:xfrm>
                    <a:prstGeom prst="rect">
                      <a:avLst/>
                    </a:prstGeom>
                    <a:noFill/>
                    <a:ln>
                      <a:noFill/>
                    </a:ln>
                  </pic:spPr>
                </pic:pic>
              </a:graphicData>
            </a:graphic>
          </wp:inline>
        </w:drawing>
      </w:r>
    </w:p>
    <w:p w:rsidR="00B16400" w:rsidRPr="00C75C7E" w:rsidRDefault="00B16400" w:rsidP="00B16400">
      <w:pPr>
        <w:widowControl w:val="0"/>
        <w:ind w:left="1134"/>
        <w:rPr>
          <w:sz w:val="16"/>
          <w:szCs w:val="16"/>
          <w:lang w:val="es-ES_tradnl"/>
        </w:rPr>
      </w:pPr>
    </w:p>
    <w:p w:rsidR="00B16400" w:rsidRPr="00C75C7E" w:rsidRDefault="00B16400" w:rsidP="00B16400">
      <w:pPr>
        <w:widowControl w:val="0"/>
        <w:ind w:left="1134"/>
        <w:jc w:val="both"/>
        <w:rPr>
          <w:sz w:val="16"/>
          <w:szCs w:val="16"/>
          <w:lang w:val="es-ES_tradnl"/>
        </w:rPr>
      </w:pPr>
      <w:r w:rsidRPr="00C75C7E">
        <w:rPr>
          <w:sz w:val="16"/>
          <w:szCs w:val="16"/>
          <w:lang w:val="es-ES_tradnl"/>
        </w:rPr>
        <w:t>*  A título informativo únicamente.  Cabe observar que en algunos acuerdos de fondos fiduciarios se contemplan recursos para actividades que van más allá de la región/programa.  Para más información cabe remitirse al Anexo VIII.</w:t>
      </w:r>
    </w:p>
    <w:p w:rsidR="00B16400" w:rsidRPr="00C75C7E" w:rsidRDefault="00B16400" w:rsidP="00B16400">
      <w:pPr>
        <w:widowControl w:val="0"/>
        <w:ind w:left="1134"/>
        <w:jc w:val="both"/>
        <w:rPr>
          <w:sz w:val="16"/>
          <w:szCs w:val="16"/>
          <w:lang w:val="es-ES_tradnl"/>
        </w:rPr>
      </w:pPr>
    </w:p>
    <w:p w:rsidR="00B16400" w:rsidRPr="00C75C7E" w:rsidRDefault="00B16400" w:rsidP="00B16400">
      <w:pPr>
        <w:widowControl w:val="0"/>
        <w:ind w:left="1134"/>
        <w:jc w:val="both"/>
        <w:rPr>
          <w:sz w:val="16"/>
          <w:szCs w:val="16"/>
          <w:lang w:val="es-ES_tradnl"/>
        </w:rPr>
      </w:pPr>
      <w:r w:rsidRPr="00C75C7E">
        <w:rPr>
          <w:sz w:val="16"/>
          <w:szCs w:val="16"/>
          <w:lang w:val="es-ES_tradnl"/>
        </w:rPr>
        <w:t>**  En las cifras no se han incluido los intereses ni los ajustes cambiarios.  Cabe observar asimismo que estos fondos se destinan generalmente a actividades que cubren un período que va más allá de un solo bienio, a medida que se reciben los ingresos y se incurre en gastos.</w:t>
      </w:r>
    </w:p>
    <w:p w:rsidR="00B16400" w:rsidRPr="00C75C7E" w:rsidRDefault="00B16400" w:rsidP="00B16400">
      <w:pPr>
        <w:widowControl w:val="0"/>
        <w:ind w:left="1134"/>
        <w:jc w:val="both"/>
        <w:rPr>
          <w:sz w:val="16"/>
          <w:szCs w:val="16"/>
          <w:lang w:val="es-ES_tradnl"/>
        </w:rPr>
      </w:pPr>
    </w:p>
    <w:p w:rsidR="00B16400" w:rsidRPr="00C75C7E" w:rsidRDefault="00B16400" w:rsidP="00B16400">
      <w:pPr>
        <w:widowControl w:val="0"/>
        <w:ind w:left="1134"/>
        <w:jc w:val="both"/>
        <w:rPr>
          <w:sz w:val="16"/>
          <w:szCs w:val="16"/>
          <w:lang w:val="es-ES_tradnl"/>
        </w:rPr>
      </w:pPr>
      <w:r w:rsidRPr="00C75C7E">
        <w:rPr>
          <w:sz w:val="16"/>
          <w:szCs w:val="16"/>
          <w:lang w:val="es-ES_tradnl"/>
        </w:rPr>
        <w:t>***  Las contribuciones anuales varían y se han observado fluctuaciones de un año a otro.</w:t>
      </w:r>
    </w:p>
    <w:p w:rsidR="00B16400" w:rsidRPr="00C75C7E" w:rsidRDefault="00B16400" w:rsidP="00B16400">
      <w:pPr>
        <w:widowControl w:val="0"/>
        <w:ind w:left="1134"/>
        <w:jc w:val="both"/>
        <w:rPr>
          <w:sz w:val="16"/>
          <w:szCs w:val="16"/>
          <w:lang w:val="es-ES_tradnl"/>
        </w:rPr>
      </w:pPr>
    </w:p>
    <w:p w:rsidR="00B16400" w:rsidRDefault="00B16400" w:rsidP="00B16400">
      <w:pPr>
        <w:widowControl w:val="0"/>
        <w:ind w:left="1134"/>
        <w:jc w:val="both"/>
        <w:rPr>
          <w:sz w:val="16"/>
          <w:szCs w:val="16"/>
          <w:lang w:val="es-ES_tradnl"/>
        </w:rPr>
      </w:pPr>
      <w:r w:rsidRPr="00C75C7E">
        <w:rPr>
          <w:sz w:val="16"/>
          <w:szCs w:val="16"/>
          <w:lang w:val="es-ES_tradnl"/>
        </w:rPr>
        <w:t>****  Las cifras expuestas en esta columna son puramente indicativas y se basan en patrones de financiación anteriores.  Además, no representan los compromisos de los Estados miembros salvo cuando quedan incluidos en el acuerdo de fondos fiduciarios.</w:t>
      </w:r>
    </w:p>
    <w:p w:rsidR="008541BE" w:rsidRDefault="008541BE" w:rsidP="00B16400">
      <w:pPr>
        <w:widowControl w:val="0"/>
        <w:ind w:left="1134"/>
        <w:jc w:val="both"/>
        <w:rPr>
          <w:sz w:val="16"/>
          <w:szCs w:val="16"/>
          <w:lang w:val="es-ES_tradnl"/>
        </w:rPr>
      </w:pPr>
    </w:p>
    <w:p w:rsidR="008541BE" w:rsidRDefault="008541BE" w:rsidP="00B16400">
      <w:pPr>
        <w:widowControl w:val="0"/>
        <w:ind w:left="1134"/>
        <w:jc w:val="both"/>
        <w:rPr>
          <w:sz w:val="16"/>
          <w:szCs w:val="16"/>
          <w:lang w:val="es-ES_tradnl"/>
        </w:rPr>
      </w:pPr>
    </w:p>
    <w:p w:rsidR="008541BE" w:rsidRDefault="008541BE" w:rsidP="004F4F85">
      <w:pPr>
        <w:widowControl w:val="0"/>
        <w:jc w:val="both"/>
        <w:rPr>
          <w:sz w:val="16"/>
          <w:szCs w:val="16"/>
          <w:lang w:val="es-ES_tradnl"/>
        </w:rPr>
      </w:pPr>
    </w:p>
    <w:p w:rsidR="004F4F85" w:rsidRDefault="004F4F85">
      <w:pPr>
        <w:rPr>
          <w:sz w:val="16"/>
          <w:szCs w:val="16"/>
          <w:lang w:val="es-ES_tradnl"/>
        </w:rPr>
      </w:pPr>
      <w:r>
        <w:rPr>
          <w:sz w:val="16"/>
          <w:szCs w:val="16"/>
          <w:lang w:val="es-ES_tradnl"/>
        </w:rPr>
        <w:br w:type="page"/>
      </w:r>
    </w:p>
    <w:p w:rsidR="004F4F85" w:rsidRPr="008541BE" w:rsidRDefault="004F4F85" w:rsidP="004F4F85">
      <w:pPr>
        <w:pStyle w:val="Heading3"/>
        <w:tabs>
          <w:tab w:val="left" w:pos="1985"/>
        </w:tabs>
        <w:rPr>
          <w:b/>
          <w:iCs/>
          <w:caps/>
          <w:u w:val="none"/>
        </w:rPr>
      </w:pPr>
      <w:r w:rsidRPr="008541BE">
        <w:rPr>
          <w:b/>
          <w:iCs/>
          <w:u w:val="none"/>
        </w:rPr>
        <w:lastRenderedPageBreak/>
        <w:t xml:space="preserve">PROGRAMA </w:t>
      </w:r>
      <w:r>
        <w:rPr>
          <w:b/>
          <w:iCs/>
          <w:u w:val="none"/>
        </w:rPr>
        <w:t>30</w:t>
      </w:r>
      <w:r w:rsidRPr="008541BE">
        <w:rPr>
          <w:b/>
          <w:iCs/>
          <w:u w:val="none"/>
        </w:rPr>
        <w:tab/>
      </w:r>
      <w:r>
        <w:rPr>
          <w:b/>
          <w:iCs/>
          <w:u w:val="none"/>
        </w:rPr>
        <w:t>PEQUEÑAS Y MEDIANAS EMPRESAS (</w:t>
      </w:r>
      <w:r w:rsidR="003C6E3F">
        <w:rPr>
          <w:b/>
          <w:iCs/>
          <w:u w:val="none"/>
        </w:rPr>
        <w:t>PYMES</w:t>
      </w:r>
      <w:r>
        <w:rPr>
          <w:b/>
          <w:iCs/>
          <w:u w:val="none"/>
        </w:rPr>
        <w:t>)</w:t>
      </w:r>
    </w:p>
    <w:p w:rsidR="004F4F85" w:rsidRPr="001917DB" w:rsidRDefault="004F4F85" w:rsidP="004F4F85">
      <w:pPr>
        <w:rPr>
          <w:sz w:val="20"/>
          <w:lang w:eastAsia="en-US"/>
        </w:rPr>
      </w:pPr>
    </w:p>
    <w:p w:rsidR="004F4F85" w:rsidRPr="001917DB" w:rsidRDefault="004F4F85" w:rsidP="004F4F85">
      <w:pPr>
        <w:rPr>
          <w:rFonts w:cs="Times New Roman"/>
          <w:sz w:val="20"/>
          <w:lang w:eastAsia="en-US"/>
        </w:rPr>
      </w:pPr>
    </w:p>
    <w:p w:rsidR="004F4F85" w:rsidRPr="002E7DC3" w:rsidRDefault="00813EFA" w:rsidP="004F4F85">
      <w:pPr>
        <w:widowControl w:val="0"/>
        <w:ind w:left="1985" w:hanging="1985"/>
        <w:jc w:val="both"/>
        <w:rPr>
          <w:rFonts w:eastAsia="Times New Roman"/>
          <w:szCs w:val="22"/>
          <w:lang w:eastAsia="en-US"/>
        </w:rPr>
      </w:pPr>
      <w:r>
        <w:rPr>
          <w:rFonts w:eastAsia="Times New Roman"/>
          <w:szCs w:val="22"/>
          <w:lang w:eastAsia="en-US"/>
        </w:rPr>
        <w:t>CONTEXTO DE PLANIFICACIÓN</w:t>
      </w:r>
    </w:p>
    <w:p w:rsidR="004F4F85" w:rsidRPr="002E7DC3" w:rsidRDefault="004F4F85" w:rsidP="004F4F85">
      <w:pPr>
        <w:widowControl w:val="0"/>
        <w:autoSpaceDE w:val="0"/>
        <w:autoSpaceDN w:val="0"/>
        <w:adjustRightInd w:val="0"/>
        <w:jc w:val="both"/>
        <w:rPr>
          <w:rFonts w:eastAsia="Times New Roman"/>
          <w:sz w:val="20"/>
          <w:lang w:eastAsia="en-US"/>
        </w:rPr>
      </w:pPr>
    </w:p>
    <w:p w:rsidR="004F4F85" w:rsidRPr="002E7DC3" w:rsidRDefault="00CC6C8F" w:rsidP="003C6E3F">
      <w:pPr>
        <w:widowControl w:val="0"/>
        <w:numPr>
          <w:ilvl w:val="0"/>
          <w:numId w:val="66"/>
        </w:numPr>
        <w:ind w:right="44"/>
        <w:jc w:val="both"/>
        <w:rPr>
          <w:rFonts w:eastAsia="Times New Roman"/>
          <w:sz w:val="20"/>
          <w:lang w:eastAsia="en-US"/>
        </w:rPr>
      </w:pPr>
      <w:r>
        <w:rPr>
          <w:rFonts w:eastAsia="Times New Roman"/>
          <w:sz w:val="20"/>
          <w:lang w:eastAsia="en-US"/>
        </w:rPr>
        <w:t>La intensa globalización y el crecimiento de una economía basada en el conocimiento exigen de todas las empresas esfuerzos de innovación y una gestión eficaz de la P.I., sea cual sea su tamaño o ubicación geográfica, para seguir siendo competitivas.  Actualmente, las empresas más grandes han comenzado a considerar a la P.I. como un arma estratégica, mientras que la mayor</w:t>
      </w:r>
      <w:r w:rsidR="00CC01EF">
        <w:rPr>
          <w:rFonts w:eastAsia="Times New Roman"/>
          <w:sz w:val="20"/>
          <w:lang w:eastAsia="en-US"/>
        </w:rPr>
        <w:t>ía de las micro</w:t>
      </w:r>
      <w:r>
        <w:rPr>
          <w:rFonts w:eastAsia="Times New Roman"/>
          <w:sz w:val="20"/>
          <w:lang w:eastAsia="en-US"/>
        </w:rPr>
        <w:t>empresas y pequeñas y medianas empresas (a las que en lo sucesivo se las denominará conjuntamente “pymes”)</w:t>
      </w:r>
      <w:r w:rsidR="00CC01EF">
        <w:rPr>
          <w:rFonts w:eastAsia="Times New Roman"/>
          <w:sz w:val="20"/>
          <w:lang w:eastAsia="en-US"/>
        </w:rPr>
        <w:t xml:space="preserve"> no ni gestionan ni explotan sus activos de P.I.  Ello supone no solo la gestión propiamente dicha de esos activos, sino también la integración de la P.I. en sus estrategias de innovación y modelos de negocios.</w:t>
      </w:r>
    </w:p>
    <w:p w:rsidR="004F4F85" w:rsidRPr="002E7DC3" w:rsidRDefault="004F4F85" w:rsidP="004F4F85">
      <w:pPr>
        <w:widowControl w:val="0"/>
        <w:ind w:right="44"/>
        <w:jc w:val="both"/>
        <w:rPr>
          <w:rFonts w:eastAsia="Times New Roman"/>
          <w:sz w:val="20"/>
          <w:lang w:eastAsia="en-US"/>
        </w:rPr>
      </w:pPr>
    </w:p>
    <w:p w:rsidR="004F4F85" w:rsidRPr="002E7DC3" w:rsidRDefault="003619B7" w:rsidP="003C6E3F">
      <w:pPr>
        <w:widowControl w:val="0"/>
        <w:numPr>
          <w:ilvl w:val="0"/>
          <w:numId w:val="66"/>
        </w:numPr>
        <w:ind w:right="44"/>
        <w:jc w:val="both"/>
        <w:rPr>
          <w:rFonts w:eastAsia="Times New Roman"/>
          <w:sz w:val="20"/>
          <w:lang w:eastAsia="en-US"/>
        </w:rPr>
      </w:pPr>
      <w:r>
        <w:rPr>
          <w:rFonts w:eastAsia="Times New Roman"/>
          <w:sz w:val="20"/>
          <w:lang w:eastAsia="en-US"/>
        </w:rPr>
        <w:t>La contribución de las pymes al desarrollo socioeconómico es considerable puesto que representan casi el 70% de los puestos de trabajo, y más del 90% de las empresas de la mayoría de los países que generan entre el 40 y el 50% del PIB mundial.  Pero pese a su importancia económica solo una pequeña proporción de las solicitudes de derechos de P.I. que se presentan en el mundo se originan en pymes.</w:t>
      </w:r>
    </w:p>
    <w:p w:rsidR="004F4F85" w:rsidRPr="002E7DC3" w:rsidRDefault="004F4F85" w:rsidP="004F4F85">
      <w:pPr>
        <w:widowControl w:val="0"/>
        <w:ind w:right="44"/>
        <w:jc w:val="both"/>
        <w:rPr>
          <w:rFonts w:eastAsia="Times New Roman"/>
          <w:sz w:val="20"/>
          <w:lang w:eastAsia="en-US"/>
        </w:rPr>
      </w:pPr>
    </w:p>
    <w:p w:rsidR="004F4F85" w:rsidRPr="002E7DC3" w:rsidRDefault="003619B7" w:rsidP="003C6E3F">
      <w:pPr>
        <w:widowControl w:val="0"/>
        <w:numPr>
          <w:ilvl w:val="0"/>
          <w:numId w:val="66"/>
        </w:numPr>
        <w:ind w:right="44"/>
        <w:jc w:val="both"/>
        <w:rPr>
          <w:rFonts w:eastAsia="Times New Roman"/>
          <w:sz w:val="20"/>
          <w:lang w:eastAsia="en-US"/>
        </w:rPr>
      </w:pPr>
      <w:r>
        <w:rPr>
          <w:rFonts w:eastAsia="Times New Roman"/>
          <w:sz w:val="20"/>
          <w:lang w:eastAsia="en-US"/>
        </w:rPr>
        <w:t>Siguen siendo varios los motivos por los que las pymes poco utilizan el sistema de P.I.:  falta de comprensión de la importancia de la I+D y sus resultados innovadores;  capacidad insuficiente para administrar estratégicamente sus activos de P.I.;  poca comprensión del sistema de P.I.;  y la</w:t>
      </w:r>
      <w:r w:rsidR="00813EFA">
        <w:rPr>
          <w:rFonts w:eastAsia="Times New Roman"/>
          <w:sz w:val="20"/>
          <w:lang w:eastAsia="en-US"/>
        </w:rPr>
        <w:t xml:space="preserve"> percepción de que el uso</w:t>
      </w:r>
      <w:r>
        <w:rPr>
          <w:rFonts w:eastAsia="Times New Roman"/>
          <w:sz w:val="20"/>
          <w:lang w:eastAsia="en-US"/>
        </w:rPr>
        <w:t xml:space="preserve"> del sistema de P.I. es complej</w:t>
      </w:r>
      <w:r w:rsidR="00813EFA">
        <w:rPr>
          <w:rFonts w:eastAsia="Times New Roman"/>
          <w:sz w:val="20"/>
          <w:lang w:eastAsia="en-US"/>
        </w:rPr>
        <w:t>o</w:t>
      </w:r>
      <w:r>
        <w:rPr>
          <w:rFonts w:eastAsia="Times New Roman"/>
          <w:sz w:val="20"/>
          <w:lang w:eastAsia="en-US"/>
        </w:rPr>
        <w:t xml:space="preserve"> y oneros</w:t>
      </w:r>
      <w:r w:rsidR="00813EFA">
        <w:rPr>
          <w:rFonts w:eastAsia="Times New Roman"/>
          <w:sz w:val="20"/>
          <w:lang w:eastAsia="en-US"/>
        </w:rPr>
        <w:t>o</w:t>
      </w:r>
      <w:r>
        <w:rPr>
          <w:rFonts w:eastAsia="Times New Roman"/>
          <w:sz w:val="20"/>
          <w:lang w:eastAsia="en-US"/>
        </w:rPr>
        <w:t xml:space="preserve">.  Además, la escasez en varios países de información sobre P.I. de fácil acceso y de instituciones de apoyo a las pymes son factores que plantean problemas a la hora de llegar </w:t>
      </w:r>
      <w:r w:rsidR="00813EFA">
        <w:rPr>
          <w:rFonts w:eastAsia="Times New Roman"/>
          <w:sz w:val="20"/>
          <w:lang w:eastAsia="en-US"/>
        </w:rPr>
        <w:t xml:space="preserve">individualmente </w:t>
      </w:r>
      <w:r>
        <w:rPr>
          <w:rFonts w:eastAsia="Times New Roman"/>
          <w:sz w:val="20"/>
          <w:lang w:eastAsia="en-US"/>
        </w:rPr>
        <w:t>al número cada vez mayor de pymes en un país determinado.</w:t>
      </w:r>
    </w:p>
    <w:p w:rsidR="004F4F85" w:rsidRDefault="004F4F85" w:rsidP="004F4F85">
      <w:pPr>
        <w:widowControl w:val="0"/>
        <w:autoSpaceDE w:val="0"/>
        <w:autoSpaceDN w:val="0"/>
        <w:adjustRightInd w:val="0"/>
        <w:jc w:val="both"/>
        <w:rPr>
          <w:rFonts w:eastAsia="Times New Roman"/>
          <w:bCs/>
          <w:sz w:val="20"/>
          <w:lang w:eastAsia="en-US"/>
        </w:rPr>
      </w:pPr>
    </w:p>
    <w:p w:rsidR="004F4F85" w:rsidRPr="002E7DC3" w:rsidRDefault="004F4F85" w:rsidP="004F4F85">
      <w:pPr>
        <w:widowControl w:val="0"/>
        <w:autoSpaceDE w:val="0"/>
        <w:autoSpaceDN w:val="0"/>
        <w:adjustRightInd w:val="0"/>
        <w:jc w:val="both"/>
        <w:rPr>
          <w:rFonts w:eastAsia="Times New Roman"/>
          <w:bCs/>
          <w:sz w:val="20"/>
          <w:lang w:eastAsia="en-US"/>
        </w:rPr>
      </w:pPr>
    </w:p>
    <w:p w:rsidR="004F4F85" w:rsidRPr="002E7DC3" w:rsidRDefault="00813EFA" w:rsidP="004F4F85">
      <w:pPr>
        <w:widowControl w:val="0"/>
        <w:ind w:right="363"/>
        <w:rPr>
          <w:rFonts w:eastAsia="Times New Roman"/>
          <w:szCs w:val="22"/>
          <w:lang w:eastAsia="en-US"/>
        </w:rPr>
      </w:pPr>
      <w:r>
        <w:rPr>
          <w:rFonts w:eastAsia="Times New Roman"/>
          <w:szCs w:val="22"/>
          <w:lang w:eastAsia="en-US"/>
        </w:rPr>
        <w:t>ESTRATEGIAS DE EJECUCIÓN</w:t>
      </w:r>
    </w:p>
    <w:p w:rsidR="004F4F85" w:rsidRPr="002E7DC3" w:rsidRDefault="004F4F85" w:rsidP="004F4F85">
      <w:pPr>
        <w:widowControl w:val="0"/>
        <w:autoSpaceDE w:val="0"/>
        <w:autoSpaceDN w:val="0"/>
        <w:adjustRightInd w:val="0"/>
        <w:jc w:val="both"/>
        <w:rPr>
          <w:rFonts w:eastAsia="Times New Roman"/>
          <w:bCs/>
          <w:sz w:val="20"/>
          <w:lang w:eastAsia="en-US"/>
        </w:rPr>
      </w:pPr>
    </w:p>
    <w:p w:rsidR="003619B7" w:rsidRDefault="003619B7" w:rsidP="003619B7">
      <w:pPr>
        <w:widowControl w:val="0"/>
        <w:numPr>
          <w:ilvl w:val="0"/>
          <w:numId w:val="66"/>
        </w:numPr>
        <w:ind w:right="44"/>
        <w:jc w:val="both"/>
        <w:rPr>
          <w:rFonts w:eastAsia="Times New Roman"/>
          <w:sz w:val="20"/>
          <w:lang w:eastAsia="en-US"/>
        </w:rPr>
      </w:pPr>
      <w:r>
        <w:rPr>
          <w:rFonts w:eastAsia="Times New Roman"/>
          <w:sz w:val="20"/>
          <w:lang w:eastAsia="en-US"/>
        </w:rPr>
        <w:t xml:space="preserve">Este programa constituirá el punto central de referencia en la OMPI para todas las cuestiones relacionadas con las pymes y la P.I., </w:t>
      </w:r>
      <w:r w:rsidR="00813EFA">
        <w:rPr>
          <w:rFonts w:eastAsia="Times New Roman"/>
          <w:sz w:val="20"/>
          <w:lang w:eastAsia="en-US"/>
        </w:rPr>
        <w:t>y fijará su accionar a tenor de las recomendaciones 1 y 11 de la Agenda para el Desarrollo.  Velará por el establecimiento de una sólida plataforma de contenidos relacionados con las pymes que sirva de orientación a la hora de concebir actividades de formación y fortalecimiento de capacidad, cuyos principales beneficiarios sean las instituciones de apoyo a las pymes y demás intermediarios, por parte de las oficinas regionales en la Sede (programa 9), Determinados países de Europa y Asia (programa 10), y los programas de enseñanza a distancia de la Academia de la OMPI (programa 11).  Ello comprenderá la creación de material hecho a medida para atender las necesidades de las pymes, y la determinación de</w:t>
      </w:r>
      <w:r w:rsidR="006E6899">
        <w:rPr>
          <w:rFonts w:eastAsia="Times New Roman"/>
          <w:sz w:val="20"/>
          <w:lang w:eastAsia="en-US"/>
        </w:rPr>
        <w:t xml:space="preserve"> las mejoras prácticas (que deberán figurar, entre otros, en la base de datos </w:t>
      </w:r>
      <w:r w:rsidR="006E6899" w:rsidRPr="006E6899">
        <w:rPr>
          <w:rFonts w:eastAsia="Times New Roman"/>
          <w:i/>
          <w:sz w:val="20"/>
          <w:lang w:eastAsia="en-US"/>
        </w:rPr>
        <w:t>IP Advantage</w:t>
      </w:r>
      <w:r w:rsidR="006E6899">
        <w:rPr>
          <w:rFonts w:eastAsia="Times New Roman"/>
          <w:sz w:val="20"/>
          <w:lang w:eastAsia="en-US"/>
        </w:rPr>
        <w:t>) en lo relativo al uso de la P.I. por las pymes con el fin de demostrar que inciden positivamente en la economía, la generación de empleo y la competitividad.  Para que la creación de contenido se vea reforzada, deberán estudiarse las posibilidades de colaboración con otras organizaciones internacionales que tengan programas de apoyo a las pymes.</w:t>
      </w:r>
    </w:p>
    <w:p w:rsidR="006E6899" w:rsidRDefault="006E6899" w:rsidP="006E6899">
      <w:pPr>
        <w:widowControl w:val="0"/>
        <w:ind w:right="44"/>
        <w:jc w:val="both"/>
        <w:rPr>
          <w:rFonts w:eastAsia="Times New Roman"/>
          <w:sz w:val="20"/>
          <w:lang w:eastAsia="en-US"/>
        </w:rPr>
      </w:pPr>
    </w:p>
    <w:p w:rsidR="006E6899" w:rsidRDefault="006E6899" w:rsidP="003619B7">
      <w:pPr>
        <w:widowControl w:val="0"/>
        <w:numPr>
          <w:ilvl w:val="0"/>
          <w:numId w:val="66"/>
        </w:numPr>
        <w:ind w:right="44"/>
        <w:jc w:val="both"/>
        <w:rPr>
          <w:rFonts w:eastAsia="Times New Roman"/>
          <w:sz w:val="20"/>
          <w:lang w:eastAsia="en-US"/>
        </w:rPr>
      </w:pPr>
      <w:r>
        <w:rPr>
          <w:rFonts w:eastAsia="Times New Roman"/>
          <w:sz w:val="20"/>
          <w:lang w:eastAsia="en-US"/>
        </w:rPr>
        <w:t>Además, y con el fin de potenciar la divulgación de información directamente a las pymes, el programa continuará actualizando las páginas sobre pymes del sitio web de la OMPI, y publicando su Boletín para las pymes.</w:t>
      </w:r>
    </w:p>
    <w:p w:rsidR="006E6899" w:rsidRDefault="006E6899" w:rsidP="006E6899">
      <w:pPr>
        <w:widowControl w:val="0"/>
        <w:ind w:right="44"/>
        <w:jc w:val="both"/>
        <w:rPr>
          <w:rFonts w:eastAsia="Times New Roman"/>
          <w:sz w:val="20"/>
          <w:lang w:eastAsia="en-US"/>
        </w:rPr>
      </w:pPr>
    </w:p>
    <w:p w:rsidR="006E6899" w:rsidRDefault="006E6899" w:rsidP="003619B7">
      <w:pPr>
        <w:widowControl w:val="0"/>
        <w:numPr>
          <w:ilvl w:val="0"/>
          <w:numId w:val="66"/>
        </w:numPr>
        <w:ind w:right="44"/>
        <w:jc w:val="both"/>
        <w:rPr>
          <w:rFonts w:eastAsia="Times New Roman"/>
          <w:sz w:val="20"/>
          <w:lang w:eastAsia="en-US"/>
        </w:rPr>
      </w:pPr>
      <w:r>
        <w:rPr>
          <w:rFonts w:eastAsia="Times New Roman"/>
          <w:sz w:val="20"/>
          <w:lang w:eastAsia="en-US"/>
        </w:rPr>
        <w:t>El control y la evaluación de la labor que realice la OMPI en relación con las pymes será objeto de particular atención en el bienio 2014/15, en el contexto del marco de la OMPI de gestión por resultados.  Se crearán herramientas eficaces</w:t>
      </w:r>
      <w:r w:rsidR="00E062A1">
        <w:rPr>
          <w:rFonts w:eastAsia="Times New Roman"/>
          <w:sz w:val="20"/>
          <w:lang w:eastAsia="en-US"/>
        </w:rPr>
        <w:t xml:space="preserve"> para compilar datos sobre los indicadores del rendimiento de los programas pertinentes (9, 10 y 30) en estrecha colaboración con esos programas.  Para ello se elaborarán, entre otras cosas, encuestas de satisfacción con las actividades de fortalecimiento de capacidades, que se enviarán a las instituciones de apoyo a las pymes, y se pondrá en marcha un sistema de seguimiento de los servicios e información sobre P.I. que esas instituciones proporcionen a las pymes.</w:t>
      </w:r>
    </w:p>
    <w:p w:rsidR="003619B7" w:rsidRDefault="003619B7" w:rsidP="004F4F85">
      <w:pPr>
        <w:rPr>
          <w:rFonts w:eastAsia="Times New Roman"/>
          <w:sz w:val="20"/>
          <w:lang w:eastAsia="en-US"/>
        </w:rPr>
      </w:pPr>
    </w:p>
    <w:p w:rsidR="00E062A1" w:rsidRDefault="00E062A1" w:rsidP="004F4F85">
      <w:pPr>
        <w:rPr>
          <w:rFonts w:eastAsia="Times New Roman"/>
          <w:sz w:val="20"/>
          <w:lang w:eastAsia="en-US"/>
        </w:rPr>
      </w:pPr>
    </w:p>
    <w:p w:rsidR="00E062A1" w:rsidRPr="00C75C7E" w:rsidRDefault="00E062A1" w:rsidP="00E062A1">
      <w:pPr>
        <w:keepNext/>
        <w:widowControl w:val="0"/>
        <w:ind w:right="363"/>
        <w:rPr>
          <w:szCs w:val="22"/>
          <w:lang w:val="es-ES_tradnl"/>
        </w:rPr>
      </w:pPr>
      <w:r w:rsidRPr="00C75C7E">
        <w:rPr>
          <w:szCs w:val="22"/>
          <w:lang w:val="es-ES_tradnl"/>
        </w:rPr>
        <w:lastRenderedPageBreak/>
        <w:t>PRINCIPALES RIESGOS Y ESTRATEGIAS DE MITIGACIÓN</w:t>
      </w:r>
    </w:p>
    <w:p w:rsidR="00E062A1" w:rsidRPr="00C75C7E" w:rsidRDefault="00E062A1" w:rsidP="00E062A1">
      <w:pPr>
        <w:keepNext/>
        <w:widowControl w:val="0"/>
        <w:autoSpaceDE w:val="0"/>
        <w:autoSpaceDN w:val="0"/>
        <w:adjustRightInd w:val="0"/>
        <w:jc w:val="both"/>
        <w:rPr>
          <w:bCs/>
          <w:sz w:val="20"/>
          <w:lang w:val="es-ES_tradnl"/>
        </w:rPr>
      </w:pPr>
    </w:p>
    <w:tbl>
      <w:tblPr>
        <w:tblW w:w="0" w:type="auto"/>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678"/>
        <w:gridCol w:w="4678"/>
      </w:tblGrid>
      <w:tr w:rsidR="00E062A1" w:rsidRPr="00C75C7E" w:rsidTr="004A1E70">
        <w:trPr>
          <w:trHeight w:val="488"/>
        </w:trPr>
        <w:tc>
          <w:tcPr>
            <w:tcW w:w="4678" w:type="dxa"/>
            <w:tcBorders>
              <w:top w:val="single" w:sz="4" w:space="0" w:color="auto"/>
              <w:bottom w:val="single" w:sz="4" w:space="0" w:color="auto"/>
            </w:tcBorders>
            <w:shd w:val="clear" w:color="auto" w:fill="CCFFFF"/>
            <w:tcMar>
              <w:top w:w="113" w:type="dxa"/>
              <w:bottom w:w="113" w:type="dxa"/>
            </w:tcMar>
            <w:vAlign w:val="center"/>
          </w:tcPr>
          <w:p w:rsidR="00E062A1" w:rsidRPr="00C75C7E" w:rsidRDefault="00E062A1" w:rsidP="004A1E70">
            <w:pPr>
              <w:keepNext/>
              <w:widowControl w:val="0"/>
              <w:autoSpaceDE w:val="0"/>
              <w:autoSpaceDN w:val="0"/>
              <w:adjustRightInd w:val="0"/>
              <w:ind w:right="-59"/>
              <w:jc w:val="center"/>
              <w:rPr>
                <w:b/>
                <w:sz w:val="18"/>
                <w:szCs w:val="18"/>
                <w:lang w:val="es-ES_tradnl"/>
              </w:rPr>
            </w:pPr>
            <w:r w:rsidRPr="00C75C7E">
              <w:rPr>
                <w:b/>
                <w:iCs/>
                <w:sz w:val="18"/>
                <w:szCs w:val="18"/>
                <w:lang w:val="es-ES_tradnl"/>
              </w:rPr>
              <w:t>Riesgos en el logro de los resultados del programa</w:t>
            </w:r>
          </w:p>
        </w:tc>
        <w:tc>
          <w:tcPr>
            <w:tcW w:w="4678" w:type="dxa"/>
            <w:tcBorders>
              <w:top w:val="single" w:sz="4" w:space="0" w:color="auto"/>
              <w:bottom w:val="single" w:sz="4" w:space="0" w:color="auto"/>
            </w:tcBorders>
            <w:shd w:val="clear" w:color="auto" w:fill="CCFFFF"/>
            <w:tcMar>
              <w:top w:w="113" w:type="dxa"/>
              <w:bottom w:w="113" w:type="dxa"/>
            </w:tcMar>
            <w:vAlign w:val="center"/>
          </w:tcPr>
          <w:p w:rsidR="00E062A1" w:rsidRPr="00C75C7E" w:rsidRDefault="00E062A1" w:rsidP="004A1E70">
            <w:pPr>
              <w:keepNext/>
              <w:widowControl w:val="0"/>
              <w:autoSpaceDE w:val="0"/>
              <w:autoSpaceDN w:val="0"/>
              <w:adjustRightInd w:val="0"/>
              <w:ind w:right="-59"/>
              <w:jc w:val="center"/>
              <w:rPr>
                <w:b/>
                <w:sz w:val="18"/>
                <w:szCs w:val="18"/>
                <w:lang w:val="es-ES_tradnl"/>
              </w:rPr>
            </w:pPr>
            <w:r w:rsidRPr="00C75C7E">
              <w:rPr>
                <w:b/>
                <w:iCs/>
                <w:sz w:val="18"/>
                <w:szCs w:val="18"/>
                <w:lang w:val="es-ES_tradnl"/>
              </w:rPr>
              <w:t>Planes de mitigación ejecutados o en ejecución</w:t>
            </w:r>
          </w:p>
        </w:tc>
      </w:tr>
      <w:tr w:rsidR="00E062A1" w:rsidRPr="00C75C7E" w:rsidTr="004A1E70">
        <w:trPr>
          <w:trHeight w:val="1197"/>
        </w:trPr>
        <w:tc>
          <w:tcPr>
            <w:tcW w:w="4678" w:type="dxa"/>
            <w:tcBorders>
              <w:top w:val="single" w:sz="4" w:space="0" w:color="auto"/>
            </w:tcBorders>
            <w:shd w:val="clear" w:color="auto" w:fill="auto"/>
            <w:tcMar>
              <w:top w:w="113" w:type="dxa"/>
              <w:bottom w:w="113" w:type="dxa"/>
            </w:tcMar>
          </w:tcPr>
          <w:p w:rsidR="00E062A1" w:rsidRDefault="00E062A1" w:rsidP="0070027D">
            <w:pPr>
              <w:widowControl w:val="0"/>
              <w:tabs>
                <w:tab w:val="left" w:pos="1170"/>
              </w:tabs>
              <w:rPr>
                <w:sz w:val="16"/>
                <w:szCs w:val="16"/>
                <w:lang w:val="es-ES_tradnl"/>
              </w:rPr>
            </w:pPr>
            <w:r w:rsidRPr="00C75C7E">
              <w:rPr>
                <w:sz w:val="16"/>
                <w:szCs w:val="16"/>
                <w:lang w:val="es-ES_tradnl"/>
              </w:rPr>
              <w:t>En</w:t>
            </w:r>
            <w:r>
              <w:rPr>
                <w:sz w:val="16"/>
                <w:szCs w:val="16"/>
                <w:lang w:val="es-ES_tradnl"/>
              </w:rPr>
              <w:t xml:space="preserve"> tanto que riesgo a largo plazo, las necesidades de apoyo a las pymes en las regiones eme</w:t>
            </w:r>
            <w:r w:rsidR="0070027D">
              <w:rPr>
                <w:sz w:val="16"/>
                <w:szCs w:val="16"/>
                <w:lang w:val="es-ES_tradnl"/>
              </w:rPr>
              <w:t>rgentes y en desarrollo pueden camb</w:t>
            </w:r>
            <w:r>
              <w:rPr>
                <w:sz w:val="16"/>
                <w:szCs w:val="16"/>
                <w:lang w:val="es-ES_tradnl"/>
              </w:rPr>
              <w:t xml:space="preserve">iar en función de que vayan madurando los sistemas nacionales de P.I.  </w:t>
            </w:r>
            <w:r w:rsidR="004A1E70">
              <w:rPr>
                <w:sz w:val="16"/>
                <w:szCs w:val="16"/>
                <w:lang w:val="es-ES_tradnl"/>
              </w:rPr>
              <w:t>Si no se adapta la creación de contenido a es</w:t>
            </w:r>
            <w:r w:rsidR="0070027D">
              <w:rPr>
                <w:sz w:val="16"/>
                <w:szCs w:val="16"/>
                <w:lang w:val="es-ES_tradnl"/>
              </w:rPr>
              <w:t xml:space="preserve">e cambio, </w:t>
            </w:r>
            <w:r w:rsidR="00A82B27">
              <w:rPr>
                <w:sz w:val="16"/>
                <w:szCs w:val="16"/>
                <w:lang w:val="es-ES_tradnl"/>
              </w:rPr>
              <w:t xml:space="preserve">poco provecho sacarán </w:t>
            </w:r>
            <w:r w:rsidR="0070027D">
              <w:rPr>
                <w:sz w:val="16"/>
                <w:szCs w:val="16"/>
                <w:lang w:val="es-ES_tradnl"/>
              </w:rPr>
              <w:t>los beneficiarios de las actividades de fortalecimiento de capacidades</w:t>
            </w:r>
            <w:r w:rsidR="00A82B27">
              <w:rPr>
                <w:sz w:val="16"/>
                <w:szCs w:val="16"/>
                <w:lang w:val="es-ES_tradnl"/>
              </w:rPr>
              <w:t>.</w:t>
            </w:r>
          </w:p>
          <w:p w:rsidR="00A82B27" w:rsidRDefault="00A82B27" w:rsidP="0070027D">
            <w:pPr>
              <w:widowControl w:val="0"/>
              <w:tabs>
                <w:tab w:val="left" w:pos="1170"/>
              </w:tabs>
              <w:rPr>
                <w:sz w:val="16"/>
                <w:szCs w:val="16"/>
                <w:lang w:val="es-ES_tradnl"/>
              </w:rPr>
            </w:pPr>
          </w:p>
          <w:p w:rsidR="00A82B27" w:rsidRPr="00C75C7E" w:rsidRDefault="00A82B27" w:rsidP="0070027D">
            <w:pPr>
              <w:widowControl w:val="0"/>
              <w:tabs>
                <w:tab w:val="left" w:pos="1170"/>
              </w:tabs>
              <w:rPr>
                <w:sz w:val="16"/>
                <w:szCs w:val="16"/>
                <w:lang w:val="es-ES_tradnl"/>
              </w:rPr>
            </w:pPr>
            <w:r>
              <w:rPr>
                <w:sz w:val="16"/>
                <w:szCs w:val="16"/>
                <w:lang w:val="es-ES_tradnl"/>
              </w:rPr>
              <w:t>Las pymes de algunos países podrán seguir en total desconocimiento de las ventajas que supone la utilización del sistema de P.I., perdiendo así toda posibilidad de mejorar su competitividad y de generar mayores ingresos.</w:t>
            </w:r>
          </w:p>
        </w:tc>
        <w:tc>
          <w:tcPr>
            <w:tcW w:w="4678" w:type="dxa"/>
            <w:tcBorders>
              <w:top w:val="single" w:sz="4" w:space="0" w:color="auto"/>
            </w:tcBorders>
            <w:shd w:val="clear" w:color="auto" w:fill="auto"/>
            <w:tcMar>
              <w:top w:w="113" w:type="dxa"/>
              <w:bottom w:w="113" w:type="dxa"/>
            </w:tcMar>
          </w:tcPr>
          <w:p w:rsidR="00E062A1" w:rsidRDefault="00A82B27" w:rsidP="004A1E70">
            <w:pPr>
              <w:widowControl w:val="0"/>
              <w:autoSpaceDE w:val="0"/>
              <w:autoSpaceDN w:val="0"/>
              <w:adjustRightInd w:val="0"/>
              <w:ind w:right="-59"/>
              <w:rPr>
                <w:sz w:val="16"/>
                <w:szCs w:val="16"/>
                <w:lang w:val="es-ES_tradnl"/>
              </w:rPr>
            </w:pPr>
            <w:r>
              <w:rPr>
                <w:sz w:val="16"/>
                <w:szCs w:val="16"/>
                <w:lang w:val="es-ES_tradnl"/>
              </w:rPr>
              <w:t>La estrecha colaboración con los programas 9 y 10, conocedores de las especificidades de sus regiones, con el fin de crear contenidos, sigue siendo pertinente para las necesidades específicas de las regiones.</w:t>
            </w:r>
          </w:p>
          <w:p w:rsidR="00A82B27" w:rsidRDefault="00A82B27" w:rsidP="004A1E70">
            <w:pPr>
              <w:widowControl w:val="0"/>
              <w:autoSpaceDE w:val="0"/>
              <w:autoSpaceDN w:val="0"/>
              <w:adjustRightInd w:val="0"/>
              <w:ind w:right="-59"/>
              <w:rPr>
                <w:sz w:val="16"/>
                <w:szCs w:val="16"/>
                <w:lang w:val="es-ES_tradnl"/>
              </w:rPr>
            </w:pPr>
          </w:p>
          <w:p w:rsidR="00A82B27" w:rsidRDefault="00A82B27" w:rsidP="004A1E70">
            <w:pPr>
              <w:widowControl w:val="0"/>
              <w:autoSpaceDE w:val="0"/>
              <w:autoSpaceDN w:val="0"/>
              <w:adjustRightInd w:val="0"/>
              <w:ind w:right="-59"/>
              <w:rPr>
                <w:sz w:val="16"/>
                <w:szCs w:val="16"/>
                <w:lang w:val="es-ES_tradnl"/>
              </w:rPr>
            </w:pPr>
          </w:p>
          <w:p w:rsidR="00A82B27" w:rsidRDefault="00A82B27" w:rsidP="004A1E70">
            <w:pPr>
              <w:widowControl w:val="0"/>
              <w:autoSpaceDE w:val="0"/>
              <w:autoSpaceDN w:val="0"/>
              <w:adjustRightInd w:val="0"/>
              <w:ind w:right="-59"/>
              <w:rPr>
                <w:sz w:val="16"/>
                <w:szCs w:val="16"/>
                <w:lang w:val="es-ES_tradnl"/>
              </w:rPr>
            </w:pPr>
          </w:p>
          <w:p w:rsidR="00A82B27" w:rsidRPr="00C75C7E" w:rsidRDefault="00A82B27" w:rsidP="00A82B27">
            <w:pPr>
              <w:widowControl w:val="0"/>
              <w:autoSpaceDE w:val="0"/>
              <w:autoSpaceDN w:val="0"/>
              <w:adjustRightInd w:val="0"/>
              <w:ind w:right="-59"/>
              <w:rPr>
                <w:sz w:val="16"/>
                <w:szCs w:val="16"/>
                <w:lang w:val="es-ES_tradnl"/>
              </w:rPr>
            </w:pPr>
            <w:r>
              <w:rPr>
                <w:sz w:val="16"/>
                <w:szCs w:val="16"/>
                <w:lang w:val="es-ES_tradnl"/>
              </w:rPr>
              <w:t>Trabajar en dos corrientes paralelas:  por un lado, haciendo hincapié en sensibilizar a las pymes en torno a las ventajas que la utilización del sistema de P.I. supone para obtener mayores beneficios económicos, gracias a una elevada competitividad, y, por otro, fomentando a los gobiernos nacionales a crear estructuras de apoyo a las pymes o mejorar las ya existentes.</w:t>
            </w:r>
          </w:p>
        </w:tc>
      </w:tr>
    </w:tbl>
    <w:p w:rsidR="00E062A1" w:rsidRPr="001917DB" w:rsidRDefault="00E062A1" w:rsidP="00E062A1">
      <w:pPr>
        <w:rPr>
          <w:sz w:val="20"/>
          <w:lang w:val="es-ES_tradnl"/>
        </w:rPr>
      </w:pPr>
    </w:p>
    <w:p w:rsidR="00A82B27" w:rsidRPr="001917DB" w:rsidRDefault="00A82B27" w:rsidP="00A82B27">
      <w:pPr>
        <w:rPr>
          <w:bCs/>
          <w:sz w:val="20"/>
          <w:lang w:val="es-ES_tradnl"/>
        </w:rPr>
      </w:pPr>
    </w:p>
    <w:p w:rsidR="00A82B27" w:rsidRPr="00C75C7E" w:rsidRDefault="00A82B27" w:rsidP="00A82B27">
      <w:pPr>
        <w:widowControl w:val="0"/>
        <w:tabs>
          <w:tab w:val="left" w:pos="567"/>
          <w:tab w:val="left" w:pos="1985"/>
        </w:tabs>
        <w:jc w:val="both"/>
        <w:rPr>
          <w:bCs/>
          <w:sz w:val="20"/>
          <w:lang w:val="es-ES_tradnl"/>
        </w:rPr>
      </w:pPr>
      <w:r w:rsidRPr="00C75C7E">
        <w:rPr>
          <w:bCs/>
          <w:szCs w:val="22"/>
          <w:lang w:val="es-ES_tradnl"/>
        </w:rPr>
        <w:t>MARCO DE RESULTADOS</w:t>
      </w:r>
    </w:p>
    <w:p w:rsidR="00A82B27" w:rsidRPr="00C75C7E" w:rsidRDefault="00A82B27" w:rsidP="00A82B27">
      <w:pPr>
        <w:widowControl w:val="0"/>
        <w:tabs>
          <w:tab w:val="left" w:pos="567"/>
          <w:tab w:val="left" w:pos="1985"/>
        </w:tabs>
        <w:jc w:val="both"/>
        <w:rPr>
          <w:bCs/>
          <w:sz w:val="20"/>
          <w:lang w:val="es-ES_tradnl"/>
        </w:rPr>
      </w:pPr>
    </w:p>
    <w:tbl>
      <w:tblPr>
        <w:tblW w:w="4914"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49"/>
        <w:gridCol w:w="2848"/>
        <w:gridCol w:w="2175"/>
        <w:gridCol w:w="2034"/>
      </w:tblGrid>
      <w:tr w:rsidR="00A82B27" w:rsidRPr="00C75C7E" w:rsidTr="00CD41AE">
        <w:trPr>
          <w:cantSplit/>
          <w:trHeight w:val="428"/>
        </w:trPr>
        <w:tc>
          <w:tcPr>
            <w:tcW w:w="1249" w:type="pct"/>
            <w:tcBorders>
              <w:top w:val="single" w:sz="4" w:space="0" w:color="auto"/>
              <w:bottom w:val="single" w:sz="4" w:space="0" w:color="auto"/>
            </w:tcBorders>
            <w:shd w:val="clear" w:color="auto" w:fill="CCFFFF"/>
            <w:vAlign w:val="center"/>
          </w:tcPr>
          <w:p w:rsidR="00A82B27" w:rsidRPr="00C75C7E" w:rsidRDefault="00A82B27" w:rsidP="00CD41AE">
            <w:pPr>
              <w:widowControl w:val="0"/>
              <w:spacing w:after="120"/>
              <w:jc w:val="center"/>
              <w:rPr>
                <w:b/>
                <w:bCs/>
                <w:sz w:val="18"/>
                <w:szCs w:val="18"/>
                <w:lang w:val="es-ES_tradnl"/>
              </w:rPr>
            </w:pPr>
            <w:r w:rsidRPr="00C75C7E">
              <w:rPr>
                <w:b/>
                <w:bCs/>
                <w:sz w:val="18"/>
                <w:szCs w:val="18"/>
                <w:lang w:val="es-ES_tradnl"/>
              </w:rPr>
              <w:t>Resultado previsto</w:t>
            </w:r>
          </w:p>
        </w:tc>
        <w:tc>
          <w:tcPr>
            <w:tcW w:w="1514" w:type="pct"/>
            <w:tcBorders>
              <w:top w:val="single" w:sz="4" w:space="0" w:color="auto"/>
              <w:bottom w:val="single" w:sz="4" w:space="0" w:color="auto"/>
            </w:tcBorders>
            <w:shd w:val="clear" w:color="auto" w:fill="CCFFFF"/>
            <w:tcMar>
              <w:top w:w="110" w:type="dxa"/>
            </w:tcMar>
            <w:vAlign w:val="center"/>
          </w:tcPr>
          <w:p w:rsidR="00A82B27" w:rsidRPr="00C75C7E" w:rsidRDefault="00A82B27" w:rsidP="00CD41AE">
            <w:pPr>
              <w:widowControl w:val="0"/>
              <w:spacing w:after="120"/>
              <w:rPr>
                <w:b/>
                <w:sz w:val="18"/>
                <w:szCs w:val="18"/>
                <w:lang w:val="es-ES_tradnl"/>
              </w:rPr>
            </w:pPr>
            <w:r w:rsidRPr="00C75C7E">
              <w:rPr>
                <w:b/>
                <w:sz w:val="18"/>
                <w:szCs w:val="18"/>
                <w:lang w:val="es-ES_tradnl"/>
              </w:rPr>
              <w:t>Indicador de rendimiento</w:t>
            </w:r>
          </w:p>
        </w:tc>
        <w:tc>
          <w:tcPr>
            <w:tcW w:w="1156" w:type="pct"/>
            <w:tcBorders>
              <w:top w:val="single" w:sz="4" w:space="0" w:color="auto"/>
              <w:bottom w:val="single" w:sz="4" w:space="0" w:color="auto"/>
            </w:tcBorders>
            <w:shd w:val="clear" w:color="auto" w:fill="CCFFFF"/>
            <w:tcMar>
              <w:top w:w="110" w:type="dxa"/>
            </w:tcMar>
            <w:vAlign w:val="center"/>
          </w:tcPr>
          <w:p w:rsidR="00A82B27" w:rsidRPr="00C75C7E" w:rsidRDefault="00A82B27" w:rsidP="00CD41AE">
            <w:pPr>
              <w:widowControl w:val="0"/>
              <w:spacing w:after="120"/>
              <w:ind w:left="85"/>
              <w:rPr>
                <w:sz w:val="18"/>
                <w:szCs w:val="18"/>
                <w:lang w:val="es-ES_tradnl"/>
              </w:rPr>
            </w:pPr>
            <w:r w:rsidRPr="00C75C7E">
              <w:rPr>
                <w:b/>
                <w:bCs/>
                <w:sz w:val="18"/>
                <w:szCs w:val="18"/>
                <w:lang w:val="es-ES_tradnl"/>
              </w:rPr>
              <w:t>Referencia</w:t>
            </w:r>
          </w:p>
        </w:tc>
        <w:tc>
          <w:tcPr>
            <w:tcW w:w="1081" w:type="pct"/>
            <w:tcBorders>
              <w:top w:val="single" w:sz="4" w:space="0" w:color="auto"/>
              <w:bottom w:val="single" w:sz="4" w:space="0" w:color="auto"/>
            </w:tcBorders>
            <w:shd w:val="clear" w:color="auto" w:fill="CCFFFF"/>
            <w:tcMar>
              <w:top w:w="110" w:type="dxa"/>
            </w:tcMar>
            <w:vAlign w:val="center"/>
          </w:tcPr>
          <w:p w:rsidR="00A82B27" w:rsidRPr="00C75C7E" w:rsidRDefault="00A82B27" w:rsidP="00CD41AE">
            <w:pPr>
              <w:widowControl w:val="0"/>
              <w:tabs>
                <w:tab w:val="left" w:pos="0"/>
              </w:tabs>
              <w:spacing w:after="120"/>
              <w:ind w:right="1"/>
              <w:rPr>
                <w:b/>
                <w:bCs/>
                <w:sz w:val="18"/>
                <w:szCs w:val="18"/>
                <w:lang w:val="es-ES_tradnl"/>
              </w:rPr>
            </w:pPr>
            <w:r w:rsidRPr="00C75C7E">
              <w:rPr>
                <w:b/>
                <w:bCs/>
                <w:sz w:val="18"/>
                <w:szCs w:val="18"/>
                <w:lang w:val="es-ES_tradnl"/>
              </w:rPr>
              <w:t>Objetivos</w:t>
            </w:r>
          </w:p>
        </w:tc>
      </w:tr>
      <w:tr w:rsidR="00A82B27" w:rsidRPr="00C75C7E" w:rsidTr="00CD41AE">
        <w:trPr>
          <w:cantSplit/>
          <w:trHeight w:val="1403"/>
        </w:trPr>
        <w:tc>
          <w:tcPr>
            <w:tcW w:w="1249" w:type="pct"/>
            <w:vMerge w:val="restart"/>
            <w:tcBorders>
              <w:top w:val="single" w:sz="4" w:space="0" w:color="auto"/>
            </w:tcBorders>
            <w:shd w:val="clear" w:color="auto" w:fill="auto"/>
            <w:tcMar>
              <w:top w:w="113" w:type="dxa"/>
            </w:tcMar>
          </w:tcPr>
          <w:p w:rsidR="00A82B27" w:rsidRPr="00C75C7E" w:rsidRDefault="00CD41AE" w:rsidP="00A82B27">
            <w:pPr>
              <w:widowControl w:val="0"/>
              <w:rPr>
                <w:sz w:val="16"/>
                <w:szCs w:val="16"/>
                <w:lang w:val="es-ES_tradnl"/>
              </w:rPr>
            </w:pPr>
            <w:r w:rsidRPr="00CD41AE">
              <w:rPr>
                <w:sz w:val="16"/>
                <w:szCs w:val="16"/>
                <w:lang w:val="es-ES_tradnl"/>
              </w:rPr>
              <w:t>Mejor comprensión</w:t>
            </w:r>
            <w:r>
              <w:rPr>
                <w:sz w:val="16"/>
                <w:szCs w:val="16"/>
                <w:lang w:val="es-ES_tradnl"/>
              </w:rPr>
              <w:t xml:space="preserve"> </w:t>
            </w:r>
            <w:r w:rsidRPr="00CD41AE">
              <w:rPr>
                <w:sz w:val="16"/>
                <w:szCs w:val="16"/>
                <w:lang w:val="es-ES_tradnl"/>
              </w:rPr>
              <w:t>/</w:t>
            </w:r>
            <w:r>
              <w:rPr>
                <w:sz w:val="16"/>
                <w:szCs w:val="16"/>
                <w:lang w:val="es-ES_tradnl"/>
              </w:rPr>
              <w:t xml:space="preserve"> </w:t>
            </w:r>
            <w:r w:rsidRPr="00CD41AE">
              <w:rPr>
                <w:sz w:val="16"/>
                <w:szCs w:val="16"/>
                <w:lang w:val="es-ES_tradnl"/>
              </w:rPr>
              <w:t>capacidad de las pymes y las instituciones de apoyo a las pymes para utilizar con eficacia la P.I. en aras de la innovación y la comercialización</w:t>
            </w:r>
            <w:r w:rsidR="00A82B27" w:rsidRPr="00C75C7E">
              <w:rPr>
                <w:sz w:val="16"/>
                <w:szCs w:val="16"/>
                <w:lang w:val="es-ES_tradnl"/>
              </w:rPr>
              <w:t>.</w:t>
            </w:r>
          </w:p>
        </w:tc>
        <w:tc>
          <w:tcPr>
            <w:tcW w:w="1514" w:type="pct"/>
            <w:tcBorders>
              <w:top w:val="single" w:sz="4" w:space="0" w:color="auto"/>
            </w:tcBorders>
            <w:shd w:val="clear" w:color="auto" w:fill="auto"/>
            <w:tcMar>
              <w:top w:w="113" w:type="dxa"/>
            </w:tcMar>
          </w:tcPr>
          <w:p w:rsidR="00CD41AE" w:rsidRDefault="00CD41AE" w:rsidP="00A82B27">
            <w:pPr>
              <w:widowControl w:val="0"/>
              <w:rPr>
                <w:sz w:val="16"/>
                <w:szCs w:val="16"/>
                <w:lang w:val="es-ES_tradnl"/>
              </w:rPr>
            </w:pPr>
            <w:r>
              <w:rPr>
                <w:sz w:val="16"/>
                <w:szCs w:val="16"/>
                <w:lang w:val="es-ES_tradnl"/>
              </w:rPr>
              <w:t>Número de suscripciones al Boletín para las pymes.</w:t>
            </w:r>
          </w:p>
          <w:p w:rsidR="00CD41AE" w:rsidRDefault="00CD41AE" w:rsidP="00A82B27">
            <w:pPr>
              <w:widowControl w:val="0"/>
              <w:rPr>
                <w:sz w:val="16"/>
                <w:szCs w:val="16"/>
                <w:lang w:val="es-ES_tradnl"/>
              </w:rPr>
            </w:pPr>
          </w:p>
          <w:p w:rsidR="00CD41AE" w:rsidRDefault="00CD41AE" w:rsidP="00A82B27">
            <w:pPr>
              <w:widowControl w:val="0"/>
              <w:rPr>
                <w:sz w:val="16"/>
                <w:szCs w:val="16"/>
                <w:lang w:val="es-ES_tradnl"/>
              </w:rPr>
            </w:pPr>
            <w:r>
              <w:rPr>
                <w:sz w:val="16"/>
                <w:szCs w:val="16"/>
                <w:lang w:val="es-ES_tradnl"/>
              </w:rPr>
              <w:t>Número de directrices y material sobre pymes descargado del sitio web.</w:t>
            </w:r>
          </w:p>
          <w:p w:rsidR="00CD41AE" w:rsidRDefault="00CD41AE" w:rsidP="00A82B27">
            <w:pPr>
              <w:widowControl w:val="0"/>
              <w:rPr>
                <w:sz w:val="16"/>
                <w:szCs w:val="16"/>
                <w:lang w:val="es-ES_tradnl"/>
              </w:rPr>
            </w:pPr>
          </w:p>
          <w:p w:rsidR="00A82B27" w:rsidRDefault="00CD41AE" w:rsidP="00CD41AE">
            <w:pPr>
              <w:widowControl w:val="0"/>
              <w:rPr>
                <w:sz w:val="16"/>
                <w:szCs w:val="16"/>
                <w:lang w:val="es-ES_tradnl"/>
              </w:rPr>
            </w:pPr>
            <w:r>
              <w:rPr>
                <w:sz w:val="16"/>
                <w:szCs w:val="16"/>
                <w:lang w:val="es-ES_tradnl"/>
              </w:rPr>
              <w:t xml:space="preserve">Número de estudios de caso relacionados con las pymes que han sido consultados por intermedio de la base de datos </w:t>
            </w:r>
            <w:r w:rsidRPr="00A602DB">
              <w:rPr>
                <w:i/>
                <w:sz w:val="16"/>
                <w:szCs w:val="16"/>
                <w:lang w:val="es-ES_tradnl"/>
              </w:rPr>
              <w:t>IP Advantage</w:t>
            </w:r>
            <w:r>
              <w:rPr>
                <w:sz w:val="16"/>
                <w:szCs w:val="16"/>
                <w:lang w:val="es-ES_tradnl"/>
              </w:rPr>
              <w:t xml:space="preserve"> u otras bases de datos</w:t>
            </w:r>
          </w:p>
          <w:p w:rsidR="00CD41AE" w:rsidRPr="00C75C7E" w:rsidRDefault="00CD41AE" w:rsidP="00CD41AE">
            <w:pPr>
              <w:widowControl w:val="0"/>
              <w:rPr>
                <w:sz w:val="16"/>
                <w:szCs w:val="16"/>
                <w:lang w:val="es-ES_tradnl"/>
              </w:rPr>
            </w:pPr>
          </w:p>
        </w:tc>
        <w:tc>
          <w:tcPr>
            <w:tcW w:w="1156" w:type="pct"/>
            <w:tcBorders>
              <w:top w:val="single" w:sz="4" w:space="0" w:color="auto"/>
            </w:tcBorders>
            <w:shd w:val="clear" w:color="auto" w:fill="FFFFFF"/>
            <w:tcMar>
              <w:top w:w="113" w:type="dxa"/>
            </w:tcMar>
          </w:tcPr>
          <w:p w:rsidR="00A82B27" w:rsidRDefault="00CD41AE" w:rsidP="00A82B27">
            <w:pPr>
              <w:widowControl w:val="0"/>
              <w:rPr>
                <w:sz w:val="16"/>
                <w:szCs w:val="16"/>
                <w:lang w:val="es-ES_tradnl" w:bidi="th-TH"/>
              </w:rPr>
            </w:pPr>
            <w:r>
              <w:rPr>
                <w:sz w:val="16"/>
                <w:szCs w:val="16"/>
                <w:lang w:val="es-ES_tradnl" w:bidi="th-TH"/>
              </w:rPr>
              <w:t>Por determinar.</w:t>
            </w:r>
          </w:p>
          <w:p w:rsidR="00CD41AE" w:rsidRDefault="00CD41AE" w:rsidP="00A82B27">
            <w:pPr>
              <w:widowControl w:val="0"/>
              <w:rPr>
                <w:sz w:val="16"/>
                <w:szCs w:val="16"/>
                <w:lang w:val="es-ES_tradnl" w:bidi="th-TH"/>
              </w:rPr>
            </w:pPr>
          </w:p>
          <w:p w:rsidR="00CD41AE" w:rsidRDefault="00CD41AE" w:rsidP="00A82B27">
            <w:pPr>
              <w:widowControl w:val="0"/>
              <w:rPr>
                <w:sz w:val="16"/>
                <w:szCs w:val="16"/>
                <w:lang w:val="es-ES_tradnl" w:bidi="th-TH"/>
              </w:rPr>
            </w:pPr>
          </w:p>
          <w:p w:rsidR="00CD41AE" w:rsidRDefault="00CD41AE" w:rsidP="00A82B27">
            <w:pPr>
              <w:widowControl w:val="0"/>
              <w:rPr>
                <w:sz w:val="16"/>
                <w:szCs w:val="16"/>
                <w:lang w:val="es-ES_tradnl" w:bidi="th-TH"/>
              </w:rPr>
            </w:pPr>
            <w:r>
              <w:rPr>
                <w:sz w:val="16"/>
                <w:szCs w:val="16"/>
                <w:lang w:val="es-ES_tradnl" w:bidi="th-TH"/>
              </w:rPr>
              <w:t>Por determinar.</w:t>
            </w:r>
          </w:p>
          <w:p w:rsidR="00CD41AE" w:rsidRDefault="00CD41AE" w:rsidP="00A82B27">
            <w:pPr>
              <w:widowControl w:val="0"/>
              <w:rPr>
                <w:sz w:val="16"/>
                <w:szCs w:val="16"/>
                <w:lang w:val="es-ES_tradnl" w:bidi="th-TH"/>
              </w:rPr>
            </w:pPr>
          </w:p>
          <w:p w:rsidR="00CD41AE" w:rsidRDefault="00CD41AE" w:rsidP="00A82B27">
            <w:pPr>
              <w:widowControl w:val="0"/>
              <w:rPr>
                <w:sz w:val="16"/>
                <w:szCs w:val="16"/>
                <w:lang w:val="es-ES_tradnl" w:bidi="th-TH"/>
              </w:rPr>
            </w:pPr>
          </w:p>
          <w:p w:rsidR="00CD41AE" w:rsidRDefault="00CD41AE" w:rsidP="00A82B27">
            <w:pPr>
              <w:widowControl w:val="0"/>
              <w:rPr>
                <w:sz w:val="16"/>
                <w:szCs w:val="16"/>
                <w:lang w:val="es-ES_tradnl" w:bidi="th-TH"/>
              </w:rPr>
            </w:pPr>
          </w:p>
          <w:p w:rsidR="00CD41AE" w:rsidRPr="00C75C7E" w:rsidRDefault="00CD41AE" w:rsidP="00A82B27">
            <w:pPr>
              <w:widowControl w:val="0"/>
              <w:rPr>
                <w:sz w:val="16"/>
                <w:szCs w:val="16"/>
                <w:lang w:val="es-ES_tradnl"/>
              </w:rPr>
            </w:pPr>
            <w:r>
              <w:rPr>
                <w:sz w:val="16"/>
                <w:szCs w:val="16"/>
                <w:lang w:val="es-ES_tradnl" w:bidi="th-TH"/>
              </w:rPr>
              <w:t>Por determinar.</w:t>
            </w:r>
          </w:p>
        </w:tc>
        <w:tc>
          <w:tcPr>
            <w:tcW w:w="1081" w:type="pct"/>
            <w:tcBorders>
              <w:top w:val="single" w:sz="4" w:space="0" w:color="auto"/>
            </w:tcBorders>
            <w:shd w:val="clear" w:color="auto" w:fill="auto"/>
            <w:tcMar>
              <w:top w:w="113" w:type="dxa"/>
            </w:tcMar>
          </w:tcPr>
          <w:p w:rsidR="00A82B27" w:rsidRDefault="00CD41AE" w:rsidP="00A82B27">
            <w:pPr>
              <w:widowControl w:val="0"/>
              <w:ind w:right="381"/>
              <w:rPr>
                <w:bCs/>
                <w:sz w:val="16"/>
                <w:szCs w:val="16"/>
                <w:lang w:val="es-ES_tradnl"/>
              </w:rPr>
            </w:pPr>
            <w:r>
              <w:rPr>
                <w:bCs/>
                <w:sz w:val="16"/>
                <w:szCs w:val="16"/>
                <w:lang w:val="es-ES_tradnl"/>
              </w:rPr>
              <w:t>Por determinar.</w:t>
            </w:r>
          </w:p>
          <w:p w:rsidR="00CD41AE" w:rsidRDefault="00CD41AE" w:rsidP="00A82B27">
            <w:pPr>
              <w:widowControl w:val="0"/>
              <w:ind w:right="381"/>
              <w:rPr>
                <w:bCs/>
                <w:sz w:val="16"/>
                <w:szCs w:val="16"/>
                <w:lang w:val="es-ES_tradnl"/>
              </w:rPr>
            </w:pPr>
          </w:p>
          <w:p w:rsidR="00CD41AE" w:rsidRDefault="00CD41AE" w:rsidP="00A82B27">
            <w:pPr>
              <w:widowControl w:val="0"/>
              <w:ind w:right="381"/>
              <w:rPr>
                <w:bCs/>
                <w:sz w:val="16"/>
                <w:szCs w:val="16"/>
                <w:lang w:val="es-ES_tradnl"/>
              </w:rPr>
            </w:pPr>
          </w:p>
          <w:p w:rsidR="00CD41AE" w:rsidRDefault="00CD41AE" w:rsidP="00A82B27">
            <w:pPr>
              <w:widowControl w:val="0"/>
              <w:ind w:right="381"/>
              <w:rPr>
                <w:bCs/>
                <w:sz w:val="16"/>
                <w:szCs w:val="16"/>
                <w:lang w:val="es-ES_tradnl"/>
              </w:rPr>
            </w:pPr>
            <w:r>
              <w:rPr>
                <w:bCs/>
                <w:sz w:val="16"/>
                <w:szCs w:val="16"/>
                <w:lang w:val="es-ES_tradnl"/>
              </w:rPr>
              <w:t>Por determinar.</w:t>
            </w:r>
          </w:p>
          <w:p w:rsidR="00CD41AE" w:rsidRDefault="00CD41AE" w:rsidP="00A82B27">
            <w:pPr>
              <w:widowControl w:val="0"/>
              <w:ind w:right="381"/>
              <w:rPr>
                <w:bCs/>
                <w:sz w:val="16"/>
                <w:szCs w:val="16"/>
                <w:lang w:val="es-ES_tradnl"/>
              </w:rPr>
            </w:pPr>
          </w:p>
          <w:p w:rsidR="00CD41AE" w:rsidRDefault="00CD41AE" w:rsidP="00A82B27">
            <w:pPr>
              <w:widowControl w:val="0"/>
              <w:ind w:right="381"/>
              <w:rPr>
                <w:bCs/>
                <w:sz w:val="16"/>
                <w:szCs w:val="16"/>
                <w:lang w:val="es-ES_tradnl"/>
              </w:rPr>
            </w:pPr>
          </w:p>
          <w:p w:rsidR="00CD41AE" w:rsidRDefault="00CD41AE" w:rsidP="00A82B27">
            <w:pPr>
              <w:widowControl w:val="0"/>
              <w:ind w:right="381"/>
              <w:rPr>
                <w:bCs/>
                <w:sz w:val="16"/>
                <w:szCs w:val="16"/>
                <w:lang w:val="es-ES_tradnl"/>
              </w:rPr>
            </w:pPr>
          </w:p>
          <w:p w:rsidR="00CD41AE" w:rsidRPr="00C75C7E" w:rsidRDefault="00CD41AE" w:rsidP="00A82B27">
            <w:pPr>
              <w:widowControl w:val="0"/>
              <w:ind w:right="381"/>
              <w:rPr>
                <w:bCs/>
                <w:sz w:val="16"/>
                <w:szCs w:val="16"/>
                <w:lang w:val="es-ES_tradnl"/>
              </w:rPr>
            </w:pPr>
            <w:r>
              <w:rPr>
                <w:bCs/>
                <w:sz w:val="16"/>
                <w:szCs w:val="16"/>
                <w:lang w:val="es-ES_tradnl"/>
              </w:rPr>
              <w:t>Por determinar.</w:t>
            </w:r>
          </w:p>
        </w:tc>
      </w:tr>
    </w:tbl>
    <w:p w:rsidR="00CD41AE" w:rsidRPr="001917DB" w:rsidRDefault="00CD41AE" w:rsidP="00CD41AE">
      <w:pPr>
        <w:widowControl w:val="0"/>
        <w:rPr>
          <w:sz w:val="20"/>
          <w:lang w:val="es-ES_tradnl"/>
        </w:rPr>
      </w:pPr>
    </w:p>
    <w:p w:rsidR="00CD41AE" w:rsidRPr="001917DB" w:rsidRDefault="00CD41AE" w:rsidP="00CD41AE">
      <w:pPr>
        <w:widowControl w:val="0"/>
        <w:rPr>
          <w:sz w:val="20"/>
          <w:lang w:val="es-ES_tradnl"/>
        </w:rPr>
      </w:pPr>
    </w:p>
    <w:p w:rsidR="00CD41AE" w:rsidRPr="002E7DC3" w:rsidRDefault="00CD41AE" w:rsidP="00CD41AE">
      <w:pPr>
        <w:widowControl w:val="0"/>
        <w:rPr>
          <w:rFonts w:eastAsia="Times New Roman"/>
          <w:szCs w:val="22"/>
          <w:lang w:eastAsia="en-US"/>
        </w:rPr>
      </w:pPr>
      <w:r w:rsidRPr="002E7DC3">
        <w:rPr>
          <w:rFonts w:eastAsia="Times New Roman"/>
          <w:szCs w:val="22"/>
          <w:lang w:eastAsia="en-US"/>
        </w:rPr>
        <w:t xml:space="preserve">RECURSOS PARA EL PROGRAMA </w:t>
      </w:r>
      <w:r w:rsidR="00C932AD">
        <w:rPr>
          <w:rFonts w:eastAsia="Times New Roman"/>
          <w:szCs w:val="22"/>
          <w:lang w:eastAsia="en-US"/>
        </w:rPr>
        <w:t>30</w:t>
      </w:r>
    </w:p>
    <w:p w:rsidR="00CD41AE" w:rsidRPr="002E7DC3" w:rsidRDefault="00CD41AE" w:rsidP="00CD41AE">
      <w:pPr>
        <w:widowControl w:val="0"/>
        <w:autoSpaceDE w:val="0"/>
        <w:autoSpaceDN w:val="0"/>
        <w:adjustRightInd w:val="0"/>
        <w:rPr>
          <w:rFonts w:eastAsia="Times New Roman"/>
          <w:sz w:val="20"/>
          <w:lang w:eastAsia="en-US"/>
        </w:rPr>
      </w:pPr>
    </w:p>
    <w:p w:rsidR="00CD41AE" w:rsidRPr="00CD41AE" w:rsidRDefault="00CD41AE" w:rsidP="00CD41AE">
      <w:pPr>
        <w:widowControl w:val="0"/>
        <w:numPr>
          <w:ilvl w:val="0"/>
          <w:numId w:val="66"/>
        </w:numPr>
        <w:ind w:right="44"/>
        <w:jc w:val="both"/>
        <w:rPr>
          <w:rFonts w:eastAsia="Times New Roman"/>
          <w:sz w:val="20"/>
          <w:lang w:eastAsia="en-US"/>
        </w:rPr>
      </w:pPr>
      <w:r>
        <w:rPr>
          <w:rFonts w:eastAsia="Times New Roman"/>
          <w:sz w:val="20"/>
          <w:lang w:eastAsia="en-US"/>
        </w:rPr>
        <w:t xml:space="preserve">La disminución de los recursos de este programa se debe a:  i) la descentralización de las actividades de fortalecimiento de capacidades en materia de pymes a las Oficinas Regionales en la Sede y al programa 10 (resultados III.6: </w:t>
      </w:r>
      <w:r w:rsidRPr="00CD41AE">
        <w:rPr>
          <w:rFonts w:eastAsia="Times New Roman"/>
          <w:sz w:val="20"/>
          <w:lang w:eastAsia="en-US"/>
        </w:rPr>
        <w:t>Mejor capacidad de las pymes</w:t>
      </w:r>
      <w:r>
        <w:rPr>
          <w:rFonts w:eastAsia="Times New Roman"/>
          <w:sz w:val="20"/>
          <w:lang w:eastAsia="en-US"/>
        </w:rPr>
        <w:t xml:space="preserve">, y II.2:  </w:t>
      </w:r>
      <w:r w:rsidRPr="00CD41AE">
        <w:rPr>
          <w:rFonts w:eastAsia="Times New Roman"/>
          <w:sz w:val="20"/>
          <w:lang w:eastAsia="en-US"/>
        </w:rPr>
        <w:t>Mejora de las capacidades en el ámbito de los recursos humanos</w:t>
      </w:r>
      <w:r w:rsidR="00C932AD">
        <w:rPr>
          <w:rFonts w:eastAsia="Times New Roman"/>
          <w:sz w:val="20"/>
          <w:lang w:eastAsia="en-US"/>
        </w:rPr>
        <w:t>);  ii) la continuación de la ejecución del proyecto piloto de las OTT en el marco de las Oficinas Regionales en la Sede y el programa 10 (resultado IV.2:  Mejora del acceso y uso de la información en materia de P.I.);  y iii) la continuación de la labor sobre políticas de innovación bajo los auspicios del programa 16 (resultado III.1:  Estrategias y planes de innovación y P.I.).</w:t>
      </w:r>
    </w:p>
    <w:p w:rsidR="00CD41AE" w:rsidRPr="001917DB" w:rsidRDefault="00CD41AE" w:rsidP="00CD41AE">
      <w:pPr>
        <w:widowControl w:val="0"/>
        <w:ind w:right="44"/>
        <w:jc w:val="both"/>
        <w:rPr>
          <w:rFonts w:eastAsia="Times New Roman"/>
          <w:sz w:val="20"/>
          <w:lang w:eastAsia="en-US"/>
        </w:rPr>
      </w:pPr>
    </w:p>
    <w:p w:rsidR="00E062A1" w:rsidRPr="001917DB" w:rsidRDefault="00E062A1" w:rsidP="00E062A1">
      <w:pPr>
        <w:rPr>
          <w:bCs/>
          <w:sz w:val="20"/>
        </w:rPr>
      </w:pPr>
    </w:p>
    <w:p w:rsidR="00C932AD" w:rsidRPr="00C932AD" w:rsidRDefault="00C932AD" w:rsidP="00C932AD">
      <w:pPr>
        <w:keepNext/>
        <w:keepLines/>
        <w:jc w:val="center"/>
        <w:rPr>
          <w:b/>
          <w:bCs/>
          <w:sz w:val="20"/>
          <w:lang w:val="es-ES_tradnl"/>
        </w:rPr>
      </w:pPr>
      <w:r w:rsidRPr="00C932AD">
        <w:rPr>
          <w:b/>
          <w:bCs/>
          <w:sz w:val="20"/>
          <w:lang w:val="es-ES_tradnl"/>
        </w:rPr>
        <w:lastRenderedPageBreak/>
        <w:t>Programa 30:  Recursos por resultado</w:t>
      </w:r>
    </w:p>
    <w:p w:rsidR="00C932AD" w:rsidRPr="00C932AD" w:rsidRDefault="00C932AD" w:rsidP="00C932AD">
      <w:pPr>
        <w:keepNext/>
        <w:keepLines/>
        <w:jc w:val="center"/>
        <w:rPr>
          <w:bCs/>
          <w:i/>
          <w:sz w:val="20"/>
          <w:lang w:val="es-ES_tradnl"/>
        </w:rPr>
      </w:pPr>
      <w:r w:rsidRPr="00C932AD">
        <w:rPr>
          <w:bCs/>
          <w:i/>
          <w:sz w:val="20"/>
          <w:lang w:val="es-ES_tradnl"/>
        </w:rPr>
        <w:t>(en miles de francos suizos)</w:t>
      </w:r>
    </w:p>
    <w:p w:rsidR="00C932AD" w:rsidRPr="00C932AD" w:rsidRDefault="00C932AD" w:rsidP="00C932AD">
      <w:pPr>
        <w:keepNext/>
        <w:keepLines/>
        <w:rPr>
          <w:bCs/>
          <w:sz w:val="18"/>
          <w:szCs w:val="18"/>
          <w:lang w:val="es-ES_tradnl"/>
        </w:rPr>
      </w:pPr>
    </w:p>
    <w:p w:rsidR="00C932AD" w:rsidRDefault="00C932AD" w:rsidP="00C932AD">
      <w:pPr>
        <w:keepNext/>
        <w:keepLines/>
        <w:rPr>
          <w:bCs/>
          <w:lang w:val="es-ES_tradnl"/>
        </w:rPr>
      </w:pPr>
      <w:r w:rsidRPr="00C932AD">
        <w:rPr>
          <w:noProof/>
          <w:lang w:val="en-US" w:eastAsia="en-US"/>
        </w:rPr>
        <w:drawing>
          <wp:inline distT="0" distB="0" distL="0" distR="0" wp14:anchorId="73D1CAA7" wp14:editId="52585A8F">
            <wp:extent cx="5819775" cy="382905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819775" cy="3829050"/>
                    </a:xfrm>
                    <a:prstGeom prst="rect">
                      <a:avLst/>
                    </a:prstGeom>
                    <a:noFill/>
                    <a:ln>
                      <a:noFill/>
                    </a:ln>
                  </pic:spPr>
                </pic:pic>
              </a:graphicData>
            </a:graphic>
          </wp:inline>
        </w:drawing>
      </w:r>
    </w:p>
    <w:p w:rsidR="00C932AD" w:rsidRPr="00C932AD" w:rsidRDefault="00C932AD" w:rsidP="00C932AD">
      <w:pPr>
        <w:widowControl w:val="0"/>
        <w:autoSpaceDE w:val="0"/>
        <w:autoSpaceDN w:val="0"/>
        <w:adjustRightInd w:val="0"/>
        <w:rPr>
          <w:sz w:val="12"/>
          <w:szCs w:val="12"/>
          <w:lang w:val="es-ES_tradnl"/>
        </w:rPr>
      </w:pPr>
    </w:p>
    <w:p w:rsidR="00C932AD" w:rsidRPr="00C75C7E" w:rsidRDefault="00C932AD" w:rsidP="00C932AD">
      <w:pPr>
        <w:widowControl w:val="0"/>
        <w:autoSpaceDE w:val="0"/>
        <w:autoSpaceDN w:val="0"/>
        <w:adjustRightInd w:val="0"/>
        <w:rPr>
          <w:sz w:val="20"/>
          <w:lang w:val="es-ES_tradnl"/>
        </w:rPr>
      </w:pPr>
      <w:r w:rsidRPr="00C75C7E">
        <w:rPr>
          <w:sz w:val="16"/>
          <w:szCs w:val="16"/>
          <w:lang w:val="es-ES_tradnl"/>
        </w:rPr>
        <w:t>Nota: Se ha reexpresado el presupuesto aprobado de 2012/13 y el presupuesto de dicho bienio después de las transferencias, por resultado previsto, para reflejar el marco de resultados de la Organización propuesto para 2014/15.</w:t>
      </w:r>
    </w:p>
    <w:p w:rsidR="00C932AD" w:rsidRDefault="00C932AD" w:rsidP="00E062A1">
      <w:pPr>
        <w:rPr>
          <w:bCs/>
          <w:sz w:val="20"/>
          <w:lang w:val="es-ES_tradnl"/>
        </w:rPr>
      </w:pPr>
    </w:p>
    <w:p w:rsidR="001917DB" w:rsidRPr="001917DB" w:rsidRDefault="001917DB" w:rsidP="00E062A1">
      <w:pPr>
        <w:rPr>
          <w:bCs/>
          <w:sz w:val="20"/>
          <w:lang w:val="es-ES_tradnl"/>
        </w:rPr>
      </w:pPr>
    </w:p>
    <w:p w:rsidR="00C932AD" w:rsidRPr="00C75C7E" w:rsidRDefault="00C932AD" w:rsidP="001917DB">
      <w:pPr>
        <w:keepNext/>
        <w:keepLines/>
        <w:widowControl w:val="0"/>
        <w:autoSpaceDE w:val="0"/>
        <w:autoSpaceDN w:val="0"/>
        <w:adjustRightInd w:val="0"/>
        <w:ind w:firstLine="567"/>
        <w:jc w:val="center"/>
        <w:rPr>
          <w:b/>
          <w:bCs/>
          <w:iCs/>
          <w:sz w:val="20"/>
          <w:lang w:val="es-ES_tradnl"/>
        </w:rPr>
      </w:pPr>
      <w:r>
        <w:rPr>
          <w:b/>
          <w:bCs/>
          <w:iCs/>
          <w:sz w:val="20"/>
          <w:lang w:val="es-ES_tradnl"/>
        </w:rPr>
        <w:lastRenderedPageBreak/>
        <w:t xml:space="preserve">Programa 30:  </w:t>
      </w:r>
      <w:r w:rsidRPr="00C75C7E">
        <w:rPr>
          <w:b/>
          <w:bCs/>
          <w:iCs/>
          <w:sz w:val="20"/>
          <w:lang w:val="es-ES_tradnl"/>
        </w:rPr>
        <w:t>Recursos por objeto de gasto</w:t>
      </w:r>
    </w:p>
    <w:p w:rsidR="00C932AD" w:rsidRPr="00C75C7E" w:rsidRDefault="00C932AD" w:rsidP="001917DB">
      <w:pPr>
        <w:keepNext/>
        <w:keepLines/>
        <w:widowControl w:val="0"/>
        <w:autoSpaceDE w:val="0"/>
        <w:autoSpaceDN w:val="0"/>
        <w:adjustRightInd w:val="0"/>
        <w:ind w:firstLine="567"/>
        <w:jc w:val="center"/>
        <w:rPr>
          <w:bCs/>
          <w:i/>
          <w:sz w:val="20"/>
          <w:lang w:val="es-ES_tradnl"/>
        </w:rPr>
      </w:pPr>
      <w:r w:rsidRPr="00C75C7E">
        <w:rPr>
          <w:bCs/>
          <w:i/>
          <w:sz w:val="20"/>
          <w:lang w:val="es-ES_tradnl"/>
        </w:rPr>
        <w:t>(en miles de francos suizos)</w:t>
      </w:r>
    </w:p>
    <w:p w:rsidR="00C932AD" w:rsidRPr="00C932AD" w:rsidRDefault="00C932AD" w:rsidP="001917DB">
      <w:pPr>
        <w:keepNext/>
        <w:keepLines/>
        <w:widowControl w:val="0"/>
        <w:jc w:val="center"/>
        <w:rPr>
          <w:sz w:val="20"/>
          <w:lang w:val="es-ES_tradnl"/>
        </w:rPr>
      </w:pPr>
    </w:p>
    <w:p w:rsidR="00C932AD" w:rsidRPr="00C932AD" w:rsidRDefault="00C932AD" w:rsidP="001917DB">
      <w:pPr>
        <w:keepNext/>
        <w:keepLines/>
        <w:rPr>
          <w:bCs/>
          <w:sz w:val="20"/>
          <w:lang w:val="es-ES_tradnl"/>
        </w:rPr>
      </w:pPr>
      <w:r w:rsidRPr="00C932AD">
        <w:rPr>
          <w:noProof/>
          <w:lang w:val="en-US" w:eastAsia="en-US"/>
        </w:rPr>
        <w:drawing>
          <wp:inline distT="0" distB="0" distL="0" distR="0" wp14:anchorId="74E70B48" wp14:editId="5EA8D1F9">
            <wp:extent cx="5940425" cy="5642501"/>
            <wp:effectExtent l="0" t="0" r="317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940425" cy="5642501"/>
                    </a:xfrm>
                    <a:prstGeom prst="rect">
                      <a:avLst/>
                    </a:prstGeom>
                    <a:noFill/>
                    <a:ln>
                      <a:noFill/>
                    </a:ln>
                  </pic:spPr>
                </pic:pic>
              </a:graphicData>
            </a:graphic>
          </wp:inline>
        </w:drawing>
      </w:r>
    </w:p>
    <w:p w:rsidR="00C932AD" w:rsidRDefault="00C932AD" w:rsidP="00E062A1">
      <w:pPr>
        <w:rPr>
          <w:bCs/>
          <w:sz w:val="20"/>
          <w:lang w:val="es-ES_tradnl"/>
        </w:rPr>
      </w:pPr>
    </w:p>
    <w:p w:rsidR="001917DB" w:rsidRPr="00C75C7E" w:rsidRDefault="001917DB" w:rsidP="001917DB">
      <w:pPr>
        <w:keepNext/>
        <w:keepLines/>
        <w:widowControl w:val="0"/>
        <w:rPr>
          <w:sz w:val="16"/>
          <w:szCs w:val="16"/>
          <w:lang w:val="es-ES_tradnl"/>
        </w:rPr>
      </w:pPr>
      <w:r w:rsidRPr="00C75C7E">
        <w:rPr>
          <w:sz w:val="16"/>
          <w:szCs w:val="16"/>
          <w:lang w:val="es-ES_tradnl"/>
        </w:rPr>
        <w:t>Notas:</w:t>
      </w:r>
    </w:p>
    <w:p w:rsidR="001917DB" w:rsidRPr="00C75C7E" w:rsidRDefault="001917DB" w:rsidP="001917DB">
      <w:pPr>
        <w:keepNext/>
        <w:keepLines/>
        <w:widowControl w:val="0"/>
        <w:rPr>
          <w:sz w:val="16"/>
          <w:szCs w:val="16"/>
          <w:u w:val="single"/>
          <w:lang w:val="es-ES_tradnl"/>
        </w:rPr>
      </w:pPr>
    </w:p>
    <w:p w:rsidR="001917DB" w:rsidRDefault="001917DB" w:rsidP="001917DB">
      <w:pPr>
        <w:keepNext/>
        <w:keepLines/>
        <w:widowControl w:val="0"/>
        <w:tabs>
          <w:tab w:val="left" w:pos="567"/>
        </w:tabs>
        <w:rPr>
          <w:sz w:val="16"/>
          <w:szCs w:val="16"/>
          <w:lang w:val="es-ES_tradnl"/>
        </w:rPr>
      </w:pPr>
      <w:r>
        <w:rPr>
          <w:sz w:val="16"/>
          <w:szCs w:val="16"/>
          <w:lang w:val="es-ES_tradnl"/>
        </w:rPr>
        <w:t xml:space="preserve">1)  </w:t>
      </w:r>
      <w:r w:rsidRPr="00C75C7E">
        <w:rPr>
          <w:sz w:val="16"/>
          <w:szCs w:val="16"/>
          <w:lang w:val="es-ES_tradnl"/>
        </w:rPr>
        <w:t>El presupuesto aprobado de 2012/13 y el presupuesto de dicho bienio después de las transferencias se reexpresan sobre la base de la estructura de categorías de costos propuesta para 2014/15.</w:t>
      </w:r>
    </w:p>
    <w:p w:rsidR="001917DB" w:rsidRPr="00C75C7E" w:rsidRDefault="001917DB" w:rsidP="001917DB">
      <w:pPr>
        <w:widowControl w:val="0"/>
        <w:tabs>
          <w:tab w:val="left" w:pos="567"/>
        </w:tabs>
        <w:rPr>
          <w:sz w:val="16"/>
          <w:szCs w:val="16"/>
          <w:lang w:val="es-ES_tradnl"/>
        </w:rPr>
      </w:pPr>
    </w:p>
    <w:p w:rsidR="001917DB" w:rsidRDefault="001917DB" w:rsidP="001917DB">
      <w:pPr>
        <w:widowControl w:val="0"/>
        <w:tabs>
          <w:tab w:val="left" w:pos="567"/>
        </w:tabs>
        <w:rPr>
          <w:rFonts w:cs="ArialMT"/>
          <w:sz w:val="16"/>
          <w:szCs w:val="16"/>
          <w:lang w:val="es-ES_tradnl"/>
        </w:rPr>
      </w:pPr>
      <w:r>
        <w:rPr>
          <w:sz w:val="16"/>
          <w:szCs w:val="16"/>
          <w:lang w:val="es-ES_tradnl"/>
        </w:rPr>
        <w:t xml:space="preserve">2)  </w:t>
      </w:r>
      <w:r w:rsidRPr="00C75C7E">
        <w:rPr>
          <w:sz w:val="16"/>
          <w:szCs w:val="16"/>
          <w:lang w:val="es-ES_tradnl"/>
        </w:rPr>
        <w:t xml:space="preserve">El presupuesto después de las transferencias refleja el presupuesto de los programas ajustado tras las transferencias efectuadas en 2012/13 en virtud del artículo 5.5 del Reglamento Financiero. Para más información sobre el presupuesto de 2012/13 después de las transferencias, cabe remitirse al cuadro que figura en el Anexo I (Presupuesto después de las transferencias, por programa) del presente documento y al documento WO/PBC/20/2 (Informe sobre el rendimiento de los programas en 2012).  </w:t>
      </w:r>
      <w:r w:rsidRPr="00C75C7E">
        <w:rPr>
          <w:rFonts w:cs="ArialMT"/>
          <w:sz w:val="16"/>
          <w:szCs w:val="16"/>
          <w:lang w:val="es-ES_tradnl"/>
        </w:rPr>
        <w:t xml:space="preserve">Los costos de personal del presupuesto de 2012/13 después de las transferencias representan los gastos reales efectuados hasta el 31 de marzo de 2013 y los importes presupuestados para los nueve meses restantes de 2013, sobre la base de costos estándar. </w:t>
      </w:r>
    </w:p>
    <w:p w:rsidR="001917DB" w:rsidRPr="00C75C7E" w:rsidRDefault="001917DB" w:rsidP="001917DB">
      <w:pPr>
        <w:widowControl w:val="0"/>
        <w:tabs>
          <w:tab w:val="left" w:pos="567"/>
        </w:tabs>
        <w:rPr>
          <w:sz w:val="16"/>
          <w:szCs w:val="16"/>
          <w:lang w:val="es-ES_tradnl"/>
        </w:rPr>
      </w:pPr>
    </w:p>
    <w:p w:rsidR="001917DB" w:rsidRPr="00C75C7E" w:rsidRDefault="001917DB" w:rsidP="001917DB">
      <w:pPr>
        <w:widowControl w:val="0"/>
        <w:spacing w:after="120"/>
        <w:rPr>
          <w:sz w:val="16"/>
          <w:szCs w:val="16"/>
          <w:lang w:val="es-ES_tradnl"/>
        </w:rPr>
      </w:pPr>
      <w:r>
        <w:rPr>
          <w:sz w:val="16"/>
          <w:szCs w:val="16"/>
          <w:lang w:val="es-ES_tradnl"/>
        </w:rPr>
        <w:t xml:space="preserve">3)  </w:t>
      </w:r>
      <w:r w:rsidRPr="00C75C7E">
        <w:rPr>
          <w:sz w:val="16"/>
          <w:szCs w:val="16"/>
          <w:lang w:val="es-ES_tradnl"/>
        </w:rPr>
        <w:t>Para más información sobre los puestos del programa cabe remitirse al cuadro que figura en el Anexo II.</w:t>
      </w:r>
    </w:p>
    <w:p w:rsidR="001917DB" w:rsidRPr="00C932AD" w:rsidRDefault="001917DB" w:rsidP="00E062A1">
      <w:pPr>
        <w:rPr>
          <w:bCs/>
          <w:sz w:val="20"/>
          <w:lang w:val="es-ES_tradnl"/>
        </w:rPr>
      </w:pPr>
    </w:p>
    <w:p w:rsidR="00E062A1" w:rsidRPr="00E062A1" w:rsidRDefault="00E062A1" w:rsidP="00E062A1">
      <w:pPr>
        <w:rPr>
          <w:bCs/>
          <w:lang w:val="es-ES_tradnl"/>
        </w:rPr>
      </w:pPr>
    </w:p>
    <w:p w:rsidR="004F4F85" w:rsidRDefault="004F4F85">
      <w:pPr>
        <w:rPr>
          <w:sz w:val="16"/>
          <w:szCs w:val="16"/>
          <w:lang w:val="es-ES_tradnl"/>
        </w:rPr>
      </w:pPr>
    </w:p>
    <w:p w:rsidR="004F4F85" w:rsidRDefault="004F4F85" w:rsidP="004F4F85">
      <w:pPr>
        <w:widowControl w:val="0"/>
        <w:jc w:val="both"/>
        <w:rPr>
          <w:sz w:val="16"/>
          <w:szCs w:val="16"/>
          <w:lang w:val="es-ES_tradnl"/>
        </w:rPr>
        <w:sectPr w:rsidR="004F4F85" w:rsidSect="00FF362A">
          <w:headerReference w:type="even" r:id="rId78"/>
          <w:headerReference w:type="default" r:id="rId79"/>
          <w:headerReference w:type="first" r:id="rId80"/>
          <w:pgSz w:w="11907" w:h="16840" w:code="9"/>
          <w:pgMar w:top="567" w:right="1134" w:bottom="1418" w:left="1418" w:header="510" w:footer="1021" w:gutter="0"/>
          <w:cols w:space="720"/>
          <w:titlePg/>
        </w:sectPr>
      </w:pPr>
    </w:p>
    <w:p w:rsidR="004F4F85" w:rsidRDefault="008541BE" w:rsidP="008541BE">
      <w:pPr>
        <w:pStyle w:val="Heading2"/>
        <w:jc w:val="center"/>
        <w:rPr>
          <w:b/>
          <w:caps w:val="0"/>
          <w:sz w:val="24"/>
          <w:szCs w:val="24"/>
          <w:lang w:val="es-ES_tradnl" w:eastAsia="da-DK"/>
        </w:rPr>
      </w:pPr>
      <w:bookmarkStart w:id="46" w:name="_Toc358816699"/>
      <w:bookmarkStart w:id="47" w:name="_Toc356567761"/>
      <w:r w:rsidRPr="008F43DB">
        <w:rPr>
          <w:b/>
          <w:caps w:val="0"/>
          <w:sz w:val="24"/>
          <w:szCs w:val="24"/>
          <w:lang w:val="es-ES_tradnl" w:eastAsia="da-DK"/>
        </w:rPr>
        <w:lastRenderedPageBreak/>
        <w:t xml:space="preserve">META ESTRATÉGICA IV </w:t>
      </w:r>
    </w:p>
    <w:p w:rsidR="002E7DC3" w:rsidRPr="008F43DB" w:rsidRDefault="008541BE" w:rsidP="008541BE">
      <w:pPr>
        <w:pStyle w:val="Heading2"/>
        <w:jc w:val="center"/>
        <w:rPr>
          <w:b/>
          <w:caps w:val="0"/>
          <w:sz w:val="24"/>
          <w:szCs w:val="24"/>
          <w:lang w:val="es-ES_tradnl" w:eastAsia="da-DK"/>
        </w:rPr>
      </w:pPr>
      <w:r w:rsidRPr="008F43DB">
        <w:rPr>
          <w:b/>
          <w:caps w:val="0"/>
          <w:sz w:val="24"/>
          <w:szCs w:val="24"/>
          <w:lang w:val="es-ES_tradnl" w:eastAsia="da-DK"/>
        </w:rPr>
        <w:t>COORDINACIÓN Y DESARROLLO DE LA INFRAESTRUCTURA MUNDIAL DE LA P.I.</w:t>
      </w:r>
      <w:bookmarkEnd w:id="46"/>
    </w:p>
    <w:bookmarkEnd w:id="47"/>
    <w:p w:rsidR="002E7DC3" w:rsidRPr="008541BE" w:rsidRDefault="002E7DC3" w:rsidP="002E7DC3">
      <w:pPr>
        <w:widowControl w:val="0"/>
        <w:tabs>
          <w:tab w:val="left" w:pos="1701"/>
        </w:tabs>
        <w:ind w:left="1701" w:hanging="1701"/>
        <w:jc w:val="center"/>
        <w:rPr>
          <w:rFonts w:eastAsia="Times New Roman"/>
          <w:bCs/>
          <w:caps/>
          <w:sz w:val="24"/>
          <w:szCs w:val="24"/>
          <w:lang w:eastAsia="en-US"/>
        </w:rPr>
      </w:pPr>
    </w:p>
    <w:p w:rsidR="002E7DC3" w:rsidRPr="008541BE" w:rsidRDefault="002E7DC3" w:rsidP="002E7DC3">
      <w:pPr>
        <w:widowControl w:val="0"/>
        <w:tabs>
          <w:tab w:val="left" w:pos="1701"/>
        </w:tabs>
        <w:ind w:left="1701" w:hanging="1701"/>
        <w:jc w:val="center"/>
        <w:rPr>
          <w:rFonts w:eastAsia="Times New Roman"/>
          <w:bCs/>
          <w:caps/>
          <w:sz w:val="24"/>
          <w:szCs w:val="24"/>
          <w:lang w:eastAsia="en-US"/>
        </w:rPr>
      </w:pPr>
    </w:p>
    <w:p w:rsidR="002E7DC3" w:rsidRPr="002E7DC3" w:rsidRDefault="002E7DC3" w:rsidP="002E7DC3">
      <w:pPr>
        <w:widowControl w:val="0"/>
        <w:autoSpaceDE w:val="0"/>
        <w:autoSpaceDN w:val="0"/>
        <w:adjustRightInd w:val="0"/>
        <w:jc w:val="both"/>
        <w:rPr>
          <w:rFonts w:eastAsia="Times New Roman"/>
          <w:sz w:val="20"/>
          <w:lang w:eastAsia="en-US"/>
        </w:rPr>
      </w:pPr>
      <w:r w:rsidRPr="002E7DC3">
        <w:rPr>
          <w:rFonts w:eastAsia="Times New Roman"/>
          <w:sz w:val="20"/>
          <w:lang w:eastAsia="en-US"/>
        </w:rPr>
        <w:t>Las tecnologías de la información y la comunicación (TIC) han permitido incrementar la eficiencia en el sistema internacional de P.I., facilitar el acceso a las ventajas que se derivan del sistema e intensificar la participación de los países menos adelantados, países en desarrollo y países con economías en transición.</w:t>
      </w:r>
      <w:r w:rsidRPr="002E7DC3">
        <w:rPr>
          <w:rFonts w:eastAsia="Times New Roman"/>
          <w:color w:val="00B050"/>
          <w:sz w:val="20"/>
          <w:lang w:eastAsia="en-US"/>
        </w:rPr>
        <w:t xml:space="preserve">  </w:t>
      </w:r>
      <w:r w:rsidRPr="002E7DC3">
        <w:rPr>
          <w:rFonts w:eastAsia="Times New Roman"/>
          <w:sz w:val="20"/>
          <w:lang w:eastAsia="en-US"/>
        </w:rPr>
        <w:t xml:space="preserve">El propósito de esta meta estratégica es fortalecer la infraestructura de los Estados miembros, en particular los países citados, intensificar la cooperación internacional para mejorar la infraestructura y el flujo de datos en el sistema y establecer bases de datos mundiales de P.I. y plataformas de participación voluntaria para incrementar la cooperación técnica. </w:t>
      </w:r>
    </w:p>
    <w:p w:rsidR="002E7DC3" w:rsidRPr="002E7DC3" w:rsidRDefault="002E7DC3" w:rsidP="002E7DC3">
      <w:pPr>
        <w:widowControl w:val="0"/>
        <w:autoSpaceDE w:val="0"/>
        <w:autoSpaceDN w:val="0"/>
        <w:adjustRightInd w:val="0"/>
        <w:jc w:val="both"/>
        <w:rPr>
          <w:rFonts w:eastAsia="Times New Roman"/>
          <w:sz w:val="20"/>
          <w:lang w:eastAsia="en-US"/>
        </w:rPr>
      </w:pPr>
    </w:p>
    <w:p w:rsidR="002E7DC3" w:rsidRPr="002E7DC3" w:rsidRDefault="002E7DC3" w:rsidP="002E7DC3">
      <w:pPr>
        <w:widowControl w:val="0"/>
        <w:autoSpaceDE w:val="0"/>
        <w:autoSpaceDN w:val="0"/>
        <w:adjustRightInd w:val="0"/>
        <w:jc w:val="both"/>
        <w:rPr>
          <w:rFonts w:eastAsia="Times New Roman"/>
          <w:i/>
          <w:iCs/>
          <w:szCs w:val="22"/>
          <w:lang w:eastAsia="en-US"/>
        </w:rPr>
      </w:pPr>
      <w:r w:rsidRPr="002E7DC3">
        <w:rPr>
          <w:rFonts w:eastAsia="Times New Roman"/>
          <w:sz w:val="20"/>
          <w:lang w:eastAsia="en-US"/>
        </w:rPr>
        <w:t>La coordinación y desarrollo de la infraestructura mundial de P.I. también contribuye al logro de la meta estratégica III (Facilitar el uso de la P.I. en aras del desarrollo), la meta estratégica II (Prestación de servicios mundiales de P.I. de calidad.) y la meta estratégica V (Fuente de referencia en el mundo de información y análisis en materia de P.I.).  Abarca también la aplicación de varias recomendaciones  de la Agenda para el Desarrollo.</w:t>
      </w:r>
    </w:p>
    <w:p w:rsidR="002E7DC3" w:rsidRPr="002E7DC3" w:rsidRDefault="002E7DC3" w:rsidP="002E7DC3">
      <w:pPr>
        <w:widowControl w:val="0"/>
        <w:rPr>
          <w:rFonts w:eastAsia="Times New Roman"/>
          <w:sz w:val="20"/>
          <w:lang w:eastAsia="en-US"/>
        </w:rPr>
      </w:pPr>
    </w:p>
    <w:p w:rsidR="00A80F8D" w:rsidRPr="002E7DC3" w:rsidRDefault="00A80F8D" w:rsidP="008F691D">
      <w:pPr>
        <w:rPr>
          <w:sz w:val="20"/>
        </w:rPr>
      </w:pPr>
    </w:p>
    <w:tbl>
      <w:tblPr>
        <w:tblW w:w="4856"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515"/>
        <w:gridCol w:w="2722"/>
        <w:gridCol w:w="3058"/>
      </w:tblGrid>
      <w:tr w:rsidR="00A80F8D" w:rsidRPr="00C75C7E" w:rsidTr="008F4F69">
        <w:trPr>
          <w:cantSplit/>
          <w:trHeight w:val="401"/>
          <w:tblHeader/>
        </w:trPr>
        <w:tc>
          <w:tcPr>
            <w:tcW w:w="1891" w:type="pct"/>
            <w:tcBorders>
              <w:top w:val="single" w:sz="4" w:space="0" w:color="auto"/>
              <w:bottom w:val="single" w:sz="4" w:space="0" w:color="auto"/>
            </w:tcBorders>
            <w:shd w:val="clear" w:color="auto" w:fill="CCFFFF"/>
            <w:tcMar>
              <w:top w:w="113" w:type="dxa"/>
              <w:bottom w:w="85" w:type="dxa"/>
            </w:tcMar>
            <w:vAlign w:val="center"/>
          </w:tcPr>
          <w:p w:rsidR="00A80F8D" w:rsidRPr="00C75C7E" w:rsidRDefault="00A80F8D" w:rsidP="008F4F69">
            <w:pPr>
              <w:widowControl w:val="0"/>
              <w:spacing w:after="120"/>
              <w:jc w:val="center"/>
              <w:rPr>
                <w:b/>
                <w:bCs/>
                <w:sz w:val="18"/>
                <w:szCs w:val="18"/>
                <w:lang w:val="es-ES_tradnl"/>
              </w:rPr>
            </w:pPr>
            <w:r w:rsidRPr="00C75C7E">
              <w:rPr>
                <w:b/>
                <w:bCs/>
                <w:sz w:val="18"/>
                <w:szCs w:val="18"/>
                <w:lang w:val="es-ES_tradnl"/>
              </w:rPr>
              <w:t>Resultados previstos</w:t>
            </w:r>
          </w:p>
        </w:tc>
        <w:tc>
          <w:tcPr>
            <w:tcW w:w="1464" w:type="pct"/>
            <w:tcBorders>
              <w:top w:val="single" w:sz="4" w:space="0" w:color="auto"/>
              <w:bottom w:val="single" w:sz="4" w:space="0" w:color="auto"/>
            </w:tcBorders>
            <w:shd w:val="clear" w:color="auto" w:fill="CCFFFF"/>
            <w:tcMar>
              <w:top w:w="113" w:type="dxa"/>
              <w:bottom w:w="85" w:type="dxa"/>
            </w:tcMar>
            <w:vAlign w:val="center"/>
          </w:tcPr>
          <w:p w:rsidR="00A80F8D" w:rsidRPr="00C75C7E" w:rsidRDefault="00A80F8D" w:rsidP="008F4F69">
            <w:pPr>
              <w:widowControl w:val="0"/>
              <w:spacing w:after="120"/>
              <w:jc w:val="center"/>
              <w:rPr>
                <w:b/>
                <w:sz w:val="18"/>
                <w:szCs w:val="18"/>
                <w:lang w:val="es-ES_tradnl"/>
              </w:rPr>
            </w:pPr>
            <w:r w:rsidRPr="00C75C7E">
              <w:rPr>
                <w:b/>
                <w:sz w:val="18"/>
                <w:szCs w:val="18"/>
                <w:lang w:val="es-ES_tradnl"/>
              </w:rPr>
              <w:t>Indicadores de rendimiento</w:t>
            </w:r>
          </w:p>
        </w:tc>
        <w:tc>
          <w:tcPr>
            <w:tcW w:w="1645" w:type="pct"/>
            <w:tcBorders>
              <w:top w:val="single" w:sz="4" w:space="0" w:color="auto"/>
              <w:bottom w:val="single" w:sz="4" w:space="0" w:color="auto"/>
            </w:tcBorders>
            <w:shd w:val="clear" w:color="auto" w:fill="CCFFFF"/>
            <w:tcMar>
              <w:top w:w="113" w:type="dxa"/>
              <w:bottom w:w="85" w:type="dxa"/>
            </w:tcMar>
            <w:vAlign w:val="center"/>
          </w:tcPr>
          <w:p w:rsidR="00A80F8D" w:rsidRPr="00C75C7E" w:rsidRDefault="00A80F8D" w:rsidP="008F4F69">
            <w:pPr>
              <w:widowControl w:val="0"/>
              <w:spacing w:after="120"/>
              <w:ind w:left="85"/>
              <w:jc w:val="center"/>
              <w:rPr>
                <w:sz w:val="18"/>
                <w:szCs w:val="18"/>
                <w:lang w:val="es-ES_tradnl"/>
              </w:rPr>
            </w:pPr>
            <w:r w:rsidRPr="00C75C7E">
              <w:rPr>
                <w:b/>
                <w:bCs/>
                <w:sz w:val="18"/>
                <w:szCs w:val="18"/>
                <w:lang w:val="es-ES_tradnl"/>
              </w:rPr>
              <w:t>Programas responsables</w:t>
            </w:r>
          </w:p>
        </w:tc>
      </w:tr>
      <w:tr w:rsidR="00A80F8D" w:rsidRPr="00C75C7E" w:rsidTr="008F4F69">
        <w:trPr>
          <w:cantSplit/>
          <w:trHeight w:val="949"/>
        </w:trPr>
        <w:tc>
          <w:tcPr>
            <w:tcW w:w="1891" w:type="pct"/>
            <w:tcBorders>
              <w:top w:val="single" w:sz="4" w:space="0" w:color="auto"/>
            </w:tcBorders>
            <w:shd w:val="clear" w:color="auto" w:fill="auto"/>
            <w:tcMar>
              <w:top w:w="113" w:type="dxa"/>
              <w:bottom w:w="85" w:type="dxa"/>
            </w:tcMar>
          </w:tcPr>
          <w:p w:rsidR="00A80F8D" w:rsidRPr="00C75C7E" w:rsidRDefault="00A80F8D" w:rsidP="008F4F69">
            <w:pPr>
              <w:widowControl w:val="0"/>
              <w:rPr>
                <w:sz w:val="16"/>
                <w:szCs w:val="16"/>
                <w:lang w:val="es-ES_tradnl"/>
              </w:rPr>
            </w:pPr>
            <w:r w:rsidRPr="00C75C7E">
              <w:rPr>
                <w:sz w:val="16"/>
                <w:szCs w:val="16"/>
                <w:lang w:val="es-ES_tradnl"/>
              </w:rPr>
              <w:t>IV.1. Sistema actualizado y aceptado mundialmente de clasificaciones internacionales y normas técnicas de la OMPI para facilitar el acceso, el uso y la difusión de información de P.I. entre las partes interesadas de todo el mundo.</w:t>
            </w:r>
          </w:p>
        </w:tc>
        <w:tc>
          <w:tcPr>
            <w:tcW w:w="1464" w:type="pct"/>
            <w:tcBorders>
              <w:top w:val="single" w:sz="4" w:space="0" w:color="auto"/>
            </w:tcBorders>
            <w:shd w:val="clear" w:color="auto" w:fill="auto"/>
            <w:tcMar>
              <w:top w:w="113" w:type="dxa"/>
              <w:bottom w:w="85" w:type="dxa"/>
            </w:tcMar>
          </w:tcPr>
          <w:p w:rsidR="00A80F8D" w:rsidRPr="00C75C7E" w:rsidRDefault="00A80F8D" w:rsidP="008F4F69">
            <w:pPr>
              <w:widowControl w:val="0"/>
              <w:rPr>
                <w:sz w:val="16"/>
                <w:szCs w:val="16"/>
                <w:lang w:val="es-ES_tradnl"/>
              </w:rPr>
            </w:pPr>
            <w:r w:rsidRPr="00C75C7E">
              <w:rPr>
                <w:sz w:val="16"/>
                <w:szCs w:val="16"/>
                <w:lang w:val="es-ES_tradnl"/>
              </w:rPr>
              <w:t>Número de modificaciones y ficheros de información introducidos en la Clasificación de Niza.</w:t>
            </w:r>
          </w:p>
        </w:tc>
        <w:tc>
          <w:tcPr>
            <w:tcW w:w="1645" w:type="pct"/>
            <w:tcBorders>
              <w:top w:val="single" w:sz="4" w:space="0" w:color="auto"/>
            </w:tcBorders>
            <w:shd w:val="clear" w:color="auto" w:fill="FFFFFF"/>
            <w:tcMar>
              <w:top w:w="113" w:type="dxa"/>
              <w:bottom w:w="85" w:type="dxa"/>
            </w:tcMar>
          </w:tcPr>
          <w:p w:rsidR="00A80F8D" w:rsidRPr="00C75C7E" w:rsidRDefault="00A80F8D" w:rsidP="008F4F69">
            <w:pPr>
              <w:widowControl w:val="0"/>
              <w:ind w:left="660"/>
              <w:rPr>
                <w:sz w:val="16"/>
                <w:szCs w:val="16"/>
                <w:lang w:val="es-ES_tradnl"/>
              </w:rPr>
            </w:pPr>
            <w:r w:rsidRPr="00C75C7E">
              <w:rPr>
                <w:sz w:val="16"/>
                <w:szCs w:val="16"/>
                <w:lang w:val="es-ES_tradnl" w:bidi="th-TH"/>
              </w:rPr>
              <w:t>Programa  12</w:t>
            </w:r>
          </w:p>
        </w:tc>
      </w:tr>
      <w:tr w:rsidR="00A80F8D" w:rsidRPr="00C75C7E" w:rsidTr="008F4F69">
        <w:trPr>
          <w:cantSplit/>
        </w:trPr>
        <w:tc>
          <w:tcPr>
            <w:tcW w:w="1891" w:type="pct"/>
            <w:shd w:val="clear" w:color="auto" w:fill="auto"/>
            <w:tcMar>
              <w:top w:w="113" w:type="dxa"/>
              <w:bottom w:w="85" w:type="dxa"/>
            </w:tcMar>
          </w:tcPr>
          <w:p w:rsidR="00A80F8D" w:rsidRPr="00C75C7E" w:rsidRDefault="00A80F8D" w:rsidP="008F4F69">
            <w:pPr>
              <w:widowControl w:val="0"/>
              <w:rPr>
                <w:sz w:val="16"/>
                <w:szCs w:val="16"/>
                <w:lang w:val="es-ES_tradnl"/>
              </w:rPr>
            </w:pPr>
          </w:p>
        </w:tc>
        <w:tc>
          <w:tcPr>
            <w:tcW w:w="1464" w:type="pct"/>
            <w:shd w:val="clear" w:color="auto" w:fill="auto"/>
            <w:tcMar>
              <w:top w:w="113" w:type="dxa"/>
              <w:bottom w:w="85" w:type="dxa"/>
            </w:tcMar>
          </w:tcPr>
          <w:p w:rsidR="00A80F8D" w:rsidRPr="00C75C7E" w:rsidRDefault="00A80F8D" w:rsidP="008F4F69">
            <w:pPr>
              <w:widowControl w:val="0"/>
              <w:rPr>
                <w:sz w:val="16"/>
                <w:szCs w:val="16"/>
                <w:lang w:val="es-ES_tradnl"/>
              </w:rPr>
            </w:pPr>
            <w:r w:rsidRPr="00C75C7E">
              <w:rPr>
                <w:sz w:val="16"/>
                <w:szCs w:val="16"/>
                <w:lang w:val="es-ES_tradnl"/>
              </w:rPr>
              <w:t>Número de nuevas subdivisiones introducidas anualmente en la CIP.</w:t>
            </w:r>
          </w:p>
        </w:tc>
        <w:tc>
          <w:tcPr>
            <w:tcW w:w="1645" w:type="pct"/>
            <w:shd w:val="clear" w:color="auto" w:fill="FFFFFF"/>
            <w:tcMar>
              <w:top w:w="113" w:type="dxa"/>
              <w:bottom w:w="85" w:type="dxa"/>
            </w:tcMar>
          </w:tcPr>
          <w:p w:rsidR="00A80F8D" w:rsidRPr="00C75C7E" w:rsidRDefault="00A80F8D" w:rsidP="008F4F69">
            <w:pPr>
              <w:widowControl w:val="0"/>
              <w:ind w:left="660"/>
              <w:rPr>
                <w:sz w:val="16"/>
                <w:szCs w:val="16"/>
                <w:lang w:val="es-ES_tradnl"/>
              </w:rPr>
            </w:pPr>
            <w:r w:rsidRPr="00C75C7E">
              <w:rPr>
                <w:sz w:val="16"/>
                <w:szCs w:val="16"/>
                <w:lang w:val="es-ES_tradnl" w:bidi="th-TH"/>
              </w:rPr>
              <w:t>Programa  12</w:t>
            </w:r>
          </w:p>
        </w:tc>
      </w:tr>
      <w:tr w:rsidR="00A80F8D" w:rsidRPr="00C75C7E" w:rsidTr="008F4F69">
        <w:trPr>
          <w:cantSplit/>
          <w:trHeight w:val="454"/>
        </w:trPr>
        <w:tc>
          <w:tcPr>
            <w:tcW w:w="1891" w:type="pct"/>
            <w:shd w:val="clear" w:color="auto" w:fill="auto"/>
            <w:tcMar>
              <w:top w:w="113" w:type="dxa"/>
              <w:bottom w:w="85" w:type="dxa"/>
            </w:tcMar>
          </w:tcPr>
          <w:p w:rsidR="00A80F8D" w:rsidRPr="00C75C7E" w:rsidRDefault="00A80F8D" w:rsidP="008F4F69">
            <w:pPr>
              <w:widowControl w:val="0"/>
              <w:rPr>
                <w:sz w:val="16"/>
                <w:szCs w:val="16"/>
                <w:lang w:val="es-ES_tradnl"/>
              </w:rPr>
            </w:pPr>
          </w:p>
        </w:tc>
        <w:tc>
          <w:tcPr>
            <w:tcW w:w="1464" w:type="pct"/>
            <w:shd w:val="clear" w:color="auto" w:fill="auto"/>
            <w:tcMar>
              <w:top w:w="113" w:type="dxa"/>
              <w:bottom w:w="85" w:type="dxa"/>
            </w:tcMar>
          </w:tcPr>
          <w:p w:rsidR="00A80F8D" w:rsidRPr="00C75C7E" w:rsidRDefault="00A80F8D" w:rsidP="008F4F69">
            <w:pPr>
              <w:widowControl w:val="0"/>
              <w:rPr>
                <w:sz w:val="16"/>
                <w:szCs w:val="16"/>
                <w:lang w:val="es-ES_tradnl"/>
              </w:rPr>
            </w:pPr>
            <w:r w:rsidRPr="00C75C7E">
              <w:rPr>
                <w:sz w:val="16"/>
                <w:szCs w:val="16"/>
                <w:lang w:val="es-ES_tradnl"/>
              </w:rPr>
              <w:t>Número de normas técnicas modificadas y nuevas normas técnicas adoptadas.</w:t>
            </w:r>
          </w:p>
        </w:tc>
        <w:tc>
          <w:tcPr>
            <w:tcW w:w="1645" w:type="pct"/>
            <w:shd w:val="clear" w:color="auto" w:fill="FFFFFF"/>
            <w:tcMar>
              <w:top w:w="113" w:type="dxa"/>
              <w:bottom w:w="85" w:type="dxa"/>
            </w:tcMar>
          </w:tcPr>
          <w:p w:rsidR="00A80F8D" w:rsidRPr="00C75C7E" w:rsidRDefault="00A80F8D" w:rsidP="008F4F69">
            <w:pPr>
              <w:widowControl w:val="0"/>
              <w:ind w:left="660"/>
              <w:rPr>
                <w:sz w:val="16"/>
                <w:szCs w:val="16"/>
                <w:lang w:val="es-ES_tradnl"/>
              </w:rPr>
            </w:pPr>
            <w:r w:rsidRPr="00C75C7E">
              <w:rPr>
                <w:sz w:val="16"/>
                <w:szCs w:val="16"/>
                <w:lang w:val="es-ES_tradnl" w:bidi="th-TH"/>
              </w:rPr>
              <w:t>Programa  12</w:t>
            </w:r>
          </w:p>
        </w:tc>
      </w:tr>
      <w:tr w:rsidR="00A80F8D" w:rsidRPr="00C75C7E" w:rsidTr="008F4F69">
        <w:trPr>
          <w:cantSplit/>
          <w:trHeight w:val="883"/>
        </w:trPr>
        <w:tc>
          <w:tcPr>
            <w:tcW w:w="1891" w:type="pct"/>
            <w:shd w:val="clear" w:color="auto" w:fill="auto"/>
            <w:tcMar>
              <w:top w:w="113" w:type="dxa"/>
              <w:bottom w:w="85" w:type="dxa"/>
            </w:tcMar>
          </w:tcPr>
          <w:p w:rsidR="00A80F8D" w:rsidRPr="00C75C7E" w:rsidRDefault="00A80F8D" w:rsidP="008F4F69">
            <w:pPr>
              <w:widowControl w:val="0"/>
              <w:rPr>
                <w:sz w:val="16"/>
                <w:szCs w:val="16"/>
                <w:lang w:val="es-ES_tradnl"/>
              </w:rPr>
            </w:pPr>
          </w:p>
        </w:tc>
        <w:tc>
          <w:tcPr>
            <w:tcW w:w="1464" w:type="pct"/>
            <w:shd w:val="clear" w:color="auto" w:fill="auto"/>
            <w:tcMar>
              <w:top w:w="113" w:type="dxa"/>
              <w:bottom w:w="85" w:type="dxa"/>
            </w:tcMar>
          </w:tcPr>
          <w:p w:rsidR="00A80F8D" w:rsidRPr="00C75C7E" w:rsidRDefault="00A80F8D" w:rsidP="008F4F69">
            <w:pPr>
              <w:widowControl w:val="0"/>
              <w:rPr>
                <w:sz w:val="16"/>
                <w:szCs w:val="16"/>
                <w:lang w:val="es-ES_tradnl"/>
              </w:rPr>
            </w:pPr>
            <w:r w:rsidRPr="00C75C7E">
              <w:rPr>
                <w:sz w:val="16"/>
                <w:szCs w:val="16"/>
                <w:lang w:val="es-ES_tradnl"/>
              </w:rPr>
              <w:t xml:space="preserve">Número de usuarios que acceden a las publicaciones en Internet de las clasificaciones y normas internacionales, especialmente de países en desarrollo. </w:t>
            </w:r>
          </w:p>
        </w:tc>
        <w:tc>
          <w:tcPr>
            <w:tcW w:w="1645" w:type="pct"/>
            <w:shd w:val="clear" w:color="auto" w:fill="FFFFFF"/>
            <w:tcMar>
              <w:top w:w="113" w:type="dxa"/>
              <w:bottom w:w="85" w:type="dxa"/>
            </w:tcMar>
          </w:tcPr>
          <w:p w:rsidR="00A80F8D" w:rsidRPr="00C75C7E" w:rsidRDefault="00A80F8D" w:rsidP="008F4F69">
            <w:pPr>
              <w:widowControl w:val="0"/>
              <w:ind w:left="660"/>
              <w:rPr>
                <w:sz w:val="16"/>
                <w:szCs w:val="16"/>
                <w:lang w:val="es-ES_tradnl"/>
              </w:rPr>
            </w:pPr>
            <w:r w:rsidRPr="00C75C7E">
              <w:rPr>
                <w:sz w:val="16"/>
                <w:szCs w:val="16"/>
                <w:lang w:val="es-ES_tradnl" w:bidi="th-TH"/>
              </w:rPr>
              <w:t>Programa  12</w:t>
            </w:r>
          </w:p>
        </w:tc>
      </w:tr>
      <w:tr w:rsidR="00A80F8D" w:rsidRPr="00C75C7E" w:rsidTr="008F4F69">
        <w:trPr>
          <w:cantSplit/>
          <w:trHeight w:val="879"/>
        </w:trPr>
        <w:tc>
          <w:tcPr>
            <w:tcW w:w="1891" w:type="pct"/>
            <w:shd w:val="clear" w:color="auto" w:fill="auto"/>
            <w:tcMar>
              <w:top w:w="113" w:type="dxa"/>
              <w:bottom w:w="85" w:type="dxa"/>
            </w:tcMar>
          </w:tcPr>
          <w:p w:rsidR="00A80F8D" w:rsidRPr="00C75C7E" w:rsidRDefault="00A80F8D" w:rsidP="008F4F69">
            <w:pPr>
              <w:widowControl w:val="0"/>
              <w:rPr>
                <w:sz w:val="16"/>
                <w:szCs w:val="16"/>
                <w:lang w:val="es-ES_tradnl"/>
              </w:rPr>
            </w:pPr>
            <w:r w:rsidRPr="00C75C7E">
              <w:rPr>
                <w:sz w:val="16"/>
                <w:szCs w:val="16"/>
                <w:lang w:val="es-ES_tradnl"/>
              </w:rPr>
              <w:t>IV.2. Mejora del acceso y uso de información y conocimientos de P.I. por parte de instituciones de P.I. y el público para fomentar la innovación y la creatividad.</w:t>
            </w:r>
          </w:p>
        </w:tc>
        <w:tc>
          <w:tcPr>
            <w:tcW w:w="1464" w:type="pct"/>
            <w:shd w:val="clear" w:color="auto" w:fill="auto"/>
            <w:tcMar>
              <w:top w:w="113" w:type="dxa"/>
              <w:bottom w:w="85" w:type="dxa"/>
            </w:tcMar>
          </w:tcPr>
          <w:p w:rsidR="00A80F8D" w:rsidRPr="00C75C7E" w:rsidRDefault="00A80F8D" w:rsidP="008F4F69">
            <w:pPr>
              <w:widowControl w:val="0"/>
              <w:rPr>
                <w:sz w:val="16"/>
                <w:szCs w:val="16"/>
                <w:lang w:val="es-ES_tradnl"/>
              </w:rPr>
            </w:pPr>
            <w:r w:rsidRPr="00C75C7E">
              <w:rPr>
                <w:sz w:val="16"/>
                <w:szCs w:val="16"/>
                <w:lang w:val="es-ES_tradnl"/>
              </w:rPr>
              <w:t xml:space="preserve">Número de intermediarios de confianza y titulares de </w:t>
            </w:r>
            <w:r w:rsidR="00F73403">
              <w:rPr>
                <w:sz w:val="16"/>
                <w:szCs w:val="16"/>
                <w:lang w:val="es-ES_tradnl"/>
              </w:rPr>
              <w:t>derechos que se han adherido a l</w:t>
            </w:r>
            <w:r w:rsidRPr="00C75C7E">
              <w:rPr>
                <w:sz w:val="16"/>
                <w:szCs w:val="16"/>
                <w:lang w:val="es-ES_tradnl"/>
              </w:rPr>
              <w:t>a red de sistemas TIGAR, incluidos los procedentes de países en desarrollo y PMA.</w:t>
            </w:r>
          </w:p>
        </w:tc>
        <w:tc>
          <w:tcPr>
            <w:tcW w:w="1645" w:type="pct"/>
            <w:shd w:val="clear" w:color="auto" w:fill="FFFFFF"/>
            <w:tcMar>
              <w:top w:w="113" w:type="dxa"/>
              <w:bottom w:w="85" w:type="dxa"/>
            </w:tcMar>
          </w:tcPr>
          <w:p w:rsidR="00A80F8D" w:rsidRPr="00C75C7E" w:rsidRDefault="00A80F8D" w:rsidP="008F4F69">
            <w:pPr>
              <w:widowControl w:val="0"/>
              <w:ind w:left="660"/>
              <w:rPr>
                <w:sz w:val="16"/>
                <w:szCs w:val="16"/>
                <w:lang w:val="es-ES_tradnl" w:bidi="th-TH"/>
              </w:rPr>
            </w:pPr>
            <w:r w:rsidRPr="00C75C7E">
              <w:rPr>
                <w:sz w:val="16"/>
                <w:szCs w:val="16"/>
                <w:lang w:val="es-ES_tradnl" w:bidi="th-TH"/>
              </w:rPr>
              <w:t>Programa  3</w:t>
            </w:r>
          </w:p>
        </w:tc>
      </w:tr>
      <w:tr w:rsidR="00A80F8D" w:rsidRPr="00C75C7E" w:rsidTr="008F4F69">
        <w:trPr>
          <w:cantSplit/>
          <w:trHeight w:val="825"/>
        </w:trPr>
        <w:tc>
          <w:tcPr>
            <w:tcW w:w="1891" w:type="pct"/>
            <w:shd w:val="clear" w:color="auto" w:fill="auto"/>
            <w:tcMar>
              <w:top w:w="113" w:type="dxa"/>
              <w:bottom w:w="85" w:type="dxa"/>
            </w:tcMar>
          </w:tcPr>
          <w:p w:rsidR="00A80F8D" w:rsidRPr="00C75C7E" w:rsidRDefault="00A80F8D" w:rsidP="008F4F69">
            <w:pPr>
              <w:widowControl w:val="0"/>
              <w:rPr>
                <w:sz w:val="16"/>
                <w:szCs w:val="16"/>
                <w:lang w:val="es-ES_tradnl"/>
              </w:rPr>
            </w:pPr>
          </w:p>
        </w:tc>
        <w:tc>
          <w:tcPr>
            <w:tcW w:w="1464" w:type="pct"/>
            <w:shd w:val="clear" w:color="auto" w:fill="auto"/>
            <w:tcMar>
              <w:top w:w="113" w:type="dxa"/>
              <w:bottom w:w="85" w:type="dxa"/>
            </w:tcMar>
          </w:tcPr>
          <w:p w:rsidR="00A80F8D" w:rsidRPr="00C75C7E" w:rsidRDefault="00A80F8D" w:rsidP="008F4F69">
            <w:pPr>
              <w:widowControl w:val="0"/>
              <w:rPr>
                <w:sz w:val="16"/>
                <w:szCs w:val="16"/>
                <w:lang w:val="es-ES_tradnl"/>
              </w:rPr>
            </w:pPr>
            <w:r w:rsidRPr="00C75C7E">
              <w:rPr>
                <w:sz w:val="16"/>
                <w:szCs w:val="16"/>
                <w:lang w:val="es-ES_tradnl"/>
              </w:rPr>
              <w:t>Número de obras protegidas por derecho de autor distribuidas entre intermediarios de confianza y puestas a disposición de las personas con discapacidad visual a escala internacional por medio de la red de sistemas TIGAR.</w:t>
            </w:r>
          </w:p>
        </w:tc>
        <w:tc>
          <w:tcPr>
            <w:tcW w:w="1645" w:type="pct"/>
            <w:shd w:val="clear" w:color="auto" w:fill="FFFFFF"/>
            <w:tcMar>
              <w:top w:w="113" w:type="dxa"/>
              <w:bottom w:w="85" w:type="dxa"/>
            </w:tcMar>
          </w:tcPr>
          <w:p w:rsidR="00A80F8D" w:rsidRPr="00C75C7E" w:rsidRDefault="00A80F8D" w:rsidP="008F4F69">
            <w:pPr>
              <w:widowControl w:val="0"/>
              <w:ind w:left="660"/>
              <w:rPr>
                <w:sz w:val="16"/>
                <w:szCs w:val="16"/>
                <w:lang w:val="es-ES_tradnl" w:bidi="th-TH"/>
              </w:rPr>
            </w:pPr>
            <w:r w:rsidRPr="00C75C7E">
              <w:rPr>
                <w:sz w:val="16"/>
                <w:szCs w:val="16"/>
                <w:lang w:val="es-ES_tradnl" w:bidi="th-TH"/>
              </w:rPr>
              <w:t>Programa  3</w:t>
            </w:r>
          </w:p>
        </w:tc>
      </w:tr>
      <w:tr w:rsidR="00A80F8D" w:rsidRPr="00C75C7E" w:rsidTr="008F4F69">
        <w:trPr>
          <w:cantSplit/>
          <w:trHeight w:val="620"/>
        </w:trPr>
        <w:tc>
          <w:tcPr>
            <w:tcW w:w="1891" w:type="pct"/>
            <w:shd w:val="clear" w:color="auto" w:fill="auto"/>
            <w:tcMar>
              <w:top w:w="113" w:type="dxa"/>
              <w:bottom w:w="85" w:type="dxa"/>
            </w:tcMar>
          </w:tcPr>
          <w:p w:rsidR="00A80F8D" w:rsidRPr="00C75C7E" w:rsidRDefault="00A80F8D" w:rsidP="008F4F69">
            <w:pPr>
              <w:widowControl w:val="0"/>
              <w:rPr>
                <w:sz w:val="16"/>
                <w:szCs w:val="16"/>
                <w:lang w:val="es-ES_tradnl"/>
              </w:rPr>
            </w:pPr>
          </w:p>
        </w:tc>
        <w:tc>
          <w:tcPr>
            <w:tcW w:w="1464" w:type="pct"/>
            <w:shd w:val="clear" w:color="auto" w:fill="auto"/>
            <w:tcMar>
              <w:top w:w="113" w:type="dxa"/>
              <w:bottom w:w="85" w:type="dxa"/>
            </w:tcMar>
          </w:tcPr>
          <w:p w:rsidR="00A80F8D" w:rsidRPr="00C75C7E" w:rsidRDefault="00A80F8D" w:rsidP="008F4F69">
            <w:pPr>
              <w:widowControl w:val="0"/>
              <w:rPr>
                <w:sz w:val="16"/>
                <w:szCs w:val="16"/>
                <w:lang w:val="es-ES_tradnl"/>
              </w:rPr>
            </w:pPr>
            <w:r w:rsidRPr="00C75C7E">
              <w:rPr>
                <w:sz w:val="16"/>
                <w:szCs w:val="16"/>
                <w:lang w:val="es-ES_tradnl"/>
              </w:rPr>
              <w:t>Porcentaje de personas satisfechas con el apoyo al fortalecimiento de capacidades en infraestructura de derecho de autor.</w:t>
            </w:r>
          </w:p>
        </w:tc>
        <w:tc>
          <w:tcPr>
            <w:tcW w:w="1645" w:type="pct"/>
            <w:shd w:val="clear" w:color="auto" w:fill="FFFFFF"/>
            <w:tcMar>
              <w:top w:w="113" w:type="dxa"/>
              <w:bottom w:w="85" w:type="dxa"/>
            </w:tcMar>
          </w:tcPr>
          <w:p w:rsidR="00A80F8D" w:rsidRPr="00C75C7E" w:rsidRDefault="00A80F8D" w:rsidP="008F4F69">
            <w:pPr>
              <w:widowControl w:val="0"/>
              <w:ind w:left="660"/>
              <w:rPr>
                <w:sz w:val="16"/>
                <w:szCs w:val="16"/>
                <w:lang w:val="es-ES_tradnl" w:bidi="th-TH"/>
              </w:rPr>
            </w:pPr>
            <w:r w:rsidRPr="00C75C7E">
              <w:rPr>
                <w:sz w:val="16"/>
                <w:szCs w:val="16"/>
                <w:lang w:val="es-ES_tradnl" w:bidi="th-TH"/>
              </w:rPr>
              <w:t>Programa  3</w:t>
            </w:r>
          </w:p>
        </w:tc>
      </w:tr>
      <w:tr w:rsidR="00A80F8D" w:rsidRPr="00C75C7E" w:rsidTr="008F4F69">
        <w:trPr>
          <w:cantSplit/>
          <w:trHeight w:val="154"/>
        </w:trPr>
        <w:tc>
          <w:tcPr>
            <w:tcW w:w="1891" w:type="pct"/>
            <w:shd w:val="clear" w:color="auto" w:fill="auto"/>
            <w:tcMar>
              <w:top w:w="113" w:type="dxa"/>
              <w:bottom w:w="85" w:type="dxa"/>
            </w:tcMar>
          </w:tcPr>
          <w:p w:rsidR="00A80F8D" w:rsidRPr="00C75C7E" w:rsidRDefault="00A80F8D" w:rsidP="008F4F69">
            <w:pPr>
              <w:widowControl w:val="0"/>
              <w:rPr>
                <w:sz w:val="16"/>
                <w:szCs w:val="16"/>
                <w:lang w:val="es-ES_tradnl"/>
              </w:rPr>
            </w:pPr>
          </w:p>
        </w:tc>
        <w:tc>
          <w:tcPr>
            <w:tcW w:w="1464" w:type="pct"/>
            <w:shd w:val="clear" w:color="auto" w:fill="auto"/>
            <w:tcMar>
              <w:top w:w="113" w:type="dxa"/>
              <w:bottom w:w="85" w:type="dxa"/>
            </w:tcMar>
          </w:tcPr>
          <w:p w:rsidR="00A80F8D" w:rsidRPr="00C75C7E" w:rsidRDefault="00A80F8D" w:rsidP="008F4F69">
            <w:pPr>
              <w:widowControl w:val="0"/>
              <w:rPr>
                <w:sz w:val="16"/>
                <w:szCs w:val="16"/>
                <w:lang w:val="es-ES_tradnl"/>
              </w:rPr>
            </w:pPr>
            <w:r w:rsidRPr="00C75C7E">
              <w:rPr>
                <w:sz w:val="16"/>
                <w:szCs w:val="16"/>
                <w:lang w:val="es-ES_tradnl"/>
              </w:rPr>
              <w:t>Número de instituciones que utilizan el sistema GDA.</w:t>
            </w:r>
          </w:p>
        </w:tc>
        <w:tc>
          <w:tcPr>
            <w:tcW w:w="1645" w:type="pct"/>
            <w:shd w:val="clear" w:color="auto" w:fill="FFFFFF"/>
            <w:tcMar>
              <w:top w:w="113" w:type="dxa"/>
              <w:bottom w:w="85" w:type="dxa"/>
            </w:tcMar>
          </w:tcPr>
          <w:p w:rsidR="00A80F8D" w:rsidRPr="00C75C7E" w:rsidRDefault="00A80F8D" w:rsidP="008F4F69">
            <w:pPr>
              <w:widowControl w:val="0"/>
              <w:ind w:left="660"/>
              <w:rPr>
                <w:sz w:val="16"/>
                <w:szCs w:val="16"/>
                <w:lang w:val="es-ES_tradnl" w:bidi="th-TH"/>
              </w:rPr>
            </w:pPr>
            <w:r w:rsidRPr="00C75C7E">
              <w:rPr>
                <w:sz w:val="16"/>
                <w:szCs w:val="16"/>
                <w:lang w:val="es-ES_tradnl" w:bidi="th-TH"/>
              </w:rPr>
              <w:t>Programa  3</w:t>
            </w:r>
          </w:p>
        </w:tc>
      </w:tr>
      <w:tr w:rsidR="00A80F8D" w:rsidRPr="00C75C7E" w:rsidTr="008F4F69">
        <w:trPr>
          <w:cantSplit/>
          <w:trHeight w:val="496"/>
        </w:trPr>
        <w:tc>
          <w:tcPr>
            <w:tcW w:w="1891" w:type="pct"/>
            <w:shd w:val="clear" w:color="auto" w:fill="auto"/>
            <w:tcMar>
              <w:top w:w="113" w:type="dxa"/>
              <w:bottom w:w="85" w:type="dxa"/>
            </w:tcMar>
          </w:tcPr>
          <w:p w:rsidR="00A80F8D" w:rsidRPr="00C75C7E" w:rsidRDefault="00A80F8D" w:rsidP="008F4F69">
            <w:pPr>
              <w:widowControl w:val="0"/>
              <w:rPr>
                <w:sz w:val="16"/>
                <w:szCs w:val="16"/>
                <w:lang w:val="es-ES_tradnl"/>
              </w:rPr>
            </w:pPr>
          </w:p>
        </w:tc>
        <w:tc>
          <w:tcPr>
            <w:tcW w:w="1464" w:type="pct"/>
            <w:shd w:val="clear" w:color="auto" w:fill="auto"/>
            <w:tcMar>
              <w:top w:w="113" w:type="dxa"/>
              <w:bottom w:w="85" w:type="dxa"/>
            </w:tcMar>
          </w:tcPr>
          <w:p w:rsidR="00A80F8D" w:rsidRPr="00C75C7E" w:rsidRDefault="00A80F8D" w:rsidP="008F4F69">
            <w:pPr>
              <w:widowControl w:val="0"/>
              <w:rPr>
                <w:sz w:val="16"/>
                <w:szCs w:val="16"/>
                <w:lang w:val="es-ES_tradnl"/>
              </w:rPr>
            </w:pPr>
            <w:r w:rsidRPr="00C75C7E">
              <w:rPr>
                <w:sz w:val="16"/>
                <w:szCs w:val="16"/>
                <w:lang w:val="es-ES_tradnl"/>
              </w:rPr>
              <w:t>Uso de la base de datos de la OMPI sobre gestión colectiva de los derechos.</w:t>
            </w:r>
          </w:p>
        </w:tc>
        <w:tc>
          <w:tcPr>
            <w:tcW w:w="1645" w:type="pct"/>
            <w:shd w:val="clear" w:color="auto" w:fill="FFFFFF"/>
            <w:tcMar>
              <w:top w:w="113" w:type="dxa"/>
              <w:bottom w:w="85" w:type="dxa"/>
            </w:tcMar>
          </w:tcPr>
          <w:p w:rsidR="00A80F8D" w:rsidRPr="00C75C7E" w:rsidRDefault="00A80F8D" w:rsidP="008F4F69">
            <w:pPr>
              <w:widowControl w:val="0"/>
              <w:ind w:left="660"/>
              <w:rPr>
                <w:sz w:val="16"/>
                <w:szCs w:val="16"/>
                <w:lang w:val="es-ES_tradnl" w:bidi="th-TH"/>
              </w:rPr>
            </w:pPr>
            <w:r w:rsidRPr="00C75C7E">
              <w:rPr>
                <w:sz w:val="16"/>
                <w:szCs w:val="16"/>
                <w:lang w:val="es-ES_tradnl" w:bidi="th-TH"/>
              </w:rPr>
              <w:t>Programa  3</w:t>
            </w:r>
          </w:p>
        </w:tc>
      </w:tr>
      <w:tr w:rsidR="00A80F8D" w:rsidRPr="00C75C7E" w:rsidTr="008F4F69">
        <w:trPr>
          <w:cantSplit/>
          <w:trHeight w:val="1358"/>
        </w:trPr>
        <w:tc>
          <w:tcPr>
            <w:tcW w:w="1891" w:type="pct"/>
            <w:shd w:val="clear" w:color="auto" w:fill="auto"/>
            <w:tcMar>
              <w:top w:w="113" w:type="dxa"/>
              <w:bottom w:w="85" w:type="dxa"/>
            </w:tcMar>
          </w:tcPr>
          <w:p w:rsidR="00A80F8D" w:rsidRPr="00C75C7E" w:rsidRDefault="00A80F8D" w:rsidP="008F4F69">
            <w:pPr>
              <w:widowControl w:val="0"/>
              <w:rPr>
                <w:sz w:val="16"/>
                <w:szCs w:val="16"/>
                <w:lang w:val="es-ES_tradnl"/>
              </w:rPr>
            </w:pPr>
          </w:p>
        </w:tc>
        <w:tc>
          <w:tcPr>
            <w:tcW w:w="1464" w:type="pct"/>
            <w:shd w:val="clear" w:color="auto" w:fill="auto"/>
            <w:tcMar>
              <w:top w:w="113" w:type="dxa"/>
              <w:bottom w:w="85" w:type="dxa"/>
            </w:tcMar>
          </w:tcPr>
          <w:p w:rsidR="00A80F8D" w:rsidRPr="00C75C7E" w:rsidRDefault="00A80F8D" w:rsidP="008F4F69">
            <w:pPr>
              <w:widowControl w:val="0"/>
              <w:rPr>
                <w:sz w:val="16"/>
                <w:szCs w:val="16"/>
                <w:lang w:val="es-ES_tradnl"/>
              </w:rPr>
            </w:pPr>
            <w:r w:rsidRPr="00C75C7E">
              <w:rPr>
                <w:sz w:val="16"/>
                <w:szCs w:val="16"/>
                <w:lang w:val="es-ES_tradnl"/>
              </w:rPr>
              <w:t>Número de instrumentos jurídicos, directrices, declaraciones de principios distintas de tratados acordados o suscritos por las partes interesadas en ámbitos como los de la P.I. y el deporte y el derecho de autor en el entorno digital.</w:t>
            </w:r>
          </w:p>
        </w:tc>
        <w:tc>
          <w:tcPr>
            <w:tcW w:w="1645" w:type="pct"/>
            <w:shd w:val="clear" w:color="auto" w:fill="FFFFFF"/>
            <w:tcMar>
              <w:top w:w="113" w:type="dxa"/>
              <w:bottom w:w="85" w:type="dxa"/>
            </w:tcMar>
          </w:tcPr>
          <w:p w:rsidR="00A80F8D" w:rsidRPr="00C75C7E" w:rsidRDefault="00A80F8D" w:rsidP="008F4F69">
            <w:pPr>
              <w:widowControl w:val="0"/>
              <w:ind w:left="660"/>
              <w:rPr>
                <w:sz w:val="16"/>
                <w:szCs w:val="16"/>
                <w:lang w:val="es-ES_tradnl" w:bidi="th-TH"/>
              </w:rPr>
            </w:pPr>
            <w:r w:rsidRPr="00C75C7E">
              <w:rPr>
                <w:sz w:val="16"/>
                <w:szCs w:val="16"/>
                <w:lang w:val="es-ES_tradnl" w:bidi="th-TH"/>
              </w:rPr>
              <w:t>Programa  3</w:t>
            </w:r>
          </w:p>
        </w:tc>
      </w:tr>
      <w:tr w:rsidR="00A80F8D" w:rsidRPr="00C75C7E" w:rsidTr="008F4F69">
        <w:trPr>
          <w:cantSplit/>
          <w:trHeight w:val="426"/>
        </w:trPr>
        <w:tc>
          <w:tcPr>
            <w:tcW w:w="1891" w:type="pct"/>
            <w:shd w:val="clear" w:color="auto" w:fill="auto"/>
            <w:tcMar>
              <w:top w:w="113" w:type="dxa"/>
              <w:bottom w:w="85" w:type="dxa"/>
            </w:tcMar>
          </w:tcPr>
          <w:p w:rsidR="00A80F8D" w:rsidRPr="00C75C7E" w:rsidRDefault="00A80F8D" w:rsidP="008F4F69">
            <w:pPr>
              <w:widowControl w:val="0"/>
              <w:rPr>
                <w:sz w:val="16"/>
                <w:szCs w:val="16"/>
                <w:lang w:val="es-ES_tradnl"/>
              </w:rPr>
            </w:pPr>
          </w:p>
        </w:tc>
        <w:tc>
          <w:tcPr>
            <w:tcW w:w="1464" w:type="pct"/>
            <w:shd w:val="clear" w:color="auto" w:fill="auto"/>
            <w:tcMar>
              <w:top w:w="113" w:type="dxa"/>
              <w:bottom w:w="85" w:type="dxa"/>
            </w:tcMar>
          </w:tcPr>
          <w:p w:rsidR="00A80F8D" w:rsidRPr="00C75C7E" w:rsidRDefault="00A80F8D" w:rsidP="008F4F69">
            <w:pPr>
              <w:widowControl w:val="0"/>
              <w:rPr>
                <w:sz w:val="16"/>
                <w:szCs w:val="16"/>
                <w:lang w:val="es-ES_tradnl"/>
              </w:rPr>
            </w:pPr>
            <w:r w:rsidRPr="00C75C7E">
              <w:rPr>
                <w:sz w:val="16"/>
                <w:szCs w:val="16"/>
                <w:lang w:val="es-ES_tradnl"/>
              </w:rPr>
              <w:t>Promedio de usuarios que utilizan los servicios de los CATI por trimestre y por país.</w:t>
            </w:r>
          </w:p>
        </w:tc>
        <w:tc>
          <w:tcPr>
            <w:tcW w:w="1645" w:type="pct"/>
            <w:shd w:val="clear" w:color="auto" w:fill="FFFFFF"/>
            <w:tcMar>
              <w:top w:w="113" w:type="dxa"/>
              <w:bottom w:w="85" w:type="dxa"/>
            </w:tcMar>
          </w:tcPr>
          <w:p w:rsidR="00A80F8D" w:rsidRDefault="00A80F8D" w:rsidP="008F4F69">
            <w:pPr>
              <w:widowControl w:val="0"/>
              <w:ind w:left="660"/>
              <w:rPr>
                <w:sz w:val="16"/>
                <w:szCs w:val="16"/>
                <w:lang w:val="es-ES_tradnl" w:bidi="th-TH"/>
              </w:rPr>
            </w:pPr>
            <w:r w:rsidRPr="00C75C7E">
              <w:rPr>
                <w:sz w:val="16"/>
                <w:szCs w:val="16"/>
                <w:lang w:val="es-ES_tradnl" w:bidi="th-TH"/>
              </w:rPr>
              <w:t>Programa  9</w:t>
            </w:r>
          </w:p>
          <w:p w:rsidR="001917DB" w:rsidRPr="00C75C7E" w:rsidRDefault="001917DB" w:rsidP="008F4F69">
            <w:pPr>
              <w:widowControl w:val="0"/>
              <w:ind w:left="660"/>
              <w:rPr>
                <w:sz w:val="16"/>
                <w:szCs w:val="16"/>
                <w:lang w:val="es-ES_tradnl" w:bidi="th-TH"/>
              </w:rPr>
            </w:pPr>
            <w:r>
              <w:rPr>
                <w:sz w:val="16"/>
                <w:szCs w:val="16"/>
                <w:lang w:val="es-ES_tradnl" w:bidi="th-TH"/>
              </w:rPr>
              <w:t>Programa  10</w:t>
            </w:r>
          </w:p>
          <w:p w:rsidR="00A80F8D" w:rsidRPr="00C75C7E" w:rsidRDefault="00A80F8D" w:rsidP="008F4F69">
            <w:pPr>
              <w:widowControl w:val="0"/>
              <w:ind w:left="660"/>
              <w:rPr>
                <w:sz w:val="16"/>
                <w:szCs w:val="16"/>
                <w:lang w:val="es-ES_tradnl" w:bidi="th-TH"/>
              </w:rPr>
            </w:pPr>
            <w:r w:rsidRPr="00C75C7E">
              <w:rPr>
                <w:sz w:val="16"/>
                <w:szCs w:val="16"/>
                <w:lang w:val="es-ES_tradnl" w:bidi="th-TH"/>
              </w:rPr>
              <w:t>Programa  14</w:t>
            </w:r>
          </w:p>
        </w:tc>
      </w:tr>
      <w:tr w:rsidR="00A80F8D" w:rsidRPr="00C75C7E" w:rsidTr="008F4F69">
        <w:trPr>
          <w:cantSplit/>
          <w:trHeight w:val="437"/>
        </w:trPr>
        <w:tc>
          <w:tcPr>
            <w:tcW w:w="1891" w:type="pct"/>
            <w:shd w:val="clear" w:color="auto" w:fill="auto"/>
            <w:tcMar>
              <w:top w:w="113" w:type="dxa"/>
              <w:bottom w:w="85" w:type="dxa"/>
            </w:tcMar>
          </w:tcPr>
          <w:p w:rsidR="00A80F8D" w:rsidRPr="00C75C7E" w:rsidRDefault="00A80F8D" w:rsidP="008F4F69">
            <w:pPr>
              <w:widowControl w:val="0"/>
              <w:rPr>
                <w:sz w:val="16"/>
                <w:szCs w:val="16"/>
                <w:lang w:val="es-ES_tradnl"/>
              </w:rPr>
            </w:pPr>
          </w:p>
        </w:tc>
        <w:tc>
          <w:tcPr>
            <w:tcW w:w="1464" w:type="pct"/>
            <w:shd w:val="clear" w:color="auto" w:fill="auto"/>
            <w:tcMar>
              <w:top w:w="113" w:type="dxa"/>
              <w:bottom w:w="85" w:type="dxa"/>
            </w:tcMar>
          </w:tcPr>
          <w:p w:rsidR="00A80F8D" w:rsidRPr="00C75C7E" w:rsidRDefault="00A80F8D" w:rsidP="008F4F69">
            <w:pPr>
              <w:widowControl w:val="0"/>
              <w:rPr>
                <w:sz w:val="16"/>
                <w:szCs w:val="16"/>
                <w:lang w:val="es-ES_tradnl"/>
              </w:rPr>
            </w:pPr>
            <w:r w:rsidRPr="00C75C7E">
              <w:rPr>
                <w:sz w:val="16"/>
                <w:szCs w:val="16"/>
                <w:lang w:val="es-ES_tradnl"/>
              </w:rPr>
              <w:t>Número de redes nacionales sostenibles de CATI.</w:t>
            </w:r>
          </w:p>
        </w:tc>
        <w:tc>
          <w:tcPr>
            <w:tcW w:w="1645" w:type="pct"/>
            <w:shd w:val="clear" w:color="auto" w:fill="FFFFFF"/>
            <w:tcMar>
              <w:top w:w="113" w:type="dxa"/>
              <w:bottom w:w="85" w:type="dxa"/>
            </w:tcMar>
          </w:tcPr>
          <w:p w:rsidR="00A80F8D" w:rsidRDefault="00A80F8D" w:rsidP="008F4F69">
            <w:pPr>
              <w:widowControl w:val="0"/>
              <w:ind w:left="660"/>
              <w:rPr>
                <w:sz w:val="16"/>
                <w:szCs w:val="16"/>
                <w:lang w:val="es-ES_tradnl" w:bidi="th-TH"/>
              </w:rPr>
            </w:pPr>
            <w:r w:rsidRPr="00C75C7E">
              <w:rPr>
                <w:sz w:val="16"/>
                <w:szCs w:val="16"/>
                <w:lang w:val="es-ES_tradnl" w:bidi="th-TH"/>
              </w:rPr>
              <w:t>Programa  9</w:t>
            </w:r>
          </w:p>
          <w:p w:rsidR="001917DB" w:rsidRPr="00C75C7E" w:rsidRDefault="001917DB" w:rsidP="008F4F69">
            <w:pPr>
              <w:widowControl w:val="0"/>
              <w:ind w:left="660"/>
              <w:rPr>
                <w:sz w:val="16"/>
                <w:szCs w:val="16"/>
                <w:lang w:val="es-ES_tradnl" w:bidi="th-TH"/>
              </w:rPr>
            </w:pPr>
            <w:r>
              <w:rPr>
                <w:sz w:val="16"/>
                <w:szCs w:val="16"/>
                <w:lang w:val="es-ES_tradnl" w:bidi="th-TH"/>
              </w:rPr>
              <w:t>Programa  10</w:t>
            </w:r>
          </w:p>
          <w:p w:rsidR="00A80F8D" w:rsidRPr="00C75C7E" w:rsidRDefault="00A80F8D" w:rsidP="008F4F69">
            <w:pPr>
              <w:widowControl w:val="0"/>
              <w:ind w:left="660"/>
              <w:rPr>
                <w:sz w:val="16"/>
                <w:szCs w:val="16"/>
                <w:lang w:val="es-ES_tradnl" w:bidi="th-TH"/>
              </w:rPr>
            </w:pPr>
            <w:r w:rsidRPr="00C75C7E">
              <w:rPr>
                <w:sz w:val="16"/>
                <w:szCs w:val="16"/>
                <w:lang w:val="es-ES_tradnl" w:bidi="th-TH"/>
              </w:rPr>
              <w:t>Programa  14</w:t>
            </w:r>
          </w:p>
        </w:tc>
      </w:tr>
      <w:tr w:rsidR="00A80F8D" w:rsidRPr="00C75C7E" w:rsidTr="008F4F69">
        <w:trPr>
          <w:cantSplit/>
          <w:trHeight w:val="799"/>
        </w:trPr>
        <w:tc>
          <w:tcPr>
            <w:tcW w:w="1891" w:type="pct"/>
            <w:shd w:val="clear" w:color="auto" w:fill="auto"/>
            <w:tcMar>
              <w:top w:w="113" w:type="dxa"/>
              <w:bottom w:w="85" w:type="dxa"/>
            </w:tcMar>
          </w:tcPr>
          <w:p w:rsidR="00A80F8D" w:rsidRPr="00C75C7E" w:rsidRDefault="00A80F8D" w:rsidP="008F4F69">
            <w:pPr>
              <w:widowControl w:val="0"/>
              <w:rPr>
                <w:sz w:val="16"/>
                <w:szCs w:val="16"/>
                <w:lang w:val="es-ES_tradnl"/>
              </w:rPr>
            </w:pPr>
          </w:p>
        </w:tc>
        <w:tc>
          <w:tcPr>
            <w:tcW w:w="1464" w:type="pct"/>
            <w:shd w:val="clear" w:color="auto" w:fill="auto"/>
            <w:tcMar>
              <w:top w:w="113" w:type="dxa"/>
              <w:bottom w:w="85" w:type="dxa"/>
            </w:tcMar>
          </w:tcPr>
          <w:p w:rsidR="00A80F8D" w:rsidRPr="00C75C7E" w:rsidRDefault="00A80F8D" w:rsidP="008F4F69">
            <w:pPr>
              <w:widowControl w:val="0"/>
              <w:rPr>
                <w:sz w:val="16"/>
                <w:szCs w:val="16"/>
                <w:lang w:val="es-ES_tradnl"/>
              </w:rPr>
            </w:pPr>
            <w:r w:rsidRPr="00C75C7E">
              <w:rPr>
                <w:sz w:val="16"/>
                <w:szCs w:val="16"/>
                <w:lang w:val="es-ES_tradnl"/>
              </w:rPr>
              <w:t>Número de países que utilizan la base de datos de asistencia técnica en P.I. (IP-TAD) y la lista de consultores (IP_ROC).</w:t>
            </w:r>
          </w:p>
        </w:tc>
        <w:tc>
          <w:tcPr>
            <w:tcW w:w="1645" w:type="pct"/>
            <w:shd w:val="clear" w:color="auto" w:fill="FFFFFF"/>
            <w:tcMar>
              <w:top w:w="113" w:type="dxa"/>
              <w:bottom w:w="85" w:type="dxa"/>
            </w:tcMar>
          </w:tcPr>
          <w:p w:rsidR="00A80F8D" w:rsidRPr="00C75C7E" w:rsidRDefault="00A80F8D" w:rsidP="008F4F69">
            <w:pPr>
              <w:widowControl w:val="0"/>
              <w:ind w:left="660"/>
              <w:rPr>
                <w:sz w:val="16"/>
                <w:szCs w:val="16"/>
                <w:lang w:val="es-ES_tradnl" w:bidi="th-TH"/>
              </w:rPr>
            </w:pPr>
            <w:r w:rsidRPr="00C75C7E">
              <w:rPr>
                <w:sz w:val="16"/>
                <w:szCs w:val="16"/>
                <w:lang w:val="es-ES_tradnl" w:bidi="th-TH"/>
              </w:rPr>
              <w:t>Programa  9</w:t>
            </w:r>
          </w:p>
        </w:tc>
      </w:tr>
      <w:tr w:rsidR="001917DB" w:rsidRPr="00C75C7E" w:rsidTr="004F371F">
        <w:trPr>
          <w:cantSplit/>
          <w:trHeight w:val="550"/>
        </w:trPr>
        <w:tc>
          <w:tcPr>
            <w:tcW w:w="1891" w:type="pct"/>
            <w:shd w:val="clear" w:color="auto" w:fill="auto"/>
            <w:tcMar>
              <w:top w:w="113" w:type="dxa"/>
              <w:bottom w:w="85" w:type="dxa"/>
            </w:tcMar>
          </w:tcPr>
          <w:p w:rsidR="001917DB" w:rsidRPr="00C75C7E" w:rsidRDefault="001917DB" w:rsidP="008F4F69">
            <w:pPr>
              <w:widowControl w:val="0"/>
              <w:rPr>
                <w:sz w:val="16"/>
                <w:szCs w:val="16"/>
                <w:lang w:val="es-ES_tradnl"/>
              </w:rPr>
            </w:pPr>
          </w:p>
        </w:tc>
        <w:tc>
          <w:tcPr>
            <w:tcW w:w="1464" w:type="pct"/>
            <w:shd w:val="clear" w:color="auto" w:fill="auto"/>
            <w:tcMar>
              <w:top w:w="113" w:type="dxa"/>
              <w:bottom w:w="85" w:type="dxa"/>
            </w:tcMar>
          </w:tcPr>
          <w:p w:rsidR="001917DB" w:rsidRPr="00C75C7E" w:rsidRDefault="004F371F" w:rsidP="008F4F69">
            <w:pPr>
              <w:widowControl w:val="0"/>
              <w:rPr>
                <w:sz w:val="16"/>
                <w:szCs w:val="16"/>
                <w:lang w:val="es-ES_tradnl"/>
              </w:rPr>
            </w:pPr>
            <w:r w:rsidRPr="001F769A">
              <w:rPr>
                <w:sz w:val="16"/>
                <w:szCs w:val="16"/>
                <w:lang w:val="es-ES_tradnl"/>
              </w:rPr>
              <w:t xml:space="preserve">Número de </w:t>
            </w:r>
            <w:r>
              <w:rPr>
                <w:sz w:val="16"/>
                <w:szCs w:val="16"/>
                <w:lang w:val="es-ES_tradnl"/>
              </w:rPr>
              <w:t>OTT</w:t>
            </w:r>
            <w:r w:rsidRPr="001F769A">
              <w:rPr>
                <w:sz w:val="16"/>
                <w:szCs w:val="16"/>
                <w:lang w:val="es-ES_tradnl"/>
              </w:rPr>
              <w:t xml:space="preserve"> </w:t>
            </w:r>
            <w:r>
              <w:rPr>
                <w:sz w:val="16"/>
                <w:szCs w:val="16"/>
                <w:lang w:val="es-ES_tradnl"/>
              </w:rPr>
              <w:t>o de centros de información establecidos</w:t>
            </w:r>
          </w:p>
        </w:tc>
        <w:tc>
          <w:tcPr>
            <w:tcW w:w="1645" w:type="pct"/>
            <w:shd w:val="clear" w:color="auto" w:fill="FFFFFF"/>
            <w:tcMar>
              <w:top w:w="113" w:type="dxa"/>
              <w:bottom w:w="85" w:type="dxa"/>
            </w:tcMar>
          </w:tcPr>
          <w:p w:rsidR="001917DB" w:rsidRDefault="004F371F" w:rsidP="008F4F69">
            <w:pPr>
              <w:widowControl w:val="0"/>
              <w:ind w:left="660"/>
              <w:rPr>
                <w:sz w:val="16"/>
                <w:szCs w:val="16"/>
                <w:lang w:val="es-ES_tradnl" w:bidi="th-TH"/>
              </w:rPr>
            </w:pPr>
            <w:r>
              <w:rPr>
                <w:sz w:val="16"/>
                <w:szCs w:val="16"/>
                <w:lang w:val="es-ES_tradnl" w:bidi="th-TH"/>
              </w:rPr>
              <w:t>Programa  9</w:t>
            </w:r>
          </w:p>
          <w:p w:rsidR="004F371F" w:rsidRPr="00C75C7E" w:rsidRDefault="004F371F" w:rsidP="008F4F69">
            <w:pPr>
              <w:widowControl w:val="0"/>
              <w:ind w:left="660"/>
              <w:rPr>
                <w:sz w:val="16"/>
                <w:szCs w:val="16"/>
                <w:lang w:val="es-ES_tradnl" w:bidi="th-TH"/>
              </w:rPr>
            </w:pPr>
            <w:r>
              <w:rPr>
                <w:sz w:val="16"/>
                <w:szCs w:val="16"/>
                <w:lang w:val="es-ES_tradnl" w:bidi="th-TH"/>
              </w:rPr>
              <w:t>Programa  10</w:t>
            </w:r>
          </w:p>
        </w:tc>
      </w:tr>
      <w:tr w:rsidR="00A80F8D" w:rsidRPr="00C75C7E" w:rsidTr="008F4F69">
        <w:trPr>
          <w:cantSplit/>
          <w:trHeight w:val="795"/>
        </w:trPr>
        <w:tc>
          <w:tcPr>
            <w:tcW w:w="1891" w:type="pct"/>
            <w:shd w:val="clear" w:color="auto" w:fill="auto"/>
            <w:tcMar>
              <w:top w:w="113" w:type="dxa"/>
              <w:bottom w:w="85" w:type="dxa"/>
            </w:tcMar>
          </w:tcPr>
          <w:p w:rsidR="00A80F8D" w:rsidRPr="00C75C7E" w:rsidRDefault="00A80F8D" w:rsidP="008F4F69">
            <w:pPr>
              <w:widowControl w:val="0"/>
              <w:rPr>
                <w:sz w:val="16"/>
                <w:szCs w:val="16"/>
                <w:lang w:val="es-ES_tradnl"/>
              </w:rPr>
            </w:pPr>
          </w:p>
        </w:tc>
        <w:tc>
          <w:tcPr>
            <w:tcW w:w="1464" w:type="pct"/>
            <w:shd w:val="clear" w:color="auto" w:fill="auto"/>
            <w:tcMar>
              <w:top w:w="113" w:type="dxa"/>
              <w:bottom w:w="85" w:type="dxa"/>
            </w:tcMar>
          </w:tcPr>
          <w:p w:rsidR="00A80F8D" w:rsidRPr="00C75C7E" w:rsidRDefault="00A80F8D" w:rsidP="008F4F69">
            <w:pPr>
              <w:widowControl w:val="0"/>
              <w:rPr>
                <w:sz w:val="16"/>
                <w:szCs w:val="16"/>
                <w:lang w:val="es-ES_tradnl"/>
              </w:rPr>
            </w:pPr>
            <w:r w:rsidRPr="00C75C7E">
              <w:rPr>
                <w:sz w:val="16"/>
                <w:szCs w:val="16"/>
                <w:lang w:val="es-ES_tradnl"/>
              </w:rPr>
              <w:t>Número de usuarios por trimestre en todos los sistemas (PATENTSCOPE/Base Mundial de Datos sobre Marcas).</w:t>
            </w:r>
          </w:p>
        </w:tc>
        <w:tc>
          <w:tcPr>
            <w:tcW w:w="1645" w:type="pct"/>
            <w:shd w:val="clear" w:color="auto" w:fill="FFFFFF"/>
            <w:tcMar>
              <w:top w:w="113" w:type="dxa"/>
              <w:bottom w:w="85" w:type="dxa"/>
            </w:tcMar>
          </w:tcPr>
          <w:p w:rsidR="00A80F8D" w:rsidRPr="00C75C7E" w:rsidRDefault="00A80F8D" w:rsidP="008F4F69">
            <w:pPr>
              <w:widowControl w:val="0"/>
              <w:ind w:left="660"/>
              <w:rPr>
                <w:sz w:val="16"/>
                <w:szCs w:val="16"/>
                <w:lang w:val="es-ES_tradnl" w:bidi="th-TH"/>
              </w:rPr>
            </w:pPr>
            <w:r w:rsidRPr="00C75C7E">
              <w:rPr>
                <w:sz w:val="16"/>
                <w:szCs w:val="16"/>
                <w:lang w:val="es-ES_tradnl" w:bidi="th-TH"/>
              </w:rPr>
              <w:t>Programa  13</w:t>
            </w:r>
          </w:p>
        </w:tc>
      </w:tr>
      <w:tr w:rsidR="00A80F8D" w:rsidRPr="00C75C7E" w:rsidTr="008F4F69">
        <w:trPr>
          <w:cantSplit/>
          <w:trHeight w:val="399"/>
        </w:trPr>
        <w:tc>
          <w:tcPr>
            <w:tcW w:w="1891" w:type="pct"/>
            <w:shd w:val="clear" w:color="auto" w:fill="auto"/>
            <w:tcMar>
              <w:top w:w="113" w:type="dxa"/>
              <w:bottom w:w="85" w:type="dxa"/>
            </w:tcMar>
          </w:tcPr>
          <w:p w:rsidR="00A80F8D" w:rsidRPr="00C75C7E" w:rsidRDefault="00A80F8D" w:rsidP="008F4F69">
            <w:pPr>
              <w:widowControl w:val="0"/>
              <w:rPr>
                <w:sz w:val="16"/>
                <w:szCs w:val="16"/>
                <w:lang w:val="es-ES_tradnl"/>
              </w:rPr>
            </w:pPr>
          </w:p>
        </w:tc>
        <w:tc>
          <w:tcPr>
            <w:tcW w:w="1464" w:type="pct"/>
            <w:shd w:val="clear" w:color="auto" w:fill="auto"/>
            <w:tcMar>
              <w:top w:w="113" w:type="dxa"/>
              <w:bottom w:w="85" w:type="dxa"/>
            </w:tcMar>
          </w:tcPr>
          <w:p w:rsidR="00A80F8D" w:rsidRPr="00C75C7E" w:rsidRDefault="00A80F8D" w:rsidP="008F4F69">
            <w:pPr>
              <w:widowControl w:val="0"/>
              <w:rPr>
                <w:sz w:val="16"/>
                <w:szCs w:val="16"/>
                <w:lang w:val="es-ES_tradnl"/>
              </w:rPr>
            </w:pPr>
            <w:r w:rsidRPr="00C75C7E">
              <w:rPr>
                <w:sz w:val="16"/>
                <w:szCs w:val="16"/>
                <w:lang w:val="es-ES_tradnl"/>
              </w:rPr>
              <w:t>Número de idiomas en los que se pueden efectuar búsquedas plurilingües.</w:t>
            </w:r>
          </w:p>
        </w:tc>
        <w:tc>
          <w:tcPr>
            <w:tcW w:w="1645" w:type="pct"/>
            <w:shd w:val="clear" w:color="auto" w:fill="FFFFFF"/>
            <w:tcMar>
              <w:top w:w="113" w:type="dxa"/>
              <w:bottom w:w="85" w:type="dxa"/>
            </w:tcMar>
          </w:tcPr>
          <w:p w:rsidR="00A80F8D" w:rsidRPr="00C75C7E" w:rsidRDefault="00A80F8D" w:rsidP="008F4F69">
            <w:pPr>
              <w:widowControl w:val="0"/>
              <w:ind w:left="660"/>
              <w:rPr>
                <w:sz w:val="16"/>
                <w:szCs w:val="16"/>
                <w:lang w:val="es-ES_tradnl" w:bidi="th-TH"/>
              </w:rPr>
            </w:pPr>
            <w:r w:rsidRPr="00C75C7E">
              <w:rPr>
                <w:sz w:val="16"/>
                <w:szCs w:val="16"/>
                <w:lang w:val="es-ES_tradnl" w:bidi="th-TH"/>
              </w:rPr>
              <w:t>Programa  13</w:t>
            </w:r>
          </w:p>
        </w:tc>
      </w:tr>
      <w:tr w:rsidR="00A80F8D" w:rsidRPr="00C75C7E" w:rsidTr="008F4F69">
        <w:trPr>
          <w:cantSplit/>
          <w:trHeight w:val="615"/>
        </w:trPr>
        <w:tc>
          <w:tcPr>
            <w:tcW w:w="1891" w:type="pct"/>
            <w:shd w:val="clear" w:color="auto" w:fill="auto"/>
            <w:tcMar>
              <w:top w:w="113" w:type="dxa"/>
              <w:bottom w:w="85" w:type="dxa"/>
            </w:tcMar>
          </w:tcPr>
          <w:p w:rsidR="00A80F8D" w:rsidRPr="00C75C7E" w:rsidRDefault="00A80F8D" w:rsidP="008F4F69">
            <w:pPr>
              <w:widowControl w:val="0"/>
              <w:rPr>
                <w:sz w:val="16"/>
                <w:szCs w:val="16"/>
                <w:lang w:val="es-ES_tradnl"/>
              </w:rPr>
            </w:pPr>
          </w:p>
        </w:tc>
        <w:tc>
          <w:tcPr>
            <w:tcW w:w="1464" w:type="pct"/>
            <w:shd w:val="clear" w:color="auto" w:fill="auto"/>
            <w:tcMar>
              <w:top w:w="113" w:type="dxa"/>
              <w:bottom w:w="85" w:type="dxa"/>
            </w:tcMar>
          </w:tcPr>
          <w:p w:rsidR="00A80F8D" w:rsidRPr="00C75C7E" w:rsidRDefault="00A80F8D" w:rsidP="008F4F69">
            <w:pPr>
              <w:widowControl w:val="0"/>
              <w:rPr>
                <w:sz w:val="16"/>
                <w:szCs w:val="16"/>
                <w:lang w:val="es-ES_tradnl"/>
              </w:rPr>
            </w:pPr>
            <w:r w:rsidRPr="00C75C7E">
              <w:rPr>
                <w:sz w:val="16"/>
                <w:szCs w:val="16"/>
                <w:lang w:val="es-ES_tradnl"/>
              </w:rPr>
              <w:t>Número de pares de idiomas disponibles para la traducción automática de títulos y resúmenes.</w:t>
            </w:r>
          </w:p>
        </w:tc>
        <w:tc>
          <w:tcPr>
            <w:tcW w:w="1645" w:type="pct"/>
            <w:shd w:val="clear" w:color="auto" w:fill="FFFFFF"/>
            <w:tcMar>
              <w:top w:w="113" w:type="dxa"/>
              <w:bottom w:w="85" w:type="dxa"/>
            </w:tcMar>
          </w:tcPr>
          <w:p w:rsidR="00A80F8D" w:rsidRPr="00C75C7E" w:rsidRDefault="00A80F8D" w:rsidP="008F4F69">
            <w:pPr>
              <w:widowControl w:val="0"/>
              <w:ind w:left="660"/>
              <w:rPr>
                <w:sz w:val="16"/>
                <w:szCs w:val="16"/>
                <w:lang w:val="es-ES_tradnl" w:bidi="th-TH"/>
              </w:rPr>
            </w:pPr>
            <w:r w:rsidRPr="00C75C7E">
              <w:rPr>
                <w:sz w:val="16"/>
                <w:szCs w:val="16"/>
                <w:lang w:val="es-ES_tradnl" w:bidi="th-TH"/>
              </w:rPr>
              <w:t>Programa  13</w:t>
            </w:r>
          </w:p>
        </w:tc>
      </w:tr>
      <w:tr w:rsidR="00A80F8D" w:rsidRPr="00C75C7E" w:rsidTr="008F4F69">
        <w:trPr>
          <w:cantSplit/>
          <w:trHeight w:val="389"/>
        </w:trPr>
        <w:tc>
          <w:tcPr>
            <w:tcW w:w="1891" w:type="pct"/>
            <w:shd w:val="clear" w:color="auto" w:fill="auto"/>
            <w:tcMar>
              <w:top w:w="113" w:type="dxa"/>
              <w:bottom w:w="85" w:type="dxa"/>
            </w:tcMar>
          </w:tcPr>
          <w:p w:rsidR="00A80F8D" w:rsidRPr="00C75C7E" w:rsidRDefault="00A80F8D" w:rsidP="008F4F69">
            <w:pPr>
              <w:widowControl w:val="0"/>
              <w:rPr>
                <w:sz w:val="16"/>
                <w:szCs w:val="16"/>
                <w:lang w:val="es-ES_tradnl"/>
              </w:rPr>
            </w:pPr>
          </w:p>
        </w:tc>
        <w:tc>
          <w:tcPr>
            <w:tcW w:w="1464" w:type="pct"/>
            <w:shd w:val="clear" w:color="auto" w:fill="auto"/>
            <w:tcMar>
              <w:top w:w="113" w:type="dxa"/>
              <w:bottom w:w="85" w:type="dxa"/>
            </w:tcMar>
          </w:tcPr>
          <w:p w:rsidR="00A80F8D" w:rsidRPr="00C75C7E" w:rsidRDefault="00A80F8D" w:rsidP="008F4F69">
            <w:pPr>
              <w:widowControl w:val="0"/>
              <w:rPr>
                <w:sz w:val="16"/>
                <w:szCs w:val="16"/>
                <w:lang w:val="es-ES_tradnl"/>
              </w:rPr>
            </w:pPr>
            <w:r w:rsidRPr="00C75C7E">
              <w:rPr>
                <w:sz w:val="16"/>
                <w:szCs w:val="16"/>
                <w:lang w:val="es-ES_tradnl"/>
              </w:rPr>
              <w:t>Número de usuarios inscritos en ARDI y ASPI que utilizan dichos instrumentos.</w:t>
            </w:r>
          </w:p>
        </w:tc>
        <w:tc>
          <w:tcPr>
            <w:tcW w:w="1645" w:type="pct"/>
            <w:shd w:val="clear" w:color="auto" w:fill="FFFFFF"/>
            <w:tcMar>
              <w:top w:w="113" w:type="dxa"/>
              <w:bottom w:w="85" w:type="dxa"/>
            </w:tcMar>
          </w:tcPr>
          <w:p w:rsidR="00A80F8D" w:rsidRPr="00C75C7E" w:rsidRDefault="00A80F8D" w:rsidP="008F4F69">
            <w:pPr>
              <w:widowControl w:val="0"/>
              <w:ind w:left="660"/>
              <w:rPr>
                <w:sz w:val="16"/>
                <w:szCs w:val="16"/>
                <w:lang w:val="es-ES_tradnl" w:bidi="th-TH"/>
              </w:rPr>
            </w:pPr>
            <w:r w:rsidRPr="00C75C7E">
              <w:rPr>
                <w:sz w:val="16"/>
                <w:szCs w:val="16"/>
                <w:lang w:val="es-ES_tradnl" w:bidi="th-TH"/>
              </w:rPr>
              <w:t>Programa  14</w:t>
            </w:r>
          </w:p>
        </w:tc>
      </w:tr>
      <w:tr w:rsidR="00A80F8D" w:rsidRPr="00C75C7E" w:rsidTr="008F4F69">
        <w:trPr>
          <w:cantSplit/>
          <w:trHeight w:val="985"/>
        </w:trPr>
        <w:tc>
          <w:tcPr>
            <w:tcW w:w="1891" w:type="pct"/>
            <w:shd w:val="clear" w:color="auto" w:fill="auto"/>
            <w:tcMar>
              <w:top w:w="113" w:type="dxa"/>
              <w:bottom w:w="85" w:type="dxa"/>
            </w:tcMar>
          </w:tcPr>
          <w:p w:rsidR="00A80F8D" w:rsidRPr="00C75C7E" w:rsidRDefault="00A80F8D" w:rsidP="008F4F69">
            <w:pPr>
              <w:widowControl w:val="0"/>
              <w:rPr>
                <w:sz w:val="16"/>
                <w:szCs w:val="16"/>
                <w:lang w:val="es-ES_tradnl"/>
              </w:rPr>
            </w:pPr>
          </w:p>
        </w:tc>
        <w:tc>
          <w:tcPr>
            <w:tcW w:w="1464" w:type="pct"/>
            <w:shd w:val="clear" w:color="auto" w:fill="auto"/>
            <w:tcMar>
              <w:top w:w="113" w:type="dxa"/>
              <w:bottom w:w="85" w:type="dxa"/>
            </w:tcMar>
          </w:tcPr>
          <w:p w:rsidR="00A80F8D" w:rsidRPr="00C75C7E" w:rsidRDefault="00A80F8D" w:rsidP="008F4F69">
            <w:pPr>
              <w:widowControl w:val="0"/>
              <w:rPr>
                <w:sz w:val="16"/>
                <w:szCs w:val="16"/>
                <w:lang w:val="es-ES_tradnl"/>
              </w:rPr>
            </w:pPr>
            <w:r w:rsidRPr="00C75C7E">
              <w:rPr>
                <w:sz w:val="16"/>
                <w:szCs w:val="16"/>
                <w:lang w:val="es-ES_tradnl"/>
              </w:rPr>
              <w:t>Porcentaje de usuarios satisfechos con la prestación de servicios de información sobre patentes con valor añadido (WPIS, cooperación internacional en el examen, familias de patentes  y servicio de consulta sobre la situación jurídica).</w:t>
            </w:r>
          </w:p>
        </w:tc>
        <w:tc>
          <w:tcPr>
            <w:tcW w:w="1645" w:type="pct"/>
            <w:shd w:val="clear" w:color="auto" w:fill="FFFFFF"/>
            <w:tcMar>
              <w:top w:w="113" w:type="dxa"/>
              <w:bottom w:w="85" w:type="dxa"/>
            </w:tcMar>
          </w:tcPr>
          <w:p w:rsidR="00A80F8D" w:rsidRPr="00C75C7E" w:rsidRDefault="00A80F8D" w:rsidP="008F4F69">
            <w:pPr>
              <w:widowControl w:val="0"/>
              <w:ind w:left="660"/>
              <w:rPr>
                <w:sz w:val="16"/>
                <w:szCs w:val="16"/>
                <w:lang w:val="es-ES_tradnl" w:bidi="th-TH"/>
              </w:rPr>
            </w:pPr>
            <w:r w:rsidRPr="00C75C7E">
              <w:rPr>
                <w:sz w:val="16"/>
                <w:szCs w:val="16"/>
                <w:lang w:val="es-ES_tradnl" w:bidi="th-TH"/>
              </w:rPr>
              <w:t>Programa  14</w:t>
            </w:r>
          </w:p>
        </w:tc>
      </w:tr>
      <w:tr w:rsidR="00A80F8D" w:rsidRPr="00C75C7E" w:rsidTr="008F4F69">
        <w:trPr>
          <w:cantSplit/>
          <w:trHeight w:val="365"/>
        </w:trPr>
        <w:tc>
          <w:tcPr>
            <w:tcW w:w="1891" w:type="pct"/>
            <w:shd w:val="clear" w:color="auto" w:fill="auto"/>
            <w:tcMar>
              <w:top w:w="113" w:type="dxa"/>
              <w:bottom w:w="85" w:type="dxa"/>
            </w:tcMar>
          </w:tcPr>
          <w:p w:rsidR="00A80F8D" w:rsidRPr="00C75C7E" w:rsidRDefault="00A80F8D" w:rsidP="008F4F69">
            <w:pPr>
              <w:widowControl w:val="0"/>
              <w:rPr>
                <w:sz w:val="16"/>
                <w:szCs w:val="16"/>
                <w:lang w:val="es-ES_tradnl"/>
              </w:rPr>
            </w:pPr>
          </w:p>
        </w:tc>
        <w:tc>
          <w:tcPr>
            <w:tcW w:w="1464" w:type="pct"/>
            <w:shd w:val="clear" w:color="auto" w:fill="auto"/>
            <w:tcMar>
              <w:top w:w="113" w:type="dxa"/>
              <w:bottom w:w="85" w:type="dxa"/>
            </w:tcMar>
          </w:tcPr>
          <w:p w:rsidR="00A80F8D" w:rsidRPr="00C75C7E" w:rsidRDefault="00A80F8D" w:rsidP="008F4F69">
            <w:pPr>
              <w:widowControl w:val="0"/>
              <w:rPr>
                <w:sz w:val="16"/>
                <w:szCs w:val="16"/>
                <w:lang w:val="es-ES_tradnl"/>
              </w:rPr>
            </w:pPr>
            <w:r w:rsidRPr="00C75C7E">
              <w:rPr>
                <w:sz w:val="16"/>
                <w:szCs w:val="16"/>
                <w:lang w:val="es-ES_tradnl"/>
              </w:rPr>
              <w:t>Porcentaje de usuarios satisfechos con los informes sobre la actividad de patentamiento.</w:t>
            </w:r>
          </w:p>
        </w:tc>
        <w:tc>
          <w:tcPr>
            <w:tcW w:w="1645" w:type="pct"/>
            <w:shd w:val="clear" w:color="auto" w:fill="FFFFFF"/>
            <w:tcMar>
              <w:top w:w="113" w:type="dxa"/>
              <w:bottom w:w="85" w:type="dxa"/>
            </w:tcMar>
          </w:tcPr>
          <w:p w:rsidR="00A80F8D" w:rsidRPr="00C75C7E" w:rsidRDefault="00A80F8D" w:rsidP="008F4F69">
            <w:pPr>
              <w:widowControl w:val="0"/>
              <w:ind w:left="660"/>
              <w:rPr>
                <w:sz w:val="16"/>
                <w:szCs w:val="16"/>
                <w:lang w:val="es-ES_tradnl" w:bidi="th-TH"/>
              </w:rPr>
            </w:pPr>
            <w:r w:rsidRPr="00C75C7E">
              <w:rPr>
                <w:sz w:val="16"/>
                <w:szCs w:val="16"/>
                <w:lang w:val="es-ES_tradnl" w:bidi="th-TH"/>
              </w:rPr>
              <w:t>Programa  14</w:t>
            </w:r>
          </w:p>
        </w:tc>
      </w:tr>
      <w:tr w:rsidR="00A80F8D" w:rsidRPr="00C75C7E" w:rsidTr="008F4F69">
        <w:trPr>
          <w:cantSplit/>
          <w:trHeight w:val="583"/>
        </w:trPr>
        <w:tc>
          <w:tcPr>
            <w:tcW w:w="1891" w:type="pct"/>
            <w:shd w:val="clear" w:color="auto" w:fill="auto"/>
            <w:tcMar>
              <w:top w:w="113" w:type="dxa"/>
              <w:bottom w:w="85" w:type="dxa"/>
            </w:tcMar>
          </w:tcPr>
          <w:p w:rsidR="00A80F8D" w:rsidRPr="00C75C7E" w:rsidRDefault="00A80F8D" w:rsidP="008F4F69">
            <w:pPr>
              <w:widowControl w:val="0"/>
              <w:rPr>
                <w:sz w:val="16"/>
                <w:szCs w:val="16"/>
                <w:lang w:val="es-ES_tradnl"/>
              </w:rPr>
            </w:pPr>
          </w:p>
        </w:tc>
        <w:tc>
          <w:tcPr>
            <w:tcW w:w="1464" w:type="pct"/>
            <w:shd w:val="clear" w:color="auto" w:fill="auto"/>
            <w:tcMar>
              <w:top w:w="113" w:type="dxa"/>
              <w:bottom w:w="85" w:type="dxa"/>
            </w:tcMar>
          </w:tcPr>
          <w:p w:rsidR="00A80F8D" w:rsidRPr="00C75C7E" w:rsidRDefault="00A80F8D" w:rsidP="008F4F69">
            <w:pPr>
              <w:widowControl w:val="0"/>
              <w:rPr>
                <w:sz w:val="16"/>
                <w:szCs w:val="16"/>
                <w:lang w:val="es-ES_tradnl"/>
              </w:rPr>
            </w:pPr>
            <w:r w:rsidRPr="00C75C7E">
              <w:rPr>
                <w:sz w:val="16"/>
                <w:szCs w:val="16"/>
                <w:lang w:val="es-ES_tradnl"/>
              </w:rPr>
              <w:t xml:space="preserve">Número de países que han verificado los datos e incluido medicamentos esenciales nacionales en </w:t>
            </w:r>
            <w:r w:rsidRPr="00C75C7E">
              <w:rPr>
                <w:i/>
                <w:sz w:val="16"/>
                <w:szCs w:val="16"/>
                <w:lang w:val="es-ES_tradnl"/>
              </w:rPr>
              <w:t>WIPO Essential.</w:t>
            </w:r>
          </w:p>
        </w:tc>
        <w:tc>
          <w:tcPr>
            <w:tcW w:w="1645" w:type="pct"/>
            <w:shd w:val="clear" w:color="auto" w:fill="FFFFFF"/>
            <w:tcMar>
              <w:top w:w="113" w:type="dxa"/>
              <w:bottom w:w="85" w:type="dxa"/>
            </w:tcMar>
          </w:tcPr>
          <w:p w:rsidR="00A80F8D" w:rsidRPr="00C75C7E" w:rsidRDefault="00A80F8D" w:rsidP="008F4F69">
            <w:pPr>
              <w:widowControl w:val="0"/>
              <w:ind w:left="660"/>
              <w:rPr>
                <w:sz w:val="16"/>
                <w:szCs w:val="16"/>
                <w:lang w:val="es-ES_tradnl" w:bidi="th-TH"/>
              </w:rPr>
            </w:pPr>
            <w:r w:rsidRPr="00C75C7E">
              <w:rPr>
                <w:sz w:val="16"/>
                <w:szCs w:val="16"/>
                <w:lang w:val="es-ES_tradnl" w:bidi="th-TH"/>
              </w:rPr>
              <w:t>Programa  18</w:t>
            </w:r>
          </w:p>
        </w:tc>
      </w:tr>
      <w:tr w:rsidR="00A80F8D" w:rsidRPr="00C75C7E" w:rsidTr="008F4F69">
        <w:trPr>
          <w:cantSplit/>
          <w:trHeight w:val="583"/>
        </w:trPr>
        <w:tc>
          <w:tcPr>
            <w:tcW w:w="1891" w:type="pct"/>
            <w:shd w:val="clear" w:color="auto" w:fill="auto"/>
            <w:tcMar>
              <w:top w:w="113" w:type="dxa"/>
              <w:bottom w:w="85" w:type="dxa"/>
            </w:tcMar>
          </w:tcPr>
          <w:p w:rsidR="00A80F8D" w:rsidRPr="00C75C7E" w:rsidRDefault="00A80F8D" w:rsidP="008F4F69">
            <w:pPr>
              <w:widowControl w:val="0"/>
              <w:rPr>
                <w:sz w:val="16"/>
                <w:szCs w:val="16"/>
                <w:lang w:val="es-ES_tradnl"/>
              </w:rPr>
            </w:pPr>
          </w:p>
        </w:tc>
        <w:tc>
          <w:tcPr>
            <w:tcW w:w="1464" w:type="pct"/>
            <w:shd w:val="clear" w:color="auto" w:fill="auto"/>
            <w:tcMar>
              <w:top w:w="113" w:type="dxa"/>
              <w:bottom w:w="85" w:type="dxa"/>
            </w:tcMar>
          </w:tcPr>
          <w:p w:rsidR="00A80F8D" w:rsidRPr="00C75C7E" w:rsidRDefault="00A80F8D" w:rsidP="008F4F69">
            <w:pPr>
              <w:widowControl w:val="0"/>
              <w:rPr>
                <w:sz w:val="16"/>
                <w:szCs w:val="16"/>
                <w:lang w:val="es-ES_tradnl"/>
              </w:rPr>
            </w:pPr>
            <w:r w:rsidRPr="00C75C7E">
              <w:rPr>
                <w:sz w:val="16"/>
                <w:szCs w:val="16"/>
                <w:lang w:val="es-ES_tradnl"/>
              </w:rPr>
              <w:t>Número de usuarios de las bases de datos mundiales de la OMPI:</w:t>
            </w:r>
          </w:p>
          <w:p w:rsidR="00A80F8D" w:rsidRPr="00C75C7E" w:rsidRDefault="00A80F8D" w:rsidP="008F4F69">
            <w:pPr>
              <w:widowControl w:val="0"/>
              <w:rPr>
                <w:sz w:val="16"/>
                <w:szCs w:val="16"/>
                <w:lang w:val="es-ES_tradnl"/>
              </w:rPr>
            </w:pPr>
            <w:r w:rsidRPr="00C75C7E">
              <w:rPr>
                <w:sz w:val="16"/>
                <w:szCs w:val="16"/>
                <w:lang w:val="es-ES_tradnl"/>
              </w:rPr>
              <w:t>PATENTSCOPE y Base Mundial de Datos sobre Marcas.</w:t>
            </w:r>
          </w:p>
        </w:tc>
        <w:tc>
          <w:tcPr>
            <w:tcW w:w="1645" w:type="pct"/>
            <w:shd w:val="clear" w:color="auto" w:fill="FFFFFF"/>
            <w:tcMar>
              <w:top w:w="113" w:type="dxa"/>
              <w:bottom w:w="85" w:type="dxa"/>
            </w:tcMar>
          </w:tcPr>
          <w:p w:rsidR="00A80F8D" w:rsidRPr="00C75C7E" w:rsidRDefault="00A80F8D" w:rsidP="008F4F69">
            <w:pPr>
              <w:widowControl w:val="0"/>
              <w:ind w:left="660"/>
              <w:rPr>
                <w:sz w:val="16"/>
                <w:szCs w:val="16"/>
                <w:lang w:val="es-ES_tradnl" w:bidi="th-TH"/>
              </w:rPr>
            </w:pPr>
            <w:r w:rsidRPr="00C75C7E">
              <w:rPr>
                <w:sz w:val="16"/>
                <w:szCs w:val="16"/>
                <w:lang w:val="es-ES_tradnl" w:bidi="th-TH"/>
              </w:rPr>
              <w:t>Programa  20</w:t>
            </w:r>
          </w:p>
        </w:tc>
      </w:tr>
      <w:tr w:rsidR="00A80F8D" w:rsidRPr="00C75C7E" w:rsidTr="008F4F69">
        <w:trPr>
          <w:cantSplit/>
          <w:trHeight w:val="412"/>
        </w:trPr>
        <w:tc>
          <w:tcPr>
            <w:tcW w:w="1891" w:type="pct"/>
            <w:shd w:val="clear" w:color="auto" w:fill="auto"/>
            <w:tcMar>
              <w:top w:w="113" w:type="dxa"/>
              <w:bottom w:w="85" w:type="dxa"/>
            </w:tcMar>
          </w:tcPr>
          <w:p w:rsidR="00A80F8D" w:rsidRPr="00C75C7E" w:rsidRDefault="00A80F8D" w:rsidP="008F4F69">
            <w:pPr>
              <w:widowControl w:val="0"/>
              <w:rPr>
                <w:sz w:val="16"/>
                <w:szCs w:val="16"/>
                <w:lang w:val="es-ES_tradnl"/>
              </w:rPr>
            </w:pPr>
          </w:p>
        </w:tc>
        <w:tc>
          <w:tcPr>
            <w:tcW w:w="1464" w:type="pct"/>
            <w:shd w:val="clear" w:color="auto" w:fill="auto"/>
            <w:tcMar>
              <w:top w:w="113" w:type="dxa"/>
              <w:bottom w:w="85" w:type="dxa"/>
            </w:tcMar>
          </w:tcPr>
          <w:p w:rsidR="00A80F8D" w:rsidRPr="00C75C7E" w:rsidRDefault="00A80F8D" w:rsidP="008F4F69">
            <w:pPr>
              <w:widowControl w:val="0"/>
              <w:rPr>
                <w:sz w:val="16"/>
                <w:szCs w:val="16"/>
                <w:lang w:val="es-ES_tradnl"/>
              </w:rPr>
            </w:pPr>
            <w:r w:rsidRPr="00C75C7E">
              <w:rPr>
                <w:sz w:val="16"/>
                <w:szCs w:val="16"/>
                <w:lang w:val="es-ES_tradnl"/>
              </w:rPr>
              <w:t xml:space="preserve">Aumento del número de usuarios de WIPO Lex. </w:t>
            </w:r>
          </w:p>
        </w:tc>
        <w:tc>
          <w:tcPr>
            <w:tcW w:w="1645" w:type="pct"/>
            <w:shd w:val="clear" w:color="auto" w:fill="FFFFFF"/>
            <w:tcMar>
              <w:top w:w="113" w:type="dxa"/>
              <w:bottom w:w="85" w:type="dxa"/>
            </w:tcMar>
          </w:tcPr>
          <w:p w:rsidR="00A80F8D" w:rsidRPr="00C75C7E" w:rsidRDefault="00A80F8D" w:rsidP="008F4F69">
            <w:pPr>
              <w:widowControl w:val="0"/>
              <w:ind w:left="660"/>
              <w:rPr>
                <w:sz w:val="16"/>
                <w:szCs w:val="16"/>
                <w:lang w:val="es-ES_tradnl" w:bidi="th-TH"/>
              </w:rPr>
            </w:pPr>
            <w:r w:rsidRPr="00C75C7E">
              <w:rPr>
                <w:sz w:val="16"/>
                <w:szCs w:val="16"/>
                <w:lang w:val="es-ES_tradnl" w:bidi="th-TH"/>
              </w:rPr>
              <w:t>Programa  21</w:t>
            </w:r>
          </w:p>
        </w:tc>
      </w:tr>
      <w:tr w:rsidR="00A80F8D" w:rsidRPr="00C75C7E" w:rsidTr="008F4F69">
        <w:trPr>
          <w:cantSplit/>
          <w:trHeight w:val="495"/>
        </w:trPr>
        <w:tc>
          <w:tcPr>
            <w:tcW w:w="1891" w:type="pct"/>
            <w:shd w:val="clear" w:color="auto" w:fill="auto"/>
            <w:tcMar>
              <w:top w:w="113" w:type="dxa"/>
              <w:bottom w:w="85" w:type="dxa"/>
            </w:tcMar>
          </w:tcPr>
          <w:p w:rsidR="00A80F8D" w:rsidRPr="00C75C7E" w:rsidRDefault="00A80F8D" w:rsidP="008F4F69">
            <w:pPr>
              <w:widowControl w:val="0"/>
              <w:rPr>
                <w:sz w:val="16"/>
                <w:szCs w:val="16"/>
                <w:lang w:val="es-ES_tradnl"/>
              </w:rPr>
            </w:pPr>
            <w:r w:rsidRPr="00C75C7E">
              <w:rPr>
                <w:sz w:val="16"/>
                <w:szCs w:val="16"/>
                <w:lang w:val="es-ES_tradnl"/>
              </w:rPr>
              <w:t>IV.3. Amplia cobertura geográfica en cuanto al contenido y al uso de las bases de datos mundiales de la OMPI en materia de P.I.</w:t>
            </w:r>
          </w:p>
        </w:tc>
        <w:tc>
          <w:tcPr>
            <w:tcW w:w="1464" w:type="pct"/>
            <w:shd w:val="clear" w:color="auto" w:fill="auto"/>
            <w:tcMar>
              <w:top w:w="113" w:type="dxa"/>
              <w:bottom w:w="85" w:type="dxa"/>
            </w:tcMar>
          </w:tcPr>
          <w:p w:rsidR="00A80F8D" w:rsidRPr="00C75C7E" w:rsidRDefault="00A80F8D" w:rsidP="008F4F69">
            <w:pPr>
              <w:widowControl w:val="0"/>
              <w:rPr>
                <w:sz w:val="16"/>
                <w:szCs w:val="16"/>
                <w:lang w:val="es-ES_tradnl"/>
              </w:rPr>
            </w:pPr>
            <w:r w:rsidRPr="00C75C7E">
              <w:rPr>
                <w:sz w:val="16"/>
                <w:szCs w:val="16"/>
                <w:lang w:val="es-ES_tradnl"/>
              </w:rPr>
              <w:t>Número de registros contenidos en PATENSCOPE.</w:t>
            </w:r>
          </w:p>
        </w:tc>
        <w:tc>
          <w:tcPr>
            <w:tcW w:w="1645" w:type="pct"/>
            <w:shd w:val="clear" w:color="auto" w:fill="FFFFFF"/>
            <w:tcMar>
              <w:top w:w="113" w:type="dxa"/>
              <w:bottom w:w="85" w:type="dxa"/>
            </w:tcMar>
          </w:tcPr>
          <w:p w:rsidR="00A80F8D" w:rsidRPr="00C75C7E" w:rsidRDefault="00A80F8D" w:rsidP="008F4F69">
            <w:pPr>
              <w:widowControl w:val="0"/>
              <w:ind w:left="660"/>
              <w:rPr>
                <w:sz w:val="16"/>
                <w:szCs w:val="16"/>
                <w:lang w:val="es-ES_tradnl" w:bidi="th-TH"/>
              </w:rPr>
            </w:pPr>
            <w:r w:rsidRPr="00C75C7E">
              <w:rPr>
                <w:sz w:val="16"/>
                <w:szCs w:val="16"/>
                <w:lang w:val="es-ES_tradnl" w:bidi="th-TH"/>
              </w:rPr>
              <w:t>Programa  13</w:t>
            </w:r>
          </w:p>
        </w:tc>
      </w:tr>
      <w:tr w:rsidR="00A80F8D" w:rsidRPr="00C75C7E" w:rsidTr="008F4F69">
        <w:trPr>
          <w:cantSplit/>
          <w:trHeight w:val="483"/>
        </w:trPr>
        <w:tc>
          <w:tcPr>
            <w:tcW w:w="1891" w:type="pct"/>
            <w:shd w:val="clear" w:color="auto" w:fill="auto"/>
            <w:tcMar>
              <w:top w:w="113" w:type="dxa"/>
              <w:bottom w:w="85" w:type="dxa"/>
            </w:tcMar>
          </w:tcPr>
          <w:p w:rsidR="00A80F8D" w:rsidRPr="00C75C7E" w:rsidRDefault="00A80F8D" w:rsidP="008F4F69">
            <w:pPr>
              <w:widowControl w:val="0"/>
              <w:rPr>
                <w:sz w:val="16"/>
                <w:szCs w:val="16"/>
                <w:lang w:val="es-ES_tradnl"/>
              </w:rPr>
            </w:pPr>
          </w:p>
        </w:tc>
        <w:tc>
          <w:tcPr>
            <w:tcW w:w="1464" w:type="pct"/>
            <w:shd w:val="clear" w:color="auto" w:fill="auto"/>
            <w:tcMar>
              <w:top w:w="113" w:type="dxa"/>
              <w:bottom w:w="85" w:type="dxa"/>
            </w:tcMar>
          </w:tcPr>
          <w:p w:rsidR="00A80F8D" w:rsidRPr="00C75C7E" w:rsidRDefault="00A80F8D" w:rsidP="008F4F69">
            <w:pPr>
              <w:widowControl w:val="0"/>
              <w:rPr>
                <w:sz w:val="16"/>
                <w:szCs w:val="16"/>
                <w:lang w:val="es-ES_tradnl"/>
              </w:rPr>
            </w:pPr>
            <w:r w:rsidRPr="00C75C7E">
              <w:rPr>
                <w:sz w:val="16"/>
                <w:szCs w:val="16"/>
                <w:lang w:val="es-ES_tradnl"/>
              </w:rPr>
              <w:t>Número de registros que figuran en la Base Mundial de Datos sobre Marcas.</w:t>
            </w:r>
          </w:p>
        </w:tc>
        <w:tc>
          <w:tcPr>
            <w:tcW w:w="1645" w:type="pct"/>
            <w:shd w:val="clear" w:color="auto" w:fill="FFFFFF"/>
            <w:tcMar>
              <w:top w:w="113" w:type="dxa"/>
              <w:bottom w:w="85" w:type="dxa"/>
            </w:tcMar>
          </w:tcPr>
          <w:p w:rsidR="00A80F8D" w:rsidRPr="00C75C7E" w:rsidRDefault="00A80F8D" w:rsidP="008F4F69">
            <w:pPr>
              <w:widowControl w:val="0"/>
              <w:ind w:left="660"/>
              <w:rPr>
                <w:sz w:val="16"/>
                <w:szCs w:val="16"/>
                <w:lang w:val="es-ES_tradnl" w:bidi="th-TH"/>
              </w:rPr>
            </w:pPr>
            <w:r w:rsidRPr="00C75C7E">
              <w:rPr>
                <w:sz w:val="16"/>
                <w:szCs w:val="16"/>
                <w:lang w:val="es-ES_tradnl" w:bidi="th-TH"/>
              </w:rPr>
              <w:t>Programa  13</w:t>
            </w:r>
          </w:p>
        </w:tc>
      </w:tr>
      <w:tr w:rsidR="00A80F8D" w:rsidRPr="00C75C7E" w:rsidTr="008F4F69">
        <w:trPr>
          <w:cantSplit/>
          <w:trHeight w:val="471"/>
        </w:trPr>
        <w:tc>
          <w:tcPr>
            <w:tcW w:w="1891" w:type="pct"/>
            <w:shd w:val="clear" w:color="auto" w:fill="auto"/>
            <w:tcMar>
              <w:top w:w="113" w:type="dxa"/>
              <w:bottom w:w="85" w:type="dxa"/>
            </w:tcMar>
          </w:tcPr>
          <w:p w:rsidR="00A80F8D" w:rsidRPr="00C75C7E" w:rsidRDefault="00A80F8D" w:rsidP="008F4F69">
            <w:pPr>
              <w:widowControl w:val="0"/>
              <w:rPr>
                <w:sz w:val="16"/>
                <w:szCs w:val="16"/>
                <w:lang w:val="es-ES_tradnl"/>
              </w:rPr>
            </w:pPr>
          </w:p>
        </w:tc>
        <w:tc>
          <w:tcPr>
            <w:tcW w:w="1464" w:type="pct"/>
            <w:shd w:val="clear" w:color="auto" w:fill="auto"/>
            <w:tcMar>
              <w:top w:w="113" w:type="dxa"/>
              <w:bottom w:w="85" w:type="dxa"/>
            </w:tcMar>
          </w:tcPr>
          <w:p w:rsidR="00A80F8D" w:rsidRPr="00C75C7E" w:rsidRDefault="00A80F8D" w:rsidP="008F4F69">
            <w:pPr>
              <w:widowControl w:val="0"/>
              <w:rPr>
                <w:sz w:val="16"/>
                <w:szCs w:val="16"/>
                <w:lang w:val="es-ES_tradnl"/>
              </w:rPr>
            </w:pPr>
            <w:r w:rsidRPr="00C75C7E">
              <w:rPr>
                <w:sz w:val="16"/>
                <w:szCs w:val="16"/>
                <w:lang w:val="es-ES_tradnl"/>
              </w:rPr>
              <w:t>Número de colecciones nacionales en PATENTSCOPE.</w:t>
            </w:r>
          </w:p>
        </w:tc>
        <w:tc>
          <w:tcPr>
            <w:tcW w:w="1645" w:type="pct"/>
            <w:shd w:val="clear" w:color="auto" w:fill="FFFFFF"/>
            <w:tcMar>
              <w:top w:w="113" w:type="dxa"/>
              <w:bottom w:w="85" w:type="dxa"/>
            </w:tcMar>
          </w:tcPr>
          <w:p w:rsidR="00A80F8D" w:rsidRPr="00C75C7E" w:rsidRDefault="00A80F8D" w:rsidP="008F4F69">
            <w:pPr>
              <w:widowControl w:val="0"/>
              <w:ind w:left="660"/>
              <w:rPr>
                <w:sz w:val="16"/>
                <w:szCs w:val="16"/>
                <w:lang w:val="es-ES_tradnl" w:bidi="th-TH"/>
              </w:rPr>
            </w:pPr>
            <w:r w:rsidRPr="00C75C7E">
              <w:rPr>
                <w:sz w:val="16"/>
                <w:szCs w:val="16"/>
                <w:lang w:val="es-ES_tradnl" w:bidi="th-TH"/>
              </w:rPr>
              <w:t>Programa  13</w:t>
            </w:r>
          </w:p>
        </w:tc>
      </w:tr>
      <w:tr w:rsidR="00A80F8D" w:rsidRPr="00C75C7E" w:rsidTr="008F4F69">
        <w:trPr>
          <w:cantSplit/>
          <w:trHeight w:val="445"/>
        </w:trPr>
        <w:tc>
          <w:tcPr>
            <w:tcW w:w="1891" w:type="pct"/>
            <w:shd w:val="clear" w:color="auto" w:fill="auto"/>
            <w:tcMar>
              <w:top w:w="113" w:type="dxa"/>
              <w:bottom w:w="85" w:type="dxa"/>
            </w:tcMar>
          </w:tcPr>
          <w:p w:rsidR="00A80F8D" w:rsidRPr="00C75C7E" w:rsidRDefault="00A80F8D" w:rsidP="008F4F69">
            <w:pPr>
              <w:widowControl w:val="0"/>
              <w:rPr>
                <w:sz w:val="16"/>
                <w:szCs w:val="16"/>
                <w:lang w:val="es-ES_tradnl"/>
              </w:rPr>
            </w:pPr>
          </w:p>
        </w:tc>
        <w:tc>
          <w:tcPr>
            <w:tcW w:w="1464" w:type="pct"/>
            <w:shd w:val="clear" w:color="auto" w:fill="auto"/>
            <w:tcMar>
              <w:top w:w="113" w:type="dxa"/>
              <w:bottom w:w="85" w:type="dxa"/>
            </w:tcMar>
          </w:tcPr>
          <w:p w:rsidR="00A80F8D" w:rsidRPr="00C75C7E" w:rsidRDefault="00A80F8D" w:rsidP="008F4F69">
            <w:pPr>
              <w:widowControl w:val="0"/>
              <w:rPr>
                <w:sz w:val="16"/>
                <w:szCs w:val="16"/>
                <w:lang w:val="es-ES_tradnl"/>
              </w:rPr>
            </w:pPr>
            <w:r w:rsidRPr="00C75C7E">
              <w:rPr>
                <w:sz w:val="16"/>
                <w:szCs w:val="16"/>
                <w:lang w:val="es-ES_tradnl"/>
              </w:rPr>
              <w:t>Número de colecciones nacionales en la Base Mundial de Datos sobre Marcas.</w:t>
            </w:r>
          </w:p>
        </w:tc>
        <w:tc>
          <w:tcPr>
            <w:tcW w:w="1645" w:type="pct"/>
            <w:shd w:val="clear" w:color="auto" w:fill="FFFFFF"/>
            <w:tcMar>
              <w:top w:w="113" w:type="dxa"/>
              <w:bottom w:w="85" w:type="dxa"/>
            </w:tcMar>
          </w:tcPr>
          <w:p w:rsidR="00A80F8D" w:rsidRPr="00C75C7E" w:rsidRDefault="00A80F8D" w:rsidP="008F4F69">
            <w:pPr>
              <w:widowControl w:val="0"/>
              <w:ind w:left="660"/>
              <w:rPr>
                <w:sz w:val="16"/>
                <w:szCs w:val="16"/>
                <w:lang w:val="es-ES_tradnl" w:bidi="th-TH"/>
              </w:rPr>
            </w:pPr>
            <w:r w:rsidRPr="00C75C7E">
              <w:rPr>
                <w:sz w:val="16"/>
                <w:szCs w:val="16"/>
                <w:lang w:val="es-ES_tradnl" w:bidi="th-TH"/>
              </w:rPr>
              <w:t>Programa  13</w:t>
            </w:r>
          </w:p>
        </w:tc>
      </w:tr>
      <w:tr w:rsidR="00A80F8D" w:rsidRPr="00C75C7E" w:rsidTr="008F4F69">
        <w:trPr>
          <w:cantSplit/>
          <w:trHeight w:val="985"/>
        </w:trPr>
        <w:tc>
          <w:tcPr>
            <w:tcW w:w="1891" w:type="pct"/>
            <w:shd w:val="clear" w:color="auto" w:fill="auto"/>
            <w:tcMar>
              <w:top w:w="113" w:type="dxa"/>
              <w:bottom w:w="85" w:type="dxa"/>
            </w:tcMar>
          </w:tcPr>
          <w:p w:rsidR="00A80F8D" w:rsidRPr="00C75C7E" w:rsidRDefault="00A80F8D" w:rsidP="008F4F69">
            <w:pPr>
              <w:widowControl w:val="0"/>
              <w:rPr>
                <w:sz w:val="16"/>
                <w:szCs w:val="16"/>
                <w:lang w:val="es-ES_tradnl"/>
              </w:rPr>
            </w:pPr>
            <w:r w:rsidRPr="00C75C7E">
              <w:rPr>
                <w:sz w:val="16"/>
                <w:szCs w:val="16"/>
                <w:lang w:val="es-ES_tradnl"/>
              </w:rPr>
              <w:t xml:space="preserve">IV.4. Mejora en la infraestructura técnica y de conocimientos de las oficinas y demás instituciones de P.I. </w:t>
            </w:r>
            <w:r w:rsidR="00177006">
              <w:rPr>
                <w:sz w:val="16"/>
                <w:szCs w:val="16"/>
                <w:lang w:val="es-ES_tradnl"/>
              </w:rPr>
              <w:t>que les permita prestar mejores servicios</w:t>
            </w:r>
            <w:r w:rsidRPr="00C75C7E">
              <w:rPr>
                <w:sz w:val="16"/>
                <w:szCs w:val="16"/>
                <w:lang w:val="es-ES_tradnl"/>
              </w:rPr>
              <w:t xml:space="preserve"> (más económicos, más rápidos y de mejor calidad) a sus partes interesadas.</w:t>
            </w:r>
          </w:p>
        </w:tc>
        <w:tc>
          <w:tcPr>
            <w:tcW w:w="1464" w:type="pct"/>
            <w:shd w:val="clear" w:color="auto" w:fill="auto"/>
            <w:tcMar>
              <w:top w:w="113" w:type="dxa"/>
              <w:bottom w:w="85" w:type="dxa"/>
            </w:tcMar>
          </w:tcPr>
          <w:p w:rsidR="00A80F8D" w:rsidRPr="00C75C7E" w:rsidRDefault="00A80F8D" w:rsidP="008F4F69">
            <w:pPr>
              <w:widowControl w:val="0"/>
              <w:rPr>
                <w:sz w:val="16"/>
                <w:szCs w:val="16"/>
                <w:lang w:val="es-ES_tradnl"/>
              </w:rPr>
            </w:pPr>
            <w:r w:rsidRPr="00C75C7E">
              <w:rPr>
                <w:sz w:val="16"/>
                <w:szCs w:val="16"/>
                <w:lang w:val="es-ES_tradnl"/>
              </w:rPr>
              <w:t>Número de gobiernos y OGC que firman acuerdos con la OMPI para reestructurar WIPOCOS.</w:t>
            </w:r>
          </w:p>
        </w:tc>
        <w:tc>
          <w:tcPr>
            <w:tcW w:w="1645" w:type="pct"/>
            <w:shd w:val="clear" w:color="auto" w:fill="FFFFFF"/>
            <w:tcMar>
              <w:top w:w="113" w:type="dxa"/>
              <w:bottom w:w="85" w:type="dxa"/>
            </w:tcMar>
          </w:tcPr>
          <w:p w:rsidR="00A80F8D" w:rsidRPr="00C75C7E" w:rsidRDefault="00A80F8D" w:rsidP="008F4F69">
            <w:pPr>
              <w:widowControl w:val="0"/>
              <w:ind w:left="660"/>
              <w:rPr>
                <w:sz w:val="16"/>
                <w:szCs w:val="16"/>
                <w:lang w:val="es-ES_tradnl" w:bidi="th-TH"/>
              </w:rPr>
            </w:pPr>
            <w:r w:rsidRPr="00C75C7E">
              <w:rPr>
                <w:sz w:val="16"/>
                <w:szCs w:val="16"/>
                <w:lang w:val="es-ES_tradnl" w:bidi="th-TH"/>
              </w:rPr>
              <w:t>Programa  3</w:t>
            </w:r>
          </w:p>
        </w:tc>
      </w:tr>
      <w:tr w:rsidR="00A80F8D" w:rsidRPr="00C75C7E" w:rsidTr="008F4F69">
        <w:trPr>
          <w:cantSplit/>
          <w:trHeight w:val="985"/>
        </w:trPr>
        <w:tc>
          <w:tcPr>
            <w:tcW w:w="1891" w:type="pct"/>
            <w:shd w:val="clear" w:color="auto" w:fill="auto"/>
            <w:tcMar>
              <w:top w:w="113" w:type="dxa"/>
              <w:bottom w:w="85" w:type="dxa"/>
            </w:tcMar>
          </w:tcPr>
          <w:p w:rsidR="00A80F8D" w:rsidRPr="00C75C7E" w:rsidRDefault="00A80F8D" w:rsidP="008F4F69">
            <w:pPr>
              <w:widowControl w:val="0"/>
              <w:rPr>
                <w:sz w:val="16"/>
                <w:szCs w:val="16"/>
                <w:lang w:val="es-ES_tradnl"/>
              </w:rPr>
            </w:pPr>
          </w:p>
        </w:tc>
        <w:tc>
          <w:tcPr>
            <w:tcW w:w="1464" w:type="pct"/>
            <w:shd w:val="clear" w:color="auto" w:fill="auto"/>
            <w:tcMar>
              <w:top w:w="113" w:type="dxa"/>
              <w:bottom w:w="85" w:type="dxa"/>
            </w:tcMar>
          </w:tcPr>
          <w:p w:rsidR="00A80F8D" w:rsidRPr="00C75C7E" w:rsidRDefault="00A80F8D" w:rsidP="008F4F69">
            <w:pPr>
              <w:widowControl w:val="0"/>
              <w:ind w:right="-151"/>
              <w:rPr>
                <w:sz w:val="16"/>
                <w:szCs w:val="16"/>
                <w:lang w:val="es-ES_tradnl"/>
              </w:rPr>
            </w:pPr>
            <w:r w:rsidRPr="00C75C7E">
              <w:rPr>
                <w:sz w:val="16"/>
                <w:szCs w:val="16"/>
                <w:lang w:val="es-ES_tradnl"/>
              </w:rPr>
              <w:t>Porcentaje de gobiernos que informan favorablemente acerca de la eficacia y la gobernanza de las oficinas de derecho de autor y otras instituciones en el país.</w:t>
            </w:r>
          </w:p>
        </w:tc>
        <w:tc>
          <w:tcPr>
            <w:tcW w:w="1645" w:type="pct"/>
            <w:shd w:val="clear" w:color="auto" w:fill="FFFFFF"/>
            <w:tcMar>
              <w:top w:w="113" w:type="dxa"/>
              <w:bottom w:w="85" w:type="dxa"/>
            </w:tcMar>
          </w:tcPr>
          <w:p w:rsidR="00A80F8D" w:rsidRPr="00C75C7E" w:rsidRDefault="00A80F8D" w:rsidP="008F4F69">
            <w:pPr>
              <w:widowControl w:val="0"/>
              <w:ind w:left="660"/>
              <w:rPr>
                <w:sz w:val="16"/>
                <w:szCs w:val="16"/>
                <w:lang w:val="es-ES_tradnl" w:bidi="th-TH"/>
              </w:rPr>
            </w:pPr>
            <w:r w:rsidRPr="00C75C7E">
              <w:rPr>
                <w:sz w:val="16"/>
                <w:szCs w:val="16"/>
                <w:lang w:val="es-ES_tradnl" w:bidi="th-TH"/>
              </w:rPr>
              <w:t>Programa  3</w:t>
            </w:r>
          </w:p>
        </w:tc>
      </w:tr>
      <w:tr w:rsidR="00A80F8D" w:rsidRPr="00C75C7E" w:rsidTr="008F4F69">
        <w:trPr>
          <w:cantSplit/>
          <w:trHeight w:val="818"/>
        </w:trPr>
        <w:tc>
          <w:tcPr>
            <w:tcW w:w="1891" w:type="pct"/>
            <w:shd w:val="clear" w:color="auto" w:fill="auto"/>
            <w:tcMar>
              <w:top w:w="113" w:type="dxa"/>
              <w:bottom w:w="85" w:type="dxa"/>
            </w:tcMar>
          </w:tcPr>
          <w:p w:rsidR="00A80F8D" w:rsidRPr="00C75C7E" w:rsidRDefault="00A80F8D" w:rsidP="008F4F69">
            <w:pPr>
              <w:widowControl w:val="0"/>
              <w:rPr>
                <w:sz w:val="16"/>
                <w:szCs w:val="16"/>
                <w:lang w:val="es-ES_tradnl"/>
              </w:rPr>
            </w:pPr>
          </w:p>
        </w:tc>
        <w:tc>
          <w:tcPr>
            <w:tcW w:w="1464" w:type="pct"/>
            <w:shd w:val="clear" w:color="auto" w:fill="auto"/>
            <w:tcMar>
              <w:top w:w="113" w:type="dxa"/>
              <w:bottom w:w="85" w:type="dxa"/>
            </w:tcMar>
          </w:tcPr>
          <w:p w:rsidR="00A80F8D" w:rsidRPr="00C75C7E" w:rsidRDefault="00A80F8D" w:rsidP="008F4F69">
            <w:pPr>
              <w:widowControl w:val="0"/>
              <w:rPr>
                <w:sz w:val="16"/>
                <w:szCs w:val="16"/>
                <w:lang w:val="es-ES_tradnl"/>
              </w:rPr>
            </w:pPr>
            <w:r w:rsidRPr="00C75C7E">
              <w:rPr>
                <w:sz w:val="16"/>
                <w:szCs w:val="16"/>
                <w:lang w:val="es-ES_tradnl"/>
              </w:rPr>
              <w:t>Número de OGC de países en desarrollo y PMA que participan en las redes regionales y mundiales facilitadas por la OMPI.</w:t>
            </w:r>
          </w:p>
        </w:tc>
        <w:tc>
          <w:tcPr>
            <w:tcW w:w="1645" w:type="pct"/>
            <w:shd w:val="clear" w:color="auto" w:fill="FFFFFF"/>
            <w:tcMar>
              <w:top w:w="113" w:type="dxa"/>
              <w:bottom w:w="85" w:type="dxa"/>
            </w:tcMar>
          </w:tcPr>
          <w:p w:rsidR="00A80F8D" w:rsidRPr="00C75C7E" w:rsidRDefault="00A80F8D" w:rsidP="008F4F69">
            <w:pPr>
              <w:widowControl w:val="0"/>
              <w:ind w:left="660"/>
              <w:rPr>
                <w:sz w:val="16"/>
                <w:szCs w:val="16"/>
                <w:lang w:val="es-ES_tradnl" w:bidi="th-TH"/>
              </w:rPr>
            </w:pPr>
            <w:r w:rsidRPr="00C75C7E">
              <w:rPr>
                <w:sz w:val="16"/>
                <w:szCs w:val="16"/>
                <w:lang w:val="es-ES_tradnl" w:bidi="th-TH"/>
              </w:rPr>
              <w:t>Programa  3</w:t>
            </w:r>
          </w:p>
          <w:p w:rsidR="00A80F8D" w:rsidRPr="00C75C7E" w:rsidRDefault="00A80F8D" w:rsidP="008F4F69">
            <w:pPr>
              <w:widowControl w:val="0"/>
              <w:ind w:left="660"/>
              <w:rPr>
                <w:sz w:val="16"/>
                <w:szCs w:val="16"/>
                <w:lang w:val="es-ES_tradnl" w:bidi="th-TH"/>
              </w:rPr>
            </w:pPr>
            <w:r w:rsidRPr="00C75C7E">
              <w:rPr>
                <w:sz w:val="16"/>
                <w:szCs w:val="16"/>
                <w:lang w:val="es-ES_tradnl" w:bidi="th-TH"/>
              </w:rPr>
              <w:t>Programa  15</w:t>
            </w:r>
          </w:p>
          <w:p w:rsidR="00A80F8D" w:rsidRPr="00C75C7E" w:rsidRDefault="00A80F8D" w:rsidP="008F4F69">
            <w:pPr>
              <w:widowControl w:val="0"/>
              <w:ind w:left="660"/>
              <w:rPr>
                <w:sz w:val="16"/>
                <w:szCs w:val="16"/>
                <w:lang w:val="es-ES_tradnl" w:bidi="th-TH"/>
              </w:rPr>
            </w:pPr>
          </w:p>
        </w:tc>
      </w:tr>
      <w:tr w:rsidR="00A80F8D" w:rsidRPr="00C75C7E" w:rsidTr="008F4F69">
        <w:trPr>
          <w:cantSplit/>
          <w:trHeight w:val="404"/>
        </w:trPr>
        <w:tc>
          <w:tcPr>
            <w:tcW w:w="1891" w:type="pct"/>
            <w:shd w:val="clear" w:color="auto" w:fill="auto"/>
            <w:tcMar>
              <w:top w:w="113" w:type="dxa"/>
              <w:bottom w:w="85" w:type="dxa"/>
            </w:tcMar>
          </w:tcPr>
          <w:p w:rsidR="00A80F8D" w:rsidRPr="00C75C7E" w:rsidRDefault="00A80F8D" w:rsidP="008F4F69">
            <w:pPr>
              <w:widowControl w:val="0"/>
              <w:rPr>
                <w:sz w:val="16"/>
                <w:szCs w:val="16"/>
                <w:lang w:val="es-ES_tradnl"/>
              </w:rPr>
            </w:pPr>
          </w:p>
        </w:tc>
        <w:tc>
          <w:tcPr>
            <w:tcW w:w="1464" w:type="pct"/>
            <w:shd w:val="clear" w:color="auto" w:fill="auto"/>
            <w:tcMar>
              <w:top w:w="113" w:type="dxa"/>
              <w:bottom w:w="85" w:type="dxa"/>
            </w:tcMar>
          </w:tcPr>
          <w:p w:rsidR="00A80F8D" w:rsidRPr="00C75C7E" w:rsidRDefault="00A80F8D" w:rsidP="008F4F69">
            <w:pPr>
              <w:widowControl w:val="0"/>
              <w:rPr>
                <w:sz w:val="16"/>
                <w:szCs w:val="16"/>
                <w:lang w:val="es-ES_tradnl"/>
              </w:rPr>
            </w:pPr>
            <w:r w:rsidRPr="00C75C7E">
              <w:rPr>
                <w:sz w:val="16"/>
                <w:szCs w:val="16"/>
                <w:lang w:val="es-ES_tradnl"/>
              </w:rPr>
              <w:t>Número de oficinas que utilizan las plataformas de infraestructura de la OMPI.</w:t>
            </w:r>
          </w:p>
        </w:tc>
        <w:tc>
          <w:tcPr>
            <w:tcW w:w="1645" w:type="pct"/>
            <w:shd w:val="clear" w:color="auto" w:fill="FFFFFF"/>
            <w:tcMar>
              <w:top w:w="113" w:type="dxa"/>
              <w:bottom w:w="85" w:type="dxa"/>
            </w:tcMar>
          </w:tcPr>
          <w:p w:rsidR="00A80F8D" w:rsidRPr="00C75C7E" w:rsidRDefault="00A80F8D" w:rsidP="008F4F69">
            <w:pPr>
              <w:widowControl w:val="0"/>
              <w:ind w:left="660"/>
              <w:rPr>
                <w:sz w:val="16"/>
                <w:szCs w:val="16"/>
                <w:lang w:val="es-ES_tradnl" w:bidi="th-TH"/>
              </w:rPr>
            </w:pPr>
            <w:r w:rsidRPr="00C75C7E">
              <w:rPr>
                <w:sz w:val="16"/>
                <w:szCs w:val="16"/>
                <w:lang w:val="es-ES_tradnl" w:bidi="th-TH"/>
              </w:rPr>
              <w:t>Programa  15</w:t>
            </w:r>
          </w:p>
        </w:tc>
      </w:tr>
      <w:tr w:rsidR="00A80F8D" w:rsidRPr="00C75C7E" w:rsidTr="008F4F69">
        <w:trPr>
          <w:cantSplit/>
          <w:trHeight w:val="527"/>
        </w:trPr>
        <w:tc>
          <w:tcPr>
            <w:tcW w:w="1891" w:type="pct"/>
            <w:shd w:val="clear" w:color="auto" w:fill="auto"/>
            <w:tcMar>
              <w:top w:w="113" w:type="dxa"/>
              <w:bottom w:w="85" w:type="dxa"/>
            </w:tcMar>
          </w:tcPr>
          <w:p w:rsidR="00A80F8D" w:rsidRPr="00C75C7E" w:rsidRDefault="00A80F8D" w:rsidP="008F4F69">
            <w:pPr>
              <w:widowControl w:val="0"/>
              <w:rPr>
                <w:sz w:val="16"/>
                <w:szCs w:val="16"/>
                <w:lang w:val="es-ES_tradnl"/>
              </w:rPr>
            </w:pPr>
          </w:p>
        </w:tc>
        <w:tc>
          <w:tcPr>
            <w:tcW w:w="1464" w:type="pct"/>
            <w:shd w:val="clear" w:color="auto" w:fill="auto"/>
            <w:tcMar>
              <w:top w:w="113" w:type="dxa"/>
              <w:bottom w:w="85" w:type="dxa"/>
            </w:tcMar>
          </w:tcPr>
          <w:p w:rsidR="00A80F8D" w:rsidRPr="00C75C7E" w:rsidRDefault="00A80F8D" w:rsidP="008F4F69">
            <w:pPr>
              <w:widowControl w:val="0"/>
              <w:rPr>
                <w:sz w:val="16"/>
                <w:szCs w:val="16"/>
                <w:lang w:val="es-ES_tradnl"/>
              </w:rPr>
            </w:pPr>
            <w:r w:rsidRPr="00C75C7E">
              <w:rPr>
                <w:sz w:val="16"/>
                <w:szCs w:val="16"/>
                <w:lang w:val="es-ES_tradnl"/>
              </w:rPr>
              <w:t>Media del nivel de los servicios prestados por las Oficinas de P.I. que reciben asistencia (en una escala del 1 al 5).</w:t>
            </w:r>
          </w:p>
        </w:tc>
        <w:tc>
          <w:tcPr>
            <w:tcW w:w="1645" w:type="pct"/>
            <w:shd w:val="clear" w:color="auto" w:fill="FFFFFF"/>
            <w:tcMar>
              <w:top w:w="113" w:type="dxa"/>
              <w:bottom w:w="85" w:type="dxa"/>
            </w:tcMar>
          </w:tcPr>
          <w:p w:rsidR="00A80F8D" w:rsidRPr="00C75C7E" w:rsidRDefault="00A80F8D" w:rsidP="008F4F69">
            <w:pPr>
              <w:widowControl w:val="0"/>
              <w:ind w:left="660"/>
              <w:rPr>
                <w:sz w:val="16"/>
                <w:szCs w:val="16"/>
                <w:lang w:val="es-ES_tradnl" w:bidi="th-TH"/>
              </w:rPr>
            </w:pPr>
            <w:r w:rsidRPr="00C75C7E">
              <w:rPr>
                <w:sz w:val="16"/>
                <w:szCs w:val="16"/>
                <w:lang w:val="es-ES_tradnl" w:bidi="th-TH"/>
              </w:rPr>
              <w:t>Programa  9</w:t>
            </w:r>
          </w:p>
          <w:p w:rsidR="00A80F8D" w:rsidRPr="00C75C7E" w:rsidRDefault="00A80F8D" w:rsidP="008F4F69">
            <w:pPr>
              <w:widowControl w:val="0"/>
              <w:ind w:left="660"/>
              <w:rPr>
                <w:sz w:val="16"/>
                <w:szCs w:val="16"/>
                <w:lang w:val="es-ES_tradnl" w:bidi="th-TH"/>
              </w:rPr>
            </w:pPr>
            <w:r w:rsidRPr="00C75C7E">
              <w:rPr>
                <w:sz w:val="16"/>
                <w:szCs w:val="16"/>
                <w:lang w:val="es-ES_tradnl" w:bidi="th-TH"/>
              </w:rPr>
              <w:t>Programa  10</w:t>
            </w:r>
          </w:p>
          <w:p w:rsidR="00A80F8D" w:rsidRPr="00C75C7E" w:rsidRDefault="00A80F8D" w:rsidP="008F4F69">
            <w:pPr>
              <w:widowControl w:val="0"/>
              <w:ind w:left="660"/>
              <w:rPr>
                <w:sz w:val="16"/>
                <w:szCs w:val="16"/>
                <w:lang w:val="es-ES_tradnl" w:bidi="th-TH"/>
              </w:rPr>
            </w:pPr>
            <w:r w:rsidRPr="00C75C7E">
              <w:rPr>
                <w:sz w:val="16"/>
                <w:szCs w:val="16"/>
                <w:lang w:val="es-ES_tradnl" w:bidi="th-TH"/>
              </w:rPr>
              <w:t>Programa  15</w:t>
            </w:r>
          </w:p>
        </w:tc>
      </w:tr>
    </w:tbl>
    <w:p w:rsidR="00A80F8D" w:rsidRPr="00C75C7E" w:rsidRDefault="00A80F8D" w:rsidP="00A80F8D">
      <w:pPr>
        <w:widowControl w:val="0"/>
        <w:rPr>
          <w:sz w:val="20"/>
          <w:lang w:val="es-ES_tradnl"/>
        </w:rPr>
      </w:pPr>
    </w:p>
    <w:p w:rsidR="002E7DC3" w:rsidRPr="00400B23" w:rsidRDefault="00A80F8D" w:rsidP="00400B23">
      <w:pPr>
        <w:pStyle w:val="Heading3"/>
        <w:tabs>
          <w:tab w:val="left" w:pos="1985"/>
        </w:tabs>
        <w:ind w:left="1985" w:hanging="1985"/>
        <w:rPr>
          <w:b/>
          <w:iCs/>
          <w:caps/>
          <w:u w:val="none"/>
        </w:rPr>
      </w:pPr>
      <w:r w:rsidRPr="00C75C7E">
        <w:rPr>
          <w:sz w:val="24"/>
          <w:lang w:val="es-ES_tradnl"/>
        </w:rPr>
        <w:br w:type="page"/>
      </w:r>
      <w:bookmarkStart w:id="48" w:name="_Toc358816700"/>
      <w:bookmarkStart w:id="49" w:name="_Toc356567762"/>
      <w:r w:rsidR="006A15F5" w:rsidRPr="00400B23">
        <w:rPr>
          <w:b/>
          <w:iCs/>
          <w:u w:val="none"/>
        </w:rPr>
        <w:lastRenderedPageBreak/>
        <w:t>PROGRAMA 12</w:t>
      </w:r>
      <w:r w:rsidR="006A15F5" w:rsidRPr="00400B23">
        <w:rPr>
          <w:b/>
          <w:iCs/>
          <w:u w:val="none"/>
        </w:rPr>
        <w:tab/>
        <w:t>CLASIFICACIONES INTERNACIONALES Y NORMAS TÉCNICAS</w:t>
      </w:r>
      <w:bookmarkEnd w:id="48"/>
    </w:p>
    <w:bookmarkEnd w:id="49"/>
    <w:p w:rsidR="002E7DC3" w:rsidRPr="00F039C2" w:rsidRDefault="002E7DC3" w:rsidP="006A15F5"/>
    <w:p w:rsidR="002E7DC3" w:rsidRPr="00F039C2" w:rsidRDefault="002E7DC3" w:rsidP="006A15F5">
      <w:pPr>
        <w:rPr>
          <w:b/>
        </w:rPr>
      </w:pPr>
    </w:p>
    <w:p w:rsidR="002E7DC3" w:rsidRPr="00F039C2" w:rsidRDefault="002E7DC3" w:rsidP="002E7DC3">
      <w:pPr>
        <w:pStyle w:val="BodyTextIndent"/>
        <w:widowControl w:val="0"/>
        <w:ind w:left="1985" w:hanging="1985"/>
        <w:jc w:val="both"/>
        <w:rPr>
          <w:rFonts w:ascii="Arial" w:hAnsi="Arial" w:cs="Arial"/>
          <w:sz w:val="22"/>
          <w:szCs w:val="22"/>
          <w:lang w:val="es-ES"/>
        </w:rPr>
      </w:pPr>
      <w:r w:rsidRPr="00F039C2">
        <w:rPr>
          <w:rFonts w:ascii="Arial" w:hAnsi="Arial" w:cs="Arial"/>
          <w:sz w:val="22"/>
          <w:szCs w:val="22"/>
          <w:lang w:val="es-ES"/>
        </w:rPr>
        <w:t xml:space="preserve">CONTEXTO DE PLANIFICACIÓN </w:t>
      </w:r>
    </w:p>
    <w:p w:rsidR="002E7DC3" w:rsidRPr="00F039C2" w:rsidRDefault="002E7DC3" w:rsidP="002E7DC3">
      <w:pPr>
        <w:widowControl w:val="0"/>
        <w:rPr>
          <w:sz w:val="20"/>
        </w:rPr>
      </w:pPr>
    </w:p>
    <w:p w:rsidR="002E7DC3" w:rsidRPr="00BC4FF4" w:rsidRDefault="002E7DC3" w:rsidP="00BA276E">
      <w:pPr>
        <w:pStyle w:val="Body1"/>
        <w:widowControl w:val="0"/>
        <w:numPr>
          <w:ilvl w:val="0"/>
          <w:numId w:val="34"/>
        </w:numPr>
        <w:jc w:val="both"/>
        <w:rPr>
          <w:rFonts w:ascii="Arial" w:hAnsi="Arial" w:cs="Arial"/>
          <w:color w:val="auto"/>
          <w:sz w:val="20"/>
          <w:szCs w:val="16"/>
          <w:lang w:val="es-ES"/>
        </w:rPr>
      </w:pPr>
      <w:r w:rsidRPr="00F039C2">
        <w:rPr>
          <w:rFonts w:ascii="Arial" w:hAnsi="Arial" w:cs="Arial"/>
          <w:sz w:val="20"/>
          <w:szCs w:val="16"/>
          <w:lang w:val="es-ES"/>
        </w:rPr>
        <w:t xml:space="preserve">La infraestructura mundial de sistemas de P.I. precisa cada vez más de plataformas y bases de datos interconectadas y compatibles entre sí.  Las clasificaciones internacionales y las normas técnicas constituyen herramientas e instrumentos esenciales que permiten conectar distintas oficinas de P.I. que </w:t>
      </w:r>
      <w:r>
        <w:rPr>
          <w:rFonts w:ascii="Arial" w:hAnsi="Arial" w:cs="Arial"/>
          <w:sz w:val="20"/>
          <w:szCs w:val="16"/>
          <w:lang w:val="es-ES"/>
        </w:rPr>
        <w:t xml:space="preserve">utilizan </w:t>
      </w:r>
      <w:r w:rsidRPr="00F039C2">
        <w:rPr>
          <w:rFonts w:ascii="Arial" w:hAnsi="Arial" w:cs="Arial"/>
          <w:sz w:val="20"/>
          <w:szCs w:val="16"/>
          <w:lang w:val="es-ES"/>
        </w:rPr>
        <w:t xml:space="preserve">distintos sistemas e idiomas y hacen posible el flujo de datos compartiendo plataformas y bases de datos comunes. </w:t>
      </w:r>
      <w:r>
        <w:rPr>
          <w:rFonts w:ascii="Arial" w:hAnsi="Arial" w:cs="Arial"/>
          <w:sz w:val="20"/>
          <w:szCs w:val="16"/>
          <w:lang w:val="es-ES"/>
        </w:rPr>
        <w:t xml:space="preserve"> </w:t>
      </w:r>
      <w:r w:rsidRPr="00BC4FF4">
        <w:rPr>
          <w:rFonts w:ascii="Arial" w:hAnsi="Arial" w:cs="Arial"/>
          <w:color w:val="auto"/>
          <w:sz w:val="20"/>
          <w:szCs w:val="16"/>
          <w:lang w:val="es-ES"/>
        </w:rPr>
        <w:t>Dados los constantes cambios que se producen en las tecnologías, las soluciones operativas y los acuerdos de colaboración entre las oficinas de P.I., también es necesario que las clasificaciones internacionales y las normas técnicas se act</w:t>
      </w:r>
      <w:r w:rsidR="00425E19">
        <w:rPr>
          <w:rFonts w:ascii="Arial" w:hAnsi="Arial" w:cs="Arial"/>
          <w:color w:val="auto"/>
          <w:sz w:val="20"/>
          <w:szCs w:val="16"/>
          <w:lang w:val="es-ES"/>
        </w:rPr>
        <w:t>ualicen y se revisen de manera continua</w:t>
      </w:r>
      <w:r w:rsidRPr="00BC4FF4">
        <w:rPr>
          <w:rFonts w:ascii="Arial" w:hAnsi="Arial" w:cs="Arial"/>
          <w:color w:val="auto"/>
          <w:sz w:val="20"/>
          <w:szCs w:val="16"/>
          <w:lang w:val="es-ES"/>
        </w:rPr>
        <w:t xml:space="preserve">.  </w:t>
      </w:r>
    </w:p>
    <w:p w:rsidR="002E7DC3" w:rsidRPr="00F039C2" w:rsidRDefault="002E7DC3" w:rsidP="002E7DC3">
      <w:pPr>
        <w:pStyle w:val="Body1"/>
        <w:widowControl w:val="0"/>
        <w:jc w:val="both"/>
        <w:rPr>
          <w:rFonts w:ascii="Arial" w:hAnsi="Arial" w:cs="Arial"/>
          <w:sz w:val="20"/>
          <w:szCs w:val="16"/>
          <w:lang w:val="es-ES"/>
        </w:rPr>
      </w:pPr>
    </w:p>
    <w:p w:rsidR="002E7DC3" w:rsidRPr="00BC4FF4" w:rsidRDefault="002E7DC3" w:rsidP="00BA276E">
      <w:pPr>
        <w:pStyle w:val="Body1"/>
        <w:widowControl w:val="0"/>
        <w:numPr>
          <w:ilvl w:val="0"/>
          <w:numId w:val="34"/>
        </w:numPr>
        <w:jc w:val="both"/>
        <w:rPr>
          <w:rFonts w:ascii="Arial" w:hAnsi="Arial" w:cs="Arial"/>
          <w:color w:val="auto"/>
          <w:sz w:val="20"/>
          <w:lang w:val="es-ES"/>
        </w:rPr>
      </w:pPr>
      <w:r w:rsidRPr="00BC4FF4">
        <w:rPr>
          <w:rFonts w:ascii="Arial" w:hAnsi="Arial" w:cs="Arial"/>
          <w:color w:val="auto"/>
          <w:sz w:val="20"/>
          <w:szCs w:val="16"/>
          <w:lang w:val="es-ES"/>
        </w:rPr>
        <w:t xml:space="preserve">En ese contexto, la OMPI tiene como objetivo proporcionar a los Estados miembros el sistema más actualizado y aceptado mundialmente de clasificaciones internacionales y normas técnicas de la Organización para facilitar el acceso, el uso y la difusión de información sobre P.I. entre las distintas partes interesadas de todo el mundo. </w:t>
      </w:r>
      <w:r w:rsidR="005731F4">
        <w:rPr>
          <w:rFonts w:ascii="Arial" w:hAnsi="Arial" w:cs="Arial"/>
          <w:color w:val="auto"/>
          <w:sz w:val="20"/>
          <w:szCs w:val="16"/>
          <w:lang w:val="es-ES"/>
        </w:rPr>
        <w:t xml:space="preserve"> A este respecto, las actividades de este programa tienen una vinculación directa con las recomendaciones 30 y 31 de la Agenda para el Desarrollo.</w:t>
      </w:r>
    </w:p>
    <w:p w:rsidR="002E7DC3" w:rsidRPr="00F039C2" w:rsidRDefault="002E7DC3" w:rsidP="002E7DC3">
      <w:pPr>
        <w:pStyle w:val="Body1"/>
        <w:widowControl w:val="0"/>
        <w:jc w:val="both"/>
        <w:rPr>
          <w:rFonts w:ascii="Arial" w:hAnsi="Arial" w:cs="Arial"/>
          <w:sz w:val="20"/>
          <w:lang w:val="es-ES"/>
        </w:rPr>
      </w:pPr>
    </w:p>
    <w:p w:rsidR="002E7DC3" w:rsidRPr="00F039C2" w:rsidRDefault="002E7DC3" w:rsidP="002E7DC3">
      <w:pPr>
        <w:pStyle w:val="Body1"/>
        <w:widowControl w:val="0"/>
        <w:jc w:val="both"/>
        <w:rPr>
          <w:rFonts w:ascii="Arial" w:hAnsi="Arial" w:cs="Arial"/>
          <w:sz w:val="20"/>
          <w:lang w:val="es-ES"/>
        </w:rPr>
      </w:pPr>
    </w:p>
    <w:p w:rsidR="002E7DC3" w:rsidRPr="00F039C2" w:rsidRDefault="002E7DC3" w:rsidP="002E7DC3">
      <w:pPr>
        <w:pStyle w:val="Body1"/>
        <w:widowControl w:val="0"/>
        <w:jc w:val="both"/>
        <w:rPr>
          <w:rFonts w:ascii="Arial" w:hAnsi="Arial" w:cs="Arial"/>
          <w:sz w:val="20"/>
          <w:lang w:val="es-ES"/>
        </w:rPr>
      </w:pPr>
      <w:r w:rsidRPr="00F039C2">
        <w:rPr>
          <w:rFonts w:ascii="Arial" w:hAnsi="Arial" w:cs="Arial"/>
          <w:sz w:val="22"/>
          <w:szCs w:val="22"/>
          <w:lang w:val="es-ES"/>
        </w:rPr>
        <w:t xml:space="preserve">ESTRATEGIAS DE EJECUCIÓN </w:t>
      </w:r>
    </w:p>
    <w:p w:rsidR="002E7DC3" w:rsidRPr="00F039C2" w:rsidRDefault="002E7DC3" w:rsidP="002E7DC3">
      <w:pPr>
        <w:pStyle w:val="Body1"/>
        <w:widowControl w:val="0"/>
        <w:jc w:val="both"/>
        <w:rPr>
          <w:rFonts w:ascii="Arial" w:hAnsi="Arial" w:cs="Arial"/>
          <w:sz w:val="20"/>
          <w:lang w:val="es-ES"/>
        </w:rPr>
      </w:pPr>
    </w:p>
    <w:p w:rsidR="002E7DC3" w:rsidRPr="00BC4FF4" w:rsidRDefault="002E7DC3" w:rsidP="00BA276E">
      <w:pPr>
        <w:pStyle w:val="Body1"/>
        <w:widowControl w:val="0"/>
        <w:numPr>
          <w:ilvl w:val="0"/>
          <w:numId w:val="34"/>
        </w:numPr>
        <w:autoSpaceDE w:val="0"/>
        <w:autoSpaceDN w:val="0"/>
        <w:adjustRightInd w:val="0"/>
        <w:jc w:val="both"/>
        <w:rPr>
          <w:rFonts w:ascii="Arial" w:hAnsi="Arial" w:cs="Arial"/>
          <w:sz w:val="20"/>
          <w:lang w:val="es-ES" w:eastAsia="es-ES"/>
        </w:rPr>
      </w:pPr>
      <w:r w:rsidRPr="00BC4FF4">
        <w:rPr>
          <w:rFonts w:ascii="Arial" w:hAnsi="Arial" w:cs="Arial"/>
          <w:sz w:val="20"/>
          <w:lang w:val="es-ES" w:eastAsia="es-ES"/>
        </w:rPr>
        <w:t xml:space="preserve">En el bienio 2014/15 las estrategias se centrarán en seguir mejorando y desarrollando las clasificaciones internacionales y las normas técnicas de la OMPI haciendo un amplio uso de los foros electrónicos y de las reuniones de los Comités pertinentes. </w:t>
      </w:r>
      <w:r>
        <w:rPr>
          <w:rFonts w:ascii="Arial" w:hAnsi="Arial" w:cs="Arial"/>
          <w:sz w:val="20"/>
          <w:lang w:val="es-ES" w:eastAsia="es-ES"/>
        </w:rPr>
        <w:t xml:space="preserve"> </w:t>
      </w:r>
      <w:r w:rsidRPr="00BC4FF4">
        <w:rPr>
          <w:rFonts w:ascii="Arial" w:hAnsi="Arial" w:cs="Arial"/>
          <w:sz w:val="20"/>
          <w:lang w:val="es-ES" w:eastAsia="es-ES"/>
        </w:rPr>
        <w:t>Además, se proporcionará formación en función de la demanda para facilitar la utilización de las clasificaciones y las normas técnicas, especialmente en los países en desarrollo y los PMA.</w:t>
      </w:r>
    </w:p>
    <w:p w:rsidR="002E7DC3" w:rsidRPr="00F039C2" w:rsidRDefault="002E7DC3" w:rsidP="002E7DC3">
      <w:pPr>
        <w:autoSpaceDE w:val="0"/>
        <w:autoSpaceDN w:val="0"/>
        <w:adjustRightInd w:val="0"/>
        <w:rPr>
          <w:sz w:val="20"/>
          <w:lang w:eastAsia="es-ES"/>
        </w:rPr>
      </w:pPr>
    </w:p>
    <w:p w:rsidR="002E7DC3" w:rsidRPr="00F039C2" w:rsidRDefault="002E7DC3" w:rsidP="002E7DC3">
      <w:pPr>
        <w:pStyle w:val="Body1"/>
        <w:widowControl w:val="0"/>
        <w:jc w:val="both"/>
        <w:rPr>
          <w:rFonts w:ascii="Arial" w:hAnsi="Arial" w:cs="Arial"/>
          <w:color w:val="auto"/>
          <w:sz w:val="20"/>
          <w:u w:val="single"/>
          <w:lang w:val="es-ES"/>
        </w:rPr>
      </w:pPr>
      <w:r w:rsidRPr="00F039C2">
        <w:rPr>
          <w:rFonts w:ascii="Arial" w:hAnsi="Arial" w:cs="Arial"/>
          <w:color w:val="auto"/>
          <w:sz w:val="20"/>
          <w:u w:val="single"/>
          <w:lang w:val="es-ES"/>
        </w:rPr>
        <w:t>CIP (Clasificación Internacional de Patentes</w:t>
      </w:r>
      <w:r>
        <w:rPr>
          <w:rFonts w:ascii="Arial" w:hAnsi="Arial" w:cs="Arial"/>
          <w:color w:val="auto"/>
          <w:sz w:val="20"/>
          <w:u w:val="single"/>
          <w:lang w:val="es-ES"/>
        </w:rPr>
        <w:t>)</w:t>
      </w:r>
    </w:p>
    <w:p w:rsidR="002E7DC3" w:rsidRPr="00F039C2" w:rsidRDefault="002E7DC3" w:rsidP="002E7DC3">
      <w:pPr>
        <w:pStyle w:val="Body1"/>
        <w:widowControl w:val="0"/>
        <w:jc w:val="both"/>
        <w:rPr>
          <w:rFonts w:ascii="Arial" w:hAnsi="Arial" w:cs="Arial"/>
          <w:color w:val="auto"/>
          <w:sz w:val="20"/>
          <w:lang w:val="es-ES"/>
        </w:rPr>
      </w:pPr>
    </w:p>
    <w:p w:rsidR="002E7DC3" w:rsidRPr="00CA3895" w:rsidRDefault="002E7DC3" w:rsidP="00BA276E">
      <w:pPr>
        <w:pStyle w:val="Body1"/>
        <w:widowControl w:val="0"/>
        <w:numPr>
          <w:ilvl w:val="0"/>
          <w:numId w:val="34"/>
        </w:numPr>
        <w:jc w:val="both"/>
        <w:rPr>
          <w:rFonts w:ascii="Arial" w:hAnsi="Arial" w:cs="Arial"/>
          <w:color w:val="auto"/>
          <w:sz w:val="20"/>
          <w:lang w:val="es-ES"/>
        </w:rPr>
      </w:pPr>
      <w:r w:rsidRPr="00F039C2">
        <w:rPr>
          <w:rFonts w:ascii="Arial" w:hAnsi="Arial" w:cs="Arial"/>
          <w:color w:val="auto"/>
          <w:sz w:val="20"/>
          <w:lang w:val="es-ES"/>
        </w:rPr>
        <w:t xml:space="preserve">Se seguirán </w:t>
      </w:r>
      <w:r>
        <w:rPr>
          <w:rFonts w:ascii="Arial" w:hAnsi="Arial" w:cs="Arial"/>
          <w:color w:val="auto"/>
          <w:sz w:val="20"/>
          <w:lang w:val="es-ES"/>
        </w:rPr>
        <w:t xml:space="preserve">introduciendo </w:t>
      </w:r>
      <w:r w:rsidRPr="00F039C2">
        <w:rPr>
          <w:rFonts w:ascii="Arial" w:hAnsi="Arial" w:cs="Arial"/>
          <w:color w:val="auto"/>
          <w:sz w:val="20"/>
          <w:lang w:val="es-ES"/>
        </w:rPr>
        <w:t xml:space="preserve">mejoras en la CIP en el marco de la </w:t>
      </w:r>
      <w:r w:rsidRPr="00407484">
        <w:rPr>
          <w:rFonts w:ascii="Arial" w:hAnsi="Arial" w:cs="Arial"/>
          <w:color w:val="auto"/>
          <w:sz w:val="20"/>
          <w:lang w:val="es-ES"/>
        </w:rPr>
        <w:t>hoja de ruta de la revisión</w:t>
      </w:r>
      <w:r w:rsidRPr="00F039C2">
        <w:rPr>
          <w:rFonts w:ascii="Arial" w:hAnsi="Arial" w:cs="Arial"/>
          <w:color w:val="auto"/>
          <w:sz w:val="20"/>
          <w:lang w:val="es-ES"/>
        </w:rPr>
        <w:t xml:space="preserve"> de la CIP, adoptada por el Comité de Expertos de la CIP en 2013.  La hoja de ruta tiene por objeto </w:t>
      </w:r>
      <w:r>
        <w:rPr>
          <w:rFonts w:ascii="Arial" w:hAnsi="Arial" w:cs="Arial"/>
          <w:color w:val="auto"/>
          <w:sz w:val="20"/>
          <w:lang w:val="es-ES"/>
        </w:rPr>
        <w:t xml:space="preserve">potenciar </w:t>
      </w:r>
      <w:r w:rsidRPr="00F039C2">
        <w:rPr>
          <w:rFonts w:ascii="Arial" w:hAnsi="Arial" w:cs="Arial"/>
          <w:color w:val="auto"/>
          <w:sz w:val="20"/>
          <w:lang w:val="es-ES"/>
        </w:rPr>
        <w:t xml:space="preserve">la CIP en los ámbitos técnicos </w:t>
      </w:r>
      <w:r>
        <w:rPr>
          <w:rFonts w:ascii="Arial" w:hAnsi="Arial" w:cs="Arial"/>
          <w:color w:val="auto"/>
          <w:sz w:val="20"/>
          <w:lang w:val="es-ES"/>
        </w:rPr>
        <w:t xml:space="preserve">en los que </w:t>
      </w:r>
      <w:r w:rsidRPr="00F039C2">
        <w:rPr>
          <w:rFonts w:ascii="Arial" w:hAnsi="Arial" w:cs="Arial"/>
          <w:color w:val="auto"/>
          <w:sz w:val="20"/>
          <w:lang w:val="es-ES"/>
        </w:rPr>
        <w:t xml:space="preserve">se presenta una gran cantidad de solicitudes de patente, y con </w:t>
      </w:r>
      <w:r w:rsidRPr="009D1851">
        <w:rPr>
          <w:rFonts w:ascii="Arial" w:hAnsi="Arial" w:cs="Arial"/>
          <w:color w:val="auto"/>
          <w:sz w:val="20"/>
          <w:lang w:val="es-ES"/>
        </w:rPr>
        <w:t>un índice de crecimiento que va en aumento</w:t>
      </w:r>
      <w:r w:rsidRPr="00F039C2">
        <w:rPr>
          <w:rFonts w:ascii="Arial" w:hAnsi="Arial" w:cs="Arial"/>
          <w:color w:val="auto"/>
          <w:sz w:val="20"/>
          <w:lang w:val="es-ES"/>
        </w:rPr>
        <w:t xml:space="preserve">, en los países emergentes.  Bajo los auspicios del Comité de Expertos, la OMPI supervisará de cerca y facilitará la ejecución del plan y formará a los funcionarios de las oficinas de P.I. a fin de que haya una participación más amplia en la ejecución.  Además, se introducirán cambios necesarios en el sistema de </w:t>
      </w:r>
      <w:r>
        <w:rPr>
          <w:rFonts w:ascii="Arial" w:hAnsi="Arial" w:cs="Arial"/>
          <w:color w:val="auto"/>
          <w:sz w:val="20"/>
          <w:lang w:val="es-ES"/>
        </w:rPr>
        <w:t xml:space="preserve">la </w:t>
      </w:r>
      <w:r w:rsidRPr="00F039C2">
        <w:rPr>
          <w:rFonts w:ascii="Arial" w:hAnsi="Arial" w:cs="Arial"/>
          <w:color w:val="auto"/>
          <w:sz w:val="20"/>
          <w:lang w:val="es-ES"/>
        </w:rPr>
        <w:t xml:space="preserve">CIP en apoyo de una </w:t>
      </w:r>
      <w:r w:rsidRPr="00CA3895">
        <w:rPr>
          <w:rFonts w:ascii="Arial" w:hAnsi="Arial" w:cs="Arial"/>
          <w:color w:val="auto"/>
          <w:sz w:val="20"/>
          <w:lang w:val="es-ES"/>
        </w:rPr>
        <w:t>ejecución más eficiente de la hoja de ruta durante el período de transición, que culminará en 2016.</w:t>
      </w:r>
    </w:p>
    <w:p w:rsidR="002E7DC3" w:rsidRPr="00CA3895" w:rsidRDefault="002E7DC3" w:rsidP="002E7DC3">
      <w:pPr>
        <w:pStyle w:val="Body1"/>
        <w:widowControl w:val="0"/>
        <w:jc w:val="both"/>
        <w:rPr>
          <w:rFonts w:ascii="Arial" w:hAnsi="Arial" w:cs="Arial"/>
          <w:color w:val="auto"/>
          <w:sz w:val="20"/>
          <w:lang w:val="es-ES"/>
        </w:rPr>
      </w:pPr>
    </w:p>
    <w:p w:rsidR="002E7DC3" w:rsidRPr="00CA3895" w:rsidRDefault="002E7DC3" w:rsidP="002E7DC3">
      <w:pPr>
        <w:pStyle w:val="Body1"/>
        <w:widowControl w:val="0"/>
        <w:jc w:val="both"/>
        <w:rPr>
          <w:rFonts w:ascii="Arial" w:hAnsi="Arial" w:cs="Arial"/>
          <w:color w:val="auto"/>
          <w:sz w:val="20"/>
          <w:u w:val="single"/>
          <w:lang w:val="es-ES"/>
        </w:rPr>
      </w:pPr>
      <w:r w:rsidRPr="00CA3895">
        <w:rPr>
          <w:rFonts w:ascii="Arial" w:hAnsi="Arial" w:cs="Arial"/>
          <w:color w:val="auto"/>
          <w:sz w:val="20"/>
          <w:u w:val="single"/>
          <w:lang w:val="es-ES"/>
        </w:rPr>
        <w:t xml:space="preserve">Clasificación de Niza (lista de productos y servicios para el registro de marcas) </w:t>
      </w:r>
    </w:p>
    <w:p w:rsidR="002E7DC3" w:rsidRPr="00CA3895" w:rsidRDefault="002E7DC3" w:rsidP="002E7DC3">
      <w:pPr>
        <w:pStyle w:val="Body1"/>
        <w:widowControl w:val="0"/>
        <w:jc w:val="both"/>
        <w:rPr>
          <w:rFonts w:ascii="Arial" w:hAnsi="Arial" w:cs="Arial"/>
          <w:color w:val="auto"/>
          <w:sz w:val="20"/>
          <w:lang w:val="es-ES"/>
        </w:rPr>
      </w:pPr>
    </w:p>
    <w:p w:rsidR="002E7DC3" w:rsidRPr="00F039C2" w:rsidRDefault="002E7DC3" w:rsidP="00BA276E">
      <w:pPr>
        <w:widowControl w:val="0"/>
        <w:numPr>
          <w:ilvl w:val="0"/>
          <w:numId w:val="34"/>
        </w:numPr>
        <w:autoSpaceDE w:val="0"/>
        <w:autoSpaceDN w:val="0"/>
        <w:adjustRightInd w:val="0"/>
        <w:jc w:val="both"/>
        <w:rPr>
          <w:rFonts w:eastAsia="MS Mincho"/>
          <w:sz w:val="20"/>
          <w:lang w:eastAsia="ja-JP"/>
        </w:rPr>
      </w:pPr>
      <w:r w:rsidRPr="00F039C2">
        <w:rPr>
          <w:rFonts w:eastAsia="MS Mincho"/>
          <w:sz w:val="20"/>
          <w:lang w:eastAsia="ja-JP"/>
        </w:rPr>
        <w:t>A raíz de los satisfactorios resultados de la primera modernización de la Clasificación de Niza</w:t>
      </w:r>
      <w:r>
        <w:rPr>
          <w:rFonts w:eastAsia="MS Mincho"/>
          <w:sz w:val="20"/>
          <w:lang w:eastAsia="ja-JP"/>
        </w:rPr>
        <w:t xml:space="preserve">, </w:t>
      </w:r>
      <w:r w:rsidRPr="00F039C2">
        <w:rPr>
          <w:rFonts w:eastAsia="MS Mincho"/>
          <w:sz w:val="20"/>
          <w:lang w:eastAsia="ja-JP"/>
        </w:rPr>
        <w:t xml:space="preserve">realizada en 2013, que incluye </w:t>
      </w:r>
      <w:r>
        <w:rPr>
          <w:rFonts w:eastAsia="MS Mincho"/>
          <w:sz w:val="20"/>
          <w:lang w:eastAsia="ja-JP"/>
        </w:rPr>
        <w:t xml:space="preserve">elementos </w:t>
      </w:r>
      <w:r w:rsidRPr="00F039C2">
        <w:rPr>
          <w:rFonts w:eastAsia="MS Mincho"/>
          <w:sz w:val="20"/>
          <w:lang w:eastAsia="ja-JP"/>
        </w:rPr>
        <w:t>como un proceso de revisión acelerado, la publicación anual de la clasificación actualizada y una nueva plataforma tecnológica para la publicación que integra una taxonomía y definiciones de productos y servicios, la OMPI se adentrará en la segunda etapa de la modernización en 2014/15.  Se prestará atención en particular a la mejora continua de la plataforma, mediante</w:t>
      </w:r>
      <w:r w:rsidR="005731F4">
        <w:rPr>
          <w:rFonts w:eastAsia="MS Mincho"/>
          <w:sz w:val="20"/>
          <w:lang w:eastAsia="ja-JP"/>
        </w:rPr>
        <w:t xml:space="preserve"> la incorporación de otras versiones lingüísticas, como la española que se preparará en cooperación con las oficinas interesadas,</w:t>
      </w:r>
      <w:r w:rsidRPr="00F039C2">
        <w:rPr>
          <w:rFonts w:eastAsia="MS Mincho"/>
          <w:sz w:val="20"/>
          <w:lang w:eastAsia="ja-JP"/>
        </w:rPr>
        <w:t xml:space="preserve"> la creación de un enlace con la Base Mundial de Datos sobre Marcas y la inclusión de más archivos de información, </w:t>
      </w:r>
      <w:r>
        <w:rPr>
          <w:rFonts w:eastAsia="MS Mincho"/>
          <w:sz w:val="20"/>
          <w:lang w:eastAsia="ja-JP"/>
        </w:rPr>
        <w:t xml:space="preserve">además de </w:t>
      </w:r>
      <w:r w:rsidRPr="00F039C2">
        <w:rPr>
          <w:rFonts w:eastAsia="MS Mincho"/>
          <w:sz w:val="20"/>
          <w:lang w:eastAsia="ja-JP"/>
        </w:rPr>
        <w:t>la automatización de procedimientos, como un nuevo método de captación de datos para incorporar las propuestas de revisión en la Clasificación.</w:t>
      </w:r>
    </w:p>
    <w:p w:rsidR="002E7DC3" w:rsidRPr="00F039C2" w:rsidRDefault="002E7DC3" w:rsidP="002E7DC3">
      <w:pPr>
        <w:widowControl w:val="0"/>
        <w:autoSpaceDE w:val="0"/>
        <w:autoSpaceDN w:val="0"/>
        <w:adjustRightInd w:val="0"/>
        <w:jc w:val="both"/>
        <w:rPr>
          <w:rFonts w:eastAsia="MS Mincho"/>
          <w:sz w:val="20"/>
          <w:lang w:eastAsia="ja-JP"/>
        </w:rPr>
      </w:pPr>
    </w:p>
    <w:p w:rsidR="002E7DC3" w:rsidRPr="00F039C2" w:rsidRDefault="002E7DC3" w:rsidP="002E7DC3">
      <w:pPr>
        <w:pStyle w:val="Body1"/>
        <w:widowControl w:val="0"/>
        <w:spacing w:after="240"/>
        <w:jc w:val="both"/>
        <w:rPr>
          <w:rFonts w:ascii="Arial" w:hAnsi="Arial" w:cs="Arial"/>
          <w:color w:val="auto"/>
          <w:sz w:val="20"/>
          <w:u w:val="single"/>
          <w:lang w:val="es-ES"/>
        </w:rPr>
      </w:pPr>
      <w:r w:rsidRPr="00F039C2">
        <w:rPr>
          <w:rFonts w:ascii="Arial" w:hAnsi="Arial" w:cs="Arial"/>
          <w:color w:val="auto"/>
          <w:sz w:val="20"/>
          <w:u w:val="single"/>
          <w:lang w:val="es-ES"/>
        </w:rPr>
        <w:t xml:space="preserve">Clasificación de Viena (elementos figurativos de las marcas) </w:t>
      </w:r>
      <w:r>
        <w:rPr>
          <w:rFonts w:ascii="Arial" w:hAnsi="Arial" w:cs="Arial"/>
          <w:color w:val="auto"/>
          <w:sz w:val="20"/>
          <w:u w:val="single"/>
          <w:lang w:val="es-ES"/>
        </w:rPr>
        <w:t xml:space="preserve">y </w:t>
      </w:r>
      <w:r w:rsidRPr="00F039C2">
        <w:rPr>
          <w:rFonts w:ascii="Arial" w:hAnsi="Arial" w:cs="Arial"/>
          <w:color w:val="auto"/>
          <w:sz w:val="20"/>
          <w:u w:val="single"/>
          <w:lang w:val="es-ES"/>
        </w:rPr>
        <w:t>Clasificación de Locarno (dibujos y modelos industriales)</w:t>
      </w:r>
    </w:p>
    <w:p w:rsidR="002E7DC3" w:rsidRPr="00F039C2" w:rsidRDefault="002E7DC3" w:rsidP="00BA276E">
      <w:pPr>
        <w:pStyle w:val="Body1"/>
        <w:widowControl w:val="0"/>
        <w:numPr>
          <w:ilvl w:val="0"/>
          <w:numId w:val="34"/>
        </w:numPr>
        <w:jc w:val="both"/>
        <w:rPr>
          <w:rFonts w:ascii="Arial" w:hAnsi="Arial" w:cs="Arial"/>
          <w:color w:val="auto"/>
          <w:sz w:val="20"/>
          <w:lang w:val="es-ES"/>
        </w:rPr>
      </w:pPr>
      <w:r w:rsidRPr="00F039C2">
        <w:rPr>
          <w:rFonts w:ascii="Arial" w:hAnsi="Arial" w:cs="Arial"/>
          <w:color w:val="auto"/>
          <w:sz w:val="20"/>
          <w:lang w:val="es-ES"/>
        </w:rPr>
        <w:t>Se introducirán nuevas plataformas de publicación para las Clasificaciones de Viena y de Locarno, que tomarán como ejemplo la Clasificación de Niza.  La integración de un esquema de indización de aspectos visuales en la Clasificación de Locarno se ha retrasado debido a la falta de consenso y apoyo de las Oficinas.  Tras el interés renovado de algunos Estados miembros, la OMPI respaldará las nuevas iniciativas para elaborar dicho esquema de indización durante el próximo bienio.</w:t>
      </w:r>
    </w:p>
    <w:p w:rsidR="002E7DC3" w:rsidRPr="00F039C2" w:rsidRDefault="002E7DC3" w:rsidP="002E7DC3">
      <w:pPr>
        <w:pStyle w:val="Body1"/>
        <w:widowControl w:val="0"/>
        <w:jc w:val="both"/>
        <w:rPr>
          <w:rFonts w:ascii="Arial" w:hAnsi="Arial" w:cs="Arial"/>
          <w:color w:val="auto"/>
          <w:sz w:val="20"/>
          <w:lang w:val="es-ES"/>
        </w:rPr>
      </w:pPr>
    </w:p>
    <w:p w:rsidR="002E7DC3" w:rsidRPr="00263762" w:rsidRDefault="002E7DC3" w:rsidP="00400B23">
      <w:pPr>
        <w:pStyle w:val="Body1"/>
        <w:keepNext/>
        <w:widowControl w:val="0"/>
        <w:jc w:val="both"/>
        <w:rPr>
          <w:rFonts w:ascii="Arial" w:hAnsi="Arial" w:cs="Arial"/>
          <w:color w:val="auto"/>
          <w:sz w:val="20"/>
          <w:u w:val="single"/>
          <w:lang w:val="es-ES"/>
        </w:rPr>
      </w:pPr>
      <w:r w:rsidRPr="00263762">
        <w:rPr>
          <w:rFonts w:ascii="Arial" w:hAnsi="Arial" w:cs="Arial"/>
          <w:color w:val="auto"/>
          <w:sz w:val="20"/>
          <w:u w:val="single"/>
          <w:lang w:val="es-ES"/>
        </w:rPr>
        <w:t>Normas técnicas de la OMPI</w:t>
      </w:r>
    </w:p>
    <w:p w:rsidR="002E7DC3" w:rsidRPr="00263762" w:rsidRDefault="002E7DC3" w:rsidP="002E7DC3">
      <w:pPr>
        <w:pStyle w:val="Body1"/>
        <w:widowControl w:val="0"/>
        <w:jc w:val="both"/>
        <w:rPr>
          <w:rFonts w:ascii="Arial" w:hAnsi="Arial" w:cs="Arial"/>
          <w:color w:val="auto"/>
          <w:sz w:val="20"/>
          <w:lang w:val="es-ES"/>
        </w:rPr>
      </w:pPr>
    </w:p>
    <w:p w:rsidR="002E7DC3" w:rsidRPr="00263762" w:rsidRDefault="002E7DC3" w:rsidP="00BA276E">
      <w:pPr>
        <w:pStyle w:val="Body1"/>
        <w:widowControl w:val="0"/>
        <w:numPr>
          <w:ilvl w:val="0"/>
          <w:numId w:val="34"/>
        </w:numPr>
        <w:jc w:val="both"/>
        <w:rPr>
          <w:rFonts w:ascii="Arial" w:hAnsi="Arial" w:cs="Arial"/>
          <w:color w:val="auto"/>
          <w:sz w:val="20"/>
          <w:lang w:val="es-ES" w:eastAsia="es-ES"/>
        </w:rPr>
      </w:pPr>
      <w:r w:rsidRPr="00263762">
        <w:rPr>
          <w:rFonts w:ascii="Arial" w:hAnsi="Arial" w:cs="Arial"/>
          <w:color w:val="auto"/>
          <w:sz w:val="20"/>
          <w:lang w:val="es-ES" w:eastAsia="es-ES"/>
        </w:rPr>
        <w:t xml:space="preserve">Mediante la elaboración de nuevas normas técnicas de la OMPI o la revisión de las existentes se sentarán las bases de la transmisión, el intercambio y la difusión de información y documentación en materia de P.I.  La revisión de las normas técnicas existentes incluirá la actualización de las normas sobre XML (a fin de disponer de un formato digital de datos estructurado más adecuadamente),  mientras que la elaboración de nuevas normas técnicas abordará la presentación de listas de secuencias de nucleótidos y aminoácidos, el intercambio de información sobre la situación jurídica de las patentes y de datos sobre nuevos tipos de marcas.  Ello exigirá una estrecha colaboración con los programas 5 (Sistema del PCT) y 6 (Sistemas de Madrid y de Lisboa).  El uso de la nueva base de datos y plataforma de publicación, WIPOSTAD, contribuirá a seguir </w:t>
      </w:r>
      <w:r>
        <w:rPr>
          <w:rFonts w:ascii="Arial" w:hAnsi="Arial" w:cs="Arial"/>
          <w:color w:val="auto"/>
          <w:sz w:val="20"/>
          <w:lang w:val="es-ES" w:eastAsia="es-ES"/>
        </w:rPr>
        <w:t xml:space="preserve">mejorando </w:t>
      </w:r>
      <w:r w:rsidRPr="00263762">
        <w:rPr>
          <w:rFonts w:ascii="Arial" w:hAnsi="Arial" w:cs="Arial"/>
          <w:color w:val="auto"/>
          <w:sz w:val="20"/>
          <w:lang w:val="es-ES" w:eastAsia="es-ES"/>
        </w:rPr>
        <w:t xml:space="preserve">la labor de elaboración y revisión de normas técnicas, recomendaciones y directrices de la OMPI, y </w:t>
      </w:r>
      <w:r>
        <w:rPr>
          <w:rFonts w:ascii="Arial" w:hAnsi="Arial" w:cs="Arial"/>
          <w:color w:val="auto"/>
          <w:sz w:val="20"/>
          <w:lang w:val="es-ES" w:eastAsia="es-ES"/>
        </w:rPr>
        <w:t xml:space="preserve">de </w:t>
      </w:r>
      <w:r w:rsidRPr="00263762">
        <w:rPr>
          <w:rFonts w:ascii="Arial" w:hAnsi="Arial" w:cs="Arial"/>
          <w:color w:val="auto"/>
          <w:sz w:val="20"/>
          <w:lang w:val="es-ES" w:eastAsia="es-ES"/>
        </w:rPr>
        <w:t xml:space="preserve"> intercambio de datos entre las oficinas en relación con las prácticas imperantes en el ámbito de la información sobre P.I.</w:t>
      </w:r>
    </w:p>
    <w:p w:rsidR="002E7DC3" w:rsidRPr="00263762" w:rsidRDefault="002E7DC3" w:rsidP="002E7DC3">
      <w:pPr>
        <w:pStyle w:val="Body1"/>
        <w:widowControl w:val="0"/>
        <w:jc w:val="both"/>
        <w:rPr>
          <w:rFonts w:ascii="Arial" w:hAnsi="Arial" w:cs="Arial"/>
          <w:color w:val="auto"/>
          <w:sz w:val="20"/>
          <w:lang w:val="es-ES"/>
        </w:rPr>
      </w:pPr>
    </w:p>
    <w:p w:rsidR="002E7DC3" w:rsidRPr="00263762" w:rsidRDefault="002E7DC3" w:rsidP="002E7DC3">
      <w:pPr>
        <w:pStyle w:val="Body1"/>
        <w:widowControl w:val="0"/>
        <w:jc w:val="both"/>
        <w:rPr>
          <w:rFonts w:ascii="Arial" w:hAnsi="Arial" w:cs="Arial"/>
          <w:color w:val="auto"/>
          <w:sz w:val="20"/>
          <w:u w:val="single"/>
          <w:lang w:val="es-ES"/>
        </w:rPr>
      </w:pPr>
      <w:r w:rsidRPr="00263762">
        <w:rPr>
          <w:rFonts w:ascii="Arial" w:hAnsi="Arial" w:cs="Arial"/>
          <w:color w:val="auto"/>
          <w:sz w:val="20"/>
          <w:u w:val="single"/>
          <w:lang w:val="es-ES"/>
        </w:rPr>
        <w:t xml:space="preserve">Sistemas de TIC para las clasificaciones internacionales y las normas técnicas </w:t>
      </w:r>
    </w:p>
    <w:p w:rsidR="002E7DC3" w:rsidRPr="00263762" w:rsidRDefault="002E7DC3" w:rsidP="002E7DC3">
      <w:pPr>
        <w:pStyle w:val="Body1"/>
        <w:widowControl w:val="0"/>
        <w:jc w:val="both"/>
        <w:rPr>
          <w:rFonts w:ascii="Arial" w:hAnsi="Arial" w:cs="Arial"/>
          <w:color w:val="auto"/>
          <w:sz w:val="20"/>
          <w:lang w:val="es-ES"/>
        </w:rPr>
      </w:pPr>
    </w:p>
    <w:p w:rsidR="002E7DC3" w:rsidRPr="00263762" w:rsidRDefault="002E7DC3" w:rsidP="00BA276E">
      <w:pPr>
        <w:pStyle w:val="Body1"/>
        <w:widowControl w:val="0"/>
        <w:numPr>
          <w:ilvl w:val="0"/>
          <w:numId w:val="34"/>
        </w:numPr>
        <w:autoSpaceDE w:val="0"/>
        <w:autoSpaceDN w:val="0"/>
        <w:adjustRightInd w:val="0"/>
        <w:jc w:val="both"/>
        <w:rPr>
          <w:rFonts w:ascii="Arial" w:hAnsi="Arial" w:cs="Arial"/>
          <w:color w:val="auto"/>
          <w:sz w:val="20"/>
          <w:lang w:val="es-ES" w:eastAsia="es-ES"/>
        </w:rPr>
      </w:pPr>
      <w:r w:rsidRPr="00263762">
        <w:rPr>
          <w:rFonts w:ascii="Arial" w:hAnsi="Arial" w:cs="Arial"/>
          <w:color w:val="auto"/>
          <w:sz w:val="20"/>
          <w:lang w:val="es-ES"/>
        </w:rPr>
        <w:t xml:space="preserve">Se renovarán y consolidarán los sistemas de TIC que sirven para administrar las clasificaciones internacionales y normas técnicas.  Es necesario modernizar y seguir perfeccionando el sistema de gestión de la CIP a fin de posibilitar una mayor participación de las oficinas en el proceso de revisión.  Ello contribuirá a un aumento en el número de grupos de la Clasificación, como se prevé en la hoja de ruta de la revisión de la </w:t>
      </w:r>
      <w:r w:rsidR="008921D7">
        <w:rPr>
          <w:rFonts w:ascii="Arial" w:hAnsi="Arial" w:cs="Arial"/>
          <w:color w:val="auto"/>
          <w:sz w:val="20"/>
          <w:lang w:val="es-ES"/>
        </w:rPr>
        <w:t>CIP</w:t>
      </w:r>
      <w:r w:rsidRPr="00263762">
        <w:rPr>
          <w:rFonts w:ascii="Arial" w:hAnsi="Arial" w:cs="Arial"/>
          <w:color w:val="auto"/>
          <w:sz w:val="20"/>
          <w:lang w:val="es-ES"/>
        </w:rPr>
        <w:t xml:space="preserve">.  </w:t>
      </w:r>
      <w:r w:rsidRPr="00263762">
        <w:rPr>
          <w:rFonts w:ascii="Arial" w:hAnsi="Arial" w:cs="Arial"/>
          <w:color w:val="auto"/>
          <w:sz w:val="20"/>
          <w:lang w:val="es-ES" w:eastAsia="es-ES"/>
        </w:rPr>
        <w:t xml:space="preserve">Se elaborará una nueva base de datos de revisión para la Clasificación de Niza a fin de que la Oficina Internacional ejerza el control absoluto de la revisión y publicación de dicha Clasificación.  Se aprovecharán al máximo las sinergias que se produzcan en relación con la revisión de la CIP y la infraestructura de publicación a fin de ahorrar costos y tiempo. </w:t>
      </w:r>
      <w:r>
        <w:rPr>
          <w:rFonts w:ascii="Arial" w:hAnsi="Arial" w:cs="Arial"/>
          <w:color w:val="auto"/>
          <w:sz w:val="20"/>
          <w:lang w:val="es-ES" w:eastAsia="es-ES"/>
        </w:rPr>
        <w:t xml:space="preserve"> </w:t>
      </w:r>
      <w:r w:rsidRPr="00263762">
        <w:rPr>
          <w:rFonts w:ascii="Arial" w:hAnsi="Arial" w:cs="Arial"/>
          <w:color w:val="auto"/>
          <w:sz w:val="20"/>
          <w:lang w:val="es-ES" w:eastAsia="es-ES"/>
        </w:rPr>
        <w:t>Se seguirán potenciando los foros electrónicos para facilitar la toma de decisiones sobre cuestiones ordinarias y la introducción de datos mundiales por parte de las oficinas, reduciendo de esa manera la necesidad de volver a capturar los datos.  Además, a fin de facilitar la integración de los datos se mejorará el sistema WIPOSTAD, que de ese modo pasará a ser la única plataforma de publicación para las normas técnicas y las encuestas.</w:t>
      </w:r>
    </w:p>
    <w:p w:rsidR="002E7DC3" w:rsidRPr="00263762" w:rsidRDefault="002E7DC3" w:rsidP="002E7DC3">
      <w:pPr>
        <w:pStyle w:val="Body1"/>
        <w:widowControl w:val="0"/>
        <w:jc w:val="both"/>
        <w:rPr>
          <w:rFonts w:ascii="Arial" w:hAnsi="Arial" w:cs="Arial"/>
          <w:color w:val="auto"/>
          <w:sz w:val="20"/>
          <w:lang w:val="es-ES"/>
        </w:rPr>
      </w:pPr>
    </w:p>
    <w:p w:rsidR="002E7DC3" w:rsidRPr="002E7DC3" w:rsidRDefault="002E7DC3" w:rsidP="00A80F8D">
      <w:pPr>
        <w:pStyle w:val="Body1"/>
        <w:widowControl w:val="0"/>
        <w:jc w:val="both"/>
        <w:rPr>
          <w:rFonts w:ascii="Arial" w:hAnsi="Arial" w:cs="Arial"/>
          <w:color w:val="auto"/>
          <w:sz w:val="22"/>
          <w:szCs w:val="22"/>
          <w:lang w:val="es-ES"/>
        </w:rPr>
      </w:pPr>
    </w:p>
    <w:p w:rsidR="00A80F8D" w:rsidRPr="00C75C7E" w:rsidRDefault="00A80F8D" w:rsidP="00A80F8D">
      <w:pPr>
        <w:pStyle w:val="Body1"/>
        <w:widowControl w:val="0"/>
        <w:jc w:val="both"/>
        <w:rPr>
          <w:rFonts w:ascii="Arial" w:eastAsia="Times New Roman" w:hAnsi="Arial" w:cs="Arial"/>
          <w:color w:val="auto"/>
          <w:sz w:val="20"/>
          <w:lang w:val="es-ES_tradnl" w:bidi="x-none"/>
        </w:rPr>
      </w:pPr>
      <w:r w:rsidRPr="00C75C7E">
        <w:rPr>
          <w:rFonts w:ascii="Arial" w:hAnsi="Arial" w:cs="Arial"/>
          <w:color w:val="auto"/>
          <w:sz w:val="22"/>
          <w:szCs w:val="22"/>
          <w:lang w:val="es-ES_tradnl"/>
        </w:rPr>
        <w:t>PRINCIPALES RIESGOS Y ESTRATEGIAS DE MITIGACIÓN</w:t>
      </w:r>
    </w:p>
    <w:p w:rsidR="00A80F8D" w:rsidRPr="00C75C7E" w:rsidRDefault="00A80F8D" w:rsidP="00A80F8D">
      <w:pPr>
        <w:pStyle w:val="Body1"/>
        <w:widowControl w:val="0"/>
        <w:rPr>
          <w:rFonts w:ascii="Arial" w:hAnsi="Arial" w:cs="Arial"/>
          <w:color w:val="auto"/>
          <w:sz w:val="20"/>
          <w:lang w:val="es-ES_tradnl"/>
        </w:rPr>
      </w:pPr>
    </w:p>
    <w:tbl>
      <w:tblPr>
        <w:tblW w:w="9425"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624"/>
        <w:gridCol w:w="4801"/>
      </w:tblGrid>
      <w:tr w:rsidR="00A80F8D" w:rsidRPr="00C75C7E" w:rsidTr="005731F4">
        <w:trPr>
          <w:trHeight w:val="709"/>
        </w:trPr>
        <w:tc>
          <w:tcPr>
            <w:tcW w:w="4624" w:type="dxa"/>
            <w:tcBorders>
              <w:top w:val="single" w:sz="4" w:space="0" w:color="auto"/>
              <w:bottom w:val="single" w:sz="4" w:space="0" w:color="auto"/>
            </w:tcBorders>
            <w:shd w:val="clear" w:color="auto" w:fill="CCFFFF"/>
            <w:vAlign w:val="center"/>
          </w:tcPr>
          <w:p w:rsidR="00A80F8D" w:rsidRPr="00C75C7E" w:rsidRDefault="00A80F8D" w:rsidP="008F4F69">
            <w:pPr>
              <w:widowControl w:val="0"/>
              <w:autoSpaceDE w:val="0"/>
              <w:autoSpaceDN w:val="0"/>
              <w:adjustRightInd w:val="0"/>
              <w:ind w:right="-59"/>
              <w:jc w:val="center"/>
              <w:rPr>
                <w:b/>
                <w:bCs/>
                <w:iCs/>
                <w:sz w:val="18"/>
                <w:szCs w:val="18"/>
                <w:lang w:val="es-ES_tradnl"/>
              </w:rPr>
            </w:pPr>
            <w:r w:rsidRPr="00C75C7E">
              <w:rPr>
                <w:b/>
                <w:bCs/>
                <w:iCs/>
                <w:sz w:val="18"/>
                <w:szCs w:val="18"/>
                <w:lang w:val="es-ES_tradnl"/>
              </w:rPr>
              <w:t>Riesgos en el logro de los resultados del programa</w:t>
            </w:r>
          </w:p>
        </w:tc>
        <w:tc>
          <w:tcPr>
            <w:tcW w:w="4801" w:type="dxa"/>
            <w:tcBorders>
              <w:top w:val="single" w:sz="4" w:space="0" w:color="auto"/>
              <w:bottom w:val="single" w:sz="4" w:space="0" w:color="auto"/>
            </w:tcBorders>
            <w:shd w:val="clear" w:color="auto" w:fill="CCFFFF"/>
            <w:vAlign w:val="center"/>
          </w:tcPr>
          <w:p w:rsidR="00A80F8D" w:rsidRPr="00C75C7E" w:rsidRDefault="00A80F8D" w:rsidP="008F4F69">
            <w:pPr>
              <w:widowControl w:val="0"/>
              <w:autoSpaceDE w:val="0"/>
              <w:autoSpaceDN w:val="0"/>
              <w:adjustRightInd w:val="0"/>
              <w:ind w:right="-59"/>
              <w:jc w:val="center"/>
              <w:rPr>
                <w:b/>
                <w:bCs/>
                <w:iCs/>
                <w:sz w:val="18"/>
                <w:szCs w:val="18"/>
                <w:lang w:val="es-ES_tradnl"/>
              </w:rPr>
            </w:pPr>
            <w:r w:rsidRPr="00C75C7E">
              <w:rPr>
                <w:b/>
                <w:bCs/>
                <w:iCs/>
                <w:sz w:val="18"/>
                <w:szCs w:val="18"/>
                <w:lang w:val="es-ES_tradnl"/>
              </w:rPr>
              <w:t xml:space="preserve">Planes de mitigación ejecutados o en ejecución </w:t>
            </w:r>
          </w:p>
        </w:tc>
      </w:tr>
      <w:tr w:rsidR="00A80F8D" w:rsidRPr="00C75C7E" w:rsidTr="005731F4">
        <w:trPr>
          <w:trHeight w:val="799"/>
        </w:trPr>
        <w:tc>
          <w:tcPr>
            <w:tcW w:w="4624" w:type="dxa"/>
            <w:tcBorders>
              <w:top w:val="single" w:sz="4" w:space="0" w:color="auto"/>
            </w:tcBorders>
            <w:shd w:val="clear" w:color="auto" w:fill="auto"/>
            <w:tcMar>
              <w:top w:w="113" w:type="dxa"/>
            </w:tcMar>
          </w:tcPr>
          <w:p w:rsidR="00A80F8D" w:rsidRPr="00C75C7E" w:rsidRDefault="005731F4" w:rsidP="005731F4">
            <w:pPr>
              <w:widowControl w:val="0"/>
              <w:autoSpaceDE w:val="0"/>
              <w:autoSpaceDN w:val="0"/>
              <w:adjustRightInd w:val="0"/>
              <w:ind w:right="-59"/>
              <w:rPr>
                <w:rFonts w:eastAsia="Arial Unicode MS"/>
                <w:sz w:val="16"/>
                <w:szCs w:val="16"/>
                <w:lang w:val="es-ES_tradnl"/>
              </w:rPr>
            </w:pPr>
            <w:r>
              <w:rPr>
                <w:rFonts w:eastAsia="Arial Unicode MS"/>
                <w:sz w:val="16"/>
                <w:szCs w:val="16"/>
              </w:rPr>
              <w:t>Las d</w:t>
            </w:r>
            <w:r w:rsidRPr="00C75C7E">
              <w:rPr>
                <w:rFonts w:eastAsia="Arial Unicode MS"/>
                <w:sz w:val="16"/>
                <w:szCs w:val="16"/>
                <w:lang w:val="es-ES_tradnl"/>
              </w:rPr>
              <w:t xml:space="preserve">iferencias </w:t>
            </w:r>
            <w:r w:rsidR="00A80F8D" w:rsidRPr="00C75C7E">
              <w:rPr>
                <w:rFonts w:eastAsia="Arial Unicode MS"/>
                <w:sz w:val="16"/>
                <w:szCs w:val="16"/>
                <w:lang w:val="es-ES_tradnl"/>
              </w:rPr>
              <w:t xml:space="preserve">entre los grupos de países </w:t>
            </w:r>
            <w:r>
              <w:rPr>
                <w:rFonts w:eastAsia="Arial Unicode MS"/>
                <w:sz w:val="16"/>
                <w:szCs w:val="16"/>
                <w:lang w:val="es-ES_tradnl"/>
              </w:rPr>
              <w:t>traen aparejada una limitación d</w:t>
            </w:r>
            <w:r w:rsidR="00A80F8D" w:rsidRPr="00C75C7E">
              <w:rPr>
                <w:rFonts w:eastAsia="Arial Unicode MS"/>
                <w:sz w:val="16"/>
                <w:szCs w:val="16"/>
                <w:lang w:val="es-ES_tradnl"/>
              </w:rPr>
              <w:t xml:space="preserve">el desarrollo técnico de las normas </w:t>
            </w:r>
            <w:r>
              <w:rPr>
                <w:rFonts w:eastAsia="Arial Unicode MS"/>
                <w:sz w:val="16"/>
                <w:szCs w:val="16"/>
                <w:lang w:val="es-ES_tradnl"/>
              </w:rPr>
              <w:t xml:space="preserve">técnicas </w:t>
            </w:r>
            <w:r w:rsidR="00A80F8D" w:rsidRPr="00C75C7E">
              <w:rPr>
                <w:rFonts w:eastAsia="Arial Unicode MS"/>
                <w:sz w:val="16"/>
                <w:szCs w:val="16"/>
                <w:lang w:val="es-ES_tradnl"/>
              </w:rPr>
              <w:t xml:space="preserve">y clasificaciones. </w:t>
            </w:r>
          </w:p>
        </w:tc>
        <w:tc>
          <w:tcPr>
            <w:tcW w:w="4801" w:type="dxa"/>
            <w:tcBorders>
              <w:top w:val="single" w:sz="4" w:space="0" w:color="auto"/>
            </w:tcBorders>
            <w:shd w:val="clear" w:color="auto" w:fill="auto"/>
            <w:tcMar>
              <w:top w:w="113" w:type="dxa"/>
            </w:tcMar>
          </w:tcPr>
          <w:p w:rsidR="00A80F8D" w:rsidRPr="00C75C7E" w:rsidRDefault="00A80F8D" w:rsidP="005731F4">
            <w:pPr>
              <w:widowControl w:val="0"/>
              <w:autoSpaceDE w:val="0"/>
              <w:autoSpaceDN w:val="0"/>
              <w:adjustRightInd w:val="0"/>
              <w:ind w:right="-59"/>
              <w:rPr>
                <w:rFonts w:eastAsia="Arial Unicode MS"/>
                <w:sz w:val="16"/>
                <w:szCs w:val="16"/>
                <w:lang w:val="es-ES_tradnl"/>
              </w:rPr>
            </w:pPr>
            <w:r w:rsidRPr="00C75C7E">
              <w:rPr>
                <w:rFonts w:eastAsia="Arial Unicode MS"/>
                <w:sz w:val="16"/>
                <w:szCs w:val="16"/>
                <w:lang w:val="es-ES_tradnl"/>
              </w:rPr>
              <w:t>Examen y solución de las cuestiones al margen de los comités</w:t>
            </w:r>
            <w:r w:rsidR="005731F4">
              <w:rPr>
                <w:rFonts w:eastAsia="Arial Unicode MS"/>
                <w:sz w:val="16"/>
                <w:szCs w:val="16"/>
                <w:lang w:val="es-ES_tradnl"/>
              </w:rPr>
              <w:t xml:space="preserve">. </w:t>
            </w:r>
            <w:r w:rsidRPr="00C75C7E">
              <w:rPr>
                <w:rFonts w:eastAsia="Arial Unicode MS"/>
                <w:sz w:val="16"/>
                <w:szCs w:val="16"/>
                <w:lang w:val="es-ES_tradnl"/>
              </w:rPr>
              <w:t xml:space="preserve"> </w:t>
            </w:r>
            <w:r w:rsidR="005731F4">
              <w:rPr>
                <w:rFonts w:eastAsia="Arial Unicode MS"/>
                <w:sz w:val="16"/>
                <w:szCs w:val="16"/>
                <w:lang w:val="es-ES_tradnl"/>
              </w:rPr>
              <w:t>F</w:t>
            </w:r>
            <w:r w:rsidRPr="00C75C7E">
              <w:rPr>
                <w:rFonts w:eastAsia="Arial Unicode MS"/>
                <w:sz w:val="16"/>
                <w:szCs w:val="16"/>
                <w:lang w:val="es-ES_tradnl"/>
              </w:rPr>
              <w:t xml:space="preserve">ortalecimiento de los debates técnicos en el seno de estos. </w:t>
            </w:r>
            <w:r w:rsidR="005731F4">
              <w:rPr>
                <w:rFonts w:eastAsia="Arial Unicode MS"/>
                <w:sz w:val="16"/>
                <w:szCs w:val="16"/>
                <w:lang w:val="es-ES_tradnl"/>
              </w:rPr>
              <w:t xml:space="preserve"> </w:t>
            </w:r>
            <w:r w:rsidRPr="00C75C7E">
              <w:rPr>
                <w:rFonts w:eastAsia="Arial Unicode MS"/>
                <w:sz w:val="16"/>
                <w:szCs w:val="16"/>
                <w:lang w:val="es-ES_tradnl"/>
              </w:rPr>
              <w:t xml:space="preserve">Supervisión de la aplicación de los planes a largo plazo. </w:t>
            </w:r>
          </w:p>
        </w:tc>
      </w:tr>
    </w:tbl>
    <w:p w:rsidR="00A80F8D" w:rsidRPr="00C75C7E" w:rsidRDefault="00A80F8D" w:rsidP="00A80F8D">
      <w:pPr>
        <w:pStyle w:val="Body1"/>
        <w:widowControl w:val="0"/>
        <w:rPr>
          <w:rFonts w:ascii="Arial" w:hAnsi="Arial" w:cs="Arial"/>
          <w:color w:val="auto"/>
          <w:sz w:val="20"/>
          <w:lang w:val="es-ES_tradnl"/>
        </w:rPr>
      </w:pPr>
    </w:p>
    <w:p w:rsidR="00A80F8D" w:rsidRPr="00C75C7E" w:rsidRDefault="00A80F8D" w:rsidP="00A80F8D">
      <w:pPr>
        <w:widowControl w:val="0"/>
        <w:rPr>
          <w:sz w:val="20"/>
          <w:lang w:val="es-ES_tradnl"/>
        </w:rPr>
      </w:pPr>
    </w:p>
    <w:p w:rsidR="00A80F8D" w:rsidRPr="00C75C7E" w:rsidRDefault="00A80F8D" w:rsidP="00A80F8D">
      <w:pPr>
        <w:widowControl w:val="0"/>
        <w:tabs>
          <w:tab w:val="left" w:pos="567"/>
          <w:tab w:val="left" w:pos="1985"/>
        </w:tabs>
        <w:jc w:val="both"/>
        <w:rPr>
          <w:bCs/>
          <w:sz w:val="20"/>
          <w:lang w:val="es-ES_tradnl"/>
        </w:rPr>
      </w:pPr>
      <w:r w:rsidRPr="00C75C7E">
        <w:rPr>
          <w:bCs/>
          <w:szCs w:val="22"/>
          <w:lang w:val="es-ES_tradnl"/>
        </w:rPr>
        <w:t>MARCO DE RESULTADOS</w:t>
      </w:r>
    </w:p>
    <w:p w:rsidR="00A80F8D" w:rsidRPr="00C75C7E" w:rsidRDefault="00A80F8D" w:rsidP="00A80F8D">
      <w:pPr>
        <w:widowControl w:val="0"/>
        <w:tabs>
          <w:tab w:val="left" w:pos="567"/>
          <w:tab w:val="left" w:pos="1985"/>
        </w:tabs>
        <w:jc w:val="both"/>
        <w:rPr>
          <w:bCs/>
          <w:sz w:val="20"/>
          <w:lang w:val="es-ES_tradnl"/>
        </w:rPr>
      </w:pPr>
    </w:p>
    <w:tbl>
      <w:tblPr>
        <w:tblW w:w="4914"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349"/>
        <w:gridCol w:w="2848"/>
        <w:gridCol w:w="2175"/>
        <w:gridCol w:w="2034"/>
      </w:tblGrid>
      <w:tr w:rsidR="00A80F8D" w:rsidRPr="00C75C7E" w:rsidTr="005731F4">
        <w:trPr>
          <w:cantSplit/>
          <w:trHeight w:val="429"/>
          <w:tblHeader/>
        </w:trPr>
        <w:tc>
          <w:tcPr>
            <w:tcW w:w="1249" w:type="pct"/>
            <w:tcBorders>
              <w:top w:val="single" w:sz="4" w:space="0" w:color="auto"/>
              <w:bottom w:val="single" w:sz="4" w:space="0" w:color="auto"/>
            </w:tcBorders>
            <w:shd w:val="clear" w:color="auto" w:fill="CCFFFF"/>
            <w:vAlign w:val="center"/>
          </w:tcPr>
          <w:p w:rsidR="00A80F8D" w:rsidRPr="00C75C7E" w:rsidRDefault="00A80F8D" w:rsidP="008F4F69">
            <w:pPr>
              <w:widowControl w:val="0"/>
              <w:spacing w:after="120"/>
              <w:jc w:val="center"/>
              <w:rPr>
                <w:b/>
                <w:bCs/>
                <w:sz w:val="18"/>
                <w:szCs w:val="18"/>
                <w:lang w:val="es-ES_tradnl"/>
              </w:rPr>
            </w:pPr>
            <w:r w:rsidRPr="00C75C7E">
              <w:rPr>
                <w:b/>
                <w:bCs/>
                <w:sz w:val="18"/>
                <w:szCs w:val="18"/>
                <w:lang w:val="es-ES_tradnl"/>
              </w:rPr>
              <w:t>Resultados previstos</w:t>
            </w:r>
          </w:p>
        </w:tc>
        <w:tc>
          <w:tcPr>
            <w:tcW w:w="1514" w:type="pct"/>
            <w:tcBorders>
              <w:top w:val="single" w:sz="4" w:space="0" w:color="auto"/>
              <w:bottom w:val="single" w:sz="4" w:space="0" w:color="auto"/>
            </w:tcBorders>
            <w:shd w:val="clear" w:color="auto" w:fill="CCFFFF"/>
            <w:tcMar>
              <w:top w:w="110" w:type="dxa"/>
            </w:tcMar>
            <w:vAlign w:val="center"/>
          </w:tcPr>
          <w:p w:rsidR="00A80F8D" w:rsidRPr="00C75C7E" w:rsidRDefault="00A80F8D" w:rsidP="008F4F69">
            <w:pPr>
              <w:widowControl w:val="0"/>
              <w:spacing w:after="120"/>
              <w:jc w:val="center"/>
              <w:rPr>
                <w:b/>
                <w:sz w:val="18"/>
                <w:szCs w:val="18"/>
                <w:lang w:val="es-ES_tradnl"/>
              </w:rPr>
            </w:pPr>
            <w:r w:rsidRPr="00C75C7E">
              <w:rPr>
                <w:b/>
                <w:sz w:val="18"/>
                <w:szCs w:val="18"/>
                <w:lang w:val="es-ES_tradnl"/>
              </w:rPr>
              <w:t>Indicadores de rendimiento</w:t>
            </w:r>
          </w:p>
        </w:tc>
        <w:tc>
          <w:tcPr>
            <w:tcW w:w="1156" w:type="pct"/>
            <w:tcBorders>
              <w:top w:val="single" w:sz="4" w:space="0" w:color="auto"/>
              <w:bottom w:val="single" w:sz="4" w:space="0" w:color="auto"/>
            </w:tcBorders>
            <w:shd w:val="clear" w:color="auto" w:fill="CCFFFF"/>
            <w:tcMar>
              <w:top w:w="110" w:type="dxa"/>
            </w:tcMar>
            <w:vAlign w:val="center"/>
          </w:tcPr>
          <w:p w:rsidR="00A80F8D" w:rsidRPr="00C75C7E" w:rsidRDefault="00A80F8D" w:rsidP="008F4F69">
            <w:pPr>
              <w:widowControl w:val="0"/>
              <w:spacing w:after="120"/>
              <w:ind w:left="85"/>
              <w:jc w:val="center"/>
              <w:rPr>
                <w:sz w:val="18"/>
                <w:szCs w:val="18"/>
                <w:lang w:val="es-ES_tradnl"/>
              </w:rPr>
            </w:pPr>
            <w:r w:rsidRPr="00C75C7E">
              <w:rPr>
                <w:b/>
                <w:bCs/>
                <w:sz w:val="18"/>
                <w:szCs w:val="18"/>
                <w:lang w:val="es-ES_tradnl"/>
              </w:rPr>
              <w:t>Referencia</w:t>
            </w:r>
          </w:p>
        </w:tc>
        <w:tc>
          <w:tcPr>
            <w:tcW w:w="1082" w:type="pct"/>
            <w:tcBorders>
              <w:top w:val="single" w:sz="4" w:space="0" w:color="auto"/>
              <w:bottom w:val="single" w:sz="4" w:space="0" w:color="auto"/>
            </w:tcBorders>
            <w:shd w:val="clear" w:color="auto" w:fill="CCFFFF"/>
            <w:tcMar>
              <w:top w:w="110" w:type="dxa"/>
            </w:tcMar>
            <w:vAlign w:val="center"/>
          </w:tcPr>
          <w:p w:rsidR="00A80F8D" w:rsidRPr="00C75C7E" w:rsidRDefault="00A80F8D" w:rsidP="008F4F69">
            <w:pPr>
              <w:widowControl w:val="0"/>
              <w:tabs>
                <w:tab w:val="left" w:pos="1757"/>
              </w:tabs>
              <w:spacing w:after="120"/>
              <w:ind w:right="1"/>
              <w:jc w:val="center"/>
              <w:rPr>
                <w:b/>
                <w:bCs/>
                <w:sz w:val="18"/>
                <w:szCs w:val="18"/>
                <w:lang w:val="es-ES_tradnl"/>
              </w:rPr>
            </w:pPr>
            <w:r w:rsidRPr="00C75C7E">
              <w:rPr>
                <w:b/>
                <w:bCs/>
                <w:sz w:val="18"/>
                <w:szCs w:val="18"/>
                <w:lang w:val="es-ES_tradnl"/>
              </w:rPr>
              <w:t>Objetivos</w:t>
            </w:r>
          </w:p>
        </w:tc>
      </w:tr>
      <w:tr w:rsidR="00A80F8D" w:rsidRPr="00C75C7E" w:rsidTr="008F4F69">
        <w:trPr>
          <w:cantSplit/>
        </w:trPr>
        <w:tc>
          <w:tcPr>
            <w:tcW w:w="1249" w:type="pct"/>
            <w:tcBorders>
              <w:top w:val="single" w:sz="4" w:space="0" w:color="auto"/>
            </w:tcBorders>
            <w:shd w:val="clear" w:color="auto" w:fill="auto"/>
            <w:tcMar>
              <w:top w:w="113" w:type="dxa"/>
            </w:tcMar>
          </w:tcPr>
          <w:p w:rsidR="00A80F8D" w:rsidRPr="00C75C7E" w:rsidRDefault="00A80F8D" w:rsidP="008F4F69">
            <w:pPr>
              <w:widowControl w:val="0"/>
              <w:rPr>
                <w:sz w:val="16"/>
                <w:szCs w:val="16"/>
                <w:lang w:val="es-ES_tradnl"/>
              </w:rPr>
            </w:pPr>
            <w:r w:rsidRPr="00C75C7E">
              <w:rPr>
                <w:sz w:val="16"/>
                <w:szCs w:val="16"/>
                <w:lang w:val="es-ES_tradnl"/>
              </w:rPr>
              <w:t>IV.1. Sistema actualizado y aceptado mundialmente de clasificaciones internacionales y normas técnicas de la OMPI para facilitar el acceso, el uso y la difusión de información de P.I. entre las partes interesadas de todo el mundo.</w:t>
            </w:r>
          </w:p>
        </w:tc>
        <w:tc>
          <w:tcPr>
            <w:tcW w:w="1514" w:type="pct"/>
            <w:tcBorders>
              <w:top w:val="single" w:sz="4" w:space="0" w:color="auto"/>
            </w:tcBorders>
            <w:shd w:val="clear" w:color="auto" w:fill="auto"/>
            <w:tcMar>
              <w:top w:w="113" w:type="dxa"/>
            </w:tcMar>
          </w:tcPr>
          <w:p w:rsidR="00A80F8D" w:rsidRPr="00C75C7E" w:rsidRDefault="00A80F8D" w:rsidP="008F4F69">
            <w:pPr>
              <w:widowControl w:val="0"/>
              <w:rPr>
                <w:sz w:val="16"/>
                <w:szCs w:val="16"/>
                <w:lang w:val="es-ES_tradnl"/>
              </w:rPr>
            </w:pPr>
            <w:r w:rsidRPr="00C75C7E">
              <w:rPr>
                <w:sz w:val="16"/>
                <w:szCs w:val="16"/>
                <w:lang w:val="es-ES_tradnl"/>
              </w:rPr>
              <w:t>Número de modificaciones y ficheros de información introducidos en la Clasificación de Niza.</w:t>
            </w:r>
          </w:p>
        </w:tc>
        <w:tc>
          <w:tcPr>
            <w:tcW w:w="1156" w:type="pct"/>
            <w:tcBorders>
              <w:top w:val="single" w:sz="4" w:space="0" w:color="auto"/>
            </w:tcBorders>
            <w:shd w:val="clear" w:color="auto" w:fill="FFFFFF"/>
            <w:tcMar>
              <w:top w:w="113" w:type="dxa"/>
            </w:tcMar>
          </w:tcPr>
          <w:p w:rsidR="00A80F8D" w:rsidRPr="00C75C7E" w:rsidRDefault="00A80F8D" w:rsidP="008F4F69">
            <w:pPr>
              <w:widowControl w:val="0"/>
              <w:rPr>
                <w:sz w:val="16"/>
                <w:szCs w:val="16"/>
                <w:lang w:val="es-ES_tradnl" w:bidi="th-TH"/>
              </w:rPr>
            </w:pPr>
            <w:r w:rsidRPr="00C75C7E">
              <w:rPr>
                <w:sz w:val="16"/>
                <w:szCs w:val="16"/>
                <w:lang w:val="es-ES_tradnl" w:bidi="th-TH"/>
              </w:rPr>
              <w:t>Número de modificaciones y ficheros de información introducidos en 2013.</w:t>
            </w:r>
          </w:p>
          <w:p w:rsidR="00A80F8D" w:rsidRPr="00C75C7E" w:rsidRDefault="00A80F8D" w:rsidP="008F4F69">
            <w:pPr>
              <w:widowControl w:val="0"/>
              <w:rPr>
                <w:sz w:val="16"/>
                <w:szCs w:val="16"/>
                <w:lang w:val="es-ES_tradnl"/>
              </w:rPr>
            </w:pPr>
          </w:p>
        </w:tc>
        <w:tc>
          <w:tcPr>
            <w:tcW w:w="1082" w:type="pct"/>
            <w:tcBorders>
              <w:top w:val="single" w:sz="4" w:space="0" w:color="auto"/>
            </w:tcBorders>
            <w:shd w:val="clear" w:color="auto" w:fill="auto"/>
            <w:tcMar>
              <w:top w:w="113" w:type="dxa"/>
            </w:tcMar>
          </w:tcPr>
          <w:p w:rsidR="00A80F8D" w:rsidRPr="00C75C7E" w:rsidRDefault="00A80F8D" w:rsidP="008F4F69">
            <w:pPr>
              <w:widowControl w:val="0"/>
              <w:ind w:right="381"/>
              <w:rPr>
                <w:bCs/>
                <w:sz w:val="16"/>
                <w:szCs w:val="16"/>
                <w:lang w:val="es-ES_tradnl"/>
              </w:rPr>
            </w:pPr>
            <w:r w:rsidRPr="00C75C7E">
              <w:rPr>
                <w:bCs/>
                <w:sz w:val="16"/>
                <w:szCs w:val="16"/>
                <w:lang w:val="es-ES_tradnl"/>
              </w:rPr>
              <w:t>Aumento en comparación con la referencia.</w:t>
            </w:r>
          </w:p>
        </w:tc>
      </w:tr>
      <w:tr w:rsidR="00A80F8D" w:rsidRPr="00C75C7E" w:rsidTr="008F4F69">
        <w:trPr>
          <w:cantSplit/>
        </w:trPr>
        <w:tc>
          <w:tcPr>
            <w:tcW w:w="1249" w:type="pct"/>
            <w:shd w:val="clear" w:color="auto" w:fill="auto"/>
            <w:tcMar>
              <w:top w:w="113" w:type="dxa"/>
            </w:tcMar>
          </w:tcPr>
          <w:p w:rsidR="00A80F8D" w:rsidRPr="00C75C7E" w:rsidRDefault="00A80F8D" w:rsidP="008F4F69">
            <w:pPr>
              <w:widowControl w:val="0"/>
              <w:rPr>
                <w:sz w:val="16"/>
                <w:szCs w:val="16"/>
                <w:lang w:val="es-ES_tradnl"/>
              </w:rPr>
            </w:pPr>
          </w:p>
        </w:tc>
        <w:tc>
          <w:tcPr>
            <w:tcW w:w="1514" w:type="pct"/>
            <w:shd w:val="clear" w:color="auto" w:fill="auto"/>
            <w:tcMar>
              <w:top w:w="113" w:type="dxa"/>
            </w:tcMar>
          </w:tcPr>
          <w:p w:rsidR="00A80F8D" w:rsidRPr="00C75C7E" w:rsidRDefault="00A80F8D" w:rsidP="008F4F69">
            <w:pPr>
              <w:widowControl w:val="0"/>
              <w:rPr>
                <w:sz w:val="16"/>
                <w:szCs w:val="16"/>
                <w:lang w:val="es-ES_tradnl"/>
              </w:rPr>
            </w:pPr>
            <w:r w:rsidRPr="00C75C7E">
              <w:rPr>
                <w:sz w:val="16"/>
                <w:szCs w:val="16"/>
                <w:lang w:val="es-ES_tradnl"/>
              </w:rPr>
              <w:t>Número de nuevas subdivisiones introducidas anualmente en la CIP.</w:t>
            </w:r>
          </w:p>
        </w:tc>
        <w:tc>
          <w:tcPr>
            <w:tcW w:w="1156" w:type="pct"/>
            <w:shd w:val="clear" w:color="auto" w:fill="FFFFFF"/>
            <w:tcMar>
              <w:top w:w="113" w:type="dxa"/>
            </w:tcMar>
          </w:tcPr>
          <w:p w:rsidR="00A80F8D" w:rsidRPr="00C75C7E" w:rsidRDefault="00A80F8D" w:rsidP="008F4F69">
            <w:pPr>
              <w:widowControl w:val="0"/>
              <w:rPr>
                <w:sz w:val="16"/>
                <w:szCs w:val="16"/>
                <w:lang w:val="es-ES_tradnl" w:bidi="th-TH"/>
              </w:rPr>
            </w:pPr>
            <w:r w:rsidRPr="00C75C7E">
              <w:rPr>
                <w:sz w:val="16"/>
                <w:szCs w:val="16"/>
                <w:lang w:val="es-ES_tradnl" w:bidi="th-TH"/>
              </w:rPr>
              <w:t>500 nuevos grupos (media 2009-13).</w:t>
            </w:r>
          </w:p>
          <w:p w:rsidR="00A80F8D" w:rsidRPr="00C75C7E" w:rsidRDefault="00A80F8D" w:rsidP="008F4F69">
            <w:pPr>
              <w:widowControl w:val="0"/>
              <w:rPr>
                <w:sz w:val="16"/>
                <w:szCs w:val="16"/>
                <w:lang w:val="es-ES_tradnl" w:bidi="th-TH"/>
              </w:rPr>
            </w:pPr>
          </w:p>
          <w:p w:rsidR="00A80F8D" w:rsidRPr="00C75C7E" w:rsidRDefault="00A80F8D" w:rsidP="008F4F69">
            <w:pPr>
              <w:widowControl w:val="0"/>
              <w:rPr>
                <w:sz w:val="16"/>
                <w:szCs w:val="16"/>
                <w:lang w:val="es-ES_tradnl"/>
              </w:rPr>
            </w:pPr>
          </w:p>
        </w:tc>
        <w:tc>
          <w:tcPr>
            <w:tcW w:w="1082" w:type="pct"/>
            <w:shd w:val="clear" w:color="auto" w:fill="auto"/>
            <w:tcMar>
              <w:top w:w="113" w:type="dxa"/>
            </w:tcMar>
          </w:tcPr>
          <w:p w:rsidR="00A80F8D" w:rsidRPr="00C75C7E" w:rsidRDefault="00A80F8D" w:rsidP="008F4F69">
            <w:pPr>
              <w:widowControl w:val="0"/>
              <w:tabs>
                <w:tab w:val="left" w:pos="2051"/>
              </w:tabs>
              <w:ind w:right="381"/>
              <w:rPr>
                <w:bCs/>
                <w:sz w:val="16"/>
                <w:szCs w:val="16"/>
                <w:lang w:val="es-ES_tradnl"/>
              </w:rPr>
            </w:pPr>
            <w:r w:rsidRPr="00C75C7E">
              <w:rPr>
                <w:bCs/>
                <w:sz w:val="16"/>
                <w:szCs w:val="16"/>
                <w:lang w:val="es-ES_tradnl"/>
              </w:rPr>
              <w:t>800 nuevos grupos por año.</w:t>
            </w:r>
          </w:p>
        </w:tc>
      </w:tr>
      <w:tr w:rsidR="00A80F8D" w:rsidRPr="00C75C7E" w:rsidTr="008F4F69">
        <w:trPr>
          <w:cantSplit/>
        </w:trPr>
        <w:tc>
          <w:tcPr>
            <w:tcW w:w="1249" w:type="pct"/>
            <w:shd w:val="clear" w:color="auto" w:fill="auto"/>
            <w:tcMar>
              <w:top w:w="113" w:type="dxa"/>
            </w:tcMar>
          </w:tcPr>
          <w:p w:rsidR="00A80F8D" w:rsidRPr="00C75C7E" w:rsidRDefault="00A80F8D" w:rsidP="008F4F69">
            <w:pPr>
              <w:widowControl w:val="0"/>
              <w:rPr>
                <w:sz w:val="16"/>
                <w:szCs w:val="16"/>
                <w:lang w:val="es-ES_tradnl"/>
              </w:rPr>
            </w:pPr>
          </w:p>
        </w:tc>
        <w:tc>
          <w:tcPr>
            <w:tcW w:w="1514" w:type="pct"/>
            <w:shd w:val="clear" w:color="auto" w:fill="auto"/>
            <w:tcMar>
              <w:top w:w="113" w:type="dxa"/>
            </w:tcMar>
          </w:tcPr>
          <w:p w:rsidR="00A80F8D" w:rsidRPr="00C75C7E" w:rsidRDefault="00A80F8D" w:rsidP="008F4F69">
            <w:pPr>
              <w:widowControl w:val="0"/>
              <w:rPr>
                <w:sz w:val="16"/>
                <w:szCs w:val="16"/>
                <w:lang w:val="es-ES_tradnl"/>
              </w:rPr>
            </w:pPr>
            <w:r w:rsidRPr="00C75C7E">
              <w:rPr>
                <w:sz w:val="16"/>
                <w:szCs w:val="16"/>
                <w:lang w:val="es-ES_tradnl"/>
              </w:rPr>
              <w:t>Número de normas técnicas modificadas y nuevas normas técnicas adoptadas.</w:t>
            </w:r>
          </w:p>
        </w:tc>
        <w:tc>
          <w:tcPr>
            <w:tcW w:w="1156" w:type="pct"/>
            <w:shd w:val="clear" w:color="auto" w:fill="FFFFFF"/>
            <w:tcMar>
              <w:top w:w="113" w:type="dxa"/>
            </w:tcMar>
          </w:tcPr>
          <w:p w:rsidR="00A80F8D" w:rsidRPr="00C75C7E" w:rsidRDefault="00A80F8D" w:rsidP="008F4F69">
            <w:pPr>
              <w:widowControl w:val="0"/>
              <w:rPr>
                <w:sz w:val="16"/>
                <w:szCs w:val="16"/>
                <w:lang w:val="es-ES_tradnl" w:bidi="th-TH"/>
              </w:rPr>
            </w:pPr>
            <w:r w:rsidRPr="00C75C7E">
              <w:rPr>
                <w:sz w:val="16"/>
                <w:szCs w:val="16"/>
                <w:lang w:val="es-ES_tradnl" w:bidi="th-TH"/>
              </w:rPr>
              <w:t xml:space="preserve">Media </w:t>
            </w:r>
            <w:r w:rsidRPr="002919E0">
              <w:rPr>
                <w:sz w:val="16"/>
                <w:szCs w:val="16"/>
                <w:lang w:val="es-ES_tradnl" w:bidi="th-TH"/>
              </w:rPr>
              <w:t>de 2012/13</w:t>
            </w:r>
            <w:r w:rsidRPr="00C75C7E">
              <w:rPr>
                <w:sz w:val="16"/>
                <w:szCs w:val="16"/>
                <w:lang w:val="es-ES_tradnl" w:bidi="th-TH"/>
              </w:rPr>
              <w:t xml:space="preserve"> </w:t>
            </w:r>
            <w:r w:rsidR="005731F4">
              <w:rPr>
                <w:sz w:val="16"/>
                <w:szCs w:val="16"/>
                <w:lang w:val="es-ES_tradnl" w:bidi="th-TH"/>
              </w:rPr>
              <w:t>(</w:t>
            </w:r>
            <w:r w:rsidRPr="00C75C7E">
              <w:rPr>
                <w:sz w:val="16"/>
                <w:szCs w:val="16"/>
                <w:lang w:val="es-ES_tradnl" w:bidi="th-TH"/>
              </w:rPr>
              <w:t>por determinar</w:t>
            </w:r>
            <w:r w:rsidR="005731F4">
              <w:rPr>
                <w:sz w:val="16"/>
                <w:szCs w:val="16"/>
                <w:lang w:val="es-ES_tradnl" w:bidi="th-TH"/>
              </w:rPr>
              <w:t>)</w:t>
            </w:r>
            <w:r w:rsidRPr="00C75C7E">
              <w:rPr>
                <w:sz w:val="16"/>
                <w:szCs w:val="16"/>
                <w:lang w:val="es-ES_tradnl" w:bidi="th-TH"/>
              </w:rPr>
              <w:t>.</w:t>
            </w:r>
          </w:p>
          <w:p w:rsidR="00A80F8D" w:rsidRPr="00C75C7E" w:rsidRDefault="00A80F8D" w:rsidP="008F4F69">
            <w:pPr>
              <w:widowControl w:val="0"/>
              <w:rPr>
                <w:sz w:val="16"/>
                <w:szCs w:val="16"/>
                <w:lang w:val="es-ES_tradnl"/>
              </w:rPr>
            </w:pPr>
          </w:p>
        </w:tc>
        <w:tc>
          <w:tcPr>
            <w:tcW w:w="1082" w:type="pct"/>
            <w:shd w:val="clear" w:color="auto" w:fill="auto"/>
            <w:tcMar>
              <w:top w:w="113" w:type="dxa"/>
            </w:tcMar>
          </w:tcPr>
          <w:p w:rsidR="00A80F8D" w:rsidRPr="00C75C7E" w:rsidRDefault="00A80F8D" w:rsidP="008F4F69">
            <w:pPr>
              <w:widowControl w:val="0"/>
              <w:ind w:right="51"/>
              <w:rPr>
                <w:bCs/>
                <w:sz w:val="16"/>
                <w:szCs w:val="16"/>
                <w:lang w:val="es-ES_tradnl"/>
              </w:rPr>
            </w:pPr>
            <w:r w:rsidRPr="00C75C7E">
              <w:rPr>
                <w:bCs/>
                <w:sz w:val="16"/>
                <w:szCs w:val="16"/>
                <w:lang w:val="es-ES_tradnl"/>
              </w:rPr>
              <w:t>Aumento en comparación con la referencia.</w:t>
            </w:r>
          </w:p>
        </w:tc>
      </w:tr>
      <w:tr w:rsidR="00A80F8D" w:rsidRPr="00C75C7E" w:rsidTr="008F4F69">
        <w:trPr>
          <w:cantSplit/>
          <w:trHeight w:val="879"/>
        </w:trPr>
        <w:tc>
          <w:tcPr>
            <w:tcW w:w="1249" w:type="pct"/>
            <w:shd w:val="clear" w:color="auto" w:fill="auto"/>
            <w:tcMar>
              <w:top w:w="113" w:type="dxa"/>
            </w:tcMar>
          </w:tcPr>
          <w:p w:rsidR="00A80F8D" w:rsidRPr="00C75C7E" w:rsidRDefault="00A80F8D" w:rsidP="008F4F69">
            <w:pPr>
              <w:widowControl w:val="0"/>
              <w:rPr>
                <w:sz w:val="16"/>
                <w:szCs w:val="16"/>
                <w:lang w:val="es-ES_tradnl"/>
              </w:rPr>
            </w:pPr>
          </w:p>
        </w:tc>
        <w:tc>
          <w:tcPr>
            <w:tcW w:w="1514" w:type="pct"/>
            <w:shd w:val="clear" w:color="auto" w:fill="auto"/>
            <w:tcMar>
              <w:top w:w="113" w:type="dxa"/>
            </w:tcMar>
          </w:tcPr>
          <w:p w:rsidR="00A80F8D" w:rsidRPr="00C75C7E" w:rsidRDefault="00A80F8D" w:rsidP="008F4F69">
            <w:pPr>
              <w:widowControl w:val="0"/>
              <w:rPr>
                <w:sz w:val="16"/>
                <w:szCs w:val="16"/>
                <w:lang w:val="es-ES_tradnl"/>
              </w:rPr>
            </w:pPr>
            <w:r w:rsidRPr="00C75C7E">
              <w:rPr>
                <w:sz w:val="16"/>
                <w:szCs w:val="16"/>
                <w:lang w:val="es-ES_tradnl"/>
              </w:rPr>
              <w:t>Número de usuarios que acceden a las publicaciones en Internet de las clasificaciones y normas internacionales, especialmente de países en desarrollo.</w:t>
            </w:r>
          </w:p>
        </w:tc>
        <w:tc>
          <w:tcPr>
            <w:tcW w:w="1156" w:type="pct"/>
            <w:shd w:val="clear" w:color="auto" w:fill="FFFFFF"/>
            <w:tcMar>
              <w:top w:w="113" w:type="dxa"/>
            </w:tcMar>
          </w:tcPr>
          <w:p w:rsidR="00A80F8D" w:rsidRPr="00C75C7E" w:rsidRDefault="00A80F8D" w:rsidP="008F4F69">
            <w:pPr>
              <w:widowControl w:val="0"/>
              <w:rPr>
                <w:sz w:val="16"/>
                <w:szCs w:val="16"/>
                <w:lang w:val="es-ES_tradnl" w:bidi="th-TH"/>
              </w:rPr>
            </w:pPr>
            <w:r w:rsidRPr="00C75C7E">
              <w:rPr>
                <w:sz w:val="16"/>
                <w:szCs w:val="16"/>
                <w:lang w:val="es-ES_tradnl" w:bidi="th-TH"/>
              </w:rPr>
              <w:t>Por determinar al final de 2013.</w:t>
            </w:r>
          </w:p>
          <w:p w:rsidR="00A80F8D" w:rsidRPr="00C75C7E" w:rsidRDefault="00A80F8D" w:rsidP="008F4F69">
            <w:pPr>
              <w:widowControl w:val="0"/>
              <w:rPr>
                <w:sz w:val="16"/>
                <w:szCs w:val="16"/>
                <w:lang w:val="es-ES_tradnl" w:bidi="th-TH"/>
              </w:rPr>
            </w:pPr>
          </w:p>
          <w:p w:rsidR="00A80F8D" w:rsidRPr="00C75C7E" w:rsidRDefault="00A80F8D" w:rsidP="008F4F69">
            <w:pPr>
              <w:widowControl w:val="0"/>
              <w:rPr>
                <w:sz w:val="16"/>
                <w:szCs w:val="16"/>
                <w:lang w:val="es-ES_tradnl" w:bidi="th-TH"/>
              </w:rPr>
            </w:pPr>
          </w:p>
          <w:p w:rsidR="00A80F8D" w:rsidRPr="00C75C7E" w:rsidRDefault="00A80F8D" w:rsidP="008F4F69">
            <w:pPr>
              <w:widowControl w:val="0"/>
              <w:rPr>
                <w:sz w:val="16"/>
                <w:szCs w:val="16"/>
                <w:lang w:val="es-ES_tradnl" w:bidi="th-TH"/>
              </w:rPr>
            </w:pPr>
          </w:p>
          <w:p w:rsidR="00A80F8D" w:rsidRPr="00C75C7E" w:rsidRDefault="00A80F8D" w:rsidP="008F4F69">
            <w:pPr>
              <w:widowControl w:val="0"/>
              <w:rPr>
                <w:sz w:val="16"/>
                <w:szCs w:val="16"/>
                <w:lang w:val="es-ES_tradnl"/>
              </w:rPr>
            </w:pPr>
          </w:p>
        </w:tc>
        <w:tc>
          <w:tcPr>
            <w:tcW w:w="1082" w:type="pct"/>
            <w:shd w:val="clear" w:color="auto" w:fill="auto"/>
            <w:tcMar>
              <w:top w:w="113" w:type="dxa"/>
            </w:tcMar>
          </w:tcPr>
          <w:p w:rsidR="00A80F8D" w:rsidRPr="00C75C7E" w:rsidRDefault="00A80F8D" w:rsidP="008F4F69">
            <w:pPr>
              <w:widowControl w:val="0"/>
              <w:ind w:right="161"/>
              <w:rPr>
                <w:bCs/>
                <w:sz w:val="16"/>
                <w:szCs w:val="16"/>
                <w:lang w:val="es-ES_tradnl"/>
              </w:rPr>
            </w:pPr>
            <w:r w:rsidRPr="00C75C7E">
              <w:rPr>
                <w:bCs/>
                <w:sz w:val="16"/>
                <w:szCs w:val="16"/>
                <w:lang w:val="es-ES_tradnl"/>
              </w:rPr>
              <w:t>Aumento en comparación con la referencia.</w:t>
            </w:r>
          </w:p>
        </w:tc>
      </w:tr>
    </w:tbl>
    <w:p w:rsidR="00A80F8D" w:rsidRDefault="00A80F8D" w:rsidP="00C739DE">
      <w:pPr>
        <w:widowControl w:val="0"/>
        <w:tabs>
          <w:tab w:val="left" w:pos="567"/>
          <w:tab w:val="left" w:pos="1985"/>
        </w:tabs>
        <w:rPr>
          <w:bCs/>
          <w:sz w:val="20"/>
          <w:lang w:val="es-ES_tradnl"/>
        </w:rPr>
      </w:pPr>
    </w:p>
    <w:p w:rsidR="00C739DE" w:rsidRPr="00C75C7E" w:rsidRDefault="00C739DE" w:rsidP="00C739DE">
      <w:pPr>
        <w:widowControl w:val="0"/>
        <w:tabs>
          <w:tab w:val="left" w:pos="567"/>
          <w:tab w:val="left" w:pos="1985"/>
        </w:tabs>
        <w:rPr>
          <w:bCs/>
          <w:sz w:val="20"/>
          <w:lang w:val="es-ES_tradnl"/>
        </w:rPr>
      </w:pPr>
    </w:p>
    <w:p w:rsidR="00C739DE" w:rsidRPr="00F039C2" w:rsidRDefault="00C739DE" w:rsidP="00C739DE">
      <w:pPr>
        <w:widowControl w:val="0"/>
        <w:autoSpaceDE w:val="0"/>
        <w:autoSpaceDN w:val="0"/>
        <w:adjustRightInd w:val="0"/>
        <w:jc w:val="both"/>
        <w:rPr>
          <w:szCs w:val="22"/>
        </w:rPr>
      </w:pPr>
      <w:r w:rsidRPr="00F039C2">
        <w:rPr>
          <w:szCs w:val="22"/>
        </w:rPr>
        <w:t>RECURSOS PARA EL PROGRAMA 12</w:t>
      </w:r>
    </w:p>
    <w:p w:rsidR="00C739DE" w:rsidRPr="00CA3895" w:rsidRDefault="00C739DE" w:rsidP="00C739DE">
      <w:pPr>
        <w:widowControl w:val="0"/>
        <w:jc w:val="both"/>
        <w:rPr>
          <w:sz w:val="20"/>
        </w:rPr>
      </w:pPr>
    </w:p>
    <w:p w:rsidR="00C739DE" w:rsidRPr="00F039C2" w:rsidRDefault="00C739DE" w:rsidP="00BA276E">
      <w:pPr>
        <w:widowControl w:val="0"/>
        <w:numPr>
          <w:ilvl w:val="0"/>
          <w:numId w:val="34"/>
        </w:numPr>
        <w:jc w:val="both"/>
        <w:rPr>
          <w:sz w:val="20"/>
        </w:rPr>
      </w:pPr>
      <w:r w:rsidRPr="00F039C2">
        <w:rPr>
          <w:sz w:val="20"/>
        </w:rPr>
        <w:t xml:space="preserve">El muy leve aumento en los recursos para el resultado IV.1 (Clasificaciones internacionales y normas técnicas de la OMPI) se debe a los aumentos reglamentarios en los costos de personal. </w:t>
      </w:r>
      <w:r>
        <w:rPr>
          <w:sz w:val="20"/>
        </w:rPr>
        <w:t xml:space="preserve"> </w:t>
      </w:r>
      <w:r w:rsidRPr="00F039C2">
        <w:rPr>
          <w:sz w:val="20"/>
        </w:rPr>
        <w:t>Los recursos no relativos al personal disminuirán ligeramente como resultado de los ahorros previstos en los costos de viaje y las reducciones en los servicios contractuales.</w:t>
      </w:r>
    </w:p>
    <w:p w:rsidR="00A80F8D" w:rsidRDefault="00A80F8D" w:rsidP="00A80F8D">
      <w:pPr>
        <w:widowControl w:val="0"/>
        <w:autoSpaceDE w:val="0"/>
        <w:autoSpaceDN w:val="0"/>
        <w:adjustRightInd w:val="0"/>
        <w:jc w:val="center"/>
        <w:rPr>
          <w:b/>
          <w:bCs/>
          <w:iCs/>
          <w:sz w:val="20"/>
        </w:rPr>
      </w:pPr>
    </w:p>
    <w:p w:rsidR="00400B23" w:rsidRPr="00C739DE" w:rsidRDefault="00400B23" w:rsidP="00A80F8D">
      <w:pPr>
        <w:widowControl w:val="0"/>
        <w:autoSpaceDE w:val="0"/>
        <w:autoSpaceDN w:val="0"/>
        <w:adjustRightInd w:val="0"/>
        <w:jc w:val="center"/>
        <w:rPr>
          <w:b/>
          <w:bCs/>
          <w:iCs/>
          <w:sz w:val="20"/>
        </w:rPr>
      </w:pPr>
    </w:p>
    <w:p w:rsidR="00A80F8D" w:rsidRPr="00C75C7E" w:rsidRDefault="005731F4" w:rsidP="00A80F8D">
      <w:pPr>
        <w:widowControl w:val="0"/>
        <w:autoSpaceDE w:val="0"/>
        <w:autoSpaceDN w:val="0"/>
        <w:adjustRightInd w:val="0"/>
        <w:jc w:val="center"/>
        <w:rPr>
          <w:b/>
          <w:bCs/>
          <w:iCs/>
          <w:sz w:val="20"/>
          <w:lang w:val="es-ES_tradnl"/>
        </w:rPr>
      </w:pPr>
      <w:r>
        <w:rPr>
          <w:b/>
          <w:bCs/>
          <w:iCs/>
          <w:sz w:val="20"/>
          <w:lang w:val="es-ES_tradnl"/>
        </w:rPr>
        <w:t xml:space="preserve">Programa 12:  </w:t>
      </w:r>
      <w:r w:rsidR="00A80F8D" w:rsidRPr="00C75C7E">
        <w:rPr>
          <w:b/>
          <w:bCs/>
          <w:iCs/>
          <w:sz w:val="20"/>
          <w:lang w:val="es-ES_tradnl"/>
        </w:rPr>
        <w:t>Recursos por resultado</w:t>
      </w:r>
    </w:p>
    <w:p w:rsidR="00A80F8D" w:rsidRPr="00C75C7E" w:rsidRDefault="00A80F8D" w:rsidP="00A80F8D">
      <w:pPr>
        <w:widowControl w:val="0"/>
        <w:autoSpaceDE w:val="0"/>
        <w:autoSpaceDN w:val="0"/>
        <w:adjustRightInd w:val="0"/>
        <w:jc w:val="center"/>
        <w:rPr>
          <w:bCs/>
          <w:i/>
          <w:sz w:val="20"/>
          <w:lang w:val="es-ES_tradnl"/>
        </w:rPr>
      </w:pPr>
      <w:r w:rsidRPr="00C75C7E">
        <w:rPr>
          <w:bCs/>
          <w:i/>
          <w:sz w:val="20"/>
          <w:lang w:val="es-ES_tradnl"/>
        </w:rPr>
        <w:t>(en miles de francos suizos)</w:t>
      </w:r>
    </w:p>
    <w:p w:rsidR="00A80F8D" w:rsidRPr="00C75C7E" w:rsidRDefault="00A80F8D" w:rsidP="00A80F8D">
      <w:pPr>
        <w:widowControl w:val="0"/>
        <w:autoSpaceDE w:val="0"/>
        <w:autoSpaceDN w:val="0"/>
        <w:adjustRightInd w:val="0"/>
        <w:jc w:val="center"/>
        <w:rPr>
          <w:sz w:val="20"/>
          <w:lang w:val="es-ES_tradnl"/>
        </w:rPr>
      </w:pPr>
    </w:p>
    <w:p w:rsidR="00A80F8D" w:rsidRPr="00C75C7E" w:rsidRDefault="00C40A11" w:rsidP="00A80F8D">
      <w:pPr>
        <w:widowControl w:val="0"/>
        <w:jc w:val="center"/>
        <w:rPr>
          <w:lang w:val="es-ES_tradnl"/>
        </w:rPr>
      </w:pPr>
      <w:r>
        <w:rPr>
          <w:noProof/>
          <w:lang w:val="en-US" w:eastAsia="en-US"/>
        </w:rPr>
        <w:drawing>
          <wp:inline distT="0" distB="0" distL="0" distR="0" wp14:anchorId="600337FE" wp14:editId="7687F9A4">
            <wp:extent cx="5886450" cy="1466850"/>
            <wp:effectExtent l="0" t="0" r="0" b="0"/>
            <wp:docPr id="47"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886450" cy="1466850"/>
                    </a:xfrm>
                    <a:prstGeom prst="rect">
                      <a:avLst/>
                    </a:prstGeom>
                    <a:noFill/>
                    <a:ln>
                      <a:noFill/>
                    </a:ln>
                  </pic:spPr>
                </pic:pic>
              </a:graphicData>
            </a:graphic>
          </wp:inline>
        </w:drawing>
      </w:r>
    </w:p>
    <w:p w:rsidR="00A80F8D" w:rsidRPr="00C75C7E" w:rsidRDefault="00A80F8D" w:rsidP="00A80F8D">
      <w:pPr>
        <w:widowControl w:val="0"/>
        <w:jc w:val="center"/>
        <w:rPr>
          <w:sz w:val="20"/>
          <w:lang w:val="es-ES_tradnl"/>
        </w:rPr>
      </w:pPr>
    </w:p>
    <w:p w:rsidR="00A80F8D" w:rsidRPr="00C75C7E" w:rsidRDefault="00A80F8D" w:rsidP="00A80F8D">
      <w:pPr>
        <w:widowControl w:val="0"/>
        <w:autoSpaceDE w:val="0"/>
        <w:autoSpaceDN w:val="0"/>
        <w:adjustRightInd w:val="0"/>
        <w:rPr>
          <w:sz w:val="20"/>
          <w:lang w:val="es-ES_tradnl"/>
        </w:rPr>
      </w:pPr>
      <w:r w:rsidRPr="00C75C7E">
        <w:rPr>
          <w:sz w:val="16"/>
          <w:szCs w:val="16"/>
          <w:lang w:val="es-ES_tradnl"/>
        </w:rPr>
        <w:t>Nota: Se ha reexpresado el presupuesto aprobado de 2012/13 y el presupuesto de dicho bienio después de las transferencias, por resultado previsto, para reflejar el marco de resultados de la Organización propuesto para 2014/15.</w:t>
      </w:r>
    </w:p>
    <w:p w:rsidR="00A80F8D" w:rsidRPr="00C75C7E" w:rsidRDefault="00A80F8D" w:rsidP="00A80F8D">
      <w:pPr>
        <w:widowControl w:val="0"/>
        <w:jc w:val="both"/>
        <w:rPr>
          <w:sz w:val="20"/>
          <w:lang w:val="es-ES_tradnl"/>
        </w:rPr>
      </w:pPr>
    </w:p>
    <w:p w:rsidR="00A80F8D" w:rsidRPr="00C75C7E" w:rsidRDefault="005731F4" w:rsidP="00C739DE">
      <w:pPr>
        <w:keepNext/>
        <w:widowControl w:val="0"/>
        <w:autoSpaceDE w:val="0"/>
        <w:autoSpaceDN w:val="0"/>
        <w:adjustRightInd w:val="0"/>
        <w:jc w:val="center"/>
        <w:rPr>
          <w:b/>
          <w:bCs/>
          <w:iCs/>
          <w:sz w:val="20"/>
          <w:lang w:val="es-ES_tradnl"/>
        </w:rPr>
      </w:pPr>
      <w:r>
        <w:rPr>
          <w:b/>
          <w:bCs/>
          <w:iCs/>
          <w:sz w:val="20"/>
          <w:lang w:val="es-ES_tradnl"/>
        </w:rPr>
        <w:lastRenderedPageBreak/>
        <w:t xml:space="preserve">Programa 12:  </w:t>
      </w:r>
      <w:r w:rsidR="00A80F8D" w:rsidRPr="00C75C7E">
        <w:rPr>
          <w:b/>
          <w:bCs/>
          <w:iCs/>
          <w:sz w:val="20"/>
          <w:lang w:val="es-ES_tradnl"/>
        </w:rPr>
        <w:t>Recursos por objeto de gasto</w:t>
      </w:r>
    </w:p>
    <w:p w:rsidR="00A80F8D" w:rsidRPr="00C75C7E" w:rsidRDefault="00A80F8D" w:rsidP="00C739DE">
      <w:pPr>
        <w:keepNext/>
        <w:widowControl w:val="0"/>
        <w:autoSpaceDE w:val="0"/>
        <w:autoSpaceDN w:val="0"/>
        <w:adjustRightInd w:val="0"/>
        <w:jc w:val="center"/>
        <w:rPr>
          <w:bCs/>
          <w:i/>
          <w:sz w:val="20"/>
          <w:lang w:val="es-ES_tradnl"/>
        </w:rPr>
      </w:pPr>
      <w:r w:rsidRPr="00C75C7E">
        <w:rPr>
          <w:bCs/>
          <w:i/>
          <w:sz w:val="20"/>
          <w:lang w:val="es-ES_tradnl"/>
        </w:rPr>
        <w:t>(en miles de francos suizos)</w:t>
      </w:r>
    </w:p>
    <w:p w:rsidR="00A80F8D" w:rsidRDefault="00A80F8D" w:rsidP="00C739DE">
      <w:pPr>
        <w:keepNext/>
        <w:widowControl w:val="0"/>
        <w:jc w:val="center"/>
        <w:rPr>
          <w:sz w:val="20"/>
          <w:lang w:val="es-ES_tradnl"/>
        </w:rPr>
      </w:pPr>
    </w:p>
    <w:p w:rsidR="001E5683" w:rsidRPr="00C75C7E" w:rsidRDefault="00C40A11" w:rsidP="00C739DE">
      <w:pPr>
        <w:keepNext/>
        <w:widowControl w:val="0"/>
        <w:jc w:val="center"/>
        <w:rPr>
          <w:sz w:val="20"/>
          <w:lang w:val="es-ES_tradnl"/>
        </w:rPr>
      </w:pPr>
      <w:r>
        <w:rPr>
          <w:noProof/>
          <w:lang w:val="en-US" w:eastAsia="en-US"/>
        </w:rPr>
        <w:drawing>
          <wp:inline distT="0" distB="0" distL="0" distR="0" wp14:anchorId="5980F7C5" wp14:editId="43AE2FAF">
            <wp:extent cx="5936615" cy="5739130"/>
            <wp:effectExtent l="0" t="0" r="698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936615" cy="5739130"/>
                    </a:xfrm>
                    <a:prstGeom prst="rect">
                      <a:avLst/>
                    </a:prstGeom>
                    <a:noFill/>
                    <a:ln>
                      <a:noFill/>
                    </a:ln>
                  </pic:spPr>
                </pic:pic>
              </a:graphicData>
            </a:graphic>
          </wp:inline>
        </w:drawing>
      </w:r>
    </w:p>
    <w:p w:rsidR="00A80F8D" w:rsidRPr="00C75C7E" w:rsidRDefault="00A80F8D" w:rsidP="00A80F8D">
      <w:pPr>
        <w:widowControl w:val="0"/>
        <w:rPr>
          <w:sz w:val="20"/>
          <w:lang w:val="es-ES_tradnl"/>
        </w:rPr>
      </w:pPr>
    </w:p>
    <w:p w:rsidR="00A80F8D" w:rsidRPr="00C75C7E" w:rsidRDefault="00A80F8D" w:rsidP="00A80F8D">
      <w:pPr>
        <w:widowControl w:val="0"/>
        <w:rPr>
          <w:sz w:val="16"/>
          <w:szCs w:val="16"/>
          <w:lang w:val="es-ES_tradnl"/>
        </w:rPr>
      </w:pPr>
      <w:r w:rsidRPr="00C75C7E">
        <w:rPr>
          <w:sz w:val="16"/>
          <w:szCs w:val="16"/>
          <w:lang w:val="es-ES_tradnl"/>
        </w:rPr>
        <w:t>Notas:</w:t>
      </w:r>
    </w:p>
    <w:p w:rsidR="00A80F8D" w:rsidRPr="00C75C7E" w:rsidRDefault="00A80F8D" w:rsidP="00A80F8D">
      <w:pPr>
        <w:widowControl w:val="0"/>
        <w:rPr>
          <w:sz w:val="16"/>
          <w:szCs w:val="16"/>
          <w:u w:val="single"/>
          <w:lang w:val="es-ES_tradnl"/>
        </w:rPr>
      </w:pPr>
    </w:p>
    <w:p w:rsidR="00A80F8D" w:rsidRDefault="003C4E55" w:rsidP="00A80F8D">
      <w:pPr>
        <w:widowControl w:val="0"/>
        <w:tabs>
          <w:tab w:val="left" w:pos="567"/>
        </w:tabs>
        <w:rPr>
          <w:sz w:val="16"/>
          <w:szCs w:val="16"/>
          <w:lang w:val="es-ES_tradnl"/>
        </w:rPr>
      </w:pPr>
      <w:r>
        <w:rPr>
          <w:sz w:val="16"/>
          <w:szCs w:val="16"/>
          <w:lang w:val="es-ES_tradnl"/>
        </w:rPr>
        <w:t xml:space="preserve">1)  </w:t>
      </w:r>
      <w:r w:rsidR="00A80F8D" w:rsidRPr="00C75C7E">
        <w:rPr>
          <w:sz w:val="16"/>
          <w:szCs w:val="16"/>
          <w:lang w:val="es-ES_tradnl"/>
        </w:rPr>
        <w:t>El presupuesto aprobado de 2012/13 y el presupuesto de dicho bienio después de las transferencias se reexpresan sobre la base de la estructura de categorías de costos propuesta para 2014/15.</w:t>
      </w:r>
    </w:p>
    <w:p w:rsidR="00A80F8D" w:rsidRPr="00C75C7E" w:rsidRDefault="00A80F8D" w:rsidP="00A80F8D">
      <w:pPr>
        <w:widowControl w:val="0"/>
        <w:tabs>
          <w:tab w:val="left" w:pos="567"/>
        </w:tabs>
        <w:rPr>
          <w:sz w:val="16"/>
          <w:szCs w:val="16"/>
          <w:lang w:val="es-ES_tradnl"/>
        </w:rPr>
      </w:pPr>
    </w:p>
    <w:p w:rsidR="00A80F8D" w:rsidRDefault="00A80F8D" w:rsidP="00A80F8D">
      <w:pPr>
        <w:widowControl w:val="0"/>
        <w:tabs>
          <w:tab w:val="left" w:pos="567"/>
        </w:tabs>
        <w:rPr>
          <w:rFonts w:cs="ArialMT"/>
          <w:sz w:val="16"/>
          <w:szCs w:val="16"/>
          <w:lang w:val="es-ES_tradnl"/>
        </w:rPr>
      </w:pPr>
      <w:r>
        <w:rPr>
          <w:sz w:val="16"/>
          <w:szCs w:val="16"/>
          <w:lang w:val="es-ES_tradnl"/>
        </w:rPr>
        <w:t>2)</w:t>
      </w:r>
      <w:r w:rsidR="003C4E55">
        <w:rPr>
          <w:sz w:val="16"/>
          <w:szCs w:val="16"/>
          <w:lang w:val="es-ES_tradnl"/>
        </w:rPr>
        <w:t xml:space="preserve">  </w:t>
      </w:r>
      <w:r w:rsidRPr="00C75C7E">
        <w:rPr>
          <w:sz w:val="16"/>
          <w:szCs w:val="16"/>
          <w:lang w:val="es-ES_tradnl"/>
        </w:rPr>
        <w:t xml:space="preserve">El presupuesto después de las transferencias refleja el presupuesto de los programas ajustado tras las transferencias efectuadas en 2012/13 en virtud del artículo 5.5 del Reglamento Financiero. Para más información sobre el presupuesto de 2012/13 después de las transferencias, cabe remitirse al cuadro que figura en el Anexo I (Presupuesto después de las transferencias, por programa) del presente documento y al documento WO/PBC/20/2 (Informe sobre el rendimiento de los programas en 2012).  </w:t>
      </w:r>
      <w:r w:rsidRPr="00C75C7E">
        <w:rPr>
          <w:rFonts w:cs="ArialMT"/>
          <w:sz w:val="16"/>
          <w:szCs w:val="16"/>
          <w:lang w:val="es-ES_tradnl"/>
        </w:rPr>
        <w:t xml:space="preserve">Los costos de personal del presupuesto de 2012/13 después de las transferencias representan los gastos reales efectuados hasta el 31 de marzo de 2013 y los importes presupuestados para los nueve meses restantes de 2013, sobre la base de </w:t>
      </w:r>
      <w:r w:rsidRPr="007045EB">
        <w:rPr>
          <w:sz w:val="16"/>
          <w:szCs w:val="16"/>
          <w:lang w:val="es-ES_tradnl"/>
        </w:rPr>
        <w:t>costos</w:t>
      </w:r>
      <w:r w:rsidRPr="00C75C7E">
        <w:rPr>
          <w:rFonts w:cs="ArialMT"/>
          <w:sz w:val="16"/>
          <w:szCs w:val="16"/>
          <w:lang w:val="es-ES_tradnl"/>
        </w:rPr>
        <w:t xml:space="preserve"> estándar.</w:t>
      </w:r>
    </w:p>
    <w:p w:rsidR="00A80F8D" w:rsidRPr="00C75C7E" w:rsidRDefault="00A80F8D" w:rsidP="00A80F8D">
      <w:pPr>
        <w:widowControl w:val="0"/>
        <w:tabs>
          <w:tab w:val="left" w:pos="567"/>
        </w:tabs>
        <w:rPr>
          <w:sz w:val="16"/>
          <w:szCs w:val="16"/>
          <w:lang w:val="es-ES_tradnl"/>
        </w:rPr>
      </w:pPr>
    </w:p>
    <w:p w:rsidR="00A80F8D" w:rsidRPr="00C75C7E" w:rsidRDefault="00A80F8D" w:rsidP="00A80F8D">
      <w:pPr>
        <w:widowControl w:val="0"/>
        <w:spacing w:after="120"/>
        <w:rPr>
          <w:sz w:val="20"/>
          <w:lang w:val="es-ES_tradnl"/>
        </w:rPr>
      </w:pPr>
      <w:r>
        <w:rPr>
          <w:sz w:val="16"/>
          <w:szCs w:val="16"/>
          <w:lang w:val="es-ES_tradnl"/>
        </w:rPr>
        <w:t>3)</w:t>
      </w:r>
      <w:r w:rsidR="003C4E55">
        <w:rPr>
          <w:sz w:val="16"/>
          <w:szCs w:val="16"/>
          <w:lang w:val="es-ES_tradnl"/>
        </w:rPr>
        <w:t xml:space="preserve">  </w:t>
      </w:r>
      <w:r w:rsidRPr="00C75C7E">
        <w:rPr>
          <w:sz w:val="16"/>
          <w:szCs w:val="16"/>
          <w:lang w:val="es-ES_tradnl"/>
        </w:rPr>
        <w:t>Para más información sobre los puestos del programa cabe remitirse al cuadro que figura en el Anexo II.</w:t>
      </w:r>
    </w:p>
    <w:p w:rsidR="00C739DE" w:rsidRPr="00400B23" w:rsidRDefault="00A80F8D" w:rsidP="00400B23">
      <w:pPr>
        <w:pStyle w:val="Heading3"/>
        <w:tabs>
          <w:tab w:val="left" w:pos="1985"/>
        </w:tabs>
        <w:rPr>
          <w:b/>
          <w:iCs/>
          <w:caps/>
          <w:u w:val="none"/>
        </w:rPr>
      </w:pPr>
      <w:r w:rsidRPr="00C75C7E">
        <w:rPr>
          <w:sz w:val="20"/>
          <w:lang w:val="es-ES_tradnl"/>
        </w:rPr>
        <w:br w:type="page"/>
      </w:r>
      <w:bookmarkStart w:id="50" w:name="_Toc358816701"/>
      <w:bookmarkStart w:id="51" w:name="_Toc356567763"/>
      <w:r w:rsidR="006A15F5" w:rsidRPr="00400B23">
        <w:rPr>
          <w:b/>
          <w:iCs/>
          <w:u w:val="none"/>
        </w:rPr>
        <w:lastRenderedPageBreak/>
        <w:t>PROGRAMA 13</w:t>
      </w:r>
      <w:r w:rsidR="006A15F5" w:rsidRPr="00400B23">
        <w:rPr>
          <w:b/>
          <w:iCs/>
          <w:u w:val="none"/>
        </w:rPr>
        <w:tab/>
        <w:t>BASES DE DATOS MUNDIALES</w:t>
      </w:r>
      <w:bookmarkEnd w:id="50"/>
      <w:r w:rsidR="006A15F5" w:rsidRPr="00400B23">
        <w:rPr>
          <w:b/>
          <w:iCs/>
          <w:u w:val="none"/>
        </w:rPr>
        <w:t xml:space="preserve"> </w:t>
      </w:r>
      <w:bookmarkEnd w:id="51"/>
    </w:p>
    <w:p w:rsidR="00C739DE" w:rsidRPr="005731F4" w:rsidRDefault="00C739DE" w:rsidP="006A15F5">
      <w:pPr>
        <w:rPr>
          <w:sz w:val="20"/>
          <w:lang w:eastAsia="en-US"/>
        </w:rPr>
      </w:pPr>
    </w:p>
    <w:p w:rsidR="00C739DE" w:rsidRPr="005731F4" w:rsidRDefault="00C739DE" w:rsidP="006A15F5">
      <w:pPr>
        <w:rPr>
          <w:rFonts w:cs="Times New Roman"/>
          <w:sz w:val="20"/>
          <w:lang w:eastAsia="en-US"/>
        </w:rPr>
      </w:pPr>
    </w:p>
    <w:p w:rsidR="00C739DE" w:rsidRPr="00C739DE" w:rsidRDefault="00C739DE" w:rsidP="00C739DE">
      <w:pPr>
        <w:widowControl w:val="0"/>
        <w:ind w:left="1985" w:hanging="1985"/>
        <w:jc w:val="both"/>
        <w:rPr>
          <w:rFonts w:eastAsia="Times New Roman"/>
          <w:szCs w:val="22"/>
          <w:lang w:eastAsia="en-US"/>
        </w:rPr>
      </w:pPr>
      <w:r w:rsidRPr="00C739DE">
        <w:rPr>
          <w:rFonts w:eastAsia="Times New Roman"/>
          <w:szCs w:val="22"/>
          <w:lang w:eastAsia="en-US"/>
        </w:rPr>
        <w:t xml:space="preserve">CONTEXTO DE PLANIFICACIÓN </w:t>
      </w:r>
    </w:p>
    <w:p w:rsidR="00C739DE" w:rsidRPr="00C739DE" w:rsidRDefault="00C739DE" w:rsidP="00C739DE">
      <w:pPr>
        <w:widowControl w:val="0"/>
        <w:rPr>
          <w:rFonts w:eastAsia="Times New Roman" w:cs="Times New Roman"/>
          <w:sz w:val="20"/>
          <w:lang w:eastAsia="en-US"/>
        </w:rPr>
      </w:pPr>
    </w:p>
    <w:p w:rsidR="00C739DE" w:rsidRPr="00C739DE" w:rsidRDefault="00C739DE" w:rsidP="00BA276E">
      <w:pPr>
        <w:widowControl w:val="0"/>
        <w:numPr>
          <w:ilvl w:val="0"/>
          <w:numId w:val="35"/>
        </w:numPr>
        <w:autoSpaceDE w:val="0"/>
        <w:autoSpaceDN w:val="0"/>
        <w:adjustRightInd w:val="0"/>
        <w:jc w:val="both"/>
        <w:rPr>
          <w:rFonts w:eastAsia="Times New Roman"/>
          <w:sz w:val="20"/>
          <w:lang w:eastAsia="en-US"/>
        </w:rPr>
      </w:pPr>
      <w:r w:rsidRPr="00C739DE">
        <w:rPr>
          <w:rFonts w:eastAsia="Times New Roman"/>
          <w:sz w:val="20"/>
          <w:lang w:eastAsia="en-US"/>
        </w:rPr>
        <w:t xml:space="preserve">La OMPI contribuye a la creación de la infraestructura mundial de P.I. proporcionando conocimientos de P.I. en forma de bienes públicos, disponibles por medio de las bases de datos mundiales.  En las bases de datos mundiales de la OMPI, como PATENTSCOPE y la Base Mundial de Datos sobre Marcas, figuran datos de las colecciones del PCT, Madrid, Lisboa y de emblemas protegidos en virtud del artículo 6ter del Convenio de París.  Asimismo, las bases de datos contienen solicitudes y registros nacionales y regionales aportados por las oficinas de P.I., que han acordado cooperar a la expansión de la cobertura de la base de datos.  </w:t>
      </w:r>
      <w:r w:rsidRPr="00C739DE">
        <w:rPr>
          <w:rFonts w:eastAsia="Times New Roman"/>
          <w:sz w:val="20"/>
          <w:lang w:eastAsia="es-ES"/>
        </w:rPr>
        <w:t>Dos desafíos</w:t>
      </w:r>
      <w:r w:rsidRPr="00C739DE">
        <w:rPr>
          <w:rFonts w:eastAsia="Times New Roman"/>
          <w:sz w:val="20"/>
          <w:lang w:eastAsia="en-US"/>
        </w:rPr>
        <w:t xml:space="preserve"> </w:t>
      </w:r>
      <w:r w:rsidRPr="00C739DE">
        <w:rPr>
          <w:rFonts w:eastAsia="Times New Roman"/>
          <w:sz w:val="20"/>
          <w:lang w:eastAsia="es-ES"/>
        </w:rPr>
        <w:t>fundamentales tienen que ver con el tratamiento, a los fines de la captura, de las fuentes de datos originales, que a menudo</w:t>
      </w:r>
      <w:r w:rsidRPr="00C739DE">
        <w:rPr>
          <w:rFonts w:eastAsia="Times New Roman"/>
          <w:sz w:val="20"/>
          <w:lang w:eastAsia="en-US"/>
        </w:rPr>
        <w:t xml:space="preserve"> </w:t>
      </w:r>
      <w:r w:rsidRPr="00C739DE">
        <w:rPr>
          <w:rFonts w:eastAsia="Times New Roman"/>
          <w:sz w:val="20"/>
          <w:lang w:eastAsia="es-ES"/>
        </w:rPr>
        <w:t>existen en distintos formatos y son de diversa calidad, y la elaboración de</w:t>
      </w:r>
      <w:r w:rsidRPr="00C739DE">
        <w:rPr>
          <w:rFonts w:eastAsia="Times New Roman"/>
          <w:sz w:val="20"/>
          <w:lang w:eastAsia="en-US"/>
        </w:rPr>
        <w:t xml:space="preserve"> </w:t>
      </w:r>
      <w:r w:rsidRPr="00C739DE">
        <w:rPr>
          <w:rFonts w:eastAsia="Times New Roman"/>
          <w:sz w:val="20"/>
          <w:lang w:eastAsia="es-ES"/>
        </w:rPr>
        <w:t>herramientas eficaces para efectuar búsquedas plurilingües y de imágenes.</w:t>
      </w:r>
      <w:r w:rsidRPr="00C739DE">
        <w:rPr>
          <w:rFonts w:eastAsia="Times New Roman"/>
          <w:sz w:val="20"/>
          <w:lang w:eastAsia="en-US"/>
        </w:rPr>
        <w:t xml:space="preserve">  </w:t>
      </w:r>
      <w:r w:rsidRPr="00C739DE">
        <w:rPr>
          <w:rFonts w:eastAsia="Times New Roman"/>
          <w:sz w:val="20"/>
          <w:lang w:eastAsia="es-ES"/>
        </w:rPr>
        <w:t>El programa</w:t>
      </w:r>
      <w:r w:rsidRPr="00C739DE">
        <w:rPr>
          <w:rFonts w:eastAsia="Times New Roman"/>
          <w:sz w:val="20"/>
          <w:lang w:eastAsia="en-US"/>
        </w:rPr>
        <w:t xml:space="preserve"> </w:t>
      </w:r>
      <w:r w:rsidRPr="00C739DE">
        <w:rPr>
          <w:rFonts w:eastAsia="Times New Roman"/>
          <w:sz w:val="20"/>
          <w:lang w:eastAsia="es-ES"/>
        </w:rPr>
        <w:t>proporciona apoyo a la aplicación de las recomendaciones 24 y 31 de la A.D., creando la oportunidad de fomentar la transferencia de tecnología y salvar la brecha</w:t>
      </w:r>
      <w:r w:rsidRPr="00C739DE">
        <w:rPr>
          <w:rFonts w:eastAsia="Times New Roman"/>
          <w:sz w:val="20"/>
          <w:lang w:eastAsia="en-US"/>
        </w:rPr>
        <w:t xml:space="preserve"> </w:t>
      </w:r>
      <w:r w:rsidRPr="00C739DE">
        <w:rPr>
          <w:rFonts w:eastAsia="Times New Roman"/>
          <w:sz w:val="20"/>
          <w:lang w:eastAsia="es-ES"/>
        </w:rPr>
        <w:t>digital al facilitar el acceso plurilingüe a los documentos y ampliar la gama de los documentos en los</w:t>
      </w:r>
      <w:r w:rsidRPr="00C739DE">
        <w:rPr>
          <w:rFonts w:eastAsia="Times New Roman"/>
          <w:sz w:val="20"/>
          <w:lang w:eastAsia="en-US"/>
        </w:rPr>
        <w:t xml:space="preserve"> </w:t>
      </w:r>
      <w:r w:rsidRPr="00C739DE">
        <w:rPr>
          <w:rFonts w:eastAsia="Times New Roman"/>
          <w:sz w:val="20"/>
          <w:lang w:eastAsia="es-ES"/>
        </w:rPr>
        <w:t>que es posible efectuar búsquedas, así como su alcance.  Las bases de datos contribuyen a reducir la brecha de los conocimientos mediante el fomento de la utilización de información sobre P.I., también en los países en desarrollo y en los PMA, y a proporcionar datos para promover la innovación.  Igualmente, el programa vela por la publicación de las solicitudes internacionales PCT.  Los servicios de las bases de datos mundiales de la OMPI sirven de base y de apoyo a la ejecución de los programas 14 (Servicios de acceso a la información y a los conocimientos) y 15 (Soluciones operativas para las oficinas de P.I.).</w:t>
      </w:r>
    </w:p>
    <w:p w:rsidR="00C739DE" w:rsidRDefault="00C739DE" w:rsidP="00C739DE">
      <w:pPr>
        <w:widowControl w:val="0"/>
        <w:autoSpaceDE w:val="0"/>
        <w:autoSpaceDN w:val="0"/>
        <w:adjustRightInd w:val="0"/>
        <w:jc w:val="both"/>
        <w:rPr>
          <w:rFonts w:eastAsia="Times New Roman"/>
          <w:sz w:val="20"/>
          <w:lang w:eastAsia="en-US"/>
        </w:rPr>
      </w:pPr>
    </w:p>
    <w:p w:rsidR="00400B23" w:rsidRPr="00C739DE" w:rsidRDefault="00400B23" w:rsidP="00C739DE">
      <w:pPr>
        <w:widowControl w:val="0"/>
        <w:autoSpaceDE w:val="0"/>
        <w:autoSpaceDN w:val="0"/>
        <w:adjustRightInd w:val="0"/>
        <w:jc w:val="both"/>
        <w:rPr>
          <w:rFonts w:eastAsia="Times New Roman"/>
          <w:sz w:val="20"/>
          <w:lang w:eastAsia="en-US"/>
        </w:rPr>
      </w:pPr>
    </w:p>
    <w:p w:rsidR="00C739DE" w:rsidRPr="00C739DE" w:rsidRDefault="00C739DE" w:rsidP="00C739DE">
      <w:pPr>
        <w:widowControl w:val="0"/>
        <w:jc w:val="both"/>
        <w:rPr>
          <w:rFonts w:eastAsia="Times New Roman"/>
          <w:szCs w:val="22"/>
          <w:lang w:eastAsia="en-US"/>
        </w:rPr>
      </w:pPr>
      <w:r w:rsidRPr="00C739DE">
        <w:rPr>
          <w:rFonts w:eastAsia="Times New Roman"/>
          <w:szCs w:val="22"/>
          <w:lang w:eastAsia="en-US"/>
        </w:rPr>
        <w:t xml:space="preserve">ESTRATEGIAS DE EJECUCIÓN </w:t>
      </w:r>
    </w:p>
    <w:p w:rsidR="00C739DE" w:rsidRPr="00C739DE" w:rsidRDefault="00C739DE" w:rsidP="00C739DE">
      <w:pPr>
        <w:widowControl w:val="0"/>
        <w:jc w:val="both"/>
        <w:rPr>
          <w:rFonts w:eastAsia="Times New Roman"/>
          <w:b/>
          <w:bCs/>
          <w:sz w:val="20"/>
          <w:lang w:eastAsia="en-US"/>
        </w:rPr>
      </w:pPr>
    </w:p>
    <w:p w:rsidR="00C739DE" w:rsidRPr="00C739DE" w:rsidRDefault="00C739DE" w:rsidP="00BA276E">
      <w:pPr>
        <w:widowControl w:val="0"/>
        <w:numPr>
          <w:ilvl w:val="0"/>
          <w:numId w:val="35"/>
        </w:numPr>
        <w:autoSpaceDE w:val="0"/>
        <w:autoSpaceDN w:val="0"/>
        <w:adjustRightInd w:val="0"/>
        <w:jc w:val="both"/>
        <w:rPr>
          <w:rFonts w:eastAsia="Times New Roman"/>
          <w:sz w:val="20"/>
          <w:lang w:eastAsia="en-US"/>
        </w:rPr>
      </w:pPr>
      <w:r w:rsidRPr="00C739DE">
        <w:rPr>
          <w:rFonts w:eastAsia="Times New Roman"/>
          <w:sz w:val="20"/>
          <w:lang w:eastAsia="en-US"/>
        </w:rPr>
        <w:t>Con su contribución a las recomendaciones de la A.D. destinadas a facilitar el acceso a la información sobre tecnología, la OMPI seguirá ampliando las bases de datos mundiales en cuanto a la cobertura geográfica de las colecciones de datos nacionales y mejorando la calidad de los datos en colaboración con las oficinas de P.I. interesadas que estén de acuerdo con los formatos de datos normalizados y las políticas coordinadas de intercambio y uso de los datos.  Se seguirán perfeccionado las herramientas de búsqueda de la OMPI para ayudar a los innovadores y a otros usuarios a efectuar mejor las búsquedas y el análisis de los datos de P.I.  En particular, se mejorará la búsqueda plurilingüe de patentes (la herramienta CLIR) y se ampliará la herramienta de traducción automática TAPTA para analizar los resultados a fin de incluir más combinaciones de idiomas y mejorar la calidad de la traducción.  Se investigará también la posibilidad de un sistema de recuperación de imágenes a partir de los contenidos para marcas visualmente similares.  Durante el bienio se creará también una base de datos mundial para diseños que completará todos los tipos principales de datos sobre propiedad industrial.</w:t>
      </w:r>
    </w:p>
    <w:p w:rsidR="00C739DE" w:rsidRPr="00C739DE" w:rsidRDefault="00C739DE" w:rsidP="00C739DE">
      <w:pPr>
        <w:widowControl w:val="0"/>
        <w:autoSpaceDE w:val="0"/>
        <w:autoSpaceDN w:val="0"/>
        <w:adjustRightInd w:val="0"/>
        <w:jc w:val="both"/>
        <w:rPr>
          <w:rFonts w:eastAsia="Times New Roman"/>
          <w:sz w:val="20"/>
          <w:lang w:eastAsia="en-US"/>
        </w:rPr>
      </w:pPr>
    </w:p>
    <w:p w:rsidR="00C739DE" w:rsidRPr="00C739DE" w:rsidRDefault="00C739DE" w:rsidP="00BA276E">
      <w:pPr>
        <w:widowControl w:val="0"/>
        <w:numPr>
          <w:ilvl w:val="0"/>
          <w:numId w:val="35"/>
        </w:numPr>
        <w:autoSpaceDE w:val="0"/>
        <w:autoSpaceDN w:val="0"/>
        <w:adjustRightInd w:val="0"/>
        <w:jc w:val="both"/>
        <w:rPr>
          <w:rFonts w:eastAsia="Times New Roman"/>
          <w:sz w:val="20"/>
          <w:lang w:eastAsia="en-US"/>
        </w:rPr>
      </w:pPr>
      <w:r w:rsidRPr="00C739DE">
        <w:rPr>
          <w:rFonts w:eastAsia="Times New Roman"/>
          <w:b/>
          <w:bCs/>
          <w:sz w:val="20"/>
          <w:lang w:eastAsia="en-US"/>
        </w:rPr>
        <w:t>PATENTSCOPE</w:t>
      </w:r>
      <w:r w:rsidRPr="00C739DE">
        <w:rPr>
          <w:rFonts w:eastAsia="Times New Roman"/>
          <w:sz w:val="20"/>
          <w:lang w:eastAsia="en-US"/>
        </w:rPr>
        <w:t>:  PATENTSCOPE no es solamente la base de datos mundial sobre patentes que abarca las colecciones nacionales y regionales de datos sobre patentes, sino también el mecanismo jurídico para cumplir la obligación convencional en virtud del PCT, a saber, la publicación internacional de solicitudes PCT.  Se utilizarán los procesos de conversión de la OMPI para el reconocimiento óptico de caracteres a fin de convertir en texto íntegro las colecciones nacionales de datos.  El sistema continuará ampliándose para que abarque unos 40 millones de documentos sobre patentes a finales del bienio.  Entre los desafíos principales figuran los de tramitar ese elevado volumen de datos y mejorar la calidad de los datos recibidos, velar por la puntualidad y la integridad de los datos difundidos, superar los obstáculos lingüísticos y aprovechar al máximo el número de colecciones nacionales</w:t>
      </w:r>
    </w:p>
    <w:p w:rsidR="00C739DE" w:rsidRPr="00C739DE" w:rsidRDefault="00C739DE" w:rsidP="00C739DE">
      <w:pPr>
        <w:widowControl w:val="0"/>
        <w:autoSpaceDE w:val="0"/>
        <w:autoSpaceDN w:val="0"/>
        <w:adjustRightInd w:val="0"/>
        <w:jc w:val="both"/>
        <w:rPr>
          <w:rFonts w:eastAsia="Times New Roman"/>
          <w:sz w:val="20"/>
          <w:lang w:eastAsia="en-US"/>
        </w:rPr>
      </w:pPr>
    </w:p>
    <w:p w:rsidR="00C739DE" w:rsidRPr="00C739DE" w:rsidRDefault="00C739DE" w:rsidP="00BA276E">
      <w:pPr>
        <w:widowControl w:val="0"/>
        <w:numPr>
          <w:ilvl w:val="0"/>
          <w:numId w:val="35"/>
        </w:numPr>
        <w:autoSpaceDE w:val="0"/>
        <w:autoSpaceDN w:val="0"/>
        <w:adjustRightInd w:val="0"/>
        <w:jc w:val="both"/>
        <w:rPr>
          <w:rFonts w:eastAsia="Times New Roman"/>
          <w:sz w:val="20"/>
          <w:lang w:eastAsia="es-ES"/>
        </w:rPr>
      </w:pPr>
      <w:r w:rsidRPr="00C739DE">
        <w:rPr>
          <w:rFonts w:eastAsia="Times New Roman"/>
          <w:b/>
          <w:bCs/>
          <w:sz w:val="20"/>
          <w:lang w:eastAsia="en-US"/>
        </w:rPr>
        <w:t>BASE MUNDIAL DE LA OMPI DE DATOS SOBRE MARCAS</w:t>
      </w:r>
      <w:r w:rsidRPr="00C739DE">
        <w:rPr>
          <w:rFonts w:eastAsia="Times New Roman"/>
          <w:sz w:val="20"/>
          <w:lang w:eastAsia="en-US"/>
        </w:rPr>
        <w:t xml:space="preserve">: </w:t>
      </w:r>
      <w:r w:rsidRPr="00C739DE">
        <w:rPr>
          <w:rFonts w:eastAsia="Times New Roman"/>
          <w:sz w:val="20"/>
          <w:lang w:eastAsia="es-ES"/>
        </w:rPr>
        <w:t>La base de datos que contiene los registros internacionales en virtud de los sistemas de Madrid y Lisboa, varias colecciones nacionales y regionales de datos sobre marcas y los emblemas protegidos en virtud del artículo 6ter del Convenio de París, se perfeccionarán para dar cabida a unas 20 colecciones nacionales de datos durante el bienio.  Entre los desafíos principales figuran la carga de más datos en distintos formatos y la aplicación de un sistema de búsqueda eficaz que permita encontrar marcas similares en función de su imagen.</w:t>
      </w:r>
      <w:r w:rsidRPr="00C739DE">
        <w:rPr>
          <w:rFonts w:eastAsia="Times New Roman"/>
          <w:sz w:val="20"/>
          <w:lang w:eastAsia="en-US"/>
        </w:rPr>
        <w:t xml:space="preserve"> </w:t>
      </w:r>
    </w:p>
    <w:p w:rsidR="00C739DE" w:rsidRPr="00C739DE" w:rsidRDefault="00C739DE" w:rsidP="00C739DE">
      <w:pPr>
        <w:widowControl w:val="0"/>
        <w:autoSpaceDE w:val="0"/>
        <w:autoSpaceDN w:val="0"/>
        <w:adjustRightInd w:val="0"/>
        <w:jc w:val="both"/>
        <w:rPr>
          <w:rFonts w:eastAsia="Times New Roman"/>
          <w:szCs w:val="22"/>
          <w:lang w:eastAsia="en-US"/>
        </w:rPr>
      </w:pPr>
    </w:p>
    <w:p w:rsidR="00C739DE" w:rsidRPr="00C739DE" w:rsidRDefault="00C739DE" w:rsidP="005731F4">
      <w:pPr>
        <w:keepLines/>
        <w:widowControl w:val="0"/>
        <w:numPr>
          <w:ilvl w:val="0"/>
          <w:numId w:val="35"/>
        </w:numPr>
        <w:autoSpaceDE w:val="0"/>
        <w:autoSpaceDN w:val="0"/>
        <w:adjustRightInd w:val="0"/>
        <w:jc w:val="both"/>
        <w:rPr>
          <w:rFonts w:eastAsia="Times New Roman"/>
          <w:sz w:val="20"/>
          <w:lang w:eastAsia="es-ES"/>
        </w:rPr>
      </w:pPr>
      <w:r w:rsidRPr="00C739DE">
        <w:rPr>
          <w:rFonts w:eastAsia="Times New Roman"/>
          <w:b/>
          <w:bCs/>
          <w:sz w:val="20"/>
          <w:lang w:eastAsia="en-US"/>
        </w:rPr>
        <w:lastRenderedPageBreak/>
        <w:t>BASE MUNDIAL DE LA OMPI DE DATOS SOBRE DISEÑOS</w:t>
      </w:r>
      <w:r w:rsidRPr="00C739DE">
        <w:rPr>
          <w:rFonts w:eastAsia="Times New Roman"/>
          <w:sz w:val="20"/>
          <w:lang w:eastAsia="en-US"/>
        </w:rPr>
        <w:t xml:space="preserve">:  La OMPI creará un prototipo de la base mundial de datos sobre diseños utilizando plataformas similares a las dos bases </w:t>
      </w:r>
      <w:r w:rsidR="00733234">
        <w:rPr>
          <w:rFonts w:eastAsia="Times New Roman"/>
          <w:sz w:val="20"/>
          <w:lang w:eastAsia="en-US"/>
        </w:rPr>
        <w:t xml:space="preserve">de datos </w:t>
      </w:r>
      <w:r w:rsidRPr="00C739DE">
        <w:rPr>
          <w:rFonts w:eastAsia="Times New Roman"/>
          <w:sz w:val="20"/>
          <w:lang w:eastAsia="en-US"/>
        </w:rPr>
        <w:t xml:space="preserve">mundiales anteriormente mencionadas.  La base de datos contendrá los datos de los registros internacionales en virtud del Acuerdo de La Haya y determinadas colecciones nacionales de datos de registros de dibujos y modelos industriales.  </w:t>
      </w:r>
      <w:r w:rsidRPr="00C739DE">
        <w:rPr>
          <w:rFonts w:eastAsia="Times New Roman"/>
          <w:sz w:val="20"/>
          <w:lang w:eastAsia="es-ES"/>
        </w:rPr>
        <w:t>Entre los desafíos principales figuran la carga de imágenes en distintos formatos y la aplicación de un sistema de búsqueda eficaz que permita encontrar marcas similares en función de su imagen.</w:t>
      </w:r>
      <w:r w:rsidRPr="00C739DE">
        <w:rPr>
          <w:rFonts w:eastAsia="Times New Roman"/>
          <w:color w:val="FF0000"/>
          <w:sz w:val="20"/>
          <w:lang w:eastAsia="en-US"/>
        </w:rPr>
        <w:t xml:space="preserve"> </w:t>
      </w:r>
    </w:p>
    <w:p w:rsidR="00C739DE" w:rsidRPr="00C739DE" w:rsidRDefault="00C739DE" w:rsidP="00C739DE">
      <w:pPr>
        <w:widowControl w:val="0"/>
        <w:autoSpaceDE w:val="0"/>
        <w:autoSpaceDN w:val="0"/>
        <w:adjustRightInd w:val="0"/>
        <w:jc w:val="both"/>
        <w:rPr>
          <w:rFonts w:eastAsia="Times New Roman"/>
          <w:szCs w:val="22"/>
          <w:lang w:eastAsia="en-US"/>
        </w:rPr>
      </w:pPr>
    </w:p>
    <w:p w:rsidR="00C739DE" w:rsidRPr="00C739DE" w:rsidRDefault="00C739DE" w:rsidP="00BA276E">
      <w:pPr>
        <w:widowControl w:val="0"/>
        <w:numPr>
          <w:ilvl w:val="0"/>
          <w:numId w:val="35"/>
        </w:numPr>
        <w:autoSpaceDE w:val="0"/>
        <w:autoSpaceDN w:val="0"/>
        <w:adjustRightInd w:val="0"/>
        <w:jc w:val="both"/>
        <w:rPr>
          <w:rFonts w:eastAsia="Times New Roman"/>
          <w:sz w:val="20"/>
          <w:lang w:eastAsia="en-US"/>
        </w:rPr>
      </w:pPr>
      <w:r w:rsidRPr="00C739DE">
        <w:rPr>
          <w:rFonts w:eastAsia="Times New Roman"/>
          <w:b/>
          <w:bCs/>
          <w:caps/>
          <w:sz w:val="20"/>
          <w:lang w:eastAsia="en-US"/>
        </w:rPr>
        <w:t>Desarrollo de nuevos servicios</w:t>
      </w:r>
      <w:r w:rsidRPr="00C739DE">
        <w:rPr>
          <w:rFonts w:eastAsia="Times New Roman"/>
          <w:sz w:val="20"/>
          <w:lang w:eastAsia="en-US"/>
        </w:rPr>
        <w:t xml:space="preserve">:  Se mejorarán las funciones de búsqueda de todas las bases de datos mediante el uso de herramientas que permitan efectuar búsquedas en varios idiomas, como </w:t>
      </w:r>
      <w:r w:rsidRPr="00C739DE">
        <w:rPr>
          <w:rFonts w:eastAsia="Times New Roman"/>
          <w:i/>
          <w:sz w:val="20"/>
          <w:lang w:eastAsia="en-US"/>
        </w:rPr>
        <w:t>Cross Lingual Information Retrieval</w:t>
      </w:r>
      <w:r w:rsidRPr="00C739DE">
        <w:rPr>
          <w:rFonts w:eastAsia="Times New Roman"/>
          <w:sz w:val="20"/>
          <w:lang w:eastAsia="en-US"/>
        </w:rPr>
        <w:t xml:space="preserve"> (CLIR), y herramientas de traducción automática, como TAPTA, que se perfeccionará durante el bienio para ofrecer una mejor calidad en la traducción y un mayor número de pares de idiomas.  Asimismo, se estudiará la posibilidad de introducir otras funciones, como las de extracción de citas, búsquedas por similitud de imágenes y agrupamiento de familias de patentes.</w:t>
      </w:r>
    </w:p>
    <w:p w:rsidR="00C739DE" w:rsidRPr="00C739DE" w:rsidRDefault="00C739DE" w:rsidP="00C739DE">
      <w:pPr>
        <w:widowControl w:val="0"/>
        <w:autoSpaceDE w:val="0"/>
        <w:autoSpaceDN w:val="0"/>
        <w:adjustRightInd w:val="0"/>
        <w:jc w:val="both"/>
        <w:rPr>
          <w:rFonts w:eastAsia="Times New Roman"/>
          <w:sz w:val="20"/>
          <w:lang w:eastAsia="en-US"/>
        </w:rPr>
      </w:pPr>
    </w:p>
    <w:p w:rsidR="00C739DE" w:rsidRPr="00C739DE" w:rsidRDefault="00C739DE" w:rsidP="00BA276E">
      <w:pPr>
        <w:widowControl w:val="0"/>
        <w:numPr>
          <w:ilvl w:val="0"/>
          <w:numId w:val="35"/>
        </w:numPr>
        <w:autoSpaceDE w:val="0"/>
        <w:autoSpaceDN w:val="0"/>
        <w:adjustRightInd w:val="0"/>
        <w:jc w:val="both"/>
        <w:rPr>
          <w:rFonts w:eastAsia="Times New Roman"/>
          <w:sz w:val="20"/>
          <w:lang w:eastAsia="en-US"/>
        </w:rPr>
      </w:pPr>
      <w:r w:rsidRPr="00C739DE">
        <w:rPr>
          <w:rFonts w:eastAsia="Times New Roman"/>
          <w:sz w:val="20"/>
          <w:lang w:eastAsia="en-US"/>
        </w:rPr>
        <w:t xml:space="preserve">Durante el bienio continuará la coordinación estrecha con el programa 15 (Soluciones operativas para las oficinas de P.I.) sobre los proyectos de digitalización que podrían ampliar los datos en las bases de datos mundiales.  Seguirá racionalizándose la depuración y la introducción de los datos mediante enfoques sistemáticos basados en normas técnicas, en cooperación con el programa 12 (Clasificaciones internacionales y normas técnicas de la OMPI).  La coordinación con el programa 14 (Servicios de acceso a la información y a los conocimientos) contribuirá a una mejora en la sensibilización sobre las bases de datos y en su uso. </w:t>
      </w:r>
    </w:p>
    <w:p w:rsidR="00C739DE" w:rsidRDefault="00C739DE" w:rsidP="00A80F8D">
      <w:pPr>
        <w:widowControl w:val="0"/>
        <w:jc w:val="both"/>
        <w:rPr>
          <w:szCs w:val="22"/>
        </w:rPr>
      </w:pPr>
    </w:p>
    <w:p w:rsidR="00C739DE" w:rsidRPr="00C739DE" w:rsidRDefault="00C739DE" w:rsidP="00A80F8D">
      <w:pPr>
        <w:widowControl w:val="0"/>
        <w:jc w:val="both"/>
        <w:rPr>
          <w:szCs w:val="22"/>
        </w:rPr>
      </w:pPr>
    </w:p>
    <w:p w:rsidR="00A80F8D" w:rsidRPr="00C75C7E" w:rsidRDefault="00A80F8D" w:rsidP="00A80F8D">
      <w:pPr>
        <w:widowControl w:val="0"/>
        <w:jc w:val="both"/>
        <w:rPr>
          <w:szCs w:val="22"/>
          <w:lang w:val="es-ES_tradnl"/>
        </w:rPr>
      </w:pPr>
      <w:r w:rsidRPr="00C75C7E">
        <w:rPr>
          <w:szCs w:val="22"/>
          <w:lang w:val="es-ES_tradnl"/>
        </w:rPr>
        <w:t>PRINCIPALES RIESGOS Y ESTRATEGIAS DE MITIGACIÓN</w:t>
      </w:r>
    </w:p>
    <w:p w:rsidR="00A80F8D" w:rsidRPr="00C75C7E" w:rsidRDefault="00A80F8D" w:rsidP="00A80F8D">
      <w:pPr>
        <w:widowControl w:val="0"/>
        <w:rPr>
          <w:sz w:val="20"/>
          <w:lang w:val="es-ES_tradnl"/>
        </w:rPr>
      </w:pPr>
    </w:p>
    <w:tbl>
      <w:tblPr>
        <w:tblW w:w="0" w:type="auto"/>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400"/>
        <w:gridCol w:w="4955"/>
      </w:tblGrid>
      <w:tr w:rsidR="00A80F8D" w:rsidRPr="00C75C7E" w:rsidTr="005731F4">
        <w:trPr>
          <w:trHeight w:val="638"/>
        </w:trPr>
        <w:tc>
          <w:tcPr>
            <w:tcW w:w="4400" w:type="dxa"/>
            <w:tcBorders>
              <w:top w:val="single" w:sz="4" w:space="0" w:color="auto"/>
              <w:bottom w:val="single" w:sz="4" w:space="0" w:color="auto"/>
            </w:tcBorders>
            <w:shd w:val="clear" w:color="auto" w:fill="CCFFFF"/>
            <w:vAlign w:val="center"/>
          </w:tcPr>
          <w:p w:rsidR="00A80F8D" w:rsidRPr="00C75C7E" w:rsidRDefault="00A80F8D" w:rsidP="008F4F69">
            <w:pPr>
              <w:widowControl w:val="0"/>
              <w:autoSpaceDE w:val="0"/>
              <w:autoSpaceDN w:val="0"/>
              <w:adjustRightInd w:val="0"/>
              <w:ind w:right="-59"/>
              <w:jc w:val="center"/>
              <w:rPr>
                <w:b/>
                <w:bCs/>
                <w:iCs/>
                <w:sz w:val="18"/>
                <w:szCs w:val="18"/>
                <w:lang w:val="es-ES_tradnl"/>
              </w:rPr>
            </w:pPr>
            <w:r w:rsidRPr="00C75C7E">
              <w:rPr>
                <w:b/>
                <w:bCs/>
                <w:iCs/>
                <w:sz w:val="18"/>
                <w:szCs w:val="18"/>
                <w:lang w:val="es-ES_tradnl"/>
              </w:rPr>
              <w:t>Riesgos en el logro de los resultados del programa</w:t>
            </w:r>
          </w:p>
        </w:tc>
        <w:tc>
          <w:tcPr>
            <w:tcW w:w="4955" w:type="dxa"/>
            <w:tcBorders>
              <w:top w:val="single" w:sz="4" w:space="0" w:color="auto"/>
              <w:bottom w:val="single" w:sz="4" w:space="0" w:color="auto"/>
            </w:tcBorders>
            <w:shd w:val="clear" w:color="auto" w:fill="CCFFFF"/>
            <w:vAlign w:val="center"/>
          </w:tcPr>
          <w:p w:rsidR="00A80F8D" w:rsidRPr="00C75C7E" w:rsidRDefault="00A80F8D" w:rsidP="008F4F69">
            <w:pPr>
              <w:widowControl w:val="0"/>
              <w:autoSpaceDE w:val="0"/>
              <w:autoSpaceDN w:val="0"/>
              <w:adjustRightInd w:val="0"/>
              <w:ind w:right="-59"/>
              <w:jc w:val="center"/>
              <w:rPr>
                <w:b/>
                <w:bCs/>
                <w:iCs/>
                <w:sz w:val="18"/>
                <w:szCs w:val="18"/>
                <w:lang w:val="es-ES_tradnl"/>
              </w:rPr>
            </w:pPr>
            <w:r w:rsidRPr="00C75C7E">
              <w:rPr>
                <w:b/>
                <w:bCs/>
                <w:iCs/>
                <w:sz w:val="18"/>
                <w:szCs w:val="18"/>
                <w:lang w:val="es-ES_tradnl"/>
              </w:rPr>
              <w:t>Planes de mitigación ejecutados o en ejecución</w:t>
            </w:r>
          </w:p>
        </w:tc>
      </w:tr>
      <w:tr w:rsidR="00A80F8D" w:rsidRPr="00C75C7E" w:rsidTr="005731F4">
        <w:trPr>
          <w:trHeight w:val="735"/>
        </w:trPr>
        <w:tc>
          <w:tcPr>
            <w:tcW w:w="4400" w:type="dxa"/>
            <w:tcBorders>
              <w:top w:val="single" w:sz="4" w:space="0" w:color="auto"/>
            </w:tcBorders>
            <w:shd w:val="clear" w:color="auto" w:fill="auto"/>
            <w:tcMar>
              <w:top w:w="113" w:type="dxa"/>
              <w:bottom w:w="113" w:type="dxa"/>
            </w:tcMar>
          </w:tcPr>
          <w:p w:rsidR="00A80F8D" w:rsidRPr="00C75C7E" w:rsidRDefault="00A80F8D" w:rsidP="008F4F69">
            <w:pPr>
              <w:widowControl w:val="0"/>
              <w:rPr>
                <w:sz w:val="16"/>
                <w:szCs w:val="16"/>
                <w:lang w:val="es-ES_tradnl"/>
              </w:rPr>
            </w:pPr>
            <w:r w:rsidRPr="00C75C7E">
              <w:rPr>
                <w:sz w:val="16"/>
                <w:szCs w:val="16"/>
                <w:lang w:val="es-ES_tradnl"/>
              </w:rPr>
              <w:t xml:space="preserve">La imposibilidad temporal o permanente de acceder a las bases de datos mundiales a consecuencia de trastornos en el servicio de Internet o fallos técnicos en la sede de la OMPI en Ginebra. </w:t>
            </w:r>
          </w:p>
          <w:p w:rsidR="00A80F8D" w:rsidRPr="00C75C7E" w:rsidRDefault="00A80F8D" w:rsidP="008F4F69">
            <w:pPr>
              <w:widowControl w:val="0"/>
              <w:autoSpaceDE w:val="0"/>
              <w:autoSpaceDN w:val="0"/>
              <w:adjustRightInd w:val="0"/>
              <w:ind w:right="-59"/>
              <w:rPr>
                <w:sz w:val="16"/>
                <w:szCs w:val="16"/>
                <w:lang w:val="es-ES_tradnl"/>
              </w:rPr>
            </w:pPr>
          </w:p>
        </w:tc>
        <w:tc>
          <w:tcPr>
            <w:tcW w:w="4955" w:type="dxa"/>
            <w:tcBorders>
              <w:top w:val="single" w:sz="4" w:space="0" w:color="auto"/>
            </w:tcBorders>
            <w:shd w:val="clear" w:color="auto" w:fill="auto"/>
            <w:tcMar>
              <w:top w:w="113" w:type="dxa"/>
              <w:bottom w:w="113" w:type="dxa"/>
            </w:tcMar>
          </w:tcPr>
          <w:p w:rsidR="00A80F8D" w:rsidRPr="00C75C7E" w:rsidRDefault="00A80F8D" w:rsidP="008F4F69">
            <w:pPr>
              <w:widowControl w:val="0"/>
              <w:rPr>
                <w:sz w:val="16"/>
                <w:szCs w:val="16"/>
                <w:lang w:val="es-ES_tradnl"/>
              </w:rPr>
            </w:pPr>
            <w:r w:rsidRPr="00C75C7E">
              <w:rPr>
                <w:sz w:val="16"/>
                <w:szCs w:val="16"/>
                <w:lang w:val="es-ES_tradnl"/>
              </w:rPr>
              <w:t>La búsqueda de posibles ubicaciones para el alojamiento de datos en las que se creen duplicados de los datos que permitan su recuperación en caso de desastres y su consulta con arreglo a criterios geográficos.  Una indagación sobre la posibilidad de disponer de un sitio espejo para mantener el acceso a los datos durante perturbaciones puntuales de las actividades.</w:t>
            </w:r>
          </w:p>
        </w:tc>
      </w:tr>
    </w:tbl>
    <w:p w:rsidR="00A80F8D" w:rsidRDefault="00A80F8D" w:rsidP="00A80F8D">
      <w:pPr>
        <w:widowControl w:val="0"/>
        <w:tabs>
          <w:tab w:val="num" w:pos="709"/>
        </w:tabs>
        <w:jc w:val="both"/>
        <w:rPr>
          <w:bCs/>
          <w:sz w:val="20"/>
          <w:lang w:val="es-ES_tradnl"/>
        </w:rPr>
      </w:pPr>
    </w:p>
    <w:p w:rsidR="00C739DE" w:rsidRPr="00C75C7E" w:rsidRDefault="00C739DE" w:rsidP="00A80F8D">
      <w:pPr>
        <w:widowControl w:val="0"/>
        <w:tabs>
          <w:tab w:val="num" w:pos="709"/>
        </w:tabs>
        <w:jc w:val="both"/>
        <w:rPr>
          <w:bCs/>
          <w:sz w:val="20"/>
          <w:lang w:val="es-ES_tradnl"/>
        </w:rPr>
      </w:pPr>
    </w:p>
    <w:p w:rsidR="00A80F8D" w:rsidRPr="00C75C7E" w:rsidRDefault="00A80F8D" w:rsidP="00C739DE">
      <w:pPr>
        <w:keepNext/>
        <w:widowControl w:val="0"/>
        <w:tabs>
          <w:tab w:val="left" w:pos="567"/>
          <w:tab w:val="left" w:pos="1985"/>
        </w:tabs>
        <w:jc w:val="both"/>
        <w:rPr>
          <w:bCs/>
          <w:sz w:val="20"/>
          <w:lang w:val="es-ES_tradnl"/>
        </w:rPr>
      </w:pPr>
      <w:r w:rsidRPr="00C75C7E">
        <w:rPr>
          <w:bCs/>
          <w:szCs w:val="22"/>
          <w:lang w:val="es-ES_tradnl"/>
        </w:rPr>
        <w:t>MARCO DE RESULTADOS</w:t>
      </w:r>
    </w:p>
    <w:p w:rsidR="00A80F8D" w:rsidRPr="00C75C7E" w:rsidRDefault="00A80F8D" w:rsidP="00C739DE">
      <w:pPr>
        <w:keepNext/>
        <w:widowControl w:val="0"/>
        <w:tabs>
          <w:tab w:val="left" w:pos="567"/>
          <w:tab w:val="left" w:pos="1985"/>
        </w:tabs>
        <w:jc w:val="both"/>
        <w:rPr>
          <w:bCs/>
          <w:sz w:val="20"/>
          <w:lang w:val="es-ES_tradnl"/>
        </w:rPr>
      </w:pPr>
    </w:p>
    <w:tbl>
      <w:tblPr>
        <w:tblW w:w="4871"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350"/>
        <w:gridCol w:w="2848"/>
        <w:gridCol w:w="2174"/>
        <w:gridCol w:w="1952"/>
      </w:tblGrid>
      <w:tr w:rsidR="00A80F8D" w:rsidRPr="00C75C7E" w:rsidTr="00C76500">
        <w:trPr>
          <w:cantSplit/>
          <w:trHeight w:val="428"/>
          <w:tblHeader/>
        </w:trPr>
        <w:tc>
          <w:tcPr>
            <w:tcW w:w="1260" w:type="pct"/>
            <w:tcBorders>
              <w:top w:val="single" w:sz="4" w:space="0" w:color="auto"/>
              <w:bottom w:val="single" w:sz="4" w:space="0" w:color="auto"/>
            </w:tcBorders>
            <w:shd w:val="clear" w:color="auto" w:fill="CCFFFF"/>
            <w:vAlign w:val="center"/>
          </w:tcPr>
          <w:p w:rsidR="00A80F8D" w:rsidRPr="00C75C7E" w:rsidRDefault="00A80F8D" w:rsidP="00C739DE">
            <w:pPr>
              <w:keepNext/>
              <w:widowControl w:val="0"/>
              <w:spacing w:after="120"/>
              <w:jc w:val="center"/>
              <w:rPr>
                <w:b/>
                <w:bCs/>
                <w:sz w:val="18"/>
                <w:szCs w:val="18"/>
                <w:lang w:val="es-ES_tradnl"/>
              </w:rPr>
            </w:pPr>
            <w:r w:rsidRPr="00C75C7E">
              <w:rPr>
                <w:b/>
                <w:bCs/>
                <w:sz w:val="18"/>
                <w:szCs w:val="18"/>
                <w:lang w:val="es-ES_tradnl"/>
              </w:rPr>
              <w:t>Resultados previstos</w:t>
            </w:r>
          </w:p>
        </w:tc>
        <w:tc>
          <w:tcPr>
            <w:tcW w:w="1527" w:type="pct"/>
            <w:tcBorders>
              <w:top w:val="single" w:sz="4" w:space="0" w:color="auto"/>
              <w:bottom w:val="single" w:sz="4" w:space="0" w:color="auto"/>
            </w:tcBorders>
            <w:shd w:val="clear" w:color="auto" w:fill="CCFFFF"/>
            <w:tcMar>
              <w:top w:w="110" w:type="dxa"/>
            </w:tcMar>
            <w:vAlign w:val="center"/>
          </w:tcPr>
          <w:p w:rsidR="00A80F8D" w:rsidRPr="00C75C7E" w:rsidRDefault="00A80F8D" w:rsidP="00C739DE">
            <w:pPr>
              <w:keepNext/>
              <w:widowControl w:val="0"/>
              <w:spacing w:after="120"/>
              <w:jc w:val="center"/>
              <w:rPr>
                <w:b/>
                <w:sz w:val="18"/>
                <w:szCs w:val="18"/>
                <w:lang w:val="es-ES_tradnl"/>
              </w:rPr>
            </w:pPr>
            <w:r w:rsidRPr="00C75C7E">
              <w:rPr>
                <w:b/>
                <w:sz w:val="18"/>
                <w:szCs w:val="18"/>
                <w:lang w:val="es-ES_tradnl"/>
              </w:rPr>
              <w:t>Indicador de rendimiento</w:t>
            </w:r>
          </w:p>
        </w:tc>
        <w:tc>
          <w:tcPr>
            <w:tcW w:w="1166" w:type="pct"/>
            <w:tcBorders>
              <w:top w:val="single" w:sz="4" w:space="0" w:color="auto"/>
              <w:bottom w:val="single" w:sz="4" w:space="0" w:color="auto"/>
            </w:tcBorders>
            <w:shd w:val="clear" w:color="auto" w:fill="CCFFFF"/>
            <w:tcMar>
              <w:top w:w="110" w:type="dxa"/>
            </w:tcMar>
            <w:vAlign w:val="center"/>
          </w:tcPr>
          <w:p w:rsidR="00A80F8D" w:rsidRPr="00C75C7E" w:rsidRDefault="00A80F8D" w:rsidP="00C76500">
            <w:pPr>
              <w:keepNext/>
              <w:widowControl w:val="0"/>
              <w:spacing w:after="120"/>
              <w:ind w:left="85"/>
              <w:rPr>
                <w:sz w:val="18"/>
                <w:szCs w:val="18"/>
                <w:lang w:val="es-ES_tradnl"/>
              </w:rPr>
            </w:pPr>
            <w:r w:rsidRPr="00C75C7E">
              <w:rPr>
                <w:b/>
                <w:bCs/>
                <w:sz w:val="18"/>
                <w:szCs w:val="18"/>
                <w:lang w:val="es-ES_tradnl"/>
              </w:rPr>
              <w:t>Referencia</w:t>
            </w:r>
          </w:p>
        </w:tc>
        <w:tc>
          <w:tcPr>
            <w:tcW w:w="1047" w:type="pct"/>
            <w:tcBorders>
              <w:top w:val="single" w:sz="4" w:space="0" w:color="auto"/>
              <w:bottom w:val="single" w:sz="4" w:space="0" w:color="auto"/>
            </w:tcBorders>
            <w:shd w:val="clear" w:color="auto" w:fill="CCFFFF"/>
            <w:tcMar>
              <w:top w:w="110" w:type="dxa"/>
            </w:tcMar>
            <w:vAlign w:val="center"/>
          </w:tcPr>
          <w:p w:rsidR="00A80F8D" w:rsidRPr="00C75C7E" w:rsidRDefault="00A80F8D" w:rsidP="00C76500">
            <w:pPr>
              <w:keepNext/>
              <w:widowControl w:val="0"/>
              <w:tabs>
                <w:tab w:val="left" w:pos="1919"/>
              </w:tabs>
              <w:spacing w:after="120"/>
              <w:ind w:right="51"/>
              <w:rPr>
                <w:b/>
                <w:bCs/>
                <w:sz w:val="18"/>
                <w:szCs w:val="18"/>
                <w:lang w:val="es-ES_tradnl"/>
              </w:rPr>
            </w:pPr>
            <w:r w:rsidRPr="00C75C7E">
              <w:rPr>
                <w:b/>
                <w:bCs/>
                <w:sz w:val="18"/>
                <w:szCs w:val="18"/>
                <w:lang w:val="es-ES_tradnl"/>
              </w:rPr>
              <w:t>Objetivos</w:t>
            </w:r>
          </w:p>
        </w:tc>
      </w:tr>
      <w:tr w:rsidR="00A80F8D" w:rsidRPr="00C75C7E" w:rsidTr="008F4F69">
        <w:trPr>
          <w:cantSplit/>
        </w:trPr>
        <w:tc>
          <w:tcPr>
            <w:tcW w:w="1260" w:type="pct"/>
            <w:tcBorders>
              <w:top w:val="single" w:sz="4" w:space="0" w:color="auto"/>
            </w:tcBorders>
            <w:shd w:val="clear" w:color="auto" w:fill="auto"/>
          </w:tcPr>
          <w:p w:rsidR="00A80F8D" w:rsidRPr="00C75C7E" w:rsidRDefault="00A80F8D" w:rsidP="008F4F69">
            <w:pPr>
              <w:widowControl w:val="0"/>
              <w:rPr>
                <w:sz w:val="16"/>
                <w:szCs w:val="16"/>
                <w:lang w:val="es-ES_tradnl"/>
              </w:rPr>
            </w:pPr>
            <w:r w:rsidRPr="00C75C7E">
              <w:rPr>
                <w:sz w:val="16"/>
                <w:szCs w:val="16"/>
                <w:lang w:val="es-ES_tradnl"/>
              </w:rPr>
              <w:t>IV.2. Mejora del acceso y uso de información y conocimientos de P.I. por parte de instituciones de P.I. y el público para fomentar la innovación y la creatividad.</w:t>
            </w:r>
          </w:p>
        </w:tc>
        <w:tc>
          <w:tcPr>
            <w:tcW w:w="1527" w:type="pct"/>
            <w:tcBorders>
              <w:top w:val="single" w:sz="4" w:space="0" w:color="auto"/>
            </w:tcBorders>
            <w:shd w:val="clear" w:color="auto" w:fill="auto"/>
            <w:tcMar>
              <w:top w:w="110" w:type="dxa"/>
            </w:tcMar>
          </w:tcPr>
          <w:p w:rsidR="00A80F8D" w:rsidRPr="00C75C7E" w:rsidRDefault="00A80F8D" w:rsidP="008F4F69">
            <w:pPr>
              <w:widowControl w:val="0"/>
              <w:rPr>
                <w:sz w:val="16"/>
                <w:szCs w:val="16"/>
                <w:lang w:val="es-ES_tradnl"/>
              </w:rPr>
            </w:pPr>
            <w:r w:rsidRPr="00C75C7E">
              <w:rPr>
                <w:sz w:val="16"/>
                <w:szCs w:val="16"/>
                <w:lang w:val="es-ES_tradnl"/>
              </w:rPr>
              <w:t>Número de usuarios por trimestre en todos los sistemas (PATENTSCOPE/Base Mundial de Datos sobre Marcas).</w:t>
            </w:r>
          </w:p>
        </w:tc>
        <w:tc>
          <w:tcPr>
            <w:tcW w:w="1166" w:type="pct"/>
            <w:tcBorders>
              <w:top w:val="single" w:sz="4" w:space="0" w:color="auto"/>
            </w:tcBorders>
            <w:shd w:val="clear" w:color="auto" w:fill="FFFFFF"/>
            <w:tcMar>
              <w:top w:w="110" w:type="dxa"/>
            </w:tcMar>
          </w:tcPr>
          <w:p w:rsidR="00A80F8D" w:rsidRPr="00C75C7E" w:rsidRDefault="00A80F8D" w:rsidP="008F4F69">
            <w:pPr>
              <w:widowControl w:val="0"/>
              <w:rPr>
                <w:sz w:val="16"/>
                <w:szCs w:val="16"/>
                <w:lang w:val="es-ES_tradnl" w:bidi="th-TH"/>
              </w:rPr>
            </w:pPr>
            <w:r w:rsidRPr="00C75C7E">
              <w:rPr>
                <w:sz w:val="16"/>
                <w:szCs w:val="16"/>
                <w:lang w:val="es-ES_tradnl" w:bidi="th-TH"/>
              </w:rPr>
              <w:t>PATENTSCOPE</w:t>
            </w:r>
            <w:r w:rsidR="00F73403">
              <w:rPr>
                <w:sz w:val="16"/>
                <w:szCs w:val="16"/>
                <w:lang w:val="es-ES_tradnl" w:bidi="th-TH"/>
              </w:rPr>
              <w:t>:</w:t>
            </w:r>
            <w:r w:rsidRPr="00C75C7E">
              <w:rPr>
                <w:sz w:val="16"/>
                <w:szCs w:val="16"/>
                <w:lang w:val="es-ES_tradnl" w:bidi="th-TH"/>
              </w:rPr>
              <w:t xml:space="preserve"> 566.782 Base Mundial de Datos sobre Marcas</w:t>
            </w:r>
            <w:r w:rsidR="00F73403">
              <w:rPr>
                <w:sz w:val="16"/>
                <w:szCs w:val="16"/>
                <w:lang w:val="es-ES_tradnl" w:bidi="th-TH"/>
              </w:rPr>
              <w:t>:</w:t>
            </w:r>
            <w:r w:rsidRPr="00C75C7E">
              <w:rPr>
                <w:sz w:val="16"/>
                <w:szCs w:val="16"/>
                <w:lang w:val="es-ES_tradnl" w:bidi="th-TH"/>
              </w:rPr>
              <w:t xml:space="preserve"> 13.339 usuarios distintos (cuarto trimestre de  2012)</w:t>
            </w:r>
          </w:p>
          <w:p w:rsidR="00A80F8D" w:rsidRPr="00C75C7E" w:rsidRDefault="00A80F8D" w:rsidP="008F4F69">
            <w:pPr>
              <w:widowControl w:val="0"/>
              <w:rPr>
                <w:sz w:val="16"/>
                <w:szCs w:val="16"/>
                <w:lang w:val="es-ES_tradnl" w:bidi="th-TH"/>
              </w:rPr>
            </w:pPr>
          </w:p>
          <w:p w:rsidR="00A80F8D" w:rsidRPr="00C75C7E" w:rsidRDefault="00A80F8D" w:rsidP="008F4F69">
            <w:pPr>
              <w:widowControl w:val="0"/>
              <w:rPr>
                <w:sz w:val="16"/>
                <w:szCs w:val="16"/>
                <w:lang w:val="es-ES_tradnl"/>
              </w:rPr>
            </w:pPr>
          </w:p>
        </w:tc>
        <w:tc>
          <w:tcPr>
            <w:tcW w:w="1047" w:type="pct"/>
            <w:tcBorders>
              <w:top w:val="single" w:sz="4" w:space="0" w:color="auto"/>
            </w:tcBorders>
            <w:shd w:val="clear" w:color="auto" w:fill="auto"/>
            <w:tcMar>
              <w:top w:w="110" w:type="dxa"/>
            </w:tcMar>
          </w:tcPr>
          <w:p w:rsidR="00A80F8D" w:rsidRPr="00C75C7E" w:rsidRDefault="00A80F8D" w:rsidP="008F4F69">
            <w:pPr>
              <w:widowControl w:val="0"/>
              <w:ind w:right="381"/>
              <w:rPr>
                <w:bCs/>
                <w:sz w:val="16"/>
                <w:szCs w:val="16"/>
                <w:lang w:val="es-ES_tradnl"/>
              </w:rPr>
            </w:pPr>
            <w:r w:rsidRPr="00C75C7E">
              <w:rPr>
                <w:bCs/>
                <w:sz w:val="16"/>
                <w:szCs w:val="16"/>
                <w:lang w:val="es-ES_tradnl"/>
              </w:rPr>
              <w:t>PATENTSCOPE</w:t>
            </w:r>
            <w:r w:rsidR="00F73403">
              <w:rPr>
                <w:bCs/>
                <w:sz w:val="16"/>
                <w:szCs w:val="16"/>
                <w:lang w:val="es-ES_tradnl"/>
              </w:rPr>
              <w:t>:</w:t>
            </w:r>
            <w:r w:rsidRPr="00C75C7E">
              <w:rPr>
                <w:bCs/>
                <w:sz w:val="16"/>
                <w:szCs w:val="16"/>
                <w:lang w:val="es-ES_tradnl"/>
              </w:rPr>
              <w:t xml:space="preserve"> 650.000 </w:t>
            </w:r>
          </w:p>
          <w:p w:rsidR="00A80F8D" w:rsidRPr="00C75C7E" w:rsidRDefault="00A80F8D" w:rsidP="008F4F69">
            <w:pPr>
              <w:widowControl w:val="0"/>
              <w:ind w:right="381"/>
              <w:rPr>
                <w:bCs/>
                <w:sz w:val="16"/>
                <w:szCs w:val="16"/>
                <w:lang w:val="es-ES_tradnl"/>
              </w:rPr>
            </w:pPr>
            <w:r w:rsidRPr="00C75C7E">
              <w:rPr>
                <w:bCs/>
                <w:sz w:val="16"/>
                <w:szCs w:val="16"/>
                <w:lang w:val="es-ES_tradnl"/>
              </w:rPr>
              <w:t>Base Mundial de Datos sobre Marcas</w:t>
            </w:r>
            <w:r w:rsidR="00F73403">
              <w:rPr>
                <w:bCs/>
                <w:sz w:val="16"/>
                <w:szCs w:val="16"/>
                <w:lang w:val="es-ES_tradnl"/>
              </w:rPr>
              <w:t>:</w:t>
            </w:r>
            <w:r w:rsidRPr="00C75C7E">
              <w:rPr>
                <w:bCs/>
                <w:sz w:val="16"/>
                <w:szCs w:val="16"/>
                <w:lang w:val="es-ES_tradnl"/>
              </w:rPr>
              <w:t xml:space="preserve"> 20.000 usuarios distintos por trimestre</w:t>
            </w:r>
          </w:p>
        </w:tc>
      </w:tr>
      <w:tr w:rsidR="00A80F8D" w:rsidRPr="00C75C7E" w:rsidTr="008F4F69">
        <w:trPr>
          <w:cantSplit/>
        </w:trPr>
        <w:tc>
          <w:tcPr>
            <w:tcW w:w="1260" w:type="pct"/>
            <w:shd w:val="clear" w:color="auto" w:fill="auto"/>
          </w:tcPr>
          <w:p w:rsidR="00A80F8D" w:rsidRPr="00C75C7E" w:rsidRDefault="00A80F8D" w:rsidP="008F4F69">
            <w:pPr>
              <w:widowControl w:val="0"/>
              <w:rPr>
                <w:sz w:val="16"/>
                <w:szCs w:val="16"/>
                <w:lang w:val="es-ES_tradnl"/>
              </w:rPr>
            </w:pPr>
          </w:p>
        </w:tc>
        <w:tc>
          <w:tcPr>
            <w:tcW w:w="1527" w:type="pct"/>
            <w:shd w:val="clear" w:color="auto" w:fill="auto"/>
            <w:tcMar>
              <w:top w:w="110" w:type="dxa"/>
            </w:tcMar>
          </w:tcPr>
          <w:p w:rsidR="00A80F8D" w:rsidRPr="00C75C7E" w:rsidRDefault="00A80F8D" w:rsidP="008F4F69">
            <w:pPr>
              <w:widowControl w:val="0"/>
              <w:rPr>
                <w:sz w:val="16"/>
                <w:szCs w:val="16"/>
                <w:lang w:val="es-ES_tradnl"/>
              </w:rPr>
            </w:pPr>
            <w:r w:rsidRPr="00C75C7E">
              <w:rPr>
                <w:sz w:val="16"/>
                <w:szCs w:val="16"/>
                <w:lang w:val="es-ES_tradnl"/>
              </w:rPr>
              <w:t>Número de idiomas en los que se pueden efectuar búsquedas plurilingües.</w:t>
            </w:r>
          </w:p>
        </w:tc>
        <w:tc>
          <w:tcPr>
            <w:tcW w:w="1166" w:type="pct"/>
            <w:shd w:val="clear" w:color="auto" w:fill="FFFFFF"/>
            <w:tcMar>
              <w:top w:w="110" w:type="dxa"/>
            </w:tcMar>
          </w:tcPr>
          <w:p w:rsidR="00A80F8D" w:rsidRPr="00C75C7E" w:rsidRDefault="00A80F8D" w:rsidP="008F4F69">
            <w:pPr>
              <w:widowControl w:val="0"/>
              <w:rPr>
                <w:sz w:val="16"/>
                <w:szCs w:val="16"/>
                <w:lang w:val="es-ES_tradnl" w:bidi="th-TH"/>
              </w:rPr>
            </w:pPr>
            <w:r w:rsidRPr="00C75C7E">
              <w:rPr>
                <w:sz w:val="16"/>
                <w:szCs w:val="16"/>
                <w:lang w:val="es-ES_tradnl" w:bidi="th-TH"/>
              </w:rPr>
              <w:t>12 (febrero de 2013).</w:t>
            </w:r>
          </w:p>
          <w:p w:rsidR="00A80F8D" w:rsidRPr="00C75C7E" w:rsidRDefault="00A80F8D" w:rsidP="008F4F69">
            <w:pPr>
              <w:widowControl w:val="0"/>
              <w:rPr>
                <w:sz w:val="16"/>
                <w:szCs w:val="16"/>
                <w:lang w:val="es-ES_tradnl" w:bidi="th-TH"/>
              </w:rPr>
            </w:pPr>
          </w:p>
          <w:p w:rsidR="00A80F8D" w:rsidRPr="00C75C7E" w:rsidRDefault="00A80F8D" w:rsidP="008F4F69">
            <w:pPr>
              <w:widowControl w:val="0"/>
              <w:rPr>
                <w:sz w:val="16"/>
                <w:szCs w:val="16"/>
                <w:lang w:val="es-ES_tradnl"/>
              </w:rPr>
            </w:pPr>
          </w:p>
        </w:tc>
        <w:tc>
          <w:tcPr>
            <w:tcW w:w="1047" w:type="pct"/>
            <w:shd w:val="clear" w:color="auto" w:fill="auto"/>
            <w:tcMar>
              <w:top w:w="110" w:type="dxa"/>
            </w:tcMar>
          </w:tcPr>
          <w:p w:rsidR="00A80F8D" w:rsidRPr="00C75C7E" w:rsidRDefault="00A80F8D" w:rsidP="008F4F69">
            <w:pPr>
              <w:widowControl w:val="0"/>
              <w:tabs>
                <w:tab w:val="left" w:pos="2051"/>
              </w:tabs>
              <w:ind w:right="381"/>
              <w:rPr>
                <w:bCs/>
                <w:sz w:val="16"/>
                <w:szCs w:val="16"/>
                <w:lang w:val="es-ES_tradnl"/>
              </w:rPr>
            </w:pPr>
            <w:r w:rsidRPr="00C75C7E">
              <w:rPr>
                <w:bCs/>
                <w:sz w:val="16"/>
                <w:szCs w:val="16"/>
                <w:lang w:val="es-ES_tradnl"/>
              </w:rPr>
              <w:t>13</w:t>
            </w:r>
          </w:p>
        </w:tc>
      </w:tr>
      <w:tr w:rsidR="00A80F8D" w:rsidRPr="00C75C7E" w:rsidTr="008F4F69">
        <w:trPr>
          <w:cantSplit/>
        </w:trPr>
        <w:tc>
          <w:tcPr>
            <w:tcW w:w="1260" w:type="pct"/>
            <w:shd w:val="clear" w:color="auto" w:fill="auto"/>
          </w:tcPr>
          <w:p w:rsidR="00A80F8D" w:rsidRPr="00C75C7E" w:rsidRDefault="00A80F8D" w:rsidP="008F4F69">
            <w:pPr>
              <w:widowControl w:val="0"/>
              <w:rPr>
                <w:sz w:val="16"/>
                <w:szCs w:val="16"/>
                <w:lang w:val="es-ES_tradnl"/>
              </w:rPr>
            </w:pPr>
          </w:p>
        </w:tc>
        <w:tc>
          <w:tcPr>
            <w:tcW w:w="1527" w:type="pct"/>
            <w:shd w:val="clear" w:color="auto" w:fill="auto"/>
            <w:tcMar>
              <w:top w:w="110" w:type="dxa"/>
            </w:tcMar>
          </w:tcPr>
          <w:p w:rsidR="00A80F8D" w:rsidRPr="00C75C7E" w:rsidRDefault="00A80F8D" w:rsidP="008F4F69">
            <w:pPr>
              <w:widowControl w:val="0"/>
              <w:rPr>
                <w:sz w:val="16"/>
                <w:szCs w:val="16"/>
                <w:lang w:val="es-ES_tradnl"/>
              </w:rPr>
            </w:pPr>
            <w:r w:rsidRPr="00C75C7E">
              <w:rPr>
                <w:sz w:val="16"/>
                <w:szCs w:val="16"/>
                <w:lang w:val="es-ES_tradnl"/>
              </w:rPr>
              <w:t>Número de pares de idiomas disponibles para la traducción automática de títulos y resúmenes.</w:t>
            </w:r>
          </w:p>
          <w:p w:rsidR="00A80F8D" w:rsidRPr="00C75C7E" w:rsidRDefault="00A80F8D" w:rsidP="008F4F69">
            <w:pPr>
              <w:widowControl w:val="0"/>
              <w:rPr>
                <w:sz w:val="16"/>
                <w:szCs w:val="16"/>
                <w:lang w:val="es-ES_tradnl"/>
              </w:rPr>
            </w:pPr>
          </w:p>
        </w:tc>
        <w:tc>
          <w:tcPr>
            <w:tcW w:w="1166" w:type="pct"/>
            <w:shd w:val="clear" w:color="auto" w:fill="FFFFFF"/>
            <w:tcMar>
              <w:top w:w="110" w:type="dxa"/>
            </w:tcMar>
          </w:tcPr>
          <w:p w:rsidR="00A80F8D" w:rsidRPr="00C75C7E" w:rsidRDefault="00A80F8D" w:rsidP="008F4F69">
            <w:pPr>
              <w:widowControl w:val="0"/>
              <w:rPr>
                <w:sz w:val="16"/>
                <w:szCs w:val="16"/>
                <w:lang w:val="es-ES_tradnl" w:bidi="th-TH"/>
              </w:rPr>
            </w:pPr>
            <w:r w:rsidRPr="00C75C7E">
              <w:rPr>
                <w:sz w:val="16"/>
                <w:szCs w:val="16"/>
                <w:lang w:val="es-ES_tradnl" w:bidi="th-TH"/>
              </w:rPr>
              <w:t>2 (febrero de 2013).</w:t>
            </w:r>
          </w:p>
          <w:p w:rsidR="00A80F8D" w:rsidRPr="00C75C7E" w:rsidRDefault="00A80F8D" w:rsidP="008F4F69">
            <w:pPr>
              <w:widowControl w:val="0"/>
              <w:rPr>
                <w:sz w:val="16"/>
                <w:szCs w:val="16"/>
                <w:lang w:val="es-ES_tradnl" w:bidi="th-TH"/>
              </w:rPr>
            </w:pPr>
          </w:p>
          <w:p w:rsidR="00A80F8D" w:rsidRPr="00C75C7E" w:rsidRDefault="00A80F8D" w:rsidP="008F4F69">
            <w:pPr>
              <w:widowControl w:val="0"/>
              <w:rPr>
                <w:sz w:val="16"/>
                <w:szCs w:val="16"/>
                <w:lang w:val="es-ES_tradnl"/>
              </w:rPr>
            </w:pPr>
          </w:p>
        </w:tc>
        <w:tc>
          <w:tcPr>
            <w:tcW w:w="1047" w:type="pct"/>
            <w:shd w:val="clear" w:color="auto" w:fill="auto"/>
            <w:tcMar>
              <w:top w:w="110" w:type="dxa"/>
            </w:tcMar>
          </w:tcPr>
          <w:p w:rsidR="00A80F8D" w:rsidRPr="00C75C7E" w:rsidRDefault="00A80F8D" w:rsidP="008F4F69">
            <w:pPr>
              <w:widowControl w:val="0"/>
              <w:ind w:right="51"/>
              <w:rPr>
                <w:bCs/>
                <w:sz w:val="16"/>
                <w:szCs w:val="16"/>
                <w:lang w:val="es-ES_tradnl"/>
              </w:rPr>
            </w:pPr>
            <w:r w:rsidRPr="00C75C7E">
              <w:rPr>
                <w:bCs/>
                <w:sz w:val="16"/>
                <w:szCs w:val="16"/>
                <w:lang w:val="es-ES_tradnl"/>
              </w:rPr>
              <w:t>5</w:t>
            </w:r>
          </w:p>
        </w:tc>
      </w:tr>
      <w:tr w:rsidR="00A80F8D" w:rsidRPr="00C75C7E" w:rsidTr="008F4F69">
        <w:trPr>
          <w:cantSplit/>
          <w:trHeight w:val="618"/>
        </w:trPr>
        <w:tc>
          <w:tcPr>
            <w:tcW w:w="1260" w:type="pct"/>
            <w:shd w:val="clear" w:color="auto" w:fill="auto"/>
          </w:tcPr>
          <w:p w:rsidR="00A80F8D" w:rsidRPr="00C75C7E" w:rsidRDefault="00A80F8D" w:rsidP="008F4F69">
            <w:pPr>
              <w:widowControl w:val="0"/>
              <w:rPr>
                <w:sz w:val="16"/>
                <w:szCs w:val="16"/>
                <w:lang w:val="es-ES_tradnl"/>
              </w:rPr>
            </w:pPr>
            <w:r w:rsidRPr="00C75C7E">
              <w:rPr>
                <w:sz w:val="16"/>
                <w:szCs w:val="16"/>
                <w:lang w:val="es-ES_tradnl"/>
              </w:rPr>
              <w:t>IV.3. Amplia cobertura geográfica en cuanto al contenido y al uso de las bases de datos mundiales de la OMPI en materia de P.I.</w:t>
            </w:r>
          </w:p>
        </w:tc>
        <w:tc>
          <w:tcPr>
            <w:tcW w:w="1527" w:type="pct"/>
            <w:shd w:val="clear" w:color="auto" w:fill="auto"/>
            <w:tcMar>
              <w:top w:w="110" w:type="dxa"/>
            </w:tcMar>
          </w:tcPr>
          <w:p w:rsidR="00A80F8D" w:rsidRPr="00C75C7E" w:rsidRDefault="00A80F8D" w:rsidP="008F4F69">
            <w:pPr>
              <w:widowControl w:val="0"/>
              <w:rPr>
                <w:sz w:val="16"/>
                <w:szCs w:val="16"/>
                <w:lang w:val="es-ES_tradnl"/>
              </w:rPr>
            </w:pPr>
            <w:r w:rsidRPr="00C75C7E">
              <w:rPr>
                <w:sz w:val="16"/>
                <w:szCs w:val="16"/>
                <w:lang w:val="es-ES_tradnl"/>
              </w:rPr>
              <w:t>Número de registros contenidos en PATENSCOPE.</w:t>
            </w:r>
          </w:p>
        </w:tc>
        <w:tc>
          <w:tcPr>
            <w:tcW w:w="1166" w:type="pct"/>
            <w:shd w:val="clear" w:color="auto" w:fill="FFFFFF"/>
            <w:tcMar>
              <w:top w:w="110" w:type="dxa"/>
            </w:tcMar>
          </w:tcPr>
          <w:p w:rsidR="00A80F8D" w:rsidRPr="00C75C7E" w:rsidRDefault="00A80F8D" w:rsidP="008F4F69">
            <w:pPr>
              <w:widowControl w:val="0"/>
              <w:rPr>
                <w:sz w:val="16"/>
                <w:szCs w:val="16"/>
                <w:lang w:val="es-ES_tradnl" w:bidi="th-TH"/>
              </w:rPr>
            </w:pPr>
            <w:r w:rsidRPr="00C75C7E">
              <w:rPr>
                <w:sz w:val="16"/>
                <w:szCs w:val="16"/>
                <w:lang w:val="es-ES_tradnl" w:bidi="th-TH"/>
              </w:rPr>
              <w:t>18.733.406 (febrero de 2013).</w:t>
            </w:r>
          </w:p>
          <w:p w:rsidR="00A80F8D" w:rsidRPr="00C75C7E" w:rsidRDefault="00A80F8D" w:rsidP="008F4F69">
            <w:pPr>
              <w:widowControl w:val="0"/>
              <w:rPr>
                <w:sz w:val="16"/>
                <w:szCs w:val="16"/>
                <w:lang w:val="es-ES_tradnl" w:bidi="th-TH"/>
              </w:rPr>
            </w:pPr>
          </w:p>
          <w:p w:rsidR="00A80F8D" w:rsidRPr="00C75C7E" w:rsidRDefault="00A80F8D" w:rsidP="008F4F69">
            <w:pPr>
              <w:widowControl w:val="0"/>
              <w:rPr>
                <w:sz w:val="16"/>
                <w:szCs w:val="16"/>
                <w:lang w:val="es-ES_tradnl"/>
              </w:rPr>
            </w:pPr>
          </w:p>
        </w:tc>
        <w:tc>
          <w:tcPr>
            <w:tcW w:w="1047" w:type="pct"/>
            <w:shd w:val="clear" w:color="auto" w:fill="auto"/>
            <w:tcMar>
              <w:top w:w="110" w:type="dxa"/>
            </w:tcMar>
          </w:tcPr>
          <w:p w:rsidR="00A80F8D" w:rsidRPr="00C75C7E" w:rsidRDefault="00A80F8D" w:rsidP="008F4F69">
            <w:pPr>
              <w:widowControl w:val="0"/>
              <w:ind w:right="161"/>
              <w:rPr>
                <w:bCs/>
                <w:sz w:val="16"/>
                <w:szCs w:val="16"/>
                <w:lang w:val="es-ES_tradnl"/>
              </w:rPr>
            </w:pPr>
            <w:r w:rsidRPr="00C75C7E">
              <w:rPr>
                <w:bCs/>
                <w:sz w:val="16"/>
                <w:szCs w:val="16"/>
                <w:lang w:val="es-ES_tradnl"/>
              </w:rPr>
              <w:t>40.000.000</w:t>
            </w:r>
          </w:p>
        </w:tc>
      </w:tr>
      <w:tr w:rsidR="00A80F8D" w:rsidRPr="00C75C7E" w:rsidTr="008F4F69">
        <w:trPr>
          <w:cantSplit/>
          <w:trHeight w:val="623"/>
        </w:trPr>
        <w:tc>
          <w:tcPr>
            <w:tcW w:w="1260" w:type="pct"/>
            <w:shd w:val="clear" w:color="auto" w:fill="auto"/>
          </w:tcPr>
          <w:p w:rsidR="00A80F8D" w:rsidRPr="00C75C7E" w:rsidRDefault="00A80F8D" w:rsidP="008F4F69">
            <w:pPr>
              <w:widowControl w:val="0"/>
              <w:rPr>
                <w:sz w:val="16"/>
                <w:szCs w:val="16"/>
                <w:lang w:val="es-ES_tradnl"/>
              </w:rPr>
            </w:pPr>
          </w:p>
        </w:tc>
        <w:tc>
          <w:tcPr>
            <w:tcW w:w="1527" w:type="pct"/>
            <w:shd w:val="clear" w:color="auto" w:fill="auto"/>
            <w:tcMar>
              <w:top w:w="110" w:type="dxa"/>
            </w:tcMar>
          </w:tcPr>
          <w:p w:rsidR="00A80F8D" w:rsidRPr="00C75C7E" w:rsidRDefault="00A80F8D" w:rsidP="008F4F69">
            <w:pPr>
              <w:widowControl w:val="0"/>
              <w:rPr>
                <w:sz w:val="16"/>
                <w:szCs w:val="16"/>
                <w:lang w:val="es-ES_tradnl"/>
              </w:rPr>
            </w:pPr>
            <w:r w:rsidRPr="00C75C7E">
              <w:rPr>
                <w:sz w:val="16"/>
                <w:szCs w:val="16"/>
                <w:lang w:val="es-ES_tradnl"/>
              </w:rPr>
              <w:t>Número de registros que figuran en la Base Mundial de Datos sobre Marcas.</w:t>
            </w:r>
          </w:p>
        </w:tc>
        <w:tc>
          <w:tcPr>
            <w:tcW w:w="1166" w:type="pct"/>
            <w:shd w:val="clear" w:color="auto" w:fill="FFFFFF"/>
            <w:tcMar>
              <w:top w:w="110" w:type="dxa"/>
            </w:tcMar>
          </w:tcPr>
          <w:p w:rsidR="00A80F8D" w:rsidRPr="00C75C7E" w:rsidRDefault="00A80F8D" w:rsidP="008F4F69">
            <w:pPr>
              <w:widowControl w:val="0"/>
              <w:rPr>
                <w:sz w:val="16"/>
                <w:szCs w:val="16"/>
                <w:lang w:val="es-ES_tradnl" w:bidi="th-TH"/>
              </w:rPr>
            </w:pPr>
            <w:r w:rsidRPr="00C75C7E">
              <w:rPr>
                <w:sz w:val="16"/>
                <w:szCs w:val="16"/>
                <w:lang w:val="es-ES_tradnl" w:bidi="th-TH"/>
              </w:rPr>
              <w:t>10.928.326 (febrero de 2013).</w:t>
            </w:r>
          </w:p>
          <w:p w:rsidR="00A80F8D" w:rsidRPr="00C75C7E" w:rsidRDefault="00A80F8D" w:rsidP="008F4F69">
            <w:pPr>
              <w:widowControl w:val="0"/>
              <w:rPr>
                <w:sz w:val="16"/>
                <w:szCs w:val="16"/>
                <w:lang w:val="es-ES_tradnl" w:bidi="th-TH"/>
              </w:rPr>
            </w:pPr>
          </w:p>
          <w:p w:rsidR="00A80F8D" w:rsidRPr="00C75C7E" w:rsidRDefault="00A80F8D" w:rsidP="008F4F69">
            <w:pPr>
              <w:widowControl w:val="0"/>
              <w:rPr>
                <w:sz w:val="16"/>
                <w:szCs w:val="16"/>
                <w:lang w:val="es-ES_tradnl" w:bidi="th-TH"/>
              </w:rPr>
            </w:pPr>
          </w:p>
        </w:tc>
        <w:tc>
          <w:tcPr>
            <w:tcW w:w="1047" w:type="pct"/>
            <w:shd w:val="clear" w:color="auto" w:fill="auto"/>
            <w:tcMar>
              <w:top w:w="110" w:type="dxa"/>
            </w:tcMar>
          </w:tcPr>
          <w:p w:rsidR="00A80F8D" w:rsidRPr="00C75C7E" w:rsidRDefault="00A80F8D" w:rsidP="008F4F69">
            <w:pPr>
              <w:widowControl w:val="0"/>
              <w:ind w:right="161"/>
              <w:rPr>
                <w:bCs/>
                <w:sz w:val="16"/>
                <w:szCs w:val="16"/>
                <w:lang w:val="es-ES_tradnl"/>
              </w:rPr>
            </w:pPr>
            <w:r w:rsidRPr="00C75C7E">
              <w:rPr>
                <w:bCs/>
                <w:sz w:val="16"/>
                <w:szCs w:val="16"/>
                <w:lang w:val="es-ES_tradnl"/>
              </w:rPr>
              <w:t>20.000.000</w:t>
            </w:r>
          </w:p>
        </w:tc>
      </w:tr>
      <w:tr w:rsidR="00A80F8D" w:rsidRPr="00C75C7E" w:rsidTr="008F4F69">
        <w:trPr>
          <w:cantSplit/>
          <w:trHeight w:val="421"/>
        </w:trPr>
        <w:tc>
          <w:tcPr>
            <w:tcW w:w="1260" w:type="pct"/>
            <w:shd w:val="clear" w:color="auto" w:fill="auto"/>
          </w:tcPr>
          <w:p w:rsidR="00A80F8D" w:rsidRPr="00C75C7E" w:rsidRDefault="00A80F8D" w:rsidP="008F4F69">
            <w:pPr>
              <w:widowControl w:val="0"/>
              <w:rPr>
                <w:sz w:val="16"/>
                <w:szCs w:val="16"/>
                <w:lang w:val="es-ES_tradnl"/>
              </w:rPr>
            </w:pPr>
          </w:p>
        </w:tc>
        <w:tc>
          <w:tcPr>
            <w:tcW w:w="1527" w:type="pct"/>
            <w:shd w:val="clear" w:color="auto" w:fill="auto"/>
            <w:tcMar>
              <w:top w:w="110" w:type="dxa"/>
            </w:tcMar>
          </w:tcPr>
          <w:p w:rsidR="00A80F8D" w:rsidRPr="00C75C7E" w:rsidRDefault="00A80F8D" w:rsidP="008F4F69">
            <w:pPr>
              <w:widowControl w:val="0"/>
              <w:rPr>
                <w:sz w:val="16"/>
                <w:szCs w:val="16"/>
                <w:lang w:val="es-ES_tradnl"/>
              </w:rPr>
            </w:pPr>
            <w:r w:rsidRPr="00C75C7E">
              <w:rPr>
                <w:sz w:val="16"/>
                <w:szCs w:val="16"/>
                <w:lang w:val="es-ES_tradnl"/>
              </w:rPr>
              <w:t>Número de colecciones nacionales en PATENTSCOPE.</w:t>
            </w:r>
          </w:p>
        </w:tc>
        <w:tc>
          <w:tcPr>
            <w:tcW w:w="1166" w:type="pct"/>
            <w:shd w:val="clear" w:color="auto" w:fill="FFFFFF"/>
            <w:tcMar>
              <w:top w:w="110" w:type="dxa"/>
            </w:tcMar>
          </w:tcPr>
          <w:p w:rsidR="00A80F8D" w:rsidRPr="00C75C7E" w:rsidRDefault="00A80F8D" w:rsidP="008F4F69">
            <w:pPr>
              <w:widowControl w:val="0"/>
              <w:rPr>
                <w:sz w:val="16"/>
                <w:szCs w:val="16"/>
                <w:lang w:val="es-ES_tradnl" w:bidi="th-TH"/>
              </w:rPr>
            </w:pPr>
            <w:r w:rsidRPr="00C75C7E">
              <w:rPr>
                <w:sz w:val="16"/>
                <w:szCs w:val="16"/>
                <w:lang w:val="es-ES_tradnl" w:bidi="th-TH"/>
              </w:rPr>
              <w:t>27 (febrero de 2013).</w:t>
            </w:r>
          </w:p>
          <w:p w:rsidR="00A80F8D" w:rsidRPr="00C75C7E" w:rsidRDefault="00A80F8D" w:rsidP="008F4F69">
            <w:pPr>
              <w:widowControl w:val="0"/>
              <w:rPr>
                <w:sz w:val="16"/>
                <w:szCs w:val="16"/>
                <w:lang w:val="es-ES_tradnl" w:bidi="th-TH"/>
              </w:rPr>
            </w:pPr>
          </w:p>
          <w:p w:rsidR="00A80F8D" w:rsidRPr="00C75C7E" w:rsidRDefault="00A80F8D" w:rsidP="008F4F69">
            <w:pPr>
              <w:widowControl w:val="0"/>
              <w:rPr>
                <w:sz w:val="16"/>
                <w:szCs w:val="16"/>
                <w:lang w:val="es-ES_tradnl" w:bidi="th-TH"/>
              </w:rPr>
            </w:pPr>
          </w:p>
        </w:tc>
        <w:tc>
          <w:tcPr>
            <w:tcW w:w="1047" w:type="pct"/>
            <w:shd w:val="clear" w:color="auto" w:fill="auto"/>
            <w:tcMar>
              <w:top w:w="110" w:type="dxa"/>
            </w:tcMar>
          </w:tcPr>
          <w:p w:rsidR="00A80F8D" w:rsidRPr="00C75C7E" w:rsidRDefault="00A80F8D" w:rsidP="008F4F69">
            <w:pPr>
              <w:widowControl w:val="0"/>
              <w:ind w:right="161"/>
              <w:rPr>
                <w:bCs/>
                <w:sz w:val="16"/>
                <w:szCs w:val="16"/>
                <w:lang w:val="es-ES_tradnl"/>
              </w:rPr>
            </w:pPr>
            <w:r w:rsidRPr="00C75C7E">
              <w:rPr>
                <w:bCs/>
                <w:sz w:val="16"/>
                <w:szCs w:val="16"/>
                <w:lang w:val="es-ES_tradnl"/>
              </w:rPr>
              <w:t>35</w:t>
            </w:r>
          </w:p>
        </w:tc>
      </w:tr>
      <w:tr w:rsidR="00A80F8D" w:rsidRPr="00C75C7E" w:rsidTr="008F4F69">
        <w:trPr>
          <w:cantSplit/>
          <w:trHeight w:val="483"/>
        </w:trPr>
        <w:tc>
          <w:tcPr>
            <w:tcW w:w="1260" w:type="pct"/>
            <w:shd w:val="clear" w:color="auto" w:fill="auto"/>
          </w:tcPr>
          <w:p w:rsidR="00A80F8D" w:rsidRPr="00C75C7E" w:rsidRDefault="00A80F8D" w:rsidP="008F4F69">
            <w:pPr>
              <w:widowControl w:val="0"/>
              <w:rPr>
                <w:sz w:val="16"/>
                <w:szCs w:val="16"/>
                <w:lang w:val="es-ES_tradnl"/>
              </w:rPr>
            </w:pPr>
          </w:p>
        </w:tc>
        <w:tc>
          <w:tcPr>
            <w:tcW w:w="1527" w:type="pct"/>
            <w:shd w:val="clear" w:color="auto" w:fill="auto"/>
            <w:tcMar>
              <w:top w:w="110" w:type="dxa"/>
            </w:tcMar>
          </w:tcPr>
          <w:p w:rsidR="00A80F8D" w:rsidRPr="00C75C7E" w:rsidRDefault="00A80F8D" w:rsidP="008F4F69">
            <w:pPr>
              <w:widowControl w:val="0"/>
              <w:rPr>
                <w:sz w:val="16"/>
                <w:szCs w:val="16"/>
                <w:lang w:val="es-ES_tradnl"/>
              </w:rPr>
            </w:pPr>
            <w:r w:rsidRPr="00C75C7E">
              <w:rPr>
                <w:sz w:val="16"/>
                <w:szCs w:val="16"/>
                <w:lang w:val="es-ES_tradnl"/>
              </w:rPr>
              <w:t>Número de colecciones nacionales en la Base Mundial de Datos sobre Marcas.</w:t>
            </w:r>
          </w:p>
        </w:tc>
        <w:tc>
          <w:tcPr>
            <w:tcW w:w="1166" w:type="pct"/>
            <w:shd w:val="clear" w:color="auto" w:fill="FFFFFF"/>
            <w:tcMar>
              <w:top w:w="110" w:type="dxa"/>
            </w:tcMar>
          </w:tcPr>
          <w:p w:rsidR="00A80F8D" w:rsidRPr="00C75C7E" w:rsidRDefault="00A80F8D" w:rsidP="008F4F69">
            <w:pPr>
              <w:widowControl w:val="0"/>
              <w:rPr>
                <w:sz w:val="16"/>
                <w:szCs w:val="16"/>
                <w:lang w:val="es-ES_tradnl" w:bidi="th-TH"/>
              </w:rPr>
            </w:pPr>
            <w:r w:rsidRPr="00C75C7E">
              <w:rPr>
                <w:sz w:val="16"/>
                <w:szCs w:val="16"/>
                <w:lang w:val="es-ES_tradnl" w:bidi="th-TH"/>
              </w:rPr>
              <w:t>9 (febrero de 2013).</w:t>
            </w:r>
          </w:p>
          <w:p w:rsidR="00A80F8D" w:rsidRPr="00C75C7E" w:rsidRDefault="00A80F8D" w:rsidP="008F4F69">
            <w:pPr>
              <w:widowControl w:val="0"/>
              <w:rPr>
                <w:sz w:val="16"/>
                <w:szCs w:val="16"/>
                <w:lang w:val="es-ES_tradnl" w:bidi="th-TH"/>
              </w:rPr>
            </w:pPr>
          </w:p>
          <w:p w:rsidR="00A80F8D" w:rsidRPr="00C75C7E" w:rsidRDefault="00A80F8D" w:rsidP="008F4F69">
            <w:pPr>
              <w:widowControl w:val="0"/>
              <w:rPr>
                <w:sz w:val="16"/>
                <w:szCs w:val="16"/>
                <w:lang w:val="es-ES_tradnl" w:bidi="th-TH"/>
              </w:rPr>
            </w:pPr>
          </w:p>
        </w:tc>
        <w:tc>
          <w:tcPr>
            <w:tcW w:w="1047" w:type="pct"/>
            <w:shd w:val="clear" w:color="auto" w:fill="auto"/>
            <w:tcMar>
              <w:top w:w="110" w:type="dxa"/>
            </w:tcMar>
          </w:tcPr>
          <w:p w:rsidR="00A80F8D" w:rsidRPr="00C75C7E" w:rsidRDefault="00A80F8D" w:rsidP="008F4F69">
            <w:pPr>
              <w:widowControl w:val="0"/>
              <w:ind w:right="161"/>
              <w:rPr>
                <w:bCs/>
                <w:sz w:val="16"/>
                <w:szCs w:val="16"/>
                <w:lang w:val="es-ES_tradnl"/>
              </w:rPr>
            </w:pPr>
            <w:r w:rsidRPr="00C75C7E">
              <w:rPr>
                <w:bCs/>
                <w:sz w:val="16"/>
                <w:szCs w:val="16"/>
                <w:lang w:val="es-ES_tradnl"/>
              </w:rPr>
              <w:t>18</w:t>
            </w:r>
          </w:p>
        </w:tc>
      </w:tr>
    </w:tbl>
    <w:p w:rsidR="00A80F8D" w:rsidRDefault="00A80F8D" w:rsidP="00A80F8D">
      <w:pPr>
        <w:widowControl w:val="0"/>
        <w:rPr>
          <w:sz w:val="20"/>
          <w:lang w:val="es-ES_tradnl"/>
        </w:rPr>
      </w:pPr>
    </w:p>
    <w:p w:rsidR="00C76500" w:rsidRDefault="00C76500" w:rsidP="00A80F8D">
      <w:pPr>
        <w:widowControl w:val="0"/>
        <w:rPr>
          <w:sz w:val="20"/>
          <w:lang w:val="es-ES_tradnl"/>
        </w:rPr>
      </w:pPr>
    </w:p>
    <w:p w:rsidR="00C76500" w:rsidRPr="00CA3895" w:rsidRDefault="00C76500" w:rsidP="00C76500">
      <w:pPr>
        <w:widowControl w:val="0"/>
        <w:autoSpaceDE w:val="0"/>
        <w:autoSpaceDN w:val="0"/>
        <w:adjustRightInd w:val="0"/>
        <w:jc w:val="both"/>
        <w:rPr>
          <w:szCs w:val="22"/>
        </w:rPr>
      </w:pPr>
      <w:r w:rsidRPr="00CA3895">
        <w:rPr>
          <w:szCs w:val="22"/>
        </w:rPr>
        <w:t>RECURSOS PARA EL PROGRAMA 13</w:t>
      </w:r>
    </w:p>
    <w:p w:rsidR="00C76500" w:rsidRPr="00CA3895" w:rsidRDefault="00C76500" w:rsidP="00C76500">
      <w:pPr>
        <w:widowControl w:val="0"/>
        <w:autoSpaceDE w:val="0"/>
        <w:autoSpaceDN w:val="0"/>
        <w:adjustRightInd w:val="0"/>
        <w:rPr>
          <w:sz w:val="20"/>
        </w:rPr>
      </w:pPr>
    </w:p>
    <w:p w:rsidR="00C76500" w:rsidRPr="005731F4" w:rsidRDefault="00C76500" w:rsidP="00C76500">
      <w:pPr>
        <w:widowControl w:val="0"/>
        <w:numPr>
          <w:ilvl w:val="0"/>
          <w:numId w:val="35"/>
        </w:numPr>
        <w:autoSpaceDE w:val="0"/>
        <w:autoSpaceDN w:val="0"/>
        <w:adjustRightInd w:val="0"/>
        <w:jc w:val="both"/>
        <w:rPr>
          <w:rFonts w:eastAsia="Times New Roman"/>
          <w:sz w:val="20"/>
          <w:lang w:eastAsia="en-US"/>
        </w:rPr>
      </w:pPr>
      <w:r w:rsidRPr="005731F4">
        <w:rPr>
          <w:rFonts w:eastAsia="Times New Roman"/>
          <w:sz w:val="20"/>
          <w:lang w:eastAsia="en-US"/>
        </w:rPr>
        <w:t>Los aumentos en los recursos totales para los resultados IV.2 (Mejora del acceso y uso de información y conocimientos de P.I.) y IV.3 (Amplia cobertura geográfica de las bases de datos mundiales de la OMPI en materia de P.I.) se deben principalmente a la redistribución interna de los recursos para apoyar la elaboración de la Base Mundial de Datos sobre Marcas, así como a un aumento en los recursos no relativos al personal en la línea "Locales y mantenimiento" que guardan relación con el perfeccionamiento del motor de búsqueda de la base de datos PATENTSCOPE.</w:t>
      </w:r>
    </w:p>
    <w:p w:rsidR="00C76500" w:rsidRPr="00F039C2" w:rsidRDefault="00C76500" w:rsidP="00C76500">
      <w:pPr>
        <w:widowControl w:val="0"/>
        <w:jc w:val="both"/>
        <w:rPr>
          <w:sz w:val="20"/>
        </w:rPr>
      </w:pPr>
    </w:p>
    <w:p w:rsidR="00C76500" w:rsidRPr="00C76500" w:rsidRDefault="00C76500" w:rsidP="00A80F8D">
      <w:pPr>
        <w:widowControl w:val="0"/>
        <w:rPr>
          <w:sz w:val="20"/>
        </w:rPr>
      </w:pPr>
    </w:p>
    <w:p w:rsidR="00A80F8D" w:rsidRPr="00C75C7E" w:rsidRDefault="00C76500" w:rsidP="00A80F8D">
      <w:pPr>
        <w:widowControl w:val="0"/>
        <w:autoSpaceDE w:val="0"/>
        <w:autoSpaceDN w:val="0"/>
        <w:adjustRightInd w:val="0"/>
        <w:ind w:firstLine="567"/>
        <w:jc w:val="center"/>
        <w:rPr>
          <w:b/>
          <w:bCs/>
          <w:iCs/>
          <w:sz w:val="20"/>
          <w:lang w:val="es-ES_tradnl"/>
        </w:rPr>
      </w:pPr>
      <w:r>
        <w:rPr>
          <w:b/>
          <w:bCs/>
          <w:iCs/>
          <w:sz w:val="20"/>
          <w:lang w:val="es-ES_tradnl"/>
        </w:rPr>
        <w:t xml:space="preserve">Programa 13:  </w:t>
      </w:r>
      <w:r w:rsidR="00A80F8D" w:rsidRPr="00C75C7E">
        <w:rPr>
          <w:b/>
          <w:bCs/>
          <w:iCs/>
          <w:sz w:val="20"/>
          <w:lang w:val="es-ES_tradnl"/>
        </w:rPr>
        <w:t>Recursos por resultado</w:t>
      </w:r>
    </w:p>
    <w:p w:rsidR="00A80F8D" w:rsidRPr="00C75C7E" w:rsidRDefault="00A80F8D" w:rsidP="00A80F8D">
      <w:pPr>
        <w:widowControl w:val="0"/>
        <w:autoSpaceDE w:val="0"/>
        <w:autoSpaceDN w:val="0"/>
        <w:adjustRightInd w:val="0"/>
        <w:ind w:firstLine="567"/>
        <w:jc w:val="center"/>
        <w:rPr>
          <w:bCs/>
          <w:i/>
          <w:sz w:val="20"/>
          <w:lang w:val="es-ES_tradnl"/>
        </w:rPr>
      </w:pPr>
      <w:r w:rsidRPr="00C75C7E">
        <w:rPr>
          <w:bCs/>
          <w:i/>
          <w:sz w:val="20"/>
          <w:lang w:val="es-ES_tradnl"/>
        </w:rPr>
        <w:t>(en miles de francos suizos)</w:t>
      </w:r>
    </w:p>
    <w:p w:rsidR="00A80F8D" w:rsidRPr="00C75C7E" w:rsidRDefault="00A80F8D" w:rsidP="00A80F8D">
      <w:pPr>
        <w:widowControl w:val="0"/>
        <w:autoSpaceDE w:val="0"/>
        <w:autoSpaceDN w:val="0"/>
        <w:adjustRightInd w:val="0"/>
        <w:jc w:val="center"/>
        <w:rPr>
          <w:sz w:val="20"/>
          <w:lang w:val="es-ES_tradnl"/>
        </w:rPr>
      </w:pPr>
    </w:p>
    <w:p w:rsidR="00A80F8D" w:rsidRPr="00C75C7E" w:rsidRDefault="00C40A11" w:rsidP="00A80F8D">
      <w:pPr>
        <w:widowControl w:val="0"/>
        <w:autoSpaceDE w:val="0"/>
        <w:autoSpaceDN w:val="0"/>
        <w:adjustRightInd w:val="0"/>
        <w:jc w:val="center"/>
        <w:rPr>
          <w:sz w:val="20"/>
          <w:lang w:val="es-ES_tradnl"/>
        </w:rPr>
      </w:pPr>
      <w:r>
        <w:rPr>
          <w:noProof/>
          <w:lang w:val="en-US" w:eastAsia="en-US"/>
        </w:rPr>
        <w:drawing>
          <wp:inline distT="0" distB="0" distL="0" distR="0" wp14:anchorId="0C6834BA" wp14:editId="14BB897B">
            <wp:extent cx="5905500" cy="1609725"/>
            <wp:effectExtent l="0" t="0" r="0" b="9525"/>
            <wp:docPr id="49"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907830" cy="1610360"/>
                    </a:xfrm>
                    <a:prstGeom prst="rect">
                      <a:avLst/>
                    </a:prstGeom>
                    <a:noFill/>
                    <a:ln>
                      <a:noFill/>
                    </a:ln>
                  </pic:spPr>
                </pic:pic>
              </a:graphicData>
            </a:graphic>
          </wp:inline>
        </w:drawing>
      </w:r>
    </w:p>
    <w:p w:rsidR="00A80F8D" w:rsidRPr="00C75C7E" w:rsidRDefault="00A80F8D" w:rsidP="00A80F8D">
      <w:pPr>
        <w:widowControl w:val="0"/>
        <w:autoSpaceDE w:val="0"/>
        <w:autoSpaceDN w:val="0"/>
        <w:adjustRightInd w:val="0"/>
        <w:jc w:val="center"/>
        <w:rPr>
          <w:sz w:val="20"/>
          <w:lang w:val="es-ES_tradnl"/>
        </w:rPr>
      </w:pPr>
    </w:p>
    <w:p w:rsidR="00A80F8D" w:rsidRPr="00C75C7E" w:rsidRDefault="00A80F8D" w:rsidP="00A80F8D">
      <w:pPr>
        <w:widowControl w:val="0"/>
        <w:autoSpaceDE w:val="0"/>
        <w:autoSpaceDN w:val="0"/>
        <w:adjustRightInd w:val="0"/>
        <w:rPr>
          <w:sz w:val="20"/>
          <w:lang w:val="es-ES_tradnl"/>
        </w:rPr>
      </w:pPr>
      <w:r w:rsidRPr="00C75C7E">
        <w:rPr>
          <w:sz w:val="16"/>
          <w:szCs w:val="16"/>
          <w:lang w:val="es-ES_tradnl"/>
        </w:rPr>
        <w:t>Nota:</w:t>
      </w:r>
      <w:r>
        <w:rPr>
          <w:sz w:val="16"/>
          <w:szCs w:val="16"/>
          <w:lang w:val="es-ES_tradnl"/>
        </w:rPr>
        <w:t xml:space="preserve"> </w:t>
      </w:r>
      <w:r w:rsidRPr="00C75C7E">
        <w:rPr>
          <w:sz w:val="16"/>
          <w:szCs w:val="16"/>
          <w:lang w:val="es-ES_tradnl"/>
        </w:rPr>
        <w:t xml:space="preserve"> Se ha reexpresado el presupuesto aprobado de 2012/13 y el presupuesto de dicho bienio después de las transferencias, por resultado previsto, para reflejar el marco de resultados de la Organización propuesto para 2014/15.</w:t>
      </w:r>
    </w:p>
    <w:p w:rsidR="00A80F8D" w:rsidRPr="00C75C7E" w:rsidRDefault="00A80F8D" w:rsidP="00A80F8D">
      <w:pPr>
        <w:widowControl w:val="0"/>
        <w:autoSpaceDE w:val="0"/>
        <w:autoSpaceDN w:val="0"/>
        <w:adjustRightInd w:val="0"/>
        <w:rPr>
          <w:sz w:val="20"/>
          <w:lang w:val="es-ES_tradnl"/>
        </w:rPr>
      </w:pPr>
    </w:p>
    <w:p w:rsidR="00A80F8D" w:rsidRPr="00C75C7E" w:rsidRDefault="00A80F8D" w:rsidP="00A80F8D">
      <w:pPr>
        <w:widowControl w:val="0"/>
        <w:jc w:val="both"/>
        <w:rPr>
          <w:sz w:val="20"/>
          <w:lang w:val="es-ES_tradnl"/>
        </w:rPr>
      </w:pPr>
    </w:p>
    <w:p w:rsidR="00A80F8D" w:rsidRPr="00C75C7E" w:rsidRDefault="00C76500" w:rsidP="00400B23">
      <w:pPr>
        <w:keepNext/>
        <w:widowControl w:val="0"/>
        <w:autoSpaceDE w:val="0"/>
        <w:autoSpaceDN w:val="0"/>
        <w:adjustRightInd w:val="0"/>
        <w:jc w:val="center"/>
        <w:rPr>
          <w:b/>
          <w:bCs/>
          <w:iCs/>
          <w:sz w:val="20"/>
          <w:lang w:val="es-ES_tradnl"/>
        </w:rPr>
      </w:pPr>
      <w:r>
        <w:rPr>
          <w:b/>
          <w:bCs/>
          <w:iCs/>
          <w:sz w:val="20"/>
          <w:lang w:val="es-ES_tradnl"/>
        </w:rPr>
        <w:lastRenderedPageBreak/>
        <w:t xml:space="preserve">Programa 13:  </w:t>
      </w:r>
      <w:r w:rsidR="00A80F8D" w:rsidRPr="00C75C7E">
        <w:rPr>
          <w:b/>
          <w:bCs/>
          <w:iCs/>
          <w:sz w:val="20"/>
          <w:lang w:val="es-ES_tradnl"/>
        </w:rPr>
        <w:t>Recursos por objeto de gasto</w:t>
      </w:r>
    </w:p>
    <w:p w:rsidR="00A80F8D" w:rsidRDefault="00A80F8D" w:rsidP="00400B23">
      <w:pPr>
        <w:keepNext/>
        <w:widowControl w:val="0"/>
        <w:autoSpaceDE w:val="0"/>
        <w:autoSpaceDN w:val="0"/>
        <w:adjustRightInd w:val="0"/>
        <w:jc w:val="center"/>
        <w:rPr>
          <w:bCs/>
          <w:i/>
          <w:sz w:val="20"/>
          <w:lang w:val="es-ES_tradnl"/>
        </w:rPr>
      </w:pPr>
      <w:r w:rsidRPr="00C75C7E">
        <w:rPr>
          <w:bCs/>
          <w:i/>
          <w:sz w:val="20"/>
          <w:lang w:val="es-ES_tradnl"/>
        </w:rPr>
        <w:t>(en miles de francos suizos)</w:t>
      </w:r>
    </w:p>
    <w:p w:rsidR="001E5683" w:rsidRDefault="001E5683" w:rsidP="00400B23">
      <w:pPr>
        <w:keepNext/>
        <w:widowControl w:val="0"/>
        <w:autoSpaceDE w:val="0"/>
        <w:autoSpaceDN w:val="0"/>
        <w:adjustRightInd w:val="0"/>
        <w:jc w:val="center"/>
        <w:rPr>
          <w:bCs/>
          <w:i/>
          <w:sz w:val="20"/>
          <w:lang w:val="es-ES_tradnl"/>
        </w:rPr>
      </w:pPr>
    </w:p>
    <w:p w:rsidR="001E5683" w:rsidRPr="00C75C7E" w:rsidRDefault="00C40A11" w:rsidP="00400B23">
      <w:pPr>
        <w:keepNext/>
        <w:widowControl w:val="0"/>
        <w:autoSpaceDE w:val="0"/>
        <w:autoSpaceDN w:val="0"/>
        <w:adjustRightInd w:val="0"/>
        <w:jc w:val="center"/>
        <w:rPr>
          <w:bCs/>
          <w:i/>
          <w:sz w:val="20"/>
          <w:lang w:val="es-ES_tradnl"/>
        </w:rPr>
      </w:pPr>
      <w:r>
        <w:rPr>
          <w:noProof/>
          <w:lang w:val="en-US" w:eastAsia="en-US"/>
        </w:rPr>
        <w:drawing>
          <wp:inline distT="0" distB="0" distL="0" distR="0" wp14:anchorId="7995F937" wp14:editId="0986A267">
            <wp:extent cx="5936615" cy="5739130"/>
            <wp:effectExtent l="0" t="0" r="6985"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936615" cy="5739130"/>
                    </a:xfrm>
                    <a:prstGeom prst="rect">
                      <a:avLst/>
                    </a:prstGeom>
                    <a:noFill/>
                    <a:ln>
                      <a:noFill/>
                    </a:ln>
                  </pic:spPr>
                </pic:pic>
              </a:graphicData>
            </a:graphic>
          </wp:inline>
        </w:drawing>
      </w:r>
    </w:p>
    <w:p w:rsidR="00A80F8D" w:rsidRPr="00C75C7E" w:rsidRDefault="00A80F8D" w:rsidP="00400B23">
      <w:pPr>
        <w:keepNext/>
        <w:widowControl w:val="0"/>
        <w:rPr>
          <w:sz w:val="20"/>
          <w:lang w:val="es-ES_tradnl"/>
        </w:rPr>
      </w:pPr>
    </w:p>
    <w:p w:rsidR="00A80F8D" w:rsidRPr="00C75C7E" w:rsidRDefault="00A80F8D" w:rsidP="00A80F8D">
      <w:pPr>
        <w:widowControl w:val="0"/>
        <w:rPr>
          <w:sz w:val="16"/>
          <w:szCs w:val="16"/>
          <w:lang w:val="es-ES_tradnl"/>
        </w:rPr>
      </w:pPr>
      <w:r w:rsidRPr="00C75C7E">
        <w:rPr>
          <w:sz w:val="16"/>
          <w:szCs w:val="16"/>
          <w:lang w:val="es-ES_tradnl"/>
        </w:rPr>
        <w:t>Notas:</w:t>
      </w:r>
    </w:p>
    <w:p w:rsidR="00A80F8D" w:rsidRPr="00C75C7E" w:rsidRDefault="00A80F8D" w:rsidP="00A80F8D">
      <w:pPr>
        <w:widowControl w:val="0"/>
        <w:rPr>
          <w:sz w:val="16"/>
          <w:szCs w:val="16"/>
          <w:u w:val="single"/>
          <w:lang w:val="es-ES_tradnl"/>
        </w:rPr>
      </w:pPr>
    </w:p>
    <w:p w:rsidR="00A80F8D" w:rsidRDefault="00387962" w:rsidP="00A80F8D">
      <w:pPr>
        <w:widowControl w:val="0"/>
        <w:rPr>
          <w:sz w:val="16"/>
          <w:szCs w:val="16"/>
          <w:lang w:val="es-ES_tradnl"/>
        </w:rPr>
      </w:pPr>
      <w:r>
        <w:rPr>
          <w:sz w:val="16"/>
          <w:szCs w:val="16"/>
          <w:lang w:val="es-ES_tradnl"/>
        </w:rPr>
        <w:t xml:space="preserve">1)  </w:t>
      </w:r>
      <w:r w:rsidR="00A80F8D" w:rsidRPr="00C75C7E">
        <w:rPr>
          <w:sz w:val="16"/>
          <w:szCs w:val="16"/>
          <w:lang w:val="es-ES_tradnl"/>
        </w:rPr>
        <w:t>El presupuesto aprobado de 2012/13 y el presupuesto de dicho bienio después de las transferencias se reexpresan sobre la base de la estructura de categorías de costos propuesta para 2014/15.</w:t>
      </w:r>
    </w:p>
    <w:p w:rsidR="00D86F03" w:rsidRPr="00C75C7E" w:rsidRDefault="00D86F03" w:rsidP="00A80F8D">
      <w:pPr>
        <w:widowControl w:val="0"/>
        <w:rPr>
          <w:sz w:val="16"/>
          <w:szCs w:val="16"/>
          <w:lang w:val="es-ES_tradnl"/>
        </w:rPr>
      </w:pPr>
    </w:p>
    <w:p w:rsidR="00A80F8D" w:rsidRDefault="00A80F8D" w:rsidP="00A80F8D">
      <w:pPr>
        <w:widowControl w:val="0"/>
        <w:rPr>
          <w:rFonts w:cs="ArialMT"/>
          <w:sz w:val="16"/>
          <w:szCs w:val="16"/>
          <w:lang w:val="es-ES_tradnl"/>
        </w:rPr>
      </w:pPr>
      <w:r>
        <w:rPr>
          <w:sz w:val="16"/>
          <w:szCs w:val="16"/>
          <w:lang w:val="es-ES_tradnl"/>
        </w:rPr>
        <w:t>2)</w:t>
      </w:r>
      <w:r w:rsidR="00387962">
        <w:rPr>
          <w:sz w:val="16"/>
          <w:szCs w:val="16"/>
          <w:lang w:val="es-ES_tradnl"/>
        </w:rPr>
        <w:t xml:space="preserve">  </w:t>
      </w:r>
      <w:r w:rsidRPr="00C75C7E">
        <w:rPr>
          <w:sz w:val="16"/>
          <w:szCs w:val="16"/>
          <w:lang w:val="es-ES_tradnl"/>
        </w:rPr>
        <w:t>El presupuesto después de las transferencias refleja el presupuesto de los programas ajustado tras las transferencias efectuadas en 2012/13 en virtud del artículo 5.5 del Reglamento Financiero. Para más info</w:t>
      </w:r>
      <w:r w:rsidR="00D86F03">
        <w:rPr>
          <w:sz w:val="16"/>
          <w:szCs w:val="16"/>
          <w:lang w:val="es-ES_tradnl"/>
        </w:rPr>
        <w:t>rmación sobre el presupuesto de </w:t>
      </w:r>
      <w:r w:rsidRPr="00C75C7E">
        <w:rPr>
          <w:sz w:val="16"/>
          <w:szCs w:val="16"/>
          <w:lang w:val="es-ES_tradnl"/>
        </w:rPr>
        <w:t xml:space="preserve">2012/13 después de las transferencias, cabe remitirse al cuadro que figura en el Anexo I (Presupuesto después de las transferencias, por programa) del presente documento y al documento WO/PBC/20/2 (Informe sobre el rendimiento de los programas en 2012).  </w:t>
      </w:r>
      <w:r w:rsidRPr="00C75C7E">
        <w:rPr>
          <w:rFonts w:cs="ArialMT"/>
          <w:sz w:val="16"/>
          <w:szCs w:val="16"/>
          <w:lang w:val="es-ES_tradnl"/>
        </w:rPr>
        <w:t>Los costos de personal del presupuesto de 2012/13 después de las transferencias representan los gastos reales efectuados hasta el 31 de marzo de 2013 y los importes presupuestados para los nueve meses restantes de 2013, sobre la base de costos estándar.</w:t>
      </w:r>
    </w:p>
    <w:p w:rsidR="00A80F8D" w:rsidRPr="00C75C7E" w:rsidRDefault="00A80F8D" w:rsidP="00A80F8D">
      <w:pPr>
        <w:widowControl w:val="0"/>
        <w:rPr>
          <w:sz w:val="16"/>
          <w:szCs w:val="16"/>
          <w:lang w:val="es-ES_tradnl"/>
        </w:rPr>
      </w:pPr>
    </w:p>
    <w:p w:rsidR="00A80F8D" w:rsidRPr="00C75C7E" w:rsidRDefault="00A80F8D" w:rsidP="00A80F8D">
      <w:pPr>
        <w:widowControl w:val="0"/>
        <w:rPr>
          <w:sz w:val="16"/>
          <w:szCs w:val="16"/>
          <w:lang w:val="es-ES_tradnl"/>
        </w:rPr>
      </w:pPr>
      <w:r w:rsidRPr="00C75C7E">
        <w:rPr>
          <w:sz w:val="16"/>
          <w:szCs w:val="16"/>
          <w:lang w:val="es-ES_tradnl"/>
        </w:rPr>
        <w:t>3)  Para más información sobre los puestos del programa cabe remitirse al cuadro que figura en el Anexo II.</w:t>
      </w:r>
    </w:p>
    <w:p w:rsidR="00C739DE" w:rsidRPr="008F43DB" w:rsidRDefault="00A80F8D" w:rsidP="008F43DB">
      <w:pPr>
        <w:pStyle w:val="Heading3"/>
        <w:tabs>
          <w:tab w:val="left" w:pos="1985"/>
        </w:tabs>
        <w:ind w:left="1985" w:hanging="1985"/>
        <w:rPr>
          <w:b/>
          <w:iCs/>
          <w:caps/>
          <w:u w:val="none"/>
        </w:rPr>
      </w:pPr>
      <w:r w:rsidRPr="00C75C7E">
        <w:rPr>
          <w:sz w:val="20"/>
          <w:lang w:val="es-ES_tradnl"/>
        </w:rPr>
        <w:br w:type="page"/>
      </w:r>
      <w:bookmarkStart w:id="52" w:name="_Toc358816702"/>
      <w:bookmarkStart w:id="53" w:name="_Toc356567764"/>
      <w:r w:rsidR="006A15F5" w:rsidRPr="008F43DB">
        <w:rPr>
          <w:b/>
          <w:iCs/>
          <w:u w:val="none"/>
        </w:rPr>
        <w:lastRenderedPageBreak/>
        <w:t>PROGRAMA 14</w:t>
      </w:r>
      <w:r w:rsidR="006A15F5" w:rsidRPr="008F43DB">
        <w:rPr>
          <w:b/>
          <w:iCs/>
          <w:u w:val="none"/>
        </w:rPr>
        <w:tab/>
        <w:t>SERVICIOS DE ACCESO A LA INFORMACIÓN Y A LOS CONOCIMIENTOS</w:t>
      </w:r>
      <w:bookmarkEnd w:id="52"/>
      <w:r w:rsidR="006A15F5" w:rsidRPr="008F43DB">
        <w:rPr>
          <w:b/>
          <w:iCs/>
          <w:u w:val="none"/>
        </w:rPr>
        <w:t xml:space="preserve"> </w:t>
      </w:r>
      <w:bookmarkEnd w:id="53"/>
    </w:p>
    <w:p w:rsidR="00C739DE" w:rsidRPr="00F039C2" w:rsidRDefault="00C739DE" w:rsidP="00C739DE">
      <w:pPr>
        <w:widowControl w:val="0"/>
        <w:rPr>
          <w:sz w:val="20"/>
        </w:rPr>
      </w:pPr>
    </w:p>
    <w:p w:rsidR="00C739DE" w:rsidRPr="00F039C2" w:rsidRDefault="00C739DE" w:rsidP="00C739DE">
      <w:pPr>
        <w:widowControl w:val="0"/>
        <w:rPr>
          <w:sz w:val="20"/>
        </w:rPr>
      </w:pPr>
    </w:p>
    <w:p w:rsidR="00C739DE" w:rsidRPr="00CA3895" w:rsidRDefault="00C739DE" w:rsidP="00C739DE">
      <w:pPr>
        <w:pStyle w:val="BodyTextIndent"/>
        <w:widowControl w:val="0"/>
        <w:ind w:left="1985" w:hanging="1985"/>
        <w:jc w:val="both"/>
        <w:rPr>
          <w:rFonts w:ascii="Arial" w:hAnsi="Arial" w:cs="Arial"/>
          <w:sz w:val="22"/>
          <w:szCs w:val="22"/>
          <w:lang w:val="es-ES"/>
        </w:rPr>
      </w:pPr>
      <w:r w:rsidRPr="00CA3895">
        <w:rPr>
          <w:rFonts w:ascii="Arial" w:hAnsi="Arial" w:cs="Arial"/>
          <w:sz w:val="22"/>
          <w:szCs w:val="22"/>
          <w:lang w:val="es-ES"/>
        </w:rPr>
        <w:t xml:space="preserve">CONTEXTO DE PLANIFICACIÓN </w:t>
      </w:r>
    </w:p>
    <w:p w:rsidR="00C739DE" w:rsidRPr="00CA3895" w:rsidRDefault="00C739DE" w:rsidP="00C739DE">
      <w:pPr>
        <w:widowControl w:val="0"/>
        <w:rPr>
          <w:sz w:val="20"/>
        </w:rPr>
      </w:pPr>
    </w:p>
    <w:p w:rsidR="00C739DE" w:rsidRPr="00F039C2" w:rsidRDefault="00C739DE" w:rsidP="00BA276E">
      <w:pPr>
        <w:widowControl w:val="0"/>
        <w:numPr>
          <w:ilvl w:val="0"/>
          <w:numId w:val="37"/>
        </w:numPr>
        <w:jc w:val="both"/>
        <w:rPr>
          <w:bCs/>
          <w:sz w:val="20"/>
        </w:rPr>
      </w:pPr>
      <w:r>
        <w:rPr>
          <w:bCs/>
          <w:sz w:val="20"/>
        </w:rPr>
        <w:t xml:space="preserve">Al reconocer </w:t>
      </w:r>
      <w:r w:rsidRPr="00F039C2">
        <w:rPr>
          <w:bCs/>
          <w:sz w:val="20"/>
        </w:rPr>
        <w:t xml:space="preserve">la vital importancia del acceso a la información sobre tecnología en aras del desarrollo, así como las necesidades de los países en desarrollo y los países menos adelantados de fortalecer la capacidad nacional para la protección de las innovaciones a través de instituciones de P.I. eficaces, el programa tiene por objeto:  i) facilitar el acceso a herramientas de búsqueda y bases de datos de patentes y de otro tipo;  ii) fomentar la competencia </w:t>
      </w:r>
      <w:r>
        <w:rPr>
          <w:bCs/>
          <w:sz w:val="20"/>
        </w:rPr>
        <w:t xml:space="preserve">de cada país </w:t>
      </w:r>
      <w:r w:rsidRPr="00F039C2">
        <w:rPr>
          <w:bCs/>
          <w:sz w:val="20"/>
        </w:rPr>
        <w:t>para buscar y aprovechar con eficacia la información sobre tecnología con el objetivo concreto de reducir la brecha de los conocimientos y asistir a los países en desarrollo y los menos adelantados a participar más plenamente en la economía mundial de los conocimientos;  iii) prestar servicios que ofrecen información básica y con valor añadido sobre patentes que no es fácil de conseguir o cuya obtención, análisis y evaluación se necesitan conocimientos especializados;  y iv) facilitar el acceso a los resultados del examen en otras  instituciones de P.I.</w:t>
      </w:r>
    </w:p>
    <w:p w:rsidR="00C739DE" w:rsidRPr="00F039C2" w:rsidRDefault="00C739DE" w:rsidP="00C739DE">
      <w:pPr>
        <w:widowControl w:val="0"/>
        <w:jc w:val="both"/>
        <w:rPr>
          <w:bCs/>
          <w:sz w:val="20"/>
        </w:rPr>
      </w:pPr>
    </w:p>
    <w:p w:rsidR="00C739DE" w:rsidRPr="00F039C2" w:rsidRDefault="00C739DE" w:rsidP="00BA276E">
      <w:pPr>
        <w:widowControl w:val="0"/>
        <w:numPr>
          <w:ilvl w:val="0"/>
          <w:numId w:val="37"/>
        </w:numPr>
        <w:jc w:val="both"/>
        <w:rPr>
          <w:bCs/>
          <w:sz w:val="20"/>
        </w:rPr>
      </w:pPr>
      <w:r w:rsidRPr="00F039C2">
        <w:rPr>
          <w:bCs/>
          <w:sz w:val="20"/>
        </w:rPr>
        <w:t xml:space="preserve">Se ha efectuado una importante contribución a la mejora del acceso a servicios de bases de datos de patentes y de otro tipo en los países </w:t>
      </w:r>
      <w:r>
        <w:rPr>
          <w:bCs/>
          <w:sz w:val="20"/>
        </w:rPr>
        <w:t>en d</w:t>
      </w:r>
      <w:r w:rsidRPr="00F039C2">
        <w:rPr>
          <w:bCs/>
          <w:sz w:val="20"/>
        </w:rPr>
        <w:t>esarroll</w:t>
      </w:r>
      <w:r>
        <w:rPr>
          <w:bCs/>
          <w:sz w:val="20"/>
        </w:rPr>
        <w:t>o</w:t>
      </w:r>
      <w:r w:rsidRPr="00F039C2">
        <w:rPr>
          <w:bCs/>
          <w:sz w:val="20"/>
        </w:rPr>
        <w:t xml:space="preserve"> y los menos adelantados a través de los programas de </w:t>
      </w:r>
      <w:r w:rsidRPr="00633A34">
        <w:rPr>
          <w:bCs/>
          <w:sz w:val="20"/>
        </w:rPr>
        <w:t>Acceso a la Investigación para el Desarrollo y la Innovación</w:t>
      </w:r>
      <w:r w:rsidRPr="00F039C2">
        <w:rPr>
          <w:bCs/>
          <w:sz w:val="20"/>
        </w:rPr>
        <w:t xml:space="preserve"> (ARDI) y de Acceso a la Información Especializada sobre Patentes (ASPI), que </w:t>
      </w:r>
      <w:r>
        <w:rPr>
          <w:bCs/>
          <w:sz w:val="20"/>
        </w:rPr>
        <w:t xml:space="preserve">permiten a </w:t>
      </w:r>
      <w:r w:rsidRPr="00F039C2">
        <w:rPr>
          <w:bCs/>
          <w:sz w:val="20"/>
        </w:rPr>
        <w:t>las oficinas e instituciones de patentes en el ámbito nacional</w:t>
      </w:r>
      <w:r>
        <w:rPr>
          <w:bCs/>
          <w:sz w:val="20"/>
        </w:rPr>
        <w:t xml:space="preserve"> </w:t>
      </w:r>
      <w:r w:rsidRPr="00F039C2">
        <w:rPr>
          <w:bCs/>
          <w:sz w:val="20"/>
        </w:rPr>
        <w:t>tener acceso a importantes publicaciones científicas y técnicas y a sofisticadas herramientas de búsqueda y análisis de patentes, respectivamente, de manera gratuita o a precios módicos.</w:t>
      </w:r>
    </w:p>
    <w:p w:rsidR="00C739DE" w:rsidRPr="00F039C2" w:rsidRDefault="00C739DE" w:rsidP="00C739DE">
      <w:pPr>
        <w:widowControl w:val="0"/>
        <w:jc w:val="both"/>
        <w:rPr>
          <w:bCs/>
          <w:sz w:val="20"/>
        </w:rPr>
      </w:pPr>
    </w:p>
    <w:p w:rsidR="00C739DE" w:rsidRPr="00F039C2" w:rsidRDefault="00C739DE" w:rsidP="00BA276E">
      <w:pPr>
        <w:widowControl w:val="0"/>
        <w:numPr>
          <w:ilvl w:val="0"/>
          <w:numId w:val="37"/>
        </w:numPr>
        <w:jc w:val="both"/>
        <w:rPr>
          <w:bCs/>
          <w:sz w:val="20"/>
        </w:rPr>
      </w:pPr>
      <w:r w:rsidRPr="00F039C2">
        <w:rPr>
          <w:bCs/>
          <w:sz w:val="20"/>
        </w:rPr>
        <w:t xml:space="preserve">  El establecimiento de redes nacionales de centros de apoyo a la tecnología y la innovación (CATI) ha sentado las bases, además, para ofrecer servicios de información sobre tecnología a escala local dirigidos a inventores particulares, pequeñas y medianas empresas y otras partes interesadas pertinentes.  Un programa estructurado de capacitación para el personal de los CATI y la </w:t>
      </w:r>
      <w:r>
        <w:rPr>
          <w:bCs/>
          <w:sz w:val="20"/>
        </w:rPr>
        <w:t xml:space="preserve">habilitación </w:t>
      </w:r>
      <w:r w:rsidRPr="00F039C2">
        <w:rPr>
          <w:bCs/>
          <w:sz w:val="20"/>
        </w:rPr>
        <w:t>de recursos complementarios, entre los que cabe mencionar los cursos de enseñanza a distancia de</w:t>
      </w:r>
      <w:r w:rsidR="00C76500">
        <w:rPr>
          <w:bCs/>
          <w:sz w:val="20"/>
        </w:rPr>
        <w:t xml:space="preserve"> la Academia </w:t>
      </w:r>
      <w:r w:rsidRPr="00F039C2">
        <w:rPr>
          <w:bCs/>
          <w:sz w:val="20"/>
        </w:rPr>
        <w:t xml:space="preserve">de la OMPI, así como distintos materiales de sensibilización, han contribuido a la eficaz prestación de servicios principales por parte de los CATI. </w:t>
      </w:r>
    </w:p>
    <w:p w:rsidR="00C739DE" w:rsidRPr="00F039C2" w:rsidRDefault="00C739DE" w:rsidP="00C739DE">
      <w:pPr>
        <w:widowControl w:val="0"/>
        <w:jc w:val="both"/>
        <w:rPr>
          <w:bCs/>
          <w:sz w:val="20"/>
        </w:rPr>
      </w:pPr>
    </w:p>
    <w:p w:rsidR="00C739DE" w:rsidRPr="00F039C2" w:rsidRDefault="00C739DE" w:rsidP="00BA276E">
      <w:pPr>
        <w:widowControl w:val="0"/>
        <w:numPr>
          <w:ilvl w:val="0"/>
          <w:numId w:val="37"/>
        </w:numPr>
        <w:jc w:val="both"/>
        <w:rPr>
          <w:bCs/>
          <w:sz w:val="20"/>
        </w:rPr>
      </w:pPr>
      <w:r w:rsidRPr="00F039C2">
        <w:rPr>
          <w:bCs/>
          <w:sz w:val="20"/>
        </w:rPr>
        <w:t xml:space="preserve">Los </w:t>
      </w:r>
      <w:r>
        <w:rPr>
          <w:bCs/>
          <w:sz w:val="20"/>
        </w:rPr>
        <w:t xml:space="preserve">amplios </w:t>
      </w:r>
      <w:r w:rsidRPr="00F039C2">
        <w:rPr>
          <w:bCs/>
          <w:sz w:val="20"/>
        </w:rPr>
        <w:t xml:space="preserve">avances logrados hasta la fecha reflejan una sólida demanda impulsada por los Estados miembros que se acentuará y se remodelará a lo largo del próximo bienio a fin de consolidar y garantizar la sostenibilidad a largo plazo de los servicios de apoyo a la innovación principales y secundarios que prestan los CATI. </w:t>
      </w:r>
    </w:p>
    <w:p w:rsidR="00C739DE" w:rsidRPr="00F039C2" w:rsidRDefault="00C739DE" w:rsidP="00C739DE">
      <w:pPr>
        <w:widowControl w:val="0"/>
        <w:jc w:val="both"/>
        <w:rPr>
          <w:bCs/>
          <w:sz w:val="20"/>
        </w:rPr>
      </w:pPr>
    </w:p>
    <w:p w:rsidR="00C739DE" w:rsidRPr="00CA3895" w:rsidRDefault="00C739DE" w:rsidP="00BA276E">
      <w:pPr>
        <w:widowControl w:val="0"/>
        <w:numPr>
          <w:ilvl w:val="0"/>
          <w:numId w:val="37"/>
        </w:numPr>
        <w:jc w:val="both"/>
        <w:rPr>
          <w:bCs/>
          <w:sz w:val="20"/>
        </w:rPr>
      </w:pPr>
      <w:r w:rsidRPr="00F039C2">
        <w:rPr>
          <w:bCs/>
          <w:sz w:val="20"/>
        </w:rPr>
        <w:t>La labor del programa guarda relación con las recomendaciones de la A.D. destinadas a mejorar el acceso a la información sobre tecnología y su utilización, así como el fortalecimiento de las instituciones de P.I., a saber, las recomendaciones 1, 8, 10, 11, 19, 30 y 31, y se ejecutará de manera coordinada con los programas 1 (Derecho de patentes), 5 (Sistema del PCT), 8 (Coordinación de la Agenda para el Desarrollo), 9 (Países africanos, árabes, de América Latina y el Caribe, de Asia y el Pacífico y países menos adelantados), 10 (Cooperación con determinados países de Europa y Asia), 11 (</w:t>
      </w:r>
      <w:r w:rsidR="00C76500">
        <w:rPr>
          <w:bCs/>
          <w:sz w:val="20"/>
        </w:rPr>
        <w:t>Academia</w:t>
      </w:r>
      <w:r w:rsidRPr="00F039C2">
        <w:rPr>
          <w:bCs/>
          <w:sz w:val="20"/>
        </w:rPr>
        <w:t xml:space="preserve"> de la OMPI), 13 (Bases de datos</w:t>
      </w:r>
      <w:r>
        <w:rPr>
          <w:bCs/>
          <w:sz w:val="20"/>
        </w:rPr>
        <w:t xml:space="preserve"> mundiales</w:t>
      </w:r>
      <w:r w:rsidRPr="00F039C2">
        <w:rPr>
          <w:bCs/>
          <w:sz w:val="20"/>
        </w:rPr>
        <w:t xml:space="preserve">), 18 (La P.I. y los desafíos mundiales) y 20 (Relaciones exteriores, alianzas y oficinas </w:t>
      </w:r>
      <w:r>
        <w:rPr>
          <w:bCs/>
          <w:sz w:val="20"/>
        </w:rPr>
        <w:t>en el exterior</w:t>
      </w:r>
      <w:r w:rsidRPr="00F039C2">
        <w:rPr>
          <w:bCs/>
          <w:sz w:val="20"/>
        </w:rPr>
        <w:t xml:space="preserve">).  Además, </w:t>
      </w:r>
      <w:r>
        <w:rPr>
          <w:bCs/>
          <w:sz w:val="20"/>
        </w:rPr>
        <w:t xml:space="preserve">mediante </w:t>
      </w:r>
      <w:r w:rsidRPr="00F039C2">
        <w:rPr>
          <w:bCs/>
          <w:sz w:val="20"/>
        </w:rPr>
        <w:t xml:space="preserve">el programa </w:t>
      </w:r>
      <w:r>
        <w:rPr>
          <w:bCs/>
          <w:sz w:val="20"/>
        </w:rPr>
        <w:t xml:space="preserve">se establecerá una </w:t>
      </w:r>
      <w:r w:rsidRPr="00F039C2">
        <w:rPr>
          <w:bCs/>
          <w:sz w:val="20"/>
        </w:rPr>
        <w:t>coordina</w:t>
      </w:r>
      <w:r>
        <w:rPr>
          <w:bCs/>
          <w:sz w:val="20"/>
        </w:rPr>
        <w:t xml:space="preserve">ción </w:t>
      </w:r>
      <w:r w:rsidRPr="00F039C2">
        <w:rPr>
          <w:bCs/>
          <w:sz w:val="20"/>
        </w:rPr>
        <w:t xml:space="preserve">estrecha con los Estados miembros, las OIG y las ONG en </w:t>
      </w:r>
      <w:r w:rsidRPr="00CA3895">
        <w:rPr>
          <w:bCs/>
          <w:sz w:val="20"/>
        </w:rPr>
        <w:t>aras del desarrollo de plataformas e infraestructuras de la P.I. compatibles.</w:t>
      </w:r>
    </w:p>
    <w:p w:rsidR="00C739DE" w:rsidRPr="00CA3895" w:rsidRDefault="00C739DE" w:rsidP="00C739DE">
      <w:pPr>
        <w:widowControl w:val="0"/>
        <w:jc w:val="both"/>
        <w:rPr>
          <w:bCs/>
          <w:sz w:val="20"/>
        </w:rPr>
      </w:pPr>
    </w:p>
    <w:p w:rsidR="00C739DE" w:rsidRPr="00CA3895" w:rsidRDefault="00C739DE" w:rsidP="00C739DE">
      <w:pPr>
        <w:widowControl w:val="0"/>
        <w:tabs>
          <w:tab w:val="num" w:pos="709"/>
        </w:tabs>
        <w:jc w:val="both"/>
        <w:rPr>
          <w:sz w:val="20"/>
        </w:rPr>
      </w:pPr>
    </w:p>
    <w:p w:rsidR="00C739DE" w:rsidRPr="00F039C2" w:rsidRDefault="00C739DE" w:rsidP="00C739DE">
      <w:pPr>
        <w:widowControl w:val="0"/>
        <w:tabs>
          <w:tab w:val="num" w:pos="709"/>
        </w:tabs>
        <w:jc w:val="both"/>
        <w:rPr>
          <w:bCs/>
          <w:szCs w:val="22"/>
        </w:rPr>
      </w:pPr>
      <w:r w:rsidRPr="00CA3895">
        <w:rPr>
          <w:bCs/>
          <w:szCs w:val="22"/>
        </w:rPr>
        <w:t>ESTRATEGIAS</w:t>
      </w:r>
      <w:r w:rsidRPr="00F039C2">
        <w:rPr>
          <w:bCs/>
          <w:szCs w:val="22"/>
        </w:rPr>
        <w:t xml:space="preserve"> DE EJECUCIÓN  </w:t>
      </w:r>
    </w:p>
    <w:p w:rsidR="00C739DE" w:rsidRPr="00F039C2" w:rsidRDefault="00C739DE" w:rsidP="00C739DE">
      <w:pPr>
        <w:widowControl w:val="0"/>
        <w:rPr>
          <w:sz w:val="20"/>
        </w:rPr>
      </w:pPr>
    </w:p>
    <w:p w:rsidR="00C739DE" w:rsidRPr="00F039C2" w:rsidRDefault="00C739DE" w:rsidP="00C739DE">
      <w:pPr>
        <w:widowControl w:val="0"/>
        <w:rPr>
          <w:sz w:val="20"/>
          <w:u w:val="single"/>
        </w:rPr>
      </w:pPr>
      <w:r>
        <w:rPr>
          <w:sz w:val="20"/>
          <w:u w:val="single"/>
        </w:rPr>
        <w:t xml:space="preserve">Mejora de </w:t>
      </w:r>
      <w:r w:rsidRPr="00F039C2">
        <w:rPr>
          <w:sz w:val="20"/>
          <w:u w:val="single"/>
        </w:rPr>
        <w:t>la sostenibilidad de la red de CATI</w:t>
      </w:r>
    </w:p>
    <w:p w:rsidR="00C739DE" w:rsidRPr="00F039C2" w:rsidRDefault="00C739DE" w:rsidP="00C739DE">
      <w:pPr>
        <w:widowControl w:val="0"/>
        <w:rPr>
          <w:sz w:val="20"/>
        </w:rPr>
      </w:pPr>
    </w:p>
    <w:p w:rsidR="00C739DE" w:rsidRPr="00F039C2" w:rsidRDefault="00C739DE" w:rsidP="00BA276E">
      <w:pPr>
        <w:widowControl w:val="0"/>
        <w:numPr>
          <w:ilvl w:val="0"/>
          <w:numId w:val="37"/>
        </w:numPr>
        <w:jc w:val="both"/>
        <w:rPr>
          <w:bCs/>
          <w:sz w:val="20"/>
        </w:rPr>
      </w:pPr>
      <w:r w:rsidRPr="00F039C2">
        <w:rPr>
          <w:bCs/>
          <w:sz w:val="20"/>
        </w:rPr>
        <w:t xml:space="preserve">Con objeto de reforzar los programas ARDI y ASPI, se intensificará la cooperación con los asociados existentes, por ejemplo los editores  y proveedores de bases de datos que ya son participantes, así como los programas similares de otros organismos especializados de las NN.UU., en particular por lo que respecta a la planificación y la realización de actividades conjuntas de formación y de </w:t>
      </w:r>
      <w:r>
        <w:rPr>
          <w:bCs/>
          <w:sz w:val="20"/>
        </w:rPr>
        <w:t>fomento de la sensibilidad</w:t>
      </w:r>
      <w:r w:rsidRPr="00F039C2">
        <w:rPr>
          <w:bCs/>
          <w:sz w:val="20"/>
        </w:rPr>
        <w:t>.</w:t>
      </w:r>
    </w:p>
    <w:p w:rsidR="00C739DE" w:rsidRPr="00F039C2" w:rsidRDefault="00C739DE" w:rsidP="00C739DE">
      <w:pPr>
        <w:widowControl w:val="0"/>
        <w:jc w:val="both"/>
        <w:rPr>
          <w:bCs/>
          <w:sz w:val="20"/>
        </w:rPr>
      </w:pPr>
    </w:p>
    <w:p w:rsidR="00C739DE" w:rsidRPr="00F039C2" w:rsidRDefault="00C739DE" w:rsidP="00BA276E">
      <w:pPr>
        <w:widowControl w:val="0"/>
        <w:numPr>
          <w:ilvl w:val="0"/>
          <w:numId w:val="37"/>
        </w:numPr>
        <w:jc w:val="both"/>
        <w:rPr>
          <w:bCs/>
          <w:sz w:val="20"/>
        </w:rPr>
      </w:pPr>
      <w:r w:rsidRPr="00F039C2">
        <w:rPr>
          <w:bCs/>
          <w:sz w:val="20"/>
        </w:rPr>
        <w:t xml:space="preserve"> A fin de aprovechar la experiencia y las lecciones extraídas durante la fase inicial del programa de los CATI, se reforzará el objetivo central, a saber, velar por la sostenibilidad a largo placo de los  CATI.  Ello incluirá el refuerzo de la planificación de proyectos, también en el ámbito nacional, a fin de garantizar que en el país </w:t>
      </w:r>
      <w:r w:rsidRPr="005D1922">
        <w:rPr>
          <w:bCs/>
          <w:sz w:val="20"/>
        </w:rPr>
        <w:t>se asumen como propios</w:t>
      </w:r>
      <w:r w:rsidRPr="00F039C2">
        <w:rPr>
          <w:bCs/>
          <w:sz w:val="20"/>
        </w:rPr>
        <w:t xml:space="preserve"> los CATI, un mayor uso de los programas de formación de formadores con objeto de aprovechar el efecto multiplicador en el ámbito local y un apoyo continuado a los CATI existentes a fin de reforzar los cimientos de la red nacional de CATI.</w:t>
      </w:r>
    </w:p>
    <w:p w:rsidR="00C739DE" w:rsidRPr="00F039C2" w:rsidRDefault="00C739DE" w:rsidP="00C739DE">
      <w:pPr>
        <w:widowControl w:val="0"/>
        <w:jc w:val="both"/>
        <w:rPr>
          <w:bCs/>
          <w:sz w:val="20"/>
        </w:rPr>
      </w:pPr>
    </w:p>
    <w:p w:rsidR="00C739DE" w:rsidRPr="00F039C2" w:rsidRDefault="00C739DE" w:rsidP="00BA276E">
      <w:pPr>
        <w:widowControl w:val="0"/>
        <w:numPr>
          <w:ilvl w:val="0"/>
          <w:numId w:val="37"/>
        </w:numPr>
        <w:jc w:val="both"/>
        <w:rPr>
          <w:bCs/>
          <w:sz w:val="20"/>
        </w:rPr>
      </w:pPr>
      <w:r w:rsidRPr="00F039C2">
        <w:rPr>
          <w:bCs/>
          <w:sz w:val="20"/>
        </w:rPr>
        <w:t xml:space="preserve">Se hará también un hincapié especial en la prestación eficaz de nuevos servicios </w:t>
      </w:r>
      <w:r>
        <w:rPr>
          <w:bCs/>
          <w:sz w:val="20"/>
        </w:rPr>
        <w:t xml:space="preserve">por Internet </w:t>
      </w:r>
      <w:r w:rsidRPr="00F039C2">
        <w:rPr>
          <w:bCs/>
          <w:sz w:val="20"/>
        </w:rPr>
        <w:t>de enseñanza electrónica y de creación de vínculos con objeto de ofrecer con periodicidad apoyo accesible a las redes nacionales de CATI a largo plazo.  Los cursos de enseñanza a distancia de</w:t>
      </w:r>
      <w:r w:rsidR="00C76500">
        <w:rPr>
          <w:bCs/>
          <w:sz w:val="20"/>
        </w:rPr>
        <w:t xml:space="preserve"> la Academia</w:t>
      </w:r>
      <w:r w:rsidRPr="00F039C2">
        <w:rPr>
          <w:bCs/>
          <w:sz w:val="20"/>
        </w:rPr>
        <w:t xml:space="preserve"> de la OMPI seguirán utilizándose como complemento de la formación in situ con un acceso y funcionalidad mejorados para el personal de los CATI.  Seguirán elaborándose y fomentándose los recursos </w:t>
      </w:r>
      <w:r>
        <w:rPr>
          <w:bCs/>
          <w:sz w:val="20"/>
        </w:rPr>
        <w:t xml:space="preserve">por Internet </w:t>
      </w:r>
      <w:r w:rsidRPr="00F039C2">
        <w:rPr>
          <w:bCs/>
          <w:sz w:val="20"/>
        </w:rPr>
        <w:t xml:space="preserve">que se han puesto en marcha recientemente, como la plataforma e-TISC para el intercambio de información y de prácticas óptimas y la </w:t>
      </w:r>
      <w:r>
        <w:rPr>
          <w:bCs/>
          <w:sz w:val="20"/>
        </w:rPr>
        <w:t xml:space="preserve">impartición </w:t>
      </w:r>
      <w:r w:rsidRPr="00F039C2">
        <w:rPr>
          <w:bCs/>
          <w:sz w:val="20"/>
        </w:rPr>
        <w:t xml:space="preserve">de enseñanza electrónica en el ámbito de los servicios de información sobre tecnología y una guía electrónica interactiva sobre el uso y </w:t>
      </w:r>
      <w:r>
        <w:rPr>
          <w:bCs/>
          <w:sz w:val="20"/>
        </w:rPr>
        <w:t xml:space="preserve">el aprovechamiento </w:t>
      </w:r>
      <w:r w:rsidRPr="00F039C2">
        <w:rPr>
          <w:bCs/>
          <w:sz w:val="20"/>
        </w:rPr>
        <w:t xml:space="preserve">de la información </w:t>
      </w:r>
      <w:r>
        <w:rPr>
          <w:bCs/>
          <w:sz w:val="20"/>
        </w:rPr>
        <w:t xml:space="preserve">sobre </w:t>
      </w:r>
      <w:r w:rsidRPr="00F039C2">
        <w:rPr>
          <w:bCs/>
          <w:sz w:val="20"/>
        </w:rPr>
        <w:t xml:space="preserve">patentes a través de ejemplos prácticos y teóricos, con objeto de promover y solicitar aportaciones e información a los CATI y sus correspondientes redes, tanto en el plano nacional como en el internacional.  </w:t>
      </w:r>
    </w:p>
    <w:p w:rsidR="00C739DE" w:rsidRPr="00F039C2" w:rsidRDefault="00C739DE" w:rsidP="00C739DE">
      <w:pPr>
        <w:widowControl w:val="0"/>
        <w:jc w:val="both"/>
        <w:rPr>
          <w:bCs/>
          <w:sz w:val="20"/>
        </w:rPr>
      </w:pPr>
    </w:p>
    <w:p w:rsidR="00C739DE" w:rsidRPr="00F039C2" w:rsidRDefault="00C739DE" w:rsidP="00BA276E">
      <w:pPr>
        <w:widowControl w:val="0"/>
        <w:numPr>
          <w:ilvl w:val="0"/>
          <w:numId w:val="37"/>
        </w:numPr>
        <w:jc w:val="both"/>
        <w:rPr>
          <w:bCs/>
          <w:sz w:val="20"/>
        </w:rPr>
      </w:pPr>
      <w:r w:rsidRPr="00F039C2">
        <w:rPr>
          <w:bCs/>
          <w:sz w:val="20"/>
        </w:rPr>
        <w:t xml:space="preserve">Con objeto de </w:t>
      </w:r>
      <w:r>
        <w:rPr>
          <w:bCs/>
          <w:sz w:val="20"/>
        </w:rPr>
        <w:t xml:space="preserve">reforzar </w:t>
      </w:r>
      <w:r w:rsidRPr="00F039C2">
        <w:rPr>
          <w:bCs/>
          <w:sz w:val="20"/>
        </w:rPr>
        <w:t>la sensibilización con respecto a los programas ARDI y ASPI entre posibles beneficiarios, durante el bienio se pondrá en marcha una activa campaña de fomento, dirigida en particular a los PMA, en la que las instituciones que cumplen los requisitos correspondientes podrán recibir acceso gratuito a los contenidos y servicios disponibles en el marco de los programas.</w:t>
      </w:r>
    </w:p>
    <w:p w:rsidR="00C739DE" w:rsidRPr="00CA3895" w:rsidRDefault="00C739DE" w:rsidP="00C739DE">
      <w:pPr>
        <w:widowControl w:val="0"/>
        <w:jc w:val="both"/>
        <w:rPr>
          <w:bCs/>
          <w:sz w:val="20"/>
        </w:rPr>
      </w:pPr>
    </w:p>
    <w:p w:rsidR="00C739DE" w:rsidRPr="00CA3895" w:rsidRDefault="00C739DE" w:rsidP="00C739DE">
      <w:pPr>
        <w:widowControl w:val="0"/>
        <w:tabs>
          <w:tab w:val="num" w:pos="709"/>
        </w:tabs>
        <w:jc w:val="both"/>
        <w:rPr>
          <w:sz w:val="20"/>
          <w:u w:val="single"/>
        </w:rPr>
      </w:pPr>
      <w:r w:rsidRPr="00CA3895">
        <w:rPr>
          <w:sz w:val="20"/>
          <w:u w:val="single"/>
        </w:rPr>
        <w:t xml:space="preserve">Servicios de información sobre patentes de valor añadido </w:t>
      </w:r>
    </w:p>
    <w:p w:rsidR="00C739DE" w:rsidRPr="00CA3895" w:rsidRDefault="00C739DE" w:rsidP="00C739DE">
      <w:pPr>
        <w:widowControl w:val="0"/>
        <w:tabs>
          <w:tab w:val="num" w:pos="709"/>
        </w:tabs>
        <w:jc w:val="both"/>
        <w:rPr>
          <w:rFonts w:eastAsia="MS Mincho" w:cs="ArialMT"/>
          <w:sz w:val="20"/>
          <w:lang w:eastAsia="ja-JP" w:bidi="th-TH"/>
        </w:rPr>
      </w:pPr>
    </w:p>
    <w:p w:rsidR="00C739DE" w:rsidRPr="00CA3895" w:rsidRDefault="00C739DE" w:rsidP="00BA276E">
      <w:pPr>
        <w:widowControl w:val="0"/>
        <w:numPr>
          <w:ilvl w:val="0"/>
          <w:numId w:val="37"/>
        </w:numPr>
        <w:jc w:val="both"/>
        <w:rPr>
          <w:rFonts w:eastAsia="MS Mincho" w:cs="ArialMT"/>
          <w:sz w:val="20"/>
          <w:lang w:eastAsia="ja-JP" w:bidi="th-TH"/>
        </w:rPr>
      </w:pPr>
      <w:r w:rsidRPr="00CA3895">
        <w:rPr>
          <w:rFonts w:eastAsia="MS Mincho" w:cs="ArialMT"/>
          <w:sz w:val="20"/>
          <w:lang w:eastAsia="ja-JP" w:bidi="th-TH"/>
        </w:rPr>
        <w:t>La prestación de servicios de información sobre patentes de valor añadido comprenderá lo siguiente:</w:t>
      </w:r>
    </w:p>
    <w:p w:rsidR="00C739DE" w:rsidRPr="00CA3895" w:rsidRDefault="00C739DE" w:rsidP="00C739DE">
      <w:pPr>
        <w:widowControl w:val="0"/>
        <w:tabs>
          <w:tab w:val="num" w:pos="709"/>
        </w:tabs>
        <w:jc w:val="both"/>
        <w:rPr>
          <w:rFonts w:eastAsia="MS Mincho" w:cs="ArialMT"/>
          <w:sz w:val="20"/>
          <w:lang w:eastAsia="ja-JP" w:bidi="th-TH"/>
        </w:rPr>
      </w:pPr>
    </w:p>
    <w:p w:rsidR="00C739DE" w:rsidRPr="00F039C2" w:rsidRDefault="00C739DE" w:rsidP="00BA276E">
      <w:pPr>
        <w:widowControl w:val="0"/>
        <w:numPr>
          <w:ilvl w:val="1"/>
          <w:numId w:val="37"/>
        </w:numPr>
        <w:tabs>
          <w:tab w:val="clear" w:pos="1250"/>
          <w:tab w:val="num" w:pos="709"/>
          <w:tab w:val="left" w:pos="1276"/>
        </w:tabs>
        <w:autoSpaceDE w:val="0"/>
        <w:autoSpaceDN w:val="0"/>
        <w:adjustRightInd w:val="0"/>
        <w:ind w:left="709"/>
        <w:jc w:val="both"/>
        <w:rPr>
          <w:rFonts w:eastAsia="MS Mincho" w:cs="ArialMT"/>
          <w:sz w:val="20"/>
          <w:lang w:eastAsia="ja-JP" w:bidi="th-TH"/>
        </w:rPr>
      </w:pPr>
      <w:r w:rsidRPr="00F039C2">
        <w:rPr>
          <w:rFonts w:eastAsia="MS Mincho" w:cs="ArialMT"/>
          <w:sz w:val="20"/>
          <w:lang w:eastAsia="ja-JP" w:bidi="th-TH"/>
        </w:rPr>
        <w:t xml:space="preserve">Informes </w:t>
      </w:r>
      <w:r w:rsidRPr="00B30B3F">
        <w:rPr>
          <w:rFonts w:eastAsia="MS Mincho" w:cs="ArialMT"/>
          <w:sz w:val="20"/>
          <w:lang w:eastAsia="ja-JP" w:bidi="th-TH"/>
        </w:rPr>
        <w:t xml:space="preserve">de búsqueda de tecnología en el estado de la técnica </w:t>
      </w:r>
      <w:r w:rsidRPr="00F039C2">
        <w:rPr>
          <w:rFonts w:eastAsia="MS Mincho" w:cs="ArialMT"/>
          <w:sz w:val="20"/>
          <w:lang w:eastAsia="ja-JP" w:bidi="th-TH"/>
        </w:rPr>
        <w:t xml:space="preserve">realizados por expertos de oficinas de P.I. </w:t>
      </w:r>
      <w:r>
        <w:rPr>
          <w:rFonts w:eastAsia="MS Mincho" w:cs="ArialMT"/>
          <w:sz w:val="20"/>
          <w:lang w:eastAsia="ja-JP" w:bidi="th-TH"/>
        </w:rPr>
        <w:t xml:space="preserve">donantes </w:t>
      </w:r>
      <w:r w:rsidRPr="00F039C2">
        <w:rPr>
          <w:rFonts w:eastAsia="MS Mincho" w:cs="ArialMT"/>
          <w:sz w:val="20"/>
          <w:lang w:eastAsia="ja-JP" w:bidi="th-TH"/>
        </w:rPr>
        <w:t>en beneficio de los países en desarrollo.  Ese servicio de búsqueda complementa los servicios ofrecidos a través de los CATI, por ejemplo cuando los CATI no están en funcionamiento o se requieren conocimientos especializados sobre búsquedas.</w:t>
      </w:r>
    </w:p>
    <w:p w:rsidR="00C739DE" w:rsidRPr="00F039C2" w:rsidRDefault="00C739DE" w:rsidP="00C739DE">
      <w:pPr>
        <w:widowControl w:val="0"/>
        <w:tabs>
          <w:tab w:val="left" w:pos="1276"/>
        </w:tabs>
        <w:autoSpaceDE w:val="0"/>
        <w:autoSpaceDN w:val="0"/>
        <w:adjustRightInd w:val="0"/>
        <w:ind w:left="709"/>
        <w:jc w:val="both"/>
        <w:rPr>
          <w:rFonts w:eastAsia="MS Mincho" w:cs="ArialMT"/>
          <w:sz w:val="20"/>
          <w:lang w:eastAsia="ja-JP" w:bidi="th-TH"/>
        </w:rPr>
      </w:pPr>
    </w:p>
    <w:p w:rsidR="00C739DE" w:rsidRPr="00F039C2" w:rsidRDefault="00C739DE" w:rsidP="00BA276E">
      <w:pPr>
        <w:widowControl w:val="0"/>
        <w:numPr>
          <w:ilvl w:val="1"/>
          <w:numId w:val="37"/>
        </w:numPr>
        <w:tabs>
          <w:tab w:val="clear" w:pos="1250"/>
          <w:tab w:val="num" w:pos="709"/>
          <w:tab w:val="left" w:pos="1276"/>
        </w:tabs>
        <w:autoSpaceDE w:val="0"/>
        <w:autoSpaceDN w:val="0"/>
        <w:adjustRightInd w:val="0"/>
        <w:ind w:left="709"/>
        <w:jc w:val="both"/>
        <w:rPr>
          <w:rFonts w:eastAsia="MS Mincho" w:cs="ArialMT"/>
          <w:sz w:val="20"/>
          <w:lang w:eastAsia="ja-JP" w:bidi="th-TH"/>
        </w:rPr>
      </w:pPr>
      <w:r w:rsidRPr="00F039C2">
        <w:rPr>
          <w:rFonts w:eastAsia="MS Mincho" w:cs="ArialMT"/>
          <w:sz w:val="20"/>
          <w:lang w:eastAsia="ja-JP" w:bidi="th-TH"/>
        </w:rPr>
        <w:t xml:space="preserve">Informes </w:t>
      </w:r>
      <w:r>
        <w:rPr>
          <w:rFonts w:eastAsia="MS Mincho" w:cs="ArialMT"/>
          <w:sz w:val="20"/>
          <w:lang w:eastAsia="ja-JP" w:bidi="th-TH"/>
        </w:rPr>
        <w:t>de</w:t>
      </w:r>
      <w:r w:rsidRPr="00F039C2">
        <w:rPr>
          <w:rFonts w:eastAsia="MS Mincho" w:cs="ArialMT"/>
          <w:sz w:val="20"/>
          <w:lang w:eastAsia="ja-JP" w:bidi="th-TH"/>
        </w:rPr>
        <w:t xml:space="preserve"> análisis de la actividad de patentamiento</w:t>
      </w:r>
      <w:r w:rsidRPr="00F039C2">
        <w:rPr>
          <w:rStyle w:val="FootnoteReference"/>
          <w:rFonts w:eastAsia="MS Mincho" w:cs="ArialMT"/>
          <w:sz w:val="20"/>
          <w:lang w:eastAsia="ja-JP" w:bidi="th-TH"/>
        </w:rPr>
        <w:footnoteReference w:id="5"/>
      </w:r>
      <w:r w:rsidRPr="00F039C2">
        <w:rPr>
          <w:rFonts w:eastAsia="MS Mincho" w:cs="ArialMT"/>
          <w:sz w:val="20"/>
          <w:lang w:eastAsia="ja-JP" w:bidi="th-TH"/>
        </w:rPr>
        <w:t>, que ofrecen información sobre las pautas y tendencias de la actividad de innovación en ámbitos amplios de las tecnologías mediante la investigación y la contextualización de la respectiva actividad de patentamiento.  Los informes se preparan en colaboración con instituciones públicas de países en desarrollo, OIG y ONG, y responden a una determinada demanda definida por tales socios.</w:t>
      </w:r>
    </w:p>
    <w:p w:rsidR="00C739DE" w:rsidRPr="00F039C2" w:rsidRDefault="00C739DE" w:rsidP="00C739DE">
      <w:pPr>
        <w:widowControl w:val="0"/>
        <w:tabs>
          <w:tab w:val="left" w:pos="1276"/>
        </w:tabs>
        <w:autoSpaceDE w:val="0"/>
        <w:autoSpaceDN w:val="0"/>
        <w:adjustRightInd w:val="0"/>
        <w:ind w:left="709"/>
        <w:jc w:val="both"/>
        <w:rPr>
          <w:rFonts w:eastAsia="MS Mincho" w:cs="ArialMT"/>
          <w:sz w:val="20"/>
          <w:lang w:eastAsia="ja-JP" w:bidi="th-TH"/>
        </w:rPr>
      </w:pPr>
    </w:p>
    <w:p w:rsidR="00C739DE" w:rsidRPr="00F039C2" w:rsidRDefault="00C739DE" w:rsidP="00BA276E">
      <w:pPr>
        <w:widowControl w:val="0"/>
        <w:numPr>
          <w:ilvl w:val="1"/>
          <w:numId w:val="37"/>
        </w:numPr>
        <w:tabs>
          <w:tab w:val="clear" w:pos="1250"/>
          <w:tab w:val="num" w:pos="709"/>
          <w:tab w:val="left" w:pos="1276"/>
        </w:tabs>
        <w:autoSpaceDE w:val="0"/>
        <w:autoSpaceDN w:val="0"/>
        <w:adjustRightInd w:val="0"/>
        <w:ind w:left="709"/>
        <w:jc w:val="both"/>
        <w:rPr>
          <w:rFonts w:eastAsia="MS Mincho" w:cs="ArialMT"/>
          <w:sz w:val="20"/>
          <w:lang w:eastAsia="ja-JP" w:bidi="th-TH"/>
        </w:rPr>
      </w:pPr>
      <w:r w:rsidRPr="00F039C2">
        <w:rPr>
          <w:rFonts w:eastAsia="MS Mincho" w:cs="ArialMT"/>
          <w:sz w:val="20"/>
          <w:lang w:eastAsia="ja-JP" w:bidi="th-TH"/>
        </w:rPr>
        <w:t>Servicio de consulta sobre la familia y la situación jurídica de las patentes para los Estados miembros y la</w:t>
      </w:r>
      <w:r>
        <w:rPr>
          <w:rFonts w:eastAsia="MS Mincho" w:cs="ArialMT"/>
          <w:sz w:val="20"/>
          <w:lang w:eastAsia="ja-JP" w:bidi="th-TH"/>
        </w:rPr>
        <w:t>s</w:t>
      </w:r>
      <w:r w:rsidRPr="00F039C2">
        <w:rPr>
          <w:rFonts w:eastAsia="MS Mincho" w:cs="ArialMT"/>
          <w:sz w:val="20"/>
          <w:lang w:eastAsia="ja-JP" w:bidi="th-TH"/>
        </w:rPr>
        <w:t xml:space="preserve"> OIG, </w:t>
      </w:r>
      <w:r>
        <w:rPr>
          <w:rFonts w:eastAsia="MS Mincho" w:cs="ArialMT"/>
          <w:sz w:val="20"/>
          <w:lang w:eastAsia="ja-JP" w:bidi="th-TH"/>
        </w:rPr>
        <w:t xml:space="preserve">prestando </w:t>
      </w:r>
      <w:r w:rsidRPr="00F039C2">
        <w:rPr>
          <w:rFonts w:eastAsia="MS Mincho" w:cs="ArialMT"/>
          <w:sz w:val="20"/>
          <w:lang w:eastAsia="ja-JP" w:bidi="th-TH"/>
        </w:rPr>
        <w:t>una atención especial a las patentes relacionadas con la salud, que se exploran como nuevos servicios tras las recomendaciones del estudio de viabilidad</w:t>
      </w:r>
      <w:r w:rsidRPr="00F039C2">
        <w:rPr>
          <w:rFonts w:eastAsia="MS Mincho" w:cs="ArialMT"/>
          <w:sz w:val="20"/>
          <w:vertAlign w:val="superscript"/>
          <w:lang w:eastAsia="ja-JP" w:bidi="th-TH"/>
        </w:rPr>
        <w:footnoteReference w:id="6"/>
      </w:r>
      <w:r w:rsidRPr="00F039C2">
        <w:rPr>
          <w:rFonts w:eastAsia="MS Mincho" w:cs="ArialMT"/>
          <w:sz w:val="20"/>
          <w:lang w:eastAsia="ja-JP" w:bidi="th-TH"/>
        </w:rPr>
        <w:t xml:space="preserve"> de la OMPI sobre la disponibilidad de bases de datos nacionales sobre la situación jurídica de las patentes, establecidas en el marco del proyecto de la A.D. relativo a la "Propiedad intelectual y dominio público".  Tales servicios exigirán la colaboración con los Estados miembros para investigar datos de registros de patentes nacionales sin que medie remuneración alguna.</w:t>
      </w:r>
    </w:p>
    <w:p w:rsidR="00C739DE" w:rsidRPr="00F039C2" w:rsidRDefault="00C739DE" w:rsidP="00C739DE">
      <w:pPr>
        <w:widowControl w:val="0"/>
        <w:tabs>
          <w:tab w:val="left" w:pos="1276"/>
        </w:tabs>
        <w:autoSpaceDE w:val="0"/>
        <w:autoSpaceDN w:val="0"/>
        <w:adjustRightInd w:val="0"/>
        <w:ind w:left="709"/>
        <w:jc w:val="both"/>
        <w:rPr>
          <w:rFonts w:eastAsia="MS Mincho" w:cs="ArialMT"/>
          <w:sz w:val="20"/>
          <w:lang w:eastAsia="ja-JP" w:bidi="th-TH"/>
        </w:rPr>
      </w:pPr>
    </w:p>
    <w:p w:rsidR="00C739DE" w:rsidRPr="00F039C2" w:rsidRDefault="00C739DE" w:rsidP="00BA276E">
      <w:pPr>
        <w:widowControl w:val="0"/>
        <w:numPr>
          <w:ilvl w:val="1"/>
          <w:numId w:val="37"/>
        </w:numPr>
        <w:tabs>
          <w:tab w:val="clear" w:pos="1250"/>
          <w:tab w:val="num" w:pos="709"/>
          <w:tab w:val="left" w:pos="1276"/>
        </w:tabs>
        <w:autoSpaceDE w:val="0"/>
        <w:autoSpaceDN w:val="0"/>
        <w:adjustRightInd w:val="0"/>
        <w:ind w:left="709"/>
        <w:jc w:val="both"/>
        <w:rPr>
          <w:rFonts w:eastAsia="MS Mincho" w:cs="ArialMT"/>
          <w:sz w:val="20"/>
          <w:lang w:eastAsia="ja-JP" w:bidi="th-TH"/>
        </w:rPr>
      </w:pPr>
      <w:r w:rsidRPr="00F039C2">
        <w:rPr>
          <w:rFonts w:eastAsia="MS Mincho" w:cs="ArialMT"/>
          <w:sz w:val="20"/>
          <w:lang w:eastAsia="ja-JP" w:bidi="th-TH"/>
        </w:rPr>
        <w:t xml:space="preserve">Los informes de búsqueda y examen </w:t>
      </w:r>
      <w:r>
        <w:rPr>
          <w:rFonts w:eastAsia="MS Mincho" w:cs="ArialMT"/>
          <w:sz w:val="20"/>
          <w:lang w:eastAsia="ja-JP" w:bidi="th-TH"/>
        </w:rPr>
        <w:t>de</w:t>
      </w:r>
      <w:r w:rsidRPr="00F039C2">
        <w:rPr>
          <w:rFonts w:eastAsia="MS Mincho" w:cs="ArialMT"/>
          <w:sz w:val="20"/>
          <w:lang w:eastAsia="ja-JP" w:bidi="th-TH"/>
        </w:rPr>
        <w:t xml:space="preserve"> las solicitudes de patente pendientes en las oficinas de P.I. de países en desarrollo </w:t>
      </w:r>
      <w:r>
        <w:rPr>
          <w:rFonts w:eastAsia="MS Mincho" w:cs="ArialMT"/>
          <w:sz w:val="20"/>
          <w:lang w:eastAsia="ja-JP" w:bidi="th-TH"/>
        </w:rPr>
        <w:t xml:space="preserve">para </w:t>
      </w:r>
      <w:r w:rsidRPr="00F039C2">
        <w:rPr>
          <w:rFonts w:eastAsia="MS Mincho" w:cs="ArialMT"/>
          <w:sz w:val="20"/>
          <w:lang w:eastAsia="ja-JP" w:bidi="th-TH"/>
        </w:rPr>
        <w:t xml:space="preserve">las cuales la oficina de P.I. carece de recursos o conocimientos especializados </w:t>
      </w:r>
      <w:r>
        <w:rPr>
          <w:rFonts w:eastAsia="MS Mincho" w:cs="ArialMT"/>
          <w:sz w:val="20"/>
          <w:lang w:eastAsia="ja-JP" w:bidi="th-TH"/>
        </w:rPr>
        <w:t xml:space="preserve">que permitan </w:t>
      </w:r>
      <w:r w:rsidRPr="00F039C2">
        <w:rPr>
          <w:rFonts w:eastAsia="MS Mincho" w:cs="ArialMT"/>
          <w:sz w:val="20"/>
          <w:lang w:eastAsia="ja-JP" w:bidi="th-TH"/>
        </w:rPr>
        <w:t xml:space="preserve">establecer un informe de examen sustantivo y </w:t>
      </w:r>
      <w:r>
        <w:rPr>
          <w:rFonts w:eastAsia="MS Mincho" w:cs="ArialMT"/>
          <w:sz w:val="20"/>
          <w:lang w:eastAsia="ja-JP" w:bidi="th-TH"/>
        </w:rPr>
        <w:t xml:space="preserve">que </w:t>
      </w:r>
      <w:r w:rsidRPr="00F039C2">
        <w:rPr>
          <w:rFonts w:eastAsia="MS Mincho" w:cs="ArialMT"/>
          <w:sz w:val="20"/>
          <w:lang w:eastAsia="ja-JP" w:bidi="th-TH"/>
        </w:rPr>
        <w:t>no dispone</w:t>
      </w:r>
      <w:r>
        <w:rPr>
          <w:rFonts w:eastAsia="MS Mincho" w:cs="ArialMT"/>
          <w:sz w:val="20"/>
          <w:lang w:eastAsia="ja-JP" w:bidi="th-TH"/>
        </w:rPr>
        <w:t>n</w:t>
      </w:r>
      <w:r w:rsidRPr="00F039C2">
        <w:rPr>
          <w:rFonts w:eastAsia="MS Mincho" w:cs="ArialMT"/>
          <w:sz w:val="20"/>
          <w:lang w:eastAsia="ja-JP" w:bidi="th-TH"/>
        </w:rPr>
        <w:t xml:space="preserve"> de tales informes para miembros de la misma familia de patentes. </w:t>
      </w:r>
      <w:r>
        <w:rPr>
          <w:rFonts w:eastAsia="MS Mincho" w:cs="ArialMT"/>
          <w:sz w:val="20"/>
          <w:lang w:eastAsia="ja-JP" w:bidi="th-TH"/>
        </w:rPr>
        <w:t xml:space="preserve"> </w:t>
      </w:r>
      <w:r w:rsidRPr="00F039C2">
        <w:rPr>
          <w:rFonts w:eastAsia="MS Mincho" w:cs="ArialMT"/>
          <w:sz w:val="20"/>
          <w:lang w:eastAsia="ja-JP" w:bidi="th-TH"/>
        </w:rPr>
        <w:t>Por lo tanto</w:t>
      </w:r>
      <w:r>
        <w:rPr>
          <w:rFonts w:eastAsia="MS Mincho" w:cs="ArialMT"/>
          <w:sz w:val="20"/>
          <w:lang w:eastAsia="ja-JP" w:bidi="th-TH"/>
        </w:rPr>
        <w:t>,</w:t>
      </w:r>
      <w:r w:rsidRPr="00F039C2">
        <w:rPr>
          <w:rFonts w:eastAsia="MS Mincho" w:cs="ArialMT"/>
          <w:sz w:val="20"/>
          <w:lang w:eastAsia="ja-JP" w:bidi="th-TH"/>
        </w:rPr>
        <w:t xml:space="preserve"> el servicio complementa el sistema del PCT.  Los informes son elaborados sin remuneración alguna por examinadores de </w:t>
      </w:r>
      <w:r>
        <w:rPr>
          <w:rFonts w:eastAsia="MS Mincho" w:cs="ArialMT"/>
          <w:sz w:val="20"/>
          <w:lang w:eastAsia="ja-JP" w:bidi="th-TH"/>
        </w:rPr>
        <w:t xml:space="preserve">determinadas </w:t>
      </w:r>
      <w:r w:rsidRPr="00F039C2">
        <w:rPr>
          <w:rFonts w:eastAsia="MS Mincho" w:cs="ArialMT"/>
          <w:sz w:val="20"/>
          <w:lang w:eastAsia="ja-JP" w:bidi="th-TH"/>
        </w:rPr>
        <w:t xml:space="preserve">oficinas de P.I. </w:t>
      </w:r>
      <w:r>
        <w:rPr>
          <w:rFonts w:eastAsia="MS Mincho" w:cs="ArialMT"/>
          <w:sz w:val="20"/>
          <w:lang w:eastAsia="ja-JP" w:bidi="th-TH"/>
        </w:rPr>
        <w:t>donantes</w:t>
      </w:r>
      <w:r w:rsidRPr="00F039C2">
        <w:rPr>
          <w:rFonts w:eastAsia="MS Mincho" w:cs="ArialMT"/>
          <w:sz w:val="20"/>
          <w:lang w:eastAsia="ja-JP" w:bidi="th-TH"/>
        </w:rPr>
        <w:t>.</w:t>
      </w:r>
    </w:p>
    <w:p w:rsidR="00C739DE" w:rsidRPr="00F039C2" w:rsidRDefault="00C739DE" w:rsidP="00C739DE">
      <w:pPr>
        <w:widowControl w:val="0"/>
        <w:tabs>
          <w:tab w:val="left" w:pos="1276"/>
        </w:tabs>
        <w:autoSpaceDE w:val="0"/>
        <w:autoSpaceDN w:val="0"/>
        <w:adjustRightInd w:val="0"/>
        <w:ind w:left="709"/>
        <w:jc w:val="both"/>
        <w:rPr>
          <w:rFonts w:eastAsia="MS Mincho" w:cs="ArialMT"/>
          <w:sz w:val="20"/>
          <w:lang w:eastAsia="ja-JP" w:bidi="th-TH"/>
        </w:rPr>
      </w:pPr>
    </w:p>
    <w:p w:rsidR="00C739DE" w:rsidRPr="00F039C2" w:rsidRDefault="00C739DE" w:rsidP="00BA276E">
      <w:pPr>
        <w:widowControl w:val="0"/>
        <w:numPr>
          <w:ilvl w:val="1"/>
          <w:numId w:val="37"/>
        </w:numPr>
        <w:tabs>
          <w:tab w:val="clear" w:pos="1250"/>
          <w:tab w:val="num" w:pos="709"/>
          <w:tab w:val="left" w:pos="1276"/>
        </w:tabs>
        <w:autoSpaceDE w:val="0"/>
        <w:autoSpaceDN w:val="0"/>
        <w:adjustRightInd w:val="0"/>
        <w:ind w:left="709"/>
        <w:jc w:val="both"/>
        <w:rPr>
          <w:rFonts w:eastAsia="MS Mincho" w:cs="ArialMT"/>
          <w:sz w:val="20"/>
          <w:lang w:eastAsia="ja-JP" w:bidi="th-TH"/>
        </w:rPr>
      </w:pPr>
      <w:r w:rsidRPr="00F039C2">
        <w:rPr>
          <w:rFonts w:eastAsia="MS Mincho" w:cs="ArialMT"/>
          <w:sz w:val="20"/>
          <w:lang w:eastAsia="ja-JP" w:bidi="th-TH"/>
        </w:rPr>
        <w:t xml:space="preserve">Servicios de asesoramiento y coordinación y participación en programas de fortalecimiento de capacidades para las oficinas de P.I. en relación con la recuperación y </w:t>
      </w:r>
      <w:r>
        <w:rPr>
          <w:rFonts w:eastAsia="MS Mincho" w:cs="ArialMT"/>
          <w:sz w:val="20"/>
          <w:lang w:eastAsia="ja-JP" w:bidi="th-TH"/>
        </w:rPr>
        <w:t xml:space="preserve">aprovechamiento </w:t>
      </w:r>
      <w:r w:rsidRPr="00F039C2">
        <w:rPr>
          <w:rFonts w:eastAsia="MS Mincho" w:cs="ArialMT"/>
          <w:sz w:val="20"/>
          <w:lang w:eastAsia="ja-JP" w:bidi="th-TH"/>
        </w:rPr>
        <w:t xml:space="preserve">de </w:t>
      </w:r>
      <w:r w:rsidRPr="00F039C2">
        <w:rPr>
          <w:rFonts w:eastAsia="MS Mincho" w:cs="ArialMT"/>
          <w:sz w:val="20"/>
          <w:lang w:eastAsia="ja-JP" w:bidi="th-TH"/>
        </w:rPr>
        <w:lastRenderedPageBreak/>
        <w:t>resultados de exámenes sustantivos disponibles para miembros de la misma familia de patentes, con objeto de dar apoyo, en particular, a oficinas pequeñas con recursos limitados para establecer y mantener procedimientos de examen eficaces.</w:t>
      </w:r>
    </w:p>
    <w:p w:rsidR="00C739DE" w:rsidRPr="00F039C2" w:rsidRDefault="00C739DE" w:rsidP="00DC4C0C">
      <w:pPr>
        <w:widowControl w:val="0"/>
        <w:tabs>
          <w:tab w:val="left" w:pos="567"/>
        </w:tabs>
        <w:autoSpaceDE w:val="0"/>
        <w:autoSpaceDN w:val="0"/>
        <w:adjustRightInd w:val="0"/>
        <w:jc w:val="both"/>
        <w:rPr>
          <w:rFonts w:eastAsia="MS Mincho" w:cs="ArialMT"/>
          <w:sz w:val="20"/>
          <w:lang w:eastAsia="ja-JP" w:bidi="th-TH"/>
        </w:rPr>
      </w:pPr>
    </w:p>
    <w:p w:rsidR="00C739DE" w:rsidRPr="00F039C2" w:rsidRDefault="00C739DE" w:rsidP="00C739DE">
      <w:pPr>
        <w:widowControl w:val="0"/>
        <w:autoSpaceDE w:val="0"/>
        <w:autoSpaceDN w:val="0"/>
        <w:adjustRightInd w:val="0"/>
        <w:jc w:val="both"/>
        <w:rPr>
          <w:sz w:val="20"/>
          <w:u w:val="single"/>
        </w:rPr>
      </w:pPr>
      <w:r w:rsidRPr="00F039C2">
        <w:rPr>
          <w:sz w:val="20"/>
          <w:u w:val="single"/>
        </w:rPr>
        <w:t xml:space="preserve">Coordinación de diversas partes interesadas para la infraestructura de P.I. </w:t>
      </w:r>
    </w:p>
    <w:p w:rsidR="00C739DE" w:rsidRPr="00CA3895" w:rsidRDefault="00C739DE" w:rsidP="00C739DE">
      <w:pPr>
        <w:widowControl w:val="0"/>
        <w:autoSpaceDE w:val="0"/>
        <w:autoSpaceDN w:val="0"/>
        <w:adjustRightInd w:val="0"/>
        <w:jc w:val="both"/>
        <w:rPr>
          <w:rFonts w:eastAsia="MS Mincho" w:cs="ArialMT"/>
          <w:sz w:val="20"/>
          <w:lang w:eastAsia="ja-JP" w:bidi="th-TH"/>
        </w:rPr>
      </w:pPr>
    </w:p>
    <w:p w:rsidR="00C739DE" w:rsidRPr="00CA3895" w:rsidRDefault="00C739DE" w:rsidP="00BA276E">
      <w:pPr>
        <w:widowControl w:val="0"/>
        <w:numPr>
          <w:ilvl w:val="0"/>
          <w:numId w:val="37"/>
        </w:numPr>
        <w:jc w:val="both"/>
        <w:rPr>
          <w:rFonts w:eastAsia="MS Mincho" w:cs="ArialMT"/>
          <w:sz w:val="20"/>
          <w:lang w:eastAsia="ja-JP" w:bidi="th-TH"/>
        </w:rPr>
      </w:pPr>
      <w:r w:rsidRPr="00CA3895">
        <w:rPr>
          <w:rFonts w:eastAsia="MS Mincho" w:cs="ArialMT"/>
          <w:sz w:val="20"/>
          <w:lang w:eastAsia="ja-JP" w:bidi="th-TH"/>
        </w:rPr>
        <w:t xml:space="preserve">Se proveerá asistencia técnica para proyectos especiales destinada a los talleres de los usuarios de LATIPAT, ARABPAT, PATENTSCOPE y la Base Mundial de Datos sobre Marcas.  Durante el próximo bienio, la OMPI organizará un seminario mundial sobre administraciones de P.I. que se celebrará inmediatamente antes de las Asambleas Generales de la OMPI,  con objeto de intercambiar opiniones y compartir experiencias sobre una serie de cuestiones prácticas en relación con la infraestructura mundial, herramientas, bases de datos y plataformas comunes. </w:t>
      </w:r>
    </w:p>
    <w:p w:rsidR="00C739DE" w:rsidRPr="00CA3895" w:rsidRDefault="00C739DE" w:rsidP="00C739DE">
      <w:pPr>
        <w:widowControl w:val="0"/>
        <w:tabs>
          <w:tab w:val="num" w:pos="709"/>
        </w:tabs>
        <w:jc w:val="both"/>
        <w:rPr>
          <w:bCs/>
          <w:sz w:val="20"/>
        </w:rPr>
      </w:pPr>
    </w:p>
    <w:p w:rsidR="00382C3E" w:rsidRPr="00C739DE" w:rsidRDefault="00382C3E" w:rsidP="00A80F8D">
      <w:pPr>
        <w:widowControl w:val="0"/>
        <w:jc w:val="both"/>
        <w:rPr>
          <w:bCs/>
          <w:szCs w:val="22"/>
        </w:rPr>
      </w:pPr>
    </w:p>
    <w:p w:rsidR="00A80F8D" w:rsidRPr="00C75C7E" w:rsidRDefault="00A80F8D" w:rsidP="00A80F8D">
      <w:pPr>
        <w:widowControl w:val="0"/>
        <w:jc w:val="both"/>
        <w:rPr>
          <w:bCs/>
          <w:szCs w:val="22"/>
          <w:lang w:val="es-ES_tradnl"/>
        </w:rPr>
      </w:pPr>
      <w:r w:rsidRPr="00C75C7E">
        <w:rPr>
          <w:bCs/>
          <w:szCs w:val="22"/>
          <w:lang w:val="es-ES_tradnl"/>
        </w:rPr>
        <w:t>PRINCIPALES RIESGOS Y ESTRATEGIAS DE MITIGACIÓN</w:t>
      </w:r>
    </w:p>
    <w:p w:rsidR="00A80F8D" w:rsidRPr="00C75C7E" w:rsidRDefault="00A80F8D" w:rsidP="00A80F8D">
      <w:pPr>
        <w:widowControl w:val="0"/>
        <w:rPr>
          <w:sz w:val="20"/>
          <w:lang w:val="es-ES_tradnl"/>
        </w:rPr>
      </w:pPr>
    </w:p>
    <w:tbl>
      <w:tblPr>
        <w:tblW w:w="0" w:type="auto"/>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535"/>
        <w:gridCol w:w="4858"/>
      </w:tblGrid>
      <w:tr w:rsidR="00A80F8D" w:rsidRPr="00C75C7E" w:rsidTr="00C76500">
        <w:trPr>
          <w:trHeight w:val="462"/>
          <w:tblHeader/>
        </w:trPr>
        <w:tc>
          <w:tcPr>
            <w:tcW w:w="4535" w:type="dxa"/>
            <w:tcBorders>
              <w:top w:val="single" w:sz="4" w:space="0" w:color="auto"/>
              <w:bottom w:val="single" w:sz="4" w:space="0" w:color="auto"/>
            </w:tcBorders>
            <w:shd w:val="clear" w:color="auto" w:fill="CCFFFF"/>
            <w:tcMar>
              <w:top w:w="113" w:type="dxa"/>
              <w:bottom w:w="113" w:type="dxa"/>
            </w:tcMar>
            <w:vAlign w:val="center"/>
          </w:tcPr>
          <w:p w:rsidR="00A80F8D" w:rsidRPr="00C75C7E" w:rsidRDefault="00A80F8D" w:rsidP="008F4F69">
            <w:pPr>
              <w:widowControl w:val="0"/>
              <w:autoSpaceDE w:val="0"/>
              <w:autoSpaceDN w:val="0"/>
              <w:adjustRightInd w:val="0"/>
              <w:ind w:right="-59"/>
              <w:jc w:val="center"/>
              <w:rPr>
                <w:b/>
                <w:bCs/>
                <w:iCs/>
                <w:sz w:val="18"/>
                <w:szCs w:val="18"/>
                <w:lang w:val="es-ES_tradnl"/>
              </w:rPr>
            </w:pPr>
            <w:r w:rsidRPr="00C75C7E">
              <w:rPr>
                <w:b/>
                <w:bCs/>
                <w:iCs/>
                <w:sz w:val="18"/>
                <w:szCs w:val="18"/>
                <w:lang w:val="es-ES_tradnl"/>
              </w:rPr>
              <w:t>Riesgos en el logro de los resultados del programa</w:t>
            </w:r>
          </w:p>
        </w:tc>
        <w:tc>
          <w:tcPr>
            <w:tcW w:w="4858" w:type="dxa"/>
            <w:tcBorders>
              <w:top w:val="single" w:sz="4" w:space="0" w:color="auto"/>
              <w:bottom w:val="single" w:sz="4" w:space="0" w:color="auto"/>
            </w:tcBorders>
            <w:shd w:val="clear" w:color="auto" w:fill="CCFFFF"/>
            <w:tcMar>
              <w:top w:w="113" w:type="dxa"/>
              <w:bottom w:w="113" w:type="dxa"/>
            </w:tcMar>
            <w:vAlign w:val="center"/>
          </w:tcPr>
          <w:p w:rsidR="00A80F8D" w:rsidRPr="00C75C7E" w:rsidRDefault="00A80F8D" w:rsidP="008F4F69">
            <w:pPr>
              <w:widowControl w:val="0"/>
              <w:autoSpaceDE w:val="0"/>
              <w:autoSpaceDN w:val="0"/>
              <w:adjustRightInd w:val="0"/>
              <w:ind w:right="-59"/>
              <w:jc w:val="center"/>
              <w:rPr>
                <w:b/>
                <w:bCs/>
                <w:iCs/>
                <w:sz w:val="18"/>
                <w:szCs w:val="18"/>
                <w:lang w:val="es-ES_tradnl"/>
              </w:rPr>
            </w:pPr>
            <w:r w:rsidRPr="00C75C7E">
              <w:rPr>
                <w:b/>
                <w:bCs/>
                <w:iCs/>
                <w:sz w:val="18"/>
                <w:szCs w:val="18"/>
                <w:lang w:val="es-ES_tradnl"/>
              </w:rPr>
              <w:t xml:space="preserve">Planes de mitigación ejecutados o en ejecución </w:t>
            </w:r>
          </w:p>
        </w:tc>
      </w:tr>
      <w:tr w:rsidR="00A80F8D" w:rsidRPr="00C75C7E" w:rsidTr="00C76500">
        <w:trPr>
          <w:trHeight w:val="785"/>
        </w:trPr>
        <w:tc>
          <w:tcPr>
            <w:tcW w:w="4535" w:type="dxa"/>
            <w:tcBorders>
              <w:top w:val="single" w:sz="4" w:space="0" w:color="auto"/>
            </w:tcBorders>
            <w:shd w:val="clear" w:color="auto" w:fill="auto"/>
            <w:tcMar>
              <w:top w:w="113" w:type="dxa"/>
              <w:bottom w:w="113" w:type="dxa"/>
            </w:tcMar>
          </w:tcPr>
          <w:p w:rsidR="00A80F8D" w:rsidRPr="00C75C7E" w:rsidRDefault="00A80F8D" w:rsidP="008F4F69">
            <w:pPr>
              <w:widowControl w:val="0"/>
              <w:rPr>
                <w:sz w:val="16"/>
                <w:szCs w:val="16"/>
                <w:lang w:val="es-ES_tradnl"/>
              </w:rPr>
            </w:pPr>
            <w:r w:rsidRPr="00C75C7E">
              <w:rPr>
                <w:sz w:val="16"/>
                <w:szCs w:val="16"/>
                <w:lang w:val="es-ES_tradnl"/>
              </w:rPr>
              <w:t>La incapacidad para mantener y continuar apoyando el funcionamiento autónomo de la red de CATI.  Esta incapacidad podría tener como consecuencia el cierre de ciertas redes de CATI, lo que privaría de acceso a servicios de información sobre tecnología a ciertos inversores, pymes y otras partes interesadas pertinentes.</w:t>
            </w:r>
          </w:p>
        </w:tc>
        <w:tc>
          <w:tcPr>
            <w:tcW w:w="4858" w:type="dxa"/>
            <w:tcBorders>
              <w:top w:val="single" w:sz="4" w:space="0" w:color="auto"/>
            </w:tcBorders>
            <w:shd w:val="clear" w:color="auto" w:fill="auto"/>
            <w:tcMar>
              <w:top w:w="113" w:type="dxa"/>
              <w:bottom w:w="113" w:type="dxa"/>
            </w:tcMar>
          </w:tcPr>
          <w:p w:rsidR="00A80F8D" w:rsidRPr="00C75C7E" w:rsidRDefault="00A80F8D" w:rsidP="008F4F69">
            <w:pPr>
              <w:widowControl w:val="0"/>
              <w:autoSpaceDE w:val="0"/>
              <w:autoSpaceDN w:val="0"/>
              <w:adjustRightInd w:val="0"/>
              <w:ind w:right="-59"/>
              <w:rPr>
                <w:sz w:val="16"/>
                <w:szCs w:val="16"/>
                <w:lang w:val="es-ES_tradnl"/>
              </w:rPr>
            </w:pPr>
            <w:r w:rsidRPr="00C75C7E">
              <w:rPr>
                <w:sz w:val="16"/>
                <w:szCs w:val="16"/>
                <w:lang w:val="es-ES_tradnl"/>
              </w:rPr>
              <w:t>Una mayor colaboración con los países en los que se han establecido CATI en lo relativo a la planificación y ejecución del proyecto de CATI.</w:t>
            </w:r>
          </w:p>
          <w:p w:rsidR="00A80F8D" w:rsidRPr="00C75C7E" w:rsidRDefault="00A80F8D" w:rsidP="008F4F69">
            <w:pPr>
              <w:widowControl w:val="0"/>
              <w:autoSpaceDE w:val="0"/>
              <w:autoSpaceDN w:val="0"/>
              <w:adjustRightInd w:val="0"/>
              <w:ind w:right="-59"/>
              <w:rPr>
                <w:sz w:val="16"/>
                <w:szCs w:val="16"/>
                <w:lang w:val="es-ES_tradnl"/>
              </w:rPr>
            </w:pPr>
          </w:p>
        </w:tc>
      </w:tr>
      <w:tr w:rsidR="00A80F8D" w:rsidRPr="00C75C7E" w:rsidTr="00C76500">
        <w:trPr>
          <w:trHeight w:val="182"/>
        </w:trPr>
        <w:tc>
          <w:tcPr>
            <w:tcW w:w="4535" w:type="dxa"/>
            <w:shd w:val="clear" w:color="auto" w:fill="auto"/>
            <w:tcMar>
              <w:top w:w="113" w:type="dxa"/>
              <w:bottom w:w="113" w:type="dxa"/>
            </w:tcMar>
          </w:tcPr>
          <w:p w:rsidR="00A80F8D" w:rsidRPr="00C75C7E" w:rsidRDefault="00A80F8D" w:rsidP="00771A0D">
            <w:pPr>
              <w:widowControl w:val="0"/>
              <w:rPr>
                <w:sz w:val="16"/>
                <w:szCs w:val="16"/>
                <w:lang w:val="es-ES_tradnl"/>
              </w:rPr>
            </w:pPr>
            <w:r w:rsidRPr="00C75C7E">
              <w:rPr>
                <w:sz w:val="16"/>
                <w:szCs w:val="16"/>
                <w:lang w:val="es-ES_tradnl"/>
              </w:rPr>
              <w:t xml:space="preserve">La falta de utilización de los informes publicados sobre la actividad de patentamiento por el público al que están dirigidos (inventores, investigadores, el sector de la P.I., los círculos académicos y los responsables de la formulación de políticas y de la toma de decisiones en la esfera de la I+D).  </w:t>
            </w:r>
          </w:p>
        </w:tc>
        <w:tc>
          <w:tcPr>
            <w:tcW w:w="4858" w:type="dxa"/>
            <w:shd w:val="clear" w:color="auto" w:fill="auto"/>
            <w:tcMar>
              <w:top w:w="113" w:type="dxa"/>
              <w:bottom w:w="113" w:type="dxa"/>
            </w:tcMar>
          </w:tcPr>
          <w:p w:rsidR="00A80F8D" w:rsidRPr="00EA39DF" w:rsidRDefault="00A80F8D" w:rsidP="008F4F69">
            <w:pPr>
              <w:widowControl w:val="0"/>
              <w:autoSpaceDE w:val="0"/>
              <w:autoSpaceDN w:val="0"/>
              <w:adjustRightInd w:val="0"/>
              <w:ind w:right="-59"/>
              <w:rPr>
                <w:sz w:val="16"/>
                <w:szCs w:val="16"/>
                <w:lang w:val="es-ES_tradnl"/>
              </w:rPr>
            </w:pPr>
            <w:r w:rsidRPr="00EA39DF">
              <w:rPr>
                <w:sz w:val="16"/>
                <w:szCs w:val="16"/>
                <w:lang w:val="es-ES_tradnl"/>
              </w:rPr>
              <w:t xml:space="preserve">Una elección cuidadosa de los temas de los </w:t>
            </w:r>
            <w:r w:rsidRPr="00EA39DF">
              <w:rPr>
                <w:bCs/>
                <w:sz w:val="16"/>
                <w:szCs w:val="16"/>
                <w:lang w:val="es-ES_tradnl"/>
              </w:rPr>
              <w:t>informes sobre la actividad de patentamiento y mejora de su difusión, así como una mejor coordinación con las partes interesadas a las que van dirigidos.</w:t>
            </w:r>
          </w:p>
          <w:p w:rsidR="00A80F8D" w:rsidRPr="00C75C7E" w:rsidRDefault="00A80F8D" w:rsidP="008F4F69">
            <w:pPr>
              <w:widowControl w:val="0"/>
              <w:autoSpaceDE w:val="0"/>
              <w:autoSpaceDN w:val="0"/>
              <w:adjustRightInd w:val="0"/>
              <w:ind w:right="-59"/>
              <w:rPr>
                <w:sz w:val="16"/>
                <w:szCs w:val="16"/>
                <w:lang w:val="es-ES_tradnl"/>
              </w:rPr>
            </w:pPr>
          </w:p>
        </w:tc>
      </w:tr>
      <w:tr w:rsidR="00A80F8D" w:rsidRPr="00C75C7E" w:rsidTr="00C76500">
        <w:trPr>
          <w:trHeight w:val="1347"/>
        </w:trPr>
        <w:tc>
          <w:tcPr>
            <w:tcW w:w="4535" w:type="dxa"/>
            <w:shd w:val="clear" w:color="auto" w:fill="auto"/>
            <w:tcMar>
              <w:top w:w="113" w:type="dxa"/>
              <w:bottom w:w="113" w:type="dxa"/>
            </w:tcMar>
          </w:tcPr>
          <w:p w:rsidR="00A80F8D" w:rsidRPr="00C75C7E" w:rsidRDefault="00A80F8D" w:rsidP="008F4F69">
            <w:pPr>
              <w:widowControl w:val="0"/>
              <w:rPr>
                <w:sz w:val="16"/>
                <w:szCs w:val="16"/>
                <w:lang w:val="es-ES_tradnl"/>
              </w:rPr>
            </w:pPr>
            <w:r w:rsidRPr="00C75C7E">
              <w:rPr>
                <w:sz w:val="16"/>
                <w:szCs w:val="16"/>
                <w:lang w:val="es-ES_tradnl"/>
              </w:rPr>
              <w:t xml:space="preserve">En la prestación de servicios de información sobre patentes puede producirse un desajuste entre la oferta y la demanda, sobre todo entre la calidad y la cantidad esperadas y efectivas de esos servicios, así como la rapidez con que se prestan cuando los recursos disponibles son escasos, y habida cuenta de que la participación de las oficinas que proporcionan esos servicios es voluntaria y gratuita. </w:t>
            </w:r>
          </w:p>
        </w:tc>
        <w:tc>
          <w:tcPr>
            <w:tcW w:w="4858" w:type="dxa"/>
            <w:shd w:val="clear" w:color="auto" w:fill="auto"/>
            <w:tcMar>
              <w:top w:w="113" w:type="dxa"/>
              <w:bottom w:w="113" w:type="dxa"/>
            </w:tcMar>
          </w:tcPr>
          <w:p w:rsidR="00A80F8D" w:rsidRPr="00C75C7E" w:rsidRDefault="00A80F8D" w:rsidP="004E3B39">
            <w:pPr>
              <w:widowControl w:val="0"/>
              <w:autoSpaceDE w:val="0"/>
              <w:autoSpaceDN w:val="0"/>
              <w:adjustRightInd w:val="0"/>
              <w:ind w:right="-59"/>
              <w:rPr>
                <w:sz w:val="16"/>
                <w:szCs w:val="16"/>
                <w:lang w:val="es-ES_tradnl"/>
              </w:rPr>
            </w:pPr>
            <w:r w:rsidRPr="00C75C7E">
              <w:rPr>
                <w:sz w:val="16"/>
                <w:szCs w:val="16"/>
                <w:lang w:val="es-ES_tradnl"/>
              </w:rPr>
              <w:t>La OMPI mitigará los riesgos por medio de la supervisión de la puntualidad y la calidad de los servicios prestados por las oficinas participantes, la colaboración en la preparación de informes sobre análisis de la actividad de patentamiento con instituciones asociadas externas que han expresado un interés especial y han demostrado unas necesidades particulares, la petición y evaluación de comentarios de los usuarios de los servicios, el establecimiento de prioridades respecto de las peticiones en caso de que se reciba un volumen excesivo, y la promoción de los servicios si esa demanda fuera escasa.</w:t>
            </w:r>
          </w:p>
        </w:tc>
      </w:tr>
    </w:tbl>
    <w:p w:rsidR="00A80F8D" w:rsidRPr="00C75C7E" w:rsidRDefault="00A80F8D" w:rsidP="00A80F8D">
      <w:pPr>
        <w:widowControl w:val="0"/>
        <w:tabs>
          <w:tab w:val="num" w:pos="709"/>
        </w:tabs>
        <w:rPr>
          <w:i/>
          <w:sz w:val="20"/>
          <w:lang w:val="es-ES_tradnl"/>
        </w:rPr>
      </w:pPr>
    </w:p>
    <w:p w:rsidR="00A80F8D" w:rsidRPr="00C75C7E" w:rsidRDefault="00A80F8D" w:rsidP="00A80F8D">
      <w:pPr>
        <w:widowControl w:val="0"/>
        <w:tabs>
          <w:tab w:val="left" w:pos="567"/>
          <w:tab w:val="left" w:pos="1985"/>
        </w:tabs>
        <w:jc w:val="both"/>
        <w:rPr>
          <w:bCs/>
          <w:szCs w:val="22"/>
          <w:lang w:val="es-ES_tradnl"/>
        </w:rPr>
      </w:pPr>
    </w:p>
    <w:p w:rsidR="00A80F8D" w:rsidRPr="00C75C7E" w:rsidRDefault="00A80F8D" w:rsidP="00A80F8D">
      <w:pPr>
        <w:widowControl w:val="0"/>
        <w:tabs>
          <w:tab w:val="left" w:pos="567"/>
          <w:tab w:val="left" w:pos="1985"/>
        </w:tabs>
        <w:jc w:val="both"/>
        <w:rPr>
          <w:bCs/>
          <w:sz w:val="20"/>
          <w:lang w:val="es-ES_tradnl"/>
        </w:rPr>
      </w:pPr>
      <w:r w:rsidRPr="00C75C7E">
        <w:rPr>
          <w:bCs/>
          <w:szCs w:val="22"/>
          <w:lang w:val="es-ES_tradnl"/>
        </w:rPr>
        <w:t>MARCO DE RESULTADOS</w:t>
      </w:r>
    </w:p>
    <w:p w:rsidR="00A80F8D" w:rsidRPr="00C75C7E" w:rsidRDefault="00A80F8D" w:rsidP="00A80F8D">
      <w:pPr>
        <w:widowControl w:val="0"/>
        <w:tabs>
          <w:tab w:val="left" w:pos="567"/>
          <w:tab w:val="left" w:pos="1985"/>
        </w:tabs>
        <w:jc w:val="both"/>
        <w:rPr>
          <w:bCs/>
          <w:sz w:val="20"/>
          <w:lang w:val="es-ES_tradnl"/>
        </w:rPr>
      </w:pPr>
    </w:p>
    <w:tbl>
      <w:tblPr>
        <w:tblW w:w="4914"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350"/>
        <w:gridCol w:w="2637"/>
        <w:gridCol w:w="2039"/>
        <w:gridCol w:w="2380"/>
      </w:tblGrid>
      <w:tr w:rsidR="00A80F8D" w:rsidRPr="00C75C7E" w:rsidTr="00C76500">
        <w:trPr>
          <w:cantSplit/>
          <w:trHeight w:val="428"/>
          <w:tblHeader/>
        </w:trPr>
        <w:tc>
          <w:tcPr>
            <w:tcW w:w="1249" w:type="pct"/>
            <w:tcBorders>
              <w:top w:val="single" w:sz="4" w:space="0" w:color="auto"/>
              <w:bottom w:val="single" w:sz="4" w:space="0" w:color="auto"/>
            </w:tcBorders>
            <w:shd w:val="clear" w:color="auto" w:fill="CCFFFF"/>
            <w:vAlign w:val="center"/>
          </w:tcPr>
          <w:p w:rsidR="00A80F8D" w:rsidRPr="00C75C7E" w:rsidRDefault="00A80F8D" w:rsidP="008F4F69">
            <w:pPr>
              <w:widowControl w:val="0"/>
              <w:spacing w:after="120"/>
              <w:jc w:val="center"/>
              <w:rPr>
                <w:b/>
                <w:bCs/>
                <w:sz w:val="18"/>
                <w:szCs w:val="18"/>
                <w:lang w:val="es-ES_tradnl"/>
              </w:rPr>
            </w:pPr>
            <w:r w:rsidRPr="00C75C7E">
              <w:rPr>
                <w:b/>
                <w:bCs/>
                <w:sz w:val="18"/>
                <w:szCs w:val="18"/>
                <w:lang w:val="es-ES_tradnl"/>
              </w:rPr>
              <w:t>Resultados previstos</w:t>
            </w:r>
          </w:p>
        </w:tc>
        <w:tc>
          <w:tcPr>
            <w:tcW w:w="1402" w:type="pct"/>
            <w:tcBorders>
              <w:top w:val="single" w:sz="4" w:space="0" w:color="auto"/>
              <w:bottom w:val="single" w:sz="4" w:space="0" w:color="auto"/>
            </w:tcBorders>
            <w:shd w:val="clear" w:color="auto" w:fill="CCFFFF"/>
            <w:tcMar>
              <w:top w:w="110" w:type="dxa"/>
            </w:tcMar>
            <w:vAlign w:val="center"/>
          </w:tcPr>
          <w:p w:rsidR="00A80F8D" w:rsidRPr="00C75C7E" w:rsidRDefault="00A80F8D" w:rsidP="008F4F69">
            <w:pPr>
              <w:widowControl w:val="0"/>
              <w:spacing w:after="120"/>
              <w:jc w:val="center"/>
              <w:rPr>
                <w:b/>
                <w:sz w:val="18"/>
                <w:szCs w:val="18"/>
                <w:lang w:val="es-ES_tradnl"/>
              </w:rPr>
            </w:pPr>
            <w:r w:rsidRPr="00C75C7E">
              <w:rPr>
                <w:b/>
                <w:sz w:val="18"/>
                <w:szCs w:val="18"/>
                <w:lang w:val="es-ES_tradnl"/>
              </w:rPr>
              <w:t>Indicadores de rendimiento</w:t>
            </w:r>
          </w:p>
        </w:tc>
        <w:tc>
          <w:tcPr>
            <w:tcW w:w="1084" w:type="pct"/>
            <w:tcBorders>
              <w:top w:val="single" w:sz="4" w:space="0" w:color="auto"/>
              <w:bottom w:val="single" w:sz="4" w:space="0" w:color="auto"/>
            </w:tcBorders>
            <w:shd w:val="clear" w:color="auto" w:fill="CCFFFF"/>
            <w:tcMar>
              <w:top w:w="110" w:type="dxa"/>
            </w:tcMar>
            <w:vAlign w:val="center"/>
          </w:tcPr>
          <w:p w:rsidR="00A80F8D" w:rsidRPr="00C75C7E" w:rsidRDefault="00A80F8D" w:rsidP="00C76500">
            <w:pPr>
              <w:widowControl w:val="0"/>
              <w:spacing w:after="120"/>
              <w:ind w:left="85"/>
              <w:rPr>
                <w:sz w:val="18"/>
                <w:szCs w:val="18"/>
                <w:lang w:val="es-ES_tradnl"/>
              </w:rPr>
            </w:pPr>
            <w:r w:rsidRPr="00C75C7E">
              <w:rPr>
                <w:b/>
                <w:bCs/>
                <w:sz w:val="18"/>
                <w:szCs w:val="18"/>
                <w:lang w:val="es-ES_tradnl"/>
              </w:rPr>
              <w:t>Referencia</w:t>
            </w:r>
          </w:p>
        </w:tc>
        <w:tc>
          <w:tcPr>
            <w:tcW w:w="1265" w:type="pct"/>
            <w:tcBorders>
              <w:top w:val="single" w:sz="4" w:space="0" w:color="auto"/>
              <w:bottom w:val="single" w:sz="4" w:space="0" w:color="auto"/>
            </w:tcBorders>
            <w:shd w:val="clear" w:color="auto" w:fill="CCFFFF"/>
            <w:tcMar>
              <w:top w:w="110" w:type="dxa"/>
            </w:tcMar>
            <w:vAlign w:val="center"/>
          </w:tcPr>
          <w:p w:rsidR="00A80F8D" w:rsidRPr="00C75C7E" w:rsidRDefault="00A80F8D" w:rsidP="00C76500">
            <w:pPr>
              <w:widowControl w:val="0"/>
              <w:spacing w:after="120"/>
              <w:ind w:right="1"/>
              <w:rPr>
                <w:b/>
                <w:bCs/>
                <w:sz w:val="18"/>
                <w:szCs w:val="18"/>
                <w:lang w:val="es-ES_tradnl"/>
              </w:rPr>
            </w:pPr>
            <w:r w:rsidRPr="00C75C7E">
              <w:rPr>
                <w:b/>
                <w:bCs/>
                <w:sz w:val="18"/>
                <w:szCs w:val="18"/>
                <w:lang w:val="es-ES_tradnl"/>
              </w:rPr>
              <w:t>Objetivos</w:t>
            </w:r>
          </w:p>
        </w:tc>
      </w:tr>
      <w:tr w:rsidR="00A80F8D" w:rsidRPr="00C75C7E" w:rsidTr="008F4F69">
        <w:trPr>
          <w:cantSplit/>
        </w:trPr>
        <w:tc>
          <w:tcPr>
            <w:tcW w:w="1249" w:type="pct"/>
            <w:tcBorders>
              <w:top w:val="single" w:sz="4" w:space="0" w:color="auto"/>
            </w:tcBorders>
            <w:shd w:val="clear" w:color="auto" w:fill="auto"/>
            <w:tcMar>
              <w:top w:w="113" w:type="dxa"/>
            </w:tcMar>
          </w:tcPr>
          <w:p w:rsidR="00A80F8D" w:rsidRPr="00C75C7E" w:rsidRDefault="00A80F8D" w:rsidP="008F4F69">
            <w:pPr>
              <w:widowControl w:val="0"/>
              <w:rPr>
                <w:sz w:val="16"/>
                <w:szCs w:val="16"/>
                <w:lang w:val="es-ES_tradnl"/>
              </w:rPr>
            </w:pPr>
            <w:r w:rsidRPr="00C75C7E">
              <w:rPr>
                <w:sz w:val="16"/>
                <w:szCs w:val="16"/>
                <w:lang w:val="es-ES_tradnl"/>
              </w:rPr>
              <w:t>IV.2. Mejora del acceso y uso de información y conocimientos de P.I. por parte de instituciones de P.I. y el público para fomentar la innovación y la creatividad.</w:t>
            </w:r>
          </w:p>
        </w:tc>
        <w:tc>
          <w:tcPr>
            <w:tcW w:w="1402" w:type="pct"/>
            <w:tcBorders>
              <w:top w:val="single" w:sz="4" w:space="0" w:color="auto"/>
            </w:tcBorders>
            <w:shd w:val="clear" w:color="auto" w:fill="auto"/>
            <w:tcMar>
              <w:top w:w="113" w:type="dxa"/>
            </w:tcMar>
          </w:tcPr>
          <w:p w:rsidR="00A80F8D" w:rsidRPr="00C75C7E" w:rsidRDefault="00A80F8D" w:rsidP="008F4F69">
            <w:pPr>
              <w:widowControl w:val="0"/>
              <w:rPr>
                <w:sz w:val="16"/>
                <w:szCs w:val="16"/>
                <w:lang w:val="es-ES_tradnl"/>
              </w:rPr>
            </w:pPr>
            <w:r w:rsidRPr="00C75C7E">
              <w:rPr>
                <w:sz w:val="16"/>
                <w:szCs w:val="16"/>
                <w:lang w:val="es-ES_tradnl"/>
              </w:rPr>
              <w:t>Número de redes nacionales sostenibles de CATI.</w:t>
            </w:r>
          </w:p>
        </w:tc>
        <w:tc>
          <w:tcPr>
            <w:tcW w:w="1084" w:type="pct"/>
            <w:tcBorders>
              <w:top w:val="single" w:sz="4" w:space="0" w:color="auto"/>
            </w:tcBorders>
            <w:shd w:val="clear" w:color="auto" w:fill="FFFFFF"/>
            <w:tcMar>
              <w:top w:w="113" w:type="dxa"/>
            </w:tcMar>
          </w:tcPr>
          <w:p w:rsidR="00A80F8D" w:rsidRPr="00C75C7E" w:rsidRDefault="00A80F8D" w:rsidP="008F4F69">
            <w:pPr>
              <w:widowControl w:val="0"/>
              <w:rPr>
                <w:sz w:val="16"/>
                <w:szCs w:val="16"/>
                <w:lang w:val="es-ES_tradnl" w:bidi="th-TH"/>
              </w:rPr>
            </w:pPr>
            <w:r w:rsidRPr="00C75C7E">
              <w:rPr>
                <w:sz w:val="16"/>
                <w:szCs w:val="16"/>
                <w:lang w:val="es-ES_tradnl" w:bidi="th-TH"/>
              </w:rPr>
              <w:t xml:space="preserve">15 redes nacionales de CATI: (en total al final del primer trimestre de 2013):  África (6);  </w:t>
            </w:r>
            <w:r w:rsidRPr="00C75C7E">
              <w:rPr>
                <w:sz w:val="16"/>
                <w:szCs w:val="16"/>
                <w:lang w:val="es-ES_tradnl" w:bidi="th-TH"/>
              </w:rPr>
              <w:br/>
              <w:t xml:space="preserve">Región de los Países Árabes (2); </w:t>
            </w:r>
            <w:r w:rsidRPr="00C75C7E">
              <w:rPr>
                <w:sz w:val="16"/>
                <w:szCs w:val="16"/>
                <w:lang w:val="es-ES_tradnl" w:bidi="th-TH"/>
              </w:rPr>
              <w:br/>
              <w:t xml:space="preserve"> Asia y el Pacífico (2);  América Latina y el Caribe (4);  </w:t>
            </w:r>
            <w:r w:rsidRPr="00C75C7E">
              <w:rPr>
                <w:sz w:val="16"/>
                <w:szCs w:val="16"/>
                <w:lang w:val="es-ES_tradnl" w:bidi="th-TH"/>
              </w:rPr>
              <w:br/>
              <w:t>Determinados Países de Europa y Asia (1)</w:t>
            </w:r>
          </w:p>
          <w:p w:rsidR="00A80F8D" w:rsidRPr="00C75C7E" w:rsidRDefault="00A80F8D" w:rsidP="008F4F69">
            <w:pPr>
              <w:widowControl w:val="0"/>
              <w:rPr>
                <w:sz w:val="16"/>
                <w:szCs w:val="16"/>
                <w:lang w:val="es-ES_tradnl"/>
              </w:rPr>
            </w:pPr>
          </w:p>
        </w:tc>
        <w:tc>
          <w:tcPr>
            <w:tcW w:w="1265" w:type="pct"/>
            <w:tcBorders>
              <w:top w:val="single" w:sz="4" w:space="0" w:color="auto"/>
            </w:tcBorders>
            <w:shd w:val="clear" w:color="auto" w:fill="auto"/>
            <w:tcMar>
              <w:top w:w="113" w:type="dxa"/>
            </w:tcMar>
          </w:tcPr>
          <w:p w:rsidR="00A80F8D" w:rsidRPr="00C75C7E" w:rsidRDefault="00A80F8D" w:rsidP="008F4F69">
            <w:pPr>
              <w:widowControl w:val="0"/>
              <w:ind w:right="381"/>
              <w:rPr>
                <w:bCs/>
                <w:sz w:val="16"/>
                <w:szCs w:val="16"/>
                <w:lang w:val="es-ES_tradnl"/>
              </w:rPr>
            </w:pPr>
            <w:r w:rsidRPr="00C75C7E">
              <w:rPr>
                <w:bCs/>
                <w:sz w:val="16"/>
                <w:szCs w:val="16"/>
                <w:lang w:val="es-ES_tradnl"/>
              </w:rPr>
              <w:t xml:space="preserve">25 redes nacionales de CATI (en total): África (10 de los que 8 son PMA);  </w:t>
            </w:r>
            <w:r w:rsidRPr="00C75C7E">
              <w:rPr>
                <w:bCs/>
                <w:sz w:val="16"/>
                <w:szCs w:val="16"/>
                <w:lang w:val="es-ES_tradnl"/>
              </w:rPr>
              <w:br/>
              <w:t xml:space="preserve">Región de los Países Árabes (3);  </w:t>
            </w:r>
            <w:r w:rsidRPr="00C75C7E">
              <w:rPr>
                <w:bCs/>
                <w:sz w:val="16"/>
                <w:szCs w:val="16"/>
                <w:lang w:val="es-ES_tradnl"/>
              </w:rPr>
              <w:br/>
              <w:t xml:space="preserve">Asia y el Pacífico (4 de los que 2 son PMA);  </w:t>
            </w:r>
            <w:r w:rsidRPr="00C75C7E">
              <w:rPr>
                <w:bCs/>
                <w:sz w:val="16"/>
                <w:szCs w:val="16"/>
                <w:lang w:val="es-ES_tradnl"/>
              </w:rPr>
              <w:br/>
              <w:t xml:space="preserve">América Latina y el Caribe (6);  </w:t>
            </w:r>
            <w:r w:rsidRPr="00C75C7E">
              <w:rPr>
                <w:bCs/>
                <w:sz w:val="16"/>
                <w:szCs w:val="16"/>
                <w:lang w:val="es-ES_tradnl"/>
              </w:rPr>
              <w:br/>
              <w:t>Determinados Países de Europa y Asia (2)</w:t>
            </w:r>
          </w:p>
          <w:p w:rsidR="00A80F8D" w:rsidRPr="00C75C7E" w:rsidRDefault="00A80F8D" w:rsidP="008F4F69">
            <w:pPr>
              <w:widowControl w:val="0"/>
              <w:ind w:right="381"/>
              <w:rPr>
                <w:bCs/>
                <w:sz w:val="16"/>
                <w:szCs w:val="16"/>
                <w:lang w:val="es-ES_tradnl"/>
              </w:rPr>
            </w:pPr>
          </w:p>
        </w:tc>
      </w:tr>
      <w:tr w:rsidR="00A80F8D" w:rsidRPr="00C75C7E" w:rsidTr="008F4F69">
        <w:trPr>
          <w:cantSplit/>
        </w:trPr>
        <w:tc>
          <w:tcPr>
            <w:tcW w:w="1249" w:type="pct"/>
            <w:shd w:val="clear" w:color="auto" w:fill="auto"/>
            <w:tcMar>
              <w:top w:w="113" w:type="dxa"/>
            </w:tcMar>
          </w:tcPr>
          <w:p w:rsidR="00A80F8D" w:rsidRPr="00C75C7E" w:rsidRDefault="00A80F8D" w:rsidP="008F4F69">
            <w:pPr>
              <w:widowControl w:val="0"/>
              <w:rPr>
                <w:sz w:val="16"/>
                <w:szCs w:val="16"/>
                <w:lang w:val="es-ES_tradnl"/>
              </w:rPr>
            </w:pPr>
          </w:p>
        </w:tc>
        <w:tc>
          <w:tcPr>
            <w:tcW w:w="1402" w:type="pct"/>
            <w:shd w:val="clear" w:color="auto" w:fill="auto"/>
            <w:tcMar>
              <w:top w:w="113" w:type="dxa"/>
            </w:tcMar>
          </w:tcPr>
          <w:p w:rsidR="00A80F8D" w:rsidRPr="00C75C7E" w:rsidRDefault="00A80F8D" w:rsidP="008F4F69">
            <w:pPr>
              <w:widowControl w:val="0"/>
              <w:rPr>
                <w:sz w:val="16"/>
                <w:szCs w:val="16"/>
                <w:lang w:val="es-ES_tradnl"/>
              </w:rPr>
            </w:pPr>
            <w:r w:rsidRPr="00C75C7E">
              <w:rPr>
                <w:sz w:val="16"/>
                <w:szCs w:val="16"/>
                <w:lang w:val="es-ES_tradnl"/>
              </w:rPr>
              <w:t>Promedio de usuarios que utilizan los servicios de los CATI por trimestre y por país.</w:t>
            </w:r>
          </w:p>
        </w:tc>
        <w:tc>
          <w:tcPr>
            <w:tcW w:w="1084" w:type="pct"/>
            <w:shd w:val="clear" w:color="auto" w:fill="FFFFFF"/>
            <w:tcMar>
              <w:top w:w="113" w:type="dxa"/>
            </w:tcMar>
          </w:tcPr>
          <w:p w:rsidR="00A80F8D" w:rsidRPr="00C75C7E" w:rsidRDefault="00CD1207" w:rsidP="008F4F69">
            <w:pPr>
              <w:widowControl w:val="0"/>
              <w:rPr>
                <w:sz w:val="16"/>
                <w:szCs w:val="16"/>
                <w:lang w:val="es-ES_tradnl" w:bidi="th-TH"/>
              </w:rPr>
            </w:pPr>
            <w:r>
              <w:rPr>
                <w:sz w:val="16"/>
                <w:szCs w:val="16"/>
                <w:lang w:val="es-ES_tradnl" w:bidi="th-TH"/>
              </w:rPr>
              <w:t>200 (min.) – 630 (má</w:t>
            </w:r>
            <w:r w:rsidR="00A80F8D" w:rsidRPr="00C75C7E">
              <w:rPr>
                <w:sz w:val="16"/>
                <w:szCs w:val="16"/>
                <w:lang w:val="es-ES_tradnl" w:bidi="th-TH"/>
              </w:rPr>
              <w:t>x.).</w:t>
            </w:r>
          </w:p>
          <w:p w:rsidR="00A80F8D" w:rsidRPr="00C75C7E" w:rsidRDefault="00A80F8D" w:rsidP="008F4F69">
            <w:pPr>
              <w:widowControl w:val="0"/>
              <w:rPr>
                <w:sz w:val="16"/>
                <w:szCs w:val="16"/>
                <w:lang w:val="es-ES_tradnl" w:bidi="th-TH"/>
              </w:rPr>
            </w:pPr>
          </w:p>
          <w:p w:rsidR="00A80F8D" w:rsidRPr="00C75C7E" w:rsidRDefault="00A80F8D" w:rsidP="008F4F69">
            <w:pPr>
              <w:widowControl w:val="0"/>
              <w:rPr>
                <w:sz w:val="16"/>
                <w:szCs w:val="16"/>
                <w:lang w:val="es-ES_tradnl"/>
              </w:rPr>
            </w:pPr>
          </w:p>
        </w:tc>
        <w:tc>
          <w:tcPr>
            <w:tcW w:w="1265" w:type="pct"/>
            <w:shd w:val="clear" w:color="auto" w:fill="auto"/>
            <w:tcMar>
              <w:top w:w="113" w:type="dxa"/>
            </w:tcMar>
          </w:tcPr>
          <w:p w:rsidR="00A80F8D" w:rsidRPr="00C75C7E" w:rsidRDefault="00CD1207" w:rsidP="008F4F69">
            <w:pPr>
              <w:widowControl w:val="0"/>
              <w:tabs>
                <w:tab w:val="left" w:pos="2051"/>
              </w:tabs>
              <w:ind w:right="381"/>
              <w:rPr>
                <w:bCs/>
                <w:sz w:val="16"/>
                <w:szCs w:val="16"/>
                <w:lang w:val="es-ES_tradnl"/>
              </w:rPr>
            </w:pPr>
            <w:r>
              <w:rPr>
                <w:bCs/>
                <w:sz w:val="16"/>
                <w:szCs w:val="16"/>
                <w:lang w:val="es-ES_tradnl"/>
              </w:rPr>
              <w:t>300 (min.) – 750 (má</w:t>
            </w:r>
            <w:r w:rsidR="00A80F8D" w:rsidRPr="00C75C7E">
              <w:rPr>
                <w:bCs/>
                <w:sz w:val="16"/>
                <w:szCs w:val="16"/>
                <w:lang w:val="es-ES_tradnl"/>
              </w:rPr>
              <w:t>x.).</w:t>
            </w:r>
          </w:p>
          <w:p w:rsidR="00A80F8D" w:rsidRPr="00C75C7E" w:rsidRDefault="00A80F8D" w:rsidP="008F4F69">
            <w:pPr>
              <w:widowControl w:val="0"/>
              <w:tabs>
                <w:tab w:val="left" w:pos="2051"/>
              </w:tabs>
              <w:ind w:right="381"/>
              <w:rPr>
                <w:bCs/>
                <w:sz w:val="16"/>
                <w:szCs w:val="16"/>
                <w:lang w:val="es-ES_tradnl"/>
              </w:rPr>
            </w:pPr>
          </w:p>
        </w:tc>
      </w:tr>
      <w:tr w:rsidR="00A80F8D" w:rsidRPr="00C75C7E" w:rsidTr="008F4F69">
        <w:trPr>
          <w:cantSplit/>
          <w:trHeight w:val="607"/>
        </w:trPr>
        <w:tc>
          <w:tcPr>
            <w:tcW w:w="1249" w:type="pct"/>
            <w:shd w:val="clear" w:color="auto" w:fill="auto"/>
            <w:tcMar>
              <w:top w:w="113" w:type="dxa"/>
            </w:tcMar>
          </w:tcPr>
          <w:p w:rsidR="00A80F8D" w:rsidRPr="00C75C7E" w:rsidRDefault="00A80F8D" w:rsidP="008F4F69">
            <w:pPr>
              <w:widowControl w:val="0"/>
              <w:rPr>
                <w:sz w:val="16"/>
                <w:szCs w:val="16"/>
                <w:lang w:val="es-ES_tradnl"/>
              </w:rPr>
            </w:pPr>
          </w:p>
        </w:tc>
        <w:tc>
          <w:tcPr>
            <w:tcW w:w="1402" w:type="pct"/>
            <w:shd w:val="clear" w:color="auto" w:fill="auto"/>
            <w:tcMar>
              <w:top w:w="113" w:type="dxa"/>
            </w:tcMar>
          </w:tcPr>
          <w:p w:rsidR="00A80F8D" w:rsidRPr="00C75C7E" w:rsidRDefault="00A80F8D" w:rsidP="008F4F69">
            <w:pPr>
              <w:widowControl w:val="0"/>
              <w:rPr>
                <w:sz w:val="16"/>
                <w:szCs w:val="16"/>
                <w:lang w:val="es-ES_tradnl"/>
              </w:rPr>
            </w:pPr>
            <w:r w:rsidRPr="00C75C7E">
              <w:rPr>
                <w:sz w:val="16"/>
                <w:szCs w:val="16"/>
                <w:lang w:val="es-ES_tradnl"/>
              </w:rPr>
              <w:t>Número de usuarios inscritos en ARDI y ASPI que utilizan dichos instrumentos.</w:t>
            </w:r>
          </w:p>
        </w:tc>
        <w:tc>
          <w:tcPr>
            <w:tcW w:w="1084" w:type="pct"/>
            <w:shd w:val="clear" w:color="auto" w:fill="FFFFFF"/>
            <w:tcMar>
              <w:top w:w="113" w:type="dxa"/>
            </w:tcMar>
          </w:tcPr>
          <w:p w:rsidR="00A80F8D" w:rsidRPr="00C75C7E" w:rsidRDefault="00A80F8D" w:rsidP="008F4F69">
            <w:pPr>
              <w:widowControl w:val="0"/>
              <w:rPr>
                <w:sz w:val="16"/>
                <w:szCs w:val="16"/>
                <w:lang w:val="es-ES_tradnl" w:bidi="th-TH"/>
              </w:rPr>
            </w:pPr>
            <w:r w:rsidRPr="00C75C7E">
              <w:rPr>
                <w:sz w:val="16"/>
                <w:szCs w:val="16"/>
                <w:lang w:val="es-ES_tradnl" w:bidi="th-TH"/>
              </w:rPr>
              <w:t xml:space="preserve">ARDI: 50. </w:t>
            </w:r>
          </w:p>
          <w:p w:rsidR="00A80F8D" w:rsidRPr="00C75C7E" w:rsidRDefault="00A80F8D" w:rsidP="008F4F69">
            <w:pPr>
              <w:widowControl w:val="0"/>
              <w:rPr>
                <w:sz w:val="16"/>
                <w:szCs w:val="16"/>
                <w:lang w:val="es-ES_tradnl" w:bidi="th-TH"/>
              </w:rPr>
            </w:pPr>
            <w:r w:rsidRPr="00C75C7E">
              <w:rPr>
                <w:sz w:val="16"/>
                <w:szCs w:val="16"/>
                <w:lang w:val="es-ES_tradnl" w:bidi="th-TH"/>
              </w:rPr>
              <w:t>ASPI:  20.</w:t>
            </w:r>
          </w:p>
          <w:p w:rsidR="00A80F8D" w:rsidRPr="00C75C7E" w:rsidRDefault="00A80F8D" w:rsidP="008F4F69">
            <w:pPr>
              <w:widowControl w:val="0"/>
              <w:rPr>
                <w:sz w:val="16"/>
                <w:szCs w:val="16"/>
                <w:lang w:val="es-ES_tradnl"/>
              </w:rPr>
            </w:pPr>
          </w:p>
        </w:tc>
        <w:tc>
          <w:tcPr>
            <w:tcW w:w="1265" w:type="pct"/>
            <w:shd w:val="clear" w:color="auto" w:fill="auto"/>
            <w:tcMar>
              <w:top w:w="113" w:type="dxa"/>
            </w:tcMar>
          </w:tcPr>
          <w:p w:rsidR="00A80F8D" w:rsidRPr="00C75C7E" w:rsidRDefault="00A80F8D" w:rsidP="008F4F69">
            <w:pPr>
              <w:widowControl w:val="0"/>
              <w:ind w:right="51"/>
              <w:rPr>
                <w:bCs/>
                <w:sz w:val="16"/>
                <w:szCs w:val="16"/>
                <w:lang w:val="es-ES_tradnl"/>
              </w:rPr>
            </w:pPr>
            <w:r w:rsidRPr="00C75C7E">
              <w:rPr>
                <w:bCs/>
                <w:sz w:val="16"/>
                <w:szCs w:val="16"/>
                <w:lang w:val="es-ES_tradnl"/>
              </w:rPr>
              <w:t xml:space="preserve">ARDI: 300. </w:t>
            </w:r>
          </w:p>
          <w:p w:rsidR="00A80F8D" w:rsidRPr="00C75C7E" w:rsidRDefault="00A80F8D" w:rsidP="008F4F69">
            <w:pPr>
              <w:widowControl w:val="0"/>
              <w:ind w:right="51"/>
              <w:rPr>
                <w:bCs/>
                <w:sz w:val="16"/>
                <w:szCs w:val="16"/>
                <w:lang w:val="es-ES_tradnl"/>
              </w:rPr>
            </w:pPr>
            <w:r w:rsidRPr="00C75C7E">
              <w:rPr>
                <w:bCs/>
                <w:sz w:val="16"/>
                <w:szCs w:val="16"/>
                <w:lang w:val="es-ES_tradnl"/>
              </w:rPr>
              <w:t>ASPI:  30.</w:t>
            </w:r>
          </w:p>
        </w:tc>
      </w:tr>
      <w:tr w:rsidR="00A80F8D" w:rsidRPr="00C75C7E" w:rsidTr="008F4F69">
        <w:trPr>
          <w:cantSplit/>
          <w:trHeight w:val="1005"/>
        </w:trPr>
        <w:tc>
          <w:tcPr>
            <w:tcW w:w="1249" w:type="pct"/>
            <w:shd w:val="clear" w:color="auto" w:fill="auto"/>
            <w:tcMar>
              <w:top w:w="113" w:type="dxa"/>
            </w:tcMar>
          </w:tcPr>
          <w:p w:rsidR="00A80F8D" w:rsidRPr="00C75C7E" w:rsidRDefault="00A80F8D" w:rsidP="008F4F69">
            <w:pPr>
              <w:widowControl w:val="0"/>
              <w:rPr>
                <w:sz w:val="16"/>
                <w:szCs w:val="16"/>
                <w:lang w:val="es-ES_tradnl"/>
              </w:rPr>
            </w:pPr>
          </w:p>
        </w:tc>
        <w:tc>
          <w:tcPr>
            <w:tcW w:w="1402" w:type="pct"/>
            <w:shd w:val="clear" w:color="auto" w:fill="auto"/>
            <w:tcMar>
              <w:top w:w="113" w:type="dxa"/>
            </w:tcMar>
          </w:tcPr>
          <w:p w:rsidR="00A80F8D" w:rsidRPr="00C75C7E" w:rsidRDefault="00A80F8D" w:rsidP="008F4F69">
            <w:pPr>
              <w:widowControl w:val="0"/>
              <w:rPr>
                <w:sz w:val="16"/>
                <w:szCs w:val="16"/>
                <w:lang w:val="es-ES_tradnl"/>
              </w:rPr>
            </w:pPr>
            <w:r w:rsidRPr="00C75C7E">
              <w:rPr>
                <w:sz w:val="16"/>
                <w:szCs w:val="16"/>
                <w:lang w:val="es-ES_tradnl"/>
              </w:rPr>
              <w:t>Porcentaje de usuarios satisfechos con la prestación de servicios de información sobre patentes con valor añadido (WPIS, cooperación internacional en el examen, familias de patentes  y servicio de consulta sobre la situación jurídica).</w:t>
            </w:r>
          </w:p>
        </w:tc>
        <w:tc>
          <w:tcPr>
            <w:tcW w:w="1084" w:type="pct"/>
            <w:shd w:val="clear" w:color="auto" w:fill="FFFFFF"/>
            <w:tcMar>
              <w:top w:w="113" w:type="dxa"/>
            </w:tcMar>
          </w:tcPr>
          <w:p w:rsidR="00A80F8D" w:rsidRPr="00C75C7E" w:rsidRDefault="00A80F8D" w:rsidP="008F4F69">
            <w:pPr>
              <w:widowControl w:val="0"/>
              <w:rPr>
                <w:sz w:val="16"/>
                <w:szCs w:val="16"/>
                <w:lang w:val="es-ES_tradnl" w:bidi="th-TH"/>
              </w:rPr>
            </w:pPr>
            <w:r w:rsidRPr="00C75C7E">
              <w:rPr>
                <w:sz w:val="16"/>
                <w:szCs w:val="16"/>
                <w:lang w:val="es-ES_tradnl" w:bidi="th-TH"/>
              </w:rPr>
              <w:t>No se dispone de datos.</w:t>
            </w:r>
          </w:p>
          <w:p w:rsidR="00A80F8D" w:rsidRPr="00C75C7E" w:rsidRDefault="00A80F8D" w:rsidP="008F4F69">
            <w:pPr>
              <w:widowControl w:val="0"/>
              <w:rPr>
                <w:sz w:val="16"/>
                <w:szCs w:val="16"/>
                <w:lang w:val="es-ES_tradnl" w:bidi="th-TH"/>
              </w:rPr>
            </w:pPr>
          </w:p>
          <w:p w:rsidR="00A80F8D" w:rsidRPr="00C75C7E" w:rsidRDefault="00A80F8D" w:rsidP="008F4F69">
            <w:pPr>
              <w:widowControl w:val="0"/>
              <w:rPr>
                <w:sz w:val="16"/>
                <w:szCs w:val="16"/>
                <w:lang w:val="es-ES_tradnl" w:bidi="th-TH"/>
              </w:rPr>
            </w:pPr>
          </w:p>
          <w:p w:rsidR="00A80F8D" w:rsidRPr="00C75C7E" w:rsidRDefault="00A80F8D" w:rsidP="008F4F69">
            <w:pPr>
              <w:widowControl w:val="0"/>
              <w:rPr>
                <w:sz w:val="16"/>
                <w:szCs w:val="16"/>
                <w:lang w:val="es-ES_tradnl" w:bidi="th-TH"/>
              </w:rPr>
            </w:pPr>
          </w:p>
          <w:p w:rsidR="00A80F8D" w:rsidRPr="00C75C7E" w:rsidRDefault="00A80F8D" w:rsidP="008F4F69">
            <w:pPr>
              <w:widowControl w:val="0"/>
              <w:rPr>
                <w:sz w:val="16"/>
                <w:szCs w:val="16"/>
                <w:lang w:val="es-ES_tradnl"/>
              </w:rPr>
            </w:pPr>
          </w:p>
        </w:tc>
        <w:tc>
          <w:tcPr>
            <w:tcW w:w="1265" w:type="pct"/>
            <w:shd w:val="clear" w:color="auto" w:fill="auto"/>
            <w:tcMar>
              <w:top w:w="113" w:type="dxa"/>
            </w:tcMar>
          </w:tcPr>
          <w:p w:rsidR="00A80F8D" w:rsidRPr="00C75C7E" w:rsidRDefault="00A80F8D" w:rsidP="008F4F69">
            <w:pPr>
              <w:widowControl w:val="0"/>
              <w:ind w:right="161"/>
              <w:rPr>
                <w:bCs/>
                <w:sz w:val="16"/>
                <w:szCs w:val="16"/>
                <w:lang w:val="es-ES_tradnl"/>
              </w:rPr>
            </w:pPr>
            <w:r w:rsidRPr="00C75C7E">
              <w:rPr>
                <w:bCs/>
                <w:sz w:val="16"/>
                <w:szCs w:val="16"/>
                <w:lang w:val="es-ES_tradnl"/>
              </w:rPr>
              <w:t>75%</w:t>
            </w:r>
          </w:p>
        </w:tc>
      </w:tr>
      <w:tr w:rsidR="00A80F8D" w:rsidRPr="00C75C7E" w:rsidTr="008F4F69">
        <w:trPr>
          <w:cantSplit/>
          <w:trHeight w:val="430"/>
        </w:trPr>
        <w:tc>
          <w:tcPr>
            <w:tcW w:w="1249" w:type="pct"/>
            <w:shd w:val="clear" w:color="auto" w:fill="auto"/>
            <w:tcMar>
              <w:top w:w="113" w:type="dxa"/>
            </w:tcMar>
          </w:tcPr>
          <w:p w:rsidR="00A80F8D" w:rsidRPr="00C75C7E" w:rsidRDefault="00A80F8D" w:rsidP="008F4F69">
            <w:pPr>
              <w:widowControl w:val="0"/>
              <w:rPr>
                <w:sz w:val="16"/>
                <w:szCs w:val="16"/>
                <w:lang w:val="es-ES_tradnl"/>
              </w:rPr>
            </w:pPr>
          </w:p>
        </w:tc>
        <w:tc>
          <w:tcPr>
            <w:tcW w:w="1402" w:type="pct"/>
            <w:shd w:val="clear" w:color="auto" w:fill="auto"/>
            <w:tcMar>
              <w:top w:w="113" w:type="dxa"/>
            </w:tcMar>
          </w:tcPr>
          <w:p w:rsidR="00A80F8D" w:rsidRPr="00C75C7E" w:rsidRDefault="00A80F8D" w:rsidP="008F4F69">
            <w:pPr>
              <w:widowControl w:val="0"/>
              <w:rPr>
                <w:sz w:val="16"/>
                <w:szCs w:val="16"/>
                <w:lang w:val="es-ES_tradnl"/>
              </w:rPr>
            </w:pPr>
            <w:r w:rsidRPr="00C75C7E">
              <w:rPr>
                <w:sz w:val="16"/>
                <w:szCs w:val="16"/>
                <w:lang w:val="es-ES_tradnl"/>
              </w:rPr>
              <w:t>Porcentaje de usuarios satisfechos con los informes sobre la actividad de patentamiento.</w:t>
            </w:r>
          </w:p>
        </w:tc>
        <w:tc>
          <w:tcPr>
            <w:tcW w:w="1084" w:type="pct"/>
            <w:shd w:val="clear" w:color="auto" w:fill="FFFFFF"/>
            <w:tcMar>
              <w:top w:w="113" w:type="dxa"/>
            </w:tcMar>
          </w:tcPr>
          <w:p w:rsidR="00A80F8D" w:rsidRPr="00C75C7E" w:rsidRDefault="00A80F8D" w:rsidP="008F4F69">
            <w:pPr>
              <w:widowControl w:val="0"/>
              <w:rPr>
                <w:sz w:val="16"/>
                <w:szCs w:val="16"/>
                <w:lang w:val="es-ES_tradnl" w:bidi="th-TH"/>
              </w:rPr>
            </w:pPr>
            <w:r w:rsidRPr="00C75C7E">
              <w:rPr>
                <w:sz w:val="16"/>
                <w:szCs w:val="16"/>
                <w:lang w:val="es-ES_tradnl" w:bidi="th-TH"/>
              </w:rPr>
              <w:t>No se dispone de datos.</w:t>
            </w:r>
          </w:p>
          <w:p w:rsidR="00A80F8D" w:rsidRPr="00C75C7E" w:rsidRDefault="00A80F8D" w:rsidP="008F4F69">
            <w:pPr>
              <w:widowControl w:val="0"/>
              <w:rPr>
                <w:sz w:val="16"/>
                <w:szCs w:val="16"/>
                <w:lang w:val="es-ES_tradnl" w:bidi="th-TH"/>
              </w:rPr>
            </w:pPr>
          </w:p>
        </w:tc>
        <w:tc>
          <w:tcPr>
            <w:tcW w:w="1265" w:type="pct"/>
            <w:shd w:val="clear" w:color="auto" w:fill="auto"/>
            <w:tcMar>
              <w:top w:w="113" w:type="dxa"/>
            </w:tcMar>
          </w:tcPr>
          <w:p w:rsidR="00A80F8D" w:rsidRPr="00C75C7E" w:rsidRDefault="00A80F8D" w:rsidP="008F4F69">
            <w:pPr>
              <w:widowControl w:val="0"/>
              <w:ind w:right="161"/>
              <w:rPr>
                <w:bCs/>
                <w:sz w:val="16"/>
                <w:szCs w:val="16"/>
                <w:lang w:val="es-ES_tradnl"/>
              </w:rPr>
            </w:pPr>
            <w:r w:rsidRPr="00C75C7E">
              <w:rPr>
                <w:bCs/>
                <w:sz w:val="16"/>
                <w:szCs w:val="16"/>
                <w:lang w:val="es-ES_tradnl"/>
              </w:rPr>
              <w:t>75%</w:t>
            </w:r>
          </w:p>
        </w:tc>
      </w:tr>
    </w:tbl>
    <w:p w:rsidR="00A80F8D" w:rsidRPr="00C75C7E" w:rsidRDefault="00A80F8D" w:rsidP="00A80F8D">
      <w:pPr>
        <w:widowControl w:val="0"/>
        <w:autoSpaceDE w:val="0"/>
        <w:autoSpaceDN w:val="0"/>
        <w:adjustRightInd w:val="0"/>
        <w:jc w:val="both"/>
        <w:rPr>
          <w:sz w:val="20"/>
          <w:lang w:val="es-ES_tradnl"/>
        </w:rPr>
      </w:pPr>
    </w:p>
    <w:p w:rsidR="00A80F8D" w:rsidRDefault="00A80F8D" w:rsidP="00A80F8D">
      <w:pPr>
        <w:widowControl w:val="0"/>
        <w:autoSpaceDE w:val="0"/>
        <w:autoSpaceDN w:val="0"/>
        <w:adjustRightInd w:val="0"/>
        <w:jc w:val="both"/>
        <w:rPr>
          <w:sz w:val="20"/>
          <w:lang w:val="es-ES_tradnl"/>
        </w:rPr>
      </w:pPr>
    </w:p>
    <w:p w:rsidR="00C739DE" w:rsidRPr="00F039C2" w:rsidRDefault="00C739DE" w:rsidP="00C739DE">
      <w:pPr>
        <w:widowControl w:val="0"/>
        <w:autoSpaceDE w:val="0"/>
        <w:autoSpaceDN w:val="0"/>
        <w:adjustRightInd w:val="0"/>
        <w:jc w:val="both"/>
        <w:rPr>
          <w:szCs w:val="22"/>
        </w:rPr>
      </w:pPr>
      <w:r w:rsidRPr="00CA3895">
        <w:rPr>
          <w:szCs w:val="22"/>
        </w:rPr>
        <w:t>RECURSOS</w:t>
      </w:r>
      <w:r w:rsidRPr="00F039C2">
        <w:rPr>
          <w:szCs w:val="22"/>
        </w:rPr>
        <w:t xml:space="preserve"> PARA EL PROGRAMA 14</w:t>
      </w:r>
    </w:p>
    <w:p w:rsidR="00C739DE" w:rsidRPr="00F039C2" w:rsidRDefault="00C739DE" w:rsidP="00C739DE">
      <w:pPr>
        <w:widowControl w:val="0"/>
        <w:autoSpaceDE w:val="0"/>
        <w:autoSpaceDN w:val="0"/>
        <w:adjustRightInd w:val="0"/>
        <w:jc w:val="both"/>
        <w:rPr>
          <w:sz w:val="20"/>
        </w:rPr>
      </w:pPr>
    </w:p>
    <w:p w:rsidR="00C739DE" w:rsidRPr="00F039C2" w:rsidRDefault="00C739DE" w:rsidP="00BA276E">
      <w:pPr>
        <w:widowControl w:val="0"/>
        <w:numPr>
          <w:ilvl w:val="0"/>
          <w:numId w:val="37"/>
        </w:numPr>
        <w:jc w:val="both"/>
        <w:rPr>
          <w:rFonts w:eastAsia="MS Mincho" w:cs="ArialMT"/>
          <w:sz w:val="20"/>
          <w:lang w:eastAsia="ja-JP" w:bidi="th-TH"/>
        </w:rPr>
      </w:pPr>
      <w:r w:rsidRPr="00F039C2">
        <w:rPr>
          <w:rFonts w:eastAsia="MS Mincho" w:cs="ArialMT"/>
          <w:sz w:val="20"/>
          <w:lang w:eastAsia="ja-JP" w:bidi="th-TH"/>
        </w:rPr>
        <w:t>Los recursos para el resultado IV.2 (Mejora del acceso y uso de información de P.I.) en virtud de este programa reflejan principalmente la in</w:t>
      </w:r>
      <w:r>
        <w:rPr>
          <w:rFonts w:eastAsia="MS Mincho" w:cs="ArialMT"/>
          <w:sz w:val="20"/>
          <w:lang w:eastAsia="ja-JP" w:bidi="th-TH"/>
        </w:rPr>
        <w:t xml:space="preserve">corporación </w:t>
      </w:r>
      <w:r w:rsidRPr="00F039C2">
        <w:rPr>
          <w:rFonts w:eastAsia="MS Mincho" w:cs="ArialMT"/>
          <w:sz w:val="20"/>
          <w:lang w:eastAsia="ja-JP" w:bidi="th-TH"/>
        </w:rPr>
        <w:t xml:space="preserve">de los proyectos de la A.D. relativos a i) la creación de instrumentos de acceso a la información sobre patentes y ii) al acceso a bases de datos especializadas. </w:t>
      </w:r>
    </w:p>
    <w:p w:rsidR="00C739DE" w:rsidRDefault="00C739DE" w:rsidP="00A80F8D">
      <w:pPr>
        <w:widowControl w:val="0"/>
        <w:autoSpaceDE w:val="0"/>
        <w:autoSpaceDN w:val="0"/>
        <w:adjustRightInd w:val="0"/>
        <w:jc w:val="both"/>
        <w:rPr>
          <w:sz w:val="20"/>
        </w:rPr>
      </w:pPr>
    </w:p>
    <w:p w:rsidR="00DC4C0C" w:rsidRPr="00C739DE" w:rsidRDefault="00DC4C0C" w:rsidP="00A80F8D">
      <w:pPr>
        <w:widowControl w:val="0"/>
        <w:autoSpaceDE w:val="0"/>
        <w:autoSpaceDN w:val="0"/>
        <w:adjustRightInd w:val="0"/>
        <w:jc w:val="both"/>
        <w:rPr>
          <w:sz w:val="20"/>
        </w:rPr>
      </w:pPr>
    </w:p>
    <w:p w:rsidR="00A80F8D" w:rsidRPr="00C75C7E" w:rsidRDefault="00C76500" w:rsidP="00A80F8D">
      <w:pPr>
        <w:widowControl w:val="0"/>
        <w:autoSpaceDE w:val="0"/>
        <w:autoSpaceDN w:val="0"/>
        <w:adjustRightInd w:val="0"/>
        <w:jc w:val="center"/>
        <w:rPr>
          <w:b/>
          <w:bCs/>
          <w:iCs/>
          <w:sz w:val="20"/>
          <w:lang w:val="es-ES_tradnl"/>
        </w:rPr>
      </w:pPr>
      <w:r>
        <w:rPr>
          <w:b/>
          <w:bCs/>
          <w:iCs/>
          <w:sz w:val="20"/>
          <w:lang w:val="es-ES_tradnl"/>
        </w:rPr>
        <w:t xml:space="preserve">Programa 14:  </w:t>
      </w:r>
      <w:r w:rsidR="00A80F8D" w:rsidRPr="00C75C7E">
        <w:rPr>
          <w:b/>
          <w:bCs/>
          <w:iCs/>
          <w:sz w:val="20"/>
          <w:lang w:val="es-ES_tradnl"/>
        </w:rPr>
        <w:t>Recursos por resultado</w:t>
      </w:r>
    </w:p>
    <w:p w:rsidR="00A80F8D" w:rsidRPr="00C75C7E" w:rsidRDefault="00A80F8D" w:rsidP="00A80F8D">
      <w:pPr>
        <w:widowControl w:val="0"/>
        <w:autoSpaceDE w:val="0"/>
        <w:autoSpaceDN w:val="0"/>
        <w:adjustRightInd w:val="0"/>
        <w:jc w:val="center"/>
        <w:rPr>
          <w:b/>
          <w:i/>
          <w:sz w:val="18"/>
          <w:szCs w:val="18"/>
          <w:lang w:val="es-ES_tradnl"/>
        </w:rPr>
      </w:pPr>
      <w:r w:rsidRPr="00C75C7E">
        <w:rPr>
          <w:bCs/>
          <w:i/>
          <w:sz w:val="20"/>
          <w:lang w:val="es-ES_tradnl"/>
        </w:rPr>
        <w:t>(en miles de francos suizos)</w:t>
      </w:r>
    </w:p>
    <w:p w:rsidR="00A80F8D" w:rsidRPr="00C75C7E" w:rsidRDefault="00A80F8D" w:rsidP="00A80F8D">
      <w:pPr>
        <w:widowControl w:val="0"/>
        <w:jc w:val="both"/>
        <w:rPr>
          <w:sz w:val="20"/>
          <w:lang w:val="es-ES_tradnl"/>
        </w:rPr>
      </w:pPr>
    </w:p>
    <w:p w:rsidR="00A80F8D" w:rsidRPr="00C75C7E" w:rsidRDefault="00C76500" w:rsidP="00A80F8D">
      <w:pPr>
        <w:widowControl w:val="0"/>
        <w:jc w:val="center"/>
        <w:rPr>
          <w:sz w:val="20"/>
          <w:lang w:val="es-ES_tradnl"/>
        </w:rPr>
      </w:pPr>
      <w:r w:rsidRPr="00C76500">
        <w:rPr>
          <w:noProof/>
          <w:lang w:val="en-US" w:eastAsia="en-US"/>
        </w:rPr>
        <w:drawing>
          <wp:inline distT="0" distB="0" distL="0" distR="0">
            <wp:extent cx="5867400" cy="12192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867400" cy="1219200"/>
                    </a:xfrm>
                    <a:prstGeom prst="rect">
                      <a:avLst/>
                    </a:prstGeom>
                    <a:noFill/>
                    <a:ln>
                      <a:noFill/>
                    </a:ln>
                  </pic:spPr>
                </pic:pic>
              </a:graphicData>
            </a:graphic>
          </wp:inline>
        </w:drawing>
      </w:r>
    </w:p>
    <w:p w:rsidR="00A80F8D" w:rsidRPr="00C75C7E" w:rsidRDefault="00A80F8D" w:rsidP="00A80F8D">
      <w:pPr>
        <w:widowControl w:val="0"/>
        <w:jc w:val="both"/>
        <w:rPr>
          <w:sz w:val="20"/>
          <w:lang w:val="es-ES_tradnl"/>
        </w:rPr>
      </w:pPr>
    </w:p>
    <w:p w:rsidR="00A80F8D" w:rsidRPr="00C75C7E" w:rsidRDefault="00A80F8D" w:rsidP="00A80F8D">
      <w:pPr>
        <w:widowControl w:val="0"/>
        <w:autoSpaceDE w:val="0"/>
        <w:autoSpaceDN w:val="0"/>
        <w:adjustRightInd w:val="0"/>
        <w:rPr>
          <w:sz w:val="20"/>
          <w:lang w:val="es-ES_tradnl"/>
        </w:rPr>
      </w:pPr>
      <w:r w:rsidRPr="00C75C7E">
        <w:rPr>
          <w:sz w:val="16"/>
          <w:szCs w:val="16"/>
          <w:lang w:val="es-ES_tradnl"/>
        </w:rPr>
        <w:t xml:space="preserve">Nota: </w:t>
      </w:r>
      <w:r>
        <w:rPr>
          <w:sz w:val="16"/>
          <w:szCs w:val="16"/>
          <w:lang w:val="es-ES_tradnl"/>
        </w:rPr>
        <w:t xml:space="preserve"> </w:t>
      </w:r>
      <w:r w:rsidRPr="00C75C7E">
        <w:rPr>
          <w:sz w:val="16"/>
          <w:szCs w:val="16"/>
          <w:lang w:val="es-ES_tradnl"/>
        </w:rPr>
        <w:t>Se ha reexpresado el presupuesto aprobado de 2012/13 y el presupuesto de dicho bienio después de las transferencias, por resultado previsto, para reflejar el marco de resultados de la Organización propuesto para 2014/15.</w:t>
      </w:r>
    </w:p>
    <w:p w:rsidR="00A80F8D" w:rsidRPr="00C75C7E" w:rsidRDefault="00A80F8D" w:rsidP="00A80F8D">
      <w:pPr>
        <w:widowControl w:val="0"/>
        <w:jc w:val="both"/>
        <w:rPr>
          <w:sz w:val="20"/>
          <w:lang w:val="es-ES_tradnl"/>
        </w:rPr>
      </w:pPr>
    </w:p>
    <w:p w:rsidR="00A80F8D" w:rsidRPr="00C75C7E" w:rsidRDefault="00A80F8D" w:rsidP="00A80F8D">
      <w:pPr>
        <w:widowControl w:val="0"/>
        <w:jc w:val="both"/>
        <w:rPr>
          <w:sz w:val="20"/>
          <w:lang w:val="es-ES_tradnl"/>
        </w:rPr>
      </w:pPr>
    </w:p>
    <w:p w:rsidR="00A80F8D" w:rsidRPr="00C75C7E" w:rsidRDefault="00C76500" w:rsidP="00C739DE">
      <w:pPr>
        <w:keepNext/>
        <w:widowControl w:val="0"/>
        <w:autoSpaceDE w:val="0"/>
        <w:autoSpaceDN w:val="0"/>
        <w:adjustRightInd w:val="0"/>
        <w:ind w:firstLine="567"/>
        <w:jc w:val="center"/>
        <w:rPr>
          <w:b/>
          <w:bCs/>
          <w:iCs/>
          <w:sz w:val="20"/>
          <w:lang w:val="es-ES_tradnl"/>
        </w:rPr>
      </w:pPr>
      <w:r>
        <w:rPr>
          <w:b/>
          <w:bCs/>
          <w:iCs/>
          <w:sz w:val="20"/>
          <w:lang w:val="es-ES_tradnl"/>
        </w:rPr>
        <w:lastRenderedPageBreak/>
        <w:t xml:space="preserve">Programa 14:  </w:t>
      </w:r>
      <w:r w:rsidR="00A80F8D" w:rsidRPr="00C75C7E">
        <w:rPr>
          <w:b/>
          <w:bCs/>
          <w:iCs/>
          <w:sz w:val="20"/>
          <w:lang w:val="es-ES_tradnl"/>
        </w:rPr>
        <w:t>Recursos por objeto de gasto</w:t>
      </w:r>
    </w:p>
    <w:p w:rsidR="00A80F8D" w:rsidRDefault="00A80F8D" w:rsidP="00C739DE">
      <w:pPr>
        <w:keepNext/>
        <w:widowControl w:val="0"/>
        <w:autoSpaceDE w:val="0"/>
        <w:autoSpaceDN w:val="0"/>
        <w:adjustRightInd w:val="0"/>
        <w:ind w:firstLine="567"/>
        <w:jc w:val="center"/>
        <w:rPr>
          <w:bCs/>
          <w:i/>
          <w:sz w:val="20"/>
          <w:lang w:val="es-ES_tradnl"/>
        </w:rPr>
      </w:pPr>
      <w:r w:rsidRPr="00C75C7E">
        <w:rPr>
          <w:bCs/>
          <w:i/>
          <w:sz w:val="20"/>
          <w:lang w:val="es-ES_tradnl"/>
        </w:rPr>
        <w:t>(en miles de francos suizos)</w:t>
      </w:r>
    </w:p>
    <w:p w:rsidR="001E5683" w:rsidRPr="00C76500" w:rsidRDefault="001E5683" w:rsidP="00C739DE">
      <w:pPr>
        <w:keepNext/>
        <w:widowControl w:val="0"/>
        <w:autoSpaceDE w:val="0"/>
        <w:autoSpaceDN w:val="0"/>
        <w:adjustRightInd w:val="0"/>
        <w:ind w:firstLine="567"/>
        <w:jc w:val="center"/>
        <w:rPr>
          <w:bCs/>
          <w:sz w:val="20"/>
          <w:lang w:val="es-ES_tradnl"/>
        </w:rPr>
      </w:pPr>
    </w:p>
    <w:p w:rsidR="001E5683" w:rsidRPr="00C75C7E" w:rsidRDefault="00C76500" w:rsidP="00C76500">
      <w:pPr>
        <w:keepNext/>
        <w:widowControl w:val="0"/>
        <w:autoSpaceDE w:val="0"/>
        <w:autoSpaceDN w:val="0"/>
        <w:adjustRightInd w:val="0"/>
        <w:jc w:val="center"/>
        <w:rPr>
          <w:bCs/>
          <w:i/>
          <w:sz w:val="20"/>
          <w:lang w:val="es-ES_tradnl"/>
        </w:rPr>
      </w:pPr>
      <w:r w:rsidRPr="00C76500">
        <w:rPr>
          <w:noProof/>
          <w:lang w:val="en-US" w:eastAsia="en-US"/>
        </w:rPr>
        <w:drawing>
          <wp:inline distT="0" distB="0" distL="0" distR="0" wp14:anchorId="66F36AFE" wp14:editId="235C83B8">
            <wp:extent cx="6010275" cy="5635308"/>
            <wp:effectExtent l="0" t="0" r="0" b="381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6016491" cy="5641136"/>
                    </a:xfrm>
                    <a:prstGeom prst="rect">
                      <a:avLst/>
                    </a:prstGeom>
                    <a:noFill/>
                    <a:ln>
                      <a:noFill/>
                    </a:ln>
                  </pic:spPr>
                </pic:pic>
              </a:graphicData>
            </a:graphic>
          </wp:inline>
        </w:drawing>
      </w:r>
    </w:p>
    <w:p w:rsidR="00A80F8D" w:rsidRPr="00C75C7E" w:rsidRDefault="00A80F8D" w:rsidP="00C739DE">
      <w:pPr>
        <w:keepNext/>
        <w:widowControl w:val="0"/>
        <w:jc w:val="both"/>
        <w:rPr>
          <w:sz w:val="20"/>
          <w:lang w:val="es-ES_tradnl"/>
        </w:rPr>
      </w:pPr>
    </w:p>
    <w:p w:rsidR="00A80F8D" w:rsidRPr="00C75C7E" w:rsidRDefault="00A80F8D" w:rsidP="00A80F8D">
      <w:pPr>
        <w:widowControl w:val="0"/>
        <w:rPr>
          <w:sz w:val="16"/>
          <w:szCs w:val="16"/>
          <w:lang w:val="es-ES_tradnl"/>
        </w:rPr>
      </w:pPr>
      <w:r w:rsidRPr="00C75C7E">
        <w:rPr>
          <w:sz w:val="16"/>
          <w:szCs w:val="16"/>
          <w:lang w:val="es-ES_tradnl"/>
        </w:rPr>
        <w:t>Notas:</w:t>
      </w:r>
    </w:p>
    <w:p w:rsidR="00A80F8D" w:rsidRPr="00C75C7E" w:rsidRDefault="00A80F8D" w:rsidP="00A80F8D">
      <w:pPr>
        <w:widowControl w:val="0"/>
        <w:rPr>
          <w:sz w:val="16"/>
          <w:szCs w:val="16"/>
          <w:u w:val="single"/>
          <w:lang w:val="es-ES_tradnl"/>
        </w:rPr>
      </w:pPr>
    </w:p>
    <w:p w:rsidR="00A80F8D" w:rsidRDefault="006D3D8D" w:rsidP="00A80F8D">
      <w:pPr>
        <w:widowControl w:val="0"/>
        <w:rPr>
          <w:sz w:val="16"/>
          <w:szCs w:val="16"/>
          <w:lang w:val="es-ES_tradnl"/>
        </w:rPr>
      </w:pPr>
      <w:r>
        <w:rPr>
          <w:sz w:val="16"/>
          <w:szCs w:val="16"/>
          <w:lang w:val="es-ES_tradnl"/>
        </w:rPr>
        <w:t xml:space="preserve">1)  </w:t>
      </w:r>
      <w:r w:rsidR="00A80F8D" w:rsidRPr="00C75C7E">
        <w:rPr>
          <w:sz w:val="16"/>
          <w:szCs w:val="16"/>
          <w:lang w:val="es-ES_tradnl"/>
        </w:rPr>
        <w:t>El presupuesto aprobado de 2012/13 y el presupuesto de dicho bienio después de las transferencias se reexpresan sobre la base de la estructura de categorías de costos propuesta para 2014/15.</w:t>
      </w:r>
    </w:p>
    <w:p w:rsidR="00A80F8D" w:rsidRPr="00C75C7E" w:rsidRDefault="00A80F8D" w:rsidP="00A80F8D">
      <w:pPr>
        <w:widowControl w:val="0"/>
        <w:rPr>
          <w:sz w:val="16"/>
          <w:szCs w:val="16"/>
          <w:lang w:val="es-ES_tradnl"/>
        </w:rPr>
      </w:pPr>
    </w:p>
    <w:p w:rsidR="00A80F8D" w:rsidRDefault="00A80F8D" w:rsidP="00A80F8D">
      <w:pPr>
        <w:widowControl w:val="0"/>
        <w:rPr>
          <w:rFonts w:cs="ArialMT"/>
          <w:sz w:val="16"/>
          <w:szCs w:val="16"/>
          <w:lang w:val="es-ES_tradnl"/>
        </w:rPr>
      </w:pPr>
      <w:r>
        <w:rPr>
          <w:sz w:val="16"/>
          <w:szCs w:val="16"/>
          <w:lang w:val="es-ES_tradnl"/>
        </w:rPr>
        <w:t>2)</w:t>
      </w:r>
      <w:r w:rsidR="006D3D8D">
        <w:rPr>
          <w:sz w:val="16"/>
          <w:szCs w:val="16"/>
          <w:lang w:val="es-ES_tradnl"/>
        </w:rPr>
        <w:t xml:space="preserve">  </w:t>
      </w:r>
      <w:r w:rsidRPr="00C75C7E">
        <w:rPr>
          <w:sz w:val="16"/>
          <w:szCs w:val="16"/>
          <w:lang w:val="es-ES_tradnl"/>
        </w:rPr>
        <w:t>El presupuesto después de las transferencias refleja el presupuesto de los programas ajustado tras las transferencias efectuadas en 2012/13 en virtud del artículo 5.5 del Reglamento Financiero. Para más información sobre el presupuesto de</w:t>
      </w:r>
      <w:r w:rsidR="00D86F03">
        <w:rPr>
          <w:sz w:val="16"/>
          <w:szCs w:val="16"/>
          <w:lang w:val="es-ES_tradnl"/>
        </w:rPr>
        <w:t> </w:t>
      </w:r>
      <w:r w:rsidRPr="00C75C7E">
        <w:rPr>
          <w:sz w:val="16"/>
          <w:szCs w:val="16"/>
          <w:lang w:val="es-ES_tradnl"/>
        </w:rPr>
        <w:t xml:space="preserve">2012/13 después de las transferencias, cabe remitirse al cuadro que figura en el Anexo I (Presupuesto después de las transferencias, por programa) del presente documento y al documento WO/PBC/20/2 (Informe sobre el rendimiento de los programas en 2012).  </w:t>
      </w:r>
      <w:r w:rsidRPr="00C75C7E">
        <w:rPr>
          <w:rFonts w:cs="ArialMT"/>
          <w:sz w:val="16"/>
          <w:szCs w:val="16"/>
          <w:lang w:val="es-ES_tradnl"/>
        </w:rPr>
        <w:t xml:space="preserve">Los costos de personal del presupuesto de 2012/13 después de las transferencias representan los gastos reales efectuados hasta el 31 de marzo de 2013 y los importes presupuestados para los nueve meses restantes de 2013, sobre la base de costos estándar. </w:t>
      </w:r>
    </w:p>
    <w:p w:rsidR="00A80F8D" w:rsidRPr="00C75C7E" w:rsidRDefault="00A80F8D" w:rsidP="00A80F8D">
      <w:pPr>
        <w:widowControl w:val="0"/>
        <w:rPr>
          <w:sz w:val="16"/>
          <w:szCs w:val="16"/>
          <w:lang w:val="es-ES_tradnl"/>
        </w:rPr>
      </w:pPr>
    </w:p>
    <w:p w:rsidR="00A80F8D" w:rsidRPr="00C75C7E" w:rsidRDefault="00A80F8D" w:rsidP="00A80F8D">
      <w:pPr>
        <w:widowControl w:val="0"/>
        <w:rPr>
          <w:rStyle w:val="StyleStyleHeading3ComplexItalicLatin12ptChar"/>
          <w:lang w:val="es-ES_tradnl"/>
        </w:rPr>
      </w:pPr>
      <w:r>
        <w:rPr>
          <w:sz w:val="16"/>
          <w:szCs w:val="16"/>
          <w:lang w:val="es-ES_tradnl"/>
        </w:rPr>
        <w:t>3)</w:t>
      </w:r>
      <w:r w:rsidR="006D3D8D">
        <w:rPr>
          <w:sz w:val="16"/>
          <w:szCs w:val="16"/>
          <w:lang w:val="es-ES_tradnl"/>
        </w:rPr>
        <w:t xml:space="preserve">  </w:t>
      </w:r>
      <w:r w:rsidRPr="00C75C7E">
        <w:rPr>
          <w:sz w:val="16"/>
          <w:szCs w:val="16"/>
          <w:lang w:val="es-ES_tradnl"/>
        </w:rPr>
        <w:t>Para más información sobre los puestos del programa cabe remitirse al cuadro que figura en el Anexo II.</w:t>
      </w:r>
    </w:p>
    <w:p w:rsidR="00C739DE" w:rsidRPr="00DC4C0C" w:rsidRDefault="00A80F8D" w:rsidP="00DC4C0C">
      <w:pPr>
        <w:pStyle w:val="Heading3"/>
        <w:tabs>
          <w:tab w:val="left" w:pos="1985"/>
        </w:tabs>
        <w:rPr>
          <w:b/>
          <w:iCs/>
          <w:caps/>
          <w:u w:val="none"/>
        </w:rPr>
      </w:pPr>
      <w:r w:rsidRPr="00C75C7E">
        <w:rPr>
          <w:rStyle w:val="StyleStyleHeading3ComplexItalicLatin12ptChar"/>
          <w:lang w:val="es-ES_tradnl"/>
        </w:rPr>
        <w:br w:type="page"/>
      </w:r>
      <w:bookmarkStart w:id="54" w:name="_Toc358816703"/>
      <w:bookmarkStart w:id="55" w:name="_Toc356567765"/>
      <w:r w:rsidR="00DC4C0C" w:rsidRPr="00DC4C0C">
        <w:rPr>
          <w:b/>
          <w:iCs/>
          <w:caps/>
          <w:u w:val="none"/>
        </w:rPr>
        <w:lastRenderedPageBreak/>
        <w:t>PROGRAMA 15</w:t>
      </w:r>
      <w:r w:rsidR="00DC4C0C" w:rsidRPr="00DC4C0C">
        <w:rPr>
          <w:b/>
          <w:iCs/>
          <w:caps/>
          <w:u w:val="none"/>
        </w:rPr>
        <w:tab/>
        <w:t>SOLUCIONES OPERATIVAS PARA LAS OFICINAS DE P.I.</w:t>
      </w:r>
      <w:bookmarkEnd w:id="54"/>
    </w:p>
    <w:bookmarkEnd w:id="55"/>
    <w:p w:rsidR="00C739DE" w:rsidRPr="00DC4C0C" w:rsidRDefault="00C739DE" w:rsidP="00DC4C0C">
      <w:pPr>
        <w:pStyle w:val="BodyTextIndent"/>
        <w:widowControl w:val="0"/>
        <w:ind w:left="1985" w:hanging="1985"/>
        <w:jc w:val="both"/>
        <w:rPr>
          <w:rFonts w:ascii="Arial" w:hAnsi="Arial" w:cs="Arial"/>
          <w:sz w:val="22"/>
          <w:szCs w:val="22"/>
          <w:lang w:val="es-ES"/>
        </w:rPr>
      </w:pPr>
    </w:p>
    <w:p w:rsidR="00C739DE" w:rsidRPr="00F039C2" w:rsidRDefault="00C739DE" w:rsidP="00C739DE">
      <w:pPr>
        <w:widowControl w:val="0"/>
        <w:rPr>
          <w:b/>
          <w:sz w:val="20"/>
        </w:rPr>
      </w:pPr>
    </w:p>
    <w:p w:rsidR="00C739DE" w:rsidRPr="00757EA2" w:rsidRDefault="00C739DE" w:rsidP="00C739DE">
      <w:pPr>
        <w:pStyle w:val="BodyTextIndent"/>
        <w:widowControl w:val="0"/>
        <w:ind w:left="1985" w:hanging="1985"/>
        <w:jc w:val="both"/>
        <w:rPr>
          <w:rFonts w:ascii="Arial" w:hAnsi="Arial" w:cs="Arial"/>
          <w:sz w:val="22"/>
          <w:szCs w:val="22"/>
          <w:lang w:val="es-ES"/>
        </w:rPr>
      </w:pPr>
      <w:r w:rsidRPr="00757EA2">
        <w:rPr>
          <w:rFonts w:ascii="Arial" w:hAnsi="Arial" w:cs="Arial"/>
          <w:sz w:val="22"/>
          <w:szCs w:val="22"/>
          <w:lang w:val="es-ES"/>
        </w:rPr>
        <w:t xml:space="preserve">CONTEXTO DE PLANIFICACIÓN </w:t>
      </w:r>
    </w:p>
    <w:p w:rsidR="00C739DE" w:rsidRPr="00757EA2" w:rsidRDefault="00C739DE" w:rsidP="00C739DE">
      <w:pPr>
        <w:widowControl w:val="0"/>
        <w:rPr>
          <w:sz w:val="20"/>
        </w:rPr>
      </w:pPr>
    </w:p>
    <w:p w:rsidR="00C739DE" w:rsidRPr="00F039C2" w:rsidRDefault="00C739DE" w:rsidP="00BA276E">
      <w:pPr>
        <w:widowControl w:val="0"/>
        <w:numPr>
          <w:ilvl w:val="0"/>
          <w:numId w:val="38"/>
        </w:numPr>
        <w:shd w:val="clear" w:color="auto" w:fill="FFFFFF"/>
        <w:jc w:val="both"/>
        <w:rPr>
          <w:sz w:val="20"/>
        </w:rPr>
      </w:pPr>
      <w:r w:rsidRPr="00F039C2">
        <w:rPr>
          <w:sz w:val="20"/>
        </w:rPr>
        <w:t xml:space="preserve">Este programa constituye la base de la infraestructura mundial, en la que la arquitectura técnica del sistema de P.I. complementa la arquitectura jurídica y operativa.  Con el desarrollo de las tecnologías de la información y las comunicaciones (TIC) y la extensión de la conectividad a Internet por banda ancha a la mayoría de los países, se hace posible que todas las oficinas de P.I. ofrezcan niveles similares de servicios, </w:t>
      </w:r>
      <w:r>
        <w:rPr>
          <w:sz w:val="20"/>
        </w:rPr>
        <w:t xml:space="preserve">así como </w:t>
      </w:r>
      <w:r w:rsidRPr="00F039C2">
        <w:rPr>
          <w:sz w:val="20"/>
        </w:rPr>
        <w:t xml:space="preserve">una administración interna eficaz, tramitación de documentos por medios electrónicos y servicios </w:t>
      </w:r>
      <w:r>
        <w:rPr>
          <w:sz w:val="20"/>
        </w:rPr>
        <w:t xml:space="preserve">en Internet </w:t>
      </w:r>
      <w:r w:rsidRPr="00F039C2">
        <w:rPr>
          <w:sz w:val="20"/>
        </w:rPr>
        <w:t xml:space="preserve">para solicitantes y el público en general.  Un elemento propicio fundamental de esta infraestructura son las plataformas informáticas que ofrecen soluciones operativas para la administración de </w:t>
      </w:r>
      <w:r>
        <w:rPr>
          <w:sz w:val="20"/>
        </w:rPr>
        <w:t xml:space="preserve">las </w:t>
      </w:r>
      <w:r w:rsidRPr="00F039C2">
        <w:rPr>
          <w:sz w:val="20"/>
        </w:rPr>
        <w:t xml:space="preserve">oficinas de P.I., creación de bases de datos, intercambio de información y servicios </w:t>
      </w:r>
      <w:r>
        <w:rPr>
          <w:sz w:val="20"/>
        </w:rPr>
        <w:t>en Internet</w:t>
      </w:r>
      <w:r w:rsidRPr="00F039C2">
        <w:rPr>
          <w:sz w:val="20"/>
        </w:rPr>
        <w:t>.</w:t>
      </w:r>
    </w:p>
    <w:p w:rsidR="00C739DE" w:rsidRPr="00F039C2" w:rsidRDefault="00C739DE" w:rsidP="00C739DE">
      <w:pPr>
        <w:widowControl w:val="0"/>
        <w:shd w:val="clear" w:color="auto" w:fill="FFFFFF"/>
        <w:jc w:val="both"/>
        <w:rPr>
          <w:sz w:val="20"/>
        </w:rPr>
      </w:pPr>
    </w:p>
    <w:p w:rsidR="00C739DE" w:rsidRPr="00872D10" w:rsidRDefault="00C739DE" w:rsidP="00BA276E">
      <w:pPr>
        <w:widowControl w:val="0"/>
        <w:numPr>
          <w:ilvl w:val="0"/>
          <w:numId w:val="38"/>
        </w:numPr>
        <w:shd w:val="clear" w:color="auto" w:fill="FFFFFF"/>
        <w:jc w:val="both"/>
        <w:rPr>
          <w:sz w:val="20"/>
        </w:rPr>
      </w:pPr>
      <w:r w:rsidRPr="00872D10">
        <w:rPr>
          <w:sz w:val="20"/>
        </w:rPr>
        <w:t>El programa desempeña un papel activo en la consolidación de los procesos operativos de las oficinas de P.I. mediante la prestación de herramientas y servicios que les capacitan para participar en el sistema mundial de P.I. de forma eficaz y eficiente, y abordar las necesidades de las oficinas para que colaboren en un entorno cada vez más internacional.</w:t>
      </w:r>
    </w:p>
    <w:p w:rsidR="00C739DE" w:rsidRPr="00872D10" w:rsidRDefault="00C739DE" w:rsidP="00C739DE">
      <w:pPr>
        <w:widowControl w:val="0"/>
        <w:shd w:val="clear" w:color="auto" w:fill="FFFFFF"/>
        <w:jc w:val="both"/>
        <w:rPr>
          <w:sz w:val="20"/>
        </w:rPr>
      </w:pPr>
    </w:p>
    <w:p w:rsidR="00C739DE" w:rsidRPr="00F039C2" w:rsidRDefault="00C739DE" w:rsidP="00BA276E">
      <w:pPr>
        <w:widowControl w:val="0"/>
        <w:numPr>
          <w:ilvl w:val="0"/>
          <w:numId w:val="38"/>
        </w:numPr>
        <w:shd w:val="clear" w:color="auto" w:fill="FFFFFF"/>
        <w:jc w:val="both"/>
        <w:rPr>
          <w:sz w:val="20"/>
        </w:rPr>
      </w:pPr>
      <w:r w:rsidRPr="00872D10">
        <w:rPr>
          <w:sz w:val="20"/>
        </w:rPr>
        <w:t>Alrededor de 62 oficinas utilizan en la actualidad al menos una de las plataformas informáticas que proporciona la OMPI con el apoyo correspondiente, entre las que cabe mencionar el Sistema</w:t>
      </w:r>
      <w:r w:rsidRPr="00F039C2">
        <w:rPr>
          <w:sz w:val="20"/>
        </w:rPr>
        <w:t xml:space="preserve"> de </w:t>
      </w:r>
      <w:r w:rsidRPr="00730BC0">
        <w:rPr>
          <w:sz w:val="20"/>
        </w:rPr>
        <w:t xml:space="preserve">Automatización de la Propiedad Intelectual </w:t>
      </w:r>
      <w:r w:rsidRPr="00F039C2">
        <w:rPr>
          <w:sz w:val="20"/>
        </w:rPr>
        <w:t xml:space="preserve">(IPAS), WIPO Scan, </w:t>
      </w:r>
      <w:r>
        <w:rPr>
          <w:sz w:val="20"/>
        </w:rPr>
        <w:t xml:space="preserve">el Sistema de Gestión </w:t>
      </w:r>
      <w:r w:rsidRPr="00730BC0">
        <w:rPr>
          <w:sz w:val="20"/>
        </w:rPr>
        <w:t>Electrónica de Documentos</w:t>
      </w:r>
      <w:r>
        <w:rPr>
          <w:sz w:val="20"/>
        </w:rPr>
        <w:t xml:space="preserve"> de la OMPI</w:t>
      </w:r>
      <w:r w:rsidRPr="00F039C2">
        <w:rPr>
          <w:sz w:val="20"/>
        </w:rPr>
        <w:t xml:space="preserve"> y el Sistema de Gestión de la Propiedad Intelectual en Árabe.  </w:t>
      </w:r>
      <w:r>
        <w:rPr>
          <w:sz w:val="20"/>
        </w:rPr>
        <w:t xml:space="preserve">Cada vez hay más peticiones de </w:t>
      </w:r>
      <w:r w:rsidRPr="00F039C2">
        <w:rPr>
          <w:sz w:val="20"/>
        </w:rPr>
        <w:t xml:space="preserve">asistencia </w:t>
      </w:r>
      <w:r>
        <w:rPr>
          <w:sz w:val="20"/>
        </w:rPr>
        <w:t xml:space="preserve">de las </w:t>
      </w:r>
      <w:r w:rsidRPr="00F039C2">
        <w:rPr>
          <w:sz w:val="20"/>
        </w:rPr>
        <w:t>oficinas de P.I</w:t>
      </w:r>
      <w:r>
        <w:rPr>
          <w:sz w:val="20"/>
        </w:rPr>
        <w:t>.</w:t>
      </w:r>
      <w:r w:rsidRPr="00F039C2">
        <w:rPr>
          <w:sz w:val="20"/>
        </w:rPr>
        <w:t xml:space="preserve"> </w:t>
      </w:r>
      <w:r>
        <w:rPr>
          <w:sz w:val="20"/>
        </w:rPr>
        <w:t xml:space="preserve">en relación con sus </w:t>
      </w:r>
      <w:r w:rsidRPr="00F039C2">
        <w:rPr>
          <w:sz w:val="20"/>
        </w:rPr>
        <w:t xml:space="preserve">sistemas operativos, tanto por lo que respecta al número de oficinas como al tipo de asistencia solicitada, por ejemplo la gestión electrónica de documentos, </w:t>
      </w:r>
      <w:r w:rsidRPr="00EA1F5A">
        <w:rPr>
          <w:sz w:val="20"/>
        </w:rPr>
        <w:t xml:space="preserve">la presentación de solicitudes </w:t>
      </w:r>
      <w:r>
        <w:rPr>
          <w:sz w:val="20"/>
        </w:rPr>
        <w:t>por Internet</w:t>
      </w:r>
      <w:r w:rsidRPr="00EA1F5A">
        <w:rPr>
          <w:sz w:val="20"/>
        </w:rPr>
        <w:t xml:space="preserve"> y</w:t>
      </w:r>
      <w:r w:rsidRPr="00F039C2">
        <w:rPr>
          <w:sz w:val="20"/>
        </w:rPr>
        <w:t xml:space="preserve"> la publicación en</w:t>
      </w:r>
      <w:r>
        <w:rPr>
          <w:sz w:val="20"/>
        </w:rPr>
        <w:t xml:space="preserve"> Internet</w:t>
      </w:r>
      <w:r w:rsidRPr="00F039C2">
        <w:rPr>
          <w:sz w:val="20"/>
        </w:rPr>
        <w:t>.</w:t>
      </w:r>
    </w:p>
    <w:p w:rsidR="00C739DE" w:rsidRPr="00F039C2" w:rsidRDefault="00C739DE" w:rsidP="00C739DE">
      <w:pPr>
        <w:widowControl w:val="0"/>
        <w:shd w:val="clear" w:color="auto" w:fill="FFFFFF"/>
        <w:jc w:val="both"/>
        <w:rPr>
          <w:sz w:val="20"/>
        </w:rPr>
      </w:pPr>
    </w:p>
    <w:p w:rsidR="00C739DE" w:rsidRPr="00F039C2" w:rsidRDefault="00C739DE" w:rsidP="00BA276E">
      <w:pPr>
        <w:widowControl w:val="0"/>
        <w:numPr>
          <w:ilvl w:val="0"/>
          <w:numId w:val="38"/>
        </w:numPr>
        <w:shd w:val="clear" w:color="auto" w:fill="FFFFFF"/>
        <w:jc w:val="both"/>
        <w:rPr>
          <w:sz w:val="20"/>
        </w:rPr>
      </w:pPr>
      <w:r>
        <w:rPr>
          <w:sz w:val="20"/>
        </w:rPr>
        <w:t xml:space="preserve">El uso </w:t>
      </w:r>
      <w:r w:rsidRPr="00F039C2">
        <w:rPr>
          <w:sz w:val="20"/>
        </w:rPr>
        <w:t xml:space="preserve">de los </w:t>
      </w:r>
      <w:r w:rsidRPr="00331B3A">
        <w:rPr>
          <w:sz w:val="20"/>
        </w:rPr>
        <w:t>sistemas informáticos de la OMPI,</w:t>
      </w:r>
      <w:r w:rsidRPr="00F039C2">
        <w:rPr>
          <w:sz w:val="20"/>
        </w:rPr>
        <w:t xml:space="preserve"> incluido el desglose por región y por PMA, se muestra en el gráfico y el cuadro que figuran a continuación.</w:t>
      </w:r>
    </w:p>
    <w:p w:rsidR="00C739DE" w:rsidRPr="00F039C2" w:rsidRDefault="00C739DE" w:rsidP="00C739DE">
      <w:pPr>
        <w:widowControl w:val="0"/>
        <w:shd w:val="clear" w:color="auto" w:fill="FFFFFF"/>
        <w:jc w:val="both"/>
        <w:rPr>
          <w:sz w:val="20"/>
        </w:rPr>
      </w:pPr>
    </w:p>
    <w:p w:rsidR="001B1F22" w:rsidRDefault="00C40A11" w:rsidP="00A80F8D">
      <w:pPr>
        <w:widowControl w:val="0"/>
        <w:rPr>
          <w:bCs/>
          <w:szCs w:val="22"/>
          <w:lang w:val="es-ES_tradnl"/>
        </w:rPr>
      </w:pPr>
      <w:r>
        <w:rPr>
          <w:noProof/>
          <w:lang w:val="en-US" w:eastAsia="en-US"/>
        </w:rPr>
        <w:drawing>
          <wp:inline distT="0" distB="0" distL="0" distR="0" wp14:anchorId="00BEA7D9" wp14:editId="2D39D825">
            <wp:extent cx="5752465" cy="3336925"/>
            <wp:effectExtent l="0" t="0" r="635" b="0"/>
            <wp:docPr id="53"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5752465" cy="3336925"/>
                    </a:xfrm>
                    <a:prstGeom prst="rect">
                      <a:avLst/>
                    </a:prstGeom>
                    <a:noFill/>
                    <a:ln>
                      <a:noFill/>
                    </a:ln>
                  </pic:spPr>
                </pic:pic>
              </a:graphicData>
            </a:graphic>
          </wp:inline>
        </w:drawing>
      </w:r>
    </w:p>
    <w:p w:rsidR="001B1F22" w:rsidRDefault="001B1F22" w:rsidP="00A80F8D">
      <w:pPr>
        <w:widowControl w:val="0"/>
        <w:rPr>
          <w:bCs/>
          <w:szCs w:val="22"/>
          <w:lang w:val="es-ES_tradnl"/>
        </w:rPr>
      </w:pPr>
    </w:p>
    <w:p w:rsidR="00EA39DF" w:rsidRPr="00F039C2" w:rsidRDefault="00EA39DF" w:rsidP="00BA276E">
      <w:pPr>
        <w:widowControl w:val="0"/>
        <w:numPr>
          <w:ilvl w:val="0"/>
          <w:numId w:val="38"/>
        </w:numPr>
        <w:shd w:val="clear" w:color="auto" w:fill="FFFFFF"/>
        <w:jc w:val="both"/>
        <w:rPr>
          <w:sz w:val="20"/>
        </w:rPr>
      </w:pPr>
      <w:r w:rsidRPr="00F039C2">
        <w:rPr>
          <w:sz w:val="20"/>
        </w:rPr>
        <w:t xml:space="preserve">El Servicio de </w:t>
      </w:r>
      <w:r>
        <w:rPr>
          <w:sz w:val="20"/>
        </w:rPr>
        <w:t>A</w:t>
      </w:r>
      <w:r w:rsidRPr="00F039C2">
        <w:rPr>
          <w:sz w:val="20"/>
        </w:rPr>
        <w:t xml:space="preserve">cceso </w:t>
      </w:r>
      <w:r>
        <w:rPr>
          <w:sz w:val="20"/>
        </w:rPr>
        <w:t>D</w:t>
      </w:r>
      <w:r w:rsidRPr="00F039C2">
        <w:rPr>
          <w:sz w:val="20"/>
        </w:rPr>
        <w:t xml:space="preserve">igital (DAS) de la OMPI, creado inicialmente en 2009, se utiliza en la actualidad en 11 oficinas participantes (véase </w:t>
      </w:r>
      <w:hyperlink r:id="rId88" w:history="1">
        <w:r w:rsidR="0031376C">
          <w:rPr>
            <w:rStyle w:val="Hyperlink"/>
            <w:sz w:val="20"/>
          </w:rPr>
          <w:t>http://www.wipo.int/das</w:t>
        </w:r>
      </w:hyperlink>
      <w:r w:rsidRPr="00F039C2">
        <w:rPr>
          <w:sz w:val="20"/>
        </w:rPr>
        <w:t xml:space="preserve">). </w:t>
      </w:r>
      <w:r>
        <w:rPr>
          <w:sz w:val="20"/>
        </w:rPr>
        <w:t xml:space="preserve"> </w:t>
      </w:r>
      <w:r w:rsidRPr="00F039C2">
        <w:rPr>
          <w:sz w:val="20"/>
        </w:rPr>
        <w:t>Durante el bienio 2012/1</w:t>
      </w:r>
      <w:r>
        <w:rPr>
          <w:sz w:val="20"/>
        </w:rPr>
        <w:t>3</w:t>
      </w:r>
      <w:r w:rsidRPr="00F039C2">
        <w:rPr>
          <w:sz w:val="20"/>
        </w:rPr>
        <w:t xml:space="preserve">, se modernizó el sistema con objeto de introducir un nuevo procedimiento simplificado para el intercambio de documentos de prioridad entre las oficinas participantes, y reforzar el intercambio seguro de documentos relativos a las marcas y los </w:t>
      </w:r>
      <w:r>
        <w:rPr>
          <w:sz w:val="20"/>
        </w:rPr>
        <w:t xml:space="preserve">diseños </w:t>
      </w:r>
      <w:r w:rsidRPr="00F039C2">
        <w:rPr>
          <w:sz w:val="20"/>
        </w:rPr>
        <w:t>industriales.</w:t>
      </w:r>
    </w:p>
    <w:p w:rsidR="00EA39DF" w:rsidRPr="00F039C2" w:rsidRDefault="00EA39DF" w:rsidP="00EA39DF">
      <w:pPr>
        <w:widowControl w:val="0"/>
        <w:shd w:val="clear" w:color="auto" w:fill="FFFFFF"/>
        <w:jc w:val="both"/>
        <w:rPr>
          <w:sz w:val="20"/>
        </w:rPr>
      </w:pPr>
    </w:p>
    <w:p w:rsidR="00EA39DF" w:rsidRPr="00F039C2" w:rsidRDefault="00EA39DF" w:rsidP="00BA276E">
      <w:pPr>
        <w:widowControl w:val="0"/>
        <w:numPr>
          <w:ilvl w:val="0"/>
          <w:numId w:val="38"/>
        </w:numPr>
        <w:shd w:val="clear" w:color="auto" w:fill="FFFFFF"/>
        <w:jc w:val="both"/>
        <w:rPr>
          <w:sz w:val="20"/>
        </w:rPr>
      </w:pPr>
      <w:r w:rsidRPr="00F039C2">
        <w:rPr>
          <w:sz w:val="20"/>
        </w:rPr>
        <w:t xml:space="preserve">El sistema WIPO CASE (Acceso </w:t>
      </w:r>
      <w:r>
        <w:rPr>
          <w:sz w:val="20"/>
        </w:rPr>
        <w:t>C</w:t>
      </w:r>
      <w:r w:rsidRPr="00F039C2">
        <w:rPr>
          <w:sz w:val="20"/>
        </w:rPr>
        <w:t xml:space="preserve">entralizado a la </w:t>
      </w:r>
      <w:r>
        <w:rPr>
          <w:sz w:val="20"/>
        </w:rPr>
        <w:t>B</w:t>
      </w:r>
      <w:r w:rsidRPr="00F039C2">
        <w:rPr>
          <w:sz w:val="20"/>
        </w:rPr>
        <w:t xml:space="preserve">úsqueda y el </w:t>
      </w:r>
      <w:r>
        <w:rPr>
          <w:sz w:val="20"/>
        </w:rPr>
        <w:t>E</w:t>
      </w:r>
      <w:r w:rsidR="00D86F03">
        <w:rPr>
          <w:sz w:val="20"/>
        </w:rPr>
        <w:t>xamen) se puso en marcha en </w:t>
      </w:r>
      <w:r w:rsidRPr="00F039C2">
        <w:rPr>
          <w:sz w:val="20"/>
        </w:rPr>
        <w:t>2011 y en la actualidad se utiliza en cuatro oficinas participantes.  El sistema permite a las oficinas compartir los resultados de las búsquedas y los exámenes de las solicitudes de patentes, a fin de facilitar la labor compartiendo programas.</w:t>
      </w:r>
    </w:p>
    <w:p w:rsidR="00EA39DF" w:rsidRPr="00F039C2" w:rsidRDefault="00EA39DF" w:rsidP="00EA39DF">
      <w:pPr>
        <w:widowControl w:val="0"/>
        <w:shd w:val="clear" w:color="auto" w:fill="FFFFFF"/>
        <w:jc w:val="both"/>
        <w:rPr>
          <w:sz w:val="20"/>
        </w:rPr>
      </w:pPr>
    </w:p>
    <w:p w:rsidR="00EA39DF" w:rsidRPr="00F039C2" w:rsidRDefault="00EA39DF" w:rsidP="00BA276E">
      <w:pPr>
        <w:widowControl w:val="0"/>
        <w:numPr>
          <w:ilvl w:val="0"/>
          <w:numId w:val="38"/>
        </w:numPr>
        <w:shd w:val="clear" w:color="auto" w:fill="FFFFFF"/>
        <w:jc w:val="both"/>
        <w:rPr>
          <w:sz w:val="20"/>
        </w:rPr>
      </w:pPr>
      <w:r w:rsidRPr="00F039C2">
        <w:rPr>
          <w:sz w:val="20"/>
        </w:rPr>
        <w:t xml:space="preserve"> En el futuro, </w:t>
      </w:r>
      <w:r>
        <w:rPr>
          <w:sz w:val="20"/>
        </w:rPr>
        <w:t>el desafío al que se enfrenta e</w:t>
      </w:r>
      <w:r w:rsidRPr="00F039C2">
        <w:rPr>
          <w:sz w:val="20"/>
        </w:rPr>
        <w:t xml:space="preserve">ste programa </w:t>
      </w:r>
      <w:r>
        <w:rPr>
          <w:sz w:val="20"/>
        </w:rPr>
        <w:t xml:space="preserve">es el </w:t>
      </w:r>
      <w:r w:rsidRPr="00F039C2">
        <w:rPr>
          <w:sz w:val="20"/>
        </w:rPr>
        <w:t xml:space="preserve">de desempeñar un papel activo en la prestación de asistencia a las oficinas de P.I. para construir sus servicios basados en el conocimiento.  Se consolidará el fortalecimiento de las capacidades con el aprovechamiento de sistemas de infraestructuras técnicas, como el ya instaurado WIPO CASE para ayudar a las oficinas de P.I. a compartir conocimientos y experiencia y aumentar el nivel de servicio que ofrecen. </w:t>
      </w:r>
    </w:p>
    <w:p w:rsidR="00EA39DF" w:rsidRDefault="00EA39DF" w:rsidP="00EA39DF">
      <w:pPr>
        <w:widowControl w:val="0"/>
        <w:shd w:val="clear" w:color="auto" w:fill="FFFFFF"/>
        <w:jc w:val="both"/>
        <w:rPr>
          <w:sz w:val="20"/>
        </w:rPr>
      </w:pPr>
    </w:p>
    <w:p w:rsidR="00EA39DF" w:rsidRPr="00F039C2" w:rsidRDefault="00EA39DF" w:rsidP="00EA39DF">
      <w:pPr>
        <w:widowControl w:val="0"/>
        <w:shd w:val="clear" w:color="auto" w:fill="FFFFFF"/>
        <w:jc w:val="both"/>
        <w:rPr>
          <w:sz w:val="20"/>
        </w:rPr>
      </w:pPr>
    </w:p>
    <w:p w:rsidR="00EA39DF" w:rsidRPr="00F039C2" w:rsidRDefault="00EA39DF" w:rsidP="00EA39DF">
      <w:pPr>
        <w:widowControl w:val="0"/>
        <w:shd w:val="clear" w:color="auto" w:fill="FFFFFF"/>
        <w:jc w:val="both"/>
        <w:rPr>
          <w:sz w:val="20"/>
        </w:rPr>
      </w:pPr>
      <w:r w:rsidRPr="00F039C2">
        <w:rPr>
          <w:sz w:val="20"/>
        </w:rPr>
        <w:t>ESTRATEGIAS DE EJECUCIÓN</w:t>
      </w:r>
    </w:p>
    <w:p w:rsidR="00EA39DF" w:rsidRPr="00F039C2" w:rsidRDefault="00EA39DF" w:rsidP="00EA39DF">
      <w:pPr>
        <w:widowControl w:val="0"/>
        <w:shd w:val="clear" w:color="auto" w:fill="FFFFFF"/>
        <w:jc w:val="both"/>
        <w:rPr>
          <w:sz w:val="20"/>
        </w:rPr>
      </w:pPr>
    </w:p>
    <w:p w:rsidR="00EA39DF" w:rsidRPr="00CA3895" w:rsidRDefault="00EA39DF" w:rsidP="00BA276E">
      <w:pPr>
        <w:widowControl w:val="0"/>
        <w:numPr>
          <w:ilvl w:val="0"/>
          <w:numId w:val="38"/>
        </w:numPr>
        <w:shd w:val="clear" w:color="auto" w:fill="FFFFFF"/>
        <w:jc w:val="both"/>
        <w:rPr>
          <w:sz w:val="20"/>
        </w:rPr>
      </w:pPr>
      <w:r w:rsidRPr="00F039C2">
        <w:rPr>
          <w:sz w:val="20"/>
        </w:rPr>
        <w:t xml:space="preserve">Para el bienio 2014/15, las principales estrategias de ejecución responderán a las recomendaciones de la A.D. sobre asistencia técnica y fortalecimiento de las capacidades, así como </w:t>
      </w:r>
      <w:r w:rsidRPr="00CA3895">
        <w:rPr>
          <w:sz w:val="20"/>
        </w:rPr>
        <w:t>el acceso a los conocimientos, y se centrarán en lo siguiente:</w:t>
      </w:r>
    </w:p>
    <w:p w:rsidR="00EA39DF" w:rsidRPr="00CA3895" w:rsidRDefault="00EA39DF" w:rsidP="00EA39DF">
      <w:pPr>
        <w:widowControl w:val="0"/>
        <w:shd w:val="clear" w:color="auto" w:fill="FFFFFF"/>
        <w:jc w:val="both"/>
        <w:rPr>
          <w:sz w:val="20"/>
        </w:rPr>
      </w:pPr>
    </w:p>
    <w:p w:rsidR="00EA39DF" w:rsidRPr="00F039C2" w:rsidRDefault="00EA39DF" w:rsidP="0031376C">
      <w:pPr>
        <w:widowControl w:val="0"/>
        <w:numPr>
          <w:ilvl w:val="0"/>
          <w:numId w:val="39"/>
        </w:numPr>
        <w:shd w:val="clear" w:color="auto" w:fill="FFFFFF"/>
        <w:tabs>
          <w:tab w:val="clear" w:pos="360"/>
          <w:tab w:val="left" w:pos="1100"/>
        </w:tabs>
        <w:spacing w:after="120"/>
        <w:ind w:left="1100" w:hanging="550"/>
        <w:jc w:val="both"/>
        <w:rPr>
          <w:sz w:val="20"/>
          <w:u w:val="single"/>
        </w:rPr>
      </w:pPr>
      <w:r w:rsidRPr="00F039C2">
        <w:rPr>
          <w:sz w:val="20"/>
          <w:u w:val="single"/>
        </w:rPr>
        <w:t xml:space="preserve">Modelo revisado de asistencia técnica – hacia un modelo de proveedor de servicios; </w:t>
      </w:r>
    </w:p>
    <w:p w:rsidR="00EA39DF" w:rsidRPr="00F039C2" w:rsidRDefault="00EA39DF" w:rsidP="0031376C">
      <w:pPr>
        <w:widowControl w:val="0"/>
        <w:shd w:val="clear" w:color="auto" w:fill="FFFFFF"/>
        <w:spacing w:after="120"/>
        <w:ind w:left="1100"/>
        <w:jc w:val="both"/>
        <w:rPr>
          <w:sz w:val="20"/>
        </w:rPr>
      </w:pPr>
      <w:r>
        <w:rPr>
          <w:sz w:val="20"/>
        </w:rPr>
        <w:t>E</w:t>
      </w:r>
      <w:r w:rsidRPr="00F039C2">
        <w:rPr>
          <w:sz w:val="20"/>
        </w:rPr>
        <w:t xml:space="preserve">l modelo operativo del programa </w:t>
      </w:r>
      <w:r>
        <w:rPr>
          <w:sz w:val="20"/>
        </w:rPr>
        <w:t xml:space="preserve">tendrá que adaptarse </w:t>
      </w:r>
      <w:r w:rsidRPr="00F039C2">
        <w:rPr>
          <w:sz w:val="20"/>
        </w:rPr>
        <w:t>para centr</w:t>
      </w:r>
      <w:r>
        <w:rPr>
          <w:sz w:val="20"/>
        </w:rPr>
        <w:t>ar su atención</w:t>
      </w:r>
      <w:r w:rsidRPr="00F039C2">
        <w:rPr>
          <w:sz w:val="20"/>
        </w:rPr>
        <w:t xml:space="preserve"> en la creación y el correspondiente apoyo de productos informáticos que se </w:t>
      </w:r>
      <w:r>
        <w:rPr>
          <w:sz w:val="20"/>
        </w:rPr>
        <w:t xml:space="preserve">utilizan </w:t>
      </w:r>
      <w:r w:rsidRPr="00F039C2">
        <w:rPr>
          <w:sz w:val="20"/>
        </w:rPr>
        <w:t xml:space="preserve">en las oficinas.  Al facilitar </w:t>
      </w:r>
      <w:r>
        <w:rPr>
          <w:sz w:val="20"/>
        </w:rPr>
        <w:t xml:space="preserve">paquetes </w:t>
      </w:r>
      <w:r w:rsidRPr="00F039C2">
        <w:rPr>
          <w:sz w:val="20"/>
        </w:rPr>
        <w:t xml:space="preserve">de programas informáticos normalizados en apoyo de los procesos operativos de las oficinas de P.I., el programa contribuye en gran manera a reducir los costos de la puesta en marcha de dichos sistemas.  A la vez, el hecho de que las oficinas dependan de estos </w:t>
      </w:r>
      <w:r>
        <w:rPr>
          <w:sz w:val="20"/>
        </w:rPr>
        <w:t xml:space="preserve">paquetes </w:t>
      </w:r>
      <w:r w:rsidRPr="00F039C2">
        <w:rPr>
          <w:sz w:val="20"/>
        </w:rPr>
        <w:t>informáticos exige un apoyo continuo y la prestación del servicio a los niveles previstos.  Tendrán que seguir mejorándose los procedimientos oficiales de apoyo y los niveles de servicio</w:t>
      </w:r>
      <w:r w:rsidR="0031376C">
        <w:rPr>
          <w:sz w:val="20"/>
        </w:rPr>
        <w:t>, mediante la creación de un coordinador o un centro de asistencia al usuario en cada región</w:t>
      </w:r>
      <w:r w:rsidRPr="00F039C2">
        <w:rPr>
          <w:sz w:val="20"/>
        </w:rPr>
        <w:t xml:space="preserve">. </w:t>
      </w:r>
    </w:p>
    <w:p w:rsidR="00EA39DF" w:rsidRPr="00F039C2" w:rsidRDefault="00EA39DF" w:rsidP="0031376C">
      <w:pPr>
        <w:widowControl w:val="0"/>
        <w:shd w:val="clear" w:color="auto" w:fill="FFFFFF"/>
        <w:spacing w:after="120"/>
        <w:ind w:left="1100"/>
        <w:jc w:val="both"/>
        <w:rPr>
          <w:sz w:val="20"/>
        </w:rPr>
      </w:pPr>
      <w:r w:rsidRPr="00F039C2">
        <w:rPr>
          <w:sz w:val="20"/>
        </w:rPr>
        <w:t xml:space="preserve">Además, el apoyo durante la puesta en marcha y el seguimiento posterior tiene que centrarse cada vez más en conseguir que las oficinas asuman como propios los sistemas con objeto de liberar recursos para concentrarse en la transferencia de conocimientos y en el apoyo efectivo continuado.  </w:t>
      </w:r>
      <w:r>
        <w:rPr>
          <w:sz w:val="20"/>
        </w:rPr>
        <w:t xml:space="preserve">Cuando sea </w:t>
      </w:r>
      <w:r w:rsidRPr="00F039C2">
        <w:rPr>
          <w:sz w:val="20"/>
        </w:rPr>
        <w:t xml:space="preserve">posible, se mejorará la transferencia de conocimientos a través de actividades regionales de formación. </w:t>
      </w:r>
    </w:p>
    <w:p w:rsidR="00EA39DF" w:rsidRPr="00F039C2" w:rsidRDefault="00EA39DF" w:rsidP="0031376C">
      <w:pPr>
        <w:widowControl w:val="0"/>
        <w:numPr>
          <w:ilvl w:val="0"/>
          <w:numId w:val="39"/>
        </w:numPr>
        <w:shd w:val="clear" w:color="auto" w:fill="FFFFFF"/>
        <w:tabs>
          <w:tab w:val="clear" w:pos="360"/>
          <w:tab w:val="left" w:pos="1100"/>
        </w:tabs>
        <w:spacing w:after="120"/>
        <w:ind w:left="1100" w:hanging="550"/>
        <w:jc w:val="both"/>
        <w:rPr>
          <w:sz w:val="20"/>
          <w:u w:val="single"/>
        </w:rPr>
      </w:pPr>
      <w:r w:rsidRPr="00F039C2">
        <w:rPr>
          <w:sz w:val="20"/>
          <w:u w:val="single"/>
        </w:rPr>
        <w:t>Mejora de la estructura de apoyo basada en las oficinas de la OMPI en el exterior:</w:t>
      </w:r>
    </w:p>
    <w:p w:rsidR="00EA39DF" w:rsidRPr="00F039C2" w:rsidRDefault="00EA39DF" w:rsidP="0031376C">
      <w:pPr>
        <w:widowControl w:val="0"/>
        <w:shd w:val="clear" w:color="auto" w:fill="FFFFFF"/>
        <w:spacing w:after="120"/>
        <w:ind w:left="1100"/>
        <w:jc w:val="both"/>
        <w:rPr>
          <w:sz w:val="20"/>
        </w:rPr>
      </w:pPr>
      <w:r w:rsidRPr="00F039C2">
        <w:rPr>
          <w:sz w:val="20"/>
        </w:rPr>
        <w:t xml:space="preserve">La puesta en marcha y </w:t>
      </w:r>
      <w:r>
        <w:rPr>
          <w:sz w:val="20"/>
        </w:rPr>
        <w:t xml:space="preserve">el </w:t>
      </w:r>
      <w:r w:rsidRPr="00F039C2">
        <w:rPr>
          <w:sz w:val="20"/>
        </w:rPr>
        <w:t xml:space="preserve">apoyo </w:t>
      </w:r>
      <w:r>
        <w:rPr>
          <w:sz w:val="20"/>
        </w:rPr>
        <w:t xml:space="preserve">corren a cargo </w:t>
      </w:r>
      <w:r w:rsidRPr="00F039C2">
        <w:rPr>
          <w:sz w:val="20"/>
        </w:rPr>
        <w:t xml:space="preserve">en la actualidad de </w:t>
      </w:r>
      <w:r>
        <w:rPr>
          <w:sz w:val="20"/>
        </w:rPr>
        <w:t xml:space="preserve">una combinación de </w:t>
      </w:r>
      <w:r w:rsidRPr="00F039C2">
        <w:rPr>
          <w:sz w:val="20"/>
        </w:rPr>
        <w:t>personal de Ginebra y de expertos regionales.  En el bienio 2014/15, las oficinas de la OMPI en el exterior pasarán a ser gradualmente el centro de las actividades de apoyo</w:t>
      </w:r>
      <w:r>
        <w:rPr>
          <w:sz w:val="20"/>
        </w:rPr>
        <w:t xml:space="preserve"> en sus respectivas regiones. </w:t>
      </w:r>
    </w:p>
    <w:p w:rsidR="00EA39DF" w:rsidRPr="00F039C2" w:rsidRDefault="00EA39DF" w:rsidP="0031376C">
      <w:pPr>
        <w:widowControl w:val="0"/>
        <w:numPr>
          <w:ilvl w:val="0"/>
          <w:numId w:val="39"/>
        </w:numPr>
        <w:shd w:val="clear" w:color="auto" w:fill="FFFFFF"/>
        <w:tabs>
          <w:tab w:val="clear" w:pos="360"/>
          <w:tab w:val="left" w:pos="1100"/>
        </w:tabs>
        <w:spacing w:after="120"/>
        <w:ind w:left="1100" w:hanging="550"/>
        <w:jc w:val="both"/>
        <w:rPr>
          <w:sz w:val="20"/>
          <w:u w:val="single"/>
        </w:rPr>
      </w:pPr>
      <w:r w:rsidRPr="00F039C2">
        <w:rPr>
          <w:sz w:val="20"/>
          <w:u w:val="single"/>
        </w:rPr>
        <w:t>Integración de las oficinas de P.I. en redes y bases de datos mundiales</w:t>
      </w:r>
    </w:p>
    <w:p w:rsidR="00EA39DF" w:rsidRPr="00F039C2" w:rsidRDefault="00EA39DF" w:rsidP="0031376C">
      <w:pPr>
        <w:widowControl w:val="0"/>
        <w:shd w:val="clear" w:color="auto" w:fill="FFFFFF"/>
        <w:spacing w:after="120"/>
        <w:ind w:left="1100"/>
        <w:jc w:val="both"/>
        <w:rPr>
          <w:sz w:val="20"/>
        </w:rPr>
      </w:pPr>
      <w:r w:rsidRPr="00F039C2">
        <w:rPr>
          <w:sz w:val="20"/>
        </w:rPr>
        <w:t xml:space="preserve">El proyecto WIPO CASE ha hecho posible un sistema de trabajo para el intercambio de resultados de búsquedas y exámenes de patentes en apoyo del intercambio de trabajo.  Otros sistemas de ese tipo, como el </w:t>
      </w:r>
      <w:r w:rsidRPr="000302BA">
        <w:rPr>
          <w:sz w:val="20"/>
        </w:rPr>
        <w:t xml:space="preserve">sistema </w:t>
      </w:r>
      <w:r w:rsidRPr="00797491">
        <w:rPr>
          <w:i/>
          <w:sz w:val="20"/>
        </w:rPr>
        <w:t>One Portal Dossier</w:t>
      </w:r>
      <w:r>
        <w:rPr>
          <w:sz w:val="20"/>
        </w:rPr>
        <w:t xml:space="preserve"> </w:t>
      </w:r>
      <w:r w:rsidRPr="00F039C2">
        <w:rPr>
          <w:sz w:val="20"/>
        </w:rPr>
        <w:t xml:space="preserve">(OPD), elaborado por cinco oficinas de patentes, tienen objetivos similares.  Hay también iniciativas como el </w:t>
      </w:r>
      <w:r w:rsidRPr="00797491">
        <w:rPr>
          <w:i/>
          <w:sz w:val="20"/>
        </w:rPr>
        <w:t>Global Dossier</w:t>
      </w:r>
      <w:r w:rsidRPr="00F039C2">
        <w:rPr>
          <w:sz w:val="20"/>
        </w:rPr>
        <w:t xml:space="preserve">, que tiene por objeto integrar los sistemas de </w:t>
      </w:r>
      <w:r>
        <w:rPr>
          <w:sz w:val="20"/>
        </w:rPr>
        <w:t xml:space="preserve">varias </w:t>
      </w:r>
      <w:r w:rsidRPr="00F039C2">
        <w:rPr>
          <w:sz w:val="20"/>
        </w:rPr>
        <w:t xml:space="preserve">oficinas de P.I. para fomentar un mejor intercambio de información y servicios integrados para los solicitantes de patentes en </w:t>
      </w:r>
      <w:r>
        <w:rPr>
          <w:sz w:val="20"/>
        </w:rPr>
        <w:t>todo el mundo</w:t>
      </w:r>
      <w:r w:rsidRPr="00F039C2">
        <w:rPr>
          <w:sz w:val="20"/>
        </w:rPr>
        <w:t>.</w:t>
      </w:r>
    </w:p>
    <w:p w:rsidR="00EA39DF" w:rsidRPr="00F039C2" w:rsidRDefault="00347DCE" w:rsidP="0031376C">
      <w:pPr>
        <w:widowControl w:val="0"/>
        <w:shd w:val="clear" w:color="auto" w:fill="FFFFFF"/>
        <w:spacing w:after="120"/>
        <w:ind w:left="1100"/>
        <w:jc w:val="both"/>
        <w:rPr>
          <w:sz w:val="20"/>
        </w:rPr>
      </w:pPr>
      <w:r>
        <w:rPr>
          <w:sz w:val="20"/>
        </w:rPr>
        <w:t>Se llevará a cabo u</w:t>
      </w:r>
      <w:r w:rsidR="0031376C">
        <w:rPr>
          <w:sz w:val="20"/>
        </w:rPr>
        <w:t xml:space="preserve">n proyecto piloto para investigar la viabilidad técnica de vincular </w:t>
      </w:r>
      <w:r w:rsidR="00EA39DF" w:rsidRPr="00F039C2">
        <w:rPr>
          <w:sz w:val="20"/>
        </w:rPr>
        <w:t>el sistema WIPO CASE</w:t>
      </w:r>
      <w:r w:rsidR="0031376C">
        <w:rPr>
          <w:sz w:val="20"/>
        </w:rPr>
        <w:t xml:space="preserve"> con sistemas de esa índole de las Oficinas de P.I. interesadas</w:t>
      </w:r>
      <w:r>
        <w:rPr>
          <w:sz w:val="20"/>
        </w:rPr>
        <w:t xml:space="preserve">, como respuesta </w:t>
      </w:r>
      <w:r w:rsidR="0031376C">
        <w:rPr>
          <w:sz w:val="20"/>
        </w:rPr>
        <w:t>a las peticiones de más oficinas en</w:t>
      </w:r>
      <w:r w:rsidR="00EA39DF" w:rsidRPr="00F039C2">
        <w:rPr>
          <w:sz w:val="20"/>
        </w:rPr>
        <w:t xml:space="preserve"> más regiones, en particular oficinas pequeñas y medianas</w:t>
      </w:r>
      <w:r>
        <w:rPr>
          <w:sz w:val="20"/>
        </w:rPr>
        <w:t>, de disponer de una plataforma en línea, multilateral y compatible, para acceder e intercambiar documentación relativa a la búsqueda y al examen así como al expediente</w:t>
      </w:r>
      <w:r w:rsidR="00EA39DF" w:rsidRPr="00F039C2">
        <w:rPr>
          <w:sz w:val="20"/>
        </w:rPr>
        <w:t>.  Ello se llevará a cabo en colaboraci</w:t>
      </w:r>
      <w:r>
        <w:rPr>
          <w:sz w:val="20"/>
        </w:rPr>
        <w:t>ón con las oficinas que dirigen</w:t>
      </w:r>
      <w:r w:rsidR="00EA39DF" w:rsidRPr="00F039C2">
        <w:rPr>
          <w:sz w:val="20"/>
        </w:rPr>
        <w:t xml:space="preserve"> las iniciativas OPD y </w:t>
      </w:r>
      <w:r w:rsidR="00EA39DF" w:rsidRPr="00797491">
        <w:rPr>
          <w:i/>
          <w:sz w:val="20"/>
        </w:rPr>
        <w:t>Global Dossier</w:t>
      </w:r>
      <w:r>
        <w:rPr>
          <w:sz w:val="20"/>
        </w:rPr>
        <w:t xml:space="preserve"> así como cualquier otra oficina interesada en el proyecto piloto</w:t>
      </w:r>
      <w:r w:rsidR="00EA39DF" w:rsidRPr="00F039C2">
        <w:rPr>
          <w:sz w:val="20"/>
        </w:rPr>
        <w:t xml:space="preserve">.  Se elaborarán herramientas y servicios adicionales, que se pondrán a disposición de las oficinas pequeñas y medianas, lo que les permitirá participar con eficacia en la red </w:t>
      </w:r>
      <w:r w:rsidR="00EA39DF" w:rsidRPr="00797491">
        <w:rPr>
          <w:i/>
          <w:sz w:val="20"/>
        </w:rPr>
        <w:t>Global Dossier</w:t>
      </w:r>
      <w:r w:rsidR="00EA39DF" w:rsidRPr="00F039C2">
        <w:rPr>
          <w:sz w:val="20"/>
        </w:rPr>
        <w:t xml:space="preserve">.  </w:t>
      </w:r>
    </w:p>
    <w:p w:rsidR="00EA39DF" w:rsidRPr="00CA3895" w:rsidRDefault="00EA39DF" w:rsidP="0031376C">
      <w:pPr>
        <w:widowControl w:val="0"/>
        <w:numPr>
          <w:ilvl w:val="0"/>
          <w:numId w:val="39"/>
        </w:numPr>
        <w:shd w:val="clear" w:color="auto" w:fill="FFFFFF"/>
        <w:tabs>
          <w:tab w:val="clear" w:pos="360"/>
          <w:tab w:val="left" w:pos="1100"/>
        </w:tabs>
        <w:spacing w:after="120"/>
        <w:ind w:left="1100" w:hanging="550"/>
        <w:jc w:val="both"/>
        <w:rPr>
          <w:sz w:val="20"/>
          <w:u w:val="single"/>
        </w:rPr>
      </w:pPr>
      <w:r w:rsidRPr="00F039C2">
        <w:rPr>
          <w:sz w:val="20"/>
          <w:u w:val="single"/>
        </w:rPr>
        <w:lastRenderedPageBreak/>
        <w:t xml:space="preserve">Creación de plataformas regionales e internacionales </w:t>
      </w:r>
      <w:r>
        <w:rPr>
          <w:sz w:val="20"/>
          <w:u w:val="single"/>
        </w:rPr>
        <w:t xml:space="preserve">en apoyo de </w:t>
      </w:r>
      <w:r w:rsidRPr="00F039C2">
        <w:rPr>
          <w:sz w:val="20"/>
          <w:u w:val="single"/>
        </w:rPr>
        <w:t xml:space="preserve">los organismos de </w:t>
      </w:r>
      <w:r w:rsidRPr="00CA3895">
        <w:rPr>
          <w:sz w:val="20"/>
          <w:u w:val="single"/>
        </w:rPr>
        <w:t>gestión colectiva.</w:t>
      </w:r>
    </w:p>
    <w:p w:rsidR="00EA39DF" w:rsidRPr="00CA3895" w:rsidRDefault="00EA39DF" w:rsidP="00EA39DF">
      <w:pPr>
        <w:widowControl w:val="0"/>
        <w:shd w:val="clear" w:color="auto" w:fill="FFFFFF"/>
        <w:tabs>
          <w:tab w:val="left" w:pos="1100"/>
        </w:tabs>
        <w:jc w:val="both"/>
        <w:rPr>
          <w:sz w:val="20"/>
          <w:u w:val="single"/>
        </w:rPr>
      </w:pPr>
    </w:p>
    <w:p w:rsidR="00EA39DF" w:rsidRPr="00F039C2" w:rsidRDefault="00EA39DF" w:rsidP="0031376C">
      <w:pPr>
        <w:keepLines/>
        <w:widowControl w:val="0"/>
        <w:numPr>
          <w:ilvl w:val="0"/>
          <w:numId w:val="38"/>
        </w:numPr>
        <w:shd w:val="clear" w:color="auto" w:fill="FFFFFF"/>
        <w:jc w:val="both"/>
        <w:rPr>
          <w:sz w:val="20"/>
        </w:rPr>
      </w:pPr>
      <w:r w:rsidRPr="00F039C2">
        <w:rPr>
          <w:sz w:val="20"/>
        </w:rPr>
        <w:t>Una nueva estrategia para 2014/15 consistirá en aplicar los conocimientos y competencias acumulados del programa al funcionamiento de los organismos de gestión colectiva (OGC).  Los OGC, especialment</w:t>
      </w:r>
      <w:r>
        <w:rPr>
          <w:sz w:val="20"/>
        </w:rPr>
        <w:t>e</w:t>
      </w:r>
      <w:r w:rsidRPr="00F039C2">
        <w:rPr>
          <w:sz w:val="20"/>
        </w:rPr>
        <w:t xml:space="preserve"> en los PMA y en países con bajos ingresos, requieren asistencia para gestionar la recaudación y distribución de regalías a los compositores, músicos, intérpretes y otros titulares de derechos </w:t>
      </w:r>
      <w:r>
        <w:rPr>
          <w:sz w:val="20"/>
        </w:rPr>
        <w:t xml:space="preserve">del país </w:t>
      </w:r>
      <w:r w:rsidRPr="00F039C2">
        <w:rPr>
          <w:sz w:val="20"/>
        </w:rPr>
        <w:t xml:space="preserve">con objeto de garantizar ganancias justas por el uso de sus creaciones.  A tal fin, se elaborará y pondrá en marcha una nueva plataforma informática, integrada en las redes regionales y mundiales.  En la ejecución de este proyecto, </w:t>
      </w:r>
      <w:r>
        <w:rPr>
          <w:sz w:val="20"/>
        </w:rPr>
        <w:t>habrá una colaboración estrecha d</w:t>
      </w:r>
      <w:r w:rsidRPr="00F039C2">
        <w:rPr>
          <w:sz w:val="20"/>
        </w:rPr>
        <w:t xml:space="preserve">el programa con el programa 3 (Derecho de autor y derechos conexos), en el que se aborda plenamente la cuestión. </w:t>
      </w:r>
    </w:p>
    <w:p w:rsidR="00EA39DF" w:rsidRPr="00F039C2" w:rsidRDefault="00EA39DF" w:rsidP="00EA39DF">
      <w:pPr>
        <w:widowControl w:val="0"/>
        <w:shd w:val="clear" w:color="auto" w:fill="FFFFFF"/>
        <w:jc w:val="both"/>
        <w:rPr>
          <w:sz w:val="20"/>
        </w:rPr>
      </w:pPr>
    </w:p>
    <w:p w:rsidR="00EA39DF" w:rsidRPr="00F039C2" w:rsidRDefault="00EA39DF" w:rsidP="00BA276E">
      <w:pPr>
        <w:widowControl w:val="0"/>
        <w:numPr>
          <w:ilvl w:val="0"/>
          <w:numId w:val="38"/>
        </w:numPr>
        <w:shd w:val="clear" w:color="auto" w:fill="FFFFFF"/>
        <w:jc w:val="both"/>
        <w:rPr>
          <w:sz w:val="20"/>
        </w:rPr>
      </w:pPr>
      <w:r w:rsidRPr="00DC4C0C">
        <w:rPr>
          <w:sz w:val="20"/>
        </w:rPr>
        <w:t>Además, continuará la colaboración estrecha con el programa 5 (Sistema del PCT), el programa</w:t>
      </w:r>
      <w:r w:rsidR="00D86F03">
        <w:rPr>
          <w:sz w:val="20"/>
        </w:rPr>
        <w:t> </w:t>
      </w:r>
      <w:r w:rsidRPr="00F039C2">
        <w:rPr>
          <w:sz w:val="20"/>
        </w:rPr>
        <w:t>6 (Sistemas de Madrid y de Lisboa), el programa 8 (Coordinación de la Agenda para el Desarrollo), el programa 9 (Países africanos, árabes, de América Latina y el Caribe, de Asia y el Pacífico y países menos adelantados), el programa 10 (Cooperación con determinados países de Europa y Asia), el programa 14 (Servicios de acceso a los conocimientos), el programa 25 (Tecnologías de la información y de las comunicaciones) y el programa 31 (Sistema de La Haya).  En el ámbito exterior, a través del programa se cooperará con organizaciones de P.I. pertinentes regionales y nacionales a los efectos de coordinar y compartir la información, organizar conjuntamente actividades y establecer posibles acuerdos de financiación.  Seguirá analizándose la posibilidad de colaborar con otras organizaciones pertinentes y posibles socios.</w:t>
      </w:r>
    </w:p>
    <w:p w:rsidR="00EA39DF" w:rsidRPr="00F039C2" w:rsidRDefault="00EA39DF" w:rsidP="00EA39DF">
      <w:pPr>
        <w:widowControl w:val="0"/>
        <w:shd w:val="clear" w:color="auto" w:fill="FFFFFF"/>
        <w:jc w:val="both"/>
        <w:rPr>
          <w:sz w:val="20"/>
        </w:rPr>
      </w:pPr>
    </w:p>
    <w:p w:rsidR="001B1F22" w:rsidRPr="00EA39DF" w:rsidRDefault="001B1F22" w:rsidP="00A80F8D">
      <w:pPr>
        <w:widowControl w:val="0"/>
        <w:rPr>
          <w:bCs/>
          <w:szCs w:val="22"/>
        </w:rPr>
      </w:pPr>
    </w:p>
    <w:p w:rsidR="00A80F8D" w:rsidRPr="00C75C7E" w:rsidRDefault="00A80F8D" w:rsidP="00A80F8D">
      <w:pPr>
        <w:widowControl w:val="0"/>
        <w:rPr>
          <w:bCs/>
          <w:szCs w:val="22"/>
          <w:lang w:val="es-ES_tradnl"/>
        </w:rPr>
      </w:pPr>
      <w:r w:rsidRPr="00C75C7E">
        <w:rPr>
          <w:bCs/>
          <w:szCs w:val="22"/>
          <w:lang w:val="es-ES_tradnl"/>
        </w:rPr>
        <w:t xml:space="preserve">PRINCIPALES RIESGOS Y ESTRATEGIAS DE MITIGACIÓN  </w:t>
      </w:r>
    </w:p>
    <w:p w:rsidR="001B1F22" w:rsidRPr="00C75C7E" w:rsidRDefault="001B1F22" w:rsidP="00A80F8D">
      <w:pPr>
        <w:widowControl w:val="0"/>
        <w:tabs>
          <w:tab w:val="num" w:pos="709"/>
        </w:tabs>
        <w:rPr>
          <w:bCs/>
          <w:szCs w:val="22"/>
          <w:lang w:val="es-ES_tradnl"/>
        </w:rPr>
      </w:pPr>
    </w:p>
    <w:tbl>
      <w:tblPr>
        <w:tblW w:w="0" w:type="auto"/>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400"/>
        <w:gridCol w:w="4969"/>
      </w:tblGrid>
      <w:tr w:rsidR="00A80F8D" w:rsidRPr="00C75C7E" w:rsidTr="00347DCE">
        <w:trPr>
          <w:trHeight w:val="437"/>
          <w:tblHeader/>
        </w:trPr>
        <w:tc>
          <w:tcPr>
            <w:tcW w:w="4400" w:type="dxa"/>
            <w:tcBorders>
              <w:top w:val="single" w:sz="4" w:space="0" w:color="auto"/>
              <w:bottom w:val="single" w:sz="4" w:space="0" w:color="auto"/>
            </w:tcBorders>
            <w:shd w:val="clear" w:color="auto" w:fill="CCFFFF"/>
            <w:tcMar>
              <w:top w:w="113" w:type="dxa"/>
              <w:bottom w:w="85" w:type="dxa"/>
            </w:tcMar>
            <w:vAlign w:val="center"/>
          </w:tcPr>
          <w:p w:rsidR="00A80F8D" w:rsidRPr="00C75C7E" w:rsidRDefault="00A80F8D" w:rsidP="008F4F69">
            <w:pPr>
              <w:widowControl w:val="0"/>
              <w:autoSpaceDE w:val="0"/>
              <w:autoSpaceDN w:val="0"/>
              <w:adjustRightInd w:val="0"/>
              <w:ind w:right="-59"/>
              <w:jc w:val="center"/>
              <w:rPr>
                <w:b/>
                <w:bCs/>
                <w:iCs/>
                <w:sz w:val="18"/>
                <w:szCs w:val="18"/>
                <w:lang w:val="es-ES_tradnl"/>
              </w:rPr>
            </w:pPr>
            <w:r w:rsidRPr="00C75C7E">
              <w:rPr>
                <w:b/>
                <w:bCs/>
                <w:iCs/>
                <w:sz w:val="18"/>
                <w:szCs w:val="18"/>
                <w:lang w:val="es-ES_tradnl"/>
              </w:rPr>
              <w:t>Riesgos en el logro de los resultados del programa</w:t>
            </w:r>
          </w:p>
        </w:tc>
        <w:tc>
          <w:tcPr>
            <w:tcW w:w="4969" w:type="dxa"/>
            <w:tcBorders>
              <w:top w:val="single" w:sz="4" w:space="0" w:color="auto"/>
              <w:bottom w:val="single" w:sz="4" w:space="0" w:color="auto"/>
            </w:tcBorders>
            <w:shd w:val="clear" w:color="auto" w:fill="CCFFFF"/>
            <w:tcMar>
              <w:top w:w="113" w:type="dxa"/>
              <w:bottom w:w="85" w:type="dxa"/>
            </w:tcMar>
            <w:vAlign w:val="center"/>
          </w:tcPr>
          <w:p w:rsidR="00A80F8D" w:rsidRPr="00C75C7E" w:rsidRDefault="00A80F8D" w:rsidP="00347DCE">
            <w:pPr>
              <w:widowControl w:val="0"/>
              <w:autoSpaceDE w:val="0"/>
              <w:autoSpaceDN w:val="0"/>
              <w:adjustRightInd w:val="0"/>
              <w:ind w:right="-59"/>
              <w:rPr>
                <w:b/>
                <w:bCs/>
                <w:iCs/>
                <w:sz w:val="18"/>
                <w:szCs w:val="18"/>
                <w:lang w:val="es-ES_tradnl"/>
              </w:rPr>
            </w:pPr>
            <w:r w:rsidRPr="00C75C7E">
              <w:rPr>
                <w:b/>
                <w:bCs/>
                <w:iCs/>
                <w:sz w:val="18"/>
                <w:szCs w:val="18"/>
                <w:lang w:val="es-ES_tradnl"/>
              </w:rPr>
              <w:t>Planes de mitigación ejecutados o en ejecución</w:t>
            </w:r>
          </w:p>
        </w:tc>
      </w:tr>
      <w:tr w:rsidR="00A80F8D" w:rsidRPr="00C75C7E" w:rsidTr="00347DCE">
        <w:trPr>
          <w:trHeight w:val="1051"/>
        </w:trPr>
        <w:tc>
          <w:tcPr>
            <w:tcW w:w="4400" w:type="dxa"/>
            <w:tcBorders>
              <w:top w:val="single" w:sz="4" w:space="0" w:color="auto"/>
            </w:tcBorders>
            <w:shd w:val="clear" w:color="auto" w:fill="auto"/>
            <w:tcMar>
              <w:top w:w="113" w:type="dxa"/>
              <w:bottom w:w="85" w:type="dxa"/>
            </w:tcMar>
          </w:tcPr>
          <w:p w:rsidR="00A80F8D" w:rsidRPr="00C75C7E" w:rsidRDefault="00A80F8D" w:rsidP="008F4F69">
            <w:pPr>
              <w:widowControl w:val="0"/>
              <w:rPr>
                <w:sz w:val="16"/>
                <w:szCs w:val="16"/>
                <w:lang w:val="es-ES_tradnl"/>
              </w:rPr>
            </w:pPr>
            <w:r w:rsidRPr="00C75C7E">
              <w:rPr>
                <w:sz w:val="16"/>
                <w:szCs w:val="16"/>
                <w:lang w:val="es-ES_tradnl"/>
              </w:rPr>
              <w:t>Las peticiones de instalación de paquetes de programas informáticos de la OMPI</w:t>
            </w:r>
            <w:r w:rsidRPr="00C75C7E">
              <w:rPr>
                <w:lang w:val="es-ES_tradnl"/>
              </w:rPr>
              <w:t xml:space="preserve"> </w:t>
            </w:r>
            <w:r w:rsidRPr="00C75C7E">
              <w:rPr>
                <w:sz w:val="16"/>
                <w:szCs w:val="16"/>
                <w:lang w:val="es-ES_tradnl"/>
              </w:rPr>
              <w:t xml:space="preserve">recibidas de las oficinas de P.I. pueden ser distintas de los planes de trabajo.  Hay presiones para que comiencen los proyectos en oficinas en las que tal vez no haya las condiciones necesarias (en particular los recursos locales).  Esto puede dar lugar a que se comprometa un número excesivo de recursos de personal y de otra índole. </w:t>
            </w:r>
          </w:p>
        </w:tc>
        <w:tc>
          <w:tcPr>
            <w:tcW w:w="4969" w:type="dxa"/>
            <w:tcBorders>
              <w:top w:val="single" w:sz="4" w:space="0" w:color="auto"/>
            </w:tcBorders>
            <w:shd w:val="clear" w:color="auto" w:fill="auto"/>
            <w:tcMar>
              <w:top w:w="113" w:type="dxa"/>
              <w:bottom w:w="85" w:type="dxa"/>
            </w:tcMar>
          </w:tcPr>
          <w:p w:rsidR="00A80F8D" w:rsidRPr="00C75C7E" w:rsidRDefault="00A80F8D" w:rsidP="008F4F69">
            <w:pPr>
              <w:widowControl w:val="0"/>
              <w:autoSpaceDE w:val="0"/>
              <w:autoSpaceDN w:val="0"/>
              <w:adjustRightInd w:val="0"/>
              <w:ind w:right="-59"/>
              <w:rPr>
                <w:sz w:val="16"/>
                <w:szCs w:val="16"/>
                <w:lang w:val="es-ES_tradnl"/>
              </w:rPr>
            </w:pPr>
            <w:r w:rsidRPr="00C75C7E">
              <w:rPr>
                <w:sz w:val="16"/>
                <w:szCs w:val="16"/>
                <w:lang w:val="es-ES_tradnl"/>
              </w:rPr>
              <w:t>Evaluación de los proyectos antes de su puesta en marcha.  Se acordarán planes de proyecto claros, en los que se especifiquen las funciones, las responsabilidades y los compromisos de recursos de todas las partes.</w:t>
            </w:r>
          </w:p>
        </w:tc>
      </w:tr>
      <w:tr w:rsidR="00A80F8D" w:rsidRPr="00C75C7E" w:rsidTr="00347DCE">
        <w:trPr>
          <w:trHeight w:val="700"/>
        </w:trPr>
        <w:tc>
          <w:tcPr>
            <w:tcW w:w="4400" w:type="dxa"/>
            <w:shd w:val="clear" w:color="auto" w:fill="auto"/>
            <w:tcMar>
              <w:top w:w="113" w:type="dxa"/>
              <w:bottom w:w="85" w:type="dxa"/>
            </w:tcMar>
          </w:tcPr>
          <w:p w:rsidR="00A80F8D" w:rsidRPr="00C75C7E" w:rsidRDefault="00A80F8D" w:rsidP="008F4F69">
            <w:pPr>
              <w:widowControl w:val="0"/>
              <w:rPr>
                <w:sz w:val="16"/>
                <w:szCs w:val="16"/>
                <w:lang w:val="es-ES_tradnl"/>
              </w:rPr>
            </w:pPr>
            <w:r w:rsidRPr="00C75C7E">
              <w:rPr>
                <w:sz w:val="16"/>
                <w:szCs w:val="16"/>
                <w:lang w:val="es-ES_tradnl"/>
              </w:rPr>
              <w:t>Los paquetes de programas informáticos de la OMPI (suministrados a las oficinas de P.I.) son concebidos por contratistas externos y cuentan con el apoyo de estos.  Puede que esto acarree la pérdida de conocimientos con poco tiempo para reaccionar.</w:t>
            </w:r>
          </w:p>
        </w:tc>
        <w:tc>
          <w:tcPr>
            <w:tcW w:w="4969" w:type="dxa"/>
            <w:shd w:val="clear" w:color="auto" w:fill="auto"/>
            <w:tcMar>
              <w:top w:w="113" w:type="dxa"/>
              <w:bottom w:w="85" w:type="dxa"/>
            </w:tcMar>
          </w:tcPr>
          <w:p w:rsidR="00A80F8D" w:rsidRPr="00C75C7E" w:rsidRDefault="00A80F8D" w:rsidP="008F4F69">
            <w:pPr>
              <w:widowControl w:val="0"/>
              <w:autoSpaceDE w:val="0"/>
              <w:autoSpaceDN w:val="0"/>
              <w:adjustRightInd w:val="0"/>
              <w:ind w:right="-59"/>
              <w:rPr>
                <w:sz w:val="16"/>
                <w:szCs w:val="16"/>
                <w:lang w:val="es-ES_tradnl"/>
              </w:rPr>
            </w:pPr>
            <w:r w:rsidRPr="00C75C7E">
              <w:rPr>
                <w:sz w:val="16"/>
                <w:szCs w:val="16"/>
                <w:lang w:val="es-ES_tradnl"/>
              </w:rPr>
              <w:t>Siempre que sea posible, los conocimientos fundamentales deberán continuar estando en manos del personal de la OMPI.  Es necesario que los contratos con empresas externas incluyan una cláusula relativa a la transferencia de conocimientos en caso de recisión del contrato.</w:t>
            </w:r>
          </w:p>
        </w:tc>
      </w:tr>
      <w:tr w:rsidR="00A80F8D" w:rsidRPr="00C75C7E" w:rsidTr="00347DCE">
        <w:trPr>
          <w:trHeight w:val="843"/>
        </w:trPr>
        <w:tc>
          <w:tcPr>
            <w:tcW w:w="4400" w:type="dxa"/>
            <w:shd w:val="clear" w:color="auto" w:fill="auto"/>
            <w:tcMar>
              <w:top w:w="113" w:type="dxa"/>
              <w:bottom w:w="85" w:type="dxa"/>
            </w:tcMar>
          </w:tcPr>
          <w:p w:rsidR="00A80F8D" w:rsidRPr="00C75C7E" w:rsidRDefault="00A80F8D" w:rsidP="008F4F69">
            <w:pPr>
              <w:widowControl w:val="0"/>
              <w:rPr>
                <w:sz w:val="16"/>
                <w:szCs w:val="16"/>
                <w:lang w:val="es-ES_tradnl"/>
              </w:rPr>
            </w:pPr>
            <w:r w:rsidRPr="00C75C7E">
              <w:rPr>
                <w:sz w:val="16"/>
                <w:szCs w:val="16"/>
                <w:lang w:val="es-ES_tradnl"/>
              </w:rPr>
              <w:t>Las oficinas emplean los sistemas de programas informáticos de la OMPI para sus actividades principales.  Un fallo en uno de esos sistemas puede tener consecuencias graves para sus actividades diarias.  Por tanto, muchas oficinas esperan que la OMPI preste un apoyo continuo y suficiente.</w:t>
            </w:r>
          </w:p>
        </w:tc>
        <w:tc>
          <w:tcPr>
            <w:tcW w:w="4969" w:type="dxa"/>
            <w:shd w:val="clear" w:color="auto" w:fill="auto"/>
            <w:tcMar>
              <w:top w:w="113" w:type="dxa"/>
              <w:bottom w:w="85" w:type="dxa"/>
            </w:tcMar>
          </w:tcPr>
          <w:p w:rsidR="00A80F8D" w:rsidRPr="00C75C7E" w:rsidRDefault="00A80F8D" w:rsidP="008F4F69">
            <w:pPr>
              <w:widowControl w:val="0"/>
              <w:autoSpaceDE w:val="0"/>
              <w:autoSpaceDN w:val="0"/>
              <w:adjustRightInd w:val="0"/>
              <w:ind w:right="-59"/>
              <w:rPr>
                <w:sz w:val="16"/>
                <w:szCs w:val="16"/>
                <w:lang w:val="es-ES_tradnl"/>
              </w:rPr>
            </w:pPr>
            <w:r w:rsidRPr="00C75C7E">
              <w:rPr>
                <w:sz w:val="16"/>
                <w:szCs w:val="16"/>
                <w:lang w:val="es-ES_tradnl"/>
              </w:rPr>
              <w:t>Asignación de recursos</w:t>
            </w:r>
            <w:r w:rsidRPr="00C75C7E">
              <w:rPr>
                <w:lang w:val="es-ES_tradnl"/>
              </w:rPr>
              <w:t xml:space="preserve"> </w:t>
            </w:r>
            <w:r w:rsidRPr="00C75C7E">
              <w:rPr>
                <w:sz w:val="16"/>
                <w:szCs w:val="16"/>
                <w:lang w:val="es-ES_tradnl"/>
              </w:rPr>
              <w:t>suficientes para la prestación de asistencia relacionada con los programas informáticos.  Se velará por que se forme al personal de las oficinas de P.I. en actividades de apoyo de primer nivel.  Establecimiento de procedimientos formales relacionados con los programas informáticos y el apoyo que se presta a estos.</w:t>
            </w:r>
          </w:p>
        </w:tc>
      </w:tr>
    </w:tbl>
    <w:p w:rsidR="00A80F8D" w:rsidRPr="00C75C7E" w:rsidRDefault="00A80F8D" w:rsidP="00A80F8D">
      <w:pPr>
        <w:widowControl w:val="0"/>
        <w:rPr>
          <w:sz w:val="20"/>
          <w:lang w:val="es-ES_tradnl"/>
        </w:rPr>
      </w:pPr>
    </w:p>
    <w:p w:rsidR="00A80F8D" w:rsidRPr="00C75C7E" w:rsidRDefault="00A80F8D" w:rsidP="00A80F8D">
      <w:pPr>
        <w:widowControl w:val="0"/>
        <w:rPr>
          <w:sz w:val="20"/>
          <w:lang w:val="es-ES_tradnl"/>
        </w:rPr>
      </w:pPr>
    </w:p>
    <w:p w:rsidR="00A80F8D" w:rsidRPr="00C75C7E" w:rsidRDefault="00A80F8D" w:rsidP="00347DCE">
      <w:pPr>
        <w:keepNext/>
        <w:keepLines/>
        <w:widowControl w:val="0"/>
        <w:tabs>
          <w:tab w:val="left" w:pos="567"/>
          <w:tab w:val="left" w:pos="1985"/>
        </w:tabs>
        <w:jc w:val="both"/>
        <w:rPr>
          <w:bCs/>
          <w:sz w:val="20"/>
          <w:lang w:val="es-ES_tradnl"/>
        </w:rPr>
      </w:pPr>
      <w:r w:rsidRPr="00C75C7E">
        <w:rPr>
          <w:bCs/>
          <w:szCs w:val="22"/>
          <w:lang w:val="es-ES_tradnl"/>
        </w:rPr>
        <w:lastRenderedPageBreak/>
        <w:t>MARCO DE RESULTADOS</w:t>
      </w:r>
    </w:p>
    <w:p w:rsidR="00A80F8D" w:rsidRPr="00C75C7E" w:rsidRDefault="00A80F8D" w:rsidP="00347DCE">
      <w:pPr>
        <w:keepNext/>
        <w:keepLines/>
        <w:widowControl w:val="0"/>
        <w:tabs>
          <w:tab w:val="left" w:pos="567"/>
          <w:tab w:val="left" w:pos="1985"/>
        </w:tabs>
        <w:jc w:val="both"/>
        <w:rPr>
          <w:bCs/>
          <w:sz w:val="20"/>
          <w:lang w:val="es-ES_tradnl"/>
        </w:rPr>
      </w:pPr>
    </w:p>
    <w:tbl>
      <w:tblPr>
        <w:tblW w:w="4902"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49"/>
        <w:gridCol w:w="2847"/>
        <w:gridCol w:w="2175"/>
        <w:gridCol w:w="2012"/>
      </w:tblGrid>
      <w:tr w:rsidR="00A80F8D" w:rsidRPr="00C75C7E" w:rsidTr="00347DCE">
        <w:trPr>
          <w:cantSplit/>
          <w:trHeight w:val="608"/>
        </w:trPr>
        <w:tc>
          <w:tcPr>
            <w:tcW w:w="1252" w:type="pct"/>
            <w:tcBorders>
              <w:top w:val="single" w:sz="4" w:space="0" w:color="auto"/>
              <w:bottom w:val="single" w:sz="4" w:space="0" w:color="auto"/>
            </w:tcBorders>
            <w:shd w:val="clear" w:color="auto" w:fill="CCFFFF"/>
            <w:vAlign w:val="center"/>
          </w:tcPr>
          <w:p w:rsidR="00A80F8D" w:rsidRPr="00C75C7E" w:rsidRDefault="00A80F8D" w:rsidP="00347DCE">
            <w:pPr>
              <w:keepNext/>
              <w:keepLines/>
              <w:widowControl w:val="0"/>
              <w:spacing w:after="120"/>
              <w:jc w:val="center"/>
              <w:rPr>
                <w:b/>
                <w:bCs/>
                <w:sz w:val="18"/>
                <w:szCs w:val="18"/>
                <w:lang w:val="es-ES_tradnl"/>
              </w:rPr>
            </w:pPr>
            <w:r w:rsidRPr="00C75C7E">
              <w:rPr>
                <w:b/>
                <w:bCs/>
                <w:sz w:val="18"/>
                <w:szCs w:val="18"/>
                <w:lang w:val="es-ES_tradnl"/>
              </w:rPr>
              <w:t>Resultados previstos</w:t>
            </w:r>
          </w:p>
        </w:tc>
        <w:tc>
          <w:tcPr>
            <w:tcW w:w="1517" w:type="pct"/>
            <w:tcBorders>
              <w:top w:val="single" w:sz="4" w:space="0" w:color="auto"/>
              <w:bottom w:val="single" w:sz="4" w:space="0" w:color="auto"/>
            </w:tcBorders>
            <w:shd w:val="clear" w:color="auto" w:fill="CCFFFF"/>
            <w:tcMar>
              <w:top w:w="110" w:type="dxa"/>
            </w:tcMar>
            <w:vAlign w:val="center"/>
          </w:tcPr>
          <w:p w:rsidR="00A80F8D" w:rsidRPr="00C75C7E" w:rsidRDefault="00A80F8D" w:rsidP="00347DCE">
            <w:pPr>
              <w:keepNext/>
              <w:keepLines/>
              <w:widowControl w:val="0"/>
              <w:spacing w:after="120"/>
              <w:jc w:val="center"/>
              <w:rPr>
                <w:b/>
                <w:sz w:val="18"/>
                <w:szCs w:val="18"/>
                <w:lang w:val="es-ES_tradnl"/>
              </w:rPr>
            </w:pPr>
            <w:r w:rsidRPr="00C75C7E">
              <w:rPr>
                <w:b/>
                <w:sz w:val="18"/>
                <w:szCs w:val="18"/>
                <w:lang w:val="es-ES_tradnl"/>
              </w:rPr>
              <w:t>Indicadores de rendimiento</w:t>
            </w:r>
          </w:p>
        </w:tc>
        <w:tc>
          <w:tcPr>
            <w:tcW w:w="1159" w:type="pct"/>
            <w:tcBorders>
              <w:top w:val="single" w:sz="4" w:space="0" w:color="auto"/>
              <w:bottom w:val="single" w:sz="4" w:space="0" w:color="auto"/>
            </w:tcBorders>
            <w:shd w:val="clear" w:color="auto" w:fill="CCFFFF"/>
            <w:tcMar>
              <w:top w:w="110" w:type="dxa"/>
            </w:tcMar>
            <w:vAlign w:val="center"/>
          </w:tcPr>
          <w:p w:rsidR="00A80F8D" w:rsidRPr="00C75C7E" w:rsidRDefault="00A80F8D" w:rsidP="00347DCE">
            <w:pPr>
              <w:keepNext/>
              <w:keepLines/>
              <w:widowControl w:val="0"/>
              <w:spacing w:after="120"/>
              <w:ind w:left="85"/>
              <w:jc w:val="center"/>
              <w:rPr>
                <w:sz w:val="18"/>
                <w:szCs w:val="18"/>
                <w:lang w:val="es-ES_tradnl"/>
              </w:rPr>
            </w:pPr>
            <w:r w:rsidRPr="00C75C7E">
              <w:rPr>
                <w:b/>
                <w:bCs/>
                <w:sz w:val="18"/>
                <w:szCs w:val="18"/>
                <w:lang w:val="es-ES_tradnl"/>
              </w:rPr>
              <w:t>Referencia</w:t>
            </w:r>
          </w:p>
        </w:tc>
        <w:tc>
          <w:tcPr>
            <w:tcW w:w="1072" w:type="pct"/>
            <w:tcBorders>
              <w:top w:val="single" w:sz="4" w:space="0" w:color="auto"/>
              <w:bottom w:val="single" w:sz="4" w:space="0" w:color="auto"/>
            </w:tcBorders>
            <w:shd w:val="clear" w:color="auto" w:fill="CCFFFF"/>
            <w:tcMar>
              <w:top w:w="110" w:type="dxa"/>
            </w:tcMar>
            <w:vAlign w:val="center"/>
          </w:tcPr>
          <w:p w:rsidR="00A80F8D" w:rsidRPr="00C75C7E" w:rsidRDefault="00A80F8D" w:rsidP="00347DCE">
            <w:pPr>
              <w:keepNext/>
              <w:keepLines/>
              <w:widowControl w:val="0"/>
              <w:tabs>
                <w:tab w:val="left" w:pos="1647"/>
              </w:tabs>
              <w:spacing w:after="120"/>
              <w:ind w:right="2"/>
              <w:jc w:val="center"/>
              <w:rPr>
                <w:b/>
                <w:bCs/>
                <w:sz w:val="18"/>
                <w:szCs w:val="18"/>
                <w:lang w:val="es-ES_tradnl"/>
              </w:rPr>
            </w:pPr>
            <w:r w:rsidRPr="00C75C7E">
              <w:rPr>
                <w:b/>
                <w:bCs/>
                <w:sz w:val="18"/>
                <w:szCs w:val="18"/>
                <w:lang w:val="es-ES_tradnl"/>
              </w:rPr>
              <w:t>Objetivos</w:t>
            </w:r>
          </w:p>
        </w:tc>
      </w:tr>
      <w:tr w:rsidR="00A80F8D" w:rsidRPr="00C75C7E" w:rsidTr="00347DCE">
        <w:trPr>
          <w:cantSplit/>
          <w:trHeight w:val="586"/>
        </w:trPr>
        <w:tc>
          <w:tcPr>
            <w:tcW w:w="1252" w:type="pct"/>
            <w:vMerge w:val="restart"/>
            <w:tcBorders>
              <w:top w:val="single" w:sz="4" w:space="0" w:color="auto"/>
            </w:tcBorders>
            <w:shd w:val="clear" w:color="auto" w:fill="auto"/>
          </w:tcPr>
          <w:p w:rsidR="00A80F8D" w:rsidRPr="00C75C7E" w:rsidRDefault="00A80F8D" w:rsidP="00347DCE">
            <w:pPr>
              <w:keepNext/>
              <w:keepLines/>
              <w:widowControl w:val="0"/>
              <w:rPr>
                <w:sz w:val="16"/>
                <w:szCs w:val="16"/>
                <w:lang w:val="es-ES_tradnl"/>
              </w:rPr>
            </w:pPr>
            <w:r w:rsidRPr="00C75C7E">
              <w:rPr>
                <w:sz w:val="16"/>
                <w:szCs w:val="16"/>
                <w:lang w:val="es-ES_tradnl"/>
              </w:rPr>
              <w:t xml:space="preserve">IV.4. Mejora en la infraestructura técnica y de conocimientos de las oficinas y demás instituciones de P.I. </w:t>
            </w:r>
            <w:r w:rsidR="00177006">
              <w:rPr>
                <w:sz w:val="16"/>
                <w:szCs w:val="16"/>
                <w:lang w:val="es-ES_tradnl"/>
              </w:rPr>
              <w:t>que les permita prestar mejores servicios</w:t>
            </w:r>
            <w:r w:rsidRPr="00C75C7E">
              <w:rPr>
                <w:sz w:val="16"/>
                <w:szCs w:val="16"/>
                <w:lang w:val="es-ES_tradnl"/>
              </w:rPr>
              <w:t xml:space="preserve"> (más económicos, más rápidos y de mejor calidad) a sus partes interesadas.</w:t>
            </w:r>
          </w:p>
        </w:tc>
        <w:tc>
          <w:tcPr>
            <w:tcW w:w="1517" w:type="pct"/>
            <w:tcBorders>
              <w:top w:val="single" w:sz="4" w:space="0" w:color="auto"/>
            </w:tcBorders>
            <w:shd w:val="clear" w:color="auto" w:fill="auto"/>
            <w:tcMar>
              <w:top w:w="110" w:type="dxa"/>
            </w:tcMar>
          </w:tcPr>
          <w:p w:rsidR="00A80F8D" w:rsidRPr="00C75C7E" w:rsidRDefault="00A80F8D" w:rsidP="00347DCE">
            <w:pPr>
              <w:keepNext/>
              <w:keepLines/>
              <w:widowControl w:val="0"/>
              <w:rPr>
                <w:sz w:val="16"/>
                <w:szCs w:val="16"/>
                <w:lang w:val="es-ES_tradnl"/>
              </w:rPr>
            </w:pPr>
            <w:r w:rsidRPr="00C75C7E">
              <w:rPr>
                <w:sz w:val="16"/>
                <w:szCs w:val="16"/>
                <w:lang w:val="es-ES_tradnl"/>
              </w:rPr>
              <w:t>Número de oficinas que utilizan las plataformas de infraestructura de la OMPI.</w:t>
            </w:r>
          </w:p>
        </w:tc>
        <w:tc>
          <w:tcPr>
            <w:tcW w:w="1159" w:type="pct"/>
            <w:tcBorders>
              <w:top w:val="single" w:sz="4" w:space="0" w:color="auto"/>
            </w:tcBorders>
            <w:shd w:val="clear" w:color="auto" w:fill="FFFFFF"/>
            <w:tcMar>
              <w:top w:w="110" w:type="dxa"/>
            </w:tcMar>
          </w:tcPr>
          <w:p w:rsidR="00A80F8D" w:rsidRPr="00C75C7E" w:rsidRDefault="00A80F8D" w:rsidP="00347DCE">
            <w:pPr>
              <w:keepNext/>
              <w:keepLines/>
              <w:widowControl w:val="0"/>
              <w:rPr>
                <w:sz w:val="16"/>
                <w:szCs w:val="16"/>
                <w:lang w:val="es-ES_tradnl"/>
              </w:rPr>
            </w:pPr>
            <w:r w:rsidRPr="00C75C7E">
              <w:rPr>
                <w:sz w:val="16"/>
                <w:szCs w:val="16"/>
                <w:lang w:val="es-ES_tradnl"/>
              </w:rPr>
              <w:t>Norteamérica - 2</w:t>
            </w:r>
          </w:p>
          <w:p w:rsidR="00A80F8D" w:rsidRPr="00C75C7E" w:rsidRDefault="00A80F8D" w:rsidP="00347DCE">
            <w:pPr>
              <w:keepNext/>
              <w:keepLines/>
              <w:widowControl w:val="0"/>
              <w:rPr>
                <w:sz w:val="16"/>
                <w:szCs w:val="16"/>
                <w:lang w:val="es-ES_tradnl"/>
              </w:rPr>
            </w:pPr>
            <w:r w:rsidRPr="00C75C7E">
              <w:rPr>
                <w:sz w:val="16"/>
                <w:szCs w:val="16"/>
                <w:lang w:val="es-ES_tradnl"/>
              </w:rPr>
              <w:t>Europa Occidental - 7</w:t>
            </w:r>
          </w:p>
          <w:p w:rsidR="00A80F8D" w:rsidRPr="00C75C7E" w:rsidRDefault="00A80F8D" w:rsidP="00347DCE">
            <w:pPr>
              <w:keepNext/>
              <w:keepLines/>
              <w:widowControl w:val="0"/>
              <w:rPr>
                <w:sz w:val="16"/>
                <w:szCs w:val="16"/>
                <w:lang w:val="es-ES_tradnl"/>
              </w:rPr>
            </w:pPr>
            <w:r w:rsidRPr="00C75C7E">
              <w:rPr>
                <w:sz w:val="16"/>
                <w:szCs w:val="16"/>
                <w:lang w:val="es-ES_tradnl"/>
              </w:rPr>
              <w:t>Asia y el Pacífico (6).</w:t>
            </w:r>
          </w:p>
        </w:tc>
        <w:tc>
          <w:tcPr>
            <w:tcW w:w="1072" w:type="pct"/>
            <w:tcBorders>
              <w:top w:val="single" w:sz="4" w:space="0" w:color="auto"/>
            </w:tcBorders>
            <w:shd w:val="clear" w:color="auto" w:fill="auto"/>
            <w:tcMar>
              <w:top w:w="110" w:type="dxa"/>
            </w:tcMar>
          </w:tcPr>
          <w:p w:rsidR="00A80F8D" w:rsidRPr="0078621B" w:rsidRDefault="00A80F8D" w:rsidP="00347DCE">
            <w:pPr>
              <w:keepNext/>
              <w:keepLines/>
              <w:widowControl w:val="0"/>
              <w:rPr>
                <w:bCs/>
                <w:sz w:val="16"/>
                <w:szCs w:val="16"/>
                <w:lang w:val="es-ES_tradnl"/>
              </w:rPr>
            </w:pPr>
            <w:r w:rsidRPr="0078621B">
              <w:rPr>
                <w:bCs/>
                <w:sz w:val="16"/>
                <w:szCs w:val="16"/>
                <w:lang w:val="es-ES_tradnl"/>
              </w:rPr>
              <w:t>25 (desglose por región)</w:t>
            </w:r>
          </w:p>
        </w:tc>
      </w:tr>
      <w:tr w:rsidR="00A80F8D" w:rsidRPr="00C75C7E" w:rsidTr="00347DCE">
        <w:trPr>
          <w:cantSplit/>
          <w:trHeight w:val="609"/>
        </w:trPr>
        <w:tc>
          <w:tcPr>
            <w:tcW w:w="1252" w:type="pct"/>
            <w:vMerge/>
            <w:shd w:val="clear" w:color="auto" w:fill="auto"/>
          </w:tcPr>
          <w:p w:rsidR="00A80F8D" w:rsidRPr="00C75C7E" w:rsidRDefault="00A80F8D" w:rsidP="00347DCE">
            <w:pPr>
              <w:keepNext/>
              <w:keepLines/>
              <w:widowControl w:val="0"/>
              <w:rPr>
                <w:sz w:val="16"/>
                <w:szCs w:val="16"/>
                <w:lang w:val="es-ES_tradnl"/>
              </w:rPr>
            </w:pPr>
          </w:p>
        </w:tc>
        <w:tc>
          <w:tcPr>
            <w:tcW w:w="1517" w:type="pct"/>
            <w:shd w:val="clear" w:color="auto" w:fill="auto"/>
            <w:tcMar>
              <w:top w:w="110" w:type="dxa"/>
            </w:tcMar>
          </w:tcPr>
          <w:p w:rsidR="00A80F8D" w:rsidRPr="00C75C7E" w:rsidRDefault="00A80F8D" w:rsidP="00347DCE">
            <w:pPr>
              <w:keepNext/>
              <w:keepLines/>
              <w:widowControl w:val="0"/>
              <w:rPr>
                <w:sz w:val="16"/>
                <w:szCs w:val="16"/>
                <w:lang w:val="es-ES_tradnl"/>
              </w:rPr>
            </w:pPr>
            <w:r w:rsidRPr="00C75C7E">
              <w:rPr>
                <w:sz w:val="16"/>
                <w:szCs w:val="16"/>
                <w:lang w:val="es-ES_tradnl"/>
              </w:rPr>
              <w:t>Media del nivel de los servicios prestados por las Oficinas de P.I. que reciben asistencia (en una escala del 1 al 5).</w:t>
            </w:r>
          </w:p>
        </w:tc>
        <w:tc>
          <w:tcPr>
            <w:tcW w:w="1159" w:type="pct"/>
            <w:shd w:val="clear" w:color="auto" w:fill="FFFFFF"/>
            <w:tcMar>
              <w:top w:w="110" w:type="dxa"/>
            </w:tcMar>
          </w:tcPr>
          <w:p w:rsidR="00A80F8D" w:rsidRPr="00C75C7E" w:rsidRDefault="00A80F8D" w:rsidP="00347DCE">
            <w:pPr>
              <w:keepNext/>
              <w:keepLines/>
              <w:widowControl w:val="0"/>
              <w:rPr>
                <w:sz w:val="16"/>
                <w:szCs w:val="16"/>
                <w:lang w:val="es-ES_tradnl"/>
              </w:rPr>
            </w:pPr>
            <w:r w:rsidRPr="00C75C7E">
              <w:rPr>
                <w:sz w:val="16"/>
                <w:szCs w:val="16"/>
                <w:lang w:val="es-ES_tradnl" w:bidi="th-TH"/>
              </w:rPr>
              <w:t>Por determinar.</w:t>
            </w:r>
          </w:p>
        </w:tc>
        <w:tc>
          <w:tcPr>
            <w:tcW w:w="1072" w:type="pct"/>
            <w:shd w:val="clear" w:color="auto" w:fill="auto"/>
            <w:tcMar>
              <w:top w:w="110" w:type="dxa"/>
            </w:tcMar>
          </w:tcPr>
          <w:p w:rsidR="00A80F8D" w:rsidRPr="00C75C7E" w:rsidRDefault="00A80F8D" w:rsidP="00347DCE">
            <w:pPr>
              <w:keepNext/>
              <w:keepLines/>
              <w:widowControl w:val="0"/>
              <w:tabs>
                <w:tab w:val="left" w:pos="2051"/>
              </w:tabs>
              <w:ind w:right="381"/>
              <w:rPr>
                <w:bCs/>
                <w:sz w:val="16"/>
                <w:szCs w:val="16"/>
                <w:lang w:val="es-ES_tradnl"/>
              </w:rPr>
            </w:pPr>
            <w:r w:rsidRPr="00C75C7E">
              <w:rPr>
                <w:bCs/>
                <w:sz w:val="16"/>
                <w:szCs w:val="16"/>
                <w:lang w:val="es-ES_tradnl"/>
              </w:rPr>
              <w:t>Por determinar.</w:t>
            </w:r>
          </w:p>
        </w:tc>
      </w:tr>
      <w:tr w:rsidR="00A80F8D" w:rsidRPr="00C75C7E" w:rsidTr="00347DCE">
        <w:trPr>
          <w:cantSplit/>
          <w:trHeight w:val="1060"/>
        </w:trPr>
        <w:tc>
          <w:tcPr>
            <w:tcW w:w="1252" w:type="pct"/>
            <w:vMerge/>
            <w:shd w:val="clear" w:color="auto" w:fill="auto"/>
          </w:tcPr>
          <w:p w:rsidR="00A80F8D" w:rsidRPr="00C75C7E" w:rsidRDefault="00A80F8D" w:rsidP="00347DCE">
            <w:pPr>
              <w:keepNext/>
              <w:keepLines/>
              <w:widowControl w:val="0"/>
              <w:rPr>
                <w:sz w:val="16"/>
                <w:szCs w:val="16"/>
                <w:lang w:val="es-ES_tradnl"/>
              </w:rPr>
            </w:pPr>
          </w:p>
        </w:tc>
        <w:tc>
          <w:tcPr>
            <w:tcW w:w="1517" w:type="pct"/>
            <w:shd w:val="clear" w:color="auto" w:fill="auto"/>
            <w:tcMar>
              <w:top w:w="110" w:type="dxa"/>
            </w:tcMar>
          </w:tcPr>
          <w:p w:rsidR="00A80F8D" w:rsidRPr="00C75C7E" w:rsidRDefault="00A80F8D" w:rsidP="00347DCE">
            <w:pPr>
              <w:keepNext/>
              <w:keepLines/>
              <w:widowControl w:val="0"/>
              <w:rPr>
                <w:sz w:val="16"/>
                <w:szCs w:val="16"/>
                <w:lang w:val="es-ES_tradnl"/>
              </w:rPr>
            </w:pPr>
            <w:r w:rsidRPr="00C75C7E">
              <w:rPr>
                <w:sz w:val="16"/>
                <w:szCs w:val="16"/>
                <w:lang w:val="es-ES_tradnl"/>
              </w:rPr>
              <w:t>Número de OGC de países en desarrollo y PMA que participan en las redes regionales y mundiales facilitadas por la OMPI.</w:t>
            </w:r>
          </w:p>
        </w:tc>
        <w:tc>
          <w:tcPr>
            <w:tcW w:w="1159" w:type="pct"/>
            <w:shd w:val="clear" w:color="auto" w:fill="FFFFFF"/>
            <w:tcMar>
              <w:top w:w="110" w:type="dxa"/>
            </w:tcMar>
          </w:tcPr>
          <w:p w:rsidR="00A80F8D" w:rsidRPr="00C75C7E" w:rsidRDefault="00A80F8D" w:rsidP="00347DCE">
            <w:pPr>
              <w:keepNext/>
              <w:keepLines/>
              <w:widowControl w:val="0"/>
              <w:rPr>
                <w:sz w:val="16"/>
                <w:szCs w:val="16"/>
                <w:lang w:val="es-ES_tradnl"/>
              </w:rPr>
            </w:pPr>
            <w:r w:rsidRPr="00C75C7E">
              <w:rPr>
                <w:sz w:val="16"/>
                <w:szCs w:val="16"/>
                <w:lang w:val="es-ES_tradnl" w:bidi="th-TH"/>
              </w:rPr>
              <w:t>0 (cero).</w:t>
            </w:r>
          </w:p>
        </w:tc>
        <w:tc>
          <w:tcPr>
            <w:tcW w:w="1072" w:type="pct"/>
            <w:shd w:val="clear" w:color="auto" w:fill="auto"/>
            <w:tcMar>
              <w:top w:w="110" w:type="dxa"/>
            </w:tcMar>
          </w:tcPr>
          <w:p w:rsidR="00A80F8D" w:rsidRPr="00C75C7E" w:rsidRDefault="00A80F8D" w:rsidP="00347DCE">
            <w:pPr>
              <w:keepNext/>
              <w:keepLines/>
              <w:widowControl w:val="0"/>
              <w:ind w:right="51"/>
              <w:rPr>
                <w:bCs/>
                <w:sz w:val="16"/>
                <w:szCs w:val="16"/>
                <w:lang w:val="es-ES_tradnl"/>
              </w:rPr>
            </w:pPr>
            <w:r w:rsidRPr="00C75C7E">
              <w:rPr>
                <w:bCs/>
                <w:sz w:val="16"/>
                <w:szCs w:val="16"/>
                <w:lang w:val="es-ES_tradnl"/>
              </w:rPr>
              <w:t>10</w:t>
            </w:r>
          </w:p>
        </w:tc>
      </w:tr>
    </w:tbl>
    <w:p w:rsidR="00A80F8D" w:rsidRPr="00C75C7E" w:rsidRDefault="00A80F8D" w:rsidP="00A80F8D">
      <w:pPr>
        <w:widowControl w:val="0"/>
        <w:tabs>
          <w:tab w:val="left" w:pos="567"/>
          <w:tab w:val="left" w:pos="1985"/>
        </w:tabs>
        <w:rPr>
          <w:bCs/>
          <w:sz w:val="20"/>
          <w:lang w:val="es-ES_tradnl"/>
        </w:rPr>
      </w:pPr>
    </w:p>
    <w:p w:rsidR="00A80F8D" w:rsidRDefault="00A80F8D" w:rsidP="00A80F8D">
      <w:pPr>
        <w:widowControl w:val="0"/>
        <w:jc w:val="both"/>
        <w:rPr>
          <w:sz w:val="20"/>
          <w:lang w:val="es-ES_tradnl" w:bidi="th-TH"/>
        </w:rPr>
      </w:pPr>
    </w:p>
    <w:p w:rsidR="00EA39DF" w:rsidRPr="00F039C2" w:rsidRDefault="00EA39DF" w:rsidP="00EA39DF">
      <w:pPr>
        <w:widowControl w:val="0"/>
        <w:autoSpaceDE w:val="0"/>
        <w:autoSpaceDN w:val="0"/>
        <w:adjustRightInd w:val="0"/>
        <w:jc w:val="both"/>
        <w:rPr>
          <w:szCs w:val="22"/>
        </w:rPr>
      </w:pPr>
      <w:r w:rsidRPr="00F039C2">
        <w:rPr>
          <w:szCs w:val="22"/>
        </w:rPr>
        <w:t>RECURSOS PARA EL PROGRAMA 15</w:t>
      </w:r>
    </w:p>
    <w:p w:rsidR="00EA39DF" w:rsidRPr="00F039C2" w:rsidRDefault="00EA39DF" w:rsidP="00EA39DF">
      <w:pPr>
        <w:widowControl w:val="0"/>
        <w:autoSpaceDE w:val="0"/>
        <w:autoSpaceDN w:val="0"/>
        <w:adjustRightInd w:val="0"/>
        <w:jc w:val="both"/>
        <w:rPr>
          <w:sz w:val="20"/>
        </w:rPr>
      </w:pPr>
    </w:p>
    <w:p w:rsidR="00EA39DF" w:rsidRDefault="00EA39DF" w:rsidP="00BA276E">
      <w:pPr>
        <w:widowControl w:val="0"/>
        <w:numPr>
          <w:ilvl w:val="0"/>
          <w:numId w:val="38"/>
        </w:numPr>
        <w:jc w:val="both"/>
        <w:rPr>
          <w:sz w:val="20"/>
        </w:rPr>
      </w:pPr>
      <w:r w:rsidRPr="00872D10">
        <w:rPr>
          <w:sz w:val="20"/>
        </w:rPr>
        <w:t>El aumento en los recursos para el resultado IV.4 (Mejora en la infraestructura técnica y de conocimientos) refleja:   i) la propuesta de redistribución interna de los recursos en consonancia con el modelo normalizado para la ejecución de proyectos y actividades orientados hacia el exterior que contribuyen a la meta estratégica IV, por la que los programas especializados toman la iniciativa en el marco empresarial y los programas relacionados con la infraestructura mundial asumen la</w:t>
      </w:r>
      <w:r w:rsidRPr="00F039C2">
        <w:rPr>
          <w:sz w:val="20"/>
        </w:rPr>
        <w:t xml:space="preserve"> responsabilidad del desarrollo y la ejecución de los componentes técnicos </w:t>
      </w:r>
      <w:r>
        <w:rPr>
          <w:sz w:val="20"/>
        </w:rPr>
        <w:t xml:space="preserve">conexos </w:t>
      </w:r>
      <w:r w:rsidRPr="00F039C2">
        <w:rPr>
          <w:sz w:val="20"/>
        </w:rPr>
        <w:t>de la TI;  y ii) un aumento de 2 millones de francos suizos (otros servicios contractuales) respecto de</w:t>
      </w:r>
      <w:r>
        <w:rPr>
          <w:sz w:val="20"/>
        </w:rPr>
        <w:t xml:space="preserve"> la concepción de plataformas informáticas </w:t>
      </w:r>
      <w:r w:rsidRPr="00D80577">
        <w:rPr>
          <w:sz w:val="20"/>
        </w:rPr>
        <w:t xml:space="preserve">para los organismos de gestión colectiva del derecho de autor </w:t>
      </w:r>
      <w:r>
        <w:rPr>
          <w:sz w:val="20"/>
        </w:rPr>
        <w:t>y la prestación de asistencia a tales plataformas</w:t>
      </w:r>
      <w:r w:rsidRPr="00F039C2">
        <w:rPr>
          <w:sz w:val="20"/>
        </w:rPr>
        <w:t>.</w:t>
      </w:r>
    </w:p>
    <w:p w:rsidR="00EA39DF" w:rsidRDefault="00EA39DF" w:rsidP="00A80F8D">
      <w:pPr>
        <w:widowControl w:val="0"/>
        <w:jc w:val="both"/>
        <w:rPr>
          <w:sz w:val="20"/>
          <w:lang w:bidi="th-TH"/>
        </w:rPr>
      </w:pPr>
    </w:p>
    <w:p w:rsidR="00EA39DF" w:rsidRPr="00EA39DF" w:rsidRDefault="00EA39DF" w:rsidP="00A80F8D">
      <w:pPr>
        <w:widowControl w:val="0"/>
        <w:jc w:val="both"/>
        <w:rPr>
          <w:sz w:val="20"/>
          <w:lang w:bidi="th-TH"/>
        </w:rPr>
      </w:pPr>
    </w:p>
    <w:p w:rsidR="00A80F8D" w:rsidRPr="00C75C7E" w:rsidRDefault="00347DCE" w:rsidP="00A80F8D">
      <w:pPr>
        <w:widowControl w:val="0"/>
        <w:autoSpaceDE w:val="0"/>
        <w:autoSpaceDN w:val="0"/>
        <w:adjustRightInd w:val="0"/>
        <w:jc w:val="center"/>
        <w:rPr>
          <w:b/>
          <w:bCs/>
          <w:iCs/>
          <w:sz w:val="20"/>
          <w:lang w:val="es-ES_tradnl"/>
        </w:rPr>
      </w:pPr>
      <w:r>
        <w:rPr>
          <w:b/>
          <w:bCs/>
          <w:iCs/>
          <w:sz w:val="20"/>
          <w:lang w:val="es-ES_tradnl"/>
        </w:rPr>
        <w:t xml:space="preserve">Programa 15:  </w:t>
      </w:r>
      <w:r w:rsidR="00A80F8D" w:rsidRPr="00C75C7E">
        <w:rPr>
          <w:b/>
          <w:bCs/>
          <w:iCs/>
          <w:sz w:val="20"/>
          <w:lang w:val="es-ES_tradnl"/>
        </w:rPr>
        <w:t>Recursos por resultado</w:t>
      </w:r>
    </w:p>
    <w:p w:rsidR="00A80F8D" w:rsidRPr="00C75C7E" w:rsidRDefault="00A80F8D" w:rsidP="00A80F8D">
      <w:pPr>
        <w:widowControl w:val="0"/>
        <w:autoSpaceDE w:val="0"/>
        <w:autoSpaceDN w:val="0"/>
        <w:adjustRightInd w:val="0"/>
        <w:jc w:val="center"/>
        <w:rPr>
          <w:bCs/>
          <w:i/>
          <w:sz w:val="20"/>
          <w:lang w:val="es-ES_tradnl"/>
        </w:rPr>
      </w:pPr>
      <w:r w:rsidRPr="00C75C7E">
        <w:rPr>
          <w:bCs/>
          <w:i/>
          <w:sz w:val="20"/>
          <w:lang w:val="es-ES_tradnl"/>
        </w:rPr>
        <w:t>(en miles de francos suizos)</w:t>
      </w:r>
    </w:p>
    <w:p w:rsidR="00A80F8D" w:rsidRPr="00C75C7E" w:rsidRDefault="00A80F8D" w:rsidP="00A80F8D">
      <w:pPr>
        <w:widowControl w:val="0"/>
        <w:autoSpaceDE w:val="0"/>
        <w:autoSpaceDN w:val="0"/>
        <w:adjustRightInd w:val="0"/>
        <w:rPr>
          <w:sz w:val="20"/>
          <w:lang w:val="es-ES_tradnl"/>
        </w:rPr>
      </w:pPr>
    </w:p>
    <w:p w:rsidR="00A80F8D" w:rsidRPr="00C75C7E" w:rsidRDefault="00347DCE" w:rsidP="00A80F8D">
      <w:pPr>
        <w:widowControl w:val="0"/>
        <w:autoSpaceDE w:val="0"/>
        <w:autoSpaceDN w:val="0"/>
        <w:adjustRightInd w:val="0"/>
        <w:jc w:val="center"/>
        <w:rPr>
          <w:sz w:val="20"/>
          <w:lang w:val="es-ES_tradnl"/>
        </w:rPr>
      </w:pPr>
      <w:r w:rsidRPr="00347DCE">
        <w:rPr>
          <w:noProof/>
          <w:lang w:val="en-US" w:eastAsia="en-US"/>
        </w:rPr>
        <w:drawing>
          <wp:inline distT="0" distB="0" distL="0" distR="0">
            <wp:extent cx="5895975" cy="1209675"/>
            <wp:effectExtent l="0" t="0" r="9525"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895975" cy="1209675"/>
                    </a:xfrm>
                    <a:prstGeom prst="rect">
                      <a:avLst/>
                    </a:prstGeom>
                    <a:noFill/>
                    <a:ln>
                      <a:noFill/>
                    </a:ln>
                  </pic:spPr>
                </pic:pic>
              </a:graphicData>
            </a:graphic>
          </wp:inline>
        </w:drawing>
      </w:r>
    </w:p>
    <w:p w:rsidR="00A80F8D" w:rsidRPr="00C75C7E" w:rsidRDefault="00A80F8D" w:rsidP="00A80F8D">
      <w:pPr>
        <w:widowControl w:val="0"/>
        <w:autoSpaceDE w:val="0"/>
        <w:autoSpaceDN w:val="0"/>
        <w:adjustRightInd w:val="0"/>
        <w:rPr>
          <w:sz w:val="20"/>
          <w:lang w:val="es-ES_tradnl"/>
        </w:rPr>
      </w:pPr>
    </w:p>
    <w:p w:rsidR="00A80F8D" w:rsidRPr="00C75C7E" w:rsidRDefault="00A80F8D" w:rsidP="00A80F8D">
      <w:pPr>
        <w:widowControl w:val="0"/>
        <w:autoSpaceDE w:val="0"/>
        <w:autoSpaceDN w:val="0"/>
        <w:adjustRightInd w:val="0"/>
        <w:rPr>
          <w:sz w:val="20"/>
          <w:lang w:val="es-ES_tradnl"/>
        </w:rPr>
      </w:pPr>
      <w:r w:rsidRPr="00C75C7E">
        <w:rPr>
          <w:sz w:val="16"/>
          <w:szCs w:val="16"/>
          <w:lang w:val="es-ES_tradnl"/>
        </w:rPr>
        <w:t>Nota:</w:t>
      </w:r>
      <w:r>
        <w:rPr>
          <w:sz w:val="16"/>
          <w:szCs w:val="16"/>
          <w:lang w:val="es-ES_tradnl"/>
        </w:rPr>
        <w:t xml:space="preserve"> </w:t>
      </w:r>
      <w:r w:rsidRPr="00C75C7E">
        <w:rPr>
          <w:sz w:val="16"/>
          <w:szCs w:val="16"/>
          <w:lang w:val="es-ES_tradnl"/>
        </w:rPr>
        <w:t xml:space="preserve"> Se ha reexpresado el presupuesto aprobado de 2012/13 y el presupuesto de dicho bienio después de las transferencias, por resultado previsto, para reflejar el marco de resultados de la Organización propuesto para 2014/15.</w:t>
      </w:r>
    </w:p>
    <w:p w:rsidR="00A80F8D" w:rsidRPr="00C75C7E" w:rsidRDefault="00A80F8D" w:rsidP="00A80F8D">
      <w:pPr>
        <w:widowControl w:val="0"/>
        <w:autoSpaceDE w:val="0"/>
        <w:autoSpaceDN w:val="0"/>
        <w:adjustRightInd w:val="0"/>
        <w:rPr>
          <w:sz w:val="20"/>
          <w:lang w:val="es-ES_tradnl"/>
        </w:rPr>
      </w:pPr>
    </w:p>
    <w:p w:rsidR="00A80F8D" w:rsidRPr="00C75C7E" w:rsidRDefault="00A80F8D" w:rsidP="00A80F8D">
      <w:pPr>
        <w:widowControl w:val="0"/>
        <w:autoSpaceDE w:val="0"/>
        <w:autoSpaceDN w:val="0"/>
        <w:adjustRightInd w:val="0"/>
        <w:rPr>
          <w:sz w:val="20"/>
          <w:lang w:val="es-ES_tradnl"/>
        </w:rPr>
      </w:pPr>
    </w:p>
    <w:p w:rsidR="00A80F8D" w:rsidRPr="00C75C7E" w:rsidRDefault="006D7DA6" w:rsidP="00EA39DF">
      <w:pPr>
        <w:keepNext/>
        <w:widowControl w:val="0"/>
        <w:autoSpaceDE w:val="0"/>
        <w:autoSpaceDN w:val="0"/>
        <w:adjustRightInd w:val="0"/>
        <w:ind w:firstLine="567"/>
        <w:jc w:val="center"/>
        <w:rPr>
          <w:b/>
          <w:bCs/>
          <w:iCs/>
          <w:sz w:val="20"/>
          <w:lang w:val="es-ES_tradnl"/>
        </w:rPr>
      </w:pPr>
      <w:r>
        <w:rPr>
          <w:b/>
          <w:bCs/>
          <w:iCs/>
          <w:sz w:val="20"/>
          <w:lang w:val="es-ES_tradnl"/>
        </w:rPr>
        <w:lastRenderedPageBreak/>
        <w:t xml:space="preserve">Programa 15:  </w:t>
      </w:r>
      <w:r w:rsidR="00A80F8D" w:rsidRPr="00C75C7E">
        <w:rPr>
          <w:b/>
          <w:bCs/>
          <w:iCs/>
          <w:sz w:val="20"/>
          <w:lang w:val="es-ES_tradnl"/>
        </w:rPr>
        <w:t>Recursos por objeto de gasto</w:t>
      </w:r>
    </w:p>
    <w:p w:rsidR="00A80F8D" w:rsidRDefault="00A80F8D" w:rsidP="00EA39DF">
      <w:pPr>
        <w:keepNext/>
        <w:widowControl w:val="0"/>
        <w:autoSpaceDE w:val="0"/>
        <w:autoSpaceDN w:val="0"/>
        <w:adjustRightInd w:val="0"/>
        <w:ind w:firstLine="567"/>
        <w:jc w:val="center"/>
        <w:rPr>
          <w:bCs/>
          <w:i/>
          <w:sz w:val="20"/>
          <w:lang w:val="es-ES_tradnl"/>
        </w:rPr>
      </w:pPr>
      <w:r w:rsidRPr="00C75C7E">
        <w:rPr>
          <w:bCs/>
          <w:i/>
          <w:sz w:val="20"/>
          <w:lang w:val="es-ES_tradnl"/>
        </w:rPr>
        <w:t>(en miles de francos suizos)</w:t>
      </w:r>
    </w:p>
    <w:p w:rsidR="001E5683" w:rsidRDefault="001E5683" w:rsidP="00EA39DF">
      <w:pPr>
        <w:keepNext/>
        <w:widowControl w:val="0"/>
        <w:autoSpaceDE w:val="0"/>
        <w:autoSpaceDN w:val="0"/>
        <w:adjustRightInd w:val="0"/>
        <w:ind w:firstLine="567"/>
        <w:jc w:val="center"/>
        <w:rPr>
          <w:bCs/>
          <w:i/>
          <w:sz w:val="20"/>
          <w:lang w:val="es-ES_tradnl"/>
        </w:rPr>
      </w:pPr>
    </w:p>
    <w:p w:rsidR="001E5683" w:rsidRPr="00C75C7E" w:rsidRDefault="006D7DA6" w:rsidP="006D7DA6">
      <w:pPr>
        <w:keepNext/>
        <w:widowControl w:val="0"/>
        <w:autoSpaceDE w:val="0"/>
        <w:autoSpaceDN w:val="0"/>
        <w:adjustRightInd w:val="0"/>
        <w:jc w:val="center"/>
        <w:rPr>
          <w:bCs/>
          <w:i/>
          <w:sz w:val="20"/>
          <w:lang w:val="es-ES_tradnl"/>
        </w:rPr>
      </w:pPr>
      <w:r w:rsidRPr="006D7DA6">
        <w:rPr>
          <w:noProof/>
          <w:lang w:val="en-US" w:eastAsia="en-US"/>
        </w:rPr>
        <w:drawing>
          <wp:inline distT="0" distB="0" distL="0" distR="0" wp14:anchorId="118A83E1" wp14:editId="09F1FCBF">
            <wp:extent cx="5940425" cy="5737491"/>
            <wp:effectExtent l="0" t="0" r="317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940425" cy="5737491"/>
                    </a:xfrm>
                    <a:prstGeom prst="rect">
                      <a:avLst/>
                    </a:prstGeom>
                    <a:noFill/>
                    <a:ln>
                      <a:noFill/>
                    </a:ln>
                  </pic:spPr>
                </pic:pic>
              </a:graphicData>
            </a:graphic>
          </wp:inline>
        </w:drawing>
      </w:r>
    </w:p>
    <w:p w:rsidR="00A80F8D" w:rsidRPr="00C75C7E" w:rsidRDefault="00A80F8D" w:rsidP="00EA39DF">
      <w:pPr>
        <w:keepNext/>
        <w:widowControl w:val="0"/>
        <w:rPr>
          <w:sz w:val="20"/>
          <w:lang w:val="es-ES_tradnl"/>
        </w:rPr>
      </w:pPr>
    </w:p>
    <w:p w:rsidR="00A80F8D" w:rsidRPr="00C75C7E" w:rsidRDefault="00A80F8D" w:rsidP="00A80F8D">
      <w:pPr>
        <w:widowControl w:val="0"/>
        <w:rPr>
          <w:sz w:val="16"/>
          <w:szCs w:val="16"/>
          <w:lang w:val="es-ES_tradnl"/>
        </w:rPr>
      </w:pPr>
      <w:r w:rsidRPr="00C75C7E">
        <w:rPr>
          <w:sz w:val="16"/>
          <w:szCs w:val="16"/>
          <w:lang w:val="es-ES_tradnl"/>
        </w:rPr>
        <w:t>Notas:</w:t>
      </w:r>
    </w:p>
    <w:p w:rsidR="00A80F8D" w:rsidRPr="00C75C7E" w:rsidRDefault="00A80F8D" w:rsidP="00A80F8D">
      <w:pPr>
        <w:widowControl w:val="0"/>
        <w:rPr>
          <w:sz w:val="16"/>
          <w:szCs w:val="16"/>
          <w:u w:val="single"/>
          <w:lang w:val="es-ES_tradnl"/>
        </w:rPr>
      </w:pPr>
    </w:p>
    <w:p w:rsidR="00A80F8D" w:rsidRDefault="00583A1C" w:rsidP="00A80F8D">
      <w:pPr>
        <w:widowControl w:val="0"/>
        <w:tabs>
          <w:tab w:val="left" w:pos="567"/>
        </w:tabs>
        <w:rPr>
          <w:sz w:val="16"/>
          <w:szCs w:val="16"/>
          <w:lang w:val="es-ES_tradnl"/>
        </w:rPr>
      </w:pPr>
      <w:r>
        <w:rPr>
          <w:sz w:val="16"/>
          <w:szCs w:val="16"/>
          <w:lang w:val="es-ES_tradnl"/>
        </w:rPr>
        <w:t xml:space="preserve">1)  </w:t>
      </w:r>
      <w:r w:rsidR="00A80F8D" w:rsidRPr="00C75C7E">
        <w:rPr>
          <w:sz w:val="16"/>
          <w:szCs w:val="16"/>
          <w:lang w:val="es-ES_tradnl"/>
        </w:rPr>
        <w:t>El presupuesto aprobado de 2012/13 y el presupuesto de dicho bienio después de las transferencias se reexpresan sobre la base de la estructura de categorías de costos propuesta para 2014/15.</w:t>
      </w:r>
    </w:p>
    <w:p w:rsidR="00A80F8D" w:rsidRPr="00C75C7E" w:rsidRDefault="00A80F8D" w:rsidP="00A80F8D">
      <w:pPr>
        <w:widowControl w:val="0"/>
        <w:tabs>
          <w:tab w:val="left" w:pos="567"/>
        </w:tabs>
        <w:rPr>
          <w:sz w:val="16"/>
          <w:szCs w:val="16"/>
          <w:lang w:val="es-ES_tradnl"/>
        </w:rPr>
      </w:pPr>
    </w:p>
    <w:p w:rsidR="00A80F8D" w:rsidRDefault="00A80F8D" w:rsidP="00A80F8D">
      <w:pPr>
        <w:widowControl w:val="0"/>
        <w:tabs>
          <w:tab w:val="left" w:pos="567"/>
        </w:tabs>
        <w:rPr>
          <w:rFonts w:cs="ArialMT"/>
          <w:sz w:val="16"/>
          <w:szCs w:val="16"/>
          <w:lang w:val="es-ES_tradnl"/>
        </w:rPr>
      </w:pPr>
      <w:r>
        <w:rPr>
          <w:sz w:val="16"/>
          <w:szCs w:val="16"/>
          <w:lang w:val="es-ES_tradnl"/>
        </w:rPr>
        <w:t>2)</w:t>
      </w:r>
      <w:r w:rsidR="00583A1C">
        <w:rPr>
          <w:sz w:val="16"/>
          <w:szCs w:val="16"/>
          <w:lang w:val="es-ES_tradnl"/>
        </w:rPr>
        <w:t xml:space="preserve">  </w:t>
      </w:r>
      <w:r w:rsidRPr="00C75C7E">
        <w:rPr>
          <w:sz w:val="16"/>
          <w:szCs w:val="16"/>
          <w:lang w:val="es-ES_tradnl"/>
        </w:rPr>
        <w:t>El presupuesto después de las transferencias refleja el presupuesto de los programas ajustado tra</w:t>
      </w:r>
      <w:r w:rsidR="00D86F03">
        <w:rPr>
          <w:sz w:val="16"/>
          <w:szCs w:val="16"/>
          <w:lang w:val="es-ES_tradnl"/>
        </w:rPr>
        <w:t xml:space="preserve">s las transferencias efectuadas </w:t>
      </w:r>
      <w:r w:rsidRPr="00C75C7E">
        <w:rPr>
          <w:sz w:val="16"/>
          <w:szCs w:val="16"/>
          <w:lang w:val="es-ES_tradnl"/>
        </w:rPr>
        <w:t>en 2012/13 en virtud del artículo 5.5 del Reglamento Financiero. Para más info</w:t>
      </w:r>
      <w:r w:rsidR="00D86F03">
        <w:rPr>
          <w:sz w:val="16"/>
          <w:szCs w:val="16"/>
          <w:lang w:val="es-ES_tradnl"/>
        </w:rPr>
        <w:t>rmación sobre el presupuesto de </w:t>
      </w:r>
      <w:r w:rsidRPr="00C75C7E">
        <w:rPr>
          <w:sz w:val="16"/>
          <w:szCs w:val="16"/>
          <w:lang w:val="es-ES_tradnl"/>
        </w:rPr>
        <w:t xml:space="preserve">2012/13 después de las transferencias, cabe remitirse al cuadro que figura en el Anexo I (Presupuesto después de las transferencias, por programa) del presente documento y al documento WO/PBC/20/2 (Informe sobre el rendimiento de los programas en 2012).  </w:t>
      </w:r>
      <w:r w:rsidRPr="00C75C7E">
        <w:rPr>
          <w:rFonts w:cs="ArialMT"/>
          <w:sz w:val="16"/>
          <w:szCs w:val="16"/>
          <w:lang w:val="es-ES_tradnl"/>
        </w:rPr>
        <w:t xml:space="preserve">Los costos de personal del presupuesto de 2012/13 después de las transferencias representan los gastos reales efectuados hasta el 31 de </w:t>
      </w:r>
      <w:r w:rsidRPr="006569D5">
        <w:rPr>
          <w:sz w:val="16"/>
          <w:szCs w:val="16"/>
          <w:lang w:val="es-ES_tradnl"/>
        </w:rPr>
        <w:t>marzo</w:t>
      </w:r>
      <w:r w:rsidRPr="00C75C7E">
        <w:rPr>
          <w:rFonts w:cs="ArialMT"/>
          <w:sz w:val="16"/>
          <w:szCs w:val="16"/>
          <w:lang w:val="es-ES_tradnl"/>
        </w:rPr>
        <w:t xml:space="preserve"> de 2013 y los importes presupuestados para los nueve meses restantes de 2013, sobre la base de costos estándar.</w:t>
      </w:r>
    </w:p>
    <w:p w:rsidR="00A80F8D" w:rsidRPr="00C75C7E" w:rsidRDefault="00A80F8D" w:rsidP="00A80F8D">
      <w:pPr>
        <w:widowControl w:val="0"/>
        <w:tabs>
          <w:tab w:val="left" w:pos="567"/>
        </w:tabs>
        <w:rPr>
          <w:sz w:val="16"/>
          <w:szCs w:val="16"/>
          <w:lang w:val="es-ES_tradnl"/>
        </w:rPr>
      </w:pPr>
    </w:p>
    <w:p w:rsidR="00A80F8D" w:rsidRDefault="00A80F8D" w:rsidP="00A80F8D">
      <w:pPr>
        <w:rPr>
          <w:sz w:val="16"/>
          <w:szCs w:val="16"/>
          <w:lang w:val="es-ES_tradnl"/>
        </w:rPr>
      </w:pPr>
      <w:r>
        <w:rPr>
          <w:sz w:val="16"/>
          <w:szCs w:val="16"/>
          <w:lang w:val="es-ES_tradnl"/>
        </w:rPr>
        <w:t>3)</w:t>
      </w:r>
      <w:r w:rsidR="00583A1C">
        <w:rPr>
          <w:sz w:val="16"/>
          <w:szCs w:val="16"/>
          <w:lang w:val="es-ES_tradnl"/>
        </w:rPr>
        <w:t xml:space="preserve">  </w:t>
      </w:r>
      <w:r w:rsidRPr="00C75C7E">
        <w:rPr>
          <w:sz w:val="16"/>
          <w:szCs w:val="16"/>
          <w:lang w:val="es-ES_tradnl"/>
        </w:rPr>
        <w:t>Para más información sobre los puestos del programa cabe remitirse al cuadro que figura en el Anexo II.</w:t>
      </w:r>
    </w:p>
    <w:p w:rsidR="006D7DA6" w:rsidRDefault="006D7DA6" w:rsidP="00A80F8D">
      <w:pPr>
        <w:rPr>
          <w:sz w:val="16"/>
          <w:szCs w:val="16"/>
          <w:lang w:val="es-ES_tradnl"/>
        </w:rPr>
      </w:pPr>
    </w:p>
    <w:p w:rsidR="00DC4C0C" w:rsidRDefault="00DC4C0C" w:rsidP="00A80F8D">
      <w:pPr>
        <w:rPr>
          <w:sz w:val="16"/>
          <w:szCs w:val="16"/>
          <w:lang w:val="es-ES_tradnl"/>
        </w:rPr>
      </w:pPr>
    </w:p>
    <w:p w:rsidR="00DC4C0C" w:rsidRDefault="00DC4C0C" w:rsidP="00A80F8D">
      <w:pPr>
        <w:rPr>
          <w:sz w:val="16"/>
          <w:szCs w:val="16"/>
          <w:lang w:val="es-ES_tradnl"/>
        </w:rPr>
        <w:sectPr w:rsidR="00DC4C0C" w:rsidSect="00FF362A">
          <w:headerReference w:type="default" r:id="rId91"/>
          <w:headerReference w:type="first" r:id="rId92"/>
          <w:pgSz w:w="11907" w:h="16840" w:code="9"/>
          <w:pgMar w:top="567" w:right="1134" w:bottom="1418" w:left="1418" w:header="510" w:footer="1021" w:gutter="0"/>
          <w:cols w:space="720"/>
          <w:titlePg/>
        </w:sectPr>
      </w:pPr>
    </w:p>
    <w:p w:rsidR="006D7DA6" w:rsidRDefault="00DC4C0C" w:rsidP="00C2064F">
      <w:pPr>
        <w:pStyle w:val="Heading2"/>
        <w:jc w:val="center"/>
        <w:rPr>
          <w:b/>
          <w:caps w:val="0"/>
          <w:sz w:val="24"/>
          <w:szCs w:val="24"/>
          <w:lang w:val="es-ES_tradnl" w:eastAsia="da-DK"/>
        </w:rPr>
      </w:pPr>
      <w:bookmarkStart w:id="56" w:name="_Toc356567766"/>
      <w:bookmarkStart w:id="57" w:name="_Toc358816704"/>
      <w:r w:rsidRPr="00DC4C0C">
        <w:rPr>
          <w:b/>
          <w:caps w:val="0"/>
          <w:sz w:val="24"/>
          <w:szCs w:val="24"/>
          <w:lang w:val="es-ES_tradnl" w:eastAsia="da-DK"/>
        </w:rPr>
        <w:lastRenderedPageBreak/>
        <w:t>META ESTRATÉGICA V</w:t>
      </w:r>
    </w:p>
    <w:p w:rsidR="00C2064F" w:rsidRPr="00DC4C0C" w:rsidRDefault="00DC4C0C" w:rsidP="00C2064F">
      <w:pPr>
        <w:pStyle w:val="Heading2"/>
        <w:jc w:val="center"/>
        <w:rPr>
          <w:b/>
          <w:caps w:val="0"/>
          <w:sz w:val="24"/>
          <w:szCs w:val="24"/>
          <w:lang w:val="es-ES_tradnl" w:eastAsia="da-DK"/>
        </w:rPr>
      </w:pPr>
      <w:r w:rsidRPr="00DC4C0C">
        <w:rPr>
          <w:b/>
          <w:caps w:val="0"/>
          <w:sz w:val="24"/>
          <w:szCs w:val="24"/>
          <w:lang w:val="es-ES_tradnl" w:eastAsia="da-DK"/>
        </w:rPr>
        <w:t>FUENTE DE REFERENCIA EN EL MUNDO</w:t>
      </w:r>
      <w:r w:rsidR="003B22A3">
        <w:rPr>
          <w:b/>
          <w:caps w:val="0"/>
          <w:sz w:val="24"/>
          <w:szCs w:val="24"/>
          <w:lang w:val="es-ES_tradnl" w:eastAsia="da-DK"/>
        </w:rPr>
        <w:t xml:space="preserve"> </w:t>
      </w:r>
      <w:r w:rsidRPr="00DC4C0C">
        <w:rPr>
          <w:b/>
          <w:caps w:val="0"/>
          <w:sz w:val="24"/>
          <w:szCs w:val="24"/>
          <w:lang w:val="es-ES_tradnl" w:eastAsia="da-DK"/>
        </w:rPr>
        <w:t xml:space="preserve">DE INFORMACIÓN </w:t>
      </w:r>
      <w:r w:rsidR="003B22A3">
        <w:rPr>
          <w:b/>
          <w:caps w:val="0"/>
          <w:sz w:val="24"/>
          <w:szCs w:val="24"/>
          <w:lang w:val="es-ES_tradnl" w:eastAsia="da-DK"/>
        </w:rPr>
        <w:br/>
      </w:r>
      <w:r w:rsidRPr="00DC4C0C">
        <w:rPr>
          <w:b/>
          <w:caps w:val="0"/>
          <w:sz w:val="24"/>
          <w:szCs w:val="24"/>
          <w:lang w:val="es-ES_tradnl" w:eastAsia="da-DK"/>
        </w:rPr>
        <w:t xml:space="preserve">Y ANÁLISIS </w:t>
      </w:r>
      <w:r w:rsidR="003B22A3">
        <w:rPr>
          <w:b/>
          <w:caps w:val="0"/>
          <w:sz w:val="24"/>
          <w:szCs w:val="24"/>
          <w:lang w:val="es-ES_tradnl" w:eastAsia="da-DK"/>
        </w:rPr>
        <w:t xml:space="preserve">EN MATERIA </w:t>
      </w:r>
      <w:r w:rsidRPr="00DC4C0C">
        <w:rPr>
          <w:b/>
          <w:caps w:val="0"/>
          <w:sz w:val="24"/>
          <w:szCs w:val="24"/>
          <w:lang w:val="es-ES_tradnl" w:eastAsia="da-DK"/>
        </w:rPr>
        <w:t>DE P.I.</w:t>
      </w:r>
      <w:bookmarkEnd w:id="56"/>
      <w:bookmarkEnd w:id="57"/>
    </w:p>
    <w:p w:rsidR="00C2064F" w:rsidRPr="00450C3A" w:rsidRDefault="00C2064F" w:rsidP="00C2064F">
      <w:pPr>
        <w:widowControl w:val="0"/>
        <w:tabs>
          <w:tab w:val="left" w:pos="1701"/>
        </w:tabs>
        <w:ind w:left="1701" w:hanging="1701"/>
        <w:jc w:val="center"/>
        <w:rPr>
          <w:rFonts w:eastAsia="Times New Roman"/>
          <w:bCs/>
          <w:caps/>
          <w:sz w:val="24"/>
          <w:szCs w:val="24"/>
          <w:lang w:eastAsia="en-US"/>
        </w:rPr>
      </w:pPr>
    </w:p>
    <w:p w:rsidR="00C2064F" w:rsidRPr="00450C3A" w:rsidRDefault="00C2064F" w:rsidP="00C2064F">
      <w:pPr>
        <w:widowControl w:val="0"/>
        <w:tabs>
          <w:tab w:val="left" w:pos="1701"/>
        </w:tabs>
        <w:ind w:left="1701" w:hanging="1701"/>
        <w:jc w:val="center"/>
        <w:rPr>
          <w:rFonts w:eastAsia="Times New Roman"/>
          <w:bCs/>
          <w:caps/>
          <w:sz w:val="24"/>
          <w:szCs w:val="24"/>
          <w:lang w:eastAsia="en-US"/>
        </w:rPr>
      </w:pPr>
    </w:p>
    <w:p w:rsidR="00C2064F" w:rsidRPr="00C2064F" w:rsidRDefault="00C2064F" w:rsidP="00C2064F">
      <w:pPr>
        <w:widowControl w:val="0"/>
        <w:jc w:val="both"/>
        <w:rPr>
          <w:rFonts w:eastAsia="Times New Roman"/>
          <w:sz w:val="20"/>
          <w:lang w:val="es-ES_tradnl" w:eastAsia="en-US"/>
        </w:rPr>
      </w:pPr>
      <w:r w:rsidRPr="00C2064F">
        <w:rPr>
          <w:rFonts w:eastAsia="Times New Roman"/>
          <w:sz w:val="20"/>
          <w:lang w:val="es-ES_tradnl" w:eastAsia="en-US"/>
        </w:rPr>
        <w:t xml:space="preserve">En la OMPI se crean y se mantienen destacadas colecciones de información sobre tecnología divulgada, datos sobre marcas e información técnica y jurídica del ámbito de la P.I.  Esas colecciones reflejan lo que sucede en sectores importantes de la economía y en el sistema de P.I.;  su valor es inmenso para los encargados de la adopción de políticas, el sector industrial, las empresas y otros usuarios del sistema de P.I., además del público interesado.  Ese valor ha sido reconocido también por la Agenda para el Desarrollo (A.D.), en cuyo marco se insta a la OMPI a que produzca análisis y estudios económicos de base empírica.  </w:t>
      </w:r>
    </w:p>
    <w:p w:rsidR="00C2064F" w:rsidRPr="00C2064F" w:rsidRDefault="00C2064F" w:rsidP="00C2064F">
      <w:pPr>
        <w:widowControl w:val="0"/>
        <w:autoSpaceDE w:val="0"/>
        <w:autoSpaceDN w:val="0"/>
        <w:adjustRightInd w:val="0"/>
        <w:spacing w:before="120"/>
        <w:jc w:val="both"/>
        <w:rPr>
          <w:rFonts w:eastAsia="Times New Roman"/>
          <w:sz w:val="20"/>
          <w:lang w:val="es-ES_tradnl" w:eastAsia="en-US"/>
        </w:rPr>
      </w:pPr>
      <w:r w:rsidRPr="00C2064F">
        <w:rPr>
          <w:rFonts w:eastAsia="Times New Roman"/>
          <w:sz w:val="20"/>
          <w:lang w:val="es-ES_tradnl" w:eastAsia="en-US"/>
        </w:rPr>
        <w:t>Sin embargo, el valor referencial de las colecciones de datos de la OMPI depende de que esas colecciones sean exactas, estén actualizadas y respondan a las necesidades de los sectores interesados, además de ser de acceso libre y universal.  La OMPI se encuentra en una posición de privilegio para servir de anfitrión de las colecciones de información sobre P.I. más vastas y valiosas del mundo y crear un portal de acceso a ellas.  En el marco de esta meta estratégica, la OMPI procurará aprovechar el potencial que le da esa posición de privilegio.</w:t>
      </w:r>
    </w:p>
    <w:p w:rsidR="003E638B" w:rsidRPr="00C2064F" w:rsidRDefault="003E638B" w:rsidP="003E638B">
      <w:pPr>
        <w:tabs>
          <w:tab w:val="left" w:pos="1701"/>
        </w:tabs>
        <w:ind w:left="1701" w:hanging="1701"/>
        <w:rPr>
          <w:b/>
          <w:bCs/>
          <w:caps/>
          <w:sz w:val="20"/>
          <w:lang w:val="es-ES_tradnl"/>
        </w:rPr>
      </w:pPr>
    </w:p>
    <w:p w:rsidR="00602A7C" w:rsidRPr="00C2064F" w:rsidRDefault="00602A7C" w:rsidP="00A80F8D">
      <w:pPr>
        <w:rPr>
          <w:sz w:val="20"/>
        </w:rPr>
      </w:pPr>
    </w:p>
    <w:tbl>
      <w:tblPr>
        <w:tblW w:w="4855"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514"/>
        <w:gridCol w:w="2723"/>
        <w:gridCol w:w="3056"/>
      </w:tblGrid>
      <w:tr w:rsidR="003E638B" w:rsidRPr="00C75C7E" w:rsidTr="008F4F69">
        <w:trPr>
          <w:cantSplit/>
          <w:trHeight w:val="605"/>
        </w:trPr>
        <w:tc>
          <w:tcPr>
            <w:tcW w:w="1891" w:type="pct"/>
            <w:tcBorders>
              <w:top w:val="single" w:sz="4" w:space="0" w:color="auto"/>
              <w:bottom w:val="single" w:sz="4" w:space="0" w:color="auto"/>
            </w:tcBorders>
            <w:shd w:val="clear" w:color="auto" w:fill="CCFFFF"/>
            <w:tcMar>
              <w:top w:w="113" w:type="dxa"/>
              <w:bottom w:w="85" w:type="dxa"/>
            </w:tcMar>
            <w:vAlign w:val="center"/>
          </w:tcPr>
          <w:p w:rsidR="003E638B" w:rsidRPr="00C75C7E" w:rsidRDefault="003E638B" w:rsidP="008F4F69">
            <w:pPr>
              <w:widowControl w:val="0"/>
              <w:spacing w:after="120"/>
              <w:jc w:val="center"/>
              <w:rPr>
                <w:b/>
                <w:bCs/>
                <w:sz w:val="18"/>
                <w:szCs w:val="18"/>
                <w:lang w:val="es-ES_tradnl"/>
              </w:rPr>
            </w:pPr>
            <w:r w:rsidRPr="00C75C7E">
              <w:rPr>
                <w:b/>
                <w:bCs/>
                <w:sz w:val="18"/>
                <w:szCs w:val="18"/>
                <w:lang w:val="es-ES_tradnl"/>
              </w:rPr>
              <w:t>Resultados previstos</w:t>
            </w:r>
          </w:p>
        </w:tc>
        <w:tc>
          <w:tcPr>
            <w:tcW w:w="1465" w:type="pct"/>
            <w:tcBorders>
              <w:top w:val="single" w:sz="4" w:space="0" w:color="auto"/>
              <w:bottom w:val="single" w:sz="4" w:space="0" w:color="auto"/>
            </w:tcBorders>
            <w:shd w:val="clear" w:color="auto" w:fill="CCFFFF"/>
            <w:tcMar>
              <w:top w:w="113" w:type="dxa"/>
              <w:bottom w:w="85" w:type="dxa"/>
            </w:tcMar>
            <w:vAlign w:val="center"/>
          </w:tcPr>
          <w:p w:rsidR="003E638B" w:rsidRPr="00C75C7E" w:rsidRDefault="003E638B" w:rsidP="008F4F69">
            <w:pPr>
              <w:widowControl w:val="0"/>
              <w:spacing w:after="120"/>
              <w:jc w:val="center"/>
              <w:rPr>
                <w:b/>
                <w:bCs/>
                <w:sz w:val="18"/>
                <w:szCs w:val="18"/>
                <w:lang w:val="es-ES_tradnl"/>
              </w:rPr>
            </w:pPr>
            <w:r w:rsidRPr="00C75C7E">
              <w:rPr>
                <w:b/>
                <w:bCs/>
                <w:sz w:val="18"/>
                <w:szCs w:val="18"/>
                <w:lang w:val="es-ES_tradnl"/>
              </w:rPr>
              <w:t>Indicadores de rendimiento</w:t>
            </w:r>
          </w:p>
        </w:tc>
        <w:tc>
          <w:tcPr>
            <w:tcW w:w="1644" w:type="pct"/>
            <w:tcBorders>
              <w:top w:val="single" w:sz="4" w:space="0" w:color="auto"/>
              <w:bottom w:val="single" w:sz="4" w:space="0" w:color="auto"/>
            </w:tcBorders>
            <w:shd w:val="clear" w:color="auto" w:fill="CCFFFF"/>
            <w:tcMar>
              <w:top w:w="113" w:type="dxa"/>
              <w:bottom w:w="85" w:type="dxa"/>
            </w:tcMar>
            <w:vAlign w:val="center"/>
          </w:tcPr>
          <w:p w:rsidR="003E638B" w:rsidRPr="00C75C7E" w:rsidRDefault="003E638B" w:rsidP="008F4F69">
            <w:pPr>
              <w:widowControl w:val="0"/>
              <w:spacing w:after="120"/>
              <w:ind w:left="85"/>
              <w:jc w:val="center"/>
              <w:rPr>
                <w:b/>
                <w:bCs/>
                <w:sz w:val="18"/>
                <w:szCs w:val="18"/>
                <w:lang w:val="es-ES_tradnl"/>
              </w:rPr>
            </w:pPr>
            <w:r w:rsidRPr="00C75C7E">
              <w:rPr>
                <w:b/>
                <w:bCs/>
                <w:sz w:val="18"/>
                <w:szCs w:val="18"/>
                <w:lang w:val="es-ES_tradnl"/>
              </w:rPr>
              <w:t>Programas responsables</w:t>
            </w:r>
          </w:p>
        </w:tc>
      </w:tr>
      <w:tr w:rsidR="003E638B" w:rsidRPr="00C75C7E" w:rsidTr="008F4F69">
        <w:trPr>
          <w:cantSplit/>
        </w:trPr>
        <w:tc>
          <w:tcPr>
            <w:tcW w:w="1891" w:type="pct"/>
            <w:tcBorders>
              <w:top w:val="single" w:sz="4" w:space="0" w:color="auto"/>
            </w:tcBorders>
            <w:shd w:val="clear" w:color="auto" w:fill="auto"/>
            <w:tcMar>
              <w:top w:w="113" w:type="dxa"/>
              <w:bottom w:w="85" w:type="dxa"/>
            </w:tcMar>
          </w:tcPr>
          <w:p w:rsidR="003E638B" w:rsidRPr="00C75C7E" w:rsidRDefault="003E638B" w:rsidP="008F4F69">
            <w:pPr>
              <w:widowControl w:val="0"/>
              <w:rPr>
                <w:sz w:val="16"/>
                <w:szCs w:val="16"/>
                <w:lang w:val="es-ES_tradnl"/>
              </w:rPr>
            </w:pPr>
            <w:r w:rsidRPr="00C75C7E">
              <w:rPr>
                <w:sz w:val="16"/>
                <w:szCs w:val="16"/>
                <w:lang w:val="es-ES_tradnl"/>
              </w:rPr>
              <w:t>V.1. Ampliación y mejora del uso de la información estadística de la OMPI en materia de P.I.</w:t>
            </w:r>
          </w:p>
        </w:tc>
        <w:tc>
          <w:tcPr>
            <w:tcW w:w="1465" w:type="pct"/>
            <w:tcBorders>
              <w:top w:val="single" w:sz="4" w:space="0" w:color="auto"/>
            </w:tcBorders>
            <w:shd w:val="clear" w:color="auto" w:fill="auto"/>
            <w:tcMar>
              <w:top w:w="113" w:type="dxa"/>
              <w:bottom w:w="85" w:type="dxa"/>
            </w:tcMar>
          </w:tcPr>
          <w:p w:rsidR="003E638B" w:rsidRPr="00C75C7E" w:rsidRDefault="003E638B" w:rsidP="008F4F69">
            <w:pPr>
              <w:widowControl w:val="0"/>
              <w:rPr>
                <w:sz w:val="16"/>
                <w:szCs w:val="16"/>
                <w:lang w:val="es-ES_tradnl"/>
              </w:rPr>
            </w:pPr>
            <w:r w:rsidRPr="00C75C7E">
              <w:rPr>
                <w:sz w:val="16"/>
                <w:szCs w:val="16"/>
                <w:lang w:val="es-ES_tradnl"/>
              </w:rPr>
              <w:t>Número de descargas de los cuatro principales informes estadísticos (Indicadores mundiales de propiedad intelectual, reseñas anuales del PCT, La Haya y Madrid).</w:t>
            </w:r>
          </w:p>
        </w:tc>
        <w:tc>
          <w:tcPr>
            <w:tcW w:w="1644" w:type="pct"/>
            <w:tcBorders>
              <w:top w:val="single" w:sz="4" w:space="0" w:color="auto"/>
            </w:tcBorders>
            <w:shd w:val="clear" w:color="auto" w:fill="FFFFFF"/>
            <w:tcMar>
              <w:top w:w="113" w:type="dxa"/>
              <w:bottom w:w="85" w:type="dxa"/>
            </w:tcMar>
          </w:tcPr>
          <w:p w:rsidR="003E638B" w:rsidRPr="00C75C7E" w:rsidRDefault="003E638B" w:rsidP="008F4F69">
            <w:pPr>
              <w:widowControl w:val="0"/>
              <w:ind w:left="768"/>
              <w:rPr>
                <w:sz w:val="16"/>
                <w:szCs w:val="16"/>
                <w:lang w:val="es-ES_tradnl"/>
              </w:rPr>
            </w:pPr>
            <w:r w:rsidRPr="00C75C7E">
              <w:rPr>
                <w:sz w:val="16"/>
                <w:szCs w:val="16"/>
                <w:lang w:val="es-ES_tradnl" w:bidi="th-TH"/>
              </w:rPr>
              <w:t>Programa  16</w:t>
            </w:r>
          </w:p>
        </w:tc>
      </w:tr>
      <w:tr w:rsidR="003E638B" w:rsidRPr="00C75C7E" w:rsidTr="008F4F69">
        <w:trPr>
          <w:cantSplit/>
          <w:trHeight w:val="500"/>
        </w:trPr>
        <w:tc>
          <w:tcPr>
            <w:tcW w:w="1891" w:type="pct"/>
            <w:shd w:val="clear" w:color="auto" w:fill="auto"/>
            <w:tcMar>
              <w:top w:w="113" w:type="dxa"/>
              <w:bottom w:w="85" w:type="dxa"/>
            </w:tcMar>
          </w:tcPr>
          <w:p w:rsidR="003E638B" w:rsidRPr="00C75C7E" w:rsidRDefault="003E638B" w:rsidP="008F4F69">
            <w:pPr>
              <w:widowControl w:val="0"/>
              <w:rPr>
                <w:sz w:val="16"/>
                <w:szCs w:val="16"/>
                <w:lang w:val="es-ES_tradnl"/>
              </w:rPr>
            </w:pPr>
          </w:p>
        </w:tc>
        <w:tc>
          <w:tcPr>
            <w:tcW w:w="1465" w:type="pct"/>
            <w:shd w:val="clear" w:color="auto" w:fill="auto"/>
            <w:tcMar>
              <w:top w:w="113" w:type="dxa"/>
              <w:bottom w:w="85" w:type="dxa"/>
            </w:tcMar>
          </w:tcPr>
          <w:p w:rsidR="003E638B" w:rsidRPr="00C75C7E" w:rsidRDefault="003E638B" w:rsidP="008F4F69">
            <w:pPr>
              <w:widowControl w:val="0"/>
              <w:rPr>
                <w:sz w:val="16"/>
                <w:szCs w:val="16"/>
                <w:lang w:val="es-ES_tradnl"/>
              </w:rPr>
            </w:pPr>
            <w:r w:rsidRPr="00C75C7E">
              <w:rPr>
                <w:sz w:val="16"/>
                <w:szCs w:val="16"/>
                <w:lang w:val="es-ES_tradnl"/>
              </w:rPr>
              <w:t xml:space="preserve">Número de visitantes que utilizan el Centro de datos de estadísticas de P.I. </w:t>
            </w:r>
          </w:p>
        </w:tc>
        <w:tc>
          <w:tcPr>
            <w:tcW w:w="1644" w:type="pct"/>
            <w:shd w:val="clear" w:color="auto" w:fill="FFFFFF"/>
            <w:tcMar>
              <w:top w:w="113" w:type="dxa"/>
              <w:bottom w:w="85" w:type="dxa"/>
            </w:tcMar>
          </w:tcPr>
          <w:p w:rsidR="003E638B" w:rsidRPr="00C75C7E" w:rsidRDefault="003E638B" w:rsidP="008F4F69">
            <w:pPr>
              <w:widowControl w:val="0"/>
              <w:ind w:left="768"/>
              <w:rPr>
                <w:sz w:val="16"/>
                <w:szCs w:val="16"/>
                <w:lang w:val="es-ES_tradnl"/>
              </w:rPr>
            </w:pPr>
            <w:r w:rsidRPr="00C75C7E">
              <w:rPr>
                <w:sz w:val="16"/>
                <w:szCs w:val="16"/>
                <w:lang w:val="es-ES_tradnl" w:bidi="th-TH"/>
              </w:rPr>
              <w:t>Programa  16</w:t>
            </w:r>
          </w:p>
        </w:tc>
      </w:tr>
      <w:tr w:rsidR="003E638B" w:rsidRPr="00C75C7E" w:rsidTr="008F4F69">
        <w:trPr>
          <w:cantSplit/>
          <w:trHeight w:val="507"/>
        </w:trPr>
        <w:tc>
          <w:tcPr>
            <w:tcW w:w="1891" w:type="pct"/>
            <w:shd w:val="clear" w:color="auto" w:fill="auto"/>
            <w:tcMar>
              <w:top w:w="113" w:type="dxa"/>
              <w:bottom w:w="85" w:type="dxa"/>
            </w:tcMar>
          </w:tcPr>
          <w:p w:rsidR="003E638B" w:rsidRPr="00C75C7E" w:rsidRDefault="003E638B" w:rsidP="008F4F69">
            <w:pPr>
              <w:widowControl w:val="0"/>
              <w:tabs>
                <w:tab w:val="right" w:pos="2835"/>
              </w:tabs>
              <w:spacing w:after="60"/>
              <w:rPr>
                <w:sz w:val="15"/>
                <w:szCs w:val="15"/>
                <w:lang w:val="es-ES_tradnl"/>
              </w:rPr>
            </w:pPr>
            <w:r w:rsidRPr="00C75C7E">
              <w:rPr>
                <w:sz w:val="16"/>
                <w:szCs w:val="16"/>
                <w:lang w:val="es-ES_tradnl"/>
              </w:rPr>
              <w:t>V.2. Ampliación y mejora del uso de los análisis económicos de la OMPI en la formulación de políticas.</w:t>
            </w:r>
            <w:r w:rsidRPr="00C75C7E">
              <w:rPr>
                <w:sz w:val="15"/>
                <w:szCs w:val="15"/>
                <w:lang w:val="es-ES_tradnl"/>
              </w:rPr>
              <w:t xml:space="preserve"> </w:t>
            </w:r>
          </w:p>
          <w:p w:rsidR="003E638B" w:rsidRPr="00C75C7E" w:rsidRDefault="003E638B" w:rsidP="008F4F69">
            <w:pPr>
              <w:widowControl w:val="0"/>
              <w:rPr>
                <w:sz w:val="16"/>
                <w:szCs w:val="16"/>
                <w:lang w:val="es-ES_tradnl"/>
              </w:rPr>
            </w:pPr>
          </w:p>
        </w:tc>
        <w:tc>
          <w:tcPr>
            <w:tcW w:w="1465" w:type="pct"/>
            <w:shd w:val="clear" w:color="auto" w:fill="auto"/>
            <w:tcMar>
              <w:top w:w="113" w:type="dxa"/>
              <w:bottom w:w="85" w:type="dxa"/>
            </w:tcMar>
          </w:tcPr>
          <w:p w:rsidR="003E638B" w:rsidRPr="00C75C7E" w:rsidRDefault="003E638B" w:rsidP="008F4F69">
            <w:pPr>
              <w:widowControl w:val="0"/>
              <w:rPr>
                <w:sz w:val="16"/>
                <w:szCs w:val="16"/>
                <w:lang w:val="es-ES_tradnl"/>
              </w:rPr>
            </w:pPr>
            <w:r w:rsidRPr="00C75C7E">
              <w:rPr>
                <w:sz w:val="16"/>
                <w:szCs w:val="16"/>
                <w:lang w:val="es-ES_tradnl"/>
              </w:rPr>
              <w:t>Uso de estudios económicos de la OMPI sobre derecho de autor en la toma de decisiones de gobiernos y ONG.</w:t>
            </w:r>
          </w:p>
        </w:tc>
        <w:tc>
          <w:tcPr>
            <w:tcW w:w="1644" w:type="pct"/>
            <w:shd w:val="clear" w:color="auto" w:fill="FFFFFF"/>
            <w:tcMar>
              <w:top w:w="113" w:type="dxa"/>
              <w:bottom w:w="85" w:type="dxa"/>
            </w:tcMar>
          </w:tcPr>
          <w:p w:rsidR="003E638B" w:rsidRPr="00C75C7E" w:rsidRDefault="003E638B" w:rsidP="008F4F69">
            <w:pPr>
              <w:widowControl w:val="0"/>
              <w:ind w:left="768"/>
              <w:rPr>
                <w:sz w:val="16"/>
                <w:szCs w:val="16"/>
                <w:lang w:val="es-ES_tradnl"/>
              </w:rPr>
            </w:pPr>
            <w:r w:rsidRPr="00C75C7E">
              <w:rPr>
                <w:sz w:val="16"/>
                <w:szCs w:val="16"/>
                <w:lang w:val="es-ES_tradnl" w:bidi="th-TH"/>
              </w:rPr>
              <w:t>Programa  3</w:t>
            </w:r>
          </w:p>
        </w:tc>
      </w:tr>
      <w:tr w:rsidR="003E638B" w:rsidRPr="00C75C7E" w:rsidTr="008F4F69">
        <w:trPr>
          <w:cantSplit/>
          <w:trHeight w:val="842"/>
        </w:trPr>
        <w:tc>
          <w:tcPr>
            <w:tcW w:w="1891" w:type="pct"/>
            <w:shd w:val="clear" w:color="auto" w:fill="auto"/>
            <w:tcMar>
              <w:top w:w="113" w:type="dxa"/>
              <w:bottom w:w="85" w:type="dxa"/>
            </w:tcMar>
          </w:tcPr>
          <w:p w:rsidR="003E638B" w:rsidRPr="00C75C7E" w:rsidRDefault="003E638B" w:rsidP="008F4F69">
            <w:pPr>
              <w:widowControl w:val="0"/>
              <w:rPr>
                <w:sz w:val="16"/>
                <w:szCs w:val="16"/>
                <w:lang w:val="es-ES_tradnl"/>
              </w:rPr>
            </w:pPr>
          </w:p>
        </w:tc>
        <w:tc>
          <w:tcPr>
            <w:tcW w:w="1465" w:type="pct"/>
            <w:shd w:val="clear" w:color="auto" w:fill="auto"/>
            <w:tcMar>
              <w:top w:w="113" w:type="dxa"/>
              <w:bottom w:w="85" w:type="dxa"/>
            </w:tcMar>
          </w:tcPr>
          <w:p w:rsidR="003E638B" w:rsidRPr="00C75C7E" w:rsidRDefault="003E638B" w:rsidP="008F4F69">
            <w:pPr>
              <w:widowControl w:val="0"/>
              <w:rPr>
                <w:sz w:val="16"/>
                <w:szCs w:val="16"/>
                <w:lang w:val="es-ES_tradnl"/>
              </w:rPr>
            </w:pPr>
            <w:r w:rsidRPr="00C75C7E">
              <w:rPr>
                <w:sz w:val="16"/>
                <w:szCs w:val="16"/>
                <w:lang w:val="es-ES_tradnl"/>
              </w:rPr>
              <w:t>Iniciativas nacionales para elaborar nuevas estadísticas sobre las industrias creativas teniendo en cuenta la labor de la OMPI en ese ámbito.</w:t>
            </w:r>
          </w:p>
        </w:tc>
        <w:tc>
          <w:tcPr>
            <w:tcW w:w="1644" w:type="pct"/>
            <w:shd w:val="clear" w:color="auto" w:fill="FFFFFF"/>
            <w:tcMar>
              <w:top w:w="113" w:type="dxa"/>
              <w:bottom w:w="85" w:type="dxa"/>
            </w:tcMar>
          </w:tcPr>
          <w:p w:rsidR="003E638B" w:rsidRPr="00C75C7E" w:rsidRDefault="003E638B" w:rsidP="008F4F69">
            <w:pPr>
              <w:widowControl w:val="0"/>
              <w:ind w:left="768"/>
              <w:rPr>
                <w:sz w:val="16"/>
                <w:szCs w:val="16"/>
                <w:lang w:val="es-ES_tradnl"/>
              </w:rPr>
            </w:pPr>
            <w:r w:rsidRPr="00C75C7E">
              <w:rPr>
                <w:sz w:val="16"/>
                <w:szCs w:val="16"/>
                <w:lang w:val="es-ES_tradnl" w:bidi="th-TH"/>
              </w:rPr>
              <w:t>Programa  3</w:t>
            </w:r>
          </w:p>
        </w:tc>
      </w:tr>
      <w:tr w:rsidR="003E638B" w:rsidRPr="00C75C7E" w:rsidTr="008F4F69">
        <w:trPr>
          <w:cantSplit/>
          <w:trHeight w:val="512"/>
        </w:trPr>
        <w:tc>
          <w:tcPr>
            <w:tcW w:w="1891" w:type="pct"/>
            <w:shd w:val="clear" w:color="auto" w:fill="auto"/>
            <w:tcMar>
              <w:top w:w="113" w:type="dxa"/>
              <w:bottom w:w="85" w:type="dxa"/>
            </w:tcMar>
          </w:tcPr>
          <w:p w:rsidR="003E638B" w:rsidRPr="00C75C7E" w:rsidRDefault="003E638B" w:rsidP="008F4F69">
            <w:pPr>
              <w:widowControl w:val="0"/>
              <w:rPr>
                <w:sz w:val="16"/>
                <w:szCs w:val="16"/>
                <w:lang w:val="es-ES_tradnl"/>
              </w:rPr>
            </w:pPr>
          </w:p>
        </w:tc>
        <w:tc>
          <w:tcPr>
            <w:tcW w:w="1465" w:type="pct"/>
            <w:shd w:val="clear" w:color="auto" w:fill="auto"/>
            <w:tcMar>
              <w:top w:w="113" w:type="dxa"/>
              <w:bottom w:w="85" w:type="dxa"/>
            </w:tcMar>
          </w:tcPr>
          <w:p w:rsidR="003E638B" w:rsidRPr="00C75C7E" w:rsidRDefault="003E638B" w:rsidP="008F4F69">
            <w:pPr>
              <w:widowControl w:val="0"/>
              <w:rPr>
                <w:sz w:val="16"/>
                <w:szCs w:val="16"/>
                <w:lang w:val="es-ES_tradnl"/>
              </w:rPr>
            </w:pPr>
            <w:r w:rsidRPr="00C75C7E">
              <w:rPr>
                <w:sz w:val="16"/>
                <w:szCs w:val="16"/>
                <w:lang w:val="es-ES_tradnl"/>
              </w:rPr>
              <w:t>Número de descargas de las principales publicaciones económicas.</w:t>
            </w:r>
          </w:p>
        </w:tc>
        <w:tc>
          <w:tcPr>
            <w:tcW w:w="1644" w:type="pct"/>
            <w:shd w:val="clear" w:color="auto" w:fill="FFFFFF"/>
            <w:tcMar>
              <w:top w:w="113" w:type="dxa"/>
              <w:bottom w:w="85" w:type="dxa"/>
            </w:tcMar>
          </w:tcPr>
          <w:p w:rsidR="003E638B" w:rsidRPr="00C75C7E" w:rsidRDefault="003E638B" w:rsidP="008F4F69">
            <w:pPr>
              <w:widowControl w:val="0"/>
              <w:ind w:left="768"/>
              <w:rPr>
                <w:sz w:val="16"/>
                <w:szCs w:val="16"/>
                <w:lang w:val="es-ES_tradnl" w:bidi="th-TH"/>
              </w:rPr>
            </w:pPr>
            <w:r w:rsidRPr="00C75C7E">
              <w:rPr>
                <w:sz w:val="16"/>
                <w:szCs w:val="16"/>
                <w:lang w:val="es-ES_tradnl" w:bidi="th-TH"/>
              </w:rPr>
              <w:t>Programa  16</w:t>
            </w:r>
          </w:p>
        </w:tc>
      </w:tr>
      <w:tr w:rsidR="003E638B" w:rsidRPr="00C75C7E" w:rsidTr="008F4F69">
        <w:trPr>
          <w:cantSplit/>
          <w:trHeight w:val="532"/>
        </w:trPr>
        <w:tc>
          <w:tcPr>
            <w:tcW w:w="1891" w:type="pct"/>
            <w:shd w:val="clear" w:color="auto" w:fill="auto"/>
            <w:tcMar>
              <w:top w:w="113" w:type="dxa"/>
              <w:bottom w:w="85" w:type="dxa"/>
            </w:tcMar>
          </w:tcPr>
          <w:p w:rsidR="003E638B" w:rsidRPr="00C75C7E" w:rsidRDefault="003E638B" w:rsidP="008F4F69">
            <w:pPr>
              <w:widowControl w:val="0"/>
              <w:rPr>
                <w:sz w:val="16"/>
                <w:szCs w:val="16"/>
                <w:lang w:val="es-ES_tradnl"/>
              </w:rPr>
            </w:pPr>
          </w:p>
        </w:tc>
        <w:tc>
          <w:tcPr>
            <w:tcW w:w="1465" w:type="pct"/>
            <w:shd w:val="clear" w:color="auto" w:fill="auto"/>
            <w:tcMar>
              <w:top w:w="113" w:type="dxa"/>
              <w:bottom w:w="85" w:type="dxa"/>
            </w:tcMar>
          </w:tcPr>
          <w:p w:rsidR="003E638B" w:rsidRPr="00C75C7E" w:rsidRDefault="003E638B" w:rsidP="008F4F69">
            <w:pPr>
              <w:widowControl w:val="0"/>
              <w:rPr>
                <w:sz w:val="16"/>
                <w:szCs w:val="16"/>
                <w:lang w:val="es-ES_tradnl"/>
              </w:rPr>
            </w:pPr>
            <w:r w:rsidRPr="00C75C7E">
              <w:rPr>
                <w:sz w:val="16"/>
                <w:szCs w:val="16"/>
                <w:lang w:val="es-ES_tradnl"/>
              </w:rPr>
              <w:t>Número de descargas de estudios</w:t>
            </w:r>
          </w:p>
        </w:tc>
        <w:tc>
          <w:tcPr>
            <w:tcW w:w="1644" w:type="pct"/>
            <w:shd w:val="clear" w:color="auto" w:fill="FFFFFF"/>
            <w:tcMar>
              <w:top w:w="113" w:type="dxa"/>
              <w:bottom w:w="85" w:type="dxa"/>
            </w:tcMar>
          </w:tcPr>
          <w:p w:rsidR="003E638B" w:rsidRPr="00C75C7E" w:rsidRDefault="003E638B" w:rsidP="008F4F69">
            <w:pPr>
              <w:widowControl w:val="0"/>
              <w:ind w:left="768"/>
              <w:rPr>
                <w:sz w:val="16"/>
                <w:szCs w:val="16"/>
                <w:lang w:val="es-ES_tradnl" w:bidi="th-TH"/>
              </w:rPr>
            </w:pPr>
            <w:r w:rsidRPr="00C75C7E">
              <w:rPr>
                <w:sz w:val="16"/>
                <w:szCs w:val="16"/>
                <w:lang w:val="es-ES_tradnl" w:bidi="th-TH"/>
              </w:rPr>
              <w:t>Programa  16</w:t>
            </w:r>
          </w:p>
        </w:tc>
      </w:tr>
      <w:tr w:rsidR="003E638B" w:rsidRPr="00C75C7E" w:rsidTr="008F4F69">
        <w:trPr>
          <w:cantSplit/>
          <w:trHeight w:val="381"/>
        </w:trPr>
        <w:tc>
          <w:tcPr>
            <w:tcW w:w="1891" w:type="pct"/>
            <w:shd w:val="clear" w:color="auto" w:fill="auto"/>
            <w:tcMar>
              <w:top w:w="113" w:type="dxa"/>
              <w:bottom w:w="85" w:type="dxa"/>
            </w:tcMar>
          </w:tcPr>
          <w:p w:rsidR="003E638B" w:rsidRPr="00C75C7E" w:rsidRDefault="003E638B" w:rsidP="008F4F69">
            <w:pPr>
              <w:widowControl w:val="0"/>
              <w:rPr>
                <w:sz w:val="16"/>
                <w:szCs w:val="16"/>
                <w:lang w:val="es-ES_tradnl"/>
              </w:rPr>
            </w:pPr>
          </w:p>
        </w:tc>
        <w:tc>
          <w:tcPr>
            <w:tcW w:w="1465" w:type="pct"/>
            <w:shd w:val="clear" w:color="auto" w:fill="auto"/>
            <w:tcMar>
              <w:top w:w="113" w:type="dxa"/>
              <w:bottom w:w="85" w:type="dxa"/>
            </w:tcMar>
          </w:tcPr>
          <w:p w:rsidR="003E638B" w:rsidRPr="00C75C7E" w:rsidRDefault="003E638B" w:rsidP="008F4F69">
            <w:pPr>
              <w:widowControl w:val="0"/>
              <w:rPr>
                <w:sz w:val="16"/>
                <w:szCs w:val="16"/>
                <w:lang w:val="es-ES_tradnl"/>
              </w:rPr>
            </w:pPr>
            <w:r w:rsidRPr="00C75C7E">
              <w:rPr>
                <w:sz w:val="16"/>
                <w:szCs w:val="16"/>
                <w:lang w:val="es-ES_tradnl"/>
              </w:rPr>
              <w:t>Número de descargas de seminarios</w:t>
            </w:r>
          </w:p>
        </w:tc>
        <w:tc>
          <w:tcPr>
            <w:tcW w:w="1644" w:type="pct"/>
            <w:shd w:val="clear" w:color="auto" w:fill="FFFFFF"/>
            <w:tcMar>
              <w:top w:w="113" w:type="dxa"/>
              <w:bottom w:w="85" w:type="dxa"/>
            </w:tcMar>
          </w:tcPr>
          <w:p w:rsidR="003E638B" w:rsidRPr="00C75C7E" w:rsidRDefault="003E638B" w:rsidP="008F4F69">
            <w:pPr>
              <w:widowControl w:val="0"/>
              <w:ind w:left="768"/>
              <w:rPr>
                <w:sz w:val="16"/>
                <w:szCs w:val="16"/>
                <w:lang w:val="es-ES_tradnl" w:bidi="th-TH"/>
              </w:rPr>
            </w:pPr>
            <w:r w:rsidRPr="00C75C7E">
              <w:rPr>
                <w:sz w:val="16"/>
                <w:szCs w:val="16"/>
                <w:lang w:val="es-ES_tradnl" w:bidi="th-TH"/>
              </w:rPr>
              <w:t>Programa  16</w:t>
            </w:r>
          </w:p>
        </w:tc>
      </w:tr>
    </w:tbl>
    <w:p w:rsidR="003E638B" w:rsidRPr="00C75C7E" w:rsidRDefault="003E638B" w:rsidP="003E638B">
      <w:pPr>
        <w:widowControl w:val="0"/>
        <w:tabs>
          <w:tab w:val="left" w:pos="0"/>
        </w:tabs>
        <w:rPr>
          <w:sz w:val="20"/>
          <w:lang w:val="es-ES_tradnl"/>
        </w:rPr>
      </w:pPr>
    </w:p>
    <w:p w:rsidR="00C2064F" w:rsidRPr="00D46726" w:rsidRDefault="003E638B" w:rsidP="00D46726">
      <w:pPr>
        <w:pStyle w:val="Heading3"/>
        <w:tabs>
          <w:tab w:val="left" w:pos="1985"/>
        </w:tabs>
        <w:rPr>
          <w:b/>
          <w:u w:val="none"/>
          <w:lang w:val="es-ES_tradnl"/>
        </w:rPr>
      </w:pPr>
      <w:r w:rsidRPr="00C75C7E">
        <w:rPr>
          <w:rStyle w:val="StyleStyleHeading3ComplexItalicLatin12ptChar"/>
          <w:lang w:val="es-ES_tradnl"/>
        </w:rPr>
        <w:br w:type="page"/>
      </w:r>
      <w:bookmarkStart w:id="58" w:name="_Toc356567767"/>
      <w:bookmarkStart w:id="59" w:name="_Toc358816705"/>
      <w:r w:rsidR="006A15F5" w:rsidRPr="00D46726">
        <w:rPr>
          <w:b/>
          <w:iCs/>
          <w:u w:val="none"/>
        </w:rPr>
        <w:lastRenderedPageBreak/>
        <w:t>PROGRAMA 16</w:t>
      </w:r>
      <w:r w:rsidR="006A15F5" w:rsidRPr="00D46726">
        <w:rPr>
          <w:b/>
          <w:iCs/>
          <w:u w:val="none"/>
        </w:rPr>
        <w:tab/>
        <w:t>ECONOMÍA Y ESTADÍSTICA</w:t>
      </w:r>
      <w:bookmarkEnd w:id="58"/>
      <w:bookmarkEnd w:id="59"/>
      <w:r w:rsidR="006A15F5" w:rsidRPr="00D46726">
        <w:rPr>
          <w:b/>
          <w:iCs/>
          <w:u w:val="none"/>
        </w:rPr>
        <w:t xml:space="preserve"> </w:t>
      </w:r>
    </w:p>
    <w:p w:rsidR="00C2064F" w:rsidRPr="00AD1E8B" w:rsidRDefault="00C2064F" w:rsidP="00C2064F">
      <w:pPr>
        <w:widowControl w:val="0"/>
        <w:rPr>
          <w:sz w:val="20"/>
          <w:lang w:val="es-ES_tradnl"/>
        </w:rPr>
      </w:pPr>
    </w:p>
    <w:p w:rsidR="00C2064F" w:rsidRPr="00AD1E8B" w:rsidRDefault="00C2064F" w:rsidP="00C2064F">
      <w:pPr>
        <w:widowControl w:val="0"/>
        <w:rPr>
          <w:sz w:val="20"/>
          <w:lang w:val="es-ES_tradnl"/>
        </w:rPr>
      </w:pPr>
    </w:p>
    <w:p w:rsidR="00C2064F" w:rsidRPr="00D46726" w:rsidRDefault="00C2064F" w:rsidP="00D46726">
      <w:pPr>
        <w:widowControl w:val="0"/>
        <w:rPr>
          <w:sz w:val="20"/>
          <w:lang w:val="es-ES_tradnl"/>
        </w:rPr>
      </w:pPr>
      <w:r w:rsidRPr="00D46726">
        <w:rPr>
          <w:sz w:val="20"/>
          <w:lang w:val="es-ES_tradnl"/>
        </w:rPr>
        <w:t>CONTEXTO DE PLANIFICACIÓN</w:t>
      </w:r>
    </w:p>
    <w:p w:rsidR="00C2064F" w:rsidRPr="00AD1E8B" w:rsidRDefault="00C2064F" w:rsidP="00C2064F">
      <w:pPr>
        <w:widowControl w:val="0"/>
        <w:rPr>
          <w:sz w:val="20"/>
          <w:lang w:val="es-ES_tradnl"/>
        </w:rPr>
      </w:pPr>
    </w:p>
    <w:p w:rsidR="00C2064F" w:rsidRPr="00AD1E8B" w:rsidRDefault="00C2064F" w:rsidP="00E17471">
      <w:pPr>
        <w:widowControl w:val="0"/>
        <w:numPr>
          <w:ilvl w:val="0"/>
          <w:numId w:val="10"/>
        </w:numPr>
        <w:jc w:val="both"/>
        <w:rPr>
          <w:bCs/>
          <w:sz w:val="20"/>
          <w:lang w:val="es-ES_tradnl"/>
        </w:rPr>
      </w:pPr>
      <w:r w:rsidRPr="00AD1E8B">
        <w:rPr>
          <w:bCs/>
          <w:sz w:val="20"/>
          <w:lang w:val="es-ES_tradnl"/>
        </w:rPr>
        <w:t>A medida que la economía mundial vaya recuperándose de la reciente crisis financiera, la innovación continuará siendo esencial para sustentar el crecimiento a largo plazo y fomentar el desarrollo humano.  El cambiante panorama de la innovación ofrece nuevas oportunidades para poner los conocimientos al servicio de las sociedades.  En particular, los países están invirtiendo más recursos que nunca en la economía del conocimiento y han surgido nuevas fuentes de innovación, especialmente en Asia.  Sin embargo y a pesar del rápido crecimiento registrado por algunos países en desarrollo, una parte importante de la población mundial sigue sumida en la pobreza y no ha podido aprovechar los conocimientos para crear prosperidad económica.</w:t>
      </w:r>
    </w:p>
    <w:p w:rsidR="00C2064F" w:rsidRPr="00AD1E8B" w:rsidRDefault="00C2064F" w:rsidP="00C2064F">
      <w:pPr>
        <w:widowControl w:val="0"/>
        <w:tabs>
          <w:tab w:val="num" w:pos="709"/>
        </w:tabs>
        <w:jc w:val="both"/>
        <w:rPr>
          <w:bCs/>
          <w:sz w:val="20"/>
          <w:lang w:val="es-ES_tradnl"/>
        </w:rPr>
      </w:pPr>
    </w:p>
    <w:p w:rsidR="00C2064F" w:rsidRPr="00AD1E8B" w:rsidRDefault="00C2064F" w:rsidP="00E17471">
      <w:pPr>
        <w:widowControl w:val="0"/>
        <w:numPr>
          <w:ilvl w:val="0"/>
          <w:numId w:val="10"/>
        </w:numPr>
        <w:jc w:val="both"/>
        <w:rPr>
          <w:bCs/>
          <w:sz w:val="20"/>
          <w:lang w:val="es-ES_tradnl"/>
        </w:rPr>
      </w:pPr>
      <w:r w:rsidRPr="00AD1E8B">
        <w:rPr>
          <w:bCs/>
          <w:sz w:val="20"/>
          <w:lang w:val="es-ES_tradnl"/>
        </w:rPr>
        <w:t>En este contexto, el sistema mundial de P.I. tiene planteados importantes retos.  Los responsables de la adopción de políticas se ven confrontados con una demanda continuamente creciente de derechos de P.I., nuevas tecnologías y nuevos modelos empresariales, así como la necesidad de promover un marco internacional conducente a una protección equilibrada de la P.I.  A los encargados de la adopción de políticas de los países en desarrollo incumbe además la tarea de adaptar la política de P.I. a las necesidades de sus economías, habida cuenta de sus diferentes dotaciones de recursos y estructuras industriales.</w:t>
      </w:r>
    </w:p>
    <w:p w:rsidR="00C2064F" w:rsidRPr="00AD1E8B" w:rsidRDefault="00C2064F" w:rsidP="00C2064F">
      <w:pPr>
        <w:widowControl w:val="0"/>
        <w:tabs>
          <w:tab w:val="num" w:pos="709"/>
        </w:tabs>
        <w:jc w:val="both"/>
        <w:rPr>
          <w:bCs/>
          <w:sz w:val="20"/>
          <w:lang w:val="es-ES_tradnl"/>
        </w:rPr>
      </w:pPr>
    </w:p>
    <w:p w:rsidR="00C2064F" w:rsidRPr="00AD1E8B" w:rsidRDefault="00C2064F" w:rsidP="00E17471">
      <w:pPr>
        <w:widowControl w:val="0"/>
        <w:numPr>
          <w:ilvl w:val="0"/>
          <w:numId w:val="10"/>
        </w:numPr>
        <w:jc w:val="both"/>
        <w:rPr>
          <w:bCs/>
          <w:sz w:val="20"/>
          <w:lang w:val="es-ES_tradnl"/>
        </w:rPr>
      </w:pPr>
      <w:r w:rsidRPr="00AD1E8B">
        <w:rPr>
          <w:bCs/>
          <w:sz w:val="20"/>
          <w:lang w:val="es-ES_tradnl"/>
        </w:rPr>
        <w:t>Habida cuenta de estos problemas, el programa 16 persigue dos objetivos:  en primer lugar recopilar una información estadística precisa, exhaustiva y puntual en torno a los resultados del sistema internacional de P.I. y en segundo lugar elaborar unos análisis empíricos de elevada calidad destinados a explicitar la manera en que la evolución económica repercute sobre el sistema internacional de P.I., así como a evaluar los efectos económicos de las distintas opciones disponibles para los países en desarrollo en materia de política de P.I.  En el aspecto estadístico, las principales prioridades para el bienio 2014/15 serán ampliar la gama de las informaciones estadísticas accesibles a los usuarios y perfeccionar las herramientas que permiten a diferentes tipos de usuarios acceder a dicha información.  En el aspecto económico, las principales prioridades serán incrementar la disponibilidad de análisis económicos a escala mundial y continuar los estudios económicos en los países en desarrollo.</w:t>
      </w:r>
    </w:p>
    <w:p w:rsidR="00C2064F" w:rsidRPr="00B40520" w:rsidRDefault="00C2064F" w:rsidP="00C2064F">
      <w:pPr>
        <w:widowControl w:val="0"/>
        <w:tabs>
          <w:tab w:val="num" w:pos="709"/>
        </w:tabs>
        <w:jc w:val="both"/>
        <w:rPr>
          <w:bCs/>
          <w:sz w:val="20"/>
        </w:rPr>
      </w:pPr>
    </w:p>
    <w:p w:rsidR="00C2064F" w:rsidRPr="00B40520" w:rsidRDefault="00C2064F" w:rsidP="00C2064F">
      <w:pPr>
        <w:widowControl w:val="0"/>
        <w:tabs>
          <w:tab w:val="num" w:pos="709"/>
        </w:tabs>
        <w:jc w:val="both"/>
        <w:rPr>
          <w:bCs/>
          <w:sz w:val="20"/>
        </w:rPr>
      </w:pPr>
    </w:p>
    <w:p w:rsidR="00C2064F" w:rsidRPr="00AD1E8B" w:rsidRDefault="00C2064F" w:rsidP="00C2064F">
      <w:pPr>
        <w:widowControl w:val="0"/>
        <w:jc w:val="both"/>
        <w:rPr>
          <w:bCs/>
          <w:szCs w:val="22"/>
          <w:lang w:val="es-ES_tradnl"/>
        </w:rPr>
      </w:pPr>
      <w:r w:rsidRPr="00AD1E8B">
        <w:rPr>
          <w:bCs/>
          <w:szCs w:val="22"/>
          <w:lang w:val="es-ES_tradnl"/>
        </w:rPr>
        <w:t xml:space="preserve">ESTRATEGIAS DE EJECUCIÓN  </w:t>
      </w:r>
    </w:p>
    <w:p w:rsidR="00C2064F" w:rsidRPr="00AD1E8B" w:rsidRDefault="00C2064F" w:rsidP="00C2064F">
      <w:pPr>
        <w:widowControl w:val="0"/>
        <w:tabs>
          <w:tab w:val="num" w:pos="709"/>
        </w:tabs>
        <w:jc w:val="both"/>
        <w:rPr>
          <w:bCs/>
          <w:sz w:val="20"/>
          <w:lang w:val="es-ES_tradnl"/>
        </w:rPr>
      </w:pPr>
    </w:p>
    <w:p w:rsidR="00C2064F" w:rsidRPr="00AD1E8B" w:rsidRDefault="00C2064F" w:rsidP="00E17471">
      <w:pPr>
        <w:widowControl w:val="0"/>
        <w:numPr>
          <w:ilvl w:val="0"/>
          <w:numId w:val="10"/>
        </w:numPr>
        <w:jc w:val="both"/>
        <w:rPr>
          <w:bCs/>
          <w:sz w:val="20"/>
          <w:lang w:val="es-ES_tradnl"/>
        </w:rPr>
      </w:pPr>
      <w:r w:rsidRPr="00AD1E8B">
        <w:rPr>
          <w:bCs/>
          <w:sz w:val="20"/>
          <w:lang w:val="es-ES_tradnl"/>
        </w:rPr>
        <w:t xml:space="preserve">En el ámbito de las estadísticas de P.I., la OMPI colabora con las oficinas nacionales y regionales de P.I. recopilando datos sobre la actividad de P.I. a escala mundial a través de su encuesta estadística anual.  Las estadísticas relativas a los tratados administrados por la OMPI en virtud de los cuales se presentan solicitudes de registro de derechos de P.I. se crean en el seno de la Organización.  La principal publicación estadística de la OMPI, los "Indicadores </w:t>
      </w:r>
      <w:r>
        <w:rPr>
          <w:bCs/>
          <w:sz w:val="20"/>
          <w:lang w:val="es-ES_tradnl"/>
        </w:rPr>
        <w:t>m</w:t>
      </w:r>
      <w:r w:rsidRPr="00AD1E8B">
        <w:rPr>
          <w:bCs/>
          <w:sz w:val="20"/>
          <w:lang w:val="es-ES_tradnl"/>
        </w:rPr>
        <w:t xml:space="preserve">undiales de </w:t>
      </w:r>
      <w:r>
        <w:rPr>
          <w:bCs/>
          <w:sz w:val="20"/>
          <w:lang w:val="es-ES_tradnl"/>
        </w:rPr>
        <w:t>p</w:t>
      </w:r>
      <w:r w:rsidRPr="00AD1E8B">
        <w:rPr>
          <w:bCs/>
          <w:sz w:val="20"/>
          <w:lang w:val="es-ES_tradnl"/>
        </w:rPr>
        <w:t xml:space="preserve">ropiedad </w:t>
      </w:r>
      <w:r>
        <w:rPr>
          <w:bCs/>
          <w:sz w:val="20"/>
          <w:lang w:val="es-ES_tradnl"/>
        </w:rPr>
        <w:t>i</w:t>
      </w:r>
      <w:r w:rsidRPr="00AD1E8B">
        <w:rPr>
          <w:bCs/>
          <w:sz w:val="20"/>
          <w:lang w:val="es-ES_tradnl"/>
        </w:rPr>
        <w:t xml:space="preserve">ntelectual", continuará resumiendo las grandes tendencias estadísticas en el ámbito de las patentes, los modelos de utilidad, las marcas y los diseños industriales.  Existen otras publicaciones estadísticas dedicadas a informar sobre los resultados de los sistemas del PCT, Madrid y La Haya.  El recientemente creado Centro de </w:t>
      </w:r>
      <w:r w:rsidR="003B22A3">
        <w:rPr>
          <w:bCs/>
          <w:sz w:val="20"/>
          <w:lang w:val="es-ES_tradnl"/>
        </w:rPr>
        <w:t>D</w:t>
      </w:r>
      <w:r w:rsidR="003B22A3" w:rsidRPr="00AD1E8B">
        <w:rPr>
          <w:bCs/>
          <w:sz w:val="20"/>
          <w:lang w:val="es-ES_tradnl"/>
        </w:rPr>
        <w:t xml:space="preserve">atos </w:t>
      </w:r>
      <w:r w:rsidR="003B22A3">
        <w:rPr>
          <w:bCs/>
          <w:sz w:val="20"/>
          <w:lang w:val="es-ES_tradnl"/>
        </w:rPr>
        <w:t>E</w:t>
      </w:r>
      <w:r w:rsidR="003B22A3" w:rsidRPr="00AD1E8B">
        <w:rPr>
          <w:bCs/>
          <w:sz w:val="20"/>
          <w:lang w:val="es-ES_tradnl"/>
        </w:rPr>
        <w:t>stadístic</w:t>
      </w:r>
      <w:r w:rsidR="003B22A3">
        <w:rPr>
          <w:bCs/>
          <w:sz w:val="20"/>
          <w:lang w:val="es-ES_tradnl"/>
        </w:rPr>
        <w:t>o</w:t>
      </w:r>
      <w:r w:rsidR="003B22A3" w:rsidRPr="00AD1E8B">
        <w:rPr>
          <w:bCs/>
          <w:sz w:val="20"/>
          <w:lang w:val="es-ES_tradnl"/>
        </w:rPr>
        <w:t xml:space="preserve">s </w:t>
      </w:r>
      <w:r w:rsidRPr="00AD1E8B">
        <w:rPr>
          <w:bCs/>
          <w:sz w:val="20"/>
          <w:lang w:val="es-ES_tradnl"/>
        </w:rPr>
        <w:t>de P.I. continuará facilitando todas las estadísticas a los usuarios de todo el mundo.  En consonancia con las antedichas prioridades, se desplegarán especiales esfuerzos para expandir la cobertura de datos y mejorar la accesibilidad y comodidad de uso de los productos estadísticos, siempre teniendo en cuenta las necesidades específicas de las distintas comunidades de usuarios.</w:t>
      </w:r>
    </w:p>
    <w:p w:rsidR="00C2064F" w:rsidRPr="00B40520" w:rsidRDefault="00C2064F" w:rsidP="00C2064F">
      <w:pPr>
        <w:widowControl w:val="0"/>
        <w:tabs>
          <w:tab w:val="num" w:pos="709"/>
        </w:tabs>
        <w:jc w:val="both"/>
        <w:rPr>
          <w:bCs/>
          <w:sz w:val="20"/>
        </w:rPr>
      </w:pPr>
    </w:p>
    <w:p w:rsidR="00C2064F" w:rsidRPr="00AD1E8B" w:rsidRDefault="00C2064F" w:rsidP="00E17471">
      <w:pPr>
        <w:widowControl w:val="0"/>
        <w:numPr>
          <w:ilvl w:val="0"/>
          <w:numId w:val="10"/>
        </w:numPr>
        <w:jc w:val="both"/>
        <w:rPr>
          <w:bCs/>
          <w:sz w:val="20"/>
          <w:lang w:val="es-ES_tradnl"/>
        </w:rPr>
      </w:pPr>
      <w:r w:rsidRPr="00AD1E8B">
        <w:rPr>
          <w:bCs/>
          <w:sz w:val="20"/>
          <w:lang w:val="es-ES_tradnl"/>
        </w:rPr>
        <w:t xml:space="preserve">En el ámbito del análisis económico, la OMPI continuará siendo co-editor del Índice </w:t>
      </w:r>
      <w:r>
        <w:rPr>
          <w:bCs/>
          <w:sz w:val="20"/>
          <w:lang w:val="es-ES_tradnl"/>
        </w:rPr>
        <w:t>m</w:t>
      </w:r>
      <w:r w:rsidRPr="00AD1E8B">
        <w:rPr>
          <w:bCs/>
          <w:sz w:val="20"/>
          <w:lang w:val="es-ES_tradnl"/>
        </w:rPr>
        <w:t xml:space="preserve">undial de </w:t>
      </w:r>
      <w:r>
        <w:rPr>
          <w:bCs/>
          <w:sz w:val="20"/>
          <w:lang w:val="es-ES_tradnl"/>
        </w:rPr>
        <w:t>i</w:t>
      </w:r>
      <w:r w:rsidRPr="00AD1E8B">
        <w:rPr>
          <w:bCs/>
          <w:sz w:val="20"/>
          <w:lang w:val="es-ES_tradnl"/>
        </w:rPr>
        <w:t xml:space="preserve">nnovación en el empeño de coadyuvar a la medición de la innovación y proporcionar a los responsables de la adopción de políticas una herramienta apropiada para la evaluación comparativa de los resultados de la innovación.  La OMPI continuará asimismo publicando la serie "Informe </w:t>
      </w:r>
      <w:r>
        <w:rPr>
          <w:bCs/>
          <w:sz w:val="20"/>
          <w:lang w:val="es-ES_tradnl"/>
        </w:rPr>
        <w:t>m</w:t>
      </w:r>
      <w:r w:rsidRPr="00AD1E8B">
        <w:rPr>
          <w:bCs/>
          <w:sz w:val="20"/>
          <w:lang w:val="es-ES_tradnl"/>
        </w:rPr>
        <w:t xml:space="preserve">undial sobre la </w:t>
      </w:r>
      <w:r>
        <w:rPr>
          <w:bCs/>
          <w:sz w:val="20"/>
          <w:lang w:val="es-ES_tradnl"/>
        </w:rPr>
        <w:t>p</w:t>
      </w:r>
      <w:r w:rsidRPr="00AD1E8B">
        <w:rPr>
          <w:bCs/>
          <w:sz w:val="20"/>
          <w:lang w:val="es-ES_tradnl"/>
        </w:rPr>
        <w:t xml:space="preserve">ropiedad </w:t>
      </w:r>
      <w:r>
        <w:rPr>
          <w:bCs/>
          <w:sz w:val="20"/>
          <w:lang w:val="es-ES_tradnl"/>
        </w:rPr>
        <w:t>i</w:t>
      </w:r>
      <w:r w:rsidRPr="00AD1E8B">
        <w:rPr>
          <w:bCs/>
          <w:sz w:val="20"/>
          <w:lang w:val="es-ES_tradnl"/>
        </w:rPr>
        <w:t xml:space="preserve">ntelectual" con la voluntad de explorar nuevos temas y profundizar los  análisis realizados hasta la fecha en torno a la problemática mundial de P.I.  Además, el programa se mantendrá en todo momento dispuesto para atender las solicitudes de análisis económicos que puedan formular los comités de la OMPI.  Finalmente, se continuarán los estudios en los países en desarrollo en el marco de la </w:t>
      </w:r>
      <w:r>
        <w:rPr>
          <w:bCs/>
          <w:sz w:val="20"/>
          <w:lang w:val="es-ES_tradnl"/>
        </w:rPr>
        <w:t>f</w:t>
      </w:r>
      <w:r w:rsidRPr="00AD1E8B">
        <w:rPr>
          <w:bCs/>
          <w:sz w:val="20"/>
          <w:lang w:val="es-ES_tradnl"/>
        </w:rPr>
        <w:t xml:space="preserve">ase II del </w:t>
      </w:r>
      <w:r w:rsidRPr="00AD1E8B">
        <w:rPr>
          <w:bCs/>
          <w:sz w:val="20"/>
          <w:lang w:val="es-ES_tradnl"/>
        </w:rPr>
        <w:lastRenderedPageBreak/>
        <w:t xml:space="preserve">proyecto del CDIP que lleva por título "La P.I. y el </w:t>
      </w:r>
      <w:r>
        <w:rPr>
          <w:bCs/>
          <w:sz w:val="20"/>
          <w:lang w:val="es-ES_tradnl"/>
        </w:rPr>
        <w:t>d</w:t>
      </w:r>
      <w:r w:rsidRPr="00AD1E8B">
        <w:rPr>
          <w:bCs/>
          <w:sz w:val="20"/>
          <w:lang w:val="es-ES_tradnl"/>
        </w:rPr>
        <w:t xml:space="preserve">esarrollo </w:t>
      </w:r>
      <w:r>
        <w:rPr>
          <w:bCs/>
          <w:sz w:val="20"/>
          <w:lang w:val="es-ES_tradnl"/>
        </w:rPr>
        <w:t>s</w:t>
      </w:r>
      <w:r w:rsidR="003B22A3">
        <w:rPr>
          <w:bCs/>
          <w:sz w:val="20"/>
          <w:lang w:val="es-ES_tradnl"/>
        </w:rPr>
        <w:t>ocioeconómico".</w:t>
      </w:r>
      <w:r w:rsidRPr="00AD1E8B">
        <w:rPr>
          <w:rStyle w:val="FootnoteReference"/>
          <w:bCs/>
          <w:sz w:val="20"/>
          <w:lang w:val="es-ES_tradnl"/>
        </w:rPr>
        <w:footnoteReference w:id="7"/>
      </w:r>
      <w:r w:rsidR="003B22A3">
        <w:rPr>
          <w:bCs/>
          <w:sz w:val="20"/>
          <w:lang w:val="es-ES_tradnl"/>
        </w:rPr>
        <w:t xml:space="preserve"> </w:t>
      </w:r>
      <w:r w:rsidRPr="00AD1E8B">
        <w:rPr>
          <w:bCs/>
          <w:sz w:val="20"/>
          <w:lang w:val="es-ES_tradnl"/>
        </w:rPr>
        <w:t xml:space="preserve"> Dichos estudios seguirán ajustándose a las pertinentes recomendaciones de la A.D. (en especial las recomendaciones 35 y 37) y proporcionando datos empíricos que faciliten la comprensión de los efectos económicos de las diferentes opciones de política de P.I.  Los estudios harán uso de la capacidad investigadora creada durante el bienio 2012/13, pero al mismo tiempo se esforzarán por impartir mayor profundidad a la gama de temas analizados y expandir la cobertura de países/regiones a tenor de las necesidades de los Estados miembros.</w:t>
      </w:r>
    </w:p>
    <w:p w:rsidR="00C2064F" w:rsidRPr="00B40520" w:rsidRDefault="00C2064F" w:rsidP="00C2064F">
      <w:pPr>
        <w:widowControl w:val="0"/>
        <w:tabs>
          <w:tab w:val="num" w:pos="709"/>
        </w:tabs>
        <w:jc w:val="both"/>
        <w:rPr>
          <w:bCs/>
          <w:sz w:val="20"/>
        </w:rPr>
      </w:pPr>
    </w:p>
    <w:p w:rsidR="00C2064F" w:rsidRPr="00AD1E8B" w:rsidRDefault="00C2064F" w:rsidP="00E17471">
      <w:pPr>
        <w:widowControl w:val="0"/>
        <w:numPr>
          <w:ilvl w:val="0"/>
          <w:numId w:val="10"/>
        </w:numPr>
        <w:jc w:val="both"/>
        <w:rPr>
          <w:bCs/>
          <w:sz w:val="20"/>
          <w:lang w:val="es-ES_tradnl"/>
        </w:rPr>
      </w:pPr>
      <w:r w:rsidRPr="00AD1E8B">
        <w:rPr>
          <w:bCs/>
          <w:sz w:val="20"/>
          <w:lang w:val="es-ES_tradnl"/>
        </w:rPr>
        <w:t>Con la doble mira de fomentar análisis económicos de elevada calidad y maximizar las sinergias, la OMPI movilizará su extensa red internacional de economistas académicos y continuará coordinando la red mundial de economistas activos en las oficinas de P.I.</w:t>
      </w:r>
    </w:p>
    <w:p w:rsidR="00C2064F" w:rsidRPr="00AD1E8B" w:rsidRDefault="00C2064F" w:rsidP="00C2064F">
      <w:pPr>
        <w:widowControl w:val="0"/>
        <w:tabs>
          <w:tab w:val="num" w:pos="709"/>
        </w:tabs>
        <w:jc w:val="both"/>
        <w:rPr>
          <w:bCs/>
          <w:sz w:val="20"/>
          <w:lang w:val="es-ES_tradnl"/>
        </w:rPr>
      </w:pPr>
    </w:p>
    <w:p w:rsidR="000A0A76" w:rsidRDefault="000A0A76" w:rsidP="003E638B">
      <w:pPr>
        <w:widowControl w:val="0"/>
        <w:jc w:val="both"/>
        <w:rPr>
          <w:bCs/>
          <w:szCs w:val="22"/>
          <w:lang w:val="es-ES_tradnl"/>
        </w:rPr>
      </w:pPr>
    </w:p>
    <w:p w:rsidR="003E638B" w:rsidRPr="00C75C7E" w:rsidRDefault="003E638B" w:rsidP="003E638B">
      <w:pPr>
        <w:widowControl w:val="0"/>
        <w:jc w:val="both"/>
        <w:rPr>
          <w:bCs/>
          <w:sz w:val="20"/>
          <w:lang w:val="es-ES_tradnl"/>
        </w:rPr>
      </w:pPr>
      <w:r w:rsidRPr="00C75C7E">
        <w:rPr>
          <w:bCs/>
          <w:szCs w:val="22"/>
          <w:lang w:val="es-ES_tradnl"/>
        </w:rPr>
        <w:t>PRINCIPALES RIESGOS Y ESTRATEGIAS DE MITIGACIÓN</w:t>
      </w:r>
    </w:p>
    <w:p w:rsidR="003E638B" w:rsidRPr="00C75C7E" w:rsidRDefault="003E638B" w:rsidP="003E638B">
      <w:pPr>
        <w:widowControl w:val="0"/>
        <w:jc w:val="both"/>
        <w:rPr>
          <w:bCs/>
          <w:sz w:val="20"/>
          <w:lang w:val="es-ES_tradnl"/>
        </w:rPr>
      </w:pPr>
    </w:p>
    <w:tbl>
      <w:tblPr>
        <w:tblW w:w="0" w:type="auto"/>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320"/>
        <w:gridCol w:w="4752"/>
      </w:tblGrid>
      <w:tr w:rsidR="003E638B" w:rsidRPr="00C75C7E" w:rsidTr="008F4F69">
        <w:trPr>
          <w:trHeight w:val="440"/>
        </w:trPr>
        <w:tc>
          <w:tcPr>
            <w:tcW w:w="4320" w:type="dxa"/>
            <w:tcBorders>
              <w:top w:val="single" w:sz="4" w:space="0" w:color="auto"/>
              <w:bottom w:val="single" w:sz="4" w:space="0" w:color="auto"/>
            </w:tcBorders>
            <w:shd w:val="clear" w:color="auto" w:fill="CCFFFF"/>
            <w:tcMar>
              <w:top w:w="113" w:type="dxa"/>
              <w:bottom w:w="85" w:type="dxa"/>
            </w:tcMar>
            <w:vAlign w:val="center"/>
          </w:tcPr>
          <w:p w:rsidR="003E638B" w:rsidRPr="00C75C7E" w:rsidRDefault="003E638B" w:rsidP="008F4F69">
            <w:pPr>
              <w:widowControl w:val="0"/>
              <w:autoSpaceDE w:val="0"/>
              <w:autoSpaceDN w:val="0"/>
              <w:adjustRightInd w:val="0"/>
              <w:ind w:right="-59"/>
              <w:jc w:val="center"/>
              <w:rPr>
                <w:b/>
                <w:bCs/>
                <w:iCs/>
                <w:sz w:val="18"/>
                <w:szCs w:val="18"/>
                <w:lang w:val="es-ES_tradnl"/>
              </w:rPr>
            </w:pPr>
            <w:r w:rsidRPr="00C75C7E">
              <w:rPr>
                <w:b/>
                <w:bCs/>
                <w:iCs/>
                <w:sz w:val="18"/>
                <w:szCs w:val="18"/>
                <w:lang w:val="es-ES_tradnl"/>
              </w:rPr>
              <w:t>Riesgos en el logro de los resultados del programa</w:t>
            </w:r>
          </w:p>
        </w:tc>
        <w:tc>
          <w:tcPr>
            <w:tcW w:w="4752" w:type="dxa"/>
            <w:tcBorders>
              <w:top w:val="single" w:sz="4" w:space="0" w:color="auto"/>
              <w:bottom w:val="single" w:sz="4" w:space="0" w:color="auto"/>
            </w:tcBorders>
            <w:shd w:val="clear" w:color="auto" w:fill="CCFFFF"/>
            <w:tcMar>
              <w:top w:w="113" w:type="dxa"/>
              <w:bottom w:w="85" w:type="dxa"/>
            </w:tcMar>
            <w:vAlign w:val="center"/>
          </w:tcPr>
          <w:p w:rsidR="003E638B" w:rsidRPr="00C75C7E" w:rsidRDefault="003E638B" w:rsidP="008F4F69">
            <w:pPr>
              <w:widowControl w:val="0"/>
              <w:autoSpaceDE w:val="0"/>
              <w:autoSpaceDN w:val="0"/>
              <w:adjustRightInd w:val="0"/>
              <w:ind w:right="-59"/>
              <w:jc w:val="center"/>
              <w:rPr>
                <w:b/>
                <w:bCs/>
                <w:iCs/>
                <w:sz w:val="18"/>
                <w:szCs w:val="18"/>
                <w:lang w:val="es-ES_tradnl"/>
              </w:rPr>
            </w:pPr>
            <w:r w:rsidRPr="00C75C7E">
              <w:rPr>
                <w:b/>
                <w:bCs/>
                <w:iCs/>
                <w:sz w:val="18"/>
                <w:szCs w:val="18"/>
                <w:lang w:val="es-ES_tradnl"/>
              </w:rPr>
              <w:t xml:space="preserve">Planes de mitigación ejecutados o en ejecución </w:t>
            </w:r>
          </w:p>
        </w:tc>
      </w:tr>
      <w:tr w:rsidR="003E638B" w:rsidRPr="00C75C7E" w:rsidTr="008F4F69">
        <w:trPr>
          <w:trHeight w:val="789"/>
        </w:trPr>
        <w:tc>
          <w:tcPr>
            <w:tcW w:w="4320" w:type="dxa"/>
            <w:tcBorders>
              <w:top w:val="single" w:sz="4" w:space="0" w:color="auto"/>
            </w:tcBorders>
            <w:shd w:val="clear" w:color="auto" w:fill="auto"/>
            <w:tcMar>
              <w:top w:w="113" w:type="dxa"/>
              <w:bottom w:w="85" w:type="dxa"/>
            </w:tcMar>
          </w:tcPr>
          <w:p w:rsidR="003E638B" w:rsidRPr="00C75C7E" w:rsidRDefault="003E638B" w:rsidP="008F4F69">
            <w:pPr>
              <w:widowControl w:val="0"/>
              <w:autoSpaceDE w:val="0"/>
              <w:autoSpaceDN w:val="0"/>
              <w:adjustRightInd w:val="0"/>
              <w:ind w:right="-59"/>
              <w:rPr>
                <w:sz w:val="16"/>
                <w:szCs w:val="16"/>
                <w:lang w:val="es-ES_tradnl"/>
              </w:rPr>
            </w:pPr>
            <w:r w:rsidRPr="00C75C7E">
              <w:rPr>
                <w:bCs/>
                <w:sz w:val="16"/>
                <w:szCs w:val="16"/>
                <w:lang w:val="es-ES_tradnl"/>
              </w:rPr>
              <w:t>Los Estados miembros no se encuentran en condiciones de responder o han respondido tarde a la encuesta sobre estadísticas de la OMPI.</w:t>
            </w:r>
          </w:p>
        </w:tc>
        <w:tc>
          <w:tcPr>
            <w:tcW w:w="4752" w:type="dxa"/>
            <w:tcBorders>
              <w:top w:val="single" w:sz="4" w:space="0" w:color="auto"/>
            </w:tcBorders>
            <w:shd w:val="clear" w:color="auto" w:fill="auto"/>
            <w:tcMar>
              <w:top w:w="113" w:type="dxa"/>
              <w:bottom w:w="85" w:type="dxa"/>
            </w:tcMar>
          </w:tcPr>
          <w:p w:rsidR="003E638B" w:rsidRPr="00C75C7E" w:rsidRDefault="003E638B" w:rsidP="008F4F69">
            <w:pPr>
              <w:widowControl w:val="0"/>
              <w:autoSpaceDE w:val="0"/>
              <w:autoSpaceDN w:val="0"/>
              <w:adjustRightInd w:val="0"/>
              <w:ind w:right="-59"/>
              <w:rPr>
                <w:bCs/>
                <w:sz w:val="16"/>
                <w:szCs w:val="16"/>
                <w:lang w:val="es-ES_tradnl"/>
              </w:rPr>
            </w:pPr>
            <w:r w:rsidRPr="00C75C7E">
              <w:rPr>
                <w:bCs/>
                <w:sz w:val="16"/>
                <w:szCs w:val="16"/>
                <w:lang w:val="es-ES_tradnl"/>
              </w:rPr>
              <w:t>Se enviarán cuestionarios sobre estadísticas a comienzos del año (no más tarde de febrero);  se mantendrá una lista de puntos de contacto para cuestiones estadísticas en las oficinas nacionales de P.I. con objeto de poder comunicarse para llevar a cabo un seguimiento;  se dedicarán recursos a esa comunicación.</w:t>
            </w:r>
          </w:p>
        </w:tc>
      </w:tr>
      <w:tr w:rsidR="003E638B" w:rsidRPr="00C75C7E" w:rsidTr="008F4F69">
        <w:trPr>
          <w:trHeight w:val="1059"/>
        </w:trPr>
        <w:tc>
          <w:tcPr>
            <w:tcW w:w="4320" w:type="dxa"/>
            <w:shd w:val="clear" w:color="auto" w:fill="auto"/>
            <w:tcMar>
              <w:top w:w="113" w:type="dxa"/>
              <w:bottom w:w="85" w:type="dxa"/>
            </w:tcMar>
          </w:tcPr>
          <w:p w:rsidR="003E638B" w:rsidRPr="00C75C7E" w:rsidRDefault="003E638B" w:rsidP="008F4F69">
            <w:pPr>
              <w:widowControl w:val="0"/>
              <w:autoSpaceDE w:val="0"/>
              <w:autoSpaceDN w:val="0"/>
              <w:adjustRightInd w:val="0"/>
              <w:ind w:right="-59"/>
              <w:rPr>
                <w:bCs/>
                <w:sz w:val="16"/>
                <w:szCs w:val="16"/>
                <w:lang w:val="es-ES_tradnl"/>
              </w:rPr>
            </w:pPr>
            <w:r w:rsidRPr="00C75C7E">
              <w:rPr>
                <w:bCs/>
                <w:sz w:val="16"/>
                <w:szCs w:val="16"/>
                <w:lang w:val="es-ES_tradnl"/>
              </w:rPr>
              <w:t>En las publicaciones de la OMPI se proporcionan datos estadísticos erróneos o se observan deficiencias analíticas.</w:t>
            </w:r>
          </w:p>
        </w:tc>
        <w:tc>
          <w:tcPr>
            <w:tcW w:w="4752" w:type="dxa"/>
            <w:shd w:val="clear" w:color="auto" w:fill="auto"/>
            <w:tcMar>
              <w:top w:w="113" w:type="dxa"/>
              <w:bottom w:w="85" w:type="dxa"/>
            </w:tcMar>
          </w:tcPr>
          <w:p w:rsidR="003E638B" w:rsidRPr="00C75C7E" w:rsidRDefault="003E638B" w:rsidP="008F4F69">
            <w:pPr>
              <w:widowControl w:val="0"/>
              <w:autoSpaceDE w:val="0"/>
              <w:autoSpaceDN w:val="0"/>
              <w:adjustRightInd w:val="0"/>
              <w:ind w:right="-59"/>
              <w:rPr>
                <w:bCs/>
                <w:sz w:val="16"/>
                <w:szCs w:val="16"/>
                <w:lang w:val="es-ES_tradnl"/>
              </w:rPr>
            </w:pPr>
            <w:r w:rsidRPr="00C75C7E">
              <w:rPr>
                <w:bCs/>
                <w:sz w:val="16"/>
                <w:szCs w:val="16"/>
                <w:lang w:val="es-ES_tradnl"/>
              </w:rPr>
              <w:t>Se cuenta con mecanismos de control que permiten detectar las incoherencias de los datos durante la compilación de estadísticas de P.I.;  todas las publicaciones estadísticas son objeto de una revisión cuidadosa a cargo de especialistas en estadística y los sectores pertinentes de la OMPI;  todas las publicaciones analíticas son examinadas por expertos externos.</w:t>
            </w:r>
          </w:p>
        </w:tc>
      </w:tr>
    </w:tbl>
    <w:p w:rsidR="003E638B" w:rsidRPr="00C75C7E" w:rsidRDefault="003E638B" w:rsidP="003E638B">
      <w:pPr>
        <w:widowControl w:val="0"/>
        <w:jc w:val="both"/>
        <w:rPr>
          <w:bCs/>
          <w:iCs/>
          <w:sz w:val="20"/>
          <w:lang w:val="es-ES_tradnl"/>
        </w:rPr>
      </w:pPr>
    </w:p>
    <w:p w:rsidR="003E638B" w:rsidRPr="00C75C7E" w:rsidRDefault="003E638B" w:rsidP="003E638B">
      <w:pPr>
        <w:widowControl w:val="0"/>
        <w:jc w:val="both"/>
        <w:rPr>
          <w:sz w:val="20"/>
          <w:lang w:val="es-ES_tradnl"/>
        </w:rPr>
      </w:pPr>
    </w:p>
    <w:p w:rsidR="003E638B" w:rsidRPr="00C75C7E" w:rsidRDefault="003E638B" w:rsidP="003E638B">
      <w:pPr>
        <w:widowControl w:val="0"/>
        <w:tabs>
          <w:tab w:val="left" w:pos="567"/>
          <w:tab w:val="left" w:pos="1985"/>
        </w:tabs>
        <w:jc w:val="both"/>
        <w:rPr>
          <w:bCs/>
          <w:sz w:val="20"/>
          <w:lang w:val="es-ES_tradnl"/>
        </w:rPr>
      </w:pPr>
      <w:r w:rsidRPr="00C75C7E">
        <w:rPr>
          <w:bCs/>
          <w:szCs w:val="22"/>
          <w:lang w:val="es-ES_tradnl"/>
        </w:rPr>
        <w:t>MARCO DE RESULTADOS</w:t>
      </w:r>
    </w:p>
    <w:p w:rsidR="003E638B" w:rsidRPr="00C75C7E" w:rsidRDefault="003E638B" w:rsidP="003E638B">
      <w:pPr>
        <w:widowControl w:val="0"/>
        <w:tabs>
          <w:tab w:val="left" w:pos="567"/>
          <w:tab w:val="left" w:pos="1985"/>
        </w:tabs>
        <w:jc w:val="both"/>
        <w:rPr>
          <w:bCs/>
          <w:sz w:val="20"/>
          <w:lang w:val="es-ES_tradnl"/>
        </w:rPr>
      </w:pPr>
    </w:p>
    <w:tbl>
      <w:tblPr>
        <w:tblW w:w="4914"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349"/>
        <w:gridCol w:w="2848"/>
        <w:gridCol w:w="2175"/>
        <w:gridCol w:w="2034"/>
      </w:tblGrid>
      <w:tr w:rsidR="003E638B" w:rsidRPr="00C75C7E" w:rsidTr="008F4F69">
        <w:trPr>
          <w:cantSplit/>
          <w:trHeight w:val="425"/>
        </w:trPr>
        <w:tc>
          <w:tcPr>
            <w:tcW w:w="1249" w:type="pct"/>
            <w:tcBorders>
              <w:top w:val="single" w:sz="4" w:space="0" w:color="auto"/>
              <w:bottom w:val="single" w:sz="4" w:space="0" w:color="auto"/>
            </w:tcBorders>
            <w:shd w:val="clear" w:color="auto" w:fill="CCFFFF"/>
            <w:tcMar>
              <w:top w:w="113" w:type="dxa"/>
            </w:tcMar>
            <w:vAlign w:val="center"/>
          </w:tcPr>
          <w:p w:rsidR="003E638B" w:rsidRPr="00C75C7E" w:rsidRDefault="003E638B" w:rsidP="008F4F69">
            <w:pPr>
              <w:widowControl w:val="0"/>
              <w:spacing w:after="120"/>
              <w:jc w:val="center"/>
              <w:rPr>
                <w:b/>
                <w:bCs/>
                <w:sz w:val="18"/>
                <w:szCs w:val="18"/>
                <w:lang w:val="es-ES_tradnl"/>
              </w:rPr>
            </w:pPr>
            <w:r w:rsidRPr="00C75C7E">
              <w:rPr>
                <w:b/>
                <w:bCs/>
                <w:sz w:val="18"/>
                <w:szCs w:val="18"/>
                <w:lang w:val="es-ES_tradnl"/>
              </w:rPr>
              <w:t>Resultados previstos</w:t>
            </w:r>
          </w:p>
        </w:tc>
        <w:tc>
          <w:tcPr>
            <w:tcW w:w="1514" w:type="pct"/>
            <w:tcBorders>
              <w:top w:val="single" w:sz="4" w:space="0" w:color="auto"/>
              <w:bottom w:val="single" w:sz="4" w:space="0" w:color="auto"/>
            </w:tcBorders>
            <w:shd w:val="clear" w:color="auto" w:fill="CCFFFF"/>
            <w:tcMar>
              <w:top w:w="113" w:type="dxa"/>
            </w:tcMar>
            <w:vAlign w:val="center"/>
          </w:tcPr>
          <w:p w:rsidR="003E638B" w:rsidRPr="00C75C7E" w:rsidRDefault="003E638B" w:rsidP="008F4F69">
            <w:pPr>
              <w:widowControl w:val="0"/>
              <w:spacing w:after="120"/>
              <w:jc w:val="center"/>
              <w:rPr>
                <w:b/>
                <w:sz w:val="18"/>
                <w:szCs w:val="18"/>
                <w:lang w:val="es-ES_tradnl"/>
              </w:rPr>
            </w:pPr>
            <w:r w:rsidRPr="00C75C7E">
              <w:rPr>
                <w:b/>
                <w:sz w:val="18"/>
                <w:szCs w:val="18"/>
                <w:lang w:val="es-ES_tradnl"/>
              </w:rPr>
              <w:t>Indicadores de rendimiento</w:t>
            </w:r>
          </w:p>
        </w:tc>
        <w:tc>
          <w:tcPr>
            <w:tcW w:w="1156" w:type="pct"/>
            <w:tcBorders>
              <w:top w:val="single" w:sz="4" w:space="0" w:color="auto"/>
              <w:bottom w:val="single" w:sz="4" w:space="0" w:color="auto"/>
            </w:tcBorders>
            <w:shd w:val="clear" w:color="auto" w:fill="CCFFFF"/>
            <w:tcMar>
              <w:top w:w="113" w:type="dxa"/>
            </w:tcMar>
            <w:vAlign w:val="center"/>
          </w:tcPr>
          <w:p w:rsidR="003E638B" w:rsidRPr="00C75C7E" w:rsidRDefault="003E638B" w:rsidP="008F4F69">
            <w:pPr>
              <w:widowControl w:val="0"/>
              <w:spacing w:after="120"/>
              <w:ind w:left="85" w:right="227"/>
              <w:jc w:val="center"/>
              <w:rPr>
                <w:sz w:val="18"/>
                <w:szCs w:val="18"/>
                <w:lang w:val="es-ES_tradnl"/>
              </w:rPr>
            </w:pPr>
            <w:r w:rsidRPr="00C75C7E">
              <w:rPr>
                <w:b/>
                <w:bCs/>
                <w:sz w:val="18"/>
                <w:szCs w:val="18"/>
                <w:lang w:val="es-ES_tradnl"/>
              </w:rPr>
              <w:t>Referencia</w:t>
            </w:r>
          </w:p>
        </w:tc>
        <w:tc>
          <w:tcPr>
            <w:tcW w:w="1082" w:type="pct"/>
            <w:tcBorders>
              <w:top w:val="single" w:sz="4" w:space="0" w:color="auto"/>
              <w:bottom w:val="single" w:sz="4" w:space="0" w:color="auto"/>
            </w:tcBorders>
            <w:shd w:val="clear" w:color="auto" w:fill="CCFFFF"/>
            <w:tcMar>
              <w:top w:w="113" w:type="dxa"/>
            </w:tcMar>
            <w:vAlign w:val="center"/>
          </w:tcPr>
          <w:p w:rsidR="003E638B" w:rsidRPr="00C75C7E" w:rsidRDefault="003E638B" w:rsidP="008F4F69">
            <w:pPr>
              <w:widowControl w:val="0"/>
              <w:spacing w:after="120"/>
              <w:ind w:left="-223" w:right="1"/>
              <w:jc w:val="center"/>
              <w:rPr>
                <w:b/>
                <w:bCs/>
                <w:sz w:val="18"/>
                <w:szCs w:val="18"/>
                <w:lang w:val="es-ES_tradnl"/>
              </w:rPr>
            </w:pPr>
            <w:r w:rsidRPr="00C75C7E">
              <w:rPr>
                <w:b/>
                <w:bCs/>
                <w:sz w:val="18"/>
                <w:szCs w:val="18"/>
                <w:lang w:val="es-ES_tradnl"/>
              </w:rPr>
              <w:t>Objetivos</w:t>
            </w:r>
          </w:p>
        </w:tc>
      </w:tr>
      <w:tr w:rsidR="003E638B" w:rsidRPr="00C75C7E" w:rsidTr="008F4F69">
        <w:trPr>
          <w:cantSplit/>
          <w:trHeight w:val="885"/>
        </w:trPr>
        <w:tc>
          <w:tcPr>
            <w:tcW w:w="1249" w:type="pct"/>
            <w:vMerge w:val="restart"/>
            <w:tcBorders>
              <w:top w:val="single" w:sz="4" w:space="0" w:color="auto"/>
            </w:tcBorders>
            <w:shd w:val="clear" w:color="auto" w:fill="auto"/>
            <w:tcMar>
              <w:top w:w="113" w:type="dxa"/>
            </w:tcMar>
          </w:tcPr>
          <w:p w:rsidR="003E638B" w:rsidRPr="00C75C7E" w:rsidRDefault="003E638B" w:rsidP="008F4F69">
            <w:pPr>
              <w:widowControl w:val="0"/>
              <w:rPr>
                <w:sz w:val="16"/>
                <w:szCs w:val="16"/>
                <w:lang w:val="es-ES_tradnl"/>
              </w:rPr>
            </w:pPr>
            <w:r w:rsidRPr="00C75C7E">
              <w:rPr>
                <w:sz w:val="16"/>
                <w:szCs w:val="16"/>
                <w:lang w:val="es-ES_tradnl"/>
              </w:rPr>
              <w:t>V.1. Ampliación y mejora del uso de la información estadística de la OMPI en materia de P.I.</w:t>
            </w:r>
          </w:p>
        </w:tc>
        <w:tc>
          <w:tcPr>
            <w:tcW w:w="1514" w:type="pct"/>
            <w:tcBorders>
              <w:top w:val="single" w:sz="4" w:space="0" w:color="auto"/>
            </w:tcBorders>
            <w:shd w:val="clear" w:color="auto" w:fill="auto"/>
            <w:tcMar>
              <w:top w:w="113" w:type="dxa"/>
            </w:tcMar>
          </w:tcPr>
          <w:p w:rsidR="003E638B" w:rsidRPr="00C75C7E" w:rsidRDefault="003E638B" w:rsidP="008F4F69">
            <w:pPr>
              <w:widowControl w:val="0"/>
              <w:rPr>
                <w:sz w:val="16"/>
                <w:szCs w:val="16"/>
                <w:lang w:val="es-ES_tradnl"/>
              </w:rPr>
            </w:pPr>
            <w:r w:rsidRPr="00C75C7E">
              <w:rPr>
                <w:sz w:val="16"/>
                <w:szCs w:val="16"/>
                <w:lang w:val="es-ES_tradnl"/>
              </w:rPr>
              <w:t>Número de descargas de los cuatro principales informes estadísticos (Indicadores mundiales de propiedad intelectual, reseñas anuales del PCT, La Haya y Madrid).</w:t>
            </w:r>
          </w:p>
        </w:tc>
        <w:tc>
          <w:tcPr>
            <w:tcW w:w="1156" w:type="pct"/>
            <w:tcBorders>
              <w:top w:val="single" w:sz="4" w:space="0" w:color="auto"/>
            </w:tcBorders>
            <w:shd w:val="clear" w:color="auto" w:fill="FFFFFF"/>
            <w:tcMar>
              <w:top w:w="113" w:type="dxa"/>
            </w:tcMar>
          </w:tcPr>
          <w:p w:rsidR="003E638B" w:rsidRPr="00C75C7E" w:rsidRDefault="003E638B" w:rsidP="008F4F69">
            <w:pPr>
              <w:widowControl w:val="0"/>
              <w:rPr>
                <w:sz w:val="16"/>
                <w:szCs w:val="16"/>
                <w:lang w:val="es-ES_tradnl" w:bidi="th-TH"/>
              </w:rPr>
            </w:pPr>
            <w:r w:rsidRPr="00C75C7E">
              <w:rPr>
                <w:sz w:val="16"/>
                <w:szCs w:val="16"/>
                <w:lang w:val="es-ES_tradnl" w:bidi="th-TH"/>
              </w:rPr>
              <w:t>Por determinar al final de 2013.</w:t>
            </w:r>
          </w:p>
          <w:p w:rsidR="003E638B" w:rsidRPr="00C75C7E" w:rsidRDefault="003E638B" w:rsidP="008F4F69">
            <w:pPr>
              <w:widowControl w:val="0"/>
              <w:rPr>
                <w:sz w:val="16"/>
                <w:szCs w:val="16"/>
                <w:lang w:val="es-ES_tradnl" w:bidi="th-TH"/>
              </w:rPr>
            </w:pPr>
          </w:p>
          <w:p w:rsidR="003E638B" w:rsidRPr="00C75C7E" w:rsidRDefault="003E638B" w:rsidP="008F4F69">
            <w:pPr>
              <w:widowControl w:val="0"/>
              <w:rPr>
                <w:sz w:val="16"/>
                <w:szCs w:val="16"/>
                <w:lang w:val="es-ES_tradnl"/>
              </w:rPr>
            </w:pPr>
          </w:p>
        </w:tc>
        <w:tc>
          <w:tcPr>
            <w:tcW w:w="1082" w:type="pct"/>
            <w:tcBorders>
              <w:top w:val="single" w:sz="4" w:space="0" w:color="auto"/>
            </w:tcBorders>
            <w:shd w:val="clear" w:color="auto" w:fill="auto"/>
            <w:tcMar>
              <w:top w:w="113" w:type="dxa"/>
            </w:tcMar>
          </w:tcPr>
          <w:p w:rsidR="003E638B" w:rsidRPr="00C75C7E" w:rsidRDefault="003E638B" w:rsidP="008F4F69">
            <w:pPr>
              <w:widowControl w:val="0"/>
              <w:ind w:right="381"/>
              <w:rPr>
                <w:bCs/>
                <w:sz w:val="16"/>
                <w:szCs w:val="16"/>
                <w:lang w:val="es-ES_tradnl"/>
              </w:rPr>
            </w:pPr>
            <w:r w:rsidRPr="00C75C7E">
              <w:rPr>
                <w:bCs/>
                <w:sz w:val="16"/>
                <w:szCs w:val="16"/>
                <w:lang w:val="es-ES_tradnl"/>
              </w:rPr>
              <w:t>Aumento del 10% respecto de 2012/13 en el número de descargas y usuarios.</w:t>
            </w:r>
          </w:p>
        </w:tc>
      </w:tr>
      <w:tr w:rsidR="003E638B" w:rsidRPr="00C75C7E" w:rsidTr="008F4F69">
        <w:trPr>
          <w:cantSplit/>
          <w:trHeight w:val="793"/>
        </w:trPr>
        <w:tc>
          <w:tcPr>
            <w:tcW w:w="1249" w:type="pct"/>
            <w:vMerge/>
            <w:shd w:val="clear" w:color="auto" w:fill="auto"/>
            <w:tcMar>
              <w:top w:w="113" w:type="dxa"/>
            </w:tcMar>
          </w:tcPr>
          <w:p w:rsidR="003E638B" w:rsidRPr="00C75C7E" w:rsidRDefault="003E638B" w:rsidP="008F4F69">
            <w:pPr>
              <w:widowControl w:val="0"/>
              <w:rPr>
                <w:sz w:val="16"/>
                <w:szCs w:val="16"/>
                <w:lang w:val="es-ES_tradnl"/>
              </w:rPr>
            </w:pPr>
          </w:p>
        </w:tc>
        <w:tc>
          <w:tcPr>
            <w:tcW w:w="1514" w:type="pct"/>
            <w:shd w:val="clear" w:color="auto" w:fill="auto"/>
            <w:tcMar>
              <w:top w:w="113" w:type="dxa"/>
            </w:tcMar>
          </w:tcPr>
          <w:p w:rsidR="003E638B" w:rsidRPr="00C75C7E" w:rsidRDefault="003E638B" w:rsidP="008F4F69">
            <w:pPr>
              <w:widowControl w:val="0"/>
              <w:rPr>
                <w:sz w:val="16"/>
                <w:szCs w:val="16"/>
                <w:lang w:val="es-ES_tradnl"/>
              </w:rPr>
            </w:pPr>
            <w:r w:rsidRPr="00C75C7E">
              <w:rPr>
                <w:sz w:val="16"/>
                <w:szCs w:val="16"/>
                <w:lang w:val="es-ES_tradnl"/>
              </w:rPr>
              <w:t>Número de visitantes que utilizan el Centro de datos de estadísticas de P.I.</w:t>
            </w:r>
          </w:p>
        </w:tc>
        <w:tc>
          <w:tcPr>
            <w:tcW w:w="1156" w:type="pct"/>
            <w:shd w:val="clear" w:color="auto" w:fill="FFFFFF"/>
            <w:tcMar>
              <w:top w:w="113" w:type="dxa"/>
            </w:tcMar>
          </w:tcPr>
          <w:p w:rsidR="003E638B" w:rsidRPr="00C75C7E" w:rsidRDefault="003E638B" w:rsidP="008F4F69">
            <w:pPr>
              <w:widowControl w:val="0"/>
              <w:rPr>
                <w:sz w:val="16"/>
                <w:szCs w:val="16"/>
                <w:lang w:val="es-ES_tradnl" w:bidi="th-TH"/>
              </w:rPr>
            </w:pPr>
            <w:r w:rsidRPr="00C75C7E">
              <w:rPr>
                <w:sz w:val="16"/>
                <w:szCs w:val="16"/>
                <w:lang w:val="es-ES_tradnl" w:bidi="th-TH"/>
              </w:rPr>
              <w:t>Por determinar al final de 2013.</w:t>
            </w:r>
          </w:p>
          <w:p w:rsidR="003E638B" w:rsidRPr="00C75C7E" w:rsidRDefault="003E638B" w:rsidP="008F4F69">
            <w:pPr>
              <w:widowControl w:val="0"/>
              <w:rPr>
                <w:sz w:val="16"/>
                <w:szCs w:val="16"/>
                <w:lang w:val="es-ES_tradnl" w:bidi="th-TH"/>
              </w:rPr>
            </w:pPr>
          </w:p>
          <w:p w:rsidR="003E638B" w:rsidRPr="00C75C7E" w:rsidRDefault="003E638B" w:rsidP="008F4F69">
            <w:pPr>
              <w:widowControl w:val="0"/>
              <w:rPr>
                <w:sz w:val="16"/>
                <w:szCs w:val="16"/>
                <w:lang w:val="es-ES_tradnl" w:bidi="th-TH"/>
              </w:rPr>
            </w:pPr>
          </w:p>
          <w:p w:rsidR="003E638B" w:rsidRPr="00C75C7E" w:rsidRDefault="003E638B" w:rsidP="008F4F69">
            <w:pPr>
              <w:widowControl w:val="0"/>
              <w:rPr>
                <w:sz w:val="16"/>
                <w:szCs w:val="16"/>
                <w:lang w:val="es-ES_tradnl"/>
              </w:rPr>
            </w:pPr>
          </w:p>
        </w:tc>
        <w:tc>
          <w:tcPr>
            <w:tcW w:w="1082" w:type="pct"/>
            <w:shd w:val="clear" w:color="auto" w:fill="auto"/>
            <w:tcMar>
              <w:top w:w="113" w:type="dxa"/>
            </w:tcMar>
          </w:tcPr>
          <w:p w:rsidR="003E638B" w:rsidRPr="00C75C7E" w:rsidRDefault="003E638B" w:rsidP="008F4F69">
            <w:pPr>
              <w:widowControl w:val="0"/>
              <w:tabs>
                <w:tab w:val="left" w:pos="2051"/>
              </w:tabs>
              <w:ind w:right="381"/>
              <w:rPr>
                <w:bCs/>
                <w:sz w:val="16"/>
                <w:szCs w:val="16"/>
                <w:lang w:val="es-ES_tradnl"/>
              </w:rPr>
            </w:pPr>
            <w:r w:rsidRPr="00C75C7E">
              <w:rPr>
                <w:bCs/>
                <w:sz w:val="16"/>
                <w:szCs w:val="16"/>
                <w:lang w:val="es-ES_tradnl"/>
              </w:rPr>
              <w:t xml:space="preserve">Aumento del 10% respecto de 2012/13 en el número </w:t>
            </w:r>
            <w:r w:rsidR="00A117FF">
              <w:rPr>
                <w:bCs/>
                <w:sz w:val="16"/>
                <w:szCs w:val="16"/>
                <w:lang w:val="es-ES_tradnl"/>
              </w:rPr>
              <w:t xml:space="preserve">de </w:t>
            </w:r>
            <w:r w:rsidRPr="00C75C7E">
              <w:rPr>
                <w:bCs/>
                <w:sz w:val="16"/>
                <w:szCs w:val="16"/>
                <w:lang w:val="es-ES_tradnl"/>
              </w:rPr>
              <w:t>usuarios.</w:t>
            </w:r>
          </w:p>
        </w:tc>
      </w:tr>
      <w:tr w:rsidR="003E638B" w:rsidRPr="00C75C7E" w:rsidTr="008F4F69">
        <w:trPr>
          <w:cantSplit/>
        </w:trPr>
        <w:tc>
          <w:tcPr>
            <w:tcW w:w="1249" w:type="pct"/>
            <w:vMerge w:val="restart"/>
            <w:shd w:val="clear" w:color="auto" w:fill="auto"/>
            <w:tcMar>
              <w:top w:w="113" w:type="dxa"/>
            </w:tcMar>
          </w:tcPr>
          <w:p w:rsidR="003E638B" w:rsidRPr="00C75C7E" w:rsidRDefault="003E638B" w:rsidP="008F4F69">
            <w:pPr>
              <w:widowControl w:val="0"/>
              <w:rPr>
                <w:sz w:val="16"/>
                <w:szCs w:val="16"/>
                <w:lang w:val="es-ES_tradnl"/>
              </w:rPr>
            </w:pPr>
            <w:r w:rsidRPr="00C75C7E">
              <w:rPr>
                <w:sz w:val="16"/>
                <w:szCs w:val="16"/>
                <w:lang w:val="es-ES_tradnl"/>
              </w:rPr>
              <w:t>V.2. Ampliación y mejora del uso de los análisis económicos de la OMPI en la formulación de políticas.</w:t>
            </w:r>
          </w:p>
          <w:p w:rsidR="003E638B" w:rsidRPr="00C75C7E" w:rsidRDefault="003E638B" w:rsidP="008F4F69">
            <w:pPr>
              <w:widowControl w:val="0"/>
              <w:rPr>
                <w:sz w:val="16"/>
                <w:szCs w:val="16"/>
                <w:lang w:val="es-ES_tradnl"/>
              </w:rPr>
            </w:pPr>
          </w:p>
        </w:tc>
        <w:tc>
          <w:tcPr>
            <w:tcW w:w="1514" w:type="pct"/>
            <w:shd w:val="clear" w:color="auto" w:fill="auto"/>
            <w:tcMar>
              <w:top w:w="113" w:type="dxa"/>
            </w:tcMar>
          </w:tcPr>
          <w:p w:rsidR="003E638B" w:rsidRPr="00C75C7E" w:rsidRDefault="003E638B" w:rsidP="008F4F69">
            <w:pPr>
              <w:widowControl w:val="0"/>
              <w:rPr>
                <w:sz w:val="16"/>
                <w:szCs w:val="16"/>
                <w:lang w:val="es-ES_tradnl"/>
              </w:rPr>
            </w:pPr>
            <w:r w:rsidRPr="00C75C7E">
              <w:rPr>
                <w:sz w:val="16"/>
                <w:szCs w:val="16"/>
                <w:lang w:val="es-ES_tradnl"/>
              </w:rPr>
              <w:t>Número de descargas de las principales publicaciones económicas.</w:t>
            </w:r>
          </w:p>
        </w:tc>
        <w:tc>
          <w:tcPr>
            <w:tcW w:w="1156" w:type="pct"/>
            <w:shd w:val="clear" w:color="auto" w:fill="FFFFFF"/>
            <w:tcMar>
              <w:top w:w="113" w:type="dxa"/>
            </w:tcMar>
          </w:tcPr>
          <w:p w:rsidR="003E638B" w:rsidRPr="00C75C7E" w:rsidRDefault="003E638B" w:rsidP="008F4F69">
            <w:pPr>
              <w:widowControl w:val="0"/>
              <w:rPr>
                <w:sz w:val="16"/>
                <w:szCs w:val="16"/>
                <w:lang w:val="es-ES_tradnl" w:bidi="th-TH"/>
              </w:rPr>
            </w:pPr>
            <w:r w:rsidRPr="00C75C7E">
              <w:rPr>
                <w:sz w:val="16"/>
                <w:szCs w:val="16"/>
                <w:lang w:val="es-ES_tradnl" w:bidi="th-TH"/>
              </w:rPr>
              <w:t>Por determinar al final de 2013.</w:t>
            </w:r>
          </w:p>
          <w:p w:rsidR="003E638B" w:rsidRPr="00C75C7E" w:rsidRDefault="003E638B" w:rsidP="008F4F69">
            <w:pPr>
              <w:widowControl w:val="0"/>
              <w:rPr>
                <w:sz w:val="16"/>
                <w:szCs w:val="16"/>
                <w:lang w:val="es-ES_tradnl" w:bidi="th-TH"/>
              </w:rPr>
            </w:pPr>
          </w:p>
          <w:p w:rsidR="003E638B" w:rsidRPr="00C75C7E" w:rsidRDefault="003E638B" w:rsidP="008F4F69">
            <w:pPr>
              <w:widowControl w:val="0"/>
              <w:rPr>
                <w:sz w:val="16"/>
                <w:szCs w:val="16"/>
                <w:lang w:val="es-ES_tradnl"/>
              </w:rPr>
            </w:pPr>
          </w:p>
        </w:tc>
        <w:tc>
          <w:tcPr>
            <w:tcW w:w="1082" w:type="pct"/>
            <w:shd w:val="clear" w:color="auto" w:fill="auto"/>
            <w:tcMar>
              <w:top w:w="113" w:type="dxa"/>
            </w:tcMar>
          </w:tcPr>
          <w:p w:rsidR="003E638B" w:rsidRPr="00C75C7E" w:rsidRDefault="003E638B" w:rsidP="008F4F69">
            <w:pPr>
              <w:widowControl w:val="0"/>
              <w:ind w:right="51"/>
              <w:rPr>
                <w:bCs/>
                <w:sz w:val="16"/>
                <w:szCs w:val="16"/>
                <w:lang w:val="es-ES_tradnl"/>
              </w:rPr>
            </w:pPr>
            <w:r w:rsidRPr="00C75C7E">
              <w:rPr>
                <w:bCs/>
                <w:sz w:val="16"/>
                <w:szCs w:val="16"/>
                <w:lang w:val="es-ES_tradnl"/>
              </w:rPr>
              <w:t>Aumento del 20% respecto de 2012/13.</w:t>
            </w:r>
          </w:p>
        </w:tc>
      </w:tr>
      <w:tr w:rsidR="003E638B" w:rsidRPr="00C75C7E" w:rsidTr="008F4F69">
        <w:trPr>
          <w:cantSplit/>
          <w:trHeight w:val="500"/>
        </w:trPr>
        <w:tc>
          <w:tcPr>
            <w:tcW w:w="1249" w:type="pct"/>
            <w:vMerge/>
            <w:shd w:val="clear" w:color="auto" w:fill="auto"/>
            <w:tcMar>
              <w:top w:w="113" w:type="dxa"/>
            </w:tcMar>
          </w:tcPr>
          <w:p w:rsidR="003E638B" w:rsidRPr="00C75C7E" w:rsidRDefault="003E638B" w:rsidP="008F4F69">
            <w:pPr>
              <w:widowControl w:val="0"/>
              <w:rPr>
                <w:sz w:val="16"/>
                <w:szCs w:val="16"/>
                <w:lang w:val="es-ES_tradnl"/>
              </w:rPr>
            </w:pPr>
          </w:p>
        </w:tc>
        <w:tc>
          <w:tcPr>
            <w:tcW w:w="1514" w:type="pct"/>
            <w:shd w:val="clear" w:color="auto" w:fill="auto"/>
            <w:tcMar>
              <w:top w:w="113" w:type="dxa"/>
            </w:tcMar>
          </w:tcPr>
          <w:p w:rsidR="003E638B" w:rsidRPr="00C75C7E" w:rsidRDefault="003E638B" w:rsidP="008F4F69">
            <w:pPr>
              <w:widowControl w:val="0"/>
              <w:rPr>
                <w:sz w:val="16"/>
                <w:szCs w:val="16"/>
                <w:lang w:val="es-ES_tradnl"/>
              </w:rPr>
            </w:pPr>
            <w:r w:rsidRPr="00C75C7E">
              <w:rPr>
                <w:sz w:val="16"/>
                <w:szCs w:val="16"/>
                <w:lang w:val="es-ES_tradnl"/>
              </w:rPr>
              <w:t>Número de descargas de estudios.</w:t>
            </w:r>
          </w:p>
        </w:tc>
        <w:tc>
          <w:tcPr>
            <w:tcW w:w="1156" w:type="pct"/>
            <w:shd w:val="clear" w:color="auto" w:fill="FFFFFF"/>
            <w:tcMar>
              <w:top w:w="113" w:type="dxa"/>
            </w:tcMar>
          </w:tcPr>
          <w:p w:rsidR="003E638B" w:rsidRPr="00C75C7E" w:rsidRDefault="003E638B" w:rsidP="008F4F69">
            <w:pPr>
              <w:widowControl w:val="0"/>
              <w:rPr>
                <w:sz w:val="16"/>
                <w:szCs w:val="16"/>
                <w:lang w:val="es-ES_tradnl" w:bidi="th-TH"/>
              </w:rPr>
            </w:pPr>
            <w:r w:rsidRPr="00C75C7E">
              <w:rPr>
                <w:sz w:val="16"/>
                <w:szCs w:val="16"/>
                <w:lang w:val="es-ES_tradnl" w:bidi="th-TH"/>
              </w:rPr>
              <w:t>Por determinar al final de 2013.</w:t>
            </w:r>
          </w:p>
          <w:p w:rsidR="003E638B" w:rsidRPr="00C75C7E" w:rsidRDefault="003E638B" w:rsidP="008F4F69">
            <w:pPr>
              <w:widowControl w:val="0"/>
              <w:rPr>
                <w:sz w:val="16"/>
                <w:szCs w:val="16"/>
                <w:lang w:val="es-ES_tradnl" w:bidi="th-TH"/>
              </w:rPr>
            </w:pPr>
          </w:p>
          <w:p w:rsidR="003E638B" w:rsidRPr="00C75C7E" w:rsidRDefault="003E638B" w:rsidP="008F4F69">
            <w:pPr>
              <w:widowControl w:val="0"/>
              <w:rPr>
                <w:sz w:val="16"/>
                <w:szCs w:val="16"/>
                <w:lang w:val="es-ES_tradnl"/>
              </w:rPr>
            </w:pPr>
          </w:p>
        </w:tc>
        <w:tc>
          <w:tcPr>
            <w:tcW w:w="1082" w:type="pct"/>
            <w:shd w:val="clear" w:color="auto" w:fill="auto"/>
            <w:tcMar>
              <w:top w:w="113" w:type="dxa"/>
            </w:tcMar>
          </w:tcPr>
          <w:p w:rsidR="003E638B" w:rsidRPr="00C75C7E" w:rsidRDefault="003E638B" w:rsidP="008F4F69">
            <w:pPr>
              <w:widowControl w:val="0"/>
              <w:ind w:right="161"/>
              <w:rPr>
                <w:bCs/>
                <w:sz w:val="16"/>
                <w:szCs w:val="16"/>
                <w:lang w:val="es-ES_tradnl"/>
              </w:rPr>
            </w:pPr>
            <w:r w:rsidRPr="00C75C7E">
              <w:rPr>
                <w:bCs/>
                <w:sz w:val="16"/>
                <w:szCs w:val="16"/>
                <w:lang w:val="es-ES_tradnl"/>
              </w:rPr>
              <w:t>Ocho nuevos documentos de trabajo.</w:t>
            </w:r>
          </w:p>
        </w:tc>
      </w:tr>
      <w:tr w:rsidR="003E638B" w:rsidRPr="00C75C7E" w:rsidTr="008F4F69">
        <w:trPr>
          <w:cantSplit/>
          <w:trHeight w:val="592"/>
        </w:trPr>
        <w:tc>
          <w:tcPr>
            <w:tcW w:w="1249" w:type="pct"/>
            <w:vMerge/>
            <w:shd w:val="clear" w:color="auto" w:fill="auto"/>
            <w:tcMar>
              <w:top w:w="113" w:type="dxa"/>
            </w:tcMar>
          </w:tcPr>
          <w:p w:rsidR="003E638B" w:rsidRPr="00C75C7E" w:rsidRDefault="003E638B" w:rsidP="008F4F69">
            <w:pPr>
              <w:widowControl w:val="0"/>
              <w:rPr>
                <w:sz w:val="16"/>
                <w:szCs w:val="16"/>
                <w:lang w:val="es-ES_tradnl"/>
              </w:rPr>
            </w:pPr>
          </w:p>
        </w:tc>
        <w:tc>
          <w:tcPr>
            <w:tcW w:w="1514" w:type="pct"/>
            <w:shd w:val="clear" w:color="auto" w:fill="auto"/>
            <w:tcMar>
              <w:top w:w="113" w:type="dxa"/>
            </w:tcMar>
          </w:tcPr>
          <w:p w:rsidR="003E638B" w:rsidRPr="00C75C7E" w:rsidRDefault="003E638B" w:rsidP="008F4F69">
            <w:pPr>
              <w:widowControl w:val="0"/>
              <w:rPr>
                <w:sz w:val="16"/>
                <w:szCs w:val="16"/>
                <w:lang w:val="es-ES_tradnl"/>
              </w:rPr>
            </w:pPr>
            <w:r w:rsidRPr="00C75C7E">
              <w:rPr>
                <w:sz w:val="16"/>
                <w:szCs w:val="16"/>
                <w:lang w:val="es-ES_tradnl"/>
              </w:rPr>
              <w:t>Número de descargas de seminarios.</w:t>
            </w:r>
          </w:p>
        </w:tc>
        <w:tc>
          <w:tcPr>
            <w:tcW w:w="1156" w:type="pct"/>
            <w:shd w:val="clear" w:color="auto" w:fill="FFFFFF"/>
            <w:tcMar>
              <w:top w:w="113" w:type="dxa"/>
            </w:tcMar>
          </w:tcPr>
          <w:p w:rsidR="003E638B" w:rsidRPr="00C75C7E" w:rsidRDefault="003E638B" w:rsidP="008F4F69">
            <w:pPr>
              <w:widowControl w:val="0"/>
              <w:rPr>
                <w:sz w:val="16"/>
                <w:szCs w:val="16"/>
                <w:lang w:val="es-ES_tradnl" w:bidi="th-TH"/>
              </w:rPr>
            </w:pPr>
            <w:r w:rsidRPr="00C75C7E">
              <w:rPr>
                <w:sz w:val="16"/>
                <w:szCs w:val="16"/>
                <w:lang w:val="es-ES_tradnl" w:bidi="th-TH"/>
              </w:rPr>
              <w:t>Por determinar al final de 2013.</w:t>
            </w:r>
          </w:p>
        </w:tc>
        <w:tc>
          <w:tcPr>
            <w:tcW w:w="1082" w:type="pct"/>
            <w:shd w:val="clear" w:color="auto" w:fill="auto"/>
            <w:tcMar>
              <w:top w:w="113" w:type="dxa"/>
            </w:tcMar>
          </w:tcPr>
          <w:p w:rsidR="003E638B" w:rsidRPr="00C75C7E" w:rsidRDefault="003E638B" w:rsidP="008F4F69">
            <w:pPr>
              <w:widowControl w:val="0"/>
              <w:ind w:right="161"/>
              <w:rPr>
                <w:bCs/>
                <w:sz w:val="16"/>
                <w:szCs w:val="16"/>
                <w:lang w:val="es-ES_tradnl"/>
              </w:rPr>
            </w:pPr>
            <w:r w:rsidRPr="00C75C7E">
              <w:rPr>
                <w:bCs/>
                <w:sz w:val="16"/>
                <w:szCs w:val="16"/>
                <w:lang w:val="es-ES_tradnl"/>
              </w:rPr>
              <w:t>Mantenimiento del rendimiento del bienio anterior.</w:t>
            </w:r>
          </w:p>
        </w:tc>
      </w:tr>
    </w:tbl>
    <w:p w:rsidR="003E638B" w:rsidRDefault="003E638B" w:rsidP="003E638B">
      <w:pPr>
        <w:widowControl w:val="0"/>
        <w:tabs>
          <w:tab w:val="left" w:pos="567"/>
          <w:tab w:val="left" w:pos="1985"/>
        </w:tabs>
        <w:jc w:val="both"/>
        <w:rPr>
          <w:bCs/>
          <w:sz w:val="20"/>
          <w:lang w:val="es-ES_tradnl"/>
        </w:rPr>
      </w:pPr>
    </w:p>
    <w:p w:rsidR="00D46726" w:rsidRPr="00AD1E8B" w:rsidRDefault="00D46726" w:rsidP="00D46726">
      <w:pPr>
        <w:keepNext/>
        <w:widowControl w:val="0"/>
        <w:autoSpaceDE w:val="0"/>
        <w:autoSpaceDN w:val="0"/>
        <w:adjustRightInd w:val="0"/>
        <w:rPr>
          <w:szCs w:val="22"/>
          <w:lang w:val="es-ES_tradnl"/>
        </w:rPr>
      </w:pPr>
      <w:r w:rsidRPr="00AD1E8B">
        <w:rPr>
          <w:szCs w:val="22"/>
          <w:lang w:val="es-ES_tradnl"/>
        </w:rPr>
        <w:lastRenderedPageBreak/>
        <w:t>RECURSOS PARA EL PROGRAMA 16</w:t>
      </w:r>
    </w:p>
    <w:p w:rsidR="00D46726" w:rsidRPr="00AD1E8B" w:rsidRDefault="00D46726" w:rsidP="00D46726">
      <w:pPr>
        <w:widowControl w:val="0"/>
        <w:autoSpaceDE w:val="0"/>
        <w:autoSpaceDN w:val="0"/>
        <w:adjustRightInd w:val="0"/>
        <w:rPr>
          <w:sz w:val="20"/>
          <w:lang w:val="es-ES_tradnl"/>
        </w:rPr>
      </w:pPr>
    </w:p>
    <w:p w:rsidR="00D46726" w:rsidRPr="00AD1E8B" w:rsidRDefault="00D46726" w:rsidP="00E17471">
      <w:pPr>
        <w:widowControl w:val="0"/>
        <w:numPr>
          <w:ilvl w:val="0"/>
          <w:numId w:val="10"/>
        </w:numPr>
        <w:jc w:val="both"/>
        <w:rPr>
          <w:sz w:val="20"/>
          <w:lang w:val="es-ES_tradnl"/>
        </w:rPr>
      </w:pPr>
      <w:r w:rsidRPr="00AD1E8B">
        <w:rPr>
          <w:sz w:val="20"/>
          <w:lang w:val="es-ES_tradnl"/>
        </w:rPr>
        <w:t xml:space="preserve">Los recursos asignados al resultado V.1 (Ampliación y mejora del uso de la información estadística de la OMPI en materia de P.I.) reflejan el incremento de la asignación de recursos humanos a la producción de información estadística sobre los resultados del sistema de P.I. a escala mundial, mientras que el modesto crecimiento neto de los recursos correspondientes al </w:t>
      </w:r>
      <w:r>
        <w:rPr>
          <w:sz w:val="20"/>
          <w:lang w:val="es-ES_tradnl"/>
        </w:rPr>
        <w:t>r</w:t>
      </w:r>
      <w:r w:rsidRPr="00AD1E8B">
        <w:rPr>
          <w:sz w:val="20"/>
          <w:lang w:val="es-ES_tradnl"/>
        </w:rPr>
        <w:t xml:space="preserve">esultado V.2 (Ampliación y mejora del uso de los análisis económicos de la OMPI en la formulación de políticas) refleja el decremento de los recursos a raíz de la culminación de dos proyectos de la A.D. (La P.I. y el desarrollo socioeconómico y La P.I. y la economía informal), decremento que se ha visto compensado por el incremento destinado a la proyectada </w:t>
      </w:r>
      <w:r>
        <w:rPr>
          <w:sz w:val="20"/>
          <w:lang w:val="es-ES_tradnl"/>
        </w:rPr>
        <w:t>f</w:t>
      </w:r>
      <w:r w:rsidRPr="00AD1E8B">
        <w:rPr>
          <w:sz w:val="20"/>
          <w:lang w:val="es-ES_tradnl"/>
        </w:rPr>
        <w:t xml:space="preserve">ase II del proyecto de la A.D. sobre La P.I. y el desarrollo socioeconómico. </w:t>
      </w:r>
    </w:p>
    <w:p w:rsidR="00D46726" w:rsidRPr="00AD1E8B" w:rsidRDefault="00D46726" w:rsidP="00D46726">
      <w:pPr>
        <w:widowControl w:val="0"/>
        <w:jc w:val="both"/>
        <w:rPr>
          <w:sz w:val="20"/>
          <w:lang w:val="es-ES_tradnl"/>
        </w:rPr>
      </w:pPr>
    </w:p>
    <w:p w:rsidR="00D46726" w:rsidRPr="00AD1E8B" w:rsidRDefault="00D46726" w:rsidP="00E17471">
      <w:pPr>
        <w:widowControl w:val="0"/>
        <w:numPr>
          <w:ilvl w:val="0"/>
          <w:numId w:val="10"/>
        </w:numPr>
        <w:jc w:val="both"/>
        <w:rPr>
          <w:sz w:val="20"/>
          <w:lang w:val="es-ES_tradnl"/>
        </w:rPr>
      </w:pPr>
      <w:r w:rsidRPr="00AD1E8B">
        <w:rPr>
          <w:sz w:val="20"/>
          <w:lang w:val="es-ES_tradnl"/>
        </w:rPr>
        <w:t>No se han asignado recursos al resultado III.3 (Integración de las recomendaciones de la A.D. en la actividad de la OMPI) en 2014/15 como consecuencia de la culminación del proyecto de la A.D. sobre la P.I. y la fuga de cerebros;  análogamente, tampoco se han asignado recursos al resultado VII.2 (Adopción generalizada de plataformas que fomenten la cooperación al abordar problemas de orden mundial) como consecuencia de la culminación del proyecto de la A.D. sobre los Proyectos de colaboración abierta.</w:t>
      </w:r>
    </w:p>
    <w:p w:rsidR="00D46726" w:rsidRPr="00AD1E8B" w:rsidRDefault="00D46726" w:rsidP="00D46726">
      <w:pPr>
        <w:widowControl w:val="0"/>
        <w:rPr>
          <w:sz w:val="20"/>
          <w:lang w:val="es-ES_tradnl"/>
        </w:rPr>
      </w:pPr>
    </w:p>
    <w:p w:rsidR="003E638B" w:rsidRPr="00C75C7E" w:rsidRDefault="003E638B" w:rsidP="003E638B">
      <w:pPr>
        <w:widowControl w:val="0"/>
        <w:rPr>
          <w:sz w:val="20"/>
          <w:lang w:val="es-ES_tradnl"/>
        </w:rPr>
      </w:pPr>
    </w:p>
    <w:p w:rsidR="003E638B" w:rsidRPr="00C75C7E" w:rsidRDefault="00033E8A" w:rsidP="00F21127">
      <w:pPr>
        <w:keepNext/>
        <w:widowControl w:val="0"/>
        <w:autoSpaceDE w:val="0"/>
        <w:autoSpaceDN w:val="0"/>
        <w:adjustRightInd w:val="0"/>
        <w:jc w:val="center"/>
        <w:rPr>
          <w:b/>
          <w:bCs/>
          <w:iCs/>
          <w:sz w:val="20"/>
          <w:lang w:val="es-ES_tradnl"/>
        </w:rPr>
      </w:pPr>
      <w:r>
        <w:rPr>
          <w:b/>
          <w:bCs/>
          <w:iCs/>
          <w:sz w:val="20"/>
          <w:lang w:val="es-ES_tradnl"/>
        </w:rPr>
        <w:t xml:space="preserve">Programa 16:  </w:t>
      </w:r>
      <w:r w:rsidR="003E638B" w:rsidRPr="00C75C7E">
        <w:rPr>
          <w:b/>
          <w:bCs/>
          <w:iCs/>
          <w:sz w:val="20"/>
          <w:lang w:val="es-ES_tradnl"/>
        </w:rPr>
        <w:t>Recursos por resultado</w:t>
      </w:r>
    </w:p>
    <w:p w:rsidR="003E638B" w:rsidRPr="00C75C7E" w:rsidRDefault="003E638B" w:rsidP="00F21127">
      <w:pPr>
        <w:keepNext/>
        <w:widowControl w:val="0"/>
        <w:autoSpaceDE w:val="0"/>
        <w:autoSpaceDN w:val="0"/>
        <w:adjustRightInd w:val="0"/>
        <w:jc w:val="center"/>
        <w:rPr>
          <w:bCs/>
          <w:i/>
          <w:sz w:val="20"/>
          <w:lang w:val="es-ES_tradnl"/>
        </w:rPr>
      </w:pPr>
      <w:r w:rsidRPr="00C75C7E">
        <w:rPr>
          <w:bCs/>
          <w:i/>
          <w:sz w:val="20"/>
          <w:lang w:val="es-ES_tradnl"/>
        </w:rPr>
        <w:t>(en miles de francos suizos)</w:t>
      </w:r>
    </w:p>
    <w:p w:rsidR="003E638B" w:rsidRPr="00C75C7E" w:rsidRDefault="003E638B" w:rsidP="00F21127">
      <w:pPr>
        <w:keepNext/>
        <w:widowControl w:val="0"/>
        <w:autoSpaceDE w:val="0"/>
        <w:autoSpaceDN w:val="0"/>
        <w:adjustRightInd w:val="0"/>
        <w:jc w:val="center"/>
        <w:rPr>
          <w:sz w:val="20"/>
          <w:lang w:val="es-ES_tradnl"/>
        </w:rPr>
      </w:pPr>
    </w:p>
    <w:p w:rsidR="003E638B" w:rsidRPr="00C75C7E" w:rsidRDefault="00C40A11" w:rsidP="00F21127">
      <w:pPr>
        <w:keepNext/>
        <w:widowControl w:val="0"/>
        <w:jc w:val="center"/>
        <w:rPr>
          <w:sz w:val="20"/>
          <w:lang w:val="es-ES_tradnl"/>
        </w:rPr>
      </w:pPr>
      <w:r>
        <w:rPr>
          <w:noProof/>
          <w:lang w:val="en-US" w:eastAsia="en-US"/>
        </w:rPr>
        <w:drawing>
          <wp:inline distT="0" distB="0" distL="0" distR="0" wp14:anchorId="64508F34" wp14:editId="0192B717">
            <wp:extent cx="5752465" cy="2702560"/>
            <wp:effectExtent l="0" t="0" r="635" b="2540"/>
            <wp:docPr id="56"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752465" cy="2702560"/>
                    </a:xfrm>
                    <a:prstGeom prst="rect">
                      <a:avLst/>
                    </a:prstGeom>
                    <a:noFill/>
                    <a:ln>
                      <a:noFill/>
                    </a:ln>
                  </pic:spPr>
                </pic:pic>
              </a:graphicData>
            </a:graphic>
          </wp:inline>
        </w:drawing>
      </w:r>
    </w:p>
    <w:p w:rsidR="003E638B" w:rsidRPr="00C75C7E" w:rsidRDefault="003E638B" w:rsidP="00F21127">
      <w:pPr>
        <w:keepNext/>
        <w:widowControl w:val="0"/>
        <w:jc w:val="both"/>
        <w:rPr>
          <w:sz w:val="20"/>
          <w:lang w:val="es-ES_tradnl"/>
        </w:rPr>
      </w:pPr>
    </w:p>
    <w:p w:rsidR="003E638B" w:rsidRPr="00C75C7E" w:rsidRDefault="003E638B" w:rsidP="00F21127">
      <w:pPr>
        <w:keepNext/>
        <w:widowControl w:val="0"/>
        <w:autoSpaceDE w:val="0"/>
        <w:autoSpaceDN w:val="0"/>
        <w:adjustRightInd w:val="0"/>
        <w:rPr>
          <w:sz w:val="20"/>
          <w:lang w:val="es-ES_tradnl"/>
        </w:rPr>
      </w:pPr>
      <w:r w:rsidRPr="00C75C7E">
        <w:rPr>
          <w:sz w:val="16"/>
          <w:szCs w:val="16"/>
          <w:lang w:val="es-ES_tradnl"/>
        </w:rPr>
        <w:t xml:space="preserve">Nota: </w:t>
      </w:r>
      <w:r w:rsidR="008920C1">
        <w:rPr>
          <w:sz w:val="16"/>
          <w:szCs w:val="16"/>
          <w:lang w:val="es-ES_tradnl"/>
        </w:rPr>
        <w:t xml:space="preserve"> </w:t>
      </w:r>
      <w:r w:rsidRPr="00C75C7E">
        <w:rPr>
          <w:sz w:val="16"/>
          <w:szCs w:val="16"/>
          <w:lang w:val="es-ES_tradnl"/>
        </w:rPr>
        <w:t>Se ha reexpresado el presupuesto aprobado de 2012/13 y el presupuesto de dicho bienio después de las transferencias, por resultado previsto, para reflejar el marco de resultados de la Organización propuesto para 2014/15.</w:t>
      </w:r>
    </w:p>
    <w:p w:rsidR="003E638B" w:rsidRPr="00C75C7E" w:rsidRDefault="003E638B" w:rsidP="003E638B">
      <w:pPr>
        <w:widowControl w:val="0"/>
        <w:jc w:val="both"/>
        <w:rPr>
          <w:sz w:val="20"/>
          <w:lang w:val="es-ES_tradnl"/>
        </w:rPr>
      </w:pPr>
    </w:p>
    <w:p w:rsidR="003E638B" w:rsidRPr="00C75C7E" w:rsidRDefault="00033E8A" w:rsidP="00D46726">
      <w:pPr>
        <w:keepNext/>
        <w:widowControl w:val="0"/>
        <w:autoSpaceDE w:val="0"/>
        <w:autoSpaceDN w:val="0"/>
        <w:adjustRightInd w:val="0"/>
        <w:ind w:firstLine="567"/>
        <w:jc w:val="center"/>
        <w:rPr>
          <w:b/>
          <w:bCs/>
          <w:iCs/>
          <w:sz w:val="20"/>
          <w:lang w:val="es-ES_tradnl"/>
        </w:rPr>
      </w:pPr>
      <w:r>
        <w:rPr>
          <w:b/>
          <w:bCs/>
          <w:iCs/>
          <w:sz w:val="20"/>
          <w:lang w:val="es-ES_tradnl"/>
        </w:rPr>
        <w:lastRenderedPageBreak/>
        <w:t xml:space="preserve">Programa 16:  </w:t>
      </w:r>
      <w:r w:rsidR="003E638B" w:rsidRPr="00C75C7E">
        <w:rPr>
          <w:b/>
          <w:bCs/>
          <w:iCs/>
          <w:sz w:val="20"/>
          <w:lang w:val="es-ES_tradnl"/>
        </w:rPr>
        <w:t>Recursos por objeto de gasto</w:t>
      </w:r>
    </w:p>
    <w:p w:rsidR="003E638B" w:rsidRPr="00C75C7E" w:rsidRDefault="003E638B" w:rsidP="00D46726">
      <w:pPr>
        <w:keepNext/>
        <w:widowControl w:val="0"/>
        <w:jc w:val="center"/>
        <w:rPr>
          <w:i/>
          <w:sz w:val="18"/>
          <w:szCs w:val="18"/>
          <w:lang w:val="es-ES_tradnl"/>
        </w:rPr>
      </w:pPr>
      <w:r w:rsidRPr="00C75C7E">
        <w:rPr>
          <w:bCs/>
          <w:i/>
          <w:sz w:val="20"/>
          <w:lang w:val="es-ES_tradnl"/>
        </w:rPr>
        <w:t>(en miles de francos suizos)</w:t>
      </w:r>
    </w:p>
    <w:p w:rsidR="003E638B" w:rsidRDefault="003E638B" w:rsidP="00D46726">
      <w:pPr>
        <w:keepNext/>
        <w:widowControl w:val="0"/>
        <w:jc w:val="center"/>
        <w:rPr>
          <w:i/>
          <w:sz w:val="16"/>
          <w:szCs w:val="16"/>
          <w:lang w:val="es-ES_tradnl"/>
        </w:rPr>
      </w:pPr>
    </w:p>
    <w:p w:rsidR="001E5683" w:rsidRPr="00C75C7E" w:rsidRDefault="00C40A11" w:rsidP="00D46726">
      <w:pPr>
        <w:keepNext/>
        <w:widowControl w:val="0"/>
        <w:jc w:val="center"/>
        <w:rPr>
          <w:i/>
          <w:sz w:val="16"/>
          <w:szCs w:val="16"/>
          <w:lang w:val="es-ES_tradnl"/>
        </w:rPr>
      </w:pPr>
      <w:r>
        <w:rPr>
          <w:noProof/>
          <w:lang w:val="en-US" w:eastAsia="en-US"/>
        </w:rPr>
        <w:drawing>
          <wp:inline distT="0" distB="0" distL="0" distR="0" wp14:anchorId="7486AC84" wp14:editId="6D9548E0">
            <wp:extent cx="5936615" cy="6209665"/>
            <wp:effectExtent l="0" t="0" r="6985"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936615" cy="6209665"/>
                    </a:xfrm>
                    <a:prstGeom prst="rect">
                      <a:avLst/>
                    </a:prstGeom>
                    <a:noFill/>
                    <a:ln>
                      <a:noFill/>
                    </a:ln>
                  </pic:spPr>
                </pic:pic>
              </a:graphicData>
            </a:graphic>
          </wp:inline>
        </w:drawing>
      </w:r>
    </w:p>
    <w:p w:rsidR="001E5683" w:rsidRDefault="001E5683" w:rsidP="003E638B">
      <w:pPr>
        <w:widowControl w:val="0"/>
        <w:rPr>
          <w:lang w:val="es-ES_tradnl"/>
        </w:rPr>
      </w:pPr>
    </w:p>
    <w:p w:rsidR="003E638B" w:rsidRPr="00C75C7E" w:rsidRDefault="003E638B" w:rsidP="003E638B">
      <w:pPr>
        <w:widowControl w:val="0"/>
        <w:rPr>
          <w:sz w:val="16"/>
          <w:szCs w:val="16"/>
          <w:lang w:val="es-ES_tradnl"/>
        </w:rPr>
      </w:pPr>
      <w:r w:rsidRPr="00C75C7E">
        <w:rPr>
          <w:sz w:val="16"/>
          <w:szCs w:val="16"/>
          <w:lang w:val="es-ES_tradnl"/>
        </w:rPr>
        <w:t>Notas:</w:t>
      </w:r>
    </w:p>
    <w:p w:rsidR="003E638B" w:rsidRPr="00C75C7E" w:rsidRDefault="003E638B" w:rsidP="003E638B">
      <w:pPr>
        <w:widowControl w:val="0"/>
        <w:rPr>
          <w:sz w:val="16"/>
          <w:szCs w:val="16"/>
          <w:u w:val="single"/>
          <w:lang w:val="es-ES_tradnl"/>
        </w:rPr>
      </w:pPr>
    </w:p>
    <w:p w:rsidR="003E638B" w:rsidRDefault="008920C1" w:rsidP="003E638B">
      <w:pPr>
        <w:widowControl w:val="0"/>
        <w:tabs>
          <w:tab w:val="left" w:pos="567"/>
        </w:tabs>
        <w:rPr>
          <w:sz w:val="16"/>
          <w:szCs w:val="16"/>
          <w:lang w:val="es-ES_tradnl"/>
        </w:rPr>
      </w:pPr>
      <w:r>
        <w:rPr>
          <w:sz w:val="16"/>
          <w:szCs w:val="16"/>
          <w:lang w:val="es-ES_tradnl"/>
        </w:rPr>
        <w:t xml:space="preserve">1)  </w:t>
      </w:r>
      <w:r w:rsidR="003E638B" w:rsidRPr="00C75C7E">
        <w:rPr>
          <w:sz w:val="16"/>
          <w:szCs w:val="16"/>
          <w:lang w:val="es-ES_tradnl"/>
        </w:rPr>
        <w:t>El presupuesto aprobado de 2012/13 y el presupuesto de dicho bienio después de las transferencias se reexpresan sobre la base de la estructura de categorías de costos propuesta para 2014/15.</w:t>
      </w:r>
    </w:p>
    <w:p w:rsidR="003E638B" w:rsidRPr="00C75C7E" w:rsidRDefault="003E638B" w:rsidP="003E638B">
      <w:pPr>
        <w:widowControl w:val="0"/>
        <w:tabs>
          <w:tab w:val="left" w:pos="567"/>
        </w:tabs>
        <w:rPr>
          <w:sz w:val="16"/>
          <w:szCs w:val="16"/>
          <w:lang w:val="es-ES_tradnl"/>
        </w:rPr>
      </w:pPr>
    </w:p>
    <w:p w:rsidR="003E638B" w:rsidRDefault="003E638B" w:rsidP="003E638B">
      <w:pPr>
        <w:widowControl w:val="0"/>
        <w:rPr>
          <w:rFonts w:cs="ArialMT"/>
          <w:sz w:val="16"/>
          <w:szCs w:val="16"/>
          <w:lang w:val="es-ES_tradnl"/>
        </w:rPr>
      </w:pPr>
      <w:r>
        <w:rPr>
          <w:sz w:val="16"/>
          <w:szCs w:val="16"/>
          <w:lang w:val="es-ES_tradnl"/>
        </w:rPr>
        <w:t>2)</w:t>
      </w:r>
      <w:r w:rsidR="008920C1">
        <w:rPr>
          <w:sz w:val="16"/>
          <w:szCs w:val="16"/>
          <w:lang w:val="es-ES_tradnl"/>
        </w:rPr>
        <w:t xml:space="preserve">  </w:t>
      </w:r>
      <w:r w:rsidRPr="00C75C7E">
        <w:rPr>
          <w:sz w:val="16"/>
          <w:szCs w:val="16"/>
          <w:lang w:val="es-ES_tradnl"/>
        </w:rPr>
        <w:t>El presupuesto después de las transferencias refleja el presupuesto de los programas ajustado tras las transferencias efectuadas en 2012/13 en virtud del artículo 5.5 del Reglamento Financiero. Para más información sobre el presupuesto de</w:t>
      </w:r>
      <w:r w:rsidR="00D86F03">
        <w:rPr>
          <w:sz w:val="16"/>
          <w:szCs w:val="16"/>
          <w:lang w:val="es-ES_tradnl"/>
        </w:rPr>
        <w:t> </w:t>
      </w:r>
      <w:r w:rsidRPr="00C75C7E">
        <w:rPr>
          <w:sz w:val="16"/>
          <w:szCs w:val="16"/>
          <w:lang w:val="es-ES_tradnl"/>
        </w:rPr>
        <w:t xml:space="preserve">2012/13 después de las transferencias, cabe remitirse al cuadro que figura en el Anexo I (Presupuesto después de las transferencias, por programa) del presente documento y al documento WO/PBC/20/2 (Informe sobre el rendimiento de los programas en 2012).  </w:t>
      </w:r>
      <w:r w:rsidRPr="00C75C7E">
        <w:rPr>
          <w:rFonts w:cs="ArialMT"/>
          <w:sz w:val="16"/>
          <w:szCs w:val="16"/>
          <w:lang w:val="es-ES_tradnl"/>
        </w:rPr>
        <w:t>Los costos de personal del presupuesto de 2012/13 después de las transferencias representan los gastos reales efectuados hasta el 31 de marzo de 2013 y los importes presupuestados para los nueve meses restantes de 2013, sobre la base de costos estándar.</w:t>
      </w:r>
    </w:p>
    <w:p w:rsidR="003E638B" w:rsidRPr="00C75C7E" w:rsidRDefault="003E638B" w:rsidP="003E638B">
      <w:pPr>
        <w:widowControl w:val="0"/>
        <w:rPr>
          <w:sz w:val="16"/>
          <w:szCs w:val="16"/>
          <w:lang w:val="es-ES_tradnl"/>
        </w:rPr>
      </w:pPr>
    </w:p>
    <w:p w:rsidR="003E638B" w:rsidRDefault="003E638B" w:rsidP="003E638B">
      <w:pPr>
        <w:widowControl w:val="0"/>
        <w:rPr>
          <w:sz w:val="16"/>
          <w:szCs w:val="16"/>
          <w:lang w:val="es-ES_tradnl"/>
        </w:rPr>
      </w:pPr>
      <w:r>
        <w:rPr>
          <w:sz w:val="16"/>
          <w:szCs w:val="16"/>
          <w:lang w:val="es-ES_tradnl"/>
        </w:rPr>
        <w:t>3)</w:t>
      </w:r>
      <w:r w:rsidR="008920C1">
        <w:rPr>
          <w:sz w:val="16"/>
          <w:szCs w:val="16"/>
          <w:lang w:val="es-ES_tradnl"/>
        </w:rPr>
        <w:t xml:space="preserve">  </w:t>
      </w:r>
      <w:r w:rsidRPr="00C75C7E">
        <w:rPr>
          <w:sz w:val="16"/>
          <w:szCs w:val="16"/>
          <w:lang w:val="es-ES_tradnl"/>
        </w:rPr>
        <w:t>Para más información sobre los puestos del programa cabe remitirse al cuadro que figura en el Anexo II.</w:t>
      </w:r>
    </w:p>
    <w:p w:rsidR="003E638B" w:rsidRPr="00C75C7E" w:rsidRDefault="003E638B" w:rsidP="003E638B">
      <w:pPr>
        <w:widowControl w:val="0"/>
        <w:rPr>
          <w:sz w:val="16"/>
          <w:szCs w:val="16"/>
          <w:lang w:val="es-ES_tradnl"/>
        </w:rPr>
      </w:pPr>
    </w:p>
    <w:p w:rsidR="003E638B" w:rsidRDefault="003E638B" w:rsidP="003E638B">
      <w:pPr>
        <w:rPr>
          <w:sz w:val="16"/>
          <w:szCs w:val="16"/>
          <w:lang w:val="es-ES_tradnl"/>
        </w:rPr>
      </w:pPr>
      <w:r>
        <w:rPr>
          <w:sz w:val="16"/>
          <w:szCs w:val="16"/>
          <w:lang w:val="es-ES_tradnl"/>
        </w:rPr>
        <w:t>4)</w:t>
      </w:r>
      <w:r w:rsidR="008920C1">
        <w:rPr>
          <w:sz w:val="16"/>
          <w:szCs w:val="16"/>
          <w:lang w:val="es-ES_tradnl"/>
        </w:rPr>
        <w:t xml:space="preserve">  </w:t>
      </w:r>
      <w:r w:rsidRPr="00C75C7E">
        <w:rPr>
          <w:sz w:val="16"/>
          <w:szCs w:val="16"/>
          <w:lang w:val="es-ES_tradnl"/>
        </w:rPr>
        <w:t>Incluye el proyecto de la A.D. sobre “La propiedad intelectual y e</w:t>
      </w:r>
      <w:r w:rsidR="007176C1">
        <w:rPr>
          <w:sz w:val="16"/>
          <w:szCs w:val="16"/>
          <w:lang w:val="es-ES_tradnl"/>
        </w:rPr>
        <w:t>l desarrollo socioeconómico”.</w:t>
      </w:r>
    </w:p>
    <w:p w:rsidR="007176C1" w:rsidRDefault="007176C1" w:rsidP="003E638B">
      <w:pPr>
        <w:rPr>
          <w:sz w:val="16"/>
          <w:szCs w:val="16"/>
          <w:lang w:val="es-ES_tradnl"/>
        </w:rPr>
      </w:pPr>
    </w:p>
    <w:p w:rsidR="007176C1" w:rsidRDefault="007176C1" w:rsidP="003E638B">
      <w:pPr>
        <w:rPr>
          <w:sz w:val="16"/>
          <w:szCs w:val="16"/>
          <w:lang w:val="es-ES_tradnl"/>
        </w:rPr>
      </w:pPr>
    </w:p>
    <w:p w:rsidR="00D000E5" w:rsidRDefault="00D000E5" w:rsidP="003E638B">
      <w:pPr>
        <w:rPr>
          <w:sz w:val="20"/>
        </w:rPr>
        <w:sectPr w:rsidR="00D000E5" w:rsidSect="00FF362A">
          <w:headerReference w:type="default" r:id="rId95"/>
          <w:headerReference w:type="first" r:id="rId96"/>
          <w:pgSz w:w="11907" w:h="16840" w:code="9"/>
          <w:pgMar w:top="567" w:right="1134" w:bottom="1418" w:left="1418" w:header="510" w:footer="1021" w:gutter="0"/>
          <w:cols w:space="720"/>
          <w:titlePg/>
        </w:sectPr>
      </w:pPr>
    </w:p>
    <w:p w:rsidR="00033E8A" w:rsidRDefault="006A15F5" w:rsidP="00D46726">
      <w:pPr>
        <w:pStyle w:val="Heading2"/>
        <w:jc w:val="center"/>
        <w:rPr>
          <w:b/>
          <w:caps w:val="0"/>
          <w:lang w:val="es-ES_tradnl" w:eastAsia="da-DK"/>
        </w:rPr>
      </w:pPr>
      <w:bookmarkStart w:id="60" w:name="_Toc356567768"/>
      <w:bookmarkStart w:id="61" w:name="_Toc358816706"/>
      <w:r w:rsidRPr="00D46726">
        <w:rPr>
          <w:b/>
          <w:caps w:val="0"/>
          <w:lang w:val="es-ES_tradnl" w:eastAsia="da-DK"/>
        </w:rPr>
        <w:lastRenderedPageBreak/>
        <w:t>META ESTRATÉGICA VI</w:t>
      </w:r>
    </w:p>
    <w:p w:rsidR="00C2064F" w:rsidRPr="00D46726" w:rsidRDefault="006A15F5" w:rsidP="00D46726">
      <w:pPr>
        <w:pStyle w:val="Heading2"/>
        <w:jc w:val="center"/>
        <w:rPr>
          <w:b/>
          <w:lang w:val="es-ES_tradnl" w:eastAsia="da-DK"/>
        </w:rPr>
      </w:pPr>
      <w:r w:rsidRPr="00D46726">
        <w:rPr>
          <w:b/>
          <w:caps w:val="0"/>
          <w:lang w:val="es-ES_tradnl" w:eastAsia="da-DK"/>
        </w:rPr>
        <w:t>COOPERACIÓN INTERNACIONAL PARA CULTIVAR</w:t>
      </w:r>
      <w:r>
        <w:rPr>
          <w:b/>
          <w:caps w:val="0"/>
          <w:lang w:val="es-ES_tradnl" w:eastAsia="da-DK"/>
        </w:rPr>
        <w:br/>
      </w:r>
      <w:r w:rsidRPr="00D46726">
        <w:rPr>
          <w:b/>
          <w:caps w:val="0"/>
          <w:lang w:val="es-ES_tradnl" w:eastAsia="da-DK"/>
        </w:rPr>
        <w:t>EL RESPETO POR LA P.I.</w:t>
      </w:r>
      <w:bookmarkEnd w:id="60"/>
      <w:bookmarkEnd w:id="61"/>
    </w:p>
    <w:p w:rsidR="00C2064F" w:rsidRPr="00C2064F" w:rsidRDefault="00C2064F" w:rsidP="00C2064F">
      <w:pPr>
        <w:widowControl w:val="0"/>
        <w:tabs>
          <w:tab w:val="left" w:pos="1701"/>
        </w:tabs>
        <w:ind w:left="1701" w:hanging="1701"/>
        <w:jc w:val="center"/>
        <w:rPr>
          <w:rFonts w:eastAsia="Times New Roman"/>
          <w:b/>
          <w:bCs/>
          <w:caps/>
          <w:sz w:val="24"/>
          <w:szCs w:val="24"/>
          <w:lang w:val="es-ES_tradnl" w:eastAsia="en-US"/>
        </w:rPr>
      </w:pPr>
    </w:p>
    <w:p w:rsidR="00C2064F" w:rsidRPr="00C2064F" w:rsidRDefault="00C2064F" w:rsidP="00C2064F">
      <w:pPr>
        <w:widowControl w:val="0"/>
        <w:tabs>
          <w:tab w:val="left" w:pos="1701"/>
        </w:tabs>
        <w:ind w:left="1701" w:hanging="1701"/>
        <w:jc w:val="center"/>
        <w:rPr>
          <w:rFonts w:eastAsia="Times New Roman"/>
          <w:b/>
          <w:bCs/>
          <w:caps/>
          <w:sz w:val="24"/>
          <w:szCs w:val="24"/>
          <w:lang w:val="es-ES_tradnl" w:eastAsia="en-US"/>
        </w:rPr>
      </w:pPr>
    </w:p>
    <w:p w:rsidR="00C2064F" w:rsidRPr="00C2064F" w:rsidRDefault="00C2064F" w:rsidP="00C2064F">
      <w:pPr>
        <w:widowControl w:val="0"/>
        <w:jc w:val="both"/>
        <w:rPr>
          <w:rFonts w:eastAsia="Times New Roman"/>
          <w:sz w:val="20"/>
          <w:lang w:val="es-ES_tradnl" w:eastAsia="en-US"/>
        </w:rPr>
      </w:pPr>
      <w:r w:rsidRPr="00C2064F">
        <w:rPr>
          <w:rFonts w:eastAsia="Times New Roman"/>
          <w:sz w:val="20"/>
          <w:lang w:val="es-ES_tradnl" w:eastAsia="en-US"/>
        </w:rPr>
        <w:t>Cultivar el respeto por la P.I. entraña adoptar un enfoque más amplio que va más allá de la mera observancia de los derechos.  Exige dar prioridad a la cooperación internacional, ámbito en el que la OMPI puede lograr resultados tangibles.  Se trata de un amplio objetivo que atañe a distintos sectores y constituye el eje de muchas de las actividades de la Organización.  El Comité Asesor de la OMPI sobre Observancia (ACE) es un mecanismo del que se sirven los Estados miembros para coordinar la labor que se realiza en aras de ese objetivo.  Las actividades realizadas en el marco de esta meta estratégica se rigen por la recomendación 45 de la A.D.</w:t>
      </w:r>
    </w:p>
    <w:p w:rsidR="005B4A50" w:rsidRPr="00C2064F" w:rsidRDefault="005B4A50" w:rsidP="003E638B">
      <w:pPr>
        <w:rPr>
          <w:sz w:val="20"/>
          <w:lang w:val="es-ES_tradnl"/>
        </w:rPr>
      </w:pPr>
    </w:p>
    <w:tbl>
      <w:tblPr>
        <w:tblW w:w="4856"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513"/>
        <w:gridCol w:w="2722"/>
        <w:gridCol w:w="3060"/>
      </w:tblGrid>
      <w:tr w:rsidR="00B55718" w:rsidRPr="00C75C7E" w:rsidTr="008F4F69">
        <w:trPr>
          <w:cantSplit/>
          <w:trHeight w:val="455"/>
        </w:trPr>
        <w:tc>
          <w:tcPr>
            <w:tcW w:w="1890" w:type="pct"/>
            <w:tcBorders>
              <w:top w:val="single" w:sz="4" w:space="0" w:color="auto"/>
              <w:bottom w:val="single" w:sz="4" w:space="0" w:color="auto"/>
            </w:tcBorders>
            <w:shd w:val="clear" w:color="auto" w:fill="CCFFFF"/>
            <w:vAlign w:val="center"/>
          </w:tcPr>
          <w:p w:rsidR="00B55718" w:rsidRPr="00C75C7E" w:rsidRDefault="00B55718" w:rsidP="008F4F69">
            <w:pPr>
              <w:widowControl w:val="0"/>
              <w:spacing w:after="120"/>
              <w:jc w:val="center"/>
              <w:rPr>
                <w:b/>
                <w:bCs/>
                <w:sz w:val="18"/>
                <w:szCs w:val="18"/>
                <w:lang w:val="es-ES_tradnl"/>
              </w:rPr>
            </w:pPr>
            <w:r w:rsidRPr="00C75C7E">
              <w:rPr>
                <w:b/>
                <w:bCs/>
                <w:sz w:val="18"/>
                <w:szCs w:val="18"/>
                <w:lang w:val="es-ES_tradnl"/>
              </w:rPr>
              <w:t>Resultados previstos</w:t>
            </w:r>
          </w:p>
        </w:tc>
        <w:tc>
          <w:tcPr>
            <w:tcW w:w="1464" w:type="pct"/>
            <w:tcBorders>
              <w:top w:val="single" w:sz="4" w:space="0" w:color="auto"/>
              <w:bottom w:val="single" w:sz="4" w:space="0" w:color="auto"/>
            </w:tcBorders>
            <w:shd w:val="clear" w:color="auto" w:fill="CCFFFF"/>
            <w:tcMar>
              <w:top w:w="110" w:type="dxa"/>
            </w:tcMar>
            <w:vAlign w:val="center"/>
          </w:tcPr>
          <w:p w:rsidR="00B55718" w:rsidRPr="00C75C7E" w:rsidRDefault="00B55718" w:rsidP="008F4F69">
            <w:pPr>
              <w:widowControl w:val="0"/>
              <w:spacing w:after="120"/>
              <w:jc w:val="center"/>
              <w:rPr>
                <w:b/>
                <w:bCs/>
                <w:sz w:val="18"/>
                <w:szCs w:val="18"/>
                <w:lang w:val="es-ES_tradnl"/>
              </w:rPr>
            </w:pPr>
            <w:r w:rsidRPr="00C75C7E">
              <w:rPr>
                <w:b/>
                <w:bCs/>
                <w:sz w:val="18"/>
                <w:szCs w:val="18"/>
                <w:lang w:val="es-ES_tradnl"/>
              </w:rPr>
              <w:t>Indicadores de rendimiento</w:t>
            </w:r>
          </w:p>
        </w:tc>
        <w:tc>
          <w:tcPr>
            <w:tcW w:w="1646" w:type="pct"/>
            <w:tcBorders>
              <w:top w:val="single" w:sz="4" w:space="0" w:color="auto"/>
              <w:bottom w:val="single" w:sz="4" w:space="0" w:color="auto"/>
            </w:tcBorders>
            <w:shd w:val="clear" w:color="auto" w:fill="CCFFFF"/>
            <w:tcMar>
              <w:top w:w="110" w:type="dxa"/>
            </w:tcMar>
            <w:vAlign w:val="center"/>
          </w:tcPr>
          <w:p w:rsidR="00B55718" w:rsidRPr="00C75C7E" w:rsidRDefault="00B55718" w:rsidP="008F4F69">
            <w:pPr>
              <w:widowControl w:val="0"/>
              <w:spacing w:after="120"/>
              <w:ind w:left="85"/>
              <w:jc w:val="center"/>
              <w:rPr>
                <w:b/>
                <w:bCs/>
                <w:sz w:val="18"/>
                <w:szCs w:val="18"/>
                <w:lang w:val="es-ES_tradnl"/>
              </w:rPr>
            </w:pPr>
            <w:r w:rsidRPr="00C75C7E">
              <w:rPr>
                <w:b/>
                <w:bCs/>
                <w:sz w:val="18"/>
                <w:szCs w:val="18"/>
                <w:lang w:val="es-ES_tradnl"/>
              </w:rPr>
              <w:t>Programas responsables</w:t>
            </w:r>
          </w:p>
        </w:tc>
      </w:tr>
      <w:tr w:rsidR="00B55718" w:rsidRPr="00C75C7E" w:rsidTr="008F4F69">
        <w:trPr>
          <w:cantSplit/>
          <w:trHeight w:val="944"/>
        </w:trPr>
        <w:tc>
          <w:tcPr>
            <w:tcW w:w="1890" w:type="pct"/>
            <w:tcBorders>
              <w:top w:val="single" w:sz="4" w:space="0" w:color="auto"/>
            </w:tcBorders>
            <w:shd w:val="clear" w:color="auto" w:fill="auto"/>
            <w:tcMar>
              <w:top w:w="113" w:type="dxa"/>
              <w:bottom w:w="85" w:type="dxa"/>
            </w:tcMar>
          </w:tcPr>
          <w:p w:rsidR="00B55718" w:rsidRPr="00C75C7E" w:rsidRDefault="00B55718" w:rsidP="008F4F69">
            <w:pPr>
              <w:widowControl w:val="0"/>
              <w:rPr>
                <w:sz w:val="16"/>
                <w:szCs w:val="16"/>
                <w:lang w:val="es-ES_tradnl"/>
              </w:rPr>
            </w:pPr>
            <w:r w:rsidRPr="00C75C7E">
              <w:rPr>
                <w:sz w:val="16"/>
                <w:szCs w:val="16"/>
                <w:lang w:val="es-ES_tradnl"/>
              </w:rPr>
              <w:t>VI.1. Avances en el diálogo internacional sobre políticas entre los Estados miembros de la OMPI para cultivar el respeto por la P.I. sobre la base de la recomendación 45 de la Agenda de la OMPI para el Desarrollo.</w:t>
            </w:r>
          </w:p>
        </w:tc>
        <w:tc>
          <w:tcPr>
            <w:tcW w:w="1464" w:type="pct"/>
            <w:tcBorders>
              <w:top w:val="single" w:sz="4" w:space="0" w:color="auto"/>
            </w:tcBorders>
            <w:shd w:val="clear" w:color="auto" w:fill="auto"/>
            <w:tcMar>
              <w:top w:w="113" w:type="dxa"/>
              <w:bottom w:w="85" w:type="dxa"/>
            </w:tcMar>
          </w:tcPr>
          <w:p w:rsidR="00B55718" w:rsidRPr="00C75C7E" w:rsidRDefault="00B55718" w:rsidP="008F4F69">
            <w:pPr>
              <w:widowControl w:val="0"/>
              <w:rPr>
                <w:sz w:val="16"/>
                <w:szCs w:val="16"/>
                <w:lang w:val="es-ES_tradnl"/>
              </w:rPr>
            </w:pPr>
            <w:r w:rsidRPr="00C75C7E">
              <w:rPr>
                <w:sz w:val="16"/>
                <w:szCs w:val="16"/>
                <w:lang w:val="es-ES_tradnl"/>
              </w:rPr>
              <w:t>Acuerdo constante entre los Estados miembros sobre la labor sustantiva del Comité Asesor de la OMPI sobre Observancia (ACE), al incorporar elementos orientados al desarrollo.</w:t>
            </w:r>
          </w:p>
        </w:tc>
        <w:tc>
          <w:tcPr>
            <w:tcW w:w="1646" w:type="pct"/>
            <w:tcBorders>
              <w:top w:val="single" w:sz="4" w:space="0" w:color="auto"/>
            </w:tcBorders>
            <w:shd w:val="clear" w:color="auto" w:fill="FFFFFF"/>
            <w:tcMar>
              <w:top w:w="113" w:type="dxa"/>
              <w:bottom w:w="85" w:type="dxa"/>
            </w:tcMar>
          </w:tcPr>
          <w:p w:rsidR="00B55718" w:rsidRPr="00C75C7E" w:rsidRDefault="00B55718" w:rsidP="008F4F69">
            <w:pPr>
              <w:widowControl w:val="0"/>
              <w:ind w:left="769"/>
              <w:rPr>
                <w:sz w:val="16"/>
                <w:szCs w:val="16"/>
                <w:lang w:val="es-ES_tradnl"/>
              </w:rPr>
            </w:pPr>
            <w:r w:rsidRPr="00C75C7E">
              <w:rPr>
                <w:sz w:val="16"/>
                <w:szCs w:val="16"/>
                <w:lang w:val="es-ES_tradnl" w:bidi="th-TH"/>
              </w:rPr>
              <w:t>Programa  17</w:t>
            </w:r>
          </w:p>
        </w:tc>
      </w:tr>
      <w:tr w:rsidR="00B55718" w:rsidRPr="00C75C7E" w:rsidTr="008F4F69">
        <w:trPr>
          <w:cantSplit/>
          <w:trHeight w:val="704"/>
        </w:trPr>
        <w:tc>
          <w:tcPr>
            <w:tcW w:w="1890" w:type="pct"/>
            <w:shd w:val="clear" w:color="auto" w:fill="auto"/>
            <w:tcMar>
              <w:top w:w="113" w:type="dxa"/>
              <w:bottom w:w="85" w:type="dxa"/>
            </w:tcMar>
          </w:tcPr>
          <w:p w:rsidR="00B55718" w:rsidRPr="00C75C7E" w:rsidRDefault="00B55718" w:rsidP="00033E8A">
            <w:pPr>
              <w:widowControl w:val="0"/>
              <w:rPr>
                <w:sz w:val="16"/>
                <w:szCs w:val="16"/>
                <w:lang w:val="es-ES_tradnl"/>
              </w:rPr>
            </w:pPr>
            <w:r w:rsidRPr="00C75C7E">
              <w:rPr>
                <w:sz w:val="16"/>
                <w:szCs w:val="16"/>
                <w:lang w:val="es-ES_tradnl"/>
              </w:rPr>
              <w:t>VI.2. Cooperación sistemática</w:t>
            </w:r>
            <w:r w:rsidR="00033E8A">
              <w:rPr>
                <w:sz w:val="16"/>
                <w:szCs w:val="16"/>
                <w:lang w:val="es-ES_tradnl"/>
              </w:rPr>
              <w:t>, eficaz y transparente</w:t>
            </w:r>
            <w:r w:rsidRPr="00C75C7E">
              <w:rPr>
                <w:sz w:val="16"/>
                <w:szCs w:val="16"/>
                <w:lang w:val="es-ES_tradnl"/>
              </w:rPr>
              <w:t xml:space="preserve"> entre la labor de la OMPI y otras organizaciones internacionales en el ámbito del cultivo del respeto por la P.I.</w:t>
            </w:r>
          </w:p>
        </w:tc>
        <w:tc>
          <w:tcPr>
            <w:tcW w:w="1464" w:type="pct"/>
            <w:shd w:val="clear" w:color="auto" w:fill="auto"/>
            <w:tcMar>
              <w:top w:w="113" w:type="dxa"/>
              <w:bottom w:w="85" w:type="dxa"/>
            </w:tcMar>
          </w:tcPr>
          <w:p w:rsidR="00B55718" w:rsidRPr="00C75C7E" w:rsidRDefault="00B55718" w:rsidP="008F4F69">
            <w:pPr>
              <w:widowControl w:val="0"/>
              <w:rPr>
                <w:sz w:val="16"/>
                <w:szCs w:val="16"/>
                <w:lang w:val="es-ES_tradnl"/>
              </w:rPr>
            </w:pPr>
            <w:r w:rsidRPr="00C75C7E">
              <w:rPr>
                <w:sz w:val="16"/>
                <w:szCs w:val="16"/>
                <w:lang w:val="es-ES_tradnl"/>
              </w:rPr>
              <w:t>Número de actividades conjuntas de cultivo del respeto por la P.I.</w:t>
            </w:r>
          </w:p>
        </w:tc>
        <w:tc>
          <w:tcPr>
            <w:tcW w:w="1646" w:type="pct"/>
            <w:shd w:val="clear" w:color="auto" w:fill="FFFFFF"/>
            <w:tcMar>
              <w:top w:w="113" w:type="dxa"/>
              <w:bottom w:w="85" w:type="dxa"/>
            </w:tcMar>
          </w:tcPr>
          <w:p w:rsidR="00B55718" w:rsidRPr="00C75C7E" w:rsidRDefault="00B55718" w:rsidP="008F4F69">
            <w:pPr>
              <w:widowControl w:val="0"/>
              <w:ind w:left="769"/>
              <w:rPr>
                <w:sz w:val="16"/>
                <w:szCs w:val="16"/>
                <w:lang w:val="es-ES_tradnl"/>
              </w:rPr>
            </w:pPr>
            <w:r w:rsidRPr="00C75C7E">
              <w:rPr>
                <w:sz w:val="16"/>
                <w:szCs w:val="16"/>
                <w:lang w:val="es-ES_tradnl" w:bidi="th-TH"/>
              </w:rPr>
              <w:t>Programa  17</w:t>
            </w:r>
          </w:p>
        </w:tc>
      </w:tr>
    </w:tbl>
    <w:p w:rsidR="00B55718" w:rsidRPr="00C75C7E" w:rsidRDefault="00B55718" w:rsidP="00B55718">
      <w:pPr>
        <w:widowControl w:val="0"/>
        <w:tabs>
          <w:tab w:val="left" w:pos="0"/>
        </w:tabs>
        <w:rPr>
          <w:sz w:val="20"/>
          <w:lang w:val="es-ES_tradnl"/>
        </w:rPr>
      </w:pPr>
    </w:p>
    <w:p w:rsidR="00B55718" w:rsidRPr="00C75C7E" w:rsidRDefault="00B55718" w:rsidP="00B55718">
      <w:pPr>
        <w:widowControl w:val="0"/>
        <w:tabs>
          <w:tab w:val="left" w:pos="0"/>
        </w:tabs>
        <w:rPr>
          <w:iCs/>
          <w:sz w:val="20"/>
          <w:lang w:val="es-ES_tradnl"/>
        </w:rPr>
      </w:pPr>
    </w:p>
    <w:p w:rsidR="00C2064F" w:rsidRPr="00F21127" w:rsidRDefault="00B55718" w:rsidP="00F21127">
      <w:pPr>
        <w:pStyle w:val="Heading3"/>
        <w:tabs>
          <w:tab w:val="left" w:pos="1985"/>
        </w:tabs>
        <w:rPr>
          <w:b/>
          <w:iCs/>
          <w:caps/>
          <w:u w:val="none"/>
        </w:rPr>
      </w:pPr>
      <w:r w:rsidRPr="00C75C7E">
        <w:rPr>
          <w:sz w:val="20"/>
          <w:lang w:val="es-ES_tradnl"/>
        </w:rPr>
        <w:br w:type="page"/>
      </w:r>
      <w:bookmarkStart w:id="62" w:name="_Toc356567769"/>
      <w:bookmarkStart w:id="63" w:name="_Toc358816707"/>
      <w:r w:rsidR="006A15F5" w:rsidRPr="00F21127">
        <w:rPr>
          <w:b/>
          <w:iCs/>
          <w:u w:val="none"/>
        </w:rPr>
        <w:lastRenderedPageBreak/>
        <w:t>PROGRAMA 17</w:t>
      </w:r>
      <w:r w:rsidR="006A15F5" w:rsidRPr="00F21127">
        <w:rPr>
          <w:b/>
          <w:iCs/>
          <w:u w:val="none"/>
        </w:rPr>
        <w:tab/>
        <w:t>CULTIVAR EL RESPETO POR LA P.I.</w:t>
      </w:r>
      <w:bookmarkEnd w:id="62"/>
      <w:bookmarkEnd w:id="63"/>
    </w:p>
    <w:p w:rsidR="00C2064F" w:rsidRPr="00AD1E8B" w:rsidRDefault="00C2064F" w:rsidP="00C2064F">
      <w:pPr>
        <w:widowControl w:val="0"/>
        <w:tabs>
          <w:tab w:val="left" w:pos="2268"/>
        </w:tabs>
        <w:ind w:left="2268" w:hanging="2268"/>
        <w:rPr>
          <w:sz w:val="20"/>
          <w:lang w:val="es-ES_tradnl"/>
        </w:rPr>
      </w:pPr>
    </w:p>
    <w:p w:rsidR="00C2064F" w:rsidRPr="00AD1E8B" w:rsidRDefault="00C2064F" w:rsidP="00C2064F">
      <w:pPr>
        <w:widowControl w:val="0"/>
        <w:tabs>
          <w:tab w:val="left" w:pos="2268"/>
        </w:tabs>
        <w:ind w:left="2268" w:hanging="2268"/>
        <w:rPr>
          <w:sz w:val="20"/>
          <w:lang w:val="es-ES_tradnl"/>
        </w:rPr>
      </w:pPr>
    </w:p>
    <w:p w:rsidR="00C2064F" w:rsidRPr="00AD1E8B" w:rsidRDefault="00C2064F" w:rsidP="00C2064F">
      <w:pPr>
        <w:pStyle w:val="BodyTextIndent"/>
        <w:widowControl w:val="0"/>
        <w:ind w:left="1985" w:hanging="1985"/>
        <w:jc w:val="both"/>
        <w:rPr>
          <w:rFonts w:ascii="Arial" w:hAnsi="Arial" w:cs="Arial"/>
          <w:sz w:val="22"/>
          <w:szCs w:val="22"/>
          <w:lang w:val="es-ES_tradnl"/>
        </w:rPr>
      </w:pPr>
      <w:r w:rsidRPr="00AD1E8B">
        <w:rPr>
          <w:rFonts w:ascii="Arial" w:hAnsi="Arial" w:cs="Arial"/>
          <w:sz w:val="22"/>
          <w:szCs w:val="22"/>
          <w:lang w:val="es-ES_tradnl"/>
        </w:rPr>
        <w:t>CONTEXTO DE PLANIFICACIÓN</w:t>
      </w:r>
    </w:p>
    <w:p w:rsidR="00C2064F" w:rsidRPr="00AD1E8B" w:rsidRDefault="00C2064F" w:rsidP="00C2064F">
      <w:pPr>
        <w:widowControl w:val="0"/>
        <w:tabs>
          <w:tab w:val="left" w:pos="567"/>
          <w:tab w:val="left" w:pos="1985"/>
        </w:tabs>
        <w:jc w:val="both"/>
        <w:rPr>
          <w:bCs/>
          <w:sz w:val="20"/>
          <w:lang w:val="es-ES_tradnl"/>
        </w:rPr>
      </w:pPr>
    </w:p>
    <w:p w:rsidR="00C2064F" w:rsidRPr="00AD1E8B" w:rsidRDefault="00C2064F" w:rsidP="00E17471">
      <w:pPr>
        <w:widowControl w:val="0"/>
        <w:numPr>
          <w:ilvl w:val="0"/>
          <w:numId w:val="11"/>
        </w:numPr>
        <w:jc w:val="both"/>
        <w:rPr>
          <w:bCs/>
          <w:iCs/>
          <w:sz w:val="20"/>
          <w:lang w:val="es-ES_tradnl"/>
        </w:rPr>
      </w:pPr>
      <w:r w:rsidRPr="00AD1E8B">
        <w:rPr>
          <w:bCs/>
          <w:iCs/>
          <w:sz w:val="20"/>
          <w:lang w:val="es-ES_tradnl"/>
        </w:rPr>
        <w:t xml:space="preserve">En el contexto de la meta estratégica VI y de conformidad con la recomendación 45 de la A.D., el programa va encaminado a fomentar la cooperación internacional entre los Estados miembros y otras partes interesadas con el fin de cultivar el respeto por la P.I. y fortalecer la observancia de los derechos de P.I. en aras del desarrollo socioeconómico y la protección de los consumidores.  </w:t>
      </w:r>
    </w:p>
    <w:p w:rsidR="00C2064F" w:rsidRPr="00AD1E8B" w:rsidRDefault="00C2064F" w:rsidP="00C2064F">
      <w:pPr>
        <w:widowControl w:val="0"/>
        <w:jc w:val="both"/>
        <w:rPr>
          <w:bCs/>
          <w:iCs/>
          <w:sz w:val="20"/>
          <w:lang w:val="es-ES_tradnl"/>
        </w:rPr>
      </w:pPr>
    </w:p>
    <w:p w:rsidR="00C2064F" w:rsidRPr="00AD1E8B" w:rsidRDefault="00C2064F" w:rsidP="00E17471">
      <w:pPr>
        <w:widowControl w:val="0"/>
        <w:numPr>
          <w:ilvl w:val="0"/>
          <w:numId w:val="11"/>
        </w:numPr>
        <w:jc w:val="both"/>
        <w:rPr>
          <w:bCs/>
          <w:iCs/>
          <w:sz w:val="20"/>
          <w:lang w:val="es-ES_tradnl"/>
        </w:rPr>
      </w:pPr>
      <w:r w:rsidRPr="00AD1E8B">
        <w:rPr>
          <w:bCs/>
          <w:iCs/>
          <w:sz w:val="20"/>
          <w:lang w:val="es-ES_tradnl"/>
        </w:rPr>
        <w:t xml:space="preserve">Diversas variables económicas como la pobreza, la indisponibilidad de los productos originales, el progresivo perfeccionamiento de los productos falsificados, la fácil accesibilidad de las ofertas en el entorno virtual, las actitudes ambivalentes de los consumidores frente a los derechos de P.I., la incidencia de actividades delictivas, etc. son algunos de los elementos que impulsan el tráfico mundial de productos falsificados y resuenan con frecuencia en el diálogo estratégico mantenido en el seno del Comité Asesor sobre Observancia (ACE).  Dicho diálogo ha puesto de relieve la necesidad de investigar las prácticas y la aplicabilidad de sistemas de solución </w:t>
      </w:r>
      <w:r w:rsidR="00733234">
        <w:rPr>
          <w:bCs/>
          <w:iCs/>
          <w:sz w:val="20"/>
          <w:lang w:val="es-ES_tradnl"/>
        </w:rPr>
        <w:t xml:space="preserve">extrajudicial </w:t>
      </w:r>
      <w:r w:rsidRPr="00AD1E8B">
        <w:rPr>
          <w:bCs/>
          <w:iCs/>
          <w:sz w:val="20"/>
          <w:lang w:val="es-ES_tradnl"/>
        </w:rPr>
        <w:t>de controversias en los diversos ámbitos de la P.I. y la necesidad de seguir adelante con el estudio de actuaciones preventivas, medidas correctoras o experiencias que hayan dado resultados positivos a fin de complementar las medidas de observancia que ya están siendo aplicadas para reducir la dimensión del mercado de productos falsificados o pirateados.</w:t>
      </w:r>
    </w:p>
    <w:p w:rsidR="00C2064F" w:rsidRPr="00B40520" w:rsidRDefault="00C2064F" w:rsidP="00C2064F">
      <w:pPr>
        <w:widowControl w:val="0"/>
        <w:jc w:val="both"/>
        <w:rPr>
          <w:bCs/>
          <w:iCs/>
          <w:sz w:val="20"/>
        </w:rPr>
      </w:pPr>
    </w:p>
    <w:p w:rsidR="00C2064F" w:rsidRPr="00B40520" w:rsidRDefault="00C2064F" w:rsidP="00E17471">
      <w:pPr>
        <w:widowControl w:val="0"/>
        <w:numPr>
          <w:ilvl w:val="0"/>
          <w:numId w:val="11"/>
        </w:numPr>
        <w:jc w:val="both"/>
        <w:rPr>
          <w:bCs/>
          <w:iCs/>
          <w:sz w:val="20"/>
        </w:rPr>
      </w:pPr>
      <w:r w:rsidRPr="00AD1E8B">
        <w:rPr>
          <w:bCs/>
          <w:iCs/>
          <w:sz w:val="20"/>
          <w:lang w:val="es-ES_tradnl"/>
        </w:rPr>
        <w:t>Estos condicionantes, unidos a las iniciativas de observancia multilaterales, plurilaterales y bilaterales provenientes del exterior de la OMPI, exigen calibrar cuidadosamente la misión de este programa de manera que la OMPI conserve la influencia necesaria para orientar las deliberaciones hacia un adecuado equilibrio del sistema de P.I.  Al mismo tiempo, los Estados miembros siguen reclamando ayuda en orden al fortalecimiento de la capacidad nacional para imponer la observancia de los derechos de P.I., promover una cultura de P.I. e instituir marcos legales e institucionales capaces de sustentar unos sistemas equilibrados y eficaces.  Estas consideraciones inspiran las actividades desplegadas por la OMPI en orden al incremento de la educación y la sensibilización del público en general (y más particularmente de los jóvenes) respecto de la P.I.;  se trata en efecto de medidas no punitivas que animan a los consumidores a participar en la creación de un entorno que respete los derechos de P.I.  Los propios Estados miembros han solicitado repetidamente la expansión del programa al objeto de fomentar la sensibilización y la educación públicas, inculcando el respeto hacia la P.I. a través de actividades específicas</w:t>
      </w:r>
      <w:r w:rsidRPr="00AD1E8B">
        <w:rPr>
          <w:bCs/>
          <w:i/>
          <w:iCs/>
          <w:sz w:val="20"/>
          <w:lang w:val="es-ES_tradnl"/>
        </w:rPr>
        <w:t xml:space="preserve"> </w:t>
      </w:r>
      <w:r w:rsidRPr="00AD1E8B">
        <w:rPr>
          <w:bCs/>
          <w:iCs/>
          <w:sz w:val="20"/>
          <w:lang w:val="es-ES_tradnl"/>
        </w:rPr>
        <w:t>como el programa de Premios de la OMPI.</w:t>
      </w:r>
      <w:r w:rsidRPr="00B40520">
        <w:rPr>
          <w:bCs/>
          <w:iCs/>
          <w:sz w:val="20"/>
        </w:rPr>
        <w:t xml:space="preserve"> </w:t>
      </w:r>
    </w:p>
    <w:p w:rsidR="00C2064F" w:rsidRPr="00B40520" w:rsidRDefault="00C2064F" w:rsidP="00C2064F">
      <w:pPr>
        <w:widowControl w:val="0"/>
        <w:jc w:val="both"/>
        <w:rPr>
          <w:bCs/>
          <w:iCs/>
          <w:sz w:val="20"/>
        </w:rPr>
      </w:pPr>
    </w:p>
    <w:p w:rsidR="00C2064F" w:rsidRPr="00AD1E8B" w:rsidRDefault="00C2064F" w:rsidP="00E17471">
      <w:pPr>
        <w:widowControl w:val="0"/>
        <w:numPr>
          <w:ilvl w:val="0"/>
          <w:numId w:val="11"/>
        </w:numPr>
        <w:jc w:val="both"/>
        <w:rPr>
          <w:bCs/>
          <w:iCs/>
          <w:sz w:val="20"/>
          <w:lang w:val="es-ES_tradnl"/>
        </w:rPr>
      </w:pPr>
      <w:r w:rsidRPr="00AD1E8B">
        <w:rPr>
          <w:sz w:val="20"/>
          <w:lang w:val="es-ES_tradnl"/>
        </w:rPr>
        <w:t xml:space="preserve">La cooperación con las organizaciones pertinentes y con las partes interesadas en cultivar el respeto por la P.I. resulta imprescindible por cuanto el modesto nivel de los recursos disponibles impone la cohesión estratégica y el uso de sinergias.  La OMPI continuará colaborando estrechamente con dichos aliados de manera transparente y sistemática, asumiendo un papel de liderazgo en los ámbitos propios de la P.I. e impulsando la ulterior integración de la </w:t>
      </w:r>
      <w:r>
        <w:rPr>
          <w:sz w:val="20"/>
          <w:lang w:val="es-ES_tradnl"/>
        </w:rPr>
        <w:t>m</w:t>
      </w:r>
      <w:r w:rsidRPr="00AD1E8B">
        <w:rPr>
          <w:sz w:val="20"/>
          <w:lang w:val="es-ES_tradnl"/>
        </w:rPr>
        <w:t xml:space="preserve">eta </w:t>
      </w:r>
      <w:r>
        <w:rPr>
          <w:sz w:val="20"/>
          <w:lang w:val="es-ES_tradnl"/>
        </w:rPr>
        <w:t>e</w:t>
      </w:r>
      <w:r w:rsidRPr="00AD1E8B">
        <w:rPr>
          <w:sz w:val="20"/>
          <w:lang w:val="es-ES_tradnl"/>
        </w:rPr>
        <w:t xml:space="preserve">stratégica VI en proyectos colaborativos.  </w:t>
      </w:r>
    </w:p>
    <w:p w:rsidR="00C2064F" w:rsidRPr="00B40520" w:rsidRDefault="00C2064F" w:rsidP="00C2064F">
      <w:pPr>
        <w:widowControl w:val="0"/>
        <w:rPr>
          <w:szCs w:val="22"/>
        </w:rPr>
      </w:pPr>
    </w:p>
    <w:p w:rsidR="00C2064F" w:rsidRPr="00B40520" w:rsidRDefault="00C2064F" w:rsidP="00C2064F">
      <w:pPr>
        <w:widowControl w:val="0"/>
        <w:rPr>
          <w:szCs w:val="22"/>
        </w:rPr>
      </w:pPr>
    </w:p>
    <w:p w:rsidR="00C2064F" w:rsidRPr="00AD1E8B" w:rsidRDefault="00C2064F" w:rsidP="00C2064F">
      <w:pPr>
        <w:widowControl w:val="0"/>
        <w:rPr>
          <w:szCs w:val="22"/>
          <w:lang w:val="es-ES_tradnl"/>
        </w:rPr>
      </w:pPr>
      <w:r w:rsidRPr="00AD1E8B">
        <w:rPr>
          <w:szCs w:val="22"/>
          <w:lang w:val="es-ES_tradnl"/>
        </w:rPr>
        <w:t xml:space="preserve">ESTRATEGIAS DE EJECUCIÓN  </w:t>
      </w:r>
    </w:p>
    <w:p w:rsidR="00C2064F" w:rsidRPr="00AD1E8B" w:rsidRDefault="00C2064F" w:rsidP="00C2064F">
      <w:pPr>
        <w:widowControl w:val="0"/>
        <w:jc w:val="both"/>
        <w:rPr>
          <w:bCs/>
          <w:iCs/>
          <w:sz w:val="20"/>
          <w:lang w:val="es-ES_tradnl"/>
        </w:rPr>
      </w:pPr>
    </w:p>
    <w:p w:rsidR="00C2064F" w:rsidRPr="00AD1E8B" w:rsidRDefault="00C2064F" w:rsidP="00E17471">
      <w:pPr>
        <w:widowControl w:val="0"/>
        <w:numPr>
          <w:ilvl w:val="0"/>
          <w:numId w:val="11"/>
        </w:numPr>
        <w:jc w:val="both"/>
        <w:rPr>
          <w:bCs/>
          <w:iCs/>
          <w:sz w:val="20"/>
          <w:lang w:val="es-ES_tradnl"/>
        </w:rPr>
      </w:pPr>
      <w:r w:rsidRPr="00AD1E8B">
        <w:rPr>
          <w:bCs/>
          <w:iCs/>
          <w:sz w:val="20"/>
          <w:lang w:val="es-ES_tradnl"/>
        </w:rPr>
        <w:t xml:space="preserve">Este programa obedece a la recomendación 45 de la A.D. y contribuye directamente a su aplicación.  En el contexto del ACE (un foro muy apreciado para el intercambio de experiencias nacionales), este programa continuará facilitando y fomentando el diálogo entre los Estados miembros acerca de la eficaz protección y ejecución de los derechos de P.I. que promueven los intereses generales de la sociedad, particularmente en el entorno digital y tomando en cuenta las variables sociales, económicas y tecnológicas.  El resultado previsto es la creación de un consenso entre los Estados miembros en torno a programas de trabajo temáticos conducentes al desarrollo y aplicación de estrategias nacionales que permitan poner coto a las infracciones de los derechos de P.I. en todas sus complejidades, tanto por vía preventiva como a través de medidas correctoras.  Habida cuenta de los diversos problemas actualmente planteados en los planos político y económico, se explorarán opciones innovadoras (incluyendo modelos alternativos) en estrecha cooperación con los programas 2 (Marcas, diseños industriales e indicaciones geográficas), 3 (Derecho de autor y derechos conexos) y 7 (Centro de </w:t>
      </w:r>
      <w:r w:rsidR="003B22A3" w:rsidRPr="00AD1E8B">
        <w:rPr>
          <w:bCs/>
          <w:iCs/>
          <w:sz w:val="20"/>
          <w:lang w:val="es-ES_tradnl"/>
        </w:rPr>
        <w:t xml:space="preserve">Arbitraje </w:t>
      </w:r>
      <w:r w:rsidRPr="00AD1E8B">
        <w:rPr>
          <w:bCs/>
          <w:iCs/>
          <w:sz w:val="20"/>
          <w:lang w:val="es-ES_tradnl"/>
        </w:rPr>
        <w:t xml:space="preserve">y </w:t>
      </w:r>
      <w:r w:rsidR="003B22A3" w:rsidRPr="00AD1E8B">
        <w:rPr>
          <w:bCs/>
          <w:iCs/>
          <w:sz w:val="20"/>
          <w:lang w:val="es-ES_tradnl"/>
        </w:rPr>
        <w:t xml:space="preserve">Mediación </w:t>
      </w:r>
      <w:r w:rsidRPr="00AD1E8B">
        <w:rPr>
          <w:bCs/>
          <w:iCs/>
          <w:sz w:val="20"/>
          <w:lang w:val="es-ES_tradnl"/>
        </w:rPr>
        <w:t xml:space="preserve">de la OMPI).  </w:t>
      </w:r>
    </w:p>
    <w:p w:rsidR="00C2064F" w:rsidRPr="00AD1E8B" w:rsidRDefault="00C2064F" w:rsidP="00C2064F">
      <w:pPr>
        <w:widowControl w:val="0"/>
        <w:jc w:val="both"/>
        <w:rPr>
          <w:bCs/>
          <w:iCs/>
          <w:sz w:val="20"/>
          <w:lang w:val="es-ES_tradnl"/>
        </w:rPr>
      </w:pPr>
    </w:p>
    <w:p w:rsidR="00C2064F" w:rsidRPr="00AD1E8B" w:rsidRDefault="00C2064F" w:rsidP="00E17471">
      <w:pPr>
        <w:widowControl w:val="0"/>
        <w:numPr>
          <w:ilvl w:val="0"/>
          <w:numId w:val="11"/>
        </w:numPr>
        <w:jc w:val="both"/>
        <w:rPr>
          <w:bCs/>
          <w:iCs/>
          <w:sz w:val="20"/>
          <w:lang w:val="es-ES_tradnl"/>
        </w:rPr>
      </w:pPr>
      <w:r w:rsidRPr="00AD1E8B">
        <w:rPr>
          <w:bCs/>
          <w:iCs/>
          <w:sz w:val="20"/>
          <w:lang w:val="es-ES_tradnl"/>
        </w:rPr>
        <w:lastRenderedPageBreak/>
        <w:t xml:space="preserve">Siempre guiándose por los debates celebrados en el seno del ACE a fin de mantener un adecuado equilibrio entre los derechos privados y el interés público, el programa 17 continuará estructurando sus actividades de asistencia previa solicitud y adaptándolas a las necesidades de los diferentes países según las mismas han sido identificadas en el contexto de sus respectivas estrategias nacionales de P.I.  Empeñado en la tarea de </w:t>
      </w:r>
      <w:r w:rsidR="00733234">
        <w:rPr>
          <w:bCs/>
          <w:iCs/>
          <w:sz w:val="20"/>
          <w:lang w:val="es-ES_tradnl"/>
        </w:rPr>
        <w:t>cultivar</w:t>
      </w:r>
      <w:r w:rsidRPr="00AD1E8B">
        <w:rPr>
          <w:bCs/>
          <w:iCs/>
          <w:sz w:val="20"/>
          <w:lang w:val="es-ES_tradnl"/>
        </w:rPr>
        <w:t xml:space="preserve"> el respeto por la P.I. desde un espíritu de cooperación internacional, el programa 17 fortalecerá las alianzas existentes y buscará aliados nuevos (como por ejemplo otras organizaciones internacionales, organizaciones del sector privado y de derechos del consumidor u otras organizaciones de la sociedad civil) en el contexto de los intereses generales de la sociedad, a fin de evitar duplicaciones de esfuerzos y maximizar la repercusión de su quehacer gracias a la puesta en común de recursos.</w:t>
      </w:r>
    </w:p>
    <w:p w:rsidR="00C2064F" w:rsidRPr="00AD1E8B" w:rsidRDefault="00C2064F" w:rsidP="00C2064F">
      <w:pPr>
        <w:widowControl w:val="0"/>
        <w:tabs>
          <w:tab w:val="left" w:pos="6273"/>
        </w:tabs>
        <w:jc w:val="both"/>
        <w:rPr>
          <w:bCs/>
          <w:iCs/>
          <w:sz w:val="20"/>
          <w:lang w:val="es-ES_tradnl" w:eastAsia="ko-KR"/>
        </w:rPr>
      </w:pPr>
    </w:p>
    <w:p w:rsidR="00C2064F" w:rsidRPr="00AD1E8B" w:rsidRDefault="00C2064F" w:rsidP="00E17471">
      <w:pPr>
        <w:widowControl w:val="0"/>
        <w:numPr>
          <w:ilvl w:val="0"/>
          <w:numId w:val="11"/>
        </w:numPr>
        <w:jc w:val="both"/>
        <w:rPr>
          <w:bCs/>
          <w:iCs/>
          <w:sz w:val="20"/>
          <w:lang w:val="es-ES_tradnl"/>
        </w:rPr>
      </w:pPr>
      <w:r w:rsidRPr="00AD1E8B">
        <w:rPr>
          <w:bCs/>
          <w:iCs/>
          <w:sz w:val="20"/>
          <w:lang w:val="es-ES_tradnl"/>
        </w:rPr>
        <w:t xml:space="preserve">Al prestar servicios a los Estados miembros cultivando el respeto por la P.I., el programa 17 velará por que su asistencia técnica sea transparente, vaya orientada hacia el desarrollo y otorgue la debida consideración a las prioridades y necesidades especiales de los países solicitantes (recomendaciones 1, 6, 12 y 13 de la A.D.).  A solicitud de un Estado miembro, la OMPI apoyará la aplicación en el plano nacional de los acuerdos internacionales de P.I., tomando plenamente en cuenta las correspondientes flexibilidades y opciones (recomendaciones 14 y 17 de la A.D.). La OMPI continuará asimismo fomentando una cultura de P.I. orientada hacia el desarrollo, coadyuvando al surgimiento de estrategias nacionales de sensibilización en materia de P.I., incluida en particular la divulgación de la P.I. entre los grupos de edad más jóvenes y la organización de campañas eficaces de sensibilización pública (recomendación 3 de la A.D.).  Esta labor se llevará a cabo en estrecha cooperación con los programas 9 (Países africanos, árabes, de América Latina y el Caribe, de Asia y el Pacífico y </w:t>
      </w:r>
      <w:r w:rsidR="00733234">
        <w:rPr>
          <w:bCs/>
          <w:iCs/>
          <w:sz w:val="20"/>
          <w:lang w:val="es-ES_tradnl"/>
        </w:rPr>
        <w:t>p</w:t>
      </w:r>
      <w:r w:rsidR="00733234">
        <w:rPr>
          <w:iCs/>
          <w:sz w:val="20"/>
          <w:lang w:val="es-ES_tradnl"/>
        </w:rPr>
        <w:t>aíses menos adelantados</w:t>
      </w:r>
      <w:r w:rsidRPr="00AD1E8B">
        <w:rPr>
          <w:iCs/>
          <w:sz w:val="20"/>
          <w:lang w:val="es-ES_tradnl"/>
        </w:rPr>
        <w:t>)</w:t>
      </w:r>
      <w:r w:rsidRPr="00AD1E8B">
        <w:rPr>
          <w:bCs/>
          <w:iCs/>
          <w:sz w:val="20"/>
          <w:lang w:val="es-ES_tradnl"/>
        </w:rPr>
        <w:t>, 10 (</w:t>
      </w:r>
      <w:r w:rsidRPr="00AD1E8B">
        <w:rPr>
          <w:iCs/>
          <w:sz w:val="20"/>
          <w:lang w:val="es-ES_tradnl"/>
        </w:rPr>
        <w:t>Cooperación con determinados países de Europa y Asia),</w:t>
      </w:r>
      <w:r w:rsidRPr="00AD1E8B">
        <w:rPr>
          <w:bCs/>
          <w:iCs/>
          <w:sz w:val="20"/>
          <w:lang w:val="es-ES_tradnl"/>
        </w:rPr>
        <w:t xml:space="preserve"> 11 </w:t>
      </w:r>
      <w:r w:rsidR="003B22A3">
        <w:rPr>
          <w:bCs/>
          <w:iCs/>
          <w:sz w:val="20"/>
          <w:lang w:val="es-ES_tradnl"/>
        </w:rPr>
        <w:t>(</w:t>
      </w:r>
      <w:r w:rsidR="00033E8A">
        <w:rPr>
          <w:bCs/>
          <w:iCs/>
          <w:sz w:val="20"/>
          <w:lang w:val="es-ES_tradnl"/>
        </w:rPr>
        <w:t xml:space="preserve">Academia </w:t>
      </w:r>
      <w:r w:rsidRPr="00AD1E8B">
        <w:rPr>
          <w:bCs/>
          <w:iCs/>
          <w:sz w:val="20"/>
          <w:lang w:val="es-ES_tradnl"/>
        </w:rPr>
        <w:t xml:space="preserve">de la OMPI) y 19 (Comunicaciones) y se coordinará con diversas organizaciones asociadas, algunas de ellas pertenecientes al sector privado.  Se ha previsto practicar una estrecha cooperación con los países en desarrollo y los PMA que soliciten el apoyo de la OMPI, así como con diversas autoridades nacionales y sectores interesados al objeto de fortalecer la capacidad de los funcionarios de administración de la justicia, estimular la creatividad y la innovación e incorporar la P.I. al lenguaje coloquial a través de concursos, el programa de Premios de la OMPI y las celebraciones del Día de la </w:t>
      </w:r>
      <w:r>
        <w:rPr>
          <w:bCs/>
          <w:iCs/>
          <w:sz w:val="20"/>
          <w:lang w:val="es-ES_tradnl"/>
        </w:rPr>
        <w:t>p</w:t>
      </w:r>
      <w:r w:rsidRPr="00AD1E8B">
        <w:rPr>
          <w:bCs/>
          <w:iCs/>
          <w:sz w:val="20"/>
          <w:lang w:val="es-ES_tradnl"/>
        </w:rPr>
        <w:t xml:space="preserve">ropiedad </w:t>
      </w:r>
      <w:r>
        <w:rPr>
          <w:bCs/>
          <w:iCs/>
          <w:sz w:val="20"/>
          <w:lang w:val="es-ES_tradnl"/>
        </w:rPr>
        <w:t>i</w:t>
      </w:r>
      <w:r w:rsidRPr="00AD1E8B">
        <w:rPr>
          <w:bCs/>
          <w:iCs/>
          <w:sz w:val="20"/>
          <w:lang w:val="es-ES_tradnl"/>
        </w:rPr>
        <w:t>ntelectual.</w:t>
      </w:r>
    </w:p>
    <w:p w:rsidR="00C2064F" w:rsidRPr="00AD1E8B" w:rsidRDefault="00C2064F" w:rsidP="00C2064F">
      <w:pPr>
        <w:widowControl w:val="0"/>
        <w:jc w:val="both"/>
        <w:rPr>
          <w:bCs/>
          <w:iCs/>
          <w:sz w:val="20"/>
          <w:lang w:val="es-ES_tradnl"/>
        </w:rPr>
      </w:pPr>
    </w:p>
    <w:p w:rsidR="00B55718" w:rsidRPr="00C2064F" w:rsidRDefault="00B55718" w:rsidP="00B55718">
      <w:pPr>
        <w:widowControl w:val="0"/>
        <w:rPr>
          <w:szCs w:val="22"/>
          <w:lang w:val="es-ES_tradnl"/>
        </w:rPr>
      </w:pPr>
    </w:p>
    <w:p w:rsidR="00B55718" w:rsidRPr="00C75C7E" w:rsidRDefault="00B55718" w:rsidP="00B55718">
      <w:pPr>
        <w:widowControl w:val="0"/>
        <w:rPr>
          <w:szCs w:val="22"/>
          <w:lang w:val="es-ES_tradnl"/>
        </w:rPr>
      </w:pPr>
      <w:r w:rsidRPr="00C75C7E">
        <w:rPr>
          <w:bCs/>
          <w:szCs w:val="22"/>
          <w:lang w:val="es-ES_tradnl"/>
        </w:rPr>
        <w:t>PRINCIPALES RIESGOS Y ESTRATEGIAS DE MITIGACIÓN</w:t>
      </w:r>
    </w:p>
    <w:p w:rsidR="00B55718" w:rsidRPr="00C75C7E" w:rsidRDefault="00B55718" w:rsidP="00B55718">
      <w:pPr>
        <w:widowControl w:val="0"/>
        <w:jc w:val="both"/>
        <w:rPr>
          <w:sz w:val="20"/>
          <w:lang w:val="es-ES_tradnl"/>
        </w:rPr>
      </w:pPr>
    </w:p>
    <w:tbl>
      <w:tblPr>
        <w:tblW w:w="9356"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679"/>
        <w:gridCol w:w="283"/>
        <w:gridCol w:w="4394"/>
      </w:tblGrid>
      <w:tr w:rsidR="00B55718" w:rsidRPr="00C75C7E" w:rsidTr="00A74F33">
        <w:trPr>
          <w:trHeight w:val="378"/>
        </w:trPr>
        <w:tc>
          <w:tcPr>
            <w:tcW w:w="4679" w:type="dxa"/>
            <w:tcBorders>
              <w:top w:val="single" w:sz="4" w:space="0" w:color="auto"/>
              <w:bottom w:val="single" w:sz="4" w:space="0" w:color="auto"/>
            </w:tcBorders>
            <w:shd w:val="clear" w:color="auto" w:fill="CCFFFF"/>
            <w:tcMar>
              <w:top w:w="113" w:type="dxa"/>
              <w:bottom w:w="85" w:type="dxa"/>
            </w:tcMar>
            <w:vAlign w:val="center"/>
          </w:tcPr>
          <w:p w:rsidR="00B55718" w:rsidRPr="00C75C7E" w:rsidRDefault="00B55718" w:rsidP="008F4F69">
            <w:pPr>
              <w:widowControl w:val="0"/>
              <w:autoSpaceDE w:val="0"/>
              <w:autoSpaceDN w:val="0"/>
              <w:adjustRightInd w:val="0"/>
              <w:ind w:right="-59"/>
              <w:jc w:val="center"/>
              <w:rPr>
                <w:b/>
                <w:bCs/>
                <w:iCs/>
                <w:sz w:val="18"/>
                <w:szCs w:val="18"/>
                <w:lang w:val="es-ES_tradnl"/>
              </w:rPr>
            </w:pPr>
            <w:r w:rsidRPr="00C75C7E">
              <w:rPr>
                <w:b/>
                <w:bCs/>
                <w:iCs/>
                <w:sz w:val="18"/>
                <w:szCs w:val="18"/>
                <w:lang w:val="es-ES_tradnl"/>
              </w:rPr>
              <w:t>Riesgos en el logro de los resultados del programa</w:t>
            </w:r>
          </w:p>
        </w:tc>
        <w:tc>
          <w:tcPr>
            <w:tcW w:w="4677" w:type="dxa"/>
            <w:gridSpan w:val="2"/>
            <w:tcBorders>
              <w:top w:val="single" w:sz="4" w:space="0" w:color="auto"/>
              <w:bottom w:val="single" w:sz="4" w:space="0" w:color="auto"/>
            </w:tcBorders>
            <w:shd w:val="clear" w:color="auto" w:fill="CCFFFF"/>
            <w:tcMar>
              <w:top w:w="113" w:type="dxa"/>
              <w:bottom w:w="85" w:type="dxa"/>
            </w:tcMar>
            <w:vAlign w:val="center"/>
          </w:tcPr>
          <w:p w:rsidR="00B55718" w:rsidRPr="00C75C7E" w:rsidRDefault="00B55718" w:rsidP="00542C2B">
            <w:pPr>
              <w:widowControl w:val="0"/>
              <w:autoSpaceDE w:val="0"/>
              <w:autoSpaceDN w:val="0"/>
              <w:adjustRightInd w:val="0"/>
              <w:ind w:left="175" w:right="-59"/>
              <w:jc w:val="center"/>
              <w:rPr>
                <w:b/>
                <w:bCs/>
                <w:iCs/>
                <w:sz w:val="18"/>
                <w:szCs w:val="18"/>
                <w:lang w:val="es-ES_tradnl"/>
              </w:rPr>
            </w:pPr>
            <w:r w:rsidRPr="00C75C7E">
              <w:rPr>
                <w:b/>
                <w:bCs/>
                <w:iCs/>
                <w:sz w:val="18"/>
                <w:szCs w:val="18"/>
                <w:lang w:val="es-ES_tradnl"/>
              </w:rPr>
              <w:t xml:space="preserve">Planes de mitigación ejecutados o en ejecución </w:t>
            </w:r>
          </w:p>
        </w:tc>
      </w:tr>
      <w:tr w:rsidR="00B55718" w:rsidRPr="00C75C7E" w:rsidTr="00A74F33">
        <w:trPr>
          <w:trHeight w:val="1219"/>
        </w:trPr>
        <w:tc>
          <w:tcPr>
            <w:tcW w:w="4962" w:type="dxa"/>
            <w:gridSpan w:val="2"/>
            <w:tcBorders>
              <w:top w:val="single" w:sz="4" w:space="0" w:color="auto"/>
            </w:tcBorders>
            <w:shd w:val="clear" w:color="auto" w:fill="auto"/>
            <w:tcMar>
              <w:top w:w="113" w:type="dxa"/>
              <w:bottom w:w="85" w:type="dxa"/>
            </w:tcMar>
          </w:tcPr>
          <w:p w:rsidR="00B55718" w:rsidRPr="00C75C7E" w:rsidRDefault="00B55718" w:rsidP="008F4F69">
            <w:pPr>
              <w:widowControl w:val="0"/>
              <w:autoSpaceDE w:val="0"/>
              <w:autoSpaceDN w:val="0"/>
              <w:adjustRightInd w:val="0"/>
              <w:ind w:right="-59"/>
              <w:rPr>
                <w:sz w:val="16"/>
                <w:szCs w:val="16"/>
                <w:lang w:val="es-ES_tradnl"/>
              </w:rPr>
            </w:pPr>
            <w:r w:rsidRPr="00C75C7E">
              <w:rPr>
                <w:sz w:val="16"/>
                <w:szCs w:val="16"/>
                <w:lang w:val="es-ES_tradnl"/>
              </w:rPr>
              <w:t xml:space="preserve">La falta de consenso entre los Estados miembros y de apoyo político por parte de estos a la labor de la OMPI en favor del fomento del cultivo del respeto por la P.I.  Es posible que se ponga en peligro la función de la OMPI en materia de fomento del cultivo del respeto por la P.I.  </w:t>
            </w:r>
          </w:p>
        </w:tc>
        <w:tc>
          <w:tcPr>
            <w:tcW w:w="4394" w:type="dxa"/>
            <w:tcBorders>
              <w:top w:val="single" w:sz="4" w:space="0" w:color="auto"/>
            </w:tcBorders>
            <w:shd w:val="clear" w:color="auto" w:fill="auto"/>
            <w:tcMar>
              <w:top w:w="113" w:type="dxa"/>
              <w:bottom w:w="85" w:type="dxa"/>
            </w:tcMar>
          </w:tcPr>
          <w:p w:rsidR="00B55718" w:rsidRPr="00C75C7E" w:rsidRDefault="00B55718" w:rsidP="008F4F69">
            <w:pPr>
              <w:widowControl w:val="0"/>
              <w:autoSpaceDE w:val="0"/>
              <w:autoSpaceDN w:val="0"/>
              <w:adjustRightInd w:val="0"/>
              <w:ind w:right="-59"/>
              <w:rPr>
                <w:sz w:val="16"/>
                <w:szCs w:val="16"/>
                <w:lang w:val="es-ES_tradnl"/>
              </w:rPr>
            </w:pPr>
            <w:r w:rsidRPr="00C75C7E">
              <w:rPr>
                <w:sz w:val="16"/>
                <w:szCs w:val="16"/>
                <w:lang w:val="es-ES_tradnl"/>
              </w:rPr>
              <w:t>Este programa comporta consultas periódicas con los Estados miembros a fin de favorecer la convergencia de sus puntos de vista sobre la pertinencia, la labor y la función del Comité Asesor sobre Observancia (ACE) en materia de políticas, así como las actividades de creación de capacidad conexas.  Se aplican normas rigurosas en todas las actividades con objeto de velar por la buena calidad, la transparencia, la neutralidad y un enfoque equilibrado.</w:t>
            </w:r>
          </w:p>
        </w:tc>
      </w:tr>
    </w:tbl>
    <w:p w:rsidR="00B55718" w:rsidRPr="00C75C7E" w:rsidRDefault="00B55718" w:rsidP="00B55718">
      <w:pPr>
        <w:widowControl w:val="0"/>
        <w:tabs>
          <w:tab w:val="left" w:pos="567"/>
          <w:tab w:val="left" w:pos="1985"/>
        </w:tabs>
        <w:jc w:val="both"/>
        <w:rPr>
          <w:bCs/>
          <w:sz w:val="20"/>
          <w:lang w:val="es-ES_tradnl"/>
        </w:rPr>
      </w:pPr>
    </w:p>
    <w:p w:rsidR="00B55718" w:rsidRPr="00C75C7E" w:rsidRDefault="00B55718" w:rsidP="00B55718">
      <w:pPr>
        <w:widowControl w:val="0"/>
        <w:tabs>
          <w:tab w:val="left" w:pos="567"/>
          <w:tab w:val="left" w:pos="1985"/>
        </w:tabs>
        <w:jc w:val="both"/>
        <w:rPr>
          <w:bCs/>
          <w:sz w:val="20"/>
          <w:lang w:val="es-ES_tradnl"/>
        </w:rPr>
      </w:pPr>
    </w:p>
    <w:p w:rsidR="00B55718" w:rsidRPr="00C75C7E" w:rsidRDefault="00B55718" w:rsidP="00B55718">
      <w:pPr>
        <w:widowControl w:val="0"/>
        <w:tabs>
          <w:tab w:val="left" w:pos="567"/>
          <w:tab w:val="left" w:pos="1985"/>
        </w:tabs>
        <w:jc w:val="both"/>
        <w:rPr>
          <w:bCs/>
          <w:sz w:val="20"/>
          <w:lang w:val="es-ES_tradnl"/>
        </w:rPr>
      </w:pPr>
      <w:r w:rsidRPr="00C75C7E">
        <w:rPr>
          <w:bCs/>
          <w:szCs w:val="22"/>
          <w:lang w:val="es-ES_tradnl"/>
        </w:rPr>
        <w:t>MARCO DE RESULTADOS</w:t>
      </w:r>
    </w:p>
    <w:p w:rsidR="00B55718" w:rsidRPr="00C75C7E" w:rsidRDefault="00B55718" w:rsidP="00B55718">
      <w:pPr>
        <w:widowControl w:val="0"/>
        <w:tabs>
          <w:tab w:val="left" w:pos="567"/>
          <w:tab w:val="left" w:pos="1985"/>
        </w:tabs>
        <w:jc w:val="both"/>
        <w:rPr>
          <w:bCs/>
          <w:sz w:val="20"/>
          <w:lang w:val="es-ES_tradnl"/>
        </w:rPr>
      </w:pPr>
    </w:p>
    <w:tbl>
      <w:tblPr>
        <w:tblW w:w="0" w:type="auto"/>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970"/>
        <w:gridCol w:w="2750"/>
        <w:gridCol w:w="1540"/>
        <w:gridCol w:w="2096"/>
      </w:tblGrid>
      <w:tr w:rsidR="00B55718" w:rsidRPr="00C75C7E" w:rsidTr="00A74F33">
        <w:trPr>
          <w:cantSplit/>
          <w:trHeight w:val="232"/>
          <w:tblHeader/>
        </w:trPr>
        <w:tc>
          <w:tcPr>
            <w:tcW w:w="2970" w:type="dxa"/>
            <w:tcBorders>
              <w:top w:val="single" w:sz="4" w:space="0" w:color="auto"/>
              <w:bottom w:val="single" w:sz="4" w:space="0" w:color="auto"/>
            </w:tcBorders>
            <w:shd w:val="clear" w:color="auto" w:fill="CCFFFF"/>
            <w:tcMar>
              <w:top w:w="113" w:type="dxa"/>
              <w:bottom w:w="85" w:type="dxa"/>
            </w:tcMar>
            <w:vAlign w:val="center"/>
          </w:tcPr>
          <w:p w:rsidR="00B55718" w:rsidRPr="00C75C7E" w:rsidRDefault="00B55718" w:rsidP="008F4F69">
            <w:pPr>
              <w:widowControl w:val="0"/>
              <w:spacing w:after="120"/>
              <w:jc w:val="center"/>
              <w:rPr>
                <w:b/>
                <w:bCs/>
                <w:sz w:val="18"/>
                <w:szCs w:val="18"/>
                <w:lang w:val="es-ES_tradnl"/>
              </w:rPr>
            </w:pPr>
            <w:r w:rsidRPr="00C75C7E">
              <w:rPr>
                <w:b/>
                <w:bCs/>
                <w:sz w:val="18"/>
                <w:szCs w:val="18"/>
                <w:lang w:val="es-ES_tradnl"/>
              </w:rPr>
              <w:t>Resultados previstos</w:t>
            </w:r>
          </w:p>
        </w:tc>
        <w:tc>
          <w:tcPr>
            <w:tcW w:w="2750" w:type="dxa"/>
            <w:tcBorders>
              <w:top w:val="single" w:sz="4" w:space="0" w:color="auto"/>
              <w:bottom w:val="single" w:sz="4" w:space="0" w:color="auto"/>
            </w:tcBorders>
            <w:shd w:val="clear" w:color="auto" w:fill="CCFFFF"/>
            <w:tcMar>
              <w:top w:w="113" w:type="dxa"/>
              <w:bottom w:w="85" w:type="dxa"/>
            </w:tcMar>
            <w:vAlign w:val="center"/>
          </w:tcPr>
          <w:p w:rsidR="00B55718" w:rsidRPr="00C75C7E" w:rsidRDefault="00B55718" w:rsidP="008F4F69">
            <w:pPr>
              <w:widowControl w:val="0"/>
              <w:spacing w:after="120"/>
              <w:jc w:val="center"/>
              <w:rPr>
                <w:b/>
                <w:bCs/>
                <w:sz w:val="18"/>
                <w:szCs w:val="18"/>
                <w:lang w:val="es-ES_tradnl"/>
              </w:rPr>
            </w:pPr>
            <w:r w:rsidRPr="00C75C7E">
              <w:rPr>
                <w:b/>
                <w:bCs/>
                <w:sz w:val="18"/>
                <w:szCs w:val="18"/>
                <w:lang w:val="es-ES_tradnl"/>
              </w:rPr>
              <w:t>Indicadores de rendimiento</w:t>
            </w:r>
          </w:p>
        </w:tc>
        <w:tc>
          <w:tcPr>
            <w:tcW w:w="1540" w:type="dxa"/>
            <w:tcBorders>
              <w:top w:val="single" w:sz="4" w:space="0" w:color="auto"/>
              <w:bottom w:val="single" w:sz="4" w:space="0" w:color="auto"/>
            </w:tcBorders>
            <w:shd w:val="clear" w:color="auto" w:fill="CCFFFF"/>
            <w:tcMar>
              <w:top w:w="113" w:type="dxa"/>
              <w:bottom w:w="85" w:type="dxa"/>
            </w:tcMar>
            <w:vAlign w:val="center"/>
          </w:tcPr>
          <w:p w:rsidR="00B55718" w:rsidRPr="00C75C7E" w:rsidRDefault="00B55718" w:rsidP="008F4F69">
            <w:pPr>
              <w:widowControl w:val="0"/>
              <w:spacing w:after="120"/>
              <w:ind w:left="85"/>
              <w:jc w:val="center"/>
              <w:rPr>
                <w:b/>
                <w:bCs/>
                <w:sz w:val="18"/>
                <w:szCs w:val="18"/>
                <w:lang w:val="es-ES_tradnl"/>
              </w:rPr>
            </w:pPr>
            <w:r w:rsidRPr="00C75C7E">
              <w:rPr>
                <w:b/>
                <w:bCs/>
                <w:sz w:val="18"/>
                <w:szCs w:val="18"/>
                <w:lang w:val="es-ES_tradnl"/>
              </w:rPr>
              <w:t>Referencia</w:t>
            </w:r>
          </w:p>
        </w:tc>
        <w:tc>
          <w:tcPr>
            <w:tcW w:w="2096" w:type="dxa"/>
            <w:tcBorders>
              <w:top w:val="single" w:sz="4" w:space="0" w:color="auto"/>
              <w:bottom w:val="single" w:sz="4" w:space="0" w:color="auto"/>
            </w:tcBorders>
            <w:shd w:val="clear" w:color="auto" w:fill="CCFFFF"/>
            <w:tcMar>
              <w:top w:w="113" w:type="dxa"/>
              <w:bottom w:w="85" w:type="dxa"/>
            </w:tcMar>
            <w:vAlign w:val="center"/>
          </w:tcPr>
          <w:p w:rsidR="00B55718" w:rsidRPr="00C75C7E" w:rsidRDefault="00B55718" w:rsidP="008F4F69">
            <w:pPr>
              <w:widowControl w:val="0"/>
              <w:spacing w:after="120"/>
              <w:ind w:right="493"/>
              <w:jc w:val="center"/>
              <w:rPr>
                <w:b/>
                <w:bCs/>
                <w:sz w:val="18"/>
                <w:szCs w:val="18"/>
                <w:lang w:val="es-ES_tradnl"/>
              </w:rPr>
            </w:pPr>
            <w:r w:rsidRPr="00C75C7E">
              <w:rPr>
                <w:b/>
                <w:bCs/>
                <w:sz w:val="18"/>
                <w:szCs w:val="18"/>
                <w:lang w:val="es-ES_tradnl"/>
              </w:rPr>
              <w:t>Objetivos</w:t>
            </w:r>
          </w:p>
        </w:tc>
      </w:tr>
      <w:tr w:rsidR="00B55718" w:rsidRPr="00C75C7E" w:rsidTr="00A74F33">
        <w:trPr>
          <w:cantSplit/>
          <w:trHeight w:val="849"/>
        </w:trPr>
        <w:tc>
          <w:tcPr>
            <w:tcW w:w="2970" w:type="dxa"/>
            <w:tcBorders>
              <w:top w:val="single" w:sz="4" w:space="0" w:color="auto"/>
            </w:tcBorders>
            <w:shd w:val="clear" w:color="auto" w:fill="auto"/>
            <w:tcMar>
              <w:top w:w="113" w:type="dxa"/>
              <w:bottom w:w="85" w:type="dxa"/>
            </w:tcMar>
          </w:tcPr>
          <w:p w:rsidR="00B55718" w:rsidRPr="00C75C7E" w:rsidRDefault="00B55718" w:rsidP="008F4F69">
            <w:pPr>
              <w:widowControl w:val="0"/>
              <w:rPr>
                <w:sz w:val="16"/>
                <w:szCs w:val="16"/>
                <w:lang w:val="es-ES_tradnl"/>
              </w:rPr>
            </w:pPr>
            <w:r w:rsidRPr="00C75C7E">
              <w:rPr>
                <w:sz w:val="16"/>
                <w:szCs w:val="16"/>
                <w:lang w:val="es-ES_tradnl"/>
              </w:rPr>
              <w:t>I.2. Marcos de P.I. adaptados y equilibrados en el ámbito legislativo, reglamentario y de política.</w:t>
            </w:r>
          </w:p>
        </w:tc>
        <w:tc>
          <w:tcPr>
            <w:tcW w:w="2750" w:type="dxa"/>
            <w:tcBorders>
              <w:top w:val="single" w:sz="4" w:space="0" w:color="auto"/>
            </w:tcBorders>
            <w:shd w:val="clear" w:color="auto" w:fill="auto"/>
            <w:tcMar>
              <w:top w:w="113" w:type="dxa"/>
              <w:bottom w:w="85" w:type="dxa"/>
            </w:tcMar>
          </w:tcPr>
          <w:p w:rsidR="00B55718" w:rsidRPr="00C75C7E" w:rsidRDefault="00B55718" w:rsidP="008F4F69">
            <w:pPr>
              <w:widowControl w:val="0"/>
              <w:rPr>
                <w:sz w:val="16"/>
                <w:szCs w:val="16"/>
                <w:lang w:val="es-ES_tradnl"/>
              </w:rPr>
            </w:pPr>
            <w:r w:rsidRPr="00C75C7E">
              <w:rPr>
                <w:sz w:val="16"/>
                <w:szCs w:val="16"/>
                <w:lang w:val="es-ES_tradnl"/>
              </w:rPr>
              <w:t>Número de países que han aprobado o modificado los marcos pertinentes (o lo están haciendo actualmente) tras recibir asistencia de la OMPI.</w:t>
            </w:r>
          </w:p>
        </w:tc>
        <w:tc>
          <w:tcPr>
            <w:tcW w:w="1540" w:type="dxa"/>
            <w:tcBorders>
              <w:top w:val="single" w:sz="4" w:space="0" w:color="auto"/>
            </w:tcBorders>
            <w:shd w:val="clear" w:color="auto" w:fill="FFFFFF"/>
            <w:tcMar>
              <w:top w:w="113" w:type="dxa"/>
              <w:bottom w:w="85" w:type="dxa"/>
            </w:tcMar>
          </w:tcPr>
          <w:p w:rsidR="00B55718" w:rsidRPr="00C75C7E" w:rsidRDefault="00B55718" w:rsidP="008F4F69">
            <w:pPr>
              <w:widowControl w:val="0"/>
              <w:rPr>
                <w:sz w:val="16"/>
                <w:szCs w:val="16"/>
                <w:lang w:val="es-ES_tradnl" w:bidi="th-TH"/>
              </w:rPr>
            </w:pPr>
            <w:r w:rsidRPr="00C75C7E">
              <w:rPr>
                <w:sz w:val="16"/>
                <w:szCs w:val="16"/>
                <w:lang w:val="es-ES_tradnl" w:bidi="th-TH"/>
              </w:rPr>
              <w:t>Por determinar.</w:t>
            </w:r>
          </w:p>
          <w:p w:rsidR="00B55718" w:rsidRPr="00C75C7E" w:rsidRDefault="00B55718" w:rsidP="008F4F69">
            <w:pPr>
              <w:widowControl w:val="0"/>
              <w:rPr>
                <w:sz w:val="16"/>
                <w:szCs w:val="16"/>
                <w:lang w:val="es-ES_tradnl" w:bidi="th-TH"/>
              </w:rPr>
            </w:pPr>
          </w:p>
          <w:p w:rsidR="00B55718" w:rsidRPr="00C75C7E" w:rsidRDefault="00B55718" w:rsidP="008F4F69">
            <w:pPr>
              <w:widowControl w:val="0"/>
              <w:rPr>
                <w:sz w:val="16"/>
                <w:szCs w:val="16"/>
                <w:lang w:val="es-ES_tradnl"/>
              </w:rPr>
            </w:pPr>
          </w:p>
        </w:tc>
        <w:tc>
          <w:tcPr>
            <w:tcW w:w="2096" w:type="dxa"/>
            <w:tcBorders>
              <w:top w:val="single" w:sz="4" w:space="0" w:color="auto"/>
            </w:tcBorders>
            <w:shd w:val="clear" w:color="auto" w:fill="auto"/>
            <w:tcMar>
              <w:top w:w="113" w:type="dxa"/>
              <w:bottom w:w="85" w:type="dxa"/>
            </w:tcMar>
          </w:tcPr>
          <w:p w:rsidR="00B55718" w:rsidRPr="00C75C7E" w:rsidRDefault="00B55718" w:rsidP="008F4F69">
            <w:pPr>
              <w:widowControl w:val="0"/>
              <w:ind w:right="381"/>
              <w:rPr>
                <w:bCs/>
                <w:sz w:val="16"/>
                <w:szCs w:val="16"/>
                <w:lang w:val="es-ES_tradnl"/>
              </w:rPr>
            </w:pPr>
            <w:r w:rsidRPr="00C75C7E">
              <w:rPr>
                <w:bCs/>
                <w:sz w:val="16"/>
                <w:szCs w:val="16"/>
                <w:lang w:val="es-ES_tradnl"/>
              </w:rPr>
              <w:t>6</w:t>
            </w:r>
          </w:p>
        </w:tc>
      </w:tr>
      <w:tr w:rsidR="00B55718" w:rsidRPr="00C75C7E" w:rsidTr="00A74F33">
        <w:trPr>
          <w:cantSplit/>
          <w:trHeight w:val="818"/>
        </w:trPr>
        <w:tc>
          <w:tcPr>
            <w:tcW w:w="2970" w:type="dxa"/>
            <w:vMerge w:val="restart"/>
            <w:shd w:val="clear" w:color="auto" w:fill="auto"/>
            <w:tcMar>
              <w:top w:w="113" w:type="dxa"/>
              <w:bottom w:w="85" w:type="dxa"/>
            </w:tcMar>
          </w:tcPr>
          <w:p w:rsidR="00B55718" w:rsidRPr="00C75C7E" w:rsidRDefault="00B55718" w:rsidP="001E5683">
            <w:pPr>
              <w:keepNext/>
              <w:widowControl w:val="0"/>
              <w:rPr>
                <w:sz w:val="16"/>
                <w:szCs w:val="16"/>
                <w:lang w:val="es-ES_tradnl"/>
              </w:rPr>
            </w:pPr>
            <w:r w:rsidRPr="00C75C7E">
              <w:rPr>
                <w:sz w:val="16"/>
                <w:szCs w:val="16"/>
                <w:lang w:val="es-ES_tradnl"/>
              </w:rPr>
              <w:lastRenderedPageBreak/>
              <w:t>III.2 Mejora de las capacidades en el ámbito de los recursos humanos para hacer frente al amplio espectro de exigencias que supone la utilización eficaz de la P.I. en aras del desarrollo en los países en desarrollo, PMA y países con economías en transición.</w:t>
            </w:r>
          </w:p>
        </w:tc>
        <w:tc>
          <w:tcPr>
            <w:tcW w:w="2750" w:type="dxa"/>
            <w:shd w:val="clear" w:color="auto" w:fill="auto"/>
            <w:tcMar>
              <w:top w:w="113" w:type="dxa"/>
              <w:bottom w:w="85" w:type="dxa"/>
            </w:tcMar>
          </w:tcPr>
          <w:p w:rsidR="00B55718" w:rsidRPr="00C75C7E" w:rsidRDefault="00B55718" w:rsidP="001E5683">
            <w:pPr>
              <w:keepNext/>
              <w:widowControl w:val="0"/>
              <w:rPr>
                <w:sz w:val="16"/>
                <w:szCs w:val="16"/>
                <w:lang w:val="es-ES_tradnl"/>
              </w:rPr>
            </w:pPr>
            <w:r w:rsidRPr="00C75C7E">
              <w:rPr>
                <w:sz w:val="16"/>
                <w:szCs w:val="16"/>
                <w:lang w:val="es-ES_tradnl"/>
              </w:rPr>
              <w:t>Porcentaje de participantes que han recibido formación y que están satisfechos de la utilidad y pertinencia de la formación recibida para su vida profesional.</w:t>
            </w:r>
          </w:p>
        </w:tc>
        <w:tc>
          <w:tcPr>
            <w:tcW w:w="1540" w:type="dxa"/>
            <w:shd w:val="clear" w:color="auto" w:fill="FFFFFF"/>
            <w:tcMar>
              <w:top w:w="113" w:type="dxa"/>
              <w:bottom w:w="85" w:type="dxa"/>
            </w:tcMar>
          </w:tcPr>
          <w:p w:rsidR="00B55718" w:rsidRPr="00C75C7E" w:rsidRDefault="00B55718" w:rsidP="001E5683">
            <w:pPr>
              <w:keepNext/>
              <w:widowControl w:val="0"/>
              <w:rPr>
                <w:sz w:val="16"/>
                <w:szCs w:val="16"/>
                <w:lang w:val="es-ES_tradnl" w:bidi="th-TH"/>
              </w:rPr>
            </w:pPr>
            <w:r w:rsidRPr="00C75C7E">
              <w:rPr>
                <w:sz w:val="16"/>
                <w:szCs w:val="16"/>
                <w:lang w:val="es-ES_tradnl" w:bidi="th-TH"/>
              </w:rPr>
              <w:t>75%</w:t>
            </w:r>
          </w:p>
          <w:p w:rsidR="00B55718" w:rsidRPr="00C75C7E" w:rsidRDefault="00B55718" w:rsidP="001E5683">
            <w:pPr>
              <w:keepNext/>
              <w:widowControl w:val="0"/>
              <w:rPr>
                <w:sz w:val="16"/>
                <w:szCs w:val="16"/>
                <w:lang w:val="es-ES_tradnl" w:bidi="th-TH"/>
              </w:rPr>
            </w:pPr>
          </w:p>
          <w:p w:rsidR="00B55718" w:rsidRPr="00C75C7E" w:rsidRDefault="00B55718" w:rsidP="001E5683">
            <w:pPr>
              <w:keepNext/>
              <w:widowControl w:val="0"/>
              <w:rPr>
                <w:sz w:val="16"/>
                <w:szCs w:val="16"/>
                <w:lang w:val="es-ES_tradnl" w:bidi="th-TH"/>
              </w:rPr>
            </w:pPr>
          </w:p>
          <w:p w:rsidR="00B55718" w:rsidRPr="00C75C7E" w:rsidRDefault="00B55718" w:rsidP="001E5683">
            <w:pPr>
              <w:keepNext/>
              <w:widowControl w:val="0"/>
              <w:rPr>
                <w:sz w:val="16"/>
                <w:szCs w:val="16"/>
                <w:lang w:val="es-ES_tradnl"/>
              </w:rPr>
            </w:pPr>
          </w:p>
        </w:tc>
        <w:tc>
          <w:tcPr>
            <w:tcW w:w="2096" w:type="dxa"/>
            <w:shd w:val="clear" w:color="auto" w:fill="auto"/>
            <w:tcMar>
              <w:top w:w="113" w:type="dxa"/>
              <w:bottom w:w="85" w:type="dxa"/>
            </w:tcMar>
          </w:tcPr>
          <w:p w:rsidR="00B55718" w:rsidRPr="00C75C7E" w:rsidRDefault="00B55718" w:rsidP="001E5683">
            <w:pPr>
              <w:keepNext/>
              <w:widowControl w:val="0"/>
              <w:tabs>
                <w:tab w:val="left" w:pos="2051"/>
              </w:tabs>
              <w:ind w:right="381"/>
              <w:rPr>
                <w:bCs/>
                <w:sz w:val="16"/>
                <w:szCs w:val="16"/>
                <w:lang w:val="es-ES_tradnl"/>
              </w:rPr>
            </w:pPr>
            <w:r w:rsidRPr="00C75C7E">
              <w:rPr>
                <w:bCs/>
                <w:sz w:val="16"/>
                <w:szCs w:val="16"/>
                <w:lang w:val="es-ES_tradnl"/>
              </w:rPr>
              <w:t>75%</w:t>
            </w:r>
          </w:p>
        </w:tc>
      </w:tr>
      <w:tr w:rsidR="00B55718" w:rsidRPr="00C75C7E" w:rsidTr="00A74F33">
        <w:trPr>
          <w:cantSplit/>
          <w:trHeight w:val="635"/>
        </w:trPr>
        <w:tc>
          <w:tcPr>
            <w:tcW w:w="2970" w:type="dxa"/>
            <w:vMerge/>
            <w:shd w:val="clear" w:color="auto" w:fill="auto"/>
            <w:tcMar>
              <w:top w:w="113" w:type="dxa"/>
              <w:bottom w:w="85" w:type="dxa"/>
            </w:tcMar>
          </w:tcPr>
          <w:p w:rsidR="00B55718" w:rsidRPr="00C75C7E" w:rsidRDefault="00B55718" w:rsidP="008F4F69">
            <w:pPr>
              <w:widowControl w:val="0"/>
              <w:rPr>
                <w:sz w:val="16"/>
                <w:szCs w:val="16"/>
                <w:lang w:val="es-ES_tradnl"/>
              </w:rPr>
            </w:pPr>
          </w:p>
        </w:tc>
        <w:tc>
          <w:tcPr>
            <w:tcW w:w="2750" w:type="dxa"/>
            <w:shd w:val="clear" w:color="auto" w:fill="auto"/>
            <w:tcMar>
              <w:top w:w="113" w:type="dxa"/>
              <w:bottom w:w="85" w:type="dxa"/>
            </w:tcMar>
          </w:tcPr>
          <w:p w:rsidR="00B55718" w:rsidRPr="00C75C7E" w:rsidRDefault="00033E8A" w:rsidP="008F4F69">
            <w:pPr>
              <w:widowControl w:val="0"/>
              <w:rPr>
                <w:sz w:val="16"/>
                <w:szCs w:val="16"/>
                <w:lang w:val="es-ES_tradnl"/>
              </w:rPr>
            </w:pPr>
            <w:r w:rsidRPr="00C75C7E">
              <w:rPr>
                <w:sz w:val="16"/>
                <w:szCs w:val="16"/>
                <w:lang w:val="es-ES_tradnl"/>
              </w:rPr>
              <w:t>Porcentaje de destinatarios que han demostrado conocimientos básicos de</w:t>
            </w:r>
            <w:r>
              <w:rPr>
                <w:sz w:val="16"/>
                <w:szCs w:val="16"/>
                <w:lang w:val="es-ES_tradnl"/>
              </w:rPr>
              <w:t xml:space="preserve"> un sistema equilibrado </w:t>
            </w:r>
            <w:r w:rsidRPr="00C75C7E">
              <w:rPr>
                <w:sz w:val="16"/>
                <w:szCs w:val="16"/>
                <w:lang w:val="es-ES_tradnl"/>
              </w:rPr>
              <w:t>de P.I. tras las actividades de la OMPI</w:t>
            </w:r>
            <w:r w:rsidR="00B55718" w:rsidRPr="00C75C7E">
              <w:rPr>
                <w:sz w:val="16"/>
                <w:szCs w:val="16"/>
                <w:lang w:val="es-ES_tradnl"/>
              </w:rPr>
              <w:t>.</w:t>
            </w:r>
          </w:p>
        </w:tc>
        <w:tc>
          <w:tcPr>
            <w:tcW w:w="1540" w:type="dxa"/>
            <w:shd w:val="clear" w:color="auto" w:fill="FFFFFF"/>
            <w:tcMar>
              <w:top w:w="113" w:type="dxa"/>
              <w:bottom w:w="85" w:type="dxa"/>
            </w:tcMar>
          </w:tcPr>
          <w:p w:rsidR="00B55718" w:rsidRPr="00C75C7E" w:rsidRDefault="005C037B" w:rsidP="008F4F69">
            <w:pPr>
              <w:widowControl w:val="0"/>
              <w:rPr>
                <w:sz w:val="16"/>
                <w:szCs w:val="16"/>
                <w:lang w:val="es-ES_tradnl" w:bidi="th-TH"/>
              </w:rPr>
            </w:pPr>
            <w:r>
              <w:rPr>
                <w:sz w:val="16"/>
                <w:szCs w:val="16"/>
                <w:lang w:val="es-ES_tradnl" w:bidi="th-TH"/>
              </w:rPr>
              <w:t>N.d.</w:t>
            </w:r>
          </w:p>
          <w:p w:rsidR="00B55718" w:rsidRPr="00C75C7E" w:rsidRDefault="00B55718" w:rsidP="008F4F69">
            <w:pPr>
              <w:widowControl w:val="0"/>
              <w:rPr>
                <w:sz w:val="16"/>
                <w:szCs w:val="16"/>
                <w:lang w:val="es-ES_tradnl" w:bidi="th-TH"/>
              </w:rPr>
            </w:pPr>
          </w:p>
          <w:p w:rsidR="00B55718" w:rsidRPr="00C75C7E" w:rsidRDefault="00B55718" w:rsidP="008F4F69">
            <w:pPr>
              <w:widowControl w:val="0"/>
              <w:rPr>
                <w:sz w:val="16"/>
                <w:szCs w:val="16"/>
                <w:lang w:val="es-ES_tradnl"/>
              </w:rPr>
            </w:pPr>
          </w:p>
        </w:tc>
        <w:tc>
          <w:tcPr>
            <w:tcW w:w="2096" w:type="dxa"/>
            <w:shd w:val="clear" w:color="auto" w:fill="auto"/>
            <w:tcMar>
              <w:top w:w="113" w:type="dxa"/>
              <w:bottom w:w="85" w:type="dxa"/>
            </w:tcMar>
          </w:tcPr>
          <w:p w:rsidR="00B55718" w:rsidRPr="00C75C7E" w:rsidRDefault="00B55718" w:rsidP="008F4F69">
            <w:pPr>
              <w:widowControl w:val="0"/>
              <w:ind w:right="51"/>
              <w:rPr>
                <w:bCs/>
                <w:sz w:val="16"/>
                <w:szCs w:val="16"/>
                <w:lang w:val="es-ES_tradnl"/>
              </w:rPr>
            </w:pPr>
            <w:r w:rsidRPr="00C75C7E">
              <w:rPr>
                <w:bCs/>
                <w:sz w:val="16"/>
                <w:szCs w:val="16"/>
                <w:lang w:val="es-ES_tradnl"/>
              </w:rPr>
              <w:t>75%</w:t>
            </w:r>
          </w:p>
        </w:tc>
      </w:tr>
      <w:tr w:rsidR="00B55718" w:rsidRPr="00C75C7E" w:rsidTr="00A74F33">
        <w:trPr>
          <w:cantSplit/>
          <w:trHeight w:val="517"/>
        </w:trPr>
        <w:tc>
          <w:tcPr>
            <w:tcW w:w="2970" w:type="dxa"/>
            <w:vMerge/>
            <w:shd w:val="clear" w:color="auto" w:fill="auto"/>
            <w:tcMar>
              <w:top w:w="113" w:type="dxa"/>
              <w:bottom w:w="85" w:type="dxa"/>
            </w:tcMar>
          </w:tcPr>
          <w:p w:rsidR="00B55718" w:rsidRPr="00C75C7E" w:rsidRDefault="00B55718" w:rsidP="008F4F69">
            <w:pPr>
              <w:widowControl w:val="0"/>
              <w:rPr>
                <w:sz w:val="16"/>
                <w:szCs w:val="16"/>
                <w:lang w:val="es-ES_tradnl"/>
              </w:rPr>
            </w:pPr>
          </w:p>
        </w:tc>
        <w:tc>
          <w:tcPr>
            <w:tcW w:w="2750" w:type="dxa"/>
            <w:shd w:val="clear" w:color="auto" w:fill="auto"/>
            <w:tcMar>
              <w:top w:w="113" w:type="dxa"/>
              <w:bottom w:w="85" w:type="dxa"/>
            </w:tcMar>
          </w:tcPr>
          <w:p w:rsidR="00B55718" w:rsidRPr="00C75C7E" w:rsidRDefault="00B55718" w:rsidP="008F4F69">
            <w:pPr>
              <w:widowControl w:val="0"/>
              <w:rPr>
                <w:sz w:val="16"/>
                <w:szCs w:val="16"/>
                <w:lang w:val="es-ES_tradnl"/>
              </w:rPr>
            </w:pPr>
            <w:r w:rsidRPr="00C75C7E">
              <w:rPr>
                <w:sz w:val="16"/>
                <w:szCs w:val="16"/>
                <w:lang w:val="es-ES_tradnl"/>
              </w:rPr>
              <w:t>Número de países participantes en el programa de Premios de la OMPI.</w:t>
            </w:r>
          </w:p>
        </w:tc>
        <w:tc>
          <w:tcPr>
            <w:tcW w:w="1540" w:type="dxa"/>
            <w:shd w:val="clear" w:color="auto" w:fill="FFFFFF"/>
            <w:tcMar>
              <w:top w:w="113" w:type="dxa"/>
              <w:bottom w:w="85" w:type="dxa"/>
            </w:tcMar>
          </w:tcPr>
          <w:p w:rsidR="00B55718" w:rsidRPr="00C75C7E" w:rsidRDefault="00B55718" w:rsidP="008F4F69">
            <w:pPr>
              <w:widowControl w:val="0"/>
              <w:rPr>
                <w:sz w:val="16"/>
                <w:szCs w:val="16"/>
                <w:lang w:val="es-ES_tradnl" w:bidi="th-TH"/>
              </w:rPr>
            </w:pPr>
            <w:r w:rsidRPr="00C75C7E">
              <w:rPr>
                <w:sz w:val="16"/>
                <w:szCs w:val="16"/>
                <w:lang w:val="es-ES_tradnl" w:bidi="th-TH"/>
              </w:rPr>
              <w:t>40 por año.</w:t>
            </w:r>
          </w:p>
          <w:p w:rsidR="00B55718" w:rsidRPr="00C75C7E" w:rsidRDefault="00B55718" w:rsidP="008F4F69">
            <w:pPr>
              <w:widowControl w:val="0"/>
              <w:rPr>
                <w:sz w:val="16"/>
                <w:szCs w:val="16"/>
                <w:lang w:val="es-ES_tradnl"/>
              </w:rPr>
            </w:pPr>
          </w:p>
        </w:tc>
        <w:tc>
          <w:tcPr>
            <w:tcW w:w="2096" w:type="dxa"/>
            <w:shd w:val="clear" w:color="auto" w:fill="auto"/>
            <w:tcMar>
              <w:top w:w="113" w:type="dxa"/>
              <w:bottom w:w="85" w:type="dxa"/>
            </w:tcMar>
          </w:tcPr>
          <w:p w:rsidR="00B55718" w:rsidRPr="00C75C7E" w:rsidRDefault="00B55718" w:rsidP="008F4F69">
            <w:pPr>
              <w:widowControl w:val="0"/>
              <w:ind w:right="161"/>
              <w:rPr>
                <w:bCs/>
                <w:sz w:val="16"/>
                <w:szCs w:val="16"/>
                <w:lang w:val="es-ES_tradnl"/>
              </w:rPr>
            </w:pPr>
            <w:r w:rsidRPr="00C75C7E">
              <w:rPr>
                <w:bCs/>
                <w:sz w:val="16"/>
                <w:szCs w:val="16"/>
                <w:lang w:val="es-ES_tradnl"/>
              </w:rPr>
              <w:t>40 por año.</w:t>
            </w:r>
          </w:p>
        </w:tc>
      </w:tr>
      <w:tr w:rsidR="00B55718" w:rsidRPr="00C75C7E" w:rsidTr="00A74F33">
        <w:trPr>
          <w:cantSplit/>
          <w:trHeight w:val="1061"/>
        </w:trPr>
        <w:tc>
          <w:tcPr>
            <w:tcW w:w="2970" w:type="dxa"/>
            <w:shd w:val="clear" w:color="auto" w:fill="auto"/>
            <w:tcMar>
              <w:top w:w="113" w:type="dxa"/>
              <w:bottom w:w="85" w:type="dxa"/>
            </w:tcMar>
          </w:tcPr>
          <w:p w:rsidR="00B55718" w:rsidRPr="00C75C7E" w:rsidRDefault="00B55718" w:rsidP="008F4F69">
            <w:pPr>
              <w:widowControl w:val="0"/>
              <w:rPr>
                <w:sz w:val="16"/>
                <w:szCs w:val="16"/>
                <w:lang w:val="es-ES_tradnl"/>
              </w:rPr>
            </w:pPr>
            <w:r w:rsidRPr="00C75C7E">
              <w:rPr>
                <w:sz w:val="16"/>
                <w:szCs w:val="16"/>
                <w:lang w:val="es-ES_tradnl"/>
              </w:rPr>
              <w:t>VI.1. Avances en el diálogo internacional sobre políticas entre los Estados miembros de la OMPI para cultivar el respeto por la P.I. sobre la base de la recomendación 45 de la Agenda de la OMPI para el Desarrollo.</w:t>
            </w:r>
          </w:p>
        </w:tc>
        <w:tc>
          <w:tcPr>
            <w:tcW w:w="2750" w:type="dxa"/>
            <w:shd w:val="clear" w:color="auto" w:fill="auto"/>
            <w:tcMar>
              <w:top w:w="113" w:type="dxa"/>
              <w:bottom w:w="85" w:type="dxa"/>
            </w:tcMar>
          </w:tcPr>
          <w:p w:rsidR="00B55718" w:rsidRPr="00C75C7E" w:rsidRDefault="00B55718" w:rsidP="008F4F69">
            <w:pPr>
              <w:widowControl w:val="0"/>
              <w:rPr>
                <w:sz w:val="16"/>
                <w:szCs w:val="16"/>
                <w:lang w:val="es-ES_tradnl"/>
              </w:rPr>
            </w:pPr>
            <w:r w:rsidRPr="00C75C7E">
              <w:rPr>
                <w:sz w:val="16"/>
                <w:szCs w:val="16"/>
                <w:lang w:val="es-ES_tradnl"/>
              </w:rPr>
              <w:t>Acuerdo constante entre los Estados miembros sobre la labor sustantiva del Comité Asesor de la OMPI sobre Observancia (ACE), al incorporar elementos orientados al desarrollo.</w:t>
            </w:r>
          </w:p>
        </w:tc>
        <w:tc>
          <w:tcPr>
            <w:tcW w:w="1540" w:type="dxa"/>
            <w:shd w:val="clear" w:color="auto" w:fill="FFFFFF"/>
            <w:tcMar>
              <w:top w:w="113" w:type="dxa"/>
              <w:bottom w:w="85" w:type="dxa"/>
            </w:tcMar>
          </w:tcPr>
          <w:p w:rsidR="00B55718" w:rsidRPr="00C75C7E" w:rsidRDefault="00B55718" w:rsidP="008F4F69">
            <w:pPr>
              <w:widowControl w:val="0"/>
              <w:rPr>
                <w:sz w:val="16"/>
                <w:szCs w:val="16"/>
                <w:lang w:val="es-ES_tradnl" w:bidi="th-TH"/>
              </w:rPr>
            </w:pPr>
            <w:r w:rsidRPr="00C75C7E">
              <w:rPr>
                <w:sz w:val="16"/>
                <w:szCs w:val="16"/>
                <w:lang w:val="es-ES_tradnl" w:bidi="th-TH"/>
              </w:rPr>
              <w:t>Acuerdo sobre el programa de trabajo de la octava sesión del ACE</w:t>
            </w:r>
          </w:p>
          <w:p w:rsidR="00B55718" w:rsidRPr="00C75C7E" w:rsidRDefault="00B55718" w:rsidP="008F4F69">
            <w:pPr>
              <w:widowControl w:val="0"/>
              <w:rPr>
                <w:sz w:val="16"/>
                <w:szCs w:val="16"/>
                <w:lang w:val="es-ES_tradnl" w:bidi="th-TH"/>
              </w:rPr>
            </w:pPr>
          </w:p>
          <w:p w:rsidR="00B55718" w:rsidRPr="00C75C7E" w:rsidRDefault="00B55718" w:rsidP="008F4F69">
            <w:pPr>
              <w:widowControl w:val="0"/>
              <w:rPr>
                <w:sz w:val="16"/>
                <w:szCs w:val="16"/>
                <w:lang w:val="es-ES_tradnl" w:bidi="th-TH"/>
              </w:rPr>
            </w:pPr>
          </w:p>
        </w:tc>
        <w:tc>
          <w:tcPr>
            <w:tcW w:w="2096" w:type="dxa"/>
            <w:shd w:val="clear" w:color="auto" w:fill="auto"/>
            <w:tcMar>
              <w:top w:w="113" w:type="dxa"/>
              <w:bottom w:w="85" w:type="dxa"/>
            </w:tcMar>
          </w:tcPr>
          <w:p w:rsidR="00B55718" w:rsidRPr="00C75C7E" w:rsidRDefault="00B55718" w:rsidP="008F4F69">
            <w:pPr>
              <w:widowControl w:val="0"/>
              <w:ind w:right="161"/>
              <w:rPr>
                <w:bCs/>
                <w:sz w:val="16"/>
                <w:szCs w:val="16"/>
                <w:lang w:val="es-ES_tradnl"/>
              </w:rPr>
            </w:pPr>
            <w:r w:rsidRPr="00C75C7E">
              <w:rPr>
                <w:bCs/>
                <w:sz w:val="16"/>
                <w:szCs w:val="16"/>
                <w:lang w:val="es-ES_tradnl"/>
              </w:rPr>
              <w:t>Acuerdo sobre el programa de trabajo de la siguiente sesión del ACE</w:t>
            </w:r>
          </w:p>
        </w:tc>
      </w:tr>
      <w:tr w:rsidR="00B55718" w:rsidRPr="00C75C7E" w:rsidTr="00A74F33">
        <w:trPr>
          <w:cantSplit/>
          <w:trHeight w:val="965"/>
        </w:trPr>
        <w:tc>
          <w:tcPr>
            <w:tcW w:w="2970" w:type="dxa"/>
            <w:shd w:val="clear" w:color="auto" w:fill="auto"/>
            <w:tcMar>
              <w:top w:w="113" w:type="dxa"/>
              <w:bottom w:w="85" w:type="dxa"/>
            </w:tcMar>
          </w:tcPr>
          <w:p w:rsidR="00B55718" w:rsidRPr="00C75C7E" w:rsidRDefault="00B55718" w:rsidP="00033E8A">
            <w:pPr>
              <w:widowControl w:val="0"/>
              <w:rPr>
                <w:sz w:val="16"/>
                <w:szCs w:val="16"/>
                <w:lang w:val="es-ES_tradnl"/>
              </w:rPr>
            </w:pPr>
            <w:r w:rsidRPr="00C75C7E">
              <w:rPr>
                <w:sz w:val="16"/>
                <w:szCs w:val="16"/>
                <w:lang w:val="es-ES_tradnl"/>
              </w:rPr>
              <w:t>VI.2. Cooperación sistemática</w:t>
            </w:r>
            <w:r w:rsidR="00033E8A">
              <w:rPr>
                <w:sz w:val="16"/>
                <w:szCs w:val="16"/>
                <w:lang w:val="es-ES_tradnl"/>
              </w:rPr>
              <w:t>, eficaz</w:t>
            </w:r>
            <w:r w:rsidRPr="00C75C7E">
              <w:rPr>
                <w:sz w:val="16"/>
                <w:szCs w:val="16"/>
                <w:lang w:val="es-ES_tradnl"/>
              </w:rPr>
              <w:t xml:space="preserve"> y </w:t>
            </w:r>
            <w:r w:rsidR="00033E8A">
              <w:rPr>
                <w:sz w:val="16"/>
                <w:szCs w:val="16"/>
                <w:lang w:val="es-ES_tradnl"/>
              </w:rPr>
              <w:t>transparente</w:t>
            </w:r>
            <w:r w:rsidRPr="00C75C7E">
              <w:rPr>
                <w:sz w:val="16"/>
                <w:szCs w:val="16"/>
                <w:lang w:val="es-ES_tradnl"/>
              </w:rPr>
              <w:t xml:space="preserve"> entre la labor de la OMPI y otras organizaciones internacionales en el ámbito del cultivo del respeto por la P.I.</w:t>
            </w:r>
          </w:p>
        </w:tc>
        <w:tc>
          <w:tcPr>
            <w:tcW w:w="2750" w:type="dxa"/>
            <w:shd w:val="clear" w:color="auto" w:fill="auto"/>
            <w:tcMar>
              <w:top w:w="113" w:type="dxa"/>
              <w:bottom w:w="85" w:type="dxa"/>
            </w:tcMar>
          </w:tcPr>
          <w:p w:rsidR="00B55718" w:rsidRPr="00C75C7E" w:rsidRDefault="00B55718" w:rsidP="008F4F69">
            <w:pPr>
              <w:widowControl w:val="0"/>
              <w:rPr>
                <w:sz w:val="16"/>
                <w:szCs w:val="16"/>
                <w:lang w:val="es-ES_tradnl"/>
              </w:rPr>
            </w:pPr>
            <w:r w:rsidRPr="00C75C7E">
              <w:rPr>
                <w:sz w:val="16"/>
                <w:szCs w:val="16"/>
                <w:lang w:val="es-ES_tradnl"/>
              </w:rPr>
              <w:t>Número de actividades conjuntas de cultivo del respeto por la P.I.</w:t>
            </w:r>
          </w:p>
        </w:tc>
        <w:tc>
          <w:tcPr>
            <w:tcW w:w="1540" w:type="dxa"/>
            <w:shd w:val="clear" w:color="auto" w:fill="FFFFFF"/>
            <w:tcMar>
              <w:top w:w="113" w:type="dxa"/>
              <w:bottom w:w="85" w:type="dxa"/>
            </w:tcMar>
          </w:tcPr>
          <w:p w:rsidR="00B55718" w:rsidRPr="00C75C7E" w:rsidRDefault="00B55718" w:rsidP="008F4F69">
            <w:pPr>
              <w:widowControl w:val="0"/>
              <w:rPr>
                <w:sz w:val="16"/>
                <w:szCs w:val="16"/>
                <w:lang w:val="es-ES_tradnl" w:bidi="th-TH"/>
              </w:rPr>
            </w:pPr>
            <w:r w:rsidRPr="00C75C7E">
              <w:rPr>
                <w:sz w:val="16"/>
                <w:szCs w:val="16"/>
                <w:lang w:val="es-ES_tradnl" w:bidi="th-TH"/>
              </w:rPr>
              <w:t>30</w:t>
            </w:r>
          </w:p>
          <w:p w:rsidR="00B55718" w:rsidRPr="00C75C7E" w:rsidRDefault="00B55718" w:rsidP="008F4F69">
            <w:pPr>
              <w:widowControl w:val="0"/>
              <w:rPr>
                <w:sz w:val="16"/>
                <w:szCs w:val="16"/>
                <w:lang w:val="es-ES_tradnl" w:bidi="th-TH"/>
              </w:rPr>
            </w:pPr>
          </w:p>
          <w:p w:rsidR="00B55718" w:rsidRPr="00C75C7E" w:rsidRDefault="00B55718" w:rsidP="008F4F69">
            <w:pPr>
              <w:widowControl w:val="0"/>
              <w:rPr>
                <w:sz w:val="16"/>
                <w:szCs w:val="16"/>
                <w:lang w:val="es-ES_tradnl" w:bidi="th-TH"/>
              </w:rPr>
            </w:pPr>
          </w:p>
        </w:tc>
        <w:tc>
          <w:tcPr>
            <w:tcW w:w="2096" w:type="dxa"/>
            <w:shd w:val="clear" w:color="auto" w:fill="auto"/>
            <w:tcMar>
              <w:top w:w="113" w:type="dxa"/>
              <w:bottom w:w="85" w:type="dxa"/>
            </w:tcMar>
          </w:tcPr>
          <w:p w:rsidR="00B55718" w:rsidRPr="00C75C7E" w:rsidRDefault="00B55718" w:rsidP="008F4F69">
            <w:pPr>
              <w:widowControl w:val="0"/>
              <w:ind w:right="161"/>
              <w:rPr>
                <w:bCs/>
                <w:sz w:val="16"/>
                <w:szCs w:val="16"/>
                <w:lang w:val="es-ES_tradnl"/>
              </w:rPr>
            </w:pPr>
            <w:r w:rsidRPr="00C75C7E">
              <w:rPr>
                <w:bCs/>
                <w:sz w:val="16"/>
                <w:szCs w:val="16"/>
                <w:lang w:val="es-ES_tradnl"/>
              </w:rPr>
              <w:t>30</w:t>
            </w:r>
          </w:p>
        </w:tc>
      </w:tr>
    </w:tbl>
    <w:p w:rsidR="00B55718" w:rsidRDefault="00B55718" w:rsidP="00B55718">
      <w:pPr>
        <w:widowControl w:val="0"/>
        <w:tabs>
          <w:tab w:val="left" w:pos="567"/>
          <w:tab w:val="left" w:pos="1985"/>
        </w:tabs>
        <w:rPr>
          <w:bCs/>
          <w:sz w:val="20"/>
          <w:lang w:val="es-ES_tradnl"/>
        </w:rPr>
      </w:pPr>
    </w:p>
    <w:p w:rsidR="00F21127" w:rsidRDefault="00F21127" w:rsidP="00B55718">
      <w:pPr>
        <w:widowControl w:val="0"/>
        <w:tabs>
          <w:tab w:val="left" w:pos="567"/>
          <w:tab w:val="left" w:pos="1985"/>
        </w:tabs>
        <w:rPr>
          <w:bCs/>
          <w:sz w:val="20"/>
          <w:lang w:val="es-ES_tradnl"/>
        </w:rPr>
      </w:pPr>
    </w:p>
    <w:p w:rsidR="009E7719" w:rsidRPr="00AD1E8B" w:rsidRDefault="009E7719" w:rsidP="009E7719">
      <w:pPr>
        <w:widowControl w:val="0"/>
        <w:autoSpaceDE w:val="0"/>
        <w:autoSpaceDN w:val="0"/>
        <w:adjustRightInd w:val="0"/>
        <w:jc w:val="both"/>
        <w:rPr>
          <w:szCs w:val="22"/>
          <w:lang w:val="es-ES_tradnl"/>
        </w:rPr>
      </w:pPr>
      <w:r w:rsidRPr="00AD1E8B">
        <w:rPr>
          <w:szCs w:val="22"/>
          <w:lang w:val="es-ES_tradnl"/>
        </w:rPr>
        <w:t>RECURSOS PARA EL PROGRAMA 17</w:t>
      </w:r>
    </w:p>
    <w:p w:rsidR="009E7719" w:rsidRPr="00AD1E8B" w:rsidRDefault="009E7719" w:rsidP="009E7719">
      <w:pPr>
        <w:widowControl w:val="0"/>
        <w:autoSpaceDE w:val="0"/>
        <w:autoSpaceDN w:val="0"/>
        <w:adjustRightInd w:val="0"/>
        <w:rPr>
          <w:bCs/>
          <w:iCs/>
          <w:szCs w:val="22"/>
          <w:lang w:val="es-ES_tradnl"/>
        </w:rPr>
      </w:pPr>
    </w:p>
    <w:p w:rsidR="009E7719" w:rsidRPr="00AD1E8B" w:rsidRDefault="009E7719" w:rsidP="00E17471">
      <w:pPr>
        <w:widowControl w:val="0"/>
        <w:numPr>
          <w:ilvl w:val="0"/>
          <w:numId w:val="11"/>
        </w:numPr>
        <w:jc w:val="both"/>
        <w:rPr>
          <w:bCs/>
          <w:iCs/>
          <w:sz w:val="20"/>
          <w:lang w:val="es-ES_tradnl"/>
        </w:rPr>
      </w:pPr>
      <w:r w:rsidRPr="00AD1E8B">
        <w:rPr>
          <w:bCs/>
          <w:iCs/>
          <w:sz w:val="20"/>
          <w:lang w:val="es-ES_tradnl"/>
        </w:rPr>
        <w:t xml:space="preserve">Los recursos no </w:t>
      </w:r>
      <w:r w:rsidR="00733234">
        <w:rPr>
          <w:bCs/>
          <w:iCs/>
          <w:sz w:val="20"/>
          <w:lang w:val="es-ES_tradnl"/>
        </w:rPr>
        <w:t>relativos al personal,</w:t>
      </w:r>
      <w:r w:rsidRPr="00AD1E8B">
        <w:rPr>
          <w:bCs/>
          <w:iCs/>
          <w:sz w:val="20"/>
          <w:lang w:val="es-ES_tradnl"/>
        </w:rPr>
        <w:t xml:space="preserve"> asignados a la consecución de los resultados previstos en el marco del programa</w:t>
      </w:r>
      <w:r w:rsidR="00733234">
        <w:rPr>
          <w:bCs/>
          <w:iCs/>
          <w:sz w:val="20"/>
          <w:lang w:val="es-ES_tradnl"/>
        </w:rPr>
        <w:t>,</w:t>
      </w:r>
      <w:r w:rsidRPr="00AD1E8B">
        <w:rPr>
          <w:bCs/>
          <w:iCs/>
          <w:sz w:val="20"/>
          <w:lang w:val="es-ES_tradnl"/>
        </w:rPr>
        <w:t xml:space="preserve"> se mantienen fundamentalmente al mismo nivel que en el presupuesto 2012/13 después de transferencias, habiéndose logrado algunas economías gracias a las medidas adoptadas en favor de la eficiencia de costos (se trata básicamente de costos de viaje).  El incremento de los recursos </w:t>
      </w:r>
      <w:r w:rsidR="00733234">
        <w:rPr>
          <w:bCs/>
          <w:iCs/>
          <w:sz w:val="20"/>
          <w:lang w:val="es-ES_tradnl"/>
        </w:rPr>
        <w:t>de personal</w:t>
      </w:r>
      <w:r w:rsidRPr="00AD1E8B">
        <w:rPr>
          <w:bCs/>
          <w:iCs/>
          <w:sz w:val="20"/>
          <w:lang w:val="es-ES_tradnl"/>
        </w:rPr>
        <w:t xml:space="preserve"> se ha asignado a los resultados III.2 (Mejora de las capacidades en el ámbito de los recursos humanos) y VI.2 (Cooperación para cultivar el respeto por la P.I.) con la mira de (i) seguir fortaleciendo y fomentando la sensibilizaci</w:t>
      </w:r>
      <w:r w:rsidR="00733234">
        <w:rPr>
          <w:bCs/>
          <w:iCs/>
          <w:sz w:val="20"/>
          <w:lang w:val="es-ES_tradnl"/>
        </w:rPr>
        <w:t>ón y la educación públicas y cultiv</w:t>
      </w:r>
      <w:r w:rsidRPr="00AD1E8B">
        <w:rPr>
          <w:bCs/>
          <w:iCs/>
          <w:sz w:val="20"/>
          <w:lang w:val="es-ES_tradnl"/>
        </w:rPr>
        <w:t xml:space="preserve">ar el respeto por la P.I. a través de actividades específicas como el programa de Premios de la OMPI, y (ii) reflejar la importancia de la colaboración y la cooperación con las organizaciones pertinentes y con los sectores interesados en </w:t>
      </w:r>
      <w:r w:rsidR="00733234">
        <w:rPr>
          <w:bCs/>
          <w:iCs/>
          <w:sz w:val="20"/>
          <w:lang w:val="es-ES_tradnl"/>
        </w:rPr>
        <w:t>culti</w:t>
      </w:r>
      <w:r w:rsidRPr="00AD1E8B">
        <w:rPr>
          <w:bCs/>
          <w:iCs/>
          <w:sz w:val="20"/>
          <w:lang w:val="es-ES_tradnl"/>
        </w:rPr>
        <w:t>var el respeto por la P.I.</w:t>
      </w:r>
    </w:p>
    <w:p w:rsidR="009E7719" w:rsidRPr="00AD1E8B" w:rsidRDefault="009E7719" w:rsidP="009E7719">
      <w:pPr>
        <w:widowControl w:val="0"/>
        <w:autoSpaceDE w:val="0"/>
        <w:autoSpaceDN w:val="0"/>
        <w:adjustRightInd w:val="0"/>
        <w:rPr>
          <w:bCs/>
          <w:iCs/>
          <w:szCs w:val="22"/>
          <w:lang w:val="es-ES_tradnl"/>
        </w:rPr>
      </w:pPr>
    </w:p>
    <w:p w:rsidR="009E7719" w:rsidRPr="00C75C7E" w:rsidRDefault="009E7719" w:rsidP="00B55718">
      <w:pPr>
        <w:widowControl w:val="0"/>
        <w:tabs>
          <w:tab w:val="left" w:pos="567"/>
          <w:tab w:val="left" w:pos="1985"/>
        </w:tabs>
        <w:rPr>
          <w:bCs/>
          <w:sz w:val="20"/>
          <w:lang w:val="es-ES_tradnl"/>
        </w:rPr>
      </w:pPr>
    </w:p>
    <w:p w:rsidR="00B55718" w:rsidRPr="00C75C7E" w:rsidRDefault="00033E8A" w:rsidP="001E5683">
      <w:pPr>
        <w:keepNext/>
        <w:widowControl w:val="0"/>
        <w:autoSpaceDE w:val="0"/>
        <w:autoSpaceDN w:val="0"/>
        <w:adjustRightInd w:val="0"/>
        <w:jc w:val="center"/>
        <w:rPr>
          <w:b/>
          <w:bCs/>
          <w:iCs/>
          <w:sz w:val="20"/>
          <w:lang w:val="es-ES_tradnl"/>
        </w:rPr>
      </w:pPr>
      <w:r>
        <w:rPr>
          <w:b/>
          <w:sz w:val="18"/>
          <w:szCs w:val="18"/>
          <w:lang w:val="es-ES_tradnl"/>
        </w:rPr>
        <w:lastRenderedPageBreak/>
        <w:t xml:space="preserve">Programa 17: </w:t>
      </w:r>
      <w:r w:rsidR="00B55718" w:rsidRPr="00C75C7E">
        <w:rPr>
          <w:b/>
          <w:i/>
          <w:sz w:val="18"/>
          <w:szCs w:val="18"/>
          <w:lang w:val="es-ES_tradnl"/>
        </w:rPr>
        <w:t xml:space="preserve"> </w:t>
      </w:r>
      <w:r w:rsidR="00B55718" w:rsidRPr="00C75C7E">
        <w:rPr>
          <w:b/>
          <w:bCs/>
          <w:iCs/>
          <w:sz w:val="20"/>
          <w:lang w:val="es-ES_tradnl"/>
        </w:rPr>
        <w:t>Recursos por resultado</w:t>
      </w:r>
    </w:p>
    <w:p w:rsidR="00B55718" w:rsidRPr="00C75C7E" w:rsidRDefault="00B55718" w:rsidP="001E5683">
      <w:pPr>
        <w:keepNext/>
        <w:widowControl w:val="0"/>
        <w:autoSpaceDE w:val="0"/>
        <w:autoSpaceDN w:val="0"/>
        <w:adjustRightInd w:val="0"/>
        <w:jc w:val="center"/>
        <w:rPr>
          <w:bCs/>
          <w:i/>
          <w:sz w:val="20"/>
          <w:lang w:val="es-ES_tradnl"/>
        </w:rPr>
      </w:pPr>
      <w:r w:rsidRPr="00C75C7E">
        <w:rPr>
          <w:bCs/>
          <w:i/>
          <w:sz w:val="20"/>
          <w:lang w:val="es-ES_tradnl"/>
        </w:rPr>
        <w:t>(en miles de francos suizos)</w:t>
      </w:r>
    </w:p>
    <w:p w:rsidR="00B55718" w:rsidRPr="00C75C7E" w:rsidRDefault="00B55718" w:rsidP="001E5683">
      <w:pPr>
        <w:keepNext/>
        <w:widowControl w:val="0"/>
        <w:autoSpaceDE w:val="0"/>
        <w:autoSpaceDN w:val="0"/>
        <w:adjustRightInd w:val="0"/>
        <w:jc w:val="center"/>
        <w:rPr>
          <w:i/>
          <w:sz w:val="18"/>
          <w:szCs w:val="18"/>
          <w:lang w:val="es-ES_tradnl"/>
        </w:rPr>
      </w:pPr>
    </w:p>
    <w:p w:rsidR="00B55718" w:rsidRPr="00C75C7E" w:rsidRDefault="00033E8A" w:rsidP="001E5683">
      <w:pPr>
        <w:keepNext/>
        <w:widowControl w:val="0"/>
        <w:autoSpaceDE w:val="0"/>
        <w:autoSpaceDN w:val="0"/>
        <w:adjustRightInd w:val="0"/>
        <w:rPr>
          <w:sz w:val="18"/>
          <w:szCs w:val="18"/>
          <w:lang w:val="es-ES_tradnl"/>
        </w:rPr>
      </w:pPr>
      <w:r w:rsidRPr="00033E8A">
        <w:rPr>
          <w:noProof/>
          <w:lang w:val="en-US" w:eastAsia="en-US"/>
        </w:rPr>
        <w:drawing>
          <wp:inline distT="0" distB="0" distL="0" distR="0">
            <wp:extent cx="6019800" cy="2924175"/>
            <wp:effectExtent l="0" t="0" r="0"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6019800" cy="2924175"/>
                    </a:xfrm>
                    <a:prstGeom prst="rect">
                      <a:avLst/>
                    </a:prstGeom>
                    <a:noFill/>
                    <a:ln>
                      <a:noFill/>
                    </a:ln>
                  </pic:spPr>
                </pic:pic>
              </a:graphicData>
            </a:graphic>
          </wp:inline>
        </w:drawing>
      </w:r>
    </w:p>
    <w:p w:rsidR="00B55718" w:rsidRPr="00C75C7E" w:rsidRDefault="00B55718" w:rsidP="00B55718">
      <w:pPr>
        <w:widowControl w:val="0"/>
        <w:autoSpaceDE w:val="0"/>
        <w:autoSpaceDN w:val="0"/>
        <w:adjustRightInd w:val="0"/>
        <w:rPr>
          <w:sz w:val="20"/>
          <w:lang w:val="es-ES_tradnl"/>
        </w:rPr>
      </w:pPr>
    </w:p>
    <w:p w:rsidR="00B55718" w:rsidRPr="00C75C7E" w:rsidRDefault="00B55718" w:rsidP="00B55718">
      <w:pPr>
        <w:widowControl w:val="0"/>
        <w:autoSpaceDE w:val="0"/>
        <w:autoSpaceDN w:val="0"/>
        <w:adjustRightInd w:val="0"/>
        <w:rPr>
          <w:sz w:val="20"/>
          <w:lang w:val="es-ES_tradnl"/>
        </w:rPr>
      </w:pPr>
      <w:r w:rsidRPr="00C75C7E">
        <w:rPr>
          <w:sz w:val="16"/>
          <w:szCs w:val="16"/>
          <w:lang w:val="es-ES_tradnl"/>
        </w:rPr>
        <w:t xml:space="preserve">Nota: </w:t>
      </w:r>
      <w:r>
        <w:rPr>
          <w:sz w:val="16"/>
          <w:szCs w:val="16"/>
          <w:lang w:val="es-ES_tradnl"/>
        </w:rPr>
        <w:t xml:space="preserve"> </w:t>
      </w:r>
      <w:r w:rsidRPr="00C75C7E">
        <w:rPr>
          <w:sz w:val="16"/>
          <w:szCs w:val="16"/>
          <w:lang w:val="es-ES_tradnl"/>
        </w:rPr>
        <w:t>Se ha reexpresado el presupuesto aprobado de 2012/13 y el presupuesto de dicho bienio después de las transferencias, por resultado previsto, para reflejar el marco de resultados de la Organización propuesto para 2014/15.</w:t>
      </w:r>
    </w:p>
    <w:p w:rsidR="00B55718" w:rsidRDefault="00B55718" w:rsidP="00F21127">
      <w:pPr>
        <w:keepNext/>
        <w:widowControl w:val="0"/>
        <w:autoSpaceDE w:val="0"/>
        <w:autoSpaceDN w:val="0"/>
        <w:adjustRightInd w:val="0"/>
        <w:jc w:val="center"/>
        <w:rPr>
          <w:sz w:val="20"/>
          <w:lang w:val="es-ES_tradnl"/>
        </w:rPr>
      </w:pPr>
    </w:p>
    <w:p w:rsidR="00F21127" w:rsidRPr="00C75C7E" w:rsidRDefault="00F21127" w:rsidP="00F21127">
      <w:pPr>
        <w:keepNext/>
        <w:widowControl w:val="0"/>
        <w:autoSpaceDE w:val="0"/>
        <w:autoSpaceDN w:val="0"/>
        <w:adjustRightInd w:val="0"/>
        <w:jc w:val="center"/>
        <w:rPr>
          <w:sz w:val="20"/>
          <w:lang w:val="es-ES_tradnl"/>
        </w:rPr>
      </w:pPr>
    </w:p>
    <w:p w:rsidR="00B55718" w:rsidRPr="00C75C7E" w:rsidRDefault="00033E8A" w:rsidP="00F21127">
      <w:pPr>
        <w:keepNext/>
        <w:widowControl w:val="0"/>
        <w:autoSpaceDE w:val="0"/>
        <w:autoSpaceDN w:val="0"/>
        <w:adjustRightInd w:val="0"/>
        <w:jc w:val="center"/>
        <w:rPr>
          <w:b/>
          <w:bCs/>
          <w:iCs/>
          <w:sz w:val="20"/>
          <w:lang w:val="es-ES_tradnl"/>
        </w:rPr>
      </w:pPr>
      <w:r>
        <w:rPr>
          <w:b/>
          <w:bCs/>
          <w:iCs/>
          <w:sz w:val="20"/>
          <w:lang w:val="es-ES_tradnl"/>
        </w:rPr>
        <w:t xml:space="preserve">Programa 17:  </w:t>
      </w:r>
      <w:r w:rsidR="00B55718" w:rsidRPr="00C75C7E">
        <w:rPr>
          <w:b/>
          <w:bCs/>
          <w:iCs/>
          <w:sz w:val="20"/>
          <w:lang w:val="es-ES_tradnl"/>
        </w:rPr>
        <w:t>Recursos por objeto de gasto</w:t>
      </w:r>
    </w:p>
    <w:p w:rsidR="00B55718" w:rsidRPr="00C75C7E" w:rsidRDefault="00B55718" w:rsidP="00F21127">
      <w:pPr>
        <w:keepNext/>
        <w:widowControl w:val="0"/>
        <w:autoSpaceDE w:val="0"/>
        <w:autoSpaceDN w:val="0"/>
        <w:adjustRightInd w:val="0"/>
        <w:jc w:val="center"/>
        <w:rPr>
          <w:bCs/>
          <w:i/>
          <w:sz w:val="20"/>
          <w:lang w:val="es-ES_tradnl"/>
        </w:rPr>
      </w:pPr>
      <w:r w:rsidRPr="00C75C7E">
        <w:rPr>
          <w:bCs/>
          <w:i/>
          <w:sz w:val="20"/>
          <w:lang w:val="es-ES_tradnl"/>
        </w:rPr>
        <w:t>(en miles de francos suizos)</w:t>
      </w:r>
    </w:p>
    <w:p w:rsidR="00B55718" w:rsidRDefault="00B55718" w:rsidP="00F21127">
      <w:pPr>
        <w:keepNext/>
        <w:widowControl w:val="0"/>
        <w:jc w:val="center"/>
        <w:rPr>
          <w:i/>
          <w:sz w:val="18"/>
          <w:szCs w:val="18"/>
          <w:lang w:val="es-ES_tradnl"/>
        </w:rPr>
      </w:pPr>
    </w:p>
    <w:p w:rsidR="001E5683" w:rsidRPr="00C75C7E" w:rsidRDefault="00C40A11" w:rsidP="00F21127">
      <w:pPr>
        <w:keepNext/>
        <w:widowControl w:val="0"/>
        <w:jc w:val="center"/>
        <w:rPr>
          <w:i/>
          <w:sz w:val="18"/>
          <w:szCs w:val="18"/>
          <w:lang w:val="es-ES_tradnl"/>
        </w:rPr>
      </w:pPr>
      <w:r>
        <w:rPr>
          <w:noProof/>
          <w:lang w:val="en-US" w:eastAsia="en-US"/>
        </w:rPr>
        <w:drawing>
          <wp:inline distT="0" distB="0" distL="0" distR="0" wp14:anchorId="4A752030" wp14:editId="0A60B4B9">
            <wp:extent cx="5936615" cy="5739130"/>
            <wp:effectExtent l="0" t="0" r="6985"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936615" cy="5739130"/>
                    </a:xfrm>
                    <a:prstGeom prst="rect">
                      <a:avLst/>
                    </a:prstGeom>
                    <a:noFill/>
                    <a:ln>
                      <a:noFill/>
                    </a:ln>
                  </pic:spPr>
                </pic:pic>
              </a:graphicData>
            </a:graphic>
          </wp:inline>
        </w:drawing>
      </w:r>
    </w:p>
    <w:p w:rsidR="00B55718" w:rsidRPr="00C75C7E" w:rsidRDefault="00B55718" w:rsidP="00B55718">
      <w:pPr>
        <w:widowControl w:val="0"/>
        <w:rPr>
          <w:sz w:val="16"/>
          <w:szCs w:val="16"/>
          <w:lang w:val="es-ES_tradnl"/>
        </w:rPr>
      </w:pPr>
    </w:p>
    <w:p w:rsidR="00B55718" w:rsidRPr="00C75C7E" w:rsidRDefault="00B55718" w:rsidP="00B55718">
      <w:pPr>
        <w:widowControl w:val="0"/>
        <w:rPr>
          <w:sz w:val="16"/>
          <w:szCs w:val="16"/>
          <w:lang w:val="es-ES_tradnl"/>
        </w:rPr>
      </w:pPr>
      <w:r w:rsidRPr="00C75C7E">
        <w:rPr>
          <w:sz w:val="16"/>
          <w:szCs w:val="16"/>
          <w:lang w:val="es-ES_tradnl"/>
        </w:rPr>
        <w:t>Notas:</w:t>
      </w:r>
    </w:p>
    <w:p w:rsidR="00B55718" w:rsidRPr="00C75C7E" w:rsidRDefault="00B55718" w:rsidP="00B55718">
      <w:pPr>
        <w:widowControl w:val="0"/>
        <w:rPr>
          <w:sz w:val="16"/>
          <w:szCs w:val="16"/>
          <w:u w:val="single"/>
          <w:lang w:val="es-ES_tradnl"/>
        </w:rPr>
      </w:pPr>
    </w:p>
    <w:p w:rsidR="00B55718" w:rsidRDefault="00245B46" w:rsidP="00B55718">
      <w:pPr>
        <w:widowControl w:val="0"/>
        <w:tabs>
          <w:tab w:val="left" w:pos="567"/>
        </w:tabs>
        <w:rPr>
          <w:sz w:val="16"/>
          <w:szCs w:val="16"/>
          <w:lang w:val="es-ES_tradnl"/>
        </w:rPr>
      </w:pPr>
      <w:r>
        <w:rPr>
          <w:sz w:val="16"/>
          <w:szCs w:val="16"/>
          <w:lang w:val="es-ES_tradnl"/>
        </w:rPr>
        <w:t xml:space="preserve">1)  </w:t>
      </w:r>
      <w:r w:rsidR="00B55718" w:rsidRPr="00C75C7E">
        <w:rPr>
          <w:sz w:val="16"/>
          <w:szCs w:val="16"/>
          <w:lang w:val="es-ES_tradnl"/>
        </w:rPr>
        <w:t>El presupuesto aprobado de 2012/13 y el presupuesto de dicho bienio después de las transferencias se reexpresan sobre la base de la estructura de categorías de costos propuesta para 2014/15.</w:t>
      </w:r>
    </w:p>
    <w:p w:rsidR="00B55718" w:rsidRPr="00C75C7E" w:rsidRDefault="00B55718" w:rsidP="00B55718">
      <w:pPr>
        <w:widowControl w:val="0"/>
        <w:tabs>
          <w:tab w:val="left" w:pos="567"/>
        </w:tabs>
        <w:rPr>
          <w:sz w:val="16"/>
          <w:szCs w:val="16"/>
          <w:lang w:val="es-ES_tradnl"/>
        </w:rPr>
      </w:pPr>
    </w:p>
    <w:p w:rsidR="00B55718" w:rsidRDefault="00B55718" w:rsidP="00B55718">
      <w:pPr>
        <w:widowControl w:val="0"/>
        <w:tabs>
          <w:tab w:val="left" w:pos="567"/>
        </w:tabs>
        <w:rPr>
          <w:rFonts w:cs="ArialMT"/>
          <w:sz w:val="16"/>
          <w:szCs w:val="16"/>
          <w:lang w:val="es-ES_tradnl"/>
        </w:rPr>
      </w:pPr>
      <w:r>
        <w:rPr>
          <w:sz w:val="16"/>
          <w:szCs w:val="16"/>
          <w:lang w:val="es-ES_tradnl"/>
        </w:rPr>
        <w:t>2)</w:t>
      </w:r>
      <w:r w:rsidR="00245B46">
        <w:rPr>
          <w:sz w:val="16"/>
          <w:szCs w:val="16"/>
          <w:lang w:val="es-ES_tradnl"/>
        </w:rPr>
        <w:t xml:space="preserve">  </w:t>
      </w:r>
      <w:r w:rsidRPr="00C75C7E">
        <w:rPr>
          <w:sz w:val="16"/>
          <w:szCs w:val="16"/>
          <w:lang w:val="es-ES_tradnl"/>
        </w:rPr>
        <w:t>El presupuesto después de las transferencias refleja el presupuesto de los programas ajustado tras las transferencias efectuadas en 2012/13 en virtud del artículo 5.5 del Reglamento Financiero. Para más información sobre el presupuesto de</w:t>
      </w:r>
      <w:r w:rsidR="00D86F03">
        <w:rPr>
          <w:sz w:val="16"/>
          <w:szCs w:val="16"/>
          <w:lang w:val="es-ES_tradnl"/>
        </w:rPr>
        <w:t> </w:t>
      </w:r>
      <w:r w:rsidRPr="00C75C7E">
        <w:rPr>
          <w:sz w:val="16"/>
          <w:szCs w:val="16"/>
          <w:lang w:val="es-ES_tradnl"/>
        </w:rPr>
        <w:t xml:space="preserve">2012/13 después de las transferencias, cabe remitirse al cuadro que figura en el Anexo I (Presupuesto después de las transferencias, por programa) del presente documento y al documento WO/PBC/20/2 (Informe sobre el rendimiento de los programas en 2012).  </w:t>
      </w:r>
      <w:r w:rsidRPr="00C75C7E">
        <w:rPr>
          <w:rFonts w:cs="ArialMT"/>
          <w:sz w:val="16"/>
          <w:szCs w:val="16"/>
          <w:lang w:val="es-ES_tradnl"/>
        </w:rPr>
        <w:t xml:space="preserve">Los costos de personal del presupuesto de 2012/13 después de las transferencias representan los gastos reales efectuados hasta el 31 de marzo de 2013 y los importes presupuestados para los nueve meses restantes de 2013, sobre la base de costos estándar. </w:t>
      </w:r>
    </w:p>
    <w:p w:rsidR="00B55718" w:rsidRPr="00C75C7E" w:rsidRDefault="00B55718" w:rsidP="00B55718">
      <w:pPr>
        <w:widowControl w:val="0"/>
        <w:tabs>
          <w:tab w:val="left" w:pos="567"/>
        </w:tabs>
        <w:rPr>
          <w:sz w:val="16"/>
          <w:szCs w:val="16"/>
          <w:lang w:val="es-ES_tradnl"/>
        </w:rPr>
      </w:pPr>
    </w:p>
    <w:p w:rsidR="00B55718" w:rsidRPr="00C75C7E" w:rsidRDefault="00B55718" w:rsidP="00B55718">
      <w:pPr>
        <w:widowControl w:val="0"/>
        <w:tabs>
          <w:tab w:val="left" w:pos="567"/>
        </w:tabs>
        <w:rPr>
          <w:sz w:val="16"/>
          <w:szCs w:val="16"/>
          <w:lang w:val="es-ES_tradnl"/>
        </w:rPr>
      </w:pPr>
      <w:r>
        <w:rPr>
          <w:sz w:val="16"/>
          <w:szCs w:val="16"/>
          <w:lang w:val="es-ES_tradnl"/>
        </w:rPr>
        <w:t>3)</w:t>
      </w:r>
      <w:r w:rsidR="00245B46">
        <w:rPr>
          <w:sz w:val="16"/>
          <w:szCs w:val="16"/>
          <w:lang w:val="es-ES_tradnl"/>
        </w:rPr>
        <w:t xml:space="preserve">  </w:t>
      </w:r>
      <w:r w:rsidRPr="00C75C7E">
        <w:rPr>
          <w:sz w:val="16"/>
          <w:szCs w:val="16"/>
          <w:lang w:val="es-ES_tradnl"/>
        </w:rPr>
        <w:t>Para más información sobre los puestos del programa cabe remitirse al cuadro que figura en el Anexo II.</w:t>
      </w:r>
    </w:p>
    <w:p w:rsidR="005B4A50" w:rsidRPr="00B55718" w:rsidRDefault="005B4A50">
      <w:pPr>
        <w:rPr>
          <w:sz w:val="20"/>
          <w:lang w:val="es-ES_tradnl"/>
        </w:rPr>
      </w:pPr>
    </w:p>
    <w:p w:rsidR="005B4A50" w:rsidRDefault="005B4A50" w:rsidP="003E638B">
      <w:pPr>
        <w:rPr>
          <w:sz w:val="20"/>
        </w:rPr>
      </w:pPr>
    </w:p>
    <w:p w:rsidR="003221FD" w:rsidRDefault="003221FD" w:rsidP="003E638B">
      <w:pPr>
        <w:rPr>
          <w:sz w:val="20"/>
        </w:rPr>
      </w:pPr>
    </w:p>
    <w:p w:rsidR="003221FD" w:rsidRDefault="003221FD" w:rsidP="003E638B">
      <w:pPr>
        <w:rPr>
          <w:sz w:val="20"/>
        </w:rPr>
        <w:sectPr w:rsidR="003221FD" w:rsidSect="00FF362A">
          <w:headerReference w:type="even" r:id="rId99"/>
          <w:headerReference w:type="default" r:id="rId100"/>
          <w:headerReference w:type="first" r:id="rId101"/>
          <w:pgSz w:w="11907" w:h="16840" w:code="9"/>
          <w:pgMar w:top="567" w:right="1134" w:bottom="1418" w:left="1418" w:header="510" w:footer="1021" w:gutter="0"/>
          <w:cols w:space="720"/>
          <w:titlePg/>
        </w:sectPr>
      </w:pPr>
    </w:p>
    <w:p w:rsidR="00033E8A" w:rsidRDefault="006A15F5" w:rsidP="00F21127">
      <w:pPr>
        <w:pStyle w:val="Heading2"/>
        <w:jc w:val="center"/>
        <w:rPr>
          <w:b/>
          <w:caps w:val="0"/>
          <w:sz w:val="24"/>
          <w:szCs w:val="24"/>
          <w:lang w:val="es-ES_tradnl" w:eastAsia="da-DK"/>
        </w:rPr>
      </w:pPr>
      <w:bookmarkStart w:id="64" w:name="_Toc356567770"/>
      <w:bookmarkStart w:id="65" w:name="_Toc358816708"/>
      <w:r w:rsidRPr="002709AA">
        <w:rPr>
          <w:b/>
          <w:caps w:val="0"/>
          <w:sz w:val="24"/>
          <w:szCs w:val="24"/>
          <w:lang w:val="es-ES_tradnl" w:eastAsia="da-DK"/>
        </w:rPr>
        <w:lastRenderedPageBreak/>
        <w:t>META ESTRATÉGICA VII</w:t>
      </w:r>
    </w:p>
    <w:p w:rsidR="009E7719" w:rsidRPr="002709AA" w:rsidRDefault="006A15F5" w:rsidP="00F21127">
      <w:pPr>
        <w:pStyle w:val="Heading2"/>
        <w:jc w:val="center"/>
        <w:rPr>
          <w:b/>
          <w:sz w:val="24"/>
          <w:szCs w:val="24"/>
          <w:lang w:val="es-ES_tradnl" w:eastAsia="da-DK"/>
        </w:rPr>
      </w:pPr>
      <w:r w:rsidRPr="002709AA">
        <w:rPr>
          <w:b/>
          <w:caps w:val="0"/>
          <w:sz w:val="24"/>
          <w:szCs w:val="24"/>
          <w:lang w:val="es-ES_tradnl" w:eastAsia="da-DK"/>
        </w:rPr>
        <w:t>VÍNCULOS ENTRE L</w:t>
      </w:r>
      <w:r>
        <w:rPr>
          <w:b/>
          <w:caps w:val="0"/>
          <w:sz w:val="24"/>
          <w:szCs w:val="24"/>
          <w:lang w:val="es-ES_tradnl" w:eastAsia="da-DK"/>
        </w:rPr>
        <w:t>A P.I. Y LOS PROBLEMAS</w:t>
      </w:r>
      <w:r w:rsidRPr="002709AA">
        <w:rPr>
          <w:b/>
          <w:caps w:val="0"/>
          <w:sz w:val="24"/>
          <w:szCs w:val="24"/>
          <w:lang w:val="es-ES_tradnl" w:eastAsia="da-DK"/>
        </w:rPr>
        <w:t xml:space="preserve"> MUNDIALES</w:t>
      </w:r>
      <w:r w:rsidRPr="002709AA">
        <w:rPr>
          <w:b/>
          <w:caps w:val="0"/>
          <w:sz w:val="24"/>
          <w:szCs w:val="24"/>
          <w:lang w:val="es-ES_tradnl" w:eastAsia="da-DK"/>
        </w:rPr>
        <w:br/>
        <w:t>DE POLÍTICA PÚBLICA</w:t>
      </w:r>
      <w:bookmarkEnd w:id="64"/>
      <w:bookmarkEnd w:id="65"/>
      <w:r w:rsidRPr="002709AA">
        <w:rPr>
          <w:b/>
          <w:caps w:val="0"/>
          <w:sz w:val="24"/>
          <w:szCs w:val="24"/>
          <w:lang w:val="es-ES_tradnl" w:eastAsia="da-DK"/>
        </w:rPr>
        <w:t xml:space="preserve"> </w:t>
      </w:r>
    </w:p>
    <w:p w:rsidR="009E7719" w:rsidRPr="00E70227" w:rsidRDefault="009E7719" w:rsidP="006A15F5">
      <w:pPr>
        <w:rPr>
          <w:sz w:val="20"/>
          <w:lang w:val="es-ES_tradnl"/>
        </w:rPr>
      </w:pPr>
    </w:p>
    <w:p w:rsidR="009E7719" w:rsidRPr="00E70227" w:rsidRDefault="009E7719" w:rsidP="006A15F5">
      <w:pPr>
        <w:rPr>
          <w:b/>
          <w:bCs/>
          <w:sz w:val="20"/>
          <w:lang w:val="es-ES_tradnl"/>
        </w:rPr>
      </w:pPr>
    </w:p>
    <w:p w:rsidR="009E7719" w:rsidRPr="00AD1E8B" w:rsidRDefault="009E7719" w:rsidP="009E7719">
      <w:pPr>
        <w:widowControl w:val="0"/>
        <w:jc w:val="both"/>
        <w:rPr>
          <w:bCs/>
          <w:i/>
          <w:iCs/>
          <w:caps/>
          <w:szCs w:val="24"/>
          <w:lang w:val="es-ES_tradnl"/>
        </w:rPr>
      </w:pPr>
      <w:r w:rsidRPr="00AD1E8B">
        <w:rPr>
          <w:sz w:val="20"/>
          <w:lang w:val="es-ES_tradnl"/>
        </w:rPr>
        <w:t xml:space="preserve">Esta meta estratégica es reflejo del potencial de la OMPI para convertirse en el principal foro intergubernamental de debate acerca de la interrelación de la P.I., la innovación y las cuestiones mundiales de política pública.  En ella está implícito un compromiso firme y fundamental con otros organismos de las NN.UU., organismos intergubernamentales y no gubernamentales con el fin de contribuir a una búsqueda compartida de soluciones para los principales problemas con que se enfrenta la </w:t>
      </w:r>
      <w:r w:rsidR="00D86F03" w:rsidRPr="00AD1E8B">
        <w:rPr>
          <w:sz w:val="20"/>
          <w:lang w:val="es-ES_tradnl"/>
        </w:rPr>
        <w:t>humanidad</w:t>
      </w:r>
      <w:r w:rsidRPr="00AD1E8B">
        <w:rPr>
          <w:sz w:val="20"/>
          <w:lang w:val="es-ES_tradnl"/>
        </w:rPr>
        <w:t xml:space="preserve">, como el cambio climático, la seguridad alimentaria, la salud pública, la protección de la biodiversidad y el cumplimiento de los Objetivos de </w:t>
      </w:r>
      <w:r>
        <w:rPr>
          <w:sz w:val="20"/>
          <w:lang w:val="es-ES_tradnl"/>
        </w:rPr>
        <w:t>desa</w:t>
      </w:r>
      <w:r w:rsidRPr="00AD1E8B">
        <w:rPr>
          <w:sz w:val="20"/>
          <w:lang w:val="es-ES_tradnl"/>
        </w:rPr>
        <w:t xml:space="preserve">rrollo del </w:t>
      </w:r>
      <w:r>
        <w:rPr>
          <w:sz w:val="20"/>
          <w:lang w:val="es-ES_tradnl"/>
        </w:rPr>
        <w:t>m</w:t>
      </w:r>
      <w:r w:rsidRPr="00AD1E8B">
        <w:rPr>
          <w:sz w:val="20"/>
          <w:lang w:val="es-ES_tradnl"/>
        </w:rPr>
        <w:t>ilenio.  Gran número de esos problemas mundiales afectan muy particularmente a los países en desarrollo y a los países menos adelantados (PMA), por lo que los programas que se lleven a cabo en el marco de esta meta estratégica estarán particularmente centrados en la consecución de determinados objetivos y recomendaciones de la Agenda para el  Desarrollo.</w:t>
      </w:r>
    </w:p>
    <w:p w:rsidR="009E7719" w:rsidRPr="00AD1E8B" w:rsidRDefault="009E7719" w:rsidP="009E7719">
      <w:pPr>
        <w:widowControl w:val="0"/>
        <w:tabs>
          <w:tab w:val="left" w:pos="0"/>
        </w:tabs>
        <w:rPr>
          <w:sz w:val="20"/>
          <w:lang w:val="es-ES_tradnl"/>
        </w:rPr>
      </w:pPr>
    </w:p>
    <w:tbl>
      <w:tblPr>
        <w:tblW w:w="4888"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451"/>
        <w:gridCol w:w="3230"/>
        <w:gridCol w:w="2676"/>
      </w:tblGrid>
      <w:tr w:rsidR="00573458" w:rsidRPr="00C75C7E" w:rsidTr="00E70227">
        <w:trPr>
          <w:cantSplit/>
          <w:tblHeader/>
        </w:trPr>
        <w:tc>
          <w:tcPr>
            <w:tcW w:w="1844" w:type="pct"/>
            <w:tcBorders>
              <w:top w:val="single" w:sz="4" w:space="0" w:color="auto"/>
              <w:bottom w:val="single" w:sz="4" w:space="0" w:color="auto"/>
            </w:tcBorders>
            <w:shd w:val="clear" w:color="auto" w:fill="CCFFFF"/>
            <w:tcMar>
              <w:top w:w="113" w:type="dxa"/>
              <w:bottom w:w="85" w:type="dxa"/>
            </w:tcMar>
            <w:vAlign w:val="center"/>
          </w:tcPr>
          <w:p w:rsidR="00573458" w:rsidRPr="00C75C7E" w:rsidRDefault="00573458" w:rsidP="008F4F69">
            <w:pPr>
              <w:widowControl w:val="0"/>
              <w:spacing w:after="120"/>
              <w:jc w:val="center"/>
              <w:rPr>
                <w:b/>
                <w:bCs/>
                <w:sz w:val="18"/>
                <w:szCs w:val="18"/>
                <w:lang w:val="es-ES_tradnl"/>
              </w:rPr>
            </w:pPr>
            <w:r w:rsidRPr="00C75C7E">
              <w:rPr>
                <w:b/>
                <w:bCs/>
                <w:sz w:val="18"/>
                <w:szCs w:val="18"/>
                <w:lang w:val="es-ES_tradnl"/>
              </w:rPr>
              <w:t>Resultados previstos</w:t>
            </w:r>
          </w:p>
        </w:tc>
        <w:tc>
          <w:tcPr>
            <w:tcW w:w="1726" w:type="pct"/>
            <w:tcBorders>
              <w:top w:val="single" w:sz="4" w:space="0" w:color="auto"/>
              <w:bottom w:val="single" w:sz="4" w:space="0" w:color="auto"/>
            </w:tcBorders>
            <w:shd w:val="clear" w:color="auto" w:fill="CCFFFF"/>
            <w:tcMar>
              <w:top w:w="113" w:type="dxa"/>
              <w:bottom w:w="85" w:type="dxa"/>
            </w:tcMar>
            <w:vAlign w:val="center"/>
          </w:tcPr>
          <w:p w:rsidR="00573458" w:rsidRPr="00C75C7E" w:rsidRDefault="00573458" w:rsidP="008F4F69">
            <w:pPr>
              <w:widowControl w:val="0"/>
              <w:spacing w:after="120"/>
              <w:jc w:val="center"/>
              <w:rPr>
                <w:b/>
                <w:sz w:val="18"/>
                <w:szCs w:val="18"/>
                <w:lang w:val="es-ES_tradnl"/>
              </w:rPr>
            </w:pPr>
            <w:r w:rsidRPr="00C75C7E">
              <w:rPr>
                <w:b/>
                <w:sz w:val="18"/>
                <w:szCs w:val="18"/>
                <w:lang w:val="es-ES_tradnl"/>
              </w:rPr>
              <w:t>Indicadores de rendimiento</w:t>
            </w:r>
          </w:p>
        </w:tc>
        <w:tc>
          <w:tcPr>
            <w:tcW w:w="1431" w:type="pct"/>
            <w:tcBorders>
              <w:top w:val="single" w:sz="4" w:space="0" w:color="auto"/>
              <w:bottom w:val="single" w:sz="4" w:space="0" w:color="auto"/>
            </w:tcBorders>
            <w:shd w:val="clear" w:color="auto" w:fill="CCFFFF"/>
            <w:tcMar>
              <w:top w:w="113" w:type="dxa"/>
              <w:bottom w:w="85" w:type="dxa"/>
            </w:tcMar>
            <w:vAlign w:val="center"/>
          </w:tcPr>
          <w:p w:rsidR="00573458" w:rsidRPr="00C75C7E" w:rsidRDefault="00573458" w:rsidP="008F4F69">
            <w:pPr>
              <w:widowControl w:val="0"/>
              <w:spacing w:after="120"/>
              <w:ind w:left="85"/>
              <w:jc w:val="center"/>
              <w:rPr>
                <w:sz w:val="18"/>
                <w:szCs w:val="18"/>
                <w:lang w:val="es-ES_tradnl"/>
              </w:rPr>
            </w:pPr>
            <w:r w:rsidRPr="00C75C7E">
              <w:rPr>
                <w:b/>
                <w:bCs/>
                <w:sz w:val="18"/>
                <w:szCs w:val="18"/>
                <w:lang w:val="es-ES_tradnl"/>
              </w:rPr>
              <w:t>Programas responsables</w:t>
            </w:r>
          </w:p>
        </w:tc>
      </w:tr>
      <w:tr w:rsidR="00573458" w:rsidRPr="00C75C7E" w:rsidTr="00E70227">
        <w:trPr>
          <w:cantSplit/>
        </w:trPr>
        <w:tc>
          <w:tcPr>
            <w:tcW w:w="1844" w:type="pct"/>
            <w:tcBorders>
              <w:top w:val="nil"/>
            </w:tcBorders>
            <w:shd w:val="clear" w:color="auto" w:fill="auto"/>
            <w:tcMar>
              <w:top w:w="113" w:type="dxa"/>
              <w:bottom w:w="85" w:type="dxa"/>
            </w:tcMar>
          </w:tcPr>
          <w:p w:rsidR="00573458" w:rsidRPr="00C75C7E" w:rsidRDefault="00573458" w:rsidP="00033E8A">
            <w:pPr>
              <w:widowControl w:val="0"/>
              <w:rPr>
                <w:sz w:val="16"/>
                <w:szCs w:val="16"/>
                <w:lang w:val="es-ES_tradnl"/>
              </w:rPr>
            </w:pPr>
            <w:r w:rsidRPr="00C75C7E">
              <w:rPr>
                <w:sz w:val="16"/>
                <w:szCs w:val="16"/>
                <w:lang w:val="es-ES_tradnl"/>
              </w:rPr>
              <w:t>VII.2</w:t>
            </w:r>
            <w:r w:rsidR="00033E8A">
              <w:rPr>
                <w:sz w:val="16"/>
                <w:szCs w:val="16"/>
                <w:lang w:val="es-ES_tradnl"/>
              </w:rPr>
              <w:t xml:space="preserve"> </w:t>
            </w:r>
            <w:r w:rsidRPr="00C75C7E">
              <w:rPr>
                <w:sz w:val="16"/>
                <w:szCs w:val="16"/>
                <w:lang w:val="es-ES_tradnl"/>
              </w:rPr>
              <w:t xml:space="preserve"> </w:t>
            </w:r>
            <w:r w:rsidR="00033E8A" w:rsidRPr="00033E8A">
              <w:rPr>
                <w:sz w:val="16"/>
                <w:szCs w:val="16"/>
                <w:lang w:val="es-ES_tradnl"/>
              </w:rPr>
              <w:t>Plataformas y herramientas de P.I. utilizadas para la transferencia de conocimiento y la difusión y adaptación de tecnología de los países desarrollados en los países en desarrollo, en particular en los menos adelantados, con el fin de atender los desafíos mundiales</w:t>
            </w:r>
            <w:r w:rsidR="00033E8A">
              <w:rPr>
                <w:sz w:val="16"/>
                <w:szCs w:val="16"/>
                <w:lang w:val="es-ES_tradnl"/>
              </w:rPr>
              <w:t>.</w:t>
            </w:r>
          </w:p>
        </w:tc>
        <w:tc>
          <w:tcPr>
            <w:tcW w:w="1726" w:type="pct"/>
            <w:tcBorders>
              <w:top w:val="nil"/>
            </w:tcBorders>
            <w:shd w:val="clear" w:color="auto" w:fill="auto"/>
            <w:tcMar>
              <w:top w:w="113" w:type="dxa"/>
              <w:bottom w:w="85" w:type="dxa"/>
            </w:tcMar>
          </w:tcPr>
          <w:p w:rsidR="00573458" w:rsidRPr="00C75C7E" w:rsidRDefault="00573458" w:rsidP="008F4F69">
            <w:pPr>
              <w:widowControl w:val="0"/>
              <w:rPr>
                <w:sz w:val="16"/>
                <w:szCs w:val="16"/>
                <w:lang w:val="es-ES_tradnl"/>
              </w:rPr>
            </w:pPr>
            <w:r w:rsidRPr="00C75C7E">
              <w:rPr>
                <w:sz w:val="16"/>
                <w:szCs w:val="16"/>
                <w:lang w:val="es-ES_tradnl"/>
              </w:rPr>
              <w:t>Aumento del número de miembros de WIPO Re:Search, incluidos los procedentes de países en desarrollo y PMA.</w:t>
            </w:r>
          </w:p>
        </w:tc>
        <w:tc>
          <w:tcPr>
            <w:tcW w:w="1431" w:type="pct"/>
            <w:tcBorders>
              <w:top w:val="nil"/>
            </w:tcBorders>
            <w:shd w:val="clear" w:color="auto" w:fill="FFFFFF"/>
            <w:tcMar>
              <w:top w:w="113" w:type="dxa"/>
              <w:bottom w:w="85" w:type="dxa"/>
            </w:tcMar>
          </w:tcPr>
          <w:p w:rsidR="00573458" w:rsidRPr="00C75C7E" w:rsidRDefault="00573458" w:rsidP="008F4F69">
            <w:pPr>
              <w:widowControl w:val="0"/>
              <w:ind w:left="661"/>
              <w:rPr>
                <w:sz w:val="16"/>
                <w:szCs w:val="16"/>
                <w:lang w:val="es-ES_tradnl"/>
              </w:rPr>
            </w:pPr>
            <w:r w:rsidRPr="00C75C7E">
              <w:rPr>
                <w:sz w:val="16"/>
                <w:szCs w:val="16"/>
                <w:lang w:val="es-ES_tradnl" w:bidi="th-TH"/>
              </w:rPr>
              <w:t>Programa  18</w:t>
            </w:r>
          </w:p>
        </w:tc>
      </w:tr>
      <w:tr w:rsidR="00573458" w:rsidRPr="00C75C7E" w:rsidTr="00E70227">
        <w:trPr>
          <w:cantSplit/>
          <w:trHeight w:val="357"/>
        </w:trPr>
        <w:tc>
          <w:tcPr>
            <w:tcW w:w="1844" w:type="pct"/>
            <w:shd w:val="clear" w:color="auto" w:fill="auto"/>
            <w:tcMar>
              <w:top w:w="113" w:type="dxa"/>
              <w:bottom w:w="85" w:type="dxa"/>
            </w:tcMar>
          </w:tcPr>
          <w:p w:rsidR="00573458" w:rsidRPr="00C75C7E" w:rsidRDefault="00573458" w:rsidP="008F4F69">
            <w:pPr>
              <w:widowControl w:val="0"/>
              <w:rPr>
                <w:sz w:val="16"/>
                <w:szCs w:val="16"/>
                <w:lang w:val="es-ES_tradnl"/>
              </w:rPr>
            </w:pPr>
          </w:p>
        </w:tc>
        <w:tc>
          <w:tcPr>
            <w:tcW w:w="1726" w:type="pct"/>
            <w:shd w:val="clear" w:color="auto" w:fill="auto"/>
            <w:tcMar>
              <w:top w:w="113" w:type="dxa"/>
              <w:bottom w:w="85" w:type="dxa"/>
            </w:tcMar>
          </w:tcPr>
          <w:p w:rsidR="00573458" w:rsidRPr="00C75C7E" w:rsidRDefault="00573458" w:rsidP="008F4F69">
            <w:pPr>
              <w:widowControl w:val="0"/>
              <w:rPr>
                <w:sz w:val="16"/>
                <w:szCs w:val="16"/>
                <w:lang w:val="es-ES_tradnl"/>
              </w:rPr>
            </w:pPr>
            <w:r w:rsidRPr="00C75C7E">
              <w:rPr>
                <w:sz w:val="16"/>
                <w:szCs w:val="16"/>
                <w:lang w:val="es-ES_tradnl"/>
              </w:rPr>
              <w:t>Aumento de las contribuciones a la base de datos de WIPO Re:Search.</w:t>
            </w:r>
          </w:p>
        </w:tc>
        <w:tc>
          <w:tcPr>
            <w:tcW w:w="1431" w:type="pct"/>
            <w:shd w:val="clear" w:color="auto" w:fill="FFFFFF"/>
            <w:tcMar>
              <w:top w:w="113" w:type="dxa"/>
              <w:bottom w:w="85" w:type="dxa"/>
            </w:tcMar>
          </w:tcPr>
          <w:p w:rsidR="00573458" w:rsidRPr="00C75C7E" w:rsidRDefault="00573458" w:rsidP="008F4F69">
            <w:pPr>
              <w:widowControl w:val="0"/>
              <w:ind w:left="661"/>
              <w:rPr>
                <w:sz w:val="16"/>
                <w:szCs w:val="16"/>
                <w:lang w:val="es-ES_tradnl"/>
              </w:rPr>
            </w:pPr>
            <w:r w:rsidRPr="00C75C7E">
              <w:rPr>
                <w:sz w:val="16"/>
                <w:szCs w:val="16"/>
                <w:lang w:val="es-ES_tradnl" w:bidi="th-TH"/>
              </w:rPr>
              <w:t>Programa  18</w:t>
            </w:r>
          </w:p>
        </w:tc>
      </w:tr>
      <w:tr w:rsidR="00573458" w:rsidRPr="00C75C7E" w:rsidTr="00E70227">
        <w:trPr>
          <w:cantSplit/>
        </w:trPr>
        <w:tc>
          <w:tcPr>
            <w:tcW w:w="1844" w:type="pct"/>
            <w:shd w:val="clear" w:color="auto" w:fill="auto"/>
            <w:tcMar>
              <w:top w:w="113" w:type="dxa"/>
              <w:bottom w:w="85" w:type="dxa"/>
            </w:tcMar>
          </w:tcPr>
          <w:p w:rsidR="00573458" w:rsidRPr="00C75C7E" w:rsidRDefault="00573458" w:rsidP="008F4F69">
            <w:pPr>
              <w:widowControl w:val="0"/>
              <w:rPr>
                <w:sz w:val="16"/>
                <w:szCs w:val="16"/>
                <w:lang w:val="es-ES_tradnl"/>
              </w:rPr>
            </w:pPr>
          </w:p>
        </w:tc>
        <w:tc>
          <w:tcPr>
            <w:tcW w:w="1726" w:type="pct"/>
            <w:shd w:val="clear" w:color="auto" w:fill="auto"/>
            <w:tcMar>
              <w:top w:w="113" w:type="dxa"/>
              <w:bottom w:w="85" w:type="dxa"/>
            </w:tcMar>
          </w:tcPr>
          <w:p w:rsidR="00573458" w:rsidRPr="00C75C7E" w:rsidRDefault="00573458" w:rsidP="008F4F69">
            <w:pPr>
              <w:widowControl w:val="0"/>
              <w:rPr>
                <w:sz w:val="16"/>
                <w:szCs w:val="16"/>
                <w:lang w:val="es-ES_tradnl"/>
              </w:rPr>
            </w:pPr>
            <w:r w:rsidRPr="00C75C7E">
              <w:rPr>
                <w:sz w:val="16"/>
                <w:szCs w:val="16"/>
                <w:lang w:val="es-ES_tradnl"/>
              </w:rPr>
              <w:t>Aumento del número de acuerdos suscrito</w:t>
            </w:r>
            <w:r w:rsidR="00E774FD">
              <w:rPr>
                <w:sz w:val="16"/>
                <w:szCs w:val="16"/>
                <w:lang w:val="es-ES_tradnl"/>
              </w:rPr>
              <w:t xml:space="preserve">s en el marco de WIPO Re:Search que conducen a nuevas </w:t>
            </w:r>
            <w:r w:rsidR="00E70227">
              <w:rPr>
                <w:sz w:val="16"/>
                <w:szCs w:val="16"/>
                <w:lang w:val="es-ES_tradnl"/>
              </w:rPr>
              <w:t>actividades de I+D, o a un aceleramiento de las mismas, en enfermedades tropicales desatendidas, paludismo y tuberculosis.</w:t>
            </w:r>
          </w:p>
        </w:tc>
        <w:tc>
          <w:tcPr>
            <w:tcW w:w="1431" w:type="pct"/>
            <w:shd w:val="clear" w:color="auto" w:fill="FFFFFF"/>
            <w:tcMar>
              <w:top w:w="113" w:type="dxa"/>
              <w:bottom w:w="85" w:type="dxa"/>
            </w:tcMar>
          </w:tcPr>
          <w:p w:rsidR="00573458" w:rsidRPr="00C75C7E" w:rsidRDefault="00573458" w:rsidP="008F4F69">
            <w:pPr>
              <w:widowControl w:val="0"/>
              <w:ind w:left="661"/>
              <w:rPr>
                <w:sz w:val="16"/>
                <w:szCs w:val="16"/>
                <w:lang w:val="es-ES_tradnl"/>
              </w:rPr>
            </w:pPr>
            <w:r w:rsidRPr="00C75C7E">
              <w:rPr>
                <w:sz w:val="16"/>
                <w:szCs w:val="16"/>
                <w:lang w:val="es-ES_tradnl" w:bidi="th-TH"/>
              </w:rPr>
              <w:t>Programa  18</w:t>
            </w:r>
          </w:p>
        </w:tc>
      </w:tr>
      <w:tr w:rsidR="00573458" w:rsidRPr="00C75C7E" w:rsidTr="00E70227">
        <w:trPr>
          <w:cantSplit/>
          <w:trHeight w:val="303"/>
        </w:trPr>
        <w:tc>
          <w:tcPr>
            <w:tcW w:w="1844" w:type="pct"/>
            <w:shd w:val="clear" w:color="auto" w:fill="auto"/>
            <w:tcMar>
              <w:top w:w="113" w:type="dxa"/>
              <w:bottom w:w="85" w:type="dxa"/>
            </w:tcMar>
          </w:tcPr>
          <w:p w:rsidR="00573458" w:rsidRPr="00C75C7E" w:rsidRDefault="00573458" w:rsidP="008F4F69">
            <w:pPr>
              <w:widowControl w:val="0"/>
              <w:rPr>
                <w:sz w:val="16"/>
                <w:szCs w:val="16"/>
                <w:lang w:val="es-ES_tradnl"/>
              </w:rPr>
            </w:pPr>
          </w:p>
        </w:tc>
        <w:tc>
          <w:tcPr>
            <w:tcW w:w="1726" w:type="pct"/>
            <w:shd w:val="clear" w:color="auto" w:fill="auto"/>
            <w:tcMar>
              <w:top w:w="113" w:type="dxa"/>
              <w:bottom w:w="85" w:type="dxa"/>
            </w:tcMar>
          </w:tcPr>
          <w:p w:rsidR="00573458" w:rsidRPr="00C75C7E" w:rsidRDefault="00573458" w:rsidP="008F4F69">
            <w:pPr>
              <w:widowControl w:val="0"/>
              <w:rPr>
                <w:sz w:val="16"/>
                <w:szCs w:val="16"/>
                <w:lang w:val="es-ES_tradnl"/>
              </w:rPr>
            </w:pPr>
            <w:r w:rsidRPr="00C75C7E">
              <w:rPr>
                <w:sz w:val="16"/>
                <w:szCs w:val="16"/>
                <w:lang w:val="es-ES_tradnl"/>
              </w:rPr>
              <w:t>Número de miembros de WIPO GREEN.</w:t>
            </w:r>
          </w:p>
        </w:tc>
        <w:tc>
          <w:tcPr>
            <w:tcW w:w="1431" w:type="pct"/>
            <w:shd w:val="clear" w:color="auto" w:fill="FFFFFF"/>
            <w:tcMar>
              <w:top w:w="113" w:type="dxa"/>
              <w:bottom w:w="85" w:type="dxa"/>
            </w:tcMar>
          </w:tcPr>
          <w:p w:rsidR="00573458" w:rsidRPr="00C75C7E" w:rsidRDefault="00573458" w:rsidP="008F4F69">
            <w:pPr>
              <w:widowControl w:val="0"/>
              <w:ind w:left="661"/>
              <w:rPr>
                <w:sz w:val="16"/>
                <w:szCs w:val="16"/>
                <w:lang w:val="es-ES_tradnl"/>
              </w:rPr>
            </w:pPr>
            <w:r w:rsidRPr="00C75C7E">
              <w:rPr>
                <w:sz w:val="16"/>
                <w:szCs w:val="16"/>
                <w:lang w:val="es-ES_tradnl" w:bidi="th-TH"/>
              </w:rPr>
              <w:t>Programa  18</w:t>
            </w:r>
          </w:p>
        </w:tc>
      </w:tr>
      <w:tr w:rsidR="00573458" w:rsidRPr="00C75C7E" w:rsidTr="00E70227">
        <w:trPr>
          <w:cantSplit/>
          <w:trHeight w:val="706"/>
        </w:trPr>
        <w:tc>
          <w:tcPr>
            <w:tcW w:w="1844" w:type="pct"/>
            <w:shd w:val="clear" w:color="auto" w:fill="auto"/>
            <w:tcMar>
              <w:top w:w="113" w:type="dxa"/>
              <w:bottom w:w="85" w:type="dxa"/>
            </w:tcMar>
          </w:tcPr>
          <w:p w:rsidR="00573458" w:rsidRPr="00C75C7E" w:rsidRDefault="00573458" w:rsidP="008F4F69">
            <w:pPr>
              <w:widowControl w:val="0"/>
              <w:rPr>
                <w:sz w:val="16"/>
                <w:szCs w:val="16"/>
                <w:lang w:val="es-ES_tradnl"/>
              </w:rPr>
            </w:pPr>
          </w:p>
        </w:tc>
        <w:tc>
          <w:tcPr>
            <w:tcW w:w="1726" w:type="pct"/>
            <w:shd w:val="clear" w:color="auto" w:fill="auto"/>
            <w:tcMar>
              <w:top w:w="113" w:type="dxa"/>
              <w:bottom w:w="85" w:type="dxa"/>
            </w:tcMar>
          </w:tcPr>
          <w:p w:rsidR="00573458" w:rsidRPr="00C75C7E" w:rsidRDefault="00573458" w:rsidP="008F4F69">
            <w:pPr>
              <w:widowControl w:val="0"/>
              <w:rPr>
                <w:sz w:val="16"/>
                <w:szCs w:val="16"/>
                <w:lang w:val="es-ES_tradnl"/>
              </w:rPr>
            </w:pPr>
            <w:r w:rsidRPr="00C75C7E">
              <w:rPr>
                <w:sz w:val="16"/>
                <w:szCs w:val="16"/>
                <w:lang w:val="es-ES_tradnl"/>
              </w:rPr>
              <w:t>Número de vínculos establecidos entre WIPO GREEN y los mecanismos pertinentes, como los centros y redes de tecnología del clima (CMNUCC) y los centros de innovación climática (infoDev).</w:t>
            </w:r>
          </w:p>
        </w:tc>
        <w:tc>
          <w:tcPr>
            <w:tcW w:w="1431" w:type="pct"/>
            <w:shd w:val="clear" w:color="auto" w:fill="FFFFFF"/>
            <w:tcMar>
              <w:top w:w="113" w:type="dxa"/>
              <w:bottom w:w="85" w:type="dxa"/>
            </w:tcMar>
          </w:tcPr>
          <w:p w:rsidR="00573458" w:rsidRPr="00C75C7E" w:rsidRDefault="00573458" w:rsidP="008F4F69">
            <w:pPr>
              <w:widowControl w:val="0"/>
              <w:ind w:left="661"/>
              <w:rPr>
                <w:sz w:val="16"/>
                <w:szCs w:val="16"/>
                <w:lang w:val="es-ES_tradnl" w:bidi="th-TH"/>
              </w:rPr>
            </w:pPr>
            <w:r w:rsidRPr="00C75C7E">
              <w:rPr>
                <w:sz w:val="16"/>
                <w:szCs w:val="16"/>
                <w:lang w:val="es-ES_tradnl" w:bidi="th-TH"/>
              </w:rPr>
              <w:t>Programa  18</w:t>
            </w:r>
          </w:p>
        </w:tc>
      </w:tr>
      <w:tr w:rsidR="00573458" w:rsidRPr="00C75C7E" w:rsidTr="00E70227">
        <w:trPr>
          <w:cantSplit/>
          <w:trHeight w:val="296"/>
        </w:trPr>
        <w:tc>
          <w:tcPr>
            <w:tcW w:w="1844" w:type="pct"/>
            <w:shd w:val="clear" w:color="auto" w:fill="auto"/>
            <w:tcMar>
              <w:top w:w="113" w:type="dxa"/>
              <w:bottom w:w="85" w:type="dxa"/>
            </w:tcMar>
          </w:tcPr>
          <w:p w:rsidR="00573458" w:rsidRPr="00C75C7E" w:rsidRDefault="00573458" w:rsidP="008F4F69">
            <w:pPr>
              <w:widowControl w:val="0"/>
              <w:rPr>
                <w:sz w:val="16"/>
                <w:szCs w:val="16"/>
                <w:lang w:val="es-ES_tradnl"/>
              </w:rPr>
            </w:pPr>
          </w:p>
        </w:tc>
        <w:tc>
          <w:tcPr>
            <w:tcW w:w="1726" w:type="pct"/>
            <w:shd w:val="clear" w:color="auto" w:fill="auto"/>
            <w:tcMar>
              <w:top w:w="113" w:type="dxa"/>
              <w:bottom w:w="85" w:type="dxa"/>
            </w:tcMar>
          </w:tcPr>
          <w:p w:rsidR="00573458" w:rsidRPr="00C75C7E" w:rsidRDefault="00573458" w:rsidP="008F4F69">
            <w:pPr>
              <w:widowControl w:val="0"/>
              <w:rPr>
                <w:sz w:val="16"/>
                <w:szCs w:val="16"/>
                <w:lang w:val="es-ES_tradnl"/>
              </w:rPr>
            </w:pPr>
            <w:r w:rsidRPr="00C75C7E">
              <w:rPr>
                <w:sz w:val="16"/>
                <w:szCs w:val="16"/>
                <w:lang w:val="es-ES_tradnl"/>
              </w:rPr>
              <w:t>Número de acuerdos cata</w:t>
            </w:r>
            <w:r w:rsidR="00E70227">
              <w:rPr>
                <w:sz w:val="16"/>
                <w:szCs w:val="16"/>
                <w:lang w:val="es-ES_tradnl"/>
              </w:rPr>
              <w:t>lizados por medio de WIPO GREEN que facilitan la transferencia de conocimiento así como la adaptación, transferencia o difusión de tecnología.</w:t>
            </w:r>
          </w:p>
        </w:tc>
        <w:tc>
          <w:tcPr>
            <w:tcW w:w="1431" w:type="pct"/>
            <w:shd w:val="clear" w:color="auto" w:fill="FFFFFF"/>
            <w:tcMar>
              <w:top w:w="113" w:type="dxa"/>
              <w:bottom w:w="85" w:type="dxa"/>
            </w:tcMar>
          </w:tcPr>
          <w:p w:rsidR="00573458" w:rsidRPr="00C75C7E" w:rsidRDefault="00573458" w:rsidP="008F4F69">
            <w:pPr>
              <w:widowControl w:val="0"/>
              <w:ind w:left="661"/>
              <w:rPr>
                <w:sz w:val="16"/>
                <w:szCs w:val="16"/>
                <w:lang w:val="es-ES_tradnl" w:bidi="th-TH"/>
              </w:rPr>
            </w:pPr>
            <w:r w:rsidRPr="00C75C7E">
              <w:rPr>
                <w:sz w:val="16"/>
                <w:szCs w:val="16"/>
                <w:lang w:val="es-ES_tradnl" w:bidi="th-TH"/>
              </w:rPr>
              <w:t>Programa  18</w:t>
            </w:r>
          </w:p>
        </w:tc>
      </w:tr>
      <w:tr w:rsidR="00573458" w:rsidRPr="00C75C7E" w:rsidTr="00E70227">
        <w:trPr>
          <w:cantSplit/>
          <w:trHeight w:val="344"/>
        </w:trPr>
        <w:tc>
          <w:tcPr>
            <w:tcW w:w="1844" w:type="pct"/>
            <w:shd w:val="clear" w:color="auto" w:fill="auto"/>
            <w:tcMar>
              <w:top w:w="113" w:type="dxa"/>
              <w:bottom w:w="85" w:type="dxa"/>
            </w:tcMar>
          </w:tcPr>
          <w:p w:rsidR="00573458" w:rsidRPr="00C75C7E" w:rsidRDefault="00573458" w:rsidP="008F4F69">
            <w:pPr>
              <w:widowControl w:val="0"/>
              <w:rPr>
                <w:sz w:val="16"/>
                <w:szCs w:val="16"/>
                <w:lang w:val="es-ES_tradnl"/>
              </w:rPr>
            </w:pPr>
          </w:p>
        </w:tc>
        <w:tc>
          <w:tcPr>
            <w:tcW w:w="1726" w:type="pct"/>
            <w:shd w:val="clear" w:color="auto" w:fill="auto"/>
            <w:tcMar>
              <w:top w:w="113" w:type="dxa"/>
              <w:bottom w:w="85" w:type="dxa"/>
            </w:tcMar>
          </w:tcPr>
          <w:p w:rsidR="00573458" w:rsidRPr="00C75C7E" w:rsidRDefault="00573458" w:rsidP="00E70227">
            <w:pPr>
              <w:widowControl w:val="0"/>
              <w:rPr>
                <w:sz w:val="16"/>
                <w:szCs w:val="16"/>
                <w:lang w:val="es-ES_tradnl"/>
              </w:rPr>
            </w:pPr>
            <w:r w:rsidRPr="00C75C7E">
              <w:rPr>
                <w:sz w:val="16"/>
                <w:szCs w:val="16"/>
                <w:lang w:val="es-ES_tradnl"/>
              </w:rPr>
              <w:t xml:space="preserve">Número de visitas </w:t>
            </w:r>
            <w:r w:rsidR="00E70227">
              <w:rPr>
                <w:sz w:val="16"/>
                <w:szCs w:val="16"/>
                <w:lang w:val="es-ES_tradnl"/>
              </w:rPr>
              <w:t>a las páginas sobre</w:t>
            </w:r>
            <w:r w:rsidRPr="00C75C7E">
              <w:rPr>
                <w:sz w:val="16"/>
                <w:szCs w:val="16"/>
                <w:lang w:val="es-ES_tradnl"/>
              </w:rPr>
              <w:t xml:space="preserve"> desafíos mundiales del sitio web.</w:t>
            </w:r>
          </w:p>
        </w:tc>
        <w:tc>
          <w:tcPr>
            <w:tcW w:w="1431" w:type="pct"/>
            <w:shd w:val="clear" w:color="auto" w:fill="FFFFFF"/>
            <w:tcMar>
              <w:top w:w="113" w:type="dxa"/>
              <w:bottom w:w="85" w:type="dxa"/>
            </w:tcMar>
          </w:tcPr>
          <w:p w:rsidR="00573458" w:rsidRPr="00C75C7E" w:rsidRDefault="00573458" w:rsidP="008F4F69">
            <w:pPr>
              <w:widowControl w:val="0"/>
              <w:ind w:left="661"/>
              <w:rPr>
                <w:sz w:val="16"/>
                <w:szCs w:val="16"/>
                <w:lang w:val="es-ES_tradnl" w:bidi="th-TH"/>
              </w:rPr>
            </w:pPr>
            <w:r w:rsidRPr="00C75C7E">
              <w:rPr>
                <w:sz w:val="16"/>
                <w:szCs w:val="16"/>
                <w:lang w:val="es-ES_tradnl" w:bidi="th-TH"/>
              </w:rPr>
              <w:t>Programa  18</w:t>
            </w:r>
          </w:p>
        </w:tc>
      </w:tr>
      <w:tr w:rsidR="00573458" w:rsidRPr="00C75C7E" w:rsidTr="00E70227">
        <w:trPr>
          <w:cantSplit/>
          <w:trHeight w:val="602"/>
        </w:trPr>
        <w:tc>
          <w:tcPr>
            <w:tcW w:w="1844" w:type="pct"/>
            <w:shd w:val="clear" w:color="auto" w:fill="auto"/>
            <w:tcMar>
              <w:top w:w="113" w:type="dxa"/>
              <w:bottom w:w="85" w:type="dxa"/>
            </w:tcMar>
          </w:tcPr>
          <w:p w:rsidR="00573458" w:rsidRPr="00C75C7E" w:rsidRDefault="00573458" w:rsidP="008F4F69">
            <w:pPr>
              <w:widowControl w:val="0"/>
              <w:rPr>
                <w:sz w:val="16"/>
                <w:szCs w:val="16"/>
                <w:lang w:val="es-ES_tradnl"/>
              </w:rPr>
            </w:pPr>
            <w:r w:rsidRPr="00C75C7E">
              <w:rPr>
                <w:sz w:val="16"/>
                <w:szCs w:val="16"/>
                <w:lang w:val="es-ES_tradnl"/>
              </w:rPr>
              <w:t>VII.3. Fomento de la credibilidad de la OMPI en tanto que foro para el análisis de cuestiones en el ámbito de la P.I. y la política de competencia.</w:t>
            </w:r>
          </w:p>
        </w:tc>
        <w:tc>
          <w:tcPr>
            <w:tcW w:w="1726" w:type="pct"/>
            <w:shd w:val="clear" w:color="auto" w:fill="auto"/>
            <w:tcMar>
              <w:top w:w="113" w:type="dxa"/>
              <w:bottom w:w="85" w:type="dxa"/>
            </w:tcMar>
          </w:tcPr>
          <w:p w:rsidR="00573458" w:rsidRPr="00C75C7E" w:rsidRDefault="00573458" w:rsidP="008F4F69">
            <w:pPr>
              <w:widowControl w:val="0"/>
              <w:rPr>
                <w:sz w:val="16"/>
                <w:szCs w:val="16"/>
                <w:lang w:val="es-ES_tradnl"/>
              </w:rPr>
            </w:pPr>
            <w:r w:rsidRPr="00C75C7E">
              <w:rPr>
                <w:rFonts w:eastAsia="MS Mincho" w:cs="Courier New"/>
                <w:sz w:val="16"/>
                <w:szCs w:val="16"/>
                <w:lang w:val="es-ES_tradnl" w:bidi="th-TH"/>
              </w:rPr>
              <w:t>Número de países que solicitan la aportación específica de la OMPI en materia de P.I. en relación con la política de competencia.</w:t>
            </w:r>
          </w:p>
        </w:tc>
        <w:tc>
          <w:tcPr>
            <w:tcW w:w="1431" w:type="pct"/>
            <w:shd w:val="clear" w:color="auto" w:fill="FFFFFF"/>
            <w:tcMar>
              <w:top w:w="113" w:type="dxa"/>
              <w:bottom w:w="85" w:type="dxa"/>
            </w:tcMar>
          </w:tcPr>
          <w:p w:rsidR="00573458" w:rsidRPr="00C75C7E" w:rsidRDefault="00573458" w:rsidP="008F4F69">
            <w:pPr>
              <w:widowControl w:val="0"/>
              <w:ind w:left="661"/>
              <w:rPr>
                <w:sz w:val="16"/>
                <w:szCs w:val="16"/>
                <w:lang w:val="es-ES_tradnl" w:bidi="th-TH"/>
              </w:rPr>
            </w:pPr>
            <w:r w:rsidRPr="00C75C7E">
              <w:rPr>
                <w:sz w:val="16"/>
                <w:szCs w:val="16"/>
                <w:lang w:val="es-ES_tradnl" w:bidi="th-TH"/>
              </w:rPr>
              <w:t>Programa  18</w:t>
            </w:r>
          </w:p>
        </w:tc>
      </w:tr>
      <w:tr w:rsidR="00573458" w:rsidRPr="00C75C7E" w:rsidTr="00E70227">
        <w:trPr>
          <w:cantSplit/>
          <w:trHeight w:val="706"/>
        </w:trPr>
        <w:tc>
          <w:tcPr>
            <w:tcW w:w="1844" w:type="pct"/>
            <w:shd w:val="clear" w:color="auto" w:fill="auto"/>
            <w:tcMar>
              <w:top w:w="113" w:type="dxa"/>
              <w:bottom w:w="85" w:type="dxa"/>
            </w:tcMar>
          </w:tcPr>
          <w:p w:rsidR="00573458" w:rsidRPr="00C75C7E" w:rsidRDefault="00573458" w:rsidP="008F4F69">
            <w:pPr>
              <w:widowControl w:val="0"/>
              <w:rPr>
                <w:sz w:val="16"/>
                <w:szCs w:val="16"/>
                <w:lang w:val="es-ES_tradnl"/>
              </w:rPr>
            </w:pPr>
          </w:p>
        </w:tc>
        <w:tc>
          <w:tcPr>
            <w:tcW w:w="1726" w:type="pct"/>
            <w:shd w:val="clear" w:color="auto" w:fill="auto"/>
            <w:tcMar>
              <w:top w:w="113" w:type="dxa"/>
              <w:bottom w:w="85" w:type="dxa"/>
            </w:tcMar>
          </w:tcPr>
          <w:p w:rsidR="00573458" w:rsidRPr="00C75C7E" w:rsidRDefault="00573458" w:rsidP="008F4F69">
            <w:pPr>
              <w:widowControl w:val="0"/>
              <w:rPr>
                <w:rFonts w:eastAsia="MS Mincho" w:cs="Courier New"/>
                <w:sz w:val="16"/>
                <w:szCs w:val="16"/>
                <w:lang w:val="es-ES_tradnl" w:bidi="th-TH"/>
              </w:rPr>
            </w:pPr>
            <w:r w:rsidRPr="00C75C7E">
              <w:rPr>
                <w:sz w:val="16"/>
                <w:szCs w:val="16"/>
                <w:lang w:val="es-ES_tradnl"/>
              </w:rPr>
              <w:t>Número y diversidad de partes interesadas (oficinas de P.I., autoridades encargadas de cuestiones de competencia, OIG y ONG) que entablan diálogo con la OMPI.</w:t>
            </w:r>
          </w:p>
        </w:tc>
        <w:tc>
          <w:tcPr>
            <w:tcW w:w="1431" w:type="pct"/>
            <w:shd w:val="clear" w:color="auto" w:fill="FFFFFF"/>
            <w:tcMar>
              <w:top w:w="113" w:type="dxa"/>
              <w:bottom w:w="85" w:type="dxa"/>
            </w:tcMar>
          </w:tcPr>
          <w:p w:rsidR="00573458" w:rsidRPr="00C75C7E" w:rsidRDefault="00573458" w:rsidP="008F4F69">
            <w:pPr>
              <w:widowControl w:val="0"/>
              <w:ind w:left="661"/>
              <w:rPr>
                <w:sz w:val="16"/>
                <w:szCs w:val="16"/>
                <w:lang w:val="es-ES_tradnl" w:bidi="th-TH"/>
              </w:rPr>
            </w:pPr>
            <w:r w:rsidRPr="00C75C7E">
              <w:rPr>
                <w:sz w:val="16"/>
                <w:szCs w:val="16"/>
                <w:lang w:val="es-ES_tradnl" w:bidi="th-TH"/>
              </w:rPr>
              <w:t>Programa  18</w:t>
            </w:r>
          </w:p>
        </w:tc>
      </w:tr>
      <w:tr w:rsidR="00573458" w:rsidRPr="00C75C7E" w:rsidTr="00E70227">
        <w:trPr>
          <w:cantSplit/>
          <w:trHeight w:val="706"/>
        </w:trPr>
        <w:tc>
          <w:tcPr>
            <w:tcW w:w="1844" w:type="pct"/>
            <w:shd w:val="clear" w:color="auto" w:fill="auto"/>
            <w:tcMar>
              <w:top w:w="113" w:type="dxa"/>
              <w:bottom w:w="85" w:type="dxa"/>
            </w:tcMar>
          </w:tcPr>
          <w:p w:rsidR="00573458" w:rsidRPr="00C75C7E" w:rsidRDefault="00573458" w:rsidP="008F4F69">
            <w:pPr>
              <w:widowControl w:val="0"/>
              <w:rPr>
                <w:sz w:val="16"/>
                <w:szCs w:val="16"/>
                <w:lang w:val="es-ES_tradnl"/>
              </w:rPr>
            </w:pPr>
          </w:p>
        </w:tc>
        <w:tc>
          <w:tcPr>
            <w:tcW w:w="1726" w:type="pct"/>
            <w:shd w:val="clear" w:color="auto" w:fill="auto"/>
            <w:tcMar>
              <w:top w:w="113" w:type="dxa"/>
              <w:bottom w:w="85" w:type="dxa"/>
            </w:tcMar>
          </w:tcPr>
          <w:p w:rsidR="00573458" w:rsidRPr="00C75C7E" w:rsidRDefault="00573458" w:rsidP="008F4F69">
            <w:pPr>
              <w:widowControl w:val="0"/>
              <w:rPr>
                <w:sz w:val="16"/>
                <w:szCs w:val="16"/>
                <w:lang w:val="es-ES_tradnl"/>
              </w:rPr>
            </w:pPr>
            <w:r w:rsidRPr="00C75C7E">
              <w:rPr>
                <w:sz w:val="16"/>
                <w:szCs w:val="16"/>
                <w:lang w:val="es-ES_tradnl"/>
              </w:rPr>
              <w:t>Participación de las partes interesadas en plataformas de la OMPI como WIPO GREEN y WIPO Re:Search.</w:t>
            </w:r>
          </w:p>
        </w:tc>
        <w:tc>
          <w:tcPr>
            <w:tcW w:w="1431" w:type="pct"/>
            <w:shd w:val="clear" w:color="auto" w:fill="FFFFFF"/>
            <w:tcMar>
              <w:top w:w="113" w:type="dxa"/>
              <w:bottom w:w="85" w:type="dxa"/>
            </w:tcMar>
          </w:tcPr>
          <w:p w:rsidR="00573458" w:rsidRPr="00C75C7E" w:rsidRDefault="00573458" w:rsidP="008F4F69">
            <w:pPr>
              <w:widowControl w:val="0"/>
              <w:ind w:left="661"/>
              <w:rPr>
                <w:sz w:val="16"/>
                <w:szCs w:val="16"/>
                <w:lang w:val="es-ES_tradnl" w:bidi="th-TH"/>
              </w:rPr>
            </w:pPr>
            <w:r w:rsidRPr="00C75C7E">
              <w:rPr>
                <w:sz w:val="16"/>
                <w:szCs w:val="16"/>
                <w:lang w:val="es-ES_tradnl" w:bidi="th-TH"/>
              </w:rPr>
              <w:t>Programa  20</w:t>
            </w:r>
          </w:p>
        </w:tc>
      </w:tr>
    </w:tbl>
    <w:p w:rsidR="00E70227" w:rsidRDefault="00E70227" w:rsidP="009E7719">
      <w:pPr>
        <w:pStyle w:val="Heading3"/>
        <w:tabs>
          <w:tab w:val="left" w:pos="1985"/>
        </w:tabs>
        <w:rPr>
          <w:b/>
          <w:u w:val="none"/>
          <w:lang w:val="es-ES_tradnl"/>
        </w:rPr>
      </w:pPr>
      <w:bookmarkStart w:id="66" w:name="_Toc356567771"/>
      <w:bookmarkStart w:id="67" w:name="_Toc358816709"/>
    </w:p>
    <w:p w:rsidR="00E70227" w:rsidRDefault="00E70227">
      <w:pPr>
        <w:rPr>
          <w:b/>
          <w:bCs/>
          <w:szCs w:val="26"/>
          <w:lang w:val="es-ES_tradnl"/>
        </w:rPr>
      </w:pPr>
      <w:r>
        <w:rPr>
          <w:b/>
          <w:lang w:val="es-ES_tradnl"/>
        </w:rPr>
        <w:br w:type="page"/>
      </w:r>
    </w:p>
    <w:p w:rsidR="009E7719" w:rsidRPr="009E7719" w:rsidRDefault="009E7719" w:rsidP="009E7719">
      <w:pPr>
        <w:pStyle w:val="Heading3"/>
        <w:tabs>
          <w:tab w:val="left" w:pos="1985"/>
        </w:tabs>
        <w:rPr>
          <w:b/>
          <w:u w:val="none"/>
          <w:lang w:val="es-ES_tradnl"/>
        </w:rPr>
      </w:pPr>
      <w:r w:rsidRPr="009E7719">
        <w:rPr>
          <w:b/>
          <w:u w:val="none"/>
          <w:lang w:val="es-ES_tradnl"/>
        </w:rPr>
        <w:lastRenderedPageBreak/>
        <w:t>PROGRAMA 18</w:t>
      </w:r>
      <w:r w:rsidRPr="009E7719">
        <w:rPr>
          <w:b/>
          <w:u w:val="none"/>
          <w:lang w:val="es-ES_tradnl"/>
        </w:rPr>
        <w:tab/>
        <w:t>LA P.I. Y LOS DESAFÍOS MUNDIALES</w:t>
      </w:r>
      <w:bookmarkEnd w:id="66"/>
      <w:bookmarkEnd w:id="67"/>
    </w:p>
    <w:p w:rsidR="009E7719" w:rsidRPr="00AD1E8B" w:rsidRDefault="009E7719" w:rsidP="009E7719">
      <w:pPr>
        <w:widowControl w:val="0"/>
        <w:rPr>
          <w:sz w:val="20"/>
          <w:lang w:val="es-ES_tradnl"/>
        </w:rPr>
      </w:pPr>
    </w:p>
    <w:p w:rsidR="009E7719" w:rsidRPr="00AD1E8B" w:rsidRDefault="009E7719" w:rsidP="009E7719">
      <w:pPr>
        <w:widowControl w:val="0"/>
        <w:rPr>
          <w:b/>
          <w:sz w:val="20"/>
          <w:lang w:val="es-ES_tradnl"/>
        </w:rPr>
      </w:pPr>
    </w:p>
    <w:p w:rsidR="009E7719" w:rsidRPr="00AD1E8B" w:rsidRDefault="009E7719" w:rsidP="009E7719">
      <w:pPr>
        <w:pStyle w:val="BodyTextIndent"/>
        <w:widowControl w:val="0"/>
        <w:ind w:left="1985" w:hanging="1985"/>
        <w:jc w:val="both"/>
        <w:rPr>
          <w:rFonts w:ascii="Arial" w:hAnsi="Arial" w:cs="Arial"/>
          <w:sz w:val="22"/>
          <w:szCs w:val="22"/>
          <w:lang w:val="es-ES_tradnl"/>
        </w:rPr>
      </w:pPr>
      <w:r w:rsidRPr="00AD1E8B">
        <w:rPr>
          <w:rFonts w:ascii="Arial" w:hAnsi="Arial" w:cs="Arial"/>
          <w:sz w:val="22"/>
          <w:szCs w:val="22"/>
          <w:lang w:val="es-ES_tradnl"/>
        </w:rPr>
        <w:t>CONTEXTO DE PLANIFICACIÓN</w:t>
      </w:r>
    </w:p>
    <w:p w:rsidR="009E7719" w:rsidRPr="00AD1E8B" w:rsidRDefault="009E7719" w:rsidP="009E7719">
      <w:pPr>
        <w:pStyle w:val="BodyTextIndent"/>
        <w:widowControl w:val="0"/>
        <w:ind w:left="1985" w:hanging="1985"/>
        <w:jc w:val="both"/>
        <w:rPr>
          <w:rFonts w:ascii="Arial" w:hAnsi="Arial" w:cs="Arial"/>
          <w:sz w:val="22"/>
          <w:szCs w:val="22"/>
          <w:lang w:val="es-ES_tradnl"/>
        </w:rPr>
      </w:pPr>
    </w:p>
    <w:p w:rsidR="009E7719" w:rsidRPr="00AD1E8B" w:rsidRDefault="009E7719" w:rsidP="00E17471">
      <w:pPr>
        <w:widowControl w:val="0"/>
        <w:numPr>
          <w:ilvl w:val="0"/>
          <w:numId w:val="12"/>
        </w:numPr>
        <w:jc w:val="both"/>
        <w:rPr>
          <w:spacing w:val="2"/>
          <w:sz w:val="20"/>
          <w:lang w:val="es-ES_tradnl"/>
        </w:rPr>
      </w:pPr>
      <w:r w:rsidRPr="00AD1E8B">
        <w:rPr>
          <w:spacing w:val="2"/>
          <w:sz w:val="20"/>
          <w:lang w:val="es-ES_tradnl"/>
        </w:rPr>
        <w:t xml:space="preserve">Este programa concierne a la innovación y la P.I. en la confluencia de varios desafíos mundiales interrelacionados, en particular la </w:t>
      </w:r>
      <w:r>
        <w:rPr>
          <w:spacing w:val="2"/>
          <w:sz w:val="20"/>
          <w:lang w:val="es-ES_tradnl"/>
        </w:rPr>
        <w:t>s</w:t>
      </w:r>
      <w:r w:rsidRPr="00AD1E8B">
        <w:rPr>
          <w:spacing w:val="2"/>
          <w:sz w:val="20"/>
          <w:lang w:val="es-ES_tradnl"/>
        </w:rPr>
        <w:t xml:space="preserve">alud </w:t>
      </w:r>
      <w:r>
        <w:rPr>
          <w:spacing w:val="2"/>
          <w:sz w:val="20"/>
          <w:lang w:val="es-ES_tradnl"/>
        </w:rPr>
        <w:t>m</w:t>
      </w:r>
      <w:r w:rsidRPr="00AD1E8B">
        <w:rPr>
          <w:spacing w:val="2"/>
          <w:sz w:val="20"/>
          <w:lang w:val="es-ES_tradnl"/>
        </w:rPr>
        <w:t xml:space="preserve">undial, el </w:t>
      </w:r>
      <w:r>
        <w:rPr>
          <w:spacing w:val="2"/>
          <w:sz w:val="20"/>
          <w:lang w:val="es-ES_tradnl"/>
        </w:rPr>
        <w:t>c</w:t>
      </w:r>
      <w:r w:rsidRPr="00AD1E8B">
        <w:rPr>
          <w:spacing w:val="2"/>
          <w:sz w:val="20"/>
          <w:lang w:val="es-ES_tradnl"/>
        </w:rPr>
        <w:t xml:space="preserve">ambio </w:t>
      </w:r>
      <w:r>
        <w:rPr>
          <w:spacing w:val="2"/>
          <w:sz w:val="20"/>
          <w:lang w:val="es-ES_tradnl"/>
        </w:rPr>
        <w:t>c</w:t>
      </w:r>
      <w:r w:rsidRPr="00AD1E8B">
        <w:rPr>
          <w:spacing w:val="2"/>
          <w:sz w:val="20"/>
          <w:lang w:val="es-ES_tradnl"/>
        </w:rPr>
        <w:t xml:space="preserve">limático y la </w:t>
      </w:r>
      <w:r>
        <w:rPr>
          <w:spacing w:val="2"/>
          <w:sz w:val="20"/>
          <w:lang w:val="es-ES_tradnl"/>
        </w:rPr>
        <w:t>s</w:t>
      </w:r>
      <w:r w:rsidRPr="00AD1E8B">
        <w:rPr>
          <w:spacing w:val="2"/>
          <w:sz w:val="20"/>
          <w:lang w:val="es-ES_tradnl"/>
        </w:rPr>
        <w:t xml:space="preserve">eguridad </w:t>
      </w:r>
      <w:r>
        <w:rPr>
          <w:spacing w:val="2"/>
          <w:sz w:val="20"/>
          <w:lang w:val="es-ES_tradnl"/>
        </w:rPr>
        <w:t>a</w:t>
      </w:r>
      <w:r w:rsidRPr="00AD1E8B">
        <w:rPr>
          <w:spacing w:val="2"/>
          <w:sz w:val="20"/>
          <w:lang w:val="es-ES_tradnl"/>
        </w:rPr>
        <w:t xml:space="preserve">limentaria.  La atención dedicada a esta intersección obedece en buena medida a la voluntad de los Estados </w:t>
      </w:r>
      <w:r>
        <w:rPr>
          <w:spacing w:val="2"/>
          <w:sz w:val="20"/>
          <w:lang w:val="es-ES_tradnl"/>
        </w:rPr>
        <w:t>m</w:t>
      </w:r>
      <w:r w:rsidRPr="00AD1E8B">
        <w:rPr>
          <w:spacing w:val="2"/>
          <w:sz w:val="20"/>
          <w:lang w:val="es-ES_tradnl"/>
        </w:rPr>
        <w:t xml:space="preserve">iembros, como hace notar en particular la A.D.  Se han escogido estos tres temas por cuanto los países en desarrollo afrontan desafíos de especial gravedad en estos ámbitos y porque diversas iniciativas innovadoras ofrecen soluciones viables a tales desafíos.  </w:t>
      </w:r>
    </w:p>
    <w:p w:rsidR="009E7719" w:rsidRPr="00AD1E8B" w:rsidRDefault="009E7719" w:rsidP="00E17471">
      <w:pPr>
        <w:widowControl w:val="0"/>
        <w:numPr>
          <w:ilvl w:val="0"/>
          <w:numId w:val="12"/>
        </w:numPr>
        <w:spacing w:before="216"/>
        <w:jc w:val="both"/>
        <w:rPr>
          <w:spacing w:val="2"/>
          <w:sz w:val="20"/>
          <w:lang w:val="es-ES_tradnl"/>
        </w:rPr>
      </w:pPr>
      <w:r w:rsidRPr="00AD1E8B">
        <w:rPr>
          <w:spacing w:val="2"/>
          <w:sz w:val="20"/>
          <w:lang w:val="es-ES_tradnl"/>
        </w:rPr>
        <w:t>En su calidad de organismo de las NN.UU. especializado en la P.I., la OMPI se esfuerza por facilitar el diálogo estratégico internacional sobre la relación entre la innovación y la P.I., reconociendo que la P.I. no representa una finalidad en sí misma,  sino una herramienta para la consecución de objetivos socioeconómicos y de desarrollo.  Es por ello que la OMPI coopera activamente con diversos aliados a escala mundial, dentro y fuera del sistema de las NN.UU.</w:t>
      </w:r>
      <w:r w:rsidRPr="00AD1E8B">
        <w:rPr>
          <w:spacing w:val="4"/>
          <w:sz w:val="20"/>
          <w:lang w:val="es-ES_tradnl"/>
        </w:rPr>
        <w:t xml:space="preserve">  Las soluciones a los problemas mundiales exigen en particular desbloquear el potencial de innovación en beneficio de todos los países, sea cual fuere su nivel de desarrollo. El fortalecimiento de capacidades, la transferencia de tecnologías y la difusión de herramientas prácticas se realizan cada vez más a través de nuevas formas de colaboración que involucran a una amplia gama de partes interesadas.</w:t>
      </w:r>
      <w:r w:rsidRPr="00AD1E8B">
        <w:rPr>
          <w:spacing w:val="2"/>
          <w:sz w:val="20"/>
          <w:lang w:val="es-ES_tradnl"/>
        </w:rPr>
        <w:t xml:space="preserve">  </w:t>
      </w:r>
    </w:p>
    <w:p w:rsidR="009E7719" w:rsidRPr="00AD1E8B" w:rsidRDefault="009E7719" w:rsidP="00E17471">
      <w:pPr>
        <w:widowControl w:val="0"/>
        <w:numPr>
          <w:ilvl w:val="0"/>
          <w:numId w:val="12"/>
        </w:numPr>
        <w:spacing w:before="216"/>
        <w:jc w:val="both"/>
        <w:rPr>
          <w:bCs/>
          <w:sz w:val="20"/>
          <w:lang w:val="es-ES_tradnl"/>
        </w:rPr>
      </w:pPr>
      <w:r w:rsidRPr="00AD1E8B">
        <w:rPr>
          <w:sz w:val="20"/>
          <w:lang w:val="es-ES_tradnl"/>
        </w:rPr>
        <w:t xml:space="preserve">El programa continuará durante este bienio manteniendo diálogos estratégicos en torno a la P.I. y los desafíos </w:t>
      </w:r>
      <w:r w:rsidR="00733234">
        <w:rPr>
          <w:sz w:val="20"/>
          <w:lang w:val="es-ES_tradnl"/>
        </w:rPr>
        <w:t>mundiales</w:t>
      </w:r>
      <w:r w:rsidRPr="00AD1E8B">
        <w:rPr>
          <w:sz w:val="20"/>
          <w:lang w:val="es-ES_tradnl"/>
        </w:rPr>
        <w:t xml:space="preserve"> con el fin de reforzar el protagonismo de la OMPI como fuente creíble de información y análisis basados en datos empíricos y también como foro para el debate internacional.  Sin embargo, se depositará un énfasis creciente sobre el desarrollo y culminación de proyectos tangibles y eficaces que pongan la innovación y la P.I. al servicio del desarrollo.  Dichos proyectos requieren la participación y el apoyo directos y activos de entidades de todos los sectores, con inclusión del gobierno, las empresas, la sociedad civil y los organismos multilaterales.  El trabajo realizado se rige por la A.D. y por los Objetivos de </w:t>
      </w:r>
      <w:r>
        <w:rPr>
          <w:sz w:val="20"/>
          <w:lang w:val="es-ES_tradnl"/>
        </w:rPr>
        <w:t>d</w:t>
      </w:r>
      <w:r w:rsidRPr="00AD1E8B">
        <w:rPr>
          <w:sz w:val="20"/>
          <w:lang w:val="es-ES_tradnl"/>
        </w:rPr>
        <w:t xml:space="preserve">esarrollo del </w:t>
      </w:r>
      <w:r>
        <w:rPr>
          <w:sz w:val="20"/>
          <w:lang w:val="es-ES_tradnl"/>
        </w:rPr>
        <w:t>m</w:t>
      </w:r>
      <w:r w:rsidRPr="00AD1E8B">
        <w:rPr>
          <w:sz w:val="20"/>
          <w:lang w:val="es-ES_tradnl"/>
        </w:rPr>
        <w:t xml:space="preserve">ilenio.  </w:t>
      </w:r>
    </w:p>
    <w:p w:rsidR="009E7719" w:rsidRPr="00AD1E8B" w:rsidRDefault="009E7719" w:rsidP="009E7719">
      <w:pPr>
        <w:widowControl w:val="0"/>
        <w:tabs>
          <w:tab w:val="left" w:pos="567"/>
          <w:tab w:val="left" w:pos="1985"/>
        </w:tabs>
        <w:jc w:val="both"/>
        <w:rPr>
          <w:bCs/>
          <w:sz w:val="20"/>
          <w:lang w:val="es-ES_tradnl"/>
        </w:rPr>
      </w:pPr>
    </w:p>
    <w:p w:rsidR="009E7719" w:rsidRPr="00AD1E8B" w:rsidRDefault="009E7719" w:rsidP="009E7719">
      <w:pPr>
        <w:widowControl w:val="0"/>
        <w:tabs>
          <w:tab w:val="left" w:pos="567"/>
          <w:tab w:val="left" w:pos="1985"/>
        </w:tabs>
        <w:jc w:val="both"/>
        <w:rPr>
          <w:bCs/>
          <w:sz w:val="20"/>
          <w:lang w:val="es-ES_tradnl"/>
        </w:rPr>
      </w:pPr>
    </w:p>
    <w:p w:rsidR="009E7719" w:rsidRPr="00AD1E8B" w:rsidRDefault="009E7719" w:rsidP="009E7719">
      <w:pPr>
        <w:widowControl w:val="0"/>
        <w:tabs>
          <w:tab w:val="left" w:pos="567"/>
          <w:tab w:val="left" w:pos="1985"/>
        </w:tabs>
        <w:jc w:val="both"/>
        <w:rPr>
          <w:bCs/>
          <w:szCs w:val="22"/>
          <w:lang w:val="es-ES_tradnl"/>
        </w:rPr>
      </w:pPr>
      <w:r w:rsidRPr="00AD1E8B">
        <w:rPr>
          <w:bCs/>
          <w:szCs w:val="22"/>
          <w:lang w:val="es-ES_tradnl"/>
        </w:rPr>
        <w:t>ESTRATEGIAS DE EJECUCIÓN</w:t>
      </w:r>
    </w:p>
    <w:p w:rsidR="009E7719" w:rsidRPr="00AD1E8B" w:rsidRDefault="009E7719" w:rsidP="009E7719">
      <w:pPr>
        <w:widowControl w:val="0"/>
        <w:tabs>
          <w:tab w:val="left" w:pos="567"/>
          <w:tab w:val="left" w:pos="1985"/>
        </w:tabs>
        <w:jc w:val="both"/>
        <w:rPr>
          <w:bCs/>
          <w:sz w:val="20"/>
          <w:lang w:val="es-ES_tradnl"/>
        </w:rPr>
      </w:pPr>
    </w:p>
    <w:p w:rsidR="009E7719" w:rsidRPr="00AD1E8B" w:rsidRDefault="009E7719" w:rsidP="00E17471">
      <w:pPr>
        <w:widowControl w:val="0"/>
        <w:numPr>
          <w:ilvl w:val="0"/>
          <w:numId w:val="12"/>
        </w:numPr>
        <w:jc w:val="both"/>
        <w:rPr>
          <w:sz w:val="20"/>
          <w:lang w:val="es-ES_tradnl"/>
        </w:rPr>
      </w:pPr>
      <w:r w:rsidRPr="00AD1E8B">
        <w:rPr>
          <w:spacing w:val="1"/>
          <w:sz w:val="20"/>
          <w:lang w:val="es-ES_tradnl"/>
        </w:rPr>
        <w:t>El programa continuará realizando una contribución eficaz y constructiva a la búsqueda de soluciones basadas en la innovación y al diálogo mundial sobre políticas a través de una estrategia de ejecución dotada de tres vertientes</w:t>
      </w:r>
      <w:r w:rsidRPr="00AD1E8B">
        <w:rPr>
          <w:sz w:val="20"/>
          <w:lang w:val="es-ES_tradnl"/>
        </w:rPr>
        <w:t>:</w:t>
      </w:r>
    </w:p>
    <w:p w:rsidR="009E7719" w:rsidRPr="00AD1E8B" w:rsidRDefault="009E7719" w:rsidP="009E7719">
      <w:pPr>
        <w:widowControl w:val="0"/>
        <w:jc w:val="both"/>
        <w:rPr>
          <w:sz w:val="20"/>
          <w:lang w:val="es-ES_tradnl"/>
        </w:rPr>
      </w:pPr>
    </w:p>
    <w:p w:rsidR="009E7719" w:rsidRPr="0062198E" w:rsidRDefault="009E7719" w:rsidP="009E7719">
      <w:pPr>
        <w:widowControl w:val="0"/>
        <w:rPr>
          <w:sz w:val="20"/>
          <w:u w:val="single"/>
          <w:lang w:val="es-ES_tradnl"/>
        </w:rPr>
      </w:pPr>
      <w:r w:rsidRPr="0062198E">
        <w:rPr>
          <w:sz w:val="20"/>
          <w:u w:val="single"/>
          <w:lang w:val="es-ES_tradnl"/>
        </w:rPr>
        <w:t>Elaborar y mantener mecanismos y herramientas prácticos basados en la P.I. para responder a los desafíos mundiales</w:t>
      </w:r>
    </w:p>
    <w:p w:rsidR="009E7719" w:rsidRPr="00AD1E8B" w:rsidRDefault="009E7719" w:rsidP="009E7719">
      <w:pPr>
        <w:widowControl w:val="0"/>
        <w:rPr>
          <w:sz w:val="20"/>
          <w:u w:val="single"/>
          <w:lang w:val="es-ES_tradnl"/>
        </w:rPr>
      </w:pPr>
    </w:p>
    <w:p w:rsidR="009E7719" w:rsidRPr="00AD1E8B" w:rsidRDefault="009E7719" w:rsidP="00E17471">
      <w:pPr>
        <w:widowControl w:val="0"/>
        <w:numPr>
          <w:ilvl w:val="0"/>
          <w:numId w:val="12"/>
        </w:numPr>
        <w:jc w:val="both"/>
        <w:rPr>
          <w:sz w:val="20"/>
          <w:lang w:val="es-ES_tradnl"/>
        </w:rPr>
      </w:pPr>
      <w:r w:rsidRPr="00AD1E8B">
        <w:rPr>
          <w:sz w:val="20"/>
          <w:lang w:val="es-ES_tradnl"/>
        </w:rPr>
        <w:t xml:space="preserve">El elemento esencial de la estrategia del programa consiste en la elaboración, aplicación y sostenibilidad de plataformas en que participen diferentes sectores interesados con el fin de propiciar la creación de redes de colaboración eficaces y la realización de transferencias de tecnología en materia de salud y cambio climático. Las iniciativas se basarán en alianzas y colaboraciones, con utilización de estructuras de innovación colectiva, innovación en red y otras formas de cooperación para acelerar su repercusión.  Se atenderá asimismo a fomentar colaboraciones y alianzas Sur-Sur que faciliten la conectividad global de los innovadores de los países en desarrollo.  </w:t>
      </w:r>
    </w:p>
    <w:p w:rsidR="009E7719" w:rsidRPr="00AD1E8B" w:rsidRDefault="009E7719" w:rsidP="009E7719">
      <w:pPr>
        <w:widowControl w:val="0"/>
        <w:jc w:val="both"/>
        <w:rPr>
          <w:sz w:val="20"/>
          <w:lang w:val="es-ES_tradnl"/>
        </w:rPr>
      </w:pPr>
    </w:p>
    <w:p w:rsidR="009E7719" w:rsidRPr="00AD1E8B" w:rsidRDefault="009E7719" w:rsidP="00E17471">
      <w:pPr>
        <w:widowControl w:val="0"/>
        <w:numPr>
          <w:ilvl w:val="0"/>
          <w:numId w:val="12"/>
        </w:numPr>
        <w:jc w:val="both"/>
        <w:rPr>
          <w:sz w:val="20"/>
          <w:lang w:val="es-ES_tradnl"/>
        </w:rPr>
      </w:pPr>
      <w:r w:rsidRPr="00AD1E8B">
        <w:rPr>
          <w:sz w:val="20"/>
          <w:lang w:val="es-ES_tradnl"/>
        </w:rPr>
        <w:t xml:space="preserve">Se explorarán, de consuno con aliados exteriores, herramientas para el intercambio de conocimientos que faciliten la difusión y transferencia de tecnologías en materia de sanidad y medio ambiente acordes con los objetivos de la A.D. y más particularmente con las recomendaciones 19 (Acceso a los conocimientos y la tecnología) y 25 (Transferencia de tecnología), así como 30, 40 y 42 (Cooperación con otras OIG y ONG). </w:t>
      </w:r>
    </w:p>
    <w:p w:rsidR="009E7719" w:rsidRPr="00AD1E8B" w:rsidRDefault="009E7719" w:rsidP="009E7719">
      <w:pPr>
        <w:widowControl w:val="0"/>
        <w:jc w:val="both"/>
        <w:rPr>
          <w:sz w:val="20"/>
          <w:lang w:val="es-ES_tradnl"/>
        </w:rPr>
      </w:pPr>
    </w:p>
    <w:p w:rsidR="009E7719" w:rsidRPr="00AD1E8B" w:rsidRDefault="009E7719" w:rsidP="00E17471">
      <w:pPr>
        <w:widowControl w:val="0"/>
        <w:numPr>
          <w:ilvl w:val="0"/>
          <w:numId w:val="12"/>
        </w:numPr>
        <w:jc w:val="both"/>
        <w:rPr>
          <w:sz w:val="20"/>
          <w:lang w:val="es-ES_tradnl"/>
        </w:rPr>
      </w:pPr>
      <w:r w:rsidRPr="00AD1E8B">
        <w:rPr>
          <w:sz w:val="20"/>
          <w:lang w:val="es-ES_tradnl"/>
        </w:rPr>
        <w:t xml:space="preserve">Numerosos programas brindan apoyo y cooperación a efectos de la puesta en práctica de esta estrategia, por ejemplo los programas 1 (Derecho de patentes), 9 (Países africanos, árabes, de Asia y el Pacífico, de América Latina y el Caribe y PMA), 10 (Cooperación con determinados países de Europa y Asia), 13 (Bases de datos mundiales), 14 (Servicios de acceso a la información y </w:t>
      </w:r>
      <w:r w:rsidR="00733234">
        <w:rPr>
          <w:sz w:val="20"/>
          <w:lang w:val="es-ES_tradnl"/>
        </w:rPr>
        <w:t xml:space="preserve">a </w:t>
      </w:r>
      <w:r w:rsidRPr="00AD1E8B">
        <w:rPr>
          <w:sz w:val="20"/>
          <w:lang w:val="es-ES_tradnl"/>
        </w:rPr>
        <w:t xml:space="preserve">los conocimientos), 19 (Comunicaciones) y 20 (Relaciones exteriores). </w:t>
      </w:r>
    </w:p>
    <w:p w:rsidR="009E7719" w:rsidRPr="00AD1E8B" w:rsidRDefault="009E7719" w:rsidP="009E7719">
      <w:pPr>
        <w:widowControl w:val="0"/>
        <w:jc w:val="both"/>
        <w:rPr>
          <w:sz w:val="20"/>
          <w:lang w:val="es-ES_tradnl"/>
        </w:rPr>
      </w:pPr>
    </w:p>
    <w:p w:rsidR="009E7719" w:rsidRPr="00927A04" w:rsidRDefault="009E7719" w:rsidP="009E7719">
      <w:pPr>
        <w:widowControl w:val="0"/>
        <w:rPr>
          <w:sz w:val="20"/>
          <w:u w:val="single"/>
          <w:lang w:val="es-ES_tradnl"/>
        </w:rPr>
      </w:pPr>
      <w:r w:rsidRPr="00927A04">
        <w:rPr>
          <w:sz w:val="20"/>
          <w:u w:val="single"/>
          <w:lang w:val="es-ES_tradnl"/>
        </w:rPr>
        <w:lastRenderedPageBreak/>
        <w:t xml:space="preserve">Proporcionar apoyo a los Estados miembros, las OIG, la sociedad civil y otras partes interesadas y prestarles asistencia para determinar los enfoques viables </w:t>
      </w:r>
    </w:p>
    <w:p w:rsidR="009E7719" w:rsidRPr="00AD1E8B" w:rsidRDefault="009E7719" w:rsidP="009E7719">
      <w:pPr>
        <w:widowControl w:val="0"/>
        <w:rPr>
          <w:sz w:val="20"/>
          <w:u w:val="single"/>
          <w:lang w:val="es-ES_tradnl"/>
        </w:rPr>
      </w:pPr>
    </w:p>
    <w:p w:rsidR="009E7719" w:rsidRPr="00AD1E8B" w:rsidRDefault="009E7719" w:rsidP="00E17471">
      <w:pPr>
        <w:widowControl w:val="0"/>
        <w:numPr>
          <w:ilvl w:val="0"/>
          <w:numId w:val="12"/>
        </w:numPr>
        <w:jc w:val="both"/>
        <w:rPr>
          <w:sz w:val="20"/>
          <w:lang w:val="es-ES_tradnl"/>
        </w:rPr>
      </w:pPr>
      <w:r w:rsidRPr="00AD1E8B">
        <w:rPr>
          <w:spacing w:val="1"/>
          <w:sz w:val="20"/>
          <w:lang w:val="es-ES_tradnl"/>
        </w:rPr>
        <w:t>Las antedichas actividades irán dirigidas a suministrar asistencia específica en respuesta a las solicitudes de los Estados miembros, las OIG, la sociedad civil y demás partes interesadas.  Con tal fin, se elaborarán herramientas de información sobre cuestiones importantes en el contexto de la P.I., la salud, el medio ambiente y la seguridad alimentaria a fin de proporcionar análisis neutrales y objetivos en beneficio de los Estados miembros y otras partes interesadas.</w:t>
      </w:r>
      <w:r w:rsidRPr="00AD1E8B">
        <w:rPr>
          <w:spacing w:val="2"/>
          <w:sz w:val="20"/>
          <w:lang w:val="es-ES_tradnl"/>
        </w:rPr>
        <w:t xml:space="preserve">  Asimismo, en respuesta a las solicitudes de los Estados miembros, las OIG, la sociedad civil y demás partes interesadas, el programa realizará aportaciones, cuando proceda, en los foros en que se trate de la innovación y la P.I. en el contexto de la salud, el cambio climático y la seguridad alimentaria.</w:t>
      </w:r>
      <w:r w:rsidRPr="00AD1E8B">
        <w:rPr>
          <w:sz w:val="20"/>
          <w:lang w:val="es-ES_tradnl"/>
        </w:rPr>
        <w:t xml:space="preserve">  Velando por la participación constructiva de la OMPI en los procesos pertinentes de política pública se presta apoyo a otros interesados y se contribuye a que la OMPI sea la instancia y el punto de referencia en materia de P.I. al examinar las cuestiones mundiales de política pública.</w:t>
      </w:r>
    </w:p>
    <w:p w:rsidR="009E7719" w:rsidRPr="00AD1E8B" w:rsidRDefault="009E7719" w:rsidP="009E7719">
      <w:pPr>
        <w:widowControl w:val="0"/>
        <w:jc w:val="both"/>
        <w:rPr>
          <w:sz w:val="20"/>
          <w:lang w:val="es-ES_tradnl"/>
        </w:rPr>
      </w:pPr>
    </w:p>
    <w:p w:rsidR="009E7719" w:rsidRPr="00AD1E8B" w:rsidRDefault="009E7719" w:rsidP="00E17471">
      <w:pPr>
        <w:widowControl w:val="0"/>
        <w:numPr>
          <w:ilvl w:val="0"/>
          <w:numId w:val="12"/>
        </w:numPr>
        <w:jc w:val="both"/>
        <w:rPr>
          <w:sz w:val="20"/>
          <w:lang w:val="es-ES_tradnl"/>
        </w:rPr>
      </w:pPr>
      <w:r w:rsidRPr="00AD1E8B">
        <w:rPr>
          <w:sz w:val="20"/>
          <w:lang w:val="es-ES_tradnl"/>
        </w:rPr>
        <w:t xml:space="preserve">Un aspecto fundamental de esta labor será la exploración de sinergias con otras áreas de la OMPI.  Por ejemplo, a medida que las plataformas sustantivas vayan desarrollándose podrán servir como puntos de entrada que permitan a las instituciones de los países en desarrollo acceder a toda una gama de servicios y programas de formación de la OMPI y por ende a informaciones técnicas sobre la P.I. (p. ej. bases de datos sobre patentes).  </w:t>
      </w:r>
    </w:p>
    <w:p w:rsidR="009E7719" w:rsidRPr="00AD1E8B" w:rsidRDefault="009E7719" w:rsidP="009E7719">
      <w:pPr>
        <w:widowControl w:val="0"/>
        <w:jc w:val="both"/>
        <w:rPr>
          <w:sz w:val="20"/>
          <w:lang w:val="es-ES_tradnl"/>
        </w:rPr>
      </w:pPr>
    </w:p>
    <w:p w:rsidR="009E7719" w:rsidRPr="00AD1E8B" w:rsidRDefault="009E7719" w:rsidP="00E17471">
      <w:pPr>
        <w:widowControl w:val="0"/>
        <w:numPr>
          <w:ilvl w:val="0"/>
          <w:numId w:val="12"/>
        </w:numPr>
        <w:jc w:val="both"/>
        <w:rPr>
          <w:sz w:val="20"/>
          <w:lang w:val="es-ES_tradnl"/>
        </w:rPr>
      </w:pPr>
      <w:r w:rsidRPr="00AD1E8B">
        <w:rPr>
          <w:sz w:val="20"/>
          <w:lang w:val="es-ES_tradnl"/>
        </w:rPr>
        <w:t>Las actividades se llevarán a cabo en estrecha cooperación con el programa 20 (Relaciones exteriores, alianzas y oficinas</w:t>
      </w:r>
      <w:r w:rsidR="008921D7">
        <w:rPr>
          <w:sz w:val="20"/>
          <w:lang w:val="es-ES_tradnl"/>
        </w:rPr>
        <w:t xml:space="preserve"> en el exterior</w:t>
      </w:r>
      <w:r w:rsidRPr="00AD1E8B">
        <w:rPr>
          <w:sz w:val="20"/>
          <w:lang w:val="es-ES_tradnl"/>
        </w:rPr>
        <w:t xml:space="preserve">)  para garantizar su sistemática coordinación con el conjunto de los temas de P.I. que son actualmente objeto de debate en los foros internacionales y nacionales, así como una cooperación reforzada con los demás organismos de las NN.UU. en consonancia con la recomendación 40 de la A.D.  Mediante la cooperación con el programa 9 (Países africanos, árabes, de América Latina y el Caribe, de Asia y el Pacífico y </w:t>
      </w:r>
      <w:r w:rsidR="00733234">
        <w:rPr>
          <w:sz w:val="20"/>
          <w:lang w:val="es-ES_tradnl"/>
        </w:rPr>
        <w:t>países menos adelantados</w:t>
      </w:r>
      <w:r w:rsidRPr="00AD1E8B">
        <w:rPr>
          <w:sz w:val="20"/>
          <w:lang w:val="es-ES_tradnl"/>
        </w:rPr>
        <w:t xml:space="preserve">) y el programa 10 (Cooperación con determinados países de Europa y Asia) se velará por que las actividades vayan destinadas a satisfacer las necesidades de los países en desarrollo, los PMA y los países con economías en transición.  </w:t>
      </w:r>
    </w:p>
    <w:p w:rsidR="009E7719" w:rsidRPr="00AD1E8B" w:rsidRDefault="009E7719" w:rsidP="009E7719">
      <w:pPr>
        <w:widowControl w:val="0"/>
        <w:rPr>
          <w:sz w:val="20"/>
          <w:lang w:val="es-ES_tradnl"/>
        </w:rPr>
      </w:pPr>
    </w:p>
    <w:p w:rsidR="009E7719" w:rsidRPr="00927A04" w:rsidRDefault="009E7719" w:rsidP="009E7719">
      <w:pPr>
        <w:widowControl w:val="0"/>
        <w:rPr>
          <w:sz w:val="20"/>
          <w:u w:val="single"/>
          <w:lang w:val="es-ES_tradnl"/>
        </w:rPr>
      </w:pPr>
      <w:r w:rsidRPr="00927A04">
        <w:rPr>
          <w:sz w:val="20"/>
          <w:u w:val="single"/>
          <w:lang w:val="es-ES_tradnl"/>
        </w:rPr>
        <w:t xml:space="preserve">Poner a punto una información objetiva y equilibrada en torno a las relaciones entre los desafíos mundiales, la innovación y la transferencia de tecnología </w:t>
      </w:r>
    </w:p>
    <w:p w:rsidR="009E7719" w:rsidRPr="00AD1E8B" w:rsidRDefault="009E7719" w:rsidP="009E7719">
      <w:pPr>
        <w:widowControl w:val="0"/>
        <w:rPr>
          <w:sz w:val="20"/>
          <w:u w:val="single"/>
          <w:lang w:val="es-ES_tradnl"/>
        </w:rPr>
      </w:pPr>
    </w:p>
    <w:p w:rsidR="009E7719" w:rsidRPr="00AD1E8B" w:rsidRDefault="009E7719" w:rsidP="00E17471">
      <w:pPr>
        <w:widowControl w:val="0"/>
        <w:numPr>
          <w:ilvl w:val="0"/>
          <w:numId w:val="12"/>
        </w:numPr>
        <w:jc w:val="both"/>
        <w:rPr>
          <w:sz w:val="20"/>
          <w:lang w:val="es-ES_tradnl"/>
        </w:rPr>
      </w:pPr>
      <w:r w:rsidRPr="00AD1E8B">
        <w:rPr>
          <w:sz w:val="20"/>
          <w:lang w:val="es-ES_tradnl"/>
        </w:rPr>
        <w:t xml:space="preserve">Con arreglo a esta estrategia podrán elaborarse estudios sobre políticas en torno a temas  como la función de la P.I. y la gestión de la P.I. en la transferencia de tecnología para hacer frente a los desafíos mundiales.  Además se llevarán a cabo análisis sustantivos en forma de informes y documentos que permitan conocer más adecuadamente cuáles son los factores estratégicos y las políticas de innovación; demuestren de manera dinámica el uso de las herramientas de P.I.; y proporcionen a los Estados miembros una mejor comprensión de las transferencias de tecnología.  </w:t>
      </w:r>
    </w:p>
    <w:p w:rsidR="009E7719" w:rsidRPr="00AD1E8B" w:rsidRDefault="009E7719" w:rsidP="009E7719">
      <w:pPr>
        <w:widowControl w:val="0"/>
        <w:jc w:val="both"/>
        <w:rPr>
          <w:sz w:val="20"/>
          <w:lang w:val="es-ES_tradnl"/>
        </w:rPr>
      </w:pPr>
    </w:p>
    <w:p w:rsidR="009E7719" w:rsidRPr="00AD1E8B" w:rsidRDefault="009E7719" w:rsidP="00E17471">
      <w:pPr>
        <w:widowControl w:val="0"/>
        <w:numPr>
          <w:ilvl w:val="0"/>
          <w:numId w:val="12"/>
        </w:numPr>
        <w:jc w:val="both"/>
        <w:rPr>
          <w:sz w:val="20"/>
          <w:lang w:val="es-ES_tradnl"/>
        </w:rPr>
      </w:pPr>
      <w:r w:rsidRPr="00AD1E8B">
        <w:rPr>
          <w:sz w:val="20"/>
          <w:lang w:val="es-ES_tradnl"/>
        </w:rPr>
        <w:t xml:space="preserve">A fin de que la OMPI pueda explotar plenamente las posibilidades que brinda el examen de la relación existente entre la P.I. y las cuestiones mundiales de política, deberá ganarse la confianza de los posibles asociados mediante aportaciones importantes que no solamente hagan avanzar los debates al dar a conocer más adecuadamente las cuestiones, sino que asimismo generen confianza en cuanto a su imparcialidad.  Además, la OMPI aportará valor en este ámbito a los Estados miembros colaborando estrechamente con otras OIG según las necesidades.  El </w:t>
      </w:r>
      <w:r>
        <w:rPr>
          <w:sz w:val="20"/>
          <w:lang w:val="es-ES_tradnl"/>
        </w:rPr>
        <w:t>p</w:t>
      </w:r>
      <w:r w:rsidRPr="00AD1E8B">
        <w:rPr>
          <w:sz w:val="20"/>
          <w:lang w:val="es-ES_tradnl"/>
        </w:rPr>
        <w:t>rograma proseguirá la fructífera cooperación trilateral con la Organización Mundial de la Salud y la Organización Mundial del Comercio.</w:t>
      </w:r>
    </w:p>
    <w:p w:rsidR="009E7719" w:rsidRPr="00AD1E8B" w:rsidRDefault="009E7719" w:rsidP="009E7719">
      <w:pPr>
        <w:widowControl w:val="0"/>
        <w:jc w:val="both"/>
        <w:rPr>
          <w:sz w:val="20"/>
          <w:lang w:val="es-ES_tradnl"/>
        </w:rPr>
      </w:pPr>
    </w:p>
    <w:p w:rsidR="009E7719" w:rsidRPr="00AD1E8B" w:rsidRDefault="009E7719" w:rsidP="00E17471">
      <w:pPr>
        <w:widowControl w:val="0"/>
        <w:numPr>
          <w:ilvl w:val="0"/>
          <w:numId w:val="12"/>
        </w:numPr>
        <w:jc w:val="both"/>
        <w:rPr>
          <w:sz w:val="20"/>
          <w:lang w:val="es-ES_tradnl"/>
        </w:rPr>
      </w:pPr>
      <w:r w:rsidRPr="00AD1E8B">
        <w:rPr>
          <w:sz w:val="20"/>
          <w:lang w:val="es-ES_tradnl"/>
        </w:rPr>
        <w:t xml:space="preserve">Esta parte de la estrategia se ejecutará en estrecha cooperación con los programas 1 (Derecho de patentes), 14 (Servicios de acceso a la información y a los conocimientos), 19 (Comunicaciones), y 20 (Relaciones exteriores, alianzas y oficinas </w:t>
      </w:r>
      <w:r w:rsidR="003B22A3">
        <w:rPr>
          <w:sz w:val="20"/>
          <w:lang w:val="es-ES_tradnl"/>
        </w:rPr>
        <w:t>en el exterior</w:t>
      </w:r>
      <w:r w:rsidRPr="00AD1E8B">
        <w:rPr>
          <w:sz w:val="20"/>
          <w:lang w:val="es-ES_tradnl"/>
        </w:rPr>
        <w:t xml:space="preserve">).  </w:t>
      </w:r>
    </w:p>
    <w:p w:rsidR="009E7719" w:rsidRDefault="009E7719" w:rsidP="009E7719">
      <w:pPr>
        <w:widowControl w:val="0"/>
        <w:tabs>
          <w:tab w:val="left" w:pos="567"/>
          <w:tab w:val="left" w:pos="1985"/>
        </w:tabs>
        <w:jc w:val="both"/>
        <w:rPr>
          <w:bCs/>
          <w:sz w:val="20"/>
          <w:lang w:val="es-ES_tradnl"/>
        </w:rPr>
      </w:pPr>
    </w:p>
    <w:p w:rsidR="009E7719" w:rsidRDefault="009E7719" w:rsidP="009E7719">
      <w:pPr>
        <w:widowControl w:val="0"/>
        <w:tabs>
          <w:tab w:val="left" w:pos="567"/>
          <w:tab w:val="left" w:pos="1985"/>
        </w:tabs>
        <w:jc w:val="both"/>
        <w:rPr>
          <w:bCs/>
          <w:sz w:val="20"/>
          <w:lang w:val="es-ES_tradnl"/>
        </w:rPr>
      </w:pPr>
    </w:p>
    <w:p w:rsidR="009E7719" w:rsidRPr="00AD1E8B" w:rsidRDefault="009E7719" w:rsidP="00542C2B">
      <w:pPr>
        <w:keepNext/>
        <w:widowControl w:val="0"/>
        <w:tabs>
          <w:tab w:val="left" w:pos="567"/>
          <w:tab w:val="left" w:pos="1985"/>
        </w:tabs>
        <w:jc w:val="both"/>
        <w:rPr>
          <w:bCs/>
          <w:szCs w:val="22"/>
          <w:lang w:val="es-ES_tradnl"/>
        </w:rPr>
      </w:pPr>
      <w:r w:rsidRPr="00AD1E8B">
        <w:rPr>
          <w:bCs/>
          <w:szCs w:val="22"/>
          <w:lang w:val="es-ES_tradnl"/>
        </w:rPr>
        <w:lastRenderedPageBreak/>
        <w:t>PRINCIPALES RIESGOS Y ESTRATEGIAS DE MITIGACIÓN</w:t>
      </w:r>
    </w:p>
    <w:p w:rsidR="009E7719" w:rsidRPr="00AD1E8B" w:rsidRDefault="009E7719" w:rsidP="00542C2B">
      <w:pPr>
        <w:keepNext/>
        <w:widowControl w:val="0"/>
        <w:tabs>
          <w:tab w:val="left" w:pos="567"/>
          <w:tab w:val="left" w:pos="1985"/>
        </w:tabs>
        <w:jc w:val="both"/>
        <w:rPr>
          <w:bCs/>
          <w:sz w:val="20"/>
          <w:lang w:val="es-ES_tradnl"/>
        </w:rPr>
      </w:pPr>
    </w:p>
    <w:tbl>
      <w:tblPr>
        <w:tblW w:w="0" w:type="auto"/>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536"/>
        <w:gridCol w:w="4820"/>
      </w:tblGrid>
      <w:tr w:rsidR="00573458" w:rsidRPr="00C75C7E" w:rsidTr="00A74F33">
        <w:trPr>
          <w:cantSplit/>
          <w:trHeight w:val="458"/>
          <w:tblHeader/>
        </w:trPr>
        <w:tc>
          <w:tcPr>
            <w:tcW w:w="4536" w:type="dxa"/>
            <w:tcBorders>
              <w:top w:val="single" w:sz="4" w:space="0" w:color="auto"/>
              <w:bottom w:val="single" w:sz="4" w:space="0" w:color="auto"/>
            </w:tcBorders>
            <w:shd w:val="clear" w:color="auto" w:fill="CCFFFF"/>
            <w:tcMar>
              <w:top w:w="113" w:type="dxa"/>
              <w:bottom w:w="85" w:type="dxa"/>
            </w:tcMar>
            <w:vAlign w:val="center"/>
          </w:tcPr>
          <w:p w:rsidR="00573458" w:rsidRPr="00C75C7E" w:rsidRDefault="00573458" w:rsidP="00542C2B">
            <w:pPr>
              <w:keepNext/>
              <w:widowControl w:val="0"/>
              <w:ind w:right="-108"/>
              <w:jc w:val="center"/>
              <w:rPr>
                <w:b/>
                <w:iCs/>
                <w:sz w:val="18"/>
                <w:szCs w:val="18"/>
                <w:lang w:val="es-ES_tradnl"/>
              </w:rPr>
            </w:pPr>
            <w:r w:rsidRPr="00C75C7E">
              <w:rPr>
                <w:b/>
                <w:bCs/>
                <w:iCs/>
                <w:sz w:val="18"/>
                <w:szCs w:val="18"/>
                <w:lang w:val="es-ES_tradnl"/>
              </w:rPr>
              <w:t>Riesgos en el logro de los resultados del programa</w:t>
            </w:r>
          </w:p>
        </w:tc>
        <w:tc>
          <w:tcPr>
            <w:tcW w:w="4820" w:type="dxa"/>
            <w:tcBorders>
              <w:top w:val="single" w:sz="4" w:space="0" w:color="auto"/>
              <w:bottom w:val="single" w:sz="4" w:space="0" w:color="auto"/>
            </w:tcBorders>
            <w:shd w:val="clear" w:color="auto" w:fill="CCFFFF"/>
            <w:tcMar>
              <w:top w:w="113" w:type="dxa"/>
              <w:bottom w:w="85" w:type="dxa"/>
            </w:tcMar>
            <w:vAlign w:val="center"/>
          </w:tcPr>
          <w:p w:rsidR="00573458" w:rsidRPr="00C75C7E" w:rsidRDefault="00573458" w:rsidP="00542C2B">
            <w:pPr>
              <w:keepNext/>
              <w:widowControl w:val="0"/>
              <w:jc w:val="center"/>
              <w:rPr>
                <w:b/>
                <w:bCs/>
                <w:iCs/>
                <w:sz w:val="18"/>
                <w:szCs w:val="18"/>
                <w:lang w:val="es-ES_tradnl"/>
              </w:rPr>
            </w:pPr>
            <w:r w:rsidRPr="00C75C7E">
              <w:rPr>
                <w:b/>
                <w:bCs/>
                <w:iCs/>
                <w:sz w:val="18"/>
                <w:szCs w:val="18"/>
                <w:lang w:val="es-ES_tradnl"/>
              </w:rPr>
              <w:t>Planes de mitigación ejecutados o en ejecución</w:t>
            </w:r>
          </w:p>
        </w:tc>
      </w:tr>
      <w:tr w:rsidR="00573458" w:rsidRPr="00C75C7E" w:rsidTr="00A74F33">
        <w:trPr>
          <w:cantSplit/>
          <w:trHeight w:val="1350"/>
        </w:trPr>
        <w:tc>
          <w:tcPr>
            <w:tcW w:w="4536" w:type="dxa"/>
            <w:tcBorders>
              <w:top w:val="single" w:sz="4" w:space="0" w:color="auto"/>
            </w:tcBorders>
            <w:shd w:val="clear" w:color="auto" w:fill="auto"/>
            <w:tcMar>
              <w:top w:w="113" w:type="dxa"/>
              <w:bottom w:w="85" w:type="dxa"/>
            </w:tcMar>
          </w:tcPr>
          <w:p w:rsidR="00573458" w:rsidRPr="00C75C7E" w:rsidRDefault="00573458" w:rsidP="008F4F69">
            <w:pPr>
              <w:widowControl w:val="0"/>
              <w:rPr>
                <w:sz w:val="16"/>
                <w:szCs w:val="16"/>
                <w:lang w:val="es-ES_tradnl"/>
              </w:rPr>
            </w:pPr>
            <w:r w:rsidRPr="00C75C7E">
              <w:rPr>
                <w:sz w:val="16"/>
                <w:szCs w:val="16"/>
                <w:lang w:val="es-ES_tradnl"/>
              </w:rPr>
              <w:t>La falta o la disminución del interés de las entidades participantes en las plataformas, el abandono de algunos miembros o la publicación insuficiente de información en una plataforma por parte de algunos miembros afectan directamente al funcionamiento de las plataformas y a la función que se espera que cumplan, así como a la credibilidad de los proyectos, por lo que las plataformas podrían acabar perdiendo su pertinencia al compararlas con proyectos de plataformas similares al margen de la OMPI.</w:t>
            </w:r>
          </w:p>
        </w:tc>
        <w:tc>
          <w:tcPr>
            <w:tcW w:w="4820" w:type="dxa"/>
            <w:tcBorders>
              <w:top w:val="single" w:sz="4" w:space="0" w:color="auto"/>
            </w:tcBorders>
            <w:shd w:val="clear" w:color="auto" w:fill="auto"/>
            <w:tcMar>
              <w:top w:w="113" w:type="dxa"/>
              <w:bottom w:w="85" w:type="dxa"/>
            </w:tcMar>
          </w:tcPr>
          <w:p w:rsidR="00573458" w:rsidRPr="00C75C7E" w:rsidRDefault="00573458" w:rsidP="008F4F69">
            <w:pPr>
              <w:widowControl w:val="0"/>
              <w:rPr>
                <w:sz w:val="16"/>
                <w:szCs w:val="16"/>
                <w:lang w:val="es-ES_tradnl"/>
              </w:rPr>
            </w:pPr>
            <w:r w:rsidRPr="00C75C7E">
              <w:rPr>
                <w:sz w:val="16"/>
                <w:szCs w:val="16"/>
                <w:lang w:val="es-ES_tradnl"/>
              </w:rPr>
              <w:t>Un examen continuo de la estrategia, el entorno y la planificación que permita una detección temprana de las tendencias y la toma de medidas adecuadas lo antes posible.</w:t>
            </w:r>
          </w:p>
          <w:p w:rsidR="00573458" w:rsidRPr="00C75C7E" w:rsidRDefault="00573458" w:rsidP="008F4F69">
            <w:pPr>
              <w:widowControl w:val="0"/>
              <w:rPr>
                <w:sz w:val="16"/>
                <w:szCs w:val="16"/>
                <w:lang w:val="es-ES_tradnl"/>
              </w:rPr>
            </w:pPr>
          </w:p>
          <w:p w:rsidR="00573458" w:rsidRPr="00C75C7E" w:rsidRDefault="00573458" w:rsidP="008F4F69">
            <w:pPr>
              <w:widowControl w:val="0"/>
              <w:rPr>
                <w:i/>
                <w:sz w:val="16"/>
                <w:szCs w:val="16"/>
                <w:lang w:val="es-ES_tradnl"/>
              </w:rPr>
            </w:pPr>
            <w:r w:rsidRPr="00C75C7E">
              <w:rPr>
                <w:sz w:val="16"/>
                <w:szCs w:val="16"/>
                <w:lang w:val="es-ES_tradnl"/>
              </w:rPr>
              <w:t xml:space="preserve"> </w:t>
            </w:r>
          </w:p>
        </w:tc>
      </w:tr>
      <w:tr w:rsidR="00573458" w:rsidRPr="00C75C7E" w:rsidTr="00A74F33">
        <w:trPr>
          <w:trHeight w:val="824"/>
        </w:trPr>
        <w:tc>
          <w:tcPr>
            <w:tcW w:w="4536" w:type="dxa"/>
            <w:shd w:val="clear" w:color="auto" w:fill="auto"/>
            <w:tcMar>
              <w:top w:w="113" w:type="dxa"/>
              <w:bottom w:w="85" w:type="dxa"/>
            </w:tcMar>
          </w:tcPr>
          <w:p w:rsidR="00573458" w:rsidRPr="00C75C7E" w:rsidRDefault="00573458" w:rsidP="008F4F69">
            <w:pPr>
              <w:widowControl w:val="0"/>
              <w:rPr>
                <w:sz w:val="16"/>
                <w:szCs w:val="16"/>
                <w:lang w:val="es-ES_tradnl"/>
              </w:rPr>
            </w:pPr>
            <w:r w:rsidRPr="00C75C7E">
              <w:rPr>
                <w:sz w:val="16"/>
                <w:szCs w:val="16"/>
                <w:lang w:val="es-ES_tradnl"/>
              </w:rPr>
              <w:t>La accesibilidad técnica de las bases de datos de P.I. y la continuidad del funcionamiento y la fiabilidad de la infraestructura de esas bases.  Los problemas recurrentes de disponibilidad de datos pueden afectar negativamente a la reputación y la credibilidad de la OMPI.</w:t>
            </w:r>
          </w:p>
        </w:tc>
        <w:tc>
          <w:tcPr>
            <w:tcW w:w="4820" w:type="dxa"/>
            <w:shd w:val="clear" w:color="auto" w:fill="auto"/>
            <w:tcMar>
              <w:top w:w="113" w:type="dxa"/>
              <w:bottom w:w="85" w:type="dxa"/>
            </w:tcMar>
          </w:tcPr>
          <w:p w:rsidR="00573458" w:rsidRPr="00C75C7E" w:rsidRDefault="00573458" w:rsidP="008F4F69">
            <w:pPr>
              <w:widowControl w:val="0"/>
              <w:rPr>
                <w:sz w:val="16"/>
                <w:szCs w:val="16"/>
                <w:lang w:val="es-ES_tradnl"/>
              </w:rPr>
            </w:pPr>
            <w:r w:rsidRPr="00C75C7E">
              <w:rPr>
                <w:sz w:val="16"/>
                <w:szCs w:val="16"/>
                <w:lang w:val="es-ES_tradnl"/>
              </w:rPr>
              <w:t xml:space="preserve">Velar por que se presten los servicios pertinentes, se comercialicen estos eficazmente y se mantenga un contacto estrecho con las principales partes interesadas. </w:t>
            </w:r>
          </w:p>
          <w:p w:rsidR="00573458" w:rsidRPr="00C75C7E" w:rsidRDefault="00573458" w:rsidP="008F4F69">
            <w:pPr>
              <w:widowControl w:val="0"/>
              <w:rPr>
                <w:sz w:val="16"/>
                <w:szCs w:val="16"/>
                <w:lang w:val="es-ES_tradnl"/>
              </w:rPr>
            </w:pPr>
          </w:p>
          <w:p w:rsidR="00573458" w:rsidRPr="00C75C7E" w:rsidRDefault="00573458" w:rsidP="008F4F69">
            <w:pPr>
              <w:widowControl w:val="0"/>
              <w:rPr>
                <w:sz w:val="16"/>
                <w:szCs w:val="16"/>
                <w:lang w:val="es-ES_tradnl"/>
              </w:rPr>
            </w:pPr>
            <w:r w:rsidRPr="00C75C7E">
              <w:rPr>
                <w:sz w:val="16"/>
                <w:szCs w:val="16"/>
                <w:lang w:val="es-ES_tradnl"/>
              </w:rPr>
              <w:t xml:space="preserve"> </w:t>
            </w:r>
          </w:p>
        </w:tc>
      </w:tr>
    </w:tbl>
    <w:p w:rsidR="009E7719" w:rsidRPr="00AD1E8B" w:rsidRDefault="009E7719" w:rsidP="009E7719">
      <w:pPr>
        <w:widowControl w:val="0"/>
        <w:tabs>
          <w:tab w:val="left" w:pos="567"/>
          <w:tab w:val="left" w:pos="1985"/>
        </w:tabs>
        <w:jc w:val="both"/>
        <w:rPr>
          <w:bCs/>
          <w:sz w:val="20"/>
          <w:lang w:val="es-ES_tradnl"/>
        </w:rPr>
      </w:pPr>
    </w:p>
    <w:p w:rsidR="009E7719" w:rsidRPr="00AD1E8B" w:rsidRDefault="009E7719" w:rsidP="009E7719">
      <w:pPr>
        <w:widowControl w:val="0"/>
        <w:tabs>
          <w:tab w:val="left" w:pos="567"/>
          <w:tab w:val="left" w:pos="1985"/>
        </w:tabs>
        <w:jc w:val="both"/>
        <w:rPr>
          <w:bCs/>
          <w:sz w:val="20"/>
          <w:lang w:val="es-ES_tradnl"/>
        </w:rPr>
      </w:pPr>
    </w:p>
    <w:p w:rsidR="009E7719" w:rsidRPr="00AD1E8B" w:rsidRDefault="009E7719" w:rsidP="009E7719">
      <w:pPr>
        <w:widowControl w:val="0"/>
        <w:rPr>
          <w:b/>
          <w:bCs/>
          <w:szCs w:val="22"/>
          <w:lang w:val="es-ES_tradnl"/>
        </w:rPr>
      </w:pPr>
      <w:r w:rsidRPr="00AD1E8B">
        <w:rPr>
          <w:b/>
          <w:bCs/>
          <w:szCs w:val="22"/>
          <w:lang w:val="es-ES_tradnl"/>
        </w:rPr>
        <w:t>LA P.I. Y LA POLÍTICA DE COMPETENCIA</w:t>
      </w:r>
    </w:p>
    <w:p w:rsidR="009E7719" w:rsidRPr="00AD1E8B" w:rsidRDefault="009E7719" w:rsidP="009E7719">
      <w:pPr>
        <w:widowControl w:val="0"/>
        <w:tabs>
          <w:tab w:val="left" w:pos="795"/>
        </w:tabs>
        <w:rPr>
          <w:bCs/>
          <w:sz w:val="20"/>
          <w:lang w:val="es-ES_tradnl"/>
        </w:rPr>
      </w:pPr>
    </w:p>
    <w:p w:rsidR="009E7719" w:rsidRPr="00AD1E8B" w:rsidRDefault="009E7719" w:rsidP="009E7719">
      <w:pPr>
        <w:pStyle w:val="BodyTextIndent"/>
        <w:widowControl w:val="0"/>
        <w:ind w:left="1985" w:hanging="1985"/>
        <w:jc w:val="both"/>
        <w:rPr>
          <w:rFonts w:ascii="Arial" w:hAnsi="Arial" w:cs="Arial"/>
          <w:sz w:val="22"/>
          <w:szCs w:val="22"/>
          <w:lang w:val="es-ES_tradnl"/>
        </w:rPr>
      </w:pPr>
      <w:r w:rsidRPr="00AD1E8B">
        <w:rPr>
          <w:rFonts w:ascii="Arial" w:hAnsi="Arial" w:cs="Arial"/>
          <w:sz w:val="22"/>
          <w:szCs w:val="22"/>
          <w:lang w:val="es-ES_tradnl"/>
        </w:rPr>
        <w:t>CONTEXTO DE PLANIFICACIÓN</w:t>
      </w:r>
    </w:p>
    <w:p w:rsidR="009E7719" w:rsidRPr="00AD1E8B" w:rsidRDefault="009E7719" w:rsidP="009E7719">
      <w:pPr>
        <w:widowControl w:val="0"/>
        <w:rPr>
          <w:bCs/>
          <w:sz w:val="20"/>
          <w:lang w:val="es-ES_tradnl"/>
        </w:rPr>
      </w:pPr>
    </w:p>
    <w:p w:rsidR="009E7719" w:rsidRPr="00AD1E8B" w:rsidRDefault="009E7719" w:rsidP="00E17471">
      <w:pPr>
        <w:widowControl w:val="0"/>
        <w:numPr>
          <w:ilvl w:val="0"/>
          <w:numId w:val="12"/>
        </w:numPr>
        <w:jc w:val="both"/>
        <w:rPr>
          <w:bCs/>
          <w:i/>
          <w:sz w:val="20"/>
          <w:lang w:val="es-ES_tradnl"/>
        </w:rPr>
      </w:pPr>
      <w:r w:rsidRPr="00AD1E8B">
        <w:rPr>
          <w:sz w:val="20"/>
          <w:lang w:val="es-ES_tradnl"/>
        </w:rPr>
        <w:t>El programa 18 contempla asimismo otras dos áreas:  la primera es la interfaz entre la P.I. por un lado y la legislación en materia de competencia / antimonopolio por el otro lado.  La legislación en materia de competencia se considera cada vez más como un importante componente de un sistema de P.I. equilibrado.</w:t>
      </w:r>
    </w:p>
    <w:p w:rsidR="009E7719" w:rsidRPr="00AD1E8B" w:rsidRDefault="009E7719" w:rsidP="009E7719">
      <w:pPr>
        <w:widowControl w:val="0"/>
        <w:tabs>
          <w:tab w:val="num" w:pos="709"/>
        </w:tabs>
        <w:rPr>
          <w:bCs/>
          <w:sz w:val="20"/>
          <w:lang w:val="es-ES_tradnl"/>
        </w:rPr>
      </w:pPr>
    </w:p>
    <w:p w:rsidR="009E7719" w:rsidRPr="00AD1E8B" w:rsidRDefault="009E7719" w:rsidP="00E17471">
      <w:pPr>
        <w:widowControl w:val="0"/>
        <w:numPr>
          <w:ilvl w:val="0"/>
          <w:numId w:val="12"/>
        </w:numPr>
        <w:jc w:val="both"/>
        <w:rPr>
          <w:sz w:val="20"/>
          <w:lang w:val="es-ES_tradnl"/>
        </w:rPr>
      </w:pPr>
      <w:r w:rsidRPr="00AD1E8B">
        <w:rPr>
          <w:sz w:val="20"/>
          <w:lang w:val="es-ES_tradnl"/>
        </w:rPr>
        <w:t xml:space="preserve">Las actividades de la OMPI en el ámbito de la P.I. y la legislación en materia de competencia se rigen por las </w:t>
      </w:r>
      <w:r>
        <w:rPr>
          <w:sz w:val="20"/>
          <w:lang w:val="es-ES_tradnl"/>
        </w:rPr>
        <w:t>r</w:t>
      </w:r>
      <w:r w:rsidRPr="00AD1E8B">
        <w:rPr>
          <w:sz w:val="20"/>
          <w:lang w:val="es-ES_tradnl"/>
        </w:rPr>
        <w:t xml:space="preserve">ecomendaciones 7, 23 y 32 de la A.D.  Algunas de las actividades emprendidas en los últimos años serán mantenidas y ampliadas.  En particular y tratándose de países poco experimentados en el campo de la P.I. y la competencia, la OMPI continuará promoviendo la sensibilización y el intercambio de información difundiendo los resultados de los estudios elaborados hasta la fecha o durante el presente bienio. </w:t>
      </w:r>
    </w:p>
    <w:p w:rsidR="009E7719" w:rsidRPr="00AD1E8B" w:rsidRDefault="009E7719" w:rsidP="009E7719">
      <w:pPr>
        <w:widowControl w:val="0"/>
        <w:jc w:val="both"/>
        <w:rPr>
          <w:spacing w:val="8"/>
          <w:sz w:val="20"/>
          <w:lang w:val="es-ES_tradnl"/>
        </w:rPr>
      </w:pPr>
    </w:p>
    <w:p w:rsidR="009E7719" w:rsidRPr="00AD1E8B" w:rsidRDefault="009E7719" w:rsidP="00E17471">
      <w:pPr>
        <w:widowControl w:val="0"/>
        <w:numPr>
          <w:ilvl w:val="0"/>
          <w:numId w:val="12"/>
        </w:numPr>
        <w:jc w:val="both"/>
        <w:rPr>
          <w:bCs/>
          <w:sz w:val="20"/>
          <w:lang w:val="es-ES_tradnl"/>
        </w:rPr>
      </w:pPr>
      <w:r w:rsidRPr="00AD1E8B">
        <w:rPr>
          <w:sz w:val="20"/>
          <w:lang w:val="es-ES_tradnl"/>
        </w:rPr>
        <w:t xml:space="preserve">En el marco de la </w:t>
      </w:r>
      <w:r>
        <w:rPr>
          <w:sz w:val="20"/>
          <w:lang w:val="es-ES_tradnl"/>
        </w:rPr>
        <w:t>m</w:t>
      </w:r>
      <w:r w:rsidRPr="00AD1E8B">
        <w:rPr>
          <w:sz w:val="20"/>
          <w:lang w:val="es-ES_tradnl"/>
        </w:rPr>
        <w:t xml:space="preserve">eta </w:t>
      </w:r>
      <w:r>
        <w:rPr>
          <w:sz w:val="20"/>
          <w:lang w:val="es-ES_tradnl"/>
        </w:rPr>
        <w:t>e</w:t>
      </w:r>
      <w:r w:rsidRPr="00AD1E8B">
        <w:rPr>
          <w:sz w:val="20"/>
          <w:lang w:val="es-ES_tradnl"/>
        </w:rPr>
        <w:t xml:space="preserve">stratégica VII, la OMPI se esforzará por consolidar su posición como foro idóneo para la discusión de temas y el intercambio de experiencias pertinentes a la P.I. y la política de competencia.  Además, los trabajos realizados en el ámbito de la P.I. y la política de competencia presentan una clara conexión con la </w:t>
      </w:r>
      <w:r>
        <w:rPr>
          <w:sz w:val="20"/>
          <w:lang w:val="es-ES_tradnl"/>
        </w:rPr>
        <w:t>m</w:t>
      </w:r>
      <w:r w:rsidRPr="00AD1E8B">
        <w:rPr>
          <w:sz w:val="20"/>
          <w:lang w:val="es-ES_tradnl"/>
        </w:rPr>
        <w:t xml:space="preserve">eta </w:t>
      </w:r>
      <w:r>
        <w:rPr>
          <w:sz w:val="20"/>
          <w:lang w:val="es-ES_tradnl"/>
        </w:rPr>
        <w:t>e</w:t>
      </w:r>
      <w:r w:rsidRPr="00AD1E8B">
        <w:rPr>
          <w:sz w:val="20"/>
          <w:lang w:val="es-ES_tradnl"/>
        </w:rPr>
        <w:t xml:space="preserve">stratégica III a causa de la referencia específica contenida en las </w:t>
      </w:r>
      <w:r>
        <w:rPr>
          <w:sz w:val="20"/>
          <w:lang w:val="es-ES_tradnl"/>
        </w:rPr>
        <w:t>r</w:t>
      </w:r>
      <w:r w:rsidRPr="00AD1E8B">
        <w:rPr>
          <w:sz w:val="20"/>
          <w:lang w:val="es-ES_tradnl"/>
        </w:rPr>
        <w:t>ecomendaciones 7, 23 y 32 de la A.D.  Garantizar la libertad de mercado es un importante catalizador del desarrollo, y la P.I. es un elemento de peso en ese empeño.</w:t>
      </w:r>
      <w:r w:rsidRPr="00AD1E8B">
        <w:rPr>
          <w:spacing w:val="8"/>
          <w:sz w:val="20"/>
          <w:lang w:val="es-ES_tradnl"/>
        </w:rPr>
        <w:t xml:space="preserve">  </w:t>
      </w:r>
    </w:p>
    <w:p w:rsidR="009E7719" w:rsidRPr="00AD1E8B" w:rsidRDefault="009E7719" w:rsidP="009E7719">
      <w:pPr>
        <w:widowControl w:val="0"/>
        <w:jc w:val="both"/>
        <w:rPr>
          <w:bCs/>
          <w:sz w:val="20"/>
          <w:lang w:val="es-ES_tradnl"/>
        </w:rPr>
      </w:pPr>
    </w:p>
    <w:p w:rsidR="009E7719" w:rsidRPr="00AD1E8B" w:rsidRDefault="009E7719" w:rsidP="009E7719">
      <w:pPr>
        <w:widowControl w:val="0"/>
        <w:jc w:val="both"/>
        <w:rPr>
          <w:bCs/>
          <w:sz w:val="20"/>
          <w:lang w:val="es-ES_tradnl"/>
        </w:rPr>
      </w:pPr>
    </w:p>
    <w:p w:rsidR="009E7719" w:rsidRPr="00AD1E8B" w:rsidRDefault="009E7719" w:rsidP="009E7719">
      <w:pPr>
        <w:widowControl w:val="0"/>
        <w:jc w:val="both"/>
        <w:rPr>
          <w:bCs/>
          <w:szCs w:val="22"/>
          <w:lang w:val="es-ES_tradnl"/>
        </w:rPr>
      </w:pPr>
      <w:r w:rsidRPr="00AD1E8B">
        <w:rPr>
          <w:bCs/>
          <w:szCs w:val="22"/>
          <w:lang w:val="es-ES_tradnl"/>
        </w:rPr>
        <w:t>ESTRATEGIAS DE EJECUCIÓN</w:t>
      </w:r>
    </w:p>
    <w:p w:rsidR="009E7719" w:rsidRPr="00AD1E8B" w:rsidRDefault="009E7719" w:rsidP="009E7719">
      <w:pPr>
        <w:widowControl w:val="0"/>
        <w:jc w:val="both"/>
        <w:rPr>
          <w:bCs/>
          <w:sz w:val="20"/>
          <w:lang w:val="es-ES_tradnl"/>
        </w:rPr>
      </w:pPr>
    </w:p>
    <w:p w:rsidR="009E7719" w:rsidRPr="00AD1E8B" w:rsidRDefault="009E7719" w:rsidP="00E17471">
      <w:pPr>
        <w:widowControl w:val="0"/>
        <w:numPr>
          <w:ilvl w:val="0"/>
          <w:numId w:val="12"/>
        </w:numPr>
        <w:jc w:val="both"/>
        <w:rPr>
          <w:sz w:val="20"/>
          <w:lang w:val="es-ES_tradnl"/>
        </w:rPr>
      </w:pPr>
      <w:r w:rsidRPr="00AD1E8B">
        <w:rPr>
          <w:sz w:val="20"/>
          <w:lang w:val="es-ES_tradnl"/>
        </w:rPr>
        <w:t xml:space="preserve">Algunas actividades, concretamente las referentes al intercambio de experiencias y la asistencia a los Estados miembros en lo tocante a la interacción entre la P.I. y la política de competencia (mediante estudios y encuestas), se continuarán en 2014/15.  El principal objetivo es recopilar y difundir información en torno a los asuntos de competencia en los que interviene la P.I., así como sensibilizar al público acerca de la interfaz entre la P.I. y la política de competencia entre los Estados </w:t>
      </w:r>
      <w:r>
        <w:rPr>
          <w:sz w:val="20"/>
          <w:lang w:val="es-ES_tradnl"/>
        </w:rPr>
        <w:t>mi</w:t>
      </w:r>
      <w:r w:rsidRPr="00AD1E8B">
        <w:rPr>
          <w:sz w:val="20"/>
          <w:lang w:val="es-ES_tradnl"/>
        </w:rPr>
        <w:t xml:space="preserve">embros, con especial énfasis sobre las economías incipientes.  Esto concuerda con las </w:t>
      </w:r>
      <w:r>
        <w:rPr>
          <w:sz w:val="20"/>
          <w:lang w:val="es-ES_tradnl"/>
        </w:rPr>
        <w:t>r</w:t>
      </w:r>
      <w:r w:rsidRPr="00AD1E8B">
        <w:rPr>
          <w:sz w:val="20"/>
          <w:lang w:val="es-ES_tradnl"/>
        </w:rPr>
        <w:t>ecomendaciones 7, 23 y 32 de la A.D.  También se dedicará la debida atención a la interfaz entre la P.I. y la política de competencia en relación con la transferencia de tecnología en determinadas industrias y países.</w:t>
      </w:r>
    </w:p>
    <w:p w:rsidR="009E7719" w:rsidRPr="00AD1E8B" w:rsidRDefault="009E7719" w:rsidP="009E7719">
      <w:pPr>
        <w:widowControl w:val="0"/>
        <w:jc w:val="both"/>
        <w:rPr>
          <w:bCs/>
          <w:sz w:val="20"/>
          <w:lang w:val="es-ES_tradnl"/>
        </w:rPr>
      </w:pPr>
    </w:p>
    <w:p w:rsidR="009E7719" w:rsidRPr="00AD1E8B" w:rsidRDefault="009E7719" w:rsidP="009E7719">
      <w:pPr>
        <w:widowControl w:val="0"/>
        <w:jc w:val="both"/>
        <w:rPr>
          <w:bCs/>
          <w:sz w:val="20"/>
          <w:lang w:val="es-ES_tradnl"/>
        </w:rPr>
      </w:pPr>
    </w:p>
    <w:p w:rsidR="00573458" w:rsidRPr="00C75C7E" w:rsidRDefault="00573458" w:rsidP="00542C2B">
      <w:pPr>
        <w:keepNext/>
        <w:widowControl w:val="0"/>
        <w:jc w:val="both"/>
        <w:rPr>
          <w:bCs/>
          <w:szCs w:val="22"/>
          <w:lang w:val="es-ES_tradnl"/>
        </w:rPr>
      </w:pPr>
      <w:r w:rsidRPr="00C75C7E">
        <w:rPr>
          <w:bCs/>
          <w:szCs w:val="22"/>
          <w:lang w:val="es-ES_tradnl"/>
        </w:rPr>
        <w:lastRenderedPageBreak/>
        <w:t>PRINCIPALES RIESGOS Y ESTRATEGIAS DE MITIGACIÓN</w:t>
      </w:r>
    </w:p>
    <w:p w:rsidR="00573458" w:rsidRPr="00C75C7E" w:rsidRDefault="00573458" w:rsidP="00542C2B">
      <w:pPr>
        <w:keepNext/>
        <w:widowControl w:val="0"/>
        <w:jc w:val="both"/>
        <w:rPr>
          <w:bCs/>
          <w:sz w:val="20"/>
          <w:lang w:val="es-ES_tradnl"/>
        </w:rPr>
      </w:pPr>
    </w:p>
    <w:tbl>
      <w:tblPr>
        <w:tblW w:w="0" w:type="auto"/>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536"/>
        <w:gridCol w:w="4677"/>
      </w:tblGrid>
      <w:tr w:rsidR="00573458" w:rsidRPr="00C75C7E" w:rsidTr="00542C2B">
        <w:trPr>
          <w:trHeight w:val="645"/>
        </w:trPr>
        <w:tc>
          <w:tcPr>
            <w:tcW w:w="4536" w:type="dxa"/>
            <w:tcBorders>
              <w:top w:val="single" w:sz="4" w:space="0" w:color="auto"/>
              <w:bottom w:val="single" w:sz="4" w:space="0" w:color="auto"/>
            </w:tcBorders>
            <w:shd w:val="clear" w:color="auto" w:fill="CCFFFF"/>
            <w:vAlign w:val="center"/>
          </w:tcPr>
          <w:p w:rsidR="00573458" w:rsidRPr="00C75C7E" w:rsidRDefault="00573458" w:rsidP="00542C2B">
            <w:pPr>
              <w:keepNext/>
              <w:widowControl w:val="0"/>
              <w:ind w:right="-108"/>
              <w:jc w:val="center"/>
              <w:rPr>
                <w:b/>
                <w:iCs/>
                <w:sz w:val="18"/>
                <w:szCs w:val="18"/>
                <w:lang w:val="es-ES_tradnl"/>
              </w:rPr>
            </w:pPr>
            <w:r w:rsidRPr="00C75C7E">
              <w:rPr>
                <w:b/>
                <w:bCs/>
                <w:iCs/>
                <w:sz w:val="18"/>
                <w:szCs w:val="18"/>
                <w:lang w:val="es-ES_tradnl"/>
              </w:rPr>
              <w:t>Riesgos en el logro de los resultados del programa</w:t>
            </w:r>
          </w:p>
        </w:tc>
        <w:tc>
          <w:tcPr>
            <w:tcW w:w="4677" w:type="dxa"/>
            <w:tcBorders>
              <w:top w:val="single" w:sz="4" w:space="0" w:color="auto"/>
              <w:bottom w:val="single" w:sz="4" w:space="0" w:color="auto"/>
            </w:tcBorders>
            <w:shd w:val="clear" w:color="auto" w:fill="CCFFFF"/>
            <w:vAlign w:val="center"/>
          </w:tcPr>
          <w:p w:rsidR="00573458" w:rsidRPr="00C75C7E" w:rsidRDefault="00573458" w:rsidP="00542C2B">
            <w:pPr>
              <w:keepNext/>
              <w:widowControl w:val="0"/>
              <w:jc w:val="center"/>
              <w:rPr>
                <w:b/>
                <w:bCs/>
                <w:iCs/>
                <w:sz w:val="18"/>
                <w:szCs w:val="18"/>
                <w:lang w:val="es-ES_tradnl"/>
              </w:rPr>
            </w:pPr>
            <w:r w:rsidRPr="00C75C7E">
              <w:rPr>
                <w:b/>
                <w:bCs/>
                <w:iCs/>
                <w:sz w:val="18"/>
                <w:szCs w:val="18"/>
                <w:lang w:val="es-ES_tradnl"/>
              </w:rPr>
              <w:t>Planes de mitigación ejecutados o en ejecución</w:t>
            </w:r>
          </w:p>
        </w:tc>
      </w:tr>
      <w:tr w:rsidR="00573458" w:rsidRPr="00C75C7E" w:rsidTr="00542C2B">
        <w:tc>
          <w:tcPr>
            <w:tcW w:w="4536" w:type="dxa"/>
            <w:tcBorders>
              <w:top w:val="single" w:sz="4" w:space="0" w:color="auto"/>
            </w:tcBorders>
            <w:shd w:val="clear" w:color="auto" w:fill="auto"/>
            <w:tcMar>
              <w:top w:w="113" w:type="dxa"/>
              <w:bottom w:w="85" w:type="dxa"/>
            </w:tcMar>
          </w:tcPr>
          <w:p w:rsidR="00573458" w:rsidRPr="00C75C7E" w:rsidRDefault="00573458" w:rsidP="008F4F69">
            <w:pPr>
              <w:widowControl w:val="0"/>
              <w:jc w:val="both"/>
              <w:rPr>
                <w:sz w:val="16"/>
                <w:szCs w:val="16"/>
                <w:lang w:val="es-ES_tradnl"/>
              </w:rPr>
            </w:pPr>
            <w:r w:rsidRPr="00C75C7E">
              <w:rPr>
                <w:sz w:val="16"/>
                <w:szCs w:val="16"/>
                <w:lang w:val="es-ES_tradnl"/>
              </w:rPr>
              <w:t>El grado de participación de los organismos nacionales en la labor de la OMPI en materia de P.I. y competencia es menor del previsto.</w:t>
            </w:r>
          </w:p>
        </w:tc>
        <w:tc>
          <w:tcPr>
            <w:tcW w:w="4677" w:type="dxa"/>
            <w:tcBorders>
              <w:top w:val="single" w:sz="4" w:space="0" w:color="auto"/>
            </w:tcBorders>
            <w:shd w:val="clear" w:color="auto" w:fill="auto"/>
            <w:tcMar>
              <w:top w:w="113" w:type="dxa"/>
              <w:bottom w:w="85" w:type="dxa"/>
            </w:tcMar>
          </w:tcPr>
          <w:p w:rsidR="00573458" w:rsidRPr="00C75C7E" w:rsidRDefault="00573458" w:rsidP="008F4F69">
            <w:pPr>
              <w:widowControl w:val="0"/>
              <w:jc w:val="both"/>
              <w:rPr>
                <w:sz w:val="16"/>
                <w:szCs w:val="16"/>
                <w:lang w:val="es-ES_tradnl"/>
              </w:rPr>
            </w:pPr>
            <w:r w:rsidRPr="00C75C7E">
              <w:rPr>
                <w:sz w:val="16"/>
                <w:szCs w:val="16"/>
                <w:lang w:val="es-ES_tradnl"/>
              </w:rPr>
              <w:t xml:space="preserve">Fortalecimiento de la sensibilización sistemática de los Estados miembros, difusión de ejemplos de cooperación fructífera entre las autoridades de P.I. y las encargadas de la competencia, y entre las organizaciones intergubernamentales y las ONG. </w:t>
            </w:r>
          </w:p>
        </w:tc>
      </w:tr>
    </w:tbl>
    <w:p w:rsidR="00573458" w:rsidRPr="00C75C7E" w:rsidRDefault="00573458" w:rsidP="00573458">
      <w:pPr>
        <w:widowControl w:val="0"/>
        <w:jc w:val="both"/>
        <w:rPr>
          <w:bCs/>
          <w:sz w:val="20"/>
          <w:lang w:val="es-ES_tradnl"/>
        </w:rPr>
      </w:pPr>
    </w:p>
    <w:p w:rsidR="00573458" w:rsidRPr="00C75C7E" w:rsidRDefault="00573458" w:rsidP="00573458">
      <w:pPr>
        <w:widowControl w:val="0"/>
        <w:jc w:val="both"/>
        <w:rPr>
          <w:bCs/>
          <w:sz w:val="20"/>
          <w:lang w:val="es-ES_tradnl"/>
        </w:rPr>
      </w:pPr>
    </w:p>
    <w:p w:rsidR="00573458" w:rsidRPr="00C75C7E" w:rsidRDefault="00573458" w:rsidP="00573458">
      <w:pPr>
        <w:widowControl w:val="0"/>
        <w:tabs>
          <w:tab w:val="left" w:pos="567"/>
          <w:tab w:val="left" w:pos="1985"/>
        </w:tabs>
        <w:jc w:val="both"/>
        <w:rPr>
          <w:bCs/>
          <w:sz w:val="20"/>
          <w:lang w:val="es-ES_tradnl"/>
        </w:rPr>
      </w:pPr>
      <w:r w:rsidRPr="00C75C7E">
        <w:rPr>
          <w:bCs/>
          <w:szCs w:val="22"/>
          <w:lang w:val="es-ES_tradnl"/>
        </w:rPr>
        <w:t>MARCO DE RESULTADOS</w:t>
      </w:r>
    </w:p>
    <w:p w:rsidR="00573458" w:rsidRPr="00C75C7E" w:rsidRDefault="00573458" w:rsidP="00573458">
      <w:pPr>
        <w:widowControl w:val="0"/>
        <w:tabs>
          <w:tab w:val="left" w:pos="567"/>
          <w:tab w:val="left" w:pos="1985"/>
        </w:tabs>
        <w:jc w:val="both"/>
        <w:rPr>
          <w:bCs/>
          <w:sz w:val="20"/>
          <w:lang w:val="es-ES_tradnl"/>
        </w:rPr>
      </w:pPr>
    </w:p>
    <w:tbl>
      <w:tblPr>
        <w:tblW w:w="4814"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350"/>
        <w:gridCol w:w="2471"/>
        <w:gridCol w:w="2177"/>
        <w:gridCol w:w="2217"/>
      </w:tblGrid>
      <w:tr w:rsidR="00573458" w:rsidRPr="00C75C7E" w:rsidTr="00A40666">
        <w:trPr>
          <w:cantSplit/>
          <w:trHeight w:val="496"/>
          <w:tblHeader/>
        </w:trPr>
        <w:tc>
          <w:tcPr>
            <w:tcW w:w="1275" w:type="pct"/>
            <w:tcBorders>
              <w:top w:val="single" w:sz="4" w:space="0" w:color="auto"/>
              <w:bottom w:val="single" w:sz="4" w:space="0" w:color="auto"/>
            </w:tcBorders>
            <w:shd w:val="clear" w:color="auto" w:fill="CCFFFF"/>
            <w:tcMar>
              <w:top w:w="113" w:type="dxa"/>
            </w:tcMar>
            <w:vAlign w:val="center"/>
          </w:tcPr>
          <w:p w:rsidR="00573458" w:rsidRPr="00C75C7E" w:rsidRDefault="00573458" w:rsidP="008F4F69">
            <w:pPr>
              <w:widowControl w:val="0"/>
              <w:spacing w:after="120"/>
              <w:jc w:val="center"/>
              <w:rPr>
                <w:b/>
                <w:bCs/>
                <w:sz w:val="18"/>
                <w:szCs w:val="18"/>
                <w:lang w:val="es-ES_tradnl"/>
              </w:rPr>
            </w:pPr>
            <w:r w:rsidRPr="00C75C7E">
              <w:rPr>
                <w:b/>
                <w:bCs/>
                <w:sz w:val="18"/>
                <w:szCs w:val="18"/>
                <w:lang w:val="es-ES_tradnl"/>
              </w:rPr>
              <w:t>Resultados previstos</w:t>
            </w:r>
          </w:p>
        </w:tc>
        <w:tc>
          <w:tcPr>
            <w:tcW w:w="1341" w:type="pct"/>
            <w:tcBorders>
              <w:top w:val="single" w:sz="4" w:space="0" w:color="auto"/>
              <w:bottom w:val="single" w:sz="4" w:space="0" w:color="auto"/>
            </w:tcBorders>
            <w:shd w:val="clear" w:color="auto" w:fill="CCFFFF"/>
            <w:tcMar>
              <w:top w:w="113" w:type="dxa"/>
            </w:tcMar>
            <w:vAlign w:val="center"/>
          </w:tcPr>
          <w:p w:rsidR="00573458" w:rsidRPr="00C75C7E" w:rsidRDefault="00573458" w:rsidP="008F4F69">
            <w:pPr>
              <w:widowControl w:val="0"/>
              <w:spacing w:after="120"/>
              <w:jc w:val="center"/>
              <w:rPr>
                <w:b/>
                <w:sz w:val="18"/>
                <w:szCs w:val="18"/>
                <w:lang w:val="es-ES_tradnl"/>
              </w:rPr>
            </w:pPr>
            <w:r w:rsidRPr="00C75C7E">
              <w:rPr>
                <w:b/>
                <w:sz w:val="18"/>
                <w:szCs w:val="18"/>
                <w:lang w:val="es-ES_tradnl"/>
              </w:rPr>
              <w:t>Indicadores de rendimiento</w:t>
            </w:r>
          </w:p>
        </w:tc>
        <w:tc>
          <w:tcPr>
            <w:tcW w:w="1181" w:type="pct"/>
            <w:tcBorders>
              <w:top w:val="single" w:sz="4" w:space="0" w:color="auto"/>
              <w:bottom w:val="single" w:sz="4" w:space="0" w:color="auto"/>
            </w:tcBorders>
            <w:shd w:val="clear" w:color="auto" w:fill="CCFFFF"/>
            <w:tcMar>
              <w:top w:w="113" w:type="dxa"/>
            </w:tcMar>
            <w:vAlign w:val="center"/>
          </w:tcPr>
          <w:p w:rsidR="00573458" w:rsidRPr="00C75C7E" w:rsidRDefault="00573458" w:rsidP="008F4F69">
            <w:pPr>
              <w:widowControl w:val="0"/>
              <w:spacing w:after="120"/>
              <w:ind w:left="85"/>
              <w:jc w:val="center"/>
              <w:rPr>
                <w:sz w:val="18"/>
                <w:szCs w:val="18"/>
                <w:lang w:val="es-ES_tradnl"/>
              </w:rPr>
            </w:pPr>
            <w:r w:rsidRPr="00C75C7E">
              <w:rPr>
                <w:b/>
                <w:bCs/>
                <w:sz w:val="18"/>
                <w:szCs w:val="18"/>
                <w:lang w:val="es-ES_tradnl"/>
              </w:rPr>
              <w:t>Referencia</w:t>
            </w:r>
          </w:p>
        </w:tc>
        <w:tc>
          <w:tcPr>
            <w:tcW w:w="1203" w:type="pct"/>
            <w:tcBorders>
              <w:top w:val="single" w:sz="4" w:space="0" w:color="auto"/>
              <w:bottom w:val="single" w:sz="4" w:space="0" w:color="auto"/>
            </w:tcBorders>
            <w:shd w:val="clear" w:color="auto" w:fill="CCFFFF"/>
            <w:tcMar>
              <w:top w:w="113" w:type="dxa"/>
            </w:tcMar>
            <w:vAlign w:val="center"/>
          </w:tcPr>
          <w:p w:rsidR="00573458" w:rsidRPr="00C75C7E" w:rsidRDefault="00573458" w:rsidP="008F4F69">
            <w:pPr>
              <w:widowControl w:val="0"/>
              <w:spacing w:after="120"/>
              <w:ind w:right="271"/>
              <w:jc w:val="center"/>
              <w:rPr>
                <w:b/>
                <w:bCs/>
                <w:sz w:val="18"/>
                <w:szCs w:val="18"/>
                <w:lang w:val="es-ES_tradnl"/>
              </w:rPr>
            </w:pPr>
            <w:r w:rsidRPr="00C75C7E">
              <w:rPr>
                <w:b/>
                <w:bCs/>
                <w:sz w:val="18"/>
                <w:szCs w:val="18"/>
                <w:lang w:val="es-ES_tradnl"/>
              </w:rPr>
              <w:t>Objetivos</w:t>
            </w:r>
          </w:p>
        </w:tc>
      </w:tr>
      <w:tr w:rsidR="00573458" w:rsidRPr="00C75C7E" w:rsidTr="00A40666">
        <w:trPr>
          <w:cantSplit/>
          <w:trHeight w:val="608"/>
        </w:trPr>
        <w:tc>
          <w:tcPr>
            <w:tcW w:w="1275" w:type="pct"/>
            <w:shd w:val="clear" w:color="auto" w:fill="auto"/>
            <w:tcMar>
              <w:top w:w="113" w:type="dxa"/>
            </w:tcMar>
          </w:tcPr>
          <w:p w:rsidR="00573458" w:rsidRPr="00C75C7E" w:rsidRDefault="00573458" w:rsidP="008F4F69">
            <w:pPr>
              <w:widowControl w:val="0"/>
              <w:rPr>
                <w:sz w:val="16"/>
                <w:szCs w:val="16"/>
                <w:lang w:val="es-ES_tradnl"/>
              </w:rPr>
            </w:pPr>
            <w:r w:rsidRPr="00C75C7E">
              <w:rPr>
                <w:sz w:val="16"/>
                <w:szCs w:val="16"/>
                <w:lang w:val="es-ES_tradnl"/>
              </w:rPr>
              <w:t>III.2 Mejora de las capacidades en el ámbito de los recursos humanos para hacer frente al amplio espectro de exigencias que supone la utilización eficaz de la P.I. en aras del desarrollo en los países en desarrollo, PMA y países con economías en transición.</w:t>
            </w:r>
          </w:p>
        </w:tc>
        <w:tc>
          <w:tcPr>
            <w:tcW w:w="1341" w:type="pct"/>
            <w:shd w:val="clear" w:color="auto" w:fill="auto"/>
            <w:tcMar>
              <w:top w:w="113" w:type="dxa"/>
            </w:tcMar>
          </w:tcPr>
          <w:p w:rsidR="00573458" w:rsidRPr="00C75C7E" w:rsidRDefault="00573458" w:rsidP="008F4F69">
            <w:pPr>
              <w:widowControl w:val="0"/>
              <w:rPr>
                <w:sz w:val="16"/>
                <w:szCs w:val="16"/>
                <w:lang w:val="es-ES_tradnl"/>
              </w:rPr>
            </w:pPr>
            <w:r w:rsidRPr="00C75C7E">
              <w:rPr>
                <w:sz w:val="16"/>
                <w:szCs w:val="16"/>
                <w:lang w:val="es-ES_tradnl"/>
              </w:rPr>
              <w:t>Número de acuerdos de acogida de científicos de países en desarrollo.</w:t>
            </w:r>
          </w:p>
        </w:tc>
        <w:tc>
          <w:tcPr>
            <w:tcW w:w="1181" w:type="pct"/>
            <w:shd w:val="clear" w:color="auto" w:fill="FFFFFF"/>
            <w:tcMar>
              <w:top w:w="113" w:type="dxa"/>
            </w:tcMar>
          </w:tcPr>
          <w:p w:rsidR="00573458" w:rsidRPr="00C75C7E" w:rsidRDefault="00573458" w:rsidP="008F4F69">
            <w:pPr>
              <w:widowControl w:val="0"/>
              <w:rPr>
                <w:sz w:val="16"/>
                <w:szCs w:val="16"/>
                <w:lang w:val="es-ES_tradnl" w:bidi="th-TH"/>
              </w:rPr>
            </w:pPr>
            <w:r w:rsidRPr="00C75C7E">
              <w:rPr>
                <w:sz w:val="16"/>
                <w:szCs w:val="16"/>
                <w:lang w:val="es-ES_tradnl" w:bidi="th-TH"/>
              </w:rPr>
              <w:t>5</w:t>
            </w:r>
          </w:p>
        </w:tc>
        <w:tc>
          <w:tcPr>
            <w:tcW w:w="1203" w:type="pct"/>
            <w:shd w:val="clear" w:color="auto" w:fill="auto"/>
            <w:tcMar>
              <w:top w:w="113" w:type="dxa"/>
            </w:tcMar>
          </w:tcPr>
          <w:p w:rsidR="00573458" w:rsidRPr="00C75C7E" w:rsidDel="00500D44" w:rsidRDefault="00573458" w:rsidP="008F4F69">
            <w:pPr>
              <w:widowControl w:val="0"/>
              <w:ind w:right="161"/>
              <w:rPr>
                <w:bCs/>
                <w:sz w:val="16"/>
                <w:szCs w:val="16"/>
                <w:lang w:val="es-ES_tradnl"/>
              </w:rPr>
            </w:pPr>
            <w:r w:rsidRPr="00C75C7E">
              <w:rPr>
                <w:bCs/>
                <w:sz w:val="16"/>
                <w:szCs w:val="16"/>
                <w:lang w:val="es-ES_tradnl"/>
              </w:rPr>
              <w:t>4</w:t>
            </w:r>
          </w:p>
        </w:tc>
      </w:tr>
      <w:tr w:rsidR="00573458" w:rsidRPr="00C75C7E" w:rsidTr="00A40666">
        <w:trPr>
          <w:cantSplit/>
          <w:trHeight w:val="608"/>
        </w:trPr>
        <w:tc>
          <w:tcPr>
            <w:tcW w:w="1275" w:type="pct"/>
            <w:shd w:val="clear" w:color="auto" w:fill="auto"/>
            <w:tcMar>
              <w:top w:w="113" w:type="dxa"/>
            </w:tcMar>
          </w:tcPr>
          <w:p w:rsidR="00573458" w:rsidRPr="00C75C7E" w:rsidRDefault="00573458" w:rsidP="008F4F69">
            <w:pPr>
              <w:widowControl w:val="0"/>
              <w:tabs>
                <w:tab w:val="right" w:pos="2835"/>
              </w:tabs>
              <w:spacing w:after="60"/>
              <w:rPr>
                <w:sz w:val="16"/>
                <w:szCs w:val="16"/>
                <w:lang w:val="es-ES_tradnl"/>
              </w:rPr>
            </w:pPr>
            <w:r w:rsidRPr="00C75C7E">
              <w:rPr>
                <w:sz w:val="16"/>
                <w:szCs w:val="16"/>
                <w:lang w:val="es-ES_tradnl"/>
              </w:rPr>
              <w:t xml:space="preserve">IV.2. Mejora del acceso y uso de información y conocimientos de P.I. por parte de instituciones de P.I. y el público para fomentar la innovación y la creatividad. </w:t>
            </w:r>
          </w:p>
        </w:tc>
        <w:tc>
          <w:tcPr>
            <w:tcW w:w="1341" w:type="pct"/>
            <w:shd w:val="clear" w:color="auto" w:fill="auto"/>
            <w:tcMar>
              <w:top w:w="113" w:type="dxa"/>
            </w:tcMar>
          </w:tcPr>
          <w:p w:rsidR="00573458" w:rsidRPr="00C75C7E" w:rsidRDefault="00573458" w:rsidP="008F4F69">
            <w:pPr>
              <w:widowControl w:val="0"/>
              <w:rPr>
                <w:sz w:val="16"/>
                <w:szCs w:val="16"/>
                <w:lang w:val="es-ES_tradnl"/>
              </w:rPr>
            </w:pPr>
            <w:r w:rsidRPr="00C75C7E">
              <w:rPr>
                <w:sz w:val="16"/>
                <w:szCs w:val="16"/>
                <w:lang w:val="es-ES_tradnl"/>
              </w:rPr>
              <w:t xml:space="preserve">Número de países que han verificado los datos e incluido medicamentos esenciales nacionales en </w:t>
            </w:r>
            <w:r w:rsidRPr="00C75C7E">
              <w:rPr>
                <w:i/>
                <w:sz w:val="16"/>
                <w:szCs w:val="16"/>
                <w:lang w:val="es-ES_tradnl"/>
              </w:rPr>
              <w:t>WIPO Essential.</w:t>
            </w:r>
            <w:r w:rsidRPr="00C75C7E">
              <w:rPr>
                <w:sz w:val="16"/>
                <w:szCs w:val="16"/>
                <w:lang w:val="es-ES_tradnl"/>
              </w:rPr>
              <w:t xml:space="preserve"> </w:t>
            </w:r>
          </w:p>
        </w:tc>
        <w:tc>
          <w:tcPr>
            <w:tcW w:w="1181" w:type="pct"/>
            <w:shd w:val="clear" w:color="auto" w:fill="FFFFFF"/>
            <w:tcMar>
              <w:top w:w="113" w:type="dxa"/>
            </w:tcMar>
          </w:tcPr>
          <w:p w:rsidR="00573458" w:rsidRPr="00C75C7E" w:rsidRDefault="00573458" w:rsidP="008F4F69">
            <w:pPr>
              <w:widowControl w:val="0"/>
              <w:rPr>
                <w:sz w:val="16"/>
                <w:szCs w:val="16"/>
                <w:lang w:val="es-ES_tradnl" w:bidi="th-TH"/>
              </w:rPr>
            </w:pPr>
            <w:r w:rsidRPr="00C75C7E">
              <w:rPr>
                <w:sz w:val="16"/>
                <w:szCs w:val="16"/>
                <w:lang w:val="es-ES_tradnl" w:bidi="th-TH"/>
              </w:rPr>
              <w:t>0 (cero).</w:t>
            </w:r>
          </w:p>
        </w:tc>
        <w:tc>
          <w:tcPr>
            <w:tcW w:w="1203" w:type="pct"/>
            <w:shd w:val="clear" w:color="auto" w:fill="auto"/>
            <w:tcMar>
              <w:top w:w="113" w:type="dxa"/>
            </w:tcMar>
          </w:tcPr>
          <w:p w:rsidR="00573458" w:rsidRPr="00C75C7E" w:rsidRDefault="00573458" w:rsidP="008F4F69">
            <w:pPr>
              <w:widowControl w:val="0"/>
              <w:ind w:right="161"/>
              <w:rPr>
                <w:bCs/>
                <w:sz w:val="16"/>
                <w:szCs w:val="16"/>
                <w:lang w:val="es-ES_tradnl"/>
              </w:rPr>
            </w:pPr>
            <w:r w:rsidRPr="00C75C7E">
              <w:rPr>
                <w:bCs/>
                <w:sz w:val="16"/>
                <w:szCs w:val="16"/>
                <w:lang w:val="es-ES_tradnl"/>
              </w:rPr>
              <w:t>1 país por región (África, Asia</w:t>
            </w:r>
            <w:r w:rsidRPr="00C42F2A">
              <w:rPr>
                <w:bCs/>
                <w:sz w:val="16"/>
                <w:szCs w:val="16"/>
                <w:lang w:val="es-ES_tradnl"/>
              </w:rPr>
              <w:t>, América Latina y el Caribe)</w:t>
            </w:r>
            <w:r w:rsidRPr="00C75C7E">
              <w:rPr>
                <w:bCs/>
                <w:sz w:val="16"/>
                <w:szCs w:val="16"/>
                <w:lang w:val="es-ES_tradnl"/>
              </w:rPr>
              <w:t xml:space="preserve">. </w:t>
            </w:r>
          </w:p>
        </w:tc>
      </w:tr>
      <w:tr w:rsidR="00573458" w:rsidRPr="00C75C7E" w:rsidTr="00A40666">
        <w:trPr>
          <w:cantSplit/>
          <w:trHeight w:val="608"/>
        </w:trPr>
        <w:tc>
          <w:tcPr>
            <w:tcW w:w="1275" w:type="pct"/>
            <w:shd w:val="clear" w:color="auto" w:fill="auto"/>
            <w:tcMar>
              <w:top w:w="113" w:type="dxa"/>
            </w:tcMar>
          </w:tcPr>
          <w:p w:rsidR="00573458" w:rsidRPr="00C75C7E" w:rsidRDefault="00A40666" w:rsidP="008F4F69">
            <w:pPr>
              <w:widowControl w:val="0"/>
              <w:tabs>
                <w:tab w:val="right" w:pos="2835"/>
              </w:tabs>
              <w:spacing w:after="60"/>
              <w:rPr>
                <w:sz w:val="16"/>
                <w:szCs w:val="16"/>
                <w:lang w:val="es-ES_tradnl"/>
              </w:rPr>
            </w:pPr>
            <w:r>
              <w:rPr>
                <w:sz w:val="16"/>
                <w:szCs w:val="16"/>
                <w:lang w:val="es-ES_tradnl"/>
              </w:rPr>
              <w:t xml:space="preserve">VII.2 </w:t>
            </w:r>
            <w:r w:rsidRPr="00C75C7E">
              <w:rPr>
                <w:sz w:val="16"/>
                <w:szCs w:val="16"/>
                <w:lang w:val="es-ES_tradnl"/>
              </w:rPr>
              <w:t xml:space="preserve"> </w:t>
            </w:r>
            <w:r w:rsidRPr="00033E8A">
              <w:rPr>
                <w:sz w:val="16"/>
                <w:szCs w:val="16"/>
                <w:lang w:val="es-ES_tradnl"/>
              </w:rPr>
              <w:t>Plataformas y herramientas de P.I. utilizadas para la transferencia de conocimiento y la difusión y adaptación de tecnología de los países desarrollados en los países en desarrollo, en particular en los menos adelantados, con el fin de atender los desafíos mundiales</w:t>
            </w:r>
            <w:r>
              <w:rPr>
                <w:sz w:val="16"/>
                <w:szCs w:val="16"/>
                <w:lang w:val="es-ES_tradnl"/>
              </w:rPr>
              <w:t>.</w:t>
            </w:r>
          </w:p>
        </w:tc>
        <w:tc>
          <w:tcPr>
            <w:tcW w:w="1341" w:type="pct"/>
            <w:shd w:val="clear" w:color="auto" w:fill="auto"/>
            <w:tcMar>
              <w:top w:w="113" w:type="dxa"/>
            </w:tcMar>
          </w:tcPr>
          <w:p w:rsidR="00573458" w:rsidRPr="00C75C7E" w:rsidRDefault="00573458" w:rsidP="008F4F69">
            <w:pPr>
              <w:widowControl w:val="0"/>
              <w:rPr>
                <w:sz w:val="16"/>
                <w:szCs w:val="16"/>
                <w:lang w:val="es-ES_tradnl"/>
              </w:rPr>
            </w:pPr>
            <w:r w:rsidRPr="00C75C7E">
              <w:rPr>
                <w:sz w:val="16"/>
                <w:szCs w:val="16"/>
                <w:lang w:val="es-ES_tradnl"/>
              </w:rPr>
              <w:t xml:space="preserve">Aumento del número de miembros de WIPO Re:Search, incluidos los procedentes de países en desarrollo y PMA. </w:t>
            </w:r>
          </w:p>
        </w:tc>
        <w:tc>
          <w:tcPr>
            <w:tcW w:w="1181" w:type="pct"/>
            <w:shd w:val="clear" w:color="auto" w:fill="FFFFFF"/>
            <w:tcMar>
              <w:top w:w="113" w:type="dxa"/>
            </w:tcMar>
          </w:tcPr>
          <w:p w:rsidR="00573458" w:rsidRPr="00C75C7E" w:rsidRDefault="00573458" w:rsidP="008F4F69">
            <w:pPr>
              <w:widowControl w:val="0"/>
              <w:rPr>
                <w:sz w:val="16"/>
                <w:szCs w:val="16"/>
                <w:lang w:val="es-ES_tradnl" w:bidi="th-TH"/>
              </w:rPr>
            </w:pPr>
            <w:r w:rsidRPr="00C75C7E">
              <w:rPr>
                <w:sz w:val="16"/>
                <w:szCs w:val="16"/>
                <w:lang w:val="es-ES_tradnl" w:bidi="th-TH"/>
              </w:rPr>
              <w:t>67 miembros; 16 de países en desarrollo.</w:t>
            </w:r>
          </w:p>
        </w:tc>
        <w:tc>
          <w:tcPr>
            <w:tcW w:w="1203" w:type="pct"/>
            <w:shd w:val="clear" w:color="auto" w:fill="auto"/>
            <w:tcMar>
              <w:top w:w="113" w:type="dxa"/>
            </w:tcMar>
          </w:tcPr>
          <w:p w:rsidR="00573458" w:rsidRPr="00C75C7E" w:rsidRDefault="00573458" w:rsidP="008F4F69">
            <w:pPr>
              <w:widowControl w:val="0"/>
              <w:ind w:right="161"/>
              <w:rPr>
                <w:bCs/>
                <w:sz w:val="16"/>
                <w:szCs w:val="16"/>
                <w:lang w:val="es-ES_tradnl"/>
              </w:rPr>
            </w:pPr>
            <w:r w:rsidRPr="00C75C7E">
              <w:rPr>
                <w:bCs/>
                <w:sz w:val="16"/>
                <w:szCs w:val="16"/>
                <w:lang w:val="es-ES_tradnl"/>
              </w:rPr>
              <w:t>15 (de los que al menos 5 proceden de países en desarrollo y PMA).</w:t>
            </w:r>
          </w:p>
        </w:tc>
      </w:tr>
      <w:tr w:rsidR="00573458" w:rsidRPr="00C75C7E" w:rsidTr="00A40666">
        <w:trPr>
          <w:cantSplit/>
          <w:trHeight w:val="608"/>
        </w:trPr>
        <w:tc>
          <w:tcPr>
            <w:tcW w:w="1275" w:type="pct"/>
            <w:shd w:val="clear" w:color="auto" w:fill="auto"/>
            <w:tcMar>
              <w:top w:w="113" w:type="dxa"/>
            </w:tcMar>
          </w:tcPr>
          <w:p w:rsidR="00573458" w:rsidRPr="00C75C7E" w:rsidRDefault="00573458" w:rsidP="008F4F69">
            <w:pPr>
              <w:widowControl w:val="0"/>
              <w:tabs>
                <w:tab w:val="right" w:pos="2835"/>
              </w:tabs>
              <w:spacing w:after="60"/>
              <w:rPr>
                <w:sz w:val="16"/>
                <w:szCs w:val="16"/>
                <w:lang w:val="es-ES_tradnl"/>
              </w:rPr>
            </w:pPr>
          </w:p>
        </w:tc>
        <w:tc>
          <w:tcPr>
            <w:tcW w:w="1341" w:type="pct"/>
            <w:shd w:val="clear" w:color="auto" w:fill="auto"/>
            <w:tcMar>
              <w:top w:w="113" w:type="dxa"/>
            </w:tcMar>
          </w:tcPr>
          <w:p w:rsidR="00573458" w:rsidRPr="00C75C7E" w:rsidRDefault="00573458" w:rsidP="008F4F69">
            <w:pPr>
              <w:widowControl w:val="0"/>
              <w:rPr>
                <w:sz w:val="16"/>
                <w:szCs w:val="16"/>
                <w:lang w:val="es-ES_tradnl"/>
              </w:rPr>
            </w:pPr>
            <w:r w:rsidRPr="00C75C7E">
              <w:rPr>
                <w:sz w:val="16"/>
                <w:szCs w:val="16"/>
                <w:lang w:val="es-ES_tradnl"/>
              </w:rPr>
              <w:t xml:space="preserve">Aumento de las contribuciones a la base de datos de WIPO Re:Search. </w:t>
            </w:r>
          </w:p>
        </w:tc>
        <w:tc>
          <w:tcPr>
            <w:tcW w:w="1181" w:type="pct"/>
            <w:shd w:val="clear" w:color="auto" w:fill="FFFFFF"/>
            <w:tcMar>
              <w:top w:w="113" w:type="dxa"/>
            </w:tcMar>
          </w:tcPr>
          <w:p w:rsidR="00573458" w:rsidRPr="00C75C7E" w:rsidRDefault="00573458" w:rsidP="008F4F69">
            <w:pPr>
              <w:widowControl w:val="0"/>
              <w:rPr>
                <w:sz w:val="16"/>
                <w:szCs w:val="16"/>
                <w:lang w:val="es-ES_tradnl" w:bidi="th-TH"/>
              </w:rPr>
            </w:pPr>
            <w:r w:rsidRPr="00C75C7E">
              <w:rPr>
                <w:sz w:val="16"/>
                <w:szCs w:val="16"/>
                <w:lang w:val="es-ES_tradnl" w:bidi="th-TH"/>
              </w:rPr>
              <w:t>200</w:t>
            </w:r>
          </w:p>
        </w:tc>
        <w:tc>
          <w:tcPr>
            <w:tcW w:w="1203" w:type="pct"/>
            <w:shd w:val="clear" w:color="auto" w:fill="auto"/>
            <w:tcMar>
              <w:top w:w="113" w:type="dxa"/>
            </w:tcMar>
          </w:tcPr>
          <w:p w:rsidR="00573458" w:rsidRPr="00C75C7E" w:rsidRDefault="00573458" w:rsidP="008F4F69">
            <w:pPr>
              <w:widowControl w:val="0"/>
              <w:ind w:right="161"/>
              <w:rPr>
                <w:bCs/>
                <w:sz w:val="16"/>
                <w:szCs w:val="16"/>
                <w:lang w:val="es-ES_tradnl"/>
              </w:rPr>
            </w:pPr>
            <w:r w:rsidRPr="00C75C7E">
              <w:rPr>
                <w:bCs/>
                <w:sz w:val="16"/>
                <w:szCs w:val="16"/>
                <w:lang w:val="es-ES_tradnl"/>
              </w:rPr>
              <w:t>50%</w:t>
            </w:r>
          </w:p>
        </w:tc>
      </w:tr>
      <w:tr w:rsidR="00573458" w:rsidRPr="00C75C7E" w:rsidTr="00A40666">
        <w:trPr>
          <w:cantSplit/>
          <w:trHeight w:val="608"/>
        </w:trPr>
        <w:tc>
          <w:tcPr>
            <w:tcW w:w="1275" w:type="pct"/>
            <w:shd w:val="clear" w:color="auto" w:fill="auto"/>
            <w:tcMar>
              <w:top w:w="113" w:type="dxa"/>
            </w:tcMar>
          </w:tcPr>
          <w:p w:rsidR="00573458" w:rsidRPr="00C75C7E" w:rsidRDefault="00573458" w:rsidP="008F4F69">
            <w:pPr>
              <w:widowControl w:val="0"/>
              <w:tabs>
                <w:tab w:val="right" w:pos="2835"/>
              </w:tabs>
              <w:spacing w:after="60"/>
              <w:rPr>
                <w:sz w:val="16"/>
                <w:szCs w:val="16"/>
                <w:lang w:val="es-ES_tradnl"/>
              </w:rPr>
            </w:pPr>
          </w:p>
        </w:tc>
        <w:tc>
          <w:tcPr>
            <w:tcW w:w="1341" w:type="pct"/>
            <w:shd w:val="clear" w:color="auto" w:fill="auto"/>
            <w:tcMar>
              <w:top w:w="113" w:type="dxa"/>
            </w:tcMar>
          </w:tcPr>
          <w:p w:rsidR="00573458" w:rsidRPr="00C75C7E" w:rsidRDefault="00573458" w:rsidP="008F4F69">
            <w:pPr>
              <w:widowControl w:val="0"/>
              <w:rPr>
                <w:sz w:val="16"/>
                <w:szCs w:val="16"/>
                <w:lang w:val="es-ES_tradnl"/>
              </w:rPr>
            </w:pPr>
            <w:r w:rsidRPr="00C75C7E">
              <w:rPr>
                <w:sz w:val="16"/>
                <w:szCs w:val="16"/>
                <w:lang w:val="es-ES_tradnl"/>
              </w:rPr>
              <w:t>Aumento del número de acuerdos suscritos en el marco de WIPO Re:Search</w:t>
            </w:r>
            <w:r w:rsidR="00A40666">
              <w:rPr>
                <w:sz w:val="16"/>
                <w:szCs w:val="16"/>
                <w:lang w:val="es-ES_tradnl"/>
              </w:rPr>
              <w:t xml:space="preserve"> que conducen a nuevas actividades de I+D, o a un aceleramiento de las mismas, en enfermedades tropicales desatendidas, paludismo y tuberculosis</w:t>
            </w:r>
            <w:r w:rsidRPr="00C75C7E">
              <w:rPr>
                <w:sz w:val="16"/>
                <w:szCs w:val="16"/>
                <w:lang w:val="es-ES_tradnl"/>
              </w:rPr>
              <w:t>.</w:t>
            </w:r>
          </w:p>
        </w:tc>
        <w:tc>
          <w:tcPr>
            <w:tcW w:w="1181" w:type="pct"/>
            <w:shd w:val="clear" w:color="auto" w:fill="FFFFFF"/>
            <w:tcMar>
              <w:top w:w="113" w:type="dxa"/>
            </w:tcMar>
          </w:tcPr>
          <w:p w:rsidR="00573458" w:rsidRPr="00C75C7E" w:rsidRDefault="00573458" w:rsidP="008F4F69">
            <w:pPr>
              <w:widowControl w:val="0"/>
              <w:rPr>
                <w:sz w:val="16"/>
                <w:szCs w:val="16"/>
                <w:lang w:val="es-ES_tradnl" w:bidi="th-TH"/>
              </w:rPr>
            </w:pPr>
            <w:r w:rsidRPr="00C75C7E">
              <w:rPr>
                <w:sz w:val="16"/>
                <w:szCs w:val="16"/>
                <w:lang w:val="es-ES_tradnl" w:bidi="th-TH"/>
              </w:rPr>
              <w:t>16</w:t>
            </w:r>
          </w:p>
        </w:tc>
        <w:tc>
          <w:tcPr>
            <w:tcW w:w="1203" w:type="pct"/>
            <w:shd w:val="clear" w:color="auto" w:fill="auto"/>
            <w:tcMar>
              <w:top w:w="113" w:type="dxa"/>
            </w:tcMar>
          </w:tcPr>
          <w:p w:rsidR="00573458" w:rsidRPr="00C75C7E" w:rsidRDefault="00573458" w:rsidP="008F4F69">
            <w:pPr>
              <w:widowControl w:val="0"/>
              <w:ind w:right="161"/>
              <w:rPr>
                <w:bCs/>
                <w:sz w:val="16"/>
                <w:szCs w:val="16"/>
                <w:lang w:val="es-ES_tradnl"/>
              </w:rPr>
            </w:pPr>
            <w:r w:rsidRPr="00C75C7E">
              <w:rPr>
                <w:bCs/>
                <w:sz w:val="16"/>
                <w:szCs w:val="16"/>
                <w:lang w:val="es-ES_tradnl"/>
              </w:rPr>
              <w:t>20</w:t>
            </w:r>
          </w:p>
        </w:tc>
      </w:tr>
      <w:tr w:rsidR="00573458" w:rsidRPr="00C75C7E" w:rsidTr="00A40666">
        <w:trPr>
          <w:cantSplit/>
          <w:trHeight w:val="608"/>
        </w:trPr>
        <w:tc>
          <w:tcPr>
            <w:tcW w:w="1275" w:type="pct"/>
            <w:shd w:val="clear" w:color="auto" w:fill="auto"/>
            <w:tcMar>
              <w:top w:w="113" w:type="dxa"/>
            </w:tcMar>
          </w:tcPr>
          <w:p w:rsidR="00573458" w:rsidRPr="00C75C7E" w:rsidRDefault="00573458" w:rsidP="008F4F69">
            <w:pPr>
              <w:widowControl w:val="0"/>
              <w:tabs>
                <w:tab w:val="right" w:pos="2835"/>
              </w:tabs>
              <w:spacing w:after="60"/>
              <w:rPr>
                <w:sz w:val="16"/>
                <w:szCs w:val="16"/>
                <w:lang w:val="es-ES_tradnl"/>
              </w:rPr>
            </w:pPr>
          </w:p>
        </w:tc>
        <w:tc>
          <w:tcPr>
            <w:tcW w:w="1341" w:type="pct"/>
            <w:shd w:val="clear" w:color="auto" w:fill="auto"/>
            <w:tcMar>
              <w:top w:w="113" w:type="dxa"/>
            </w:tcMar>
          </w:tcPr>
          <w:p w:rsidR="00573458" w:rsidRPr="00C75C7E" w:rsidRDefault="00573458" w:rsidP="008F4F69">
            <w:pPr>
              <w:widowControl w:val="0"/>
              <w:rPr>
                <w:sz w:val="16"/>
                <w:szCs w:val="16"/>
                <w:lang w:val="es-ES_tradnl"/>
              </w:rPr>
            </w:pPr>
            <w:r w:rsidRPr="00C75C7E">
              <w:rPr>
                <w:sz w:val="16"/>
                <w:szCs w:val="16"/>
                <w:lang w:val="es-ES_tradnl"/>
              </w:rPr>
              <w:t xml:space="preserve">Número de miembros de WIPO GREEN. </w:t>
            </w:r>
          </w:p>
        </w:tc>
        <w:tc>
          <w:tcPr>
            <w:tcW w:w="1181" w:type="pct"/>
            <w:shd w:val="clear" w:color="auto" w:fill="FFFFFF"/>
            <w:tcMar>
              <w:top w:w="113" w:type="dxa"/>
            </w:tcMar>
          </w:tcPr>
          <w:p w:rsidR="00573458" w:rsidRPr="00C75C7E" w:rsidRDefault="00573458" w:rsidP="008F4F69">
            <w:pPr>
              <w:widowControl w:val="0"/>
              <w:rPr>
                <w:sz w:val="16"/>
                <w:szCs w:val="16"/>
                <w:lang w:val="es-ES_tradnl" w:bidi="th-TH"/>
              </w:rPr>
            </w:pPr>
            <w:r w:rsidRPr="00C75C7E">
              <w:rPr>
                <w:sz w:val="16"/>
                <w:szCs w:val="16"/>
                <w:lang w:val="es-ES_tradnl" w:bidi="th-TH"/>
              </w:rPr>
              <w:t>1 asociado;  48 aportaciones.</w:t>
            </w:r>
          </w:p>
        </w:tc>
        <w:tc>
          <w:tcPr>
            <w:tcW w:w="1203" w:type="pct"/>
            <w:shd w:val="clear" w:color="auto" w:fill="auto"/>
            <w:tcMar>
              <w:top w:w="113" w:type="dxa"/>
            </w:tcMar>
          </w:tcPr>
          <w:p w:rsidR="00573458" w:rsidRPr="00C75C7E" w:rsidRDefault="00573458" w:rsidP="008F4F69">
            <w:pPr>
              <w:widowControl w:val="0"/>
              <w:ind w:right="161"/>
              <w:rPr>
                <w:bCs/>
                <w:sz w:val="16"/>
                <w:szCs w:val="16"/>
                <w:lang w:val="es-ES_tradnl"/>
              </w:rPr>
            </w:pPr>
            <w:r w:rsidRPr="00C75C7E">
              <w:rPr>
                <w:bCs/>
                <w:sz w:val="16"/>
                <w:szCs w:val="16"/>
                <w:lang w:val="es-ES_tradnl"/>
              </w:rPr>
              <w:t>10 nuevos asociados;  400 aportaciones.</w:t>
            </w:r>
          </w:p>
        </w:tc>
      </w:tr>
      <w:tr w:rsidR="00573458" w:rsidRPr="00C75C7E" w:rsidTr="00A40666">
        <w:trPr>
          <w:cantSplit/>
          <w:trHeight w:val="608"/>
        </w:trPr>
        <w:tc>
          <w:tcPr>
            <w:tcW w:w="1275" w:type="pct"/>
            <w:shd w:val="clear" w:color="auto" w:fill="auto"/>
            <w:tcMar>
              <w:top w:w="113" w:type="dxa"/>
            </w:tcMar>
          </w:tcPr>
          <w:p w:rsidR="00573458" w:rsidRPr="00C75C7E" w:rsidRDefault="00573458" w:rsidP="008F4F69">
            <w:pPr>
              <w:widowControl w:val="0"/>
              <w:tabs>
                <w:tab w:val="right" w:pos="2835"/>
              </w:tabs>
              <w:spacing w:after="60"/>
              <w:rPr>
                <w:sz w:val="16"/>
                <w:szCs w:val="16"/>
                <w:lang w:val="es-ES_tradnl"/>
              </w:rPr>
            </w:pPr>
          </w:p>
        </w:tc>
        <w:tc>
          <w:tcPr>
            <w:tcW w:w="1341" w:type="pct"/>
            <w:shd w:val="clear" w:color="auto" w:fill="auto"/>
            <w:tcMar>
              <w:top w:w="113" w:type="dxa"/>
            </w:tcMar>
          </w:tcPr>
          <w:p w:rsidR="00573458" w:rsidRPr="00C75C7E" w:rsidRDefault="00573458" w:rsidP="008F4F69">
            <w:pPr>
              <w:widowControl w:val="0"/>
              <w:rPr>
                <w:sz w:val="16"/>
                <w:szCs w:val="16"/>
                <w:lang w:val="es-ES_tradnl"/>
              </w:rPr>
            </w:pPr>
            <w:r w:rsidRPr="00C75C7E">
              <w:rPr>
                <w:sz w:val="16"/>
                <w:szCs w:val="16"/>
                <w:lang w:val="es-ES_tradnl"/>
              </w:rPr>
              <w:t>Número de vínculos establecidos entre WIPO GREEN y los mecanismos pertinentes, como los centros y redes de tecnología del clima (CMNUCC) y los centros de innovación climática (infoDev).</w:t>
            </w:r>
          </w:p>
        </w:tc>
        <w:tc>
          <w:tcPr>
            <w:tcW w:w="1181" w:type="pct"/>
            <w:shd w:val="clear" w:color="auto" w:fill="FFFFFF"/>
            <w:tcMar>
              <w:top w:w="113" w:type="dxa"/>
            </w:tcMar>
          </w:tcPr>
          <w:p w:rsidR="00573458" w:rsidRPr="00C75C7E" w:rsidRDefault="00573458" w:rsidP="008F4F69">
            <w:pPr>
              <w:widowControl w:val="0"/>
              <w:rPr>
                <w:sz w:val="16"/>
                <w:szCs w:val="16"/>
                <w:lang w:val="es-ES_tradnl" w:bidi="th-TH"/>
              </w:rPr>
            </w:pPr>
            <w:r w:rsidRPr="00C75C7E">
              <w:rPr>
                <w:sz w:val="16"/>
                <w:szCs w:val="16"/>
                <w:lang w:val="es-ES_tradnl" w:bidi="th-TH"/>
              </w:rPr>
              <w:t>0 (cero).</w:t>
            </w:r>
          </w:p>
        </w:tc>
        <w:tc>
          <w:tcPr>
            <w:tcW w:w="1203" w:type="pct"/>
            <w:shd w:val="clear" w:color="auto" w:fill="auto"/>
            <w:tcMar>
              <w:top w:w="113" w:type="dxa"/>
            </w:tcMar>
          </w:tcPr>
          <w:p w:rsidR="00573458" w:rsidRPr="00C75C7E" w:rsidRDefault="00573458" w:rsidP="008F4F69">
            <w:pPr>
              <w:widowControl w:val="0"/>
              <w:ind w:right="161"/>
              <w:rPr>
                <w:bCs/>
                <w:sz w:val="16"/>
                <w:szCs w:val="16"/>
                <w:lang w:val="es-ES_tradnl"/>
              </w:rPr>
            </w:pPr>
            <w:r w:rsidRPr="00C75C7E">
              <w:rPr>
                <w:bCs/>
                <w:sz w:val="16"/>
                <w:szCs w:val="16"/>
                <w:lang w:val="es-ES_tradnl"/>
              </w:rPr>
              <w:t>3</w:t>
            </w:r>
          </w:p>
        </w:tc>
      </w:tr>
      <w:tr w:rsidR="00573458" w:rsidRPr="00C75C7E" w:rsidTr="00A40666">
        <w:trPr>
          <w:cantSplit/>
          <w:trHeight w:val="608"/>
        </w:trPr>
        <w:tc>
          <w:tcPr>
            <w:tcW w:w="1275" w:type="pct"/>
            <w:shd w:val="clear" w:color="auto" w:fill="auto"/>
            <w:tcMar>
              <w:top w:w="113" w:type="dxa"/>
            </w:tcMar>
          </w:tcPr>
          <w:p w:rsidR="00573458" w:rsidRPr="00C75C7E" w:rsidRDefault="00573458" w:rsidP="008F4F69">
            <w:pPr>
              <w:widowControl w:val="0"/>
              <w:tabs>
                <w:tab w:val="right" w:pos="2835"/>
              </w:tabs>
              <w:spacing w:after="60"/>
              <w:rPr>
                <w:sz w:val="16"/>
                <w:szCs w:val="16"/>
                <w:lang w:val="es-ES_tradnl"/>
              </w:rPr>
            </w:pPr>
          </w:p>
        </w:tc>
        <w:tc>
          <w:tcPr>
            <w:tcW w:w="1341" w:type="pct"/>
            <w:shd w:val="clear" w:color="auto" w:fill="auto"/>
            <w:tcMar>
              <w:top w:w="113" w:type="dxa"/>
            </w:tcMar>
          </w:tcPr>
          <w:p w:rsidR="00573458" w:rsidRPr="00C75C7E" w:rsidRDefault="00573458" w:rsidP="008F4F69">
            <w:pPr>
              <w:widowControl w:val="0"/>
              <w:rPr>
                <w:sz w:val="16"/>
                <w:szCs w:val="16"/>
                <w:lang w:val="es-ES_tradnl"/>
              </w:rPr>
            </w:pPr>
            <w:r w:rsidRPr="00C75C7E">
              <w:rPr>
                <w:sz w:val="16"/>
                <w:szCs w:val="16"/>
                <w:lang w:val="es-ES_tradnl"/>
              </w:rPr>
              <w:t>Número de acuerdos cata</w:t>
            </w:r>
            <w:r w:rsidR="004E6B21">
              <w:rPr>
                <w:sz w:val="16"/>
                <w:szCs w:val="16"/>
                <w:lang w:val="es-ES_tradnl"/>
              </w:rPr>
              <w:t>lizados por medio de WIPO GREEN que facilitan la transferencia de conocimiento así como la adaptación, transferencia o difusión de tecnología.</w:t>
            </w:r>
          </w:p>
        </w:tc>
        <w:tc>
          <w:tcPr>
            <w:tcW w:w="1181" w:type="pct"/>
            <w:shd w:val="clear" w:color="auto" w:fill="FFFFFF"/>
            <w:tcMar>
              <w:top w:w="113" w:type="dxa"/>
            </w:tcMar>
          </w:tcPr>
          <w:p w:rsidR="00573458" w:rsidRPr="00C75C7E" w:rsidRDefault="00573458" w:rsidP="008F4F69">
            <w:pPr>
              <w:widowControl w:val="0"/>
              <w:rPr>
                <w:sz w:val="16"/>
                <w:szCs w:val="16"/>
                <w:lang w:val="es-ES_tradnl" w:bidi="th-TH"/>
              </w:rPr>
            </w:pPr>
            <w:r w:rsidRPr="00C75C7E">
              <w:rPr>
                <w:sz w:val="16"/>
                <w:szCs w:val="16"/>
                <w:lang w:val="es-ES_tradnl" w:bidi="th-TH"/>
              </w:rPr>
              <w:t>0 (cero).</w:t>
            </w:r>
          </w:p>
        </w:tc>
        <w:tc>
          <w:tcPr>
            <w:tcW w:w="1203" w:type="pct"/>
            <w:shd w:val="clear" w:color="auto" w:fill="auto"/>
            <w:tcMar>
              <w:top w:w="113" w:type="dxa"/>
            </w:tcMar>
          </w:tcPr>
          <w:p w:rsidR="00573458" w:rsidRPr="00C75C7E" w:rsidRDefault="00573458" w:rsidP="008F4F69">
            <w:pPr>
              <w:widowControl w:val="0"/>
              <w:ind w:right="161"/>
              <w:rPr>
                <w:bCs/>
                <w:sz w:val="16"/>
                <w:szCs w:val="16"/>
                <w:lang w:val="es-ES_tradnl"/>
              </w:rPr>
            </w:pPr>
            <w:r w:rsidRPr="00C75C7E">
              <w:rPr>
                <w:bCs/>
                <w:sz w:val="16"/>
                <w:szCs w:val="16"/>
                <w:lang w:val="es-ES_tradnl"/>
              </w:rPr>
              <w:t>250</w:t>
            </w:r>
          </w:p>
        </w:tc>
      </w:tr>
      <w:tr w:rsidR="00573458" w:rsidRPr="00C75C7E" w:rsidTr="00A40666">
        <w:trPr>
          <w:cantSplit/>
          <w:trHeight w:val="608"/>
        </w:trPr>
        <w:tc>
          <w:tcPr>
            <w:tcW w:w="1275" w:type="pct"/>
            <w:shd w:val="clear" w:color="auto" w:fill="auto"/>
            <w:tcMar>
              <w:top w:w="113" w:type="dxa"/>
            </w:tcMar>
          </w:tcPr>
          <w:p w:rsidR="00573458" w:rsidRPr="00C75C7E" w:rsidRDefault="00573458" w:rsidP="008F4F69">
            <w:pPr>
              <w:widowControl w:val="0"/>
              <w:tabs>
                <w:tab w:val="right" w:pos="2835"/>
              </w:tabs>
              <w:spacing w:after="60"/>
              <w:rPr>
                <w:sz w:val="16"/>
                <w:szCs w:val="16"/>
                <w:lang w:val="es-ES_tradnl"/>
              </w:rPr>
            </w:pPr>
          </w:p>
        </w:tc>
        <w:tc>
          <w:tcPr>
            <w:tcW w:w="1341" w:type="pct"/>
            <w:shd w:val="clear" w:color="auto" w:fill="auto"/>
            <w:tcMar>
              <w:top w:w="113" w:type="dxa"/>
            </w:tcMar>
          </w:tcPr>
          <w:p w:rsidR="00573458" w:rsidRPr="00C75C7E" w:rsidRDefault="00573458" w:rsidP="008F4F69">
            <w:pPr>
              <w:widowControl w:val="0"/>
              <w:rPr>
                <w:sz w:val="16"/>
                <w:szCs w:val="16"/>
                <w:lang w:val="es-ES_tradnl"/>
              </w:rPr>
            </w:pPr>
            <w:r w:rsidRPr="00C75C7E">
              <w:rPr>
                <w:sz w:val="16"/>
                <w:szCs w:val="16"/>
                <w:lang w:val="es-ES_tradnl"/>
              </w:rPr>
              <w:t>Número de visitas de la sección de desafíos mundiales del sitio web de la OMPI.</w:t>
            </w:r>
          </w:p>
        </w:tc>
        <w:tc>
          <w:tcPr>
            <w:tcW w:w="1181" w:type="pct"/>
            <w:shd w:val="clear" w:color="auto" w:fill="FFFFFF"/>
            <w:tcMar>
              <w:top w:w="113" w:type="dxa"/>
            </w:tcMar>
          </w:tcPr>
          <w:p w:rsidR="00573458" w:rsidRPr="00C75C7E" w:rsidRDefault="005C037B" w:rsidP="008F4F69">
            <w:pPr>
              <w:widowControl w:val="0"/>
              <w:rPr>
                <w:sz w:val="16"/>
                <w:szCs w:val="16"/>
                <w:lang w:val="es-ES_tradnl" w:bidi="th-TH"/>
              </w:rPr>
            </w:pPr>
            <w:r>
              <w:rPr>
                <w:sz w:val="16"/>
                <w:szCs w:val="16"/>
                <w:lang w:val="es-ES_tradnl" w:bidi="th-TH"/>
              </w:rPr>
              <w:t>N.d.</w:t>
            </w:r>
          </w:p>
        </w:tc>
        <w:tc>
          <w:tcPr>
            <w:tcW w:w="1203" w:type="pct"/>
            <w:shd w:val="clear" w:color="auto" w:fill="auto"/>
            <w:tcMar>
              <w:top w:w="113" w:type="dxa"/>
            </w:tcMar>
          </w:tcPr>
          <w:p w:rsidR="00573458" w:rsidRPr="00C75C7E" w:rsidRDefault="00A40666" w:rsidP="00A40666">
            <w:pPr>
              <w:widowControl w:val="0"/>
              <w:ind w:right="161"/>
              <w:rPr>
                <w:bCs/>
                <w:sz w:val="16"/>
                <w:szCs w:val="16"/>
                <w:lang w:val="es-ES_tradnl"/>
              </w:rPr>
            </w:pPr>
            <w:r>
              <w:rPr>
                <w:bCs/>
                <w:sz w:val="16"/>
                <w:szCs w:val="16"/>
                <w:lang w:val="es-ES_tradnl"/>
              </w:rPr>
              <w:t>50% de a</w:t>
            </w:r>
            <w:r w:rsidR="00573458" w:rsidRPr="00C75C7E">
              <w:rPr>
                <w:bCs/>
                <w:sz w:val="16"/>
                <w:szCs w:val="16"/>
                <w:lang w:val="es-ES_tradnl"/>
              </w:rPr>
              <w:t>umento</w:t>
            </w:r>
          </w:p>
        </w:tc>
      </w:tr>
      <w:tr w:rsidR="00573458" w:rsidRPr="00C75C7E" w:rsidTr="00A40666">
        <w:trPr>
          <w:cantSplit/>
          <w:trHeight w:val="608"/>
        </w:trPr>
        <w:tc>
          <w:tcPr>
            <w:tcW w:w="1275" w:type="pct"/>
            <w:shd w:val="clear" w:color="auto" w:fill="auto"/>
            <w:tcMar>
              <w:top w:w="113" w:type="dxa"/>
            </w:tcMar>
          </w:tcPr>
          <w:p w:rsidR="00573458" w:rsidRPr="00C75C7E" w:rsidRDefault="00573458" w:rsidP="008F4F69">
            <w:pPr>
              <w:widowControl w:val="0"/>
              <w:tabs>
                <w:tab w:val="right" w:pos="2835"/>
              </w:tabs>
              <w:spacing w:after="60"/>
              <w:rPr>
                <w:sz w:val="15"/>
                <w:szCs w:val="15"/>
                <w:lang w:val="es-ES_tradnl"/>
              </w:rPr>
            </w:pPr>
            <w:r w:rsidRPr="00C75C7E">
              <w:rPr>
                <w:sz w:val="16"/>
                <w:szCs w:val="16"/>
                <w:lang w:val="es-ES_tradnl"/>
              </w:rPr>
              <w:t>VII.3. Fomento de la credibilidad de la OMPI en tanto que foro para el análisis de cuestiones en el ámbito de la P.I. y la política de competencia.</w:t>
            </w:r>
          </w:p>
          <w:p w:rsidR="00573458" w:rsidRPr="00C75C7E" w:rsidRDefault="00573458" w:rsidP="008F4F69">
            <w:pPr>
              <w:widowControl w:val="0"/>
              <w:tabs>
                <w:tab w:val="right" w:pos="2835"/>
              </w:tabs>
              <w:spacing w:after="60"/>
              <w:rPr>
                <w:sz w:val="16"/>
                <w:szCs w:val="16"/>
                <w:lang w:val="es-ES_tradnl"/>
              </w:rPr>
            </w:pPr>
          </w:p>
        </w:tc>
        <w:tc>
          <w:tcPr>
            <w:tcW w:w="1341" w:type="pct"/>
            <w:shd w:val="clear" w:color="auto" w:fill="auto"/>
            <w:tcMar>
              <w:top w:w="113" w:type="dxa"/>
            </w:tcMar>
          </w:tcPr>
          <w:p w:rsidR="00573458" w:rsidRPr="00C75C7E" w:rsidRDefault="00573458" w:rsidP="008F4F69">
            <w:pPr>
              <w:widowControl w:val="0"/>
              <w:rPr>
                <w:sz w:val="16"/>
                <w:szCs w:val="16"/>
                <w:lang w:val="es-ES_tradnl"/>
              </w:rPr>
            </w:pPr>
            <w:r w:rsidRPr="00C75C7E">
              <w:rPr>
                <w:rFonts w:eastAsia="MS Mincho" w:cs="Courier New"/>
                <w:sz w:val="16"/>
                <w:szCs w:val="16"/>
                <w:lang w:val="es-ES_tradnl" w:bidi="th-TH"/>
              </w:rPr>
              <w:t>Número de países que solicitan la aportación específica de la OMPI en materia de P.I. en relación con la política de competencia.</w:t>
            </w:r>
          </w:p>
        </w:tc>
        <w:tc>
          <w:tcPr>
            <w:tcW w:w="1181" w:type="pct"/>
            <w:shd w:val="clear" w:color="auto" w:fill="FFFFFF"/>
            <w:tcMar>
              <w:top w:w="113" w:type="dxa"/>
            </w:tcMar>
          </w:tcPr>
          <w:p w:rsidR="00573458" w:rsidRPr="00C75C7E" w:rsidRDefault="00573458" w:rsidP="008F4F69">
            <w:pPr>
              <w:widowControl w:val="0"/>
              <w:rPr>
                <w:sz w:val="16"/>
                <w:szCs w:val="16"/>
                <w:lang w:val="es-ES_tradnl" w:bidi="th-TH"/>
              </w:rPr>
            </w:pPr>
            <w:r w:rsidRPr="00C75C7E">
              <w:rPr>
                <w:sz w:val="16"/>
                <w:szCs w:val="16"/>
                <w:lang w:val="es-ES_tradnl" w:bidi="th-TH"/>
              </w:rPr>
              <w:t xml:space="preserve">12 </w:t>
            </w:r>
          </w:p>
        </w:tc>
        <w:tc>
          <w:tcPr>
            <w:tcW w:w="1203" w:type="pct"/>
            <w:shd w:val="clear" w:color="auto" w:fill="auto"/>
            <w:tcMar>
              <w:top w:w="113" w:type="dxa"/>
            </w:tcMar>
          </w:tcPr>
          <w:p w:rsidR="00573458" w:rsidRPr="00C75C7E" w:rsidRDefault="00573458" w:rsidP="008F4F69">
            <w:pPr>
              <w:widowControl w:val="0"/>
              <w:ind w:right="161"/>
              <w:rPr>
                <w:bCs/>
                <w:sz w:val="16"/>
                <w:szCs w:val="16"/>
                <w:lang w:val="es-ES_tradnl"/>
              </w:rPr>
            </w:pPr>
            <w:r w:rsidRPr="00C75C7E">
              <w:rPr>
                <w:bCs/>
                <w:sz w:val="16"/>
                <w:szCs w:val="16"/>
                <w:lang w:val="es-ES_tradnl"/>
              </w:rPr>
              <w:t>15</w:t>
            </w:r>
          </w:p>
        </w:tc>
      </w:tr>
      <w:tr w:rsidR="00573458" w:rsidRPr="00C75C7E" w:rsidTr="00A40666">
        <w:trPr>
          <w:cantSplit/>
          <w:trHeight w:val="997"/>
        </w:trPr>
        <w:tc>
          <w:tcPr>
            <w:tcW w:w="1275" w:type="pct"/>
            <w:shd w:val="clear" w:color="auto" w:fill="auto"/>
            <w:tcMar>
              <w:top w:w="113" w:type="dxa"/>
            </w:tcMar>
          </w:tcPr>
          <w:p w:rsidR="00573458" w:rsidRPr="00C75C7E" w:rsidRDefault="00573458" w:rsidP="008F4F69">
            <w:pPr>
              <w:widowControl w:val="0"/>
              <w:tabs>
                <w:tab w:val="right" w:pos="2835"/>
              </w:tabs>
              <w:spacing w:after="60"/>
              <w:rPr>
                <w:sz w:val="15"/>
                <w:szCs w:val="15"/>
                <w:lang w:val="es-ES_tradnl"/>
              </w:rPr>
            </w:pPr>
          </w:p>
        </w:tc>
        <w:tc>
          <w:tcPr>
            <w:tcW w:w="1341" w:type="pct"/>
            <w:shd w:val="clear" w:color="auto" w:fill="auto"/>
            <w:tcMar>
              <w:top w:w="113" w:type="dxa"/>
            </w:tcMar>
          </w:tcPr>
          <w:p w:rsidR="00573458" w:rsidRPr="00C75C7E" w:rsidRDefault="00573458" w:rsidP="008F4F69">
            <w:pPr>
              <w:widowControl w:val="0"/>
              <w:rPr>
                <w:rFonts w:eastAsia="MS Mincho" w:cs="Courier New"/>
                <w:sz w:val="16"/>
                <w:szCs w:val="16"/>
                <w:lang w:val="es-ES_tradnl" w:bidi="th-TH"/>
              </w:rPr>
            </w:pPr>
            <w:r w:rsidRPr="00C75C7E">
              <w:rPr>
                <w:sz w:val="16"/>
                <w:szCs w:val="16"/>
                <w:lang w:val="es-ES_tradnl"/>
              </w:rPr>
              <w:t>Número y diversidad de partes interesadas (oficinas de P.I., autoridades encargadas de cuestiones de competencia, OIG y ONG) que entablan diálogo con la OMPI.</w:t>
            </w:r>
          </w:p>
        </w:tc>
        <w:tc>
          <w:tcPr>
            <w:tcW w:w="1181" w:type="pct"/>
            <w:shd w:val="clear" w:color="auto" w:fill="FFFFFF"/>
            <w:tcMar>
              <w:top w:w="113" w:type="dxa"/>
            </w:tcMar>
          </w:tcPr>
          <w:p w:rsidR="00573458" w:rsidRPr="00C75C7E" w:rsidRDefault="00573458" w:rsidP="008F4F69">
            <w:pPr>
              <w:widowControl w:val="0"/>
              <w:rPr>
                <w:sz w:val="16"/>
                <w:szCs w:val="16"/>
                <w:lang w:val="es-ES_tradnl" w:bidi="th-TH"/>
              </w:rPr>
            </w:pPr>
            <w:r w:rsidRPr="00C75C7E">
              <w:rPr>
                <w:sz w:val="16"/>
                <w:szCs w:val="16"/>
                <w:lang w:val="es-ES_tradnl" w:bidi="th-TH"/>
              </w:rPr>
              <w:t>La OMPI ha entablado diálogo con 25 autoridades nacionales encargadas de cuestiones de competencia y con 3 OIG.</w:t>
            </w:r>
          </w:p>
        </w:tc>
        <w:tc>
          <w:tcPr>
            <w:tcW w:w="1203" w:type="pct"/>
            <w:shd w:val="clear" w:color="auto" w:fill="auto"/>
            <w:tcMar>
              <w:top w:w="113" w:type="dxa"/>
            </w:tcMar>
          </w:tcPr>
          <w:p w:rsidR="00573458" w:rsidRPr="00C75C7E" w:rsidRDefault="00573458" w:rsidP="008F4F69">
            <w:pPr>
              <w:widowControl w:val="0"/>
              <w:ind w:right="161"/>
              <w:rPr>
                <w:bCs/>
                <w:sz w:val="16"/>
                <w:szCs w:val="16"/>
                <w:lang w:val="es-ES_tradnl"/>
              </w:rPr>
            </w:pPr>
            <w:r w:rsidRPr="00C75C7E">
              <w:rPr>
                <w:bCs/>
                <w:sz w:val="16"/>
                <w:szCs w:val="16"/>
                <w:lang w:val="es-ES_tradnl"/>
              </w:rPr>
              <w:t>Mayor número las partes interesadas que participan en actividades de la OMPI</w:t>
            </w:r>
          </w:p>
          <w:p w:rsidR="00573458" w:rsidRPr="00C75C7E" w:rsidRDefault="00573458" w:rsidP="008F4F69">
            <w:pPr>
              <w:widowControl w:val="0"/>
              <w:ind w:right="161"/>
              <w:rPr>
                <w:bCs/>
                <w:sz w:val="16"/>
                <w:szCs w:val="16"/>
                <w:lang w:val="es-ES_tradnl"/>
              </w:rPr>
            </w:pPr>
            <w:r w:rsidRPr="00C75C7E">
              <w:rPr>
                <w:bCs/>
                <w:sz w:val="16"/>
                <w:szCs w:val="16"/>
                <w:lang w:val="es-ES_tradnl"/>
              </w:rPr>
              <w:t>35 autoridades nacionales y cinco OIG/ONG.</w:t>
            </w:r>
          </w:p>
        </w:tc>
      </w:tr>
    </w:tbl>
    <w:p w:rsidR="00573458" w:rsidRPr="00C75C7E" w:rsidRDefault="00573458" w:rsidP="00573458">
      <w:pPr>
        <w:widowControl w:val="0"/>
        <w:rPr>
          <w:sz w:val="20"/>
          <w:lang w:val="es-ES_tradnl"/>
        </w:rPr>
      </w:pPr>
    </w:p>
    <w:p w:rsidR="00573458" w:rsidRDefault="00573458" w:rsidP="00573458">
      <w:pPr>
        <w:widowControl w:val="0"/>
        <w:autoSpaceDE w:val="0"/>
        <w:autoSpaceDN w:val="0"/>
        <w:adjustRightInd w:val="0"/>
        <w:rPr>
          <w:iCs/>
          <w:szCs w:val="22"/>
          <w:lang w:val="es-ES_tradnl"/>
        </w:rPr>
      </w:pPr>
    </w:p>
    <w:p w:rsidR="000E3B25" w:rsidRPr="00AD1E8B" w:rsidRDefault="000E3B25" w:rsidP="000E3B25">
      <w:pPr>
        <w:widowControl w:val="0"/>
        <w:autoSpaceDE w:val="0"/>
        <w:autoSpaceDN w:val="0"/>
        <w:adjustRightInd w:val="0"/>
        <w:jc w:val="both"/>
        <w:rPr>
          <w:szCs w:val="22"/>
          <w:lang w:val="es-ES_tradnl"/>
        </w:rPr>
      </w:pPr>
      <w:r w:rsidRPr="00AD1E8B">
        <w:rPr>
          <w:szCs w:val="22"/>
          <w:lang w:val="es-ES_tradnl"/>
        </w:rPr>
        <w:t>RECURSOS PARA EL PROGRAMA 18</w:t>
      </w:r>
    </w:p>
    <w:p w:rsidR="000E3B25" w:rsidRPr="00AD1E8B" w:rsidRDefault="000E3B25" w:rsidP="000E3B25">
      <w:pPr>
        <w:widowControl w:val="0"/>
        <w:autoSpaceDE w:val="0"/>
        <w:autoSpaceDN w:val="0"/>
        <w:adjustRightInd w:val="0"/>
        <w:rPr>
          <w:iCs/>
          <w:szCs w:val="22"/>
          <w:lang w:val="es-ES_tradnl"/>
        </w:rPr>
      </w:pPr>
    </w:p>
    <w:p w:rsidR="000E3B25" w:rsidRPr="00AD1E8B" w:rsidRDefault="000E3B25" w:rsidP="00E17471">
      <w:pPr>
        <w:widowControl w:val="0"/>
        <w:numPr>
          <w:ilvl w:val="0"/>
          <w:numId w:val="12"/>
        </w:numPr>
        <w:jc w:val="both"/>
        <w:rPr>
          <w:sz w:val="20"/>
          <w:lang w:val="es-ES_tradnl"/>
        </w:rPr>
      </w:pPr>
      <w:r w:rsidRPr="00AD1E8B">
        <w:rPr>
          <w:sz w:val="20"/>
          <w:lang w:val="es-ES_tradnl"/>
        </w:rPr>
        <w:t>La dotación global de recursos para el programa se mantiene estable</w:t>
      </w:r>
      <w:r w:rsidR="004E6B21">
        <w:rPr>
          <w:sz w:val="20"/>
          <w:lang w:val="es-ES_tradnl"/>
        </w:rPr>
        <w:t xml:space="preserve">.  La disminución que acusan los recursos </w:t>
      </w:r>
      <w:r w:rsidRPr="00AD1E8B">
        <w:rPr>
          <w:sz w:val="20"/>
          <w:lang w:val="es-ES_tradnl"/>
        </w:rPr>
        <w:t xml:space="preserve">con respecto al </w:t>
      </w:r>
      <w:r>
        <w:rPr>
          <w:sz w:val="20"/>
          <w:lang w:val="es-ES_tradnl"/>
        </w:rPr>
        <w:t>r</w:t>
      </w:r>
      <w:r w:rsidRPr="00AD1E8B">
        <w:rPr>
          <w:sz w:val="20"/>
          <w:lang w:val="es-ES_tradnl"/>
        </w:rPr>
        <w:t>esultado VII.2 (</w:t>
      </w:r>
      <w:r w:rsidR="004E6B21" w:rsidRPr="004E6B21">
        <w:rPr>
          <w:sz w:val="20"/>
          <w:lang w:val="es-ES_tradnl"/>
        </w:rPr>
        <w:t xml:space="preserve">Plataformas y herramientas de P.I. utilizadas </w:t>
      </w:r>
      <w:r w:rsidR="004E6B21">
        <w:rPr>
          <w:sz w:val="20"/>
          <w:lang w:val="es-ES_tradnl"/>
        </w:rPr>
        <w:t>con el fin de atender los desafíos m</w:t>
      </w:r>
      <w:r w:rsidRPr="00AD1E8B">
        <w:rPr>
          <w:sz w:val="20"/>
          <w:lang w:val="es-ES_tradnl"/>
        </w:rPr>
        <w:t xml:space="preserve">undiales) </w:t>
      </w:r>
      <w:r w:rsidR="004E6B21">
        <w:rPr>
          <w:sz w:val="20"/>
          <w:lang w:val="es-ES_tradnl"/>
        </w:rPr>
        <w:t xml:space="preserve">queda compensada en gran parte por un </w:t>
      </w:r>
      <w:r w:rsidRPr="00AD1E8B">
        <w:rPr>
          <w:sz w:val="20"/>
          <w:lang w:val="es-ES_tradnl"/>
        </w:rPr>
        <w:t xml:space="preserve">incremento </w:t>
      </w:r>
      <w:r w:rsidR="004E6B21">
        <w:rPr>
          <w:sz w:val="20"/>
          <w:lang w:val="es-ES_tradnl"/>
        </w:rPr>
        <w:t>en los recursos con respecto a los resultados III.2 (Fortalecimiento de capacidades) y IV.2 (</w:t>
      </w:r>
      <w:r w:rsidR="004E6B21" w:rsidRPr="004E6B21">
        <w:rPr>
          <w:sz w:val="20"/>
          <w:lang w:val="es-ES_tradnl"/>
        </w:rPr>
        <w:t>Mejora del acceso y uso de información y conocimientos de P.I</w:t>
      </w:r>
      <w:r w:rsidR="004E6B21">
        <w:rPr>
          <w:sz w:val="20"/>
          <w:lang w:val="es-ES_tradnl"/>
        </w:rPr>
        <w:t xml:space="preserve">), resultados que han sido incorporados a este programa para que sea fiel reflejo de la naturaleza de las actividades que se emprendan.  El incremento </w:t>
      </w:r>
      <w:r w:rsidRPr="00AD1E8B">
        <w:rPr>
          <w:sz w:val="20"/>
          <w:lang w:val="es-ES_tradnl"/>
        </w:rPr>
        <w:t xml:space="preserve">con respecto al </w:t>
      </w:r>
      <w:r>
        <w:rPr>
          <w:sz w:val="20"/>
          <w:lang w:val="es-ES_tradnl"/>
        </w:rPr>
        <w:t>r</w:t>
      </w:r>
      <w:r w:rsidRPr="00AD1E8B">
        <w:rPr>
          <w:sz w:val="20"/>
          <w:lang w:val="es-ES_tradnl"/>
        </w:rPr>
        <w:t>esultado VII.3 (Fomento de la credibilidad de la OMPI en tanto que foro para el análisis de cuestiones en el ámbito de la P.I. y la política de competencia)</w:t>
      </w:r>
      <w:r w:rsidR="004E6B21">
        <w:rPr>
          <w:sz w:val="20"/>
          <w:lang w:val="es-ES_tradnl"/>
        </w:rPr>
        <w:t xml:space="preserve"> </w:t>
      </w:r>
      <w:r w:rsidR="00DD37B9">
        <w:rPr>
          <w:sz w:val="20"/>
          <w:lang w:val="es-ES_tradnl"/>
        </w:rPr>
        <w:t>corresponde a una asignación adicional de tiempo de gestión para este resultado</w:t>
      </w:r>
      <w:r w:rsidRPr="00AD1E8B">
        <w:rPr>
          <w:sz w:val="20"/>
          <w:lang w:val="es-ES_tradnl"/>
        </w:rPr>
        <w:t>.  Gracias a las eficiencias de costos logradas en el capítulo de los gastos de viaje y otros costos relativos a la organización y gestión de eventos se ha logrado contener el crecimiento de los gastos, cifrados en 206</w:t>
      </w:r>
      <w:r w:rsidR="00D86F03">
        <w:rPr>
          <w:sz w:val="20"/>
          <w:lang w:val="es-ES_tradnl"/>
        </w:rPr>
        <w:t>.</w:t>
      </w:r>
      <w:r w:rsidRPr="00AD1E8B">
        <w:rPr>
          <w:sz w:val="20"/>
          <w:lang w:val="es-ES_tradnl"/>
        </w:rPr>
        <w:t xml:space="preserve">000 francos suizos. </w:t>
      </w:r>
    </w:p>
    <w:p w:rsidR="000E3B25" w:rsidRPr="00AD1E8B" w:rsidRDefault="000E3B25" w:rsidP="000E3B25">
      <w:pPr>
        <w:widowControl w:val="0"/>
        <w:rPr>
          <w:sz w:val="20"/>
          <w:lang w:val="es-ES_tradnl"/>
        </w:rPr>
      </w:pPr>
    </w:p>
    <w:p w:rsidR="000E3B25" w:rsidRPr="00C75C7E" w:rsidRDefault="000E3B25" w:rsidP="00573458">
      <w:pPr>
        <w:widowControl w:val="0"/>
        <w:autoSpaceDE w:val="0"/>
        <w:autoSpaceDN w:val="0"/>
        <w:adjustRightInd w:val="0"/>
        <w:rPr>
          <w:iCs/>
          <w:szCs w:val="22"/>
          <w:lang w:val="es-ES_tradnl"/>
        </w:rPr>
      </w:pPr>
    </w:p>
    <w:p w:rsidR="00573458" w:rsidRPr="00C75C7E" w:rsidRDefault="004E6B21" w:rsidP="00F50540">
      <w:pPr>
        <w:keepNext/>
        <w:widowControl w:val="0"/>
        <w:autoSpaceDE w:val="0"/>
        <w:autoSpaceDN w:val="0"/>
        <w:adjustRightInd w:val="0"/>
        <w:jc w:val="center"/>
        <w:rPr>
          <w:b/>
          <w:bCs/>
          <w:iCs/>
          <w:sz w:val="20"/>
          <w:lang w:val="es-ES_tradnl"/>
        </w:rPr>
      </w:pPr>
      <w:r>
        <w:rPr>
          <w:b/>
          <w:bCs/>
          <w:iCs/>
          <w:sz w:val="20"/>
          <w:lang w:val="es-ES_tradnl"/>
        </w:rPr>
        <w:lastRenderedPageBreak/>
        <w:t xml:space="preserve">Programa 18:  </w:t>
      </w:r>
      <w:r w:rsidR="00573458" w:rsidRPr="00C75C7E">
        <w:rPr>
          <w:b/>
          <w:bCs/>
          <w:iCs/>
          <w:sz w:val="20"/>
          <w:lang w:val="es-ES_tradnl"/>
        </w:rPr>
        <w:t>Recursos por resultado</w:t>
      </w:r>
    </w:p>
    <w:p w:rsidR="00573458" w:rsidRPr="00C75C7E" w:rsidRDefault="00573458" w:rsidP="00F50540">
      <w:pPr>
        <w:keepNext/>
        <w:widowControl w:val="0"/>
        <w:autoSpaceDE w:val="0"/>
        <w:autoSpaceDN w:val="0"/>
        <w:adjustRightInd w:val="0"/>
        <w:jc w:val="center"/>
        <w:rPr>
          <w:bCs/>
          <w:i/>
          <w:sz w:val="20"/>
          <w:lang w:val="es-ES_tradnl"/>
        </w:rPr>
      </w:pPr>
      <w:r w:rsidRPr="00C75C7E">
        <w:rPr>
          <w:bCs/>
          <w:i/>
          <w:sz w:val="20"/>
          <w:lang w:val="es-ES_tradnl"/>
        </w:rPr>
        <w:t>(en miles de francos suizos)</w:t>
      </w:r>
    </w:p>
    <w:p w:rsidR="00573458" w:rsidRPr="00C75C7E" w:rsidRDefault="00573458" w:rsidP="00F50540">
      <w:pPr>
        <w:keepNext/>
        <w:widowControl w:val="0"/>
        <w:autoSpaceDE w:val="0"/>
        <w:autoSpaceDN w:val="0"/>
        <w:adjustRightInd w:val="0"/>
        <w:rPr>
          <w:sz w:val="20"/>
          <w:lang w:val="es-ES_tradnl"/>
        </w:rPr>
      </w:pPr>
    </w:p>
    <w:p w:rsidR="00573458" w:rsidRPr="00C75C7E" w:rsidRDefault="00F50540" w:rsidP="00F50540">
      <w:pPr>
        <w:keepNext/>
        <w:widowControl w:val="0"/>
        <w:autoSpaceDE w:val="0"/>
        <w:autoSpaceDN w:val="0"/>
        <w:adjustRightInd w:val="0"/>
        <w:rPr>
          <w:sz w:val="20"/>
          <w:lang w:val="es-ES_tradnl"/>
        </w:rPr>
      </w:pPr>
      <w:r w:rsidRPr="00F50540">
        <w:rPr>
          <w:noProof/>
          <w:lang w:val="en-US" w:eastAsia="en-US"/>
        </w:rPr>
        <w:drawing>
          <wp:inline distT="0" distB="0" distL="0" distR="0" wp14:anchorId="7B5DDE76" wp14:editId="5B2C5B10">
            <wp:extent cx="5762625" cy="3086100"/>
            <wp:effectExtent l="0" t="0" r="952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762625" cy="3086100"/>
                    </a:xfrm>
                    <a:prstGeom prst="rect">
                      <a:avLst/>
                    </a:prstGeom>
                    <a:noFill/>
                    <a:ln>
                      <a:noFill/>
                    </a:ln>
                  </pic:spPr>
                </pic:pic>
              </a:graphicData>
            </a:graphic>
          </wp:inline>
        </w:drawing>
      </w:r>
    </w:p>
    <w:p w:rsidR="00573458" w:rsidRPr="00C75C7E" w:rsidRDefault="00573458" w:rsidP="00573458">
      <w:pPr>
        <w:widowControl w:val="0"/>
        <w:autoSpaceDE w:val="0"/>
        <w:autoSpaceDN w:val="0"/>
        <w:adjustRightInd w:val="0"/>
        <w:rPr>
          <w:sz w:val="20"/>
          <w:lang w:val="es-ES_tradnl"/>
        </w:rPr>
      </w:pPr>
    </w:p>
    <w:p w:rsidR="00573458" w:rsidRPr="00C75C7E" w:rsidRDefault="00573458" w:rsidP="00573458">
      <w:pPr>
        <w:widowControl w:val="0"/>
        <w:autoSpaceDE w:val="0"/>
        <w:autoSpaceDN w:val="0"/>
        <w:adjustRightInd w:val="0"/>
        <w:rPr>
          <w:sz w:val="20"/>
          <w:lang w:val="es-ES_tradnl"/>
        </w:rPr>
      </w:pPr>
      <w:r w:rsidRPr="00C75C7E">
        <w:rPr>
          <w:sz w:val="16"/>
          <w:szCs w:val="16"/>
          <w:lang w:val="es-ES_tradnl"/>
        </w:rPr>
        <w:t xml:space="preserve">Nota: </w:t>
      </w:r>
      <w:r w:rsidR="00542138">
        <w:rPr>
          <w:sz w:val="16"/>
          <w:szCs w:val="16"/>
          <w:lang w:val="es-ES_tradnl"/>
        </w:rPr>
        <w:t xml:space="preserve"> </w:t>
      </w:r>
      <w:r w:rsidRPr="00C75C7E">
        <w:rPr>
          <w:sz w:val="16"/>
          <w:szCs w:val="16"/>
          <w:lang w:val="es-ES_tradnl"/>
        </w:rPr>
        <w:t>Se ha reexpresado el presupuesto aprobado de 2012/13 y el presupuesto de dicho bienio después de las transferencias, por resultado previsto, para reflejar el marco de resultados de la Organización propuesto para 2014/15.</w:t>
      </w:r>
    </w:p>
    <w:p w:rsidR="00573458" w:rsidRPr="00C75C7E" w:rsidRDefault="000E3B25" w:rsidP="00542C2B">
      <w:pPr>
        <w:keepNext/>
        <w:widowControl w:val="0"/>
        <w:autoSpaceDE w:val="0"/>
        <w:autoSpaceDN w:val="0"/>
        <w:adjustRightInd w:val="0"/>
        <w:jc w:val="center"/>
        <w:rPr>
          <w:sz w:val="20"/>
          <w:lang w:val="es-ES_tradnl"/>
        </w:rPr>
      </w:pPr>
      <w:r>
        <w:rPr>
          <w:sz w:val="20"/>
          <w:lang w:val="es-ES_tradnl"/>
        </w:rPr>
        <w:br w:type="page"/>
      </w:r>
    </w:p>
    <w:p w:rsidR="00573458" w:rsidRPr="00C75C7E" w:rsidRDefault="00F50540" w:rsidP="00542C2B">
      <w:pPr>
        <w:keepNext/>
        <w:widowControl w:val="0"/>
        <w:autoSpaceDE w:val="0"/>
        <w:autoSpaceDN w:val="0"/>
        <w:adjustRightInd w:val="0"/>
        <w:jc w:val="center"/>
        <w:rPr>
          <w:b/>
          <w:bCs/>
          <w:iCs/>
          <w:sz w:val="20"/>
          <w:lang w:val="es-ES_tradnl"/>
        </w:rPr>
      </w:pPr>
      <w:r>
        <w:rPr>
          <w:b/>
          <w:bCs/>
          <w:iCs/>
          <w:sz w:val="20"/>
          <w:lang w:val="es-ES_tradnl"/>
        </w:rPr>
        <w:lastRenderedPageBreak/>
        <w:t xml:space="preserve">Programa 18:  </w:t>
      </w:r>
      <w:r w:rsidR="00573458" w:rsidRPr="00C75C7E">
        <w:rPr>
          <w:b/>
          <w:bCs/>
          <w:iCs/>
          <w:sz w:val="20"/>
          <w:lang w:val="es-ES_tradnl"/>
        </w:rPr>
        <w:t>Recursos por objeto de gasto</w:t>
      </w:r>
    </w:p>
    <w:p w:rsidR="00573458" w:rsidRPr="00C75C7E" w:rsidRDefault="00573458" w:rsidP="00542C2B">
      <w:pPr>
        <w:keepNext/>
        <w:widowControl w:val="0"/>
        <w:autoSpaceDE w:val="0"/>
        <w:autoSpaceDN w:val="0"/>
        <w:adjustRightInd w:val="0"/>
        <w:jc w:val="center"/>
        <w:rPr>
          <w:bCs/>
          <w:i/>
          <w:sz w:val="20"/>
          <w:lang w:val="es-ES_tradnl"/>
        </w:rPr>
      </w:pPr>
      <w:r w:rsidRPr="00C75C7E">
        <w:rPr>
          <w:bCs/>
          <w:i/>
          <w:sz w:val="20"/>
          <w:lang w:val="es-ES_tradnl"/>
        </w:rPr>
        <w:t>(en miles de francos suizos)</w:t>
      </w:r>
    </w:p>
    <w:p w:rsidR="00573458" w:rsidRDefault="00573458" w:rsidP="00542C2B">
      <w:pPr>
        <w:keepNext/>
        <w:widowControl w:val="0"/>
        <w:jc w:val="center"/>
        <w:rPr>
          <w:i/>
          <w:sz w:val="18"/>
          <w:szCs w:val="18"/>
          <w:lang w:val="es-ES_tradnl"/>
        </w:rPr>
      </w:pPr>
    </w:p>
    <w:p w:rsidR="001E5683" w:rsidRPr="00C75C7E" w:rsidRDefault="00C40A11" w:rsidP="00542C2B">
      <w:pPr>
        <w:keepNext/>
        <w:widowControl w:val="0"/>
        <w:jc w:val="center"/>
        <w:rPr>
          <w:i/>
          <w:sz w:val="18"/>
          <w:szCs w:val="18"/>
          <w:lang w:val="es-ES_tradnl"/>
        </w:rPr>
      </w:pPr>
      <w:r>
        <w:rPr>
          <w:noProof/>
          <w:lang w:val="en-US" w:eastAsia="en-US"/>
        </w:rPr>
        <w:drawing>
          <wp:inline distT="0" distB="0" distL="0" distR="0" wp14:anchorId="2EF48589" wp14:editId="75B3B527">
            <wp:extent cx="5936615" cy="5739130"/>
            <wp:effectExtent l="0" t="0" r="6985"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936615" cy="5739130"/>
                    </a:xfrm>
                    <a:prstGeom prst="rect">
                      <a:avLst/>
                    </a:prstGeom>
                    <a:noFill/>
                    <a:ln>
                      <a:noFill/>
                    </a:ln>
                  </pic:spPr>
                </pic:pic>
              </a:graphicData>
            </a:graphic>
          </wp:inline>
        </w:drawing>
      </w:r>
    </w:p>
    <w:p w:rsidR="001E5683" w:rsidRDefault="001E5683" w:rsidP="00573458">
      <w:pPr>
        <w:widowControl w:val="0"/>
        <w:rPr>
          <w:sz w:val="16"/>
          <w:szCs w:val="16"/>
          <w:lang w:val="es-ES_tradnl"/>
        </w:rPr>
      </w:pPr>
    </w:p>
    <w:p w:rsidR="00573458" w:rsidRPr="00C75C7E" w:rsidRDefault="00573458" w:rsidP="00573458">
      <w:pPr>
        <w:widowControl w:val="0"/>
        <w:rPr>
          <w:sz w:val="16"/>
          <w:szCs w:val="16"/>
          <w:lang w:val="es-ES_tradnl"/>
        </w:rPr>
      </w:pPr>
      <w:r w:rsidRPr="00C75C7E">
        <w:rPr>
          <w:sz w:val="16"/>
          <w:szCs w:val="16"/>
          <w:lang w:val="es-ES_tradnl"/>
        </w:rPr>
        <w:t>Notas:</w:t>
      </w:r>
    </w:p>
    <w:p w:rsidR="00573458" w:rsidRPr="00C75C7E" w:rsidRDefault="00573458" w:rsidP="00573458">
      <w:pPr>
        <w:widowControl w:val="0"/>
        <w:rPr>
          <w:sz w:val="16"/>
          <w:szCs w:val="16"/>
          <w:u w:val="single"/>
          <w:lang w:val="es-ES_tradnl"/>
        </w:rPr>
      </w:pPr>
    </w:p>
    <w:p w:rsidR="00573458" w:rsidRDefault="00542138" w:rsidP="00573458">
      <w:pPr>
        <w:widowControl w:val="0"/>
        <w:rPr>
          <w:sz w:val="16"/>
          <w:szCs w:val="16"/>
          <w:lang w:val="es-ES_tradnl"/>
        </w:rPr>
      </w:pPr>
      <w:r>
        <w:rPr>
          <w:sz w:val="16"/>
          <w:szCs w:val="16"/>
          <w:lang w:val="es-ES_tradnl"/>
        </w:rPr>
        <w:t xml:space="preserve">1)  </w:t>
      </w:r>
      <w:r w:rsidR="00573458" w:rsidRPr="00C75C7E">
        <w:rPr>
          <w:sz w:val="16"/>
          <w:szCs w:val="16"/>
          <w:lang w:val="es-ES_tradnl"/>
        </w:rPr>
        <w:t>El presupuesto aprobado de 2012/13 y el presupuesto de dicho bienio después de las transferencias se reexpresan sobre la base de la estructura de categorías de costos propuesta para 2014/15.</w:t>
      </w:r>
    </w:p>
    <w:p w:rsidR="00573458" w:rsidRPr="00C75C7E" w:rsidRDefault="00573458" w:rsidP="00573458">
      <w:pPr>
        <w:widowControl w:val="0"/>
        <w:rPr>
          <w:sz w:val="16"/>
          <w:szCs w:val="16"/>
          <w:lang w:val="es-ES_tradnl"/>
        </w:rPr>
      </w:pPr>
    </w:p>
    <w:p w:rsidR="00573458" w:rsidRDefault="00573458" w:rsidP="00573458">
      <w:pPr>
        <w:widowControl w:val="0"/>
        <w:rPr>
          <w:rFonts w:cs="ArialMT"/>
          <w:sz w:val="16"/>
          <w:szCs w:val="16"/>
          <w:lang w:val="es-ES_tradnl"/>
        </w:rPr>
      </w:pPr>
      <w:r>
        <w:rPr>
          <w:sz w:val="16"/>
          <w:szCs w:val="16"/>
          <w:lang w:val="es-ES_tradnl"/>
        </w:rPr>
        <w:t>2)</w:t>
      </w:r>
      <w:r w:rsidR="00542138">
        <w:rPr>
          <w:sz w:val="16"/>
          <w:szCs w:val="16"/>
          <w:lang w:val="es-ES_tradnl"/>
        </w:rPr>
        <w:t xml:space="preserve">  </w:t>
      </w:r>
      <w:r w:rsidRPr="00C75C7E">
        <w:rPr>
          <w:sz w:val="16"/>
          <w:szCs w:val="16"/>
          <w:lang w:val="es-ES_tradnl"/>
        </w:rPr>
        <w:t>El presupuesto después de las transferencias refleja el presupuesto de los programas ajustado tras las transferencias efectuadas en 2012/13 en virtud del artículo 5.5 del Reglamento Financiero. Para más información sobre el presupuesto de</w:t>
      </w:r>
      <w:r w:rsidR="00D86F03">
        <w:rPr>
          <w:sz w:val="16"/>
          <w:szCs w:val="16"/>
          <w:lang w:val="es-ES_tradnl"/>
        </w:rPr>
        <w:t> </w:t>
      </w:r>
      <w:r w:rsidRPr="00C75C7E">
        <w:rPr>
          <w:sz w:val="16"/>
          <w:szCs w:val="16"/>
          <w:lang w:val="es-ES_tradnl"/>
        </w:rPr>
        <w:t xml:space="preserve">2012/13 después de las transferencias, cabe remitirse al cuadro que figura en el Anexo I (Presupuesto después de las transferencias, por programa) del presente documento y al documento WO/PBC/20/2 (Informe sobre el rendimiento de los programas en 2012).  </w:t>
      </w:r>
      <w:r w:rsidRPr="00C75C7E">
        <w:rPr>
          <w:rFonts w:cs="ArialMT"/>
          <w:sz w:val="16"/>
          <w:szCs w:val="16"/>
          <w:lang w:val="es-ES_tradnl"/>
        </w:rPr>
        <w:t xml:space="preserve">Los costos de personal del presupuesto de 2012/13 después de las transferencias representan los gastos reales efectuados hasta el 31 de marzo de 2013 y los importes presupuestados para los nueve meses restantes de 2013, sobre la base de costos estándar. </w:t>
      </w:r>
    </w:p>
    <w:p w:rsidR="00573458" w:rsidRPr="00C75C7E" w:rsidRDefault="00573458" w:rsidP="00573458">
      <w:pPr>
        <w:widowControl w:val="0"/>
        <w:rPr>
          <w:sz w:val="16"/>
          <w:szCs w:val="16"/>
          <w:lang w:val="es-ES_tradnl"/>
        </w:rPr>
      </w:pPr>
    </w:p>
    <w:p w:rsidR="00573458" w:rsidRPr="00C75C7E" w:rsidRDefault="00573458" w:rsidP="00573458">
      <w:pPr>
        <w:widowControl w:val="0"/>
        <w:rPr>
          <w:sz w:val="16"/>
          <w:szCs w:val="16"/>
          <w:lang w:val="es-ES_tradnl"/>
        </w:rPr>
      </w:pPr>
      <w:r>
        <w:rPr>
          <w:sz w:val="16"/>
          <w:szCs w:val="16"/>
          <w:lang w:val="es-ES_tradnl"/>
        </w:rPr>
        <w:t>3)</w:t>
      </w:r>
      <w:r w:rsidR="00542138">
        <w:rPr>
          <w:sz w:val="16"/>
          <w:szCs w:val="16"/>
          <w:lang w:val="es-ES_tradnl"/>
        </w:rPr>
        <w:t xml:space="preserve">  </w:t>
      </w:r>
      <w:r w:rsidRPr="00C75C7E">
        <w:rPr>
          <w:sz w:val="16"/>
          <w:szCs w:val="16"/>
          <w:lang w:val="es-ES_tradnl"/>
        </w:rPr>
        <w:t>Para más información sobre los puestos del programa cabe remitirse al cuadro que figura en el Anexo II.</w:t>
      </w:r>
    </w:p>
    <w:p w:rsidR="00573458" w:rsidRPr="00C75C7E" w:rsidRDefault="00573458" w:rsidP="00573458">
      <w:pPr>
        <w:widowControl w:val="0"/>
        <w:rPr>
          <w:sz w:val="20"/>
          <w:lang w:val="es-ES_tradnl"/>
        </w:rPr>
      </w:pPr>
    </w:p>
    <w:p w:rsidR="00573458" w:rsidRDefault="00573458" w:rsidP="003E638B">
      <w:pPr>
        <w:rPr>
          <w:sz w:val="20"/>
          <w:lang w:val="es-ES_tradnl"/>
        </w:rPr>
      </w:pPr>
    </w:p>
    <w:p w:rsidR="00A17952" w:rsidRDefault="00A17952" w:rsidP="003E638B">
      <w:pPr>
        <w:rPr>
          <w:sz w:val="20"/>
          <w:lang w:val="es-ES_tradnl"/>
        </w:rPr>
      </w:pPr>
    </w:p>
    <w:p w:rsidR="00A17952" w:rsidRDefault="00A17952" w:rsidP="003E638B">
      <w:pPr>
        <w:rPr>
          <w:sz w:val="20"/>
          <w:lang w:val="es-ES_tradnl"/>
        </w:rPr>
      </w:pPr>
    </w:p>
    <w:p w:rsidR="00E54CE4" w:rsidRDefault="00E54CE4" w:rsidP="003E638B">
      <w:pPr>
        <w:rPr>
          <w:sz w:val="20"/>
          <w:lang w:val="es-ES_tradnl"/>
        </w:rPr>
        <w:sectPr w:rsidR="00E54CE4" w:rsidSect="00FF362A">
          <w:headerReference w:type="even" r:id="rId104"/>
          <w:headerReference w:type="default" r:id="rId105"/>
          <w:headerReference w:type="first" r:id="rId106"/>
          <w:pgSz w:w="11907" w:h="16840" w:code="9"/>
          <w:pgMar w:top="567" w:right="1134" w:bottom="1418" w:left="1418" w:header="510" w:footer="1021" w:gutter="0"/>
          <w:cols w:space="720"/>
          <w:titlePg/>
        </w:sectPr>
      </w:pPr>
    </w:p>
    <w:p w:rsidR="00F50540" w:rsidRDefault="006A15F5" w:rsidP="000E3B25">
      <w:pPr>
        <w:pStyle w:val="Heading2"/>
        <w:jc w:val="center"/>
        <w:rPr>
          <w:b/>
          <w:caps w:val="0"/>
          <w:lang w:val="es-ES_tradnl"/>
        </w:rPr>
      </w:pPr>
      <w:bookmarkStart w:id="68" w:name="_Toc358816710"/>
      <w:r w:rsidRPr="000E3B25">
        <w:rPr>
          <w:b/>
          <w:caps w:val="0"/>
          <w:lang w:val="es-ES_tradnl"/>
        </w:rPr>
        <w:lastRenderedPageBreak/>
        <w:t>META ESTRATÉGICA VIII</w:t>
      </w:r>
    </w:p>
    <w:p w:rsidR="000E3B25" w:rsidRPr="000E3B25" w:rsidRDefault="006A15F5" w:rsidP="000E3B25">
      <w:pPr>
        <w:pStyle w:val="Heading2"/>
        <w:jc w:val="center"/>
        <w:rPr>
          <w:b/>
          <w:lang w:val="es-ES_tradnl"/>
        </w:rPr>
      </w:pPr>
      <w:r w:rsidRPr="000E3B25">
        <w:rPr>
          <w:b/>
          <w:caps w:val="0"/>
          <w:lang w:val="es-ES_tradnl"/>
        </w:rPr>
        <w:t>COMUNICACIÓN EFICAZ ENTRE LA OMPI, SUS ESTADOS MIEMBROS</w:t>
      </w:r>
      <w:r>
        <w:rPr>
          <w:b/>
          <w:caps w:val="0"/>
          <w:lang w:val="es-ES_tradnl"/>
        </w:rPr>
        <w:br/>
      </w:r>
      <w:r w:rsidRPr="000E3B25">
        <w:rPr>
          <w:b/>
          <w:caps w:val="0"/>
          <w:lang w:val="es-ES_tradnl"/>
        </w:rPr>
        <w:t>Y TODAS LAS PARTES INTERESADAS</w:t>
      </w:r>
      <w:bookmarkEnd w:id="68"/>
    </w:p>
    <w:p w:rsidR="000E3B25" w:rsidRPr="0093141F" w:rsidRDefault="000E3B25" w:rsidP="00E10A93">
      <w:pPr>
        <w:autoSpaceDE w:val="0"/>
        <w:autoSpaceDN w:val="0"/>
        <w:adjustRightInd w:val="0"/>
        <w:jc w:val="both"/>
        <w:rPr>
          <w:sz w:val="20"/>
          <w:lang w:val="es-ES_tradnl"/>
        </w:rPr>
      </w:pPr>
    </w:p>
    <w:p w:rsidR="000E3B25" w:rsidRPr="0093141F" w:rsidRDefault="000E3B25" w:rsidP="00E10A93">
      <w:pPr>
        <w:autoSpaceDE w:val="0"/>
        <w:autoSpaceDN w:val="0"/>
        <w:adjustRightInd w:val="0"/>
        <w:jc w:val="both"/>
        <w:rPr>
          <w:sz w:val="20"/>
          <w:lang w:val="es-ES_tradnl"/>
        </w:rPr>
      </w:pPr>
    </w:p>
    <w:p w:rsidR="000E3B25" w:rsidRPr="00AD1E8B" w:rsidRDefault="000E3B25" w:rsidP="00E10A93">
      <w:pPr>
        <w:autoSpaceDE w:val="0"/>
        <w:autoSpaceDN w:val="0"/>
        <w:adjustRightInd w:val="0"/>
        <w:jc w:val="both"/>
        <w:rPr>
          <w:sz w:val="20"/>
          <w:lang w:val="es-ES_tradnl"/>
        </w:rPr>
      </w:pPr>
      <w:r w:rsidRPr="00AD1E8B">
        <w:rPr>
          <w:sz w:val="20"/>
          <w:lang w:val="es-ES_tradnl"/>
        </w:rPr>
        <w:t>Con esta meta estratégica se deja constancia de la gran prioridad que concede la Secretaría de la OMPI al fomento de una comunicación eficaz, en tanto que elemento esencial en el que reside el éxito de cada aspecto de su labor, así como para la prestación de servicios en tanto que prioridad central e institucional.  La OMPI presta servicios de muy distinta naturaleza a una amplia gama de partes interesadas y ante todo, en tanto que organismo especializado de las Naciones Unidas, a sus Estados miembros.  Entre dichos servicios están el apoyo a los comités en las actividades normativas que realizan, servicios de fortalecimiento de capacidades en los países en desarrollo, servicios de información y servicios técnicos así como servicios mundiales de registro, de presentación de solicitudes y de solución de controversias en el ámbito de la P.I.</w:t>
      </w:r>
    </w:p>
    <w:p w:rsidR="00D57E7A" w:rsidRPr="00406FE5" w:rsidRDefault="00D57E7A" w:rsidP="00E10A93">
      <w:pPr>
        <w:autoSpaceDE w:val="0"/>
        <w:autoSpaceDN w:val="0"/>
        <w:adjustRightInd w:val="0"/>
        <w:jc w:val="both"/>
        <w:rPr>
          <w:sz w:val="20"/>
        </w:rPr>
      </w:pPr>
    </w:p>
    <w:tbl>
      <w:tblPr>
        <w:tblW w:w="4855"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514"/>
        <w:gridCol w:w="2833"/>
        <w:gridCol w:w="2946"/>
      </w:tblGrid>
      <w:tr w:rsidR="006F7F41" w:rsidRPr="00C75C7E" w:rsidTr="008F4F69">
        <w:trPr>
          <w:cantSplit/>
          <w:trHeight w:val="383"/>
          <w:tblHeader/>
        </w:trPr>
        <w:tc>
          <w:tcPr>
            <w:tcW w:w="1891" w:type="pct"/>
            <w:tcBorders>
              <w:top w:val="single" w:sz="4" w:space="0" w:color="auto"/>
              <w:bottom w:val="single" w:sz="4" w:space="0" w:color="auto"/>
            </w:tcBorders>
            <w:shd w:val="clear" w:color="auto" w:fill="CCFFFF"/>
            <w:tcMar>
              <w:top w:w="113" w:type="dxa"/>
              <w:bottom w:w="85" w:type="dxa"/>
            </w:tcMar>
            <w:vAlign w:val="center"/>
          </w:tcPr>
          <w:p w:rsidR="006F7F41" w:rsidRPr="00C75C7E" w:rsidRDefault="006F7F41" w:rsidP="008F4F69">
            <w:pPr>
              <w:spacing w:after="120"/>
              <w:jc w:val="center"/>
              <w:rPr>
                <w:b/>
                <w:bCs/>
                <w:sz w:val="18"/>
                <w:szCs w:val="18"/>
                <w:lang w:val="es-ES_tradnl"/>
              </w:rPr>
            </w:pPr>
            <w:r w:rsidRPr="00C75C7E">
              <w:rPr>
                <w:b/>
                <w:bCs/>
                <w:sz w:val="18"/>
                <w:szCs w:val="18"/>
                <w:lang w:val="es-ES_tradnl"/>
              </w:rPr>
              <w:t>Resultados previstos</w:t>
            </w:r>
          </w:p>
        </w:tc>
        <w:tc>
          <w:tcPr>
            <w:tcW w:w="1524" w:type="pct"/>
            <w:tcBorders>
              <w:top w:val="single" w:sz="4" w:space="0" w:color="auto"/>
              <w:bottom w:val="single" w:sz="4" w:space="0" w:color="auto"/>
            </w:tcBorders>
            <w:shd w:val="clear" w:color="auto" w:fill="CCFFFF"/>
            <w:tcMar>
              <w:top w:w="113" w:type="dxa"/>
              <w:bottom w:w="85" w:type="dxa"/>
            </w:tcMar>
            <w:vAlign w:val="center"/>
          </w:tcPr>
          <w:p w:rsidR="006F7F41" w:rsidRPr="00C75C7E" w:rsidRDefault="006F7F41" w:rsidP="008F4F69">
            <w:pPr>
              <w:spacing w:after="120"/>
              <w:jc w:val="center"/>
              <w:rPr>
                <w:b/>
                <w:sz w:val="18"/>
                <w:szCs w:val="18"/>
                <w:lang w:val="es-ES_tradnl"/>
              </w:rPr>
            </w:pPr>
            <w:r w:rsidRPr="00C75C7E">
              <w:rPr>
                <w:b/>
                <w:sz w:val="18"/>
                <w:szCs w:val="18"/>
                <w:lang w:val="es-ES_tradnl"/>
              </w:rPr>
              <w:t>Indicadores de rendimiento</w:t>
            </w:r>
          </w:p>
        </w:tc>
        <w:tc>
          <w:tcPr>
            <w:tcW w:w="1585" w:type="pct"/>
            <w:tcBorders>
              <w:top w:val="single" w:sz="4" w:space="0" w:color="auto"/>
              <w:bottom w:val="single" w:sz="4" w:space="0" w:color="auto"/>
            </w:tcBorders>
            <w:shd w:val="clear" w:color="auto" w:fill="CCFFFF"/>
            <w:tcMar>
              <w:top w:w="113" w:type="dxa"/>
              <w:bottom w:w="85" w:type="dxa"/>
            </w:tcMar>
            <w:vAlign w:val="center"/>
          </w:tcPr>
          <w:p w:rsidR="006F7F41" w:rsidRPr="00C75C7E" w:rsidRDefault="006F7F41" w:rsidP="008F4F69">
            <w:pPr>
              <w:spacing w:after="120"/>
              <w:ind w:left="85"/>
              <w:jc w:val="center"/>
              <w:rPr>
                <w:sz w:val="18"/>
                <w:szCs w:val="18"/>
                <w:lang w:val="es-ES_tradnl"/>
              </w:rPr>
            </w:pPr>
            <w:r w:rsidRPr="00C75C7E">
              <w:rPr>
                <w:b/>
                <w:bCs/>
                <w:sz w:val="18"/>
                <w:szCs w:val="18"/>
                <w:lang w:val="es-ES_tradnl"/>
              </w:rPr>
              <w:t>Programas responsables</w:t>
            </w:r>
          </w:p>
        </w:tc>
      </w:tr>
      <w:tr w:rsidR="006F7F41" w:rsidRPr="00C75C7E" w:rsidTr="008F4F69">
        <w:trPr>
          <w:cantSplit/>
          <w:trHeight w:val="501"/>
        </w:trPr>
        <w:tc>
          <w:tcPr>
            <w:tcW w:w="1891" w:type="pct"/>
            <w:tcBorders>
              <w:top w:val="single" w:sz="4" w:space="0" w:color="auto"/>
            </w:tcBorders>
            <w:shd w:val="clear" w:color="auto" w:fill="auto"/>
            <w:tcMar>
              <w:top w:w="113" w:type="dxa"/>
              <w:bottom w:w="85" w:type="dxa"/>
            </w:tcMar>
          </w:tcPr>
          <w:p w:rsidR="006F7F41" w:rsidRPr="00C75C7E" w:rsidRDefault="006F7F41" w:rsidP="008F4F69">
            <w:pPr>
              <w:rPr>
                <w:sz w:val="16"/>
                <w:szCs w:val="16"/>
                <w:lang w:val="es-ES_tradnl"/>
              </w:rPr>
            </w:pPr>
            <w:r w:rsidRPr="00C75C7E">
              <w:rPr>
                <w:sz w:val="16"/>
                <w:szCs w:val="16"/>
                <w:lang w:val="es-ES_tradnl"/>
              </w:rPr>
              <w:t>VIII.1. Comunicación más eficaz con el público en general acerca de la P.I. y la función de la OMPI.</w:t>
            </w:r>
          </w:p>
        </w:tc>
        <w:tc>
          <w:tcPr>
            <w:tcW w:w="1524" w:type="pct"/>
            <w:tcBorders>
              <w:top w:val="single" w:sz="4" w:space="0" w:color="auto"/>
            </w:tcBorders>
            <w:shd w:val="clear" w:color="auto" w:fill="auto"/>
            <w:tcMar>
              <w:top w:w="113" w:type="dxa"/>
              <w:bottom w:w="85" w:type="dxa"/>
            </w:tcMar>
          </w:tcPr>
          <w:p w:rsidR="006F7F41" w:rsidRPr="00C75C7E" w:rsidRDefault="006F7F41" w:rsidP="008F4F69">
            <w:pPr>
              <w:rPr>
                <w:sz w:val="16"/>
                <w:szCs w:val="16"/>
                <w:lang w:val="es-ES_tradnl"/>
              </w:rPr>
            </w:pPr>
            <w:r w:rsidRPr="00C75C7E">
              <w:rPr>
                <w:sz w:val="16"/>
                <w:szCs w:val="16"/>
                <w:lang w:val="es-ES_tradnl"/>
              </w:rPr>
              <w:t>Grado de interés público generado por importantes actividades/logros de la OMPI.</w:t>
            </w:r>
          </w:p>
        </w:tc>
        <w:tc>
          <w:tcPr>
            <w:tcW w:w="1585" w:type="pct"/>
            <w:tcBorders>
              <w:top w:val="single" w:sz="4" w:space="0" w:color="auto"/>
            </w:tcBorders>
            <w:shd w:val="clear" w:color="auto" w:fill="FFFFFF"/>
            <w:tcMar>
              <w:top w:w="113" w:type="dxa"/>
              <w:bottom w:w="85" w:type="dxa"/>
            </w:tcMar>
          </w:tcPr>
          <w:p w:rsidR="006F7F41" w:rsidRPr="00C75C7E" w:rsidRDefault="006F7F41" w:rsidP="008F4F69">
            <w:pPr>
              <w:ind w:left="768"/>
              <w:rPr>
                <w:sz w:val="16"/>
                <w:szCs w:val="16"/>
                <w:lang w:val="es-ES_tradnl"/>
              </w:rPr>
            </w:pPr>
            <w:r w:rsidRPr="00C75C7E">
              <w:rPr>
                <w:sz w:val="16"/>
                <w:szCs w:val="16"/>
                <w:lang w:val="es-ES_tradnl" w:bidi="th-TH"/>
              </w:rPr>
              <w:t>Programa  19</w:t>
            </w:r>
          </w:p>
        </w:tc>
      </w:tr>
      <w:tr w:rsidR="006F7F41" w:rsidRPr="00C75C7E" w:rsidTr="008F4F69">
        <w:trPr>
          <w:cantSplit/>
        </w:trPr>
        <w:tc>
          <w:tcPr>
            <w:tcW w:w="1891" w:type="pct"/>
            <w:shd w:val="clear" w:color="auto" w:fill="auto"/>
            <w:tcMar>
              <w:top w:w="113" w:type="dxa"/>
              <w:bottom w:w="85" w:type="dxa"/>
            </w:tcMar>
          </w:tcPr>
          <w:p w:rsidR="006F7F41" w:rsidRPr="00C75C7E" w:rsidRDefault="006F7F41" w:rsidP="008F4F69">
            <w:pPr>
              <w:rPr>
                <w:sz w:val="16"/>
                <w:szCs w:val="16"/>
                <w:lang w:val="es-ES_tradnl"/>
              </w:rPr>
            </w:pPr>
          </w:p>
        </w:tc>
        <w:tc>
          <w:tcPr>
            <w:tcW w:w="1524" w:type="pct"/>
            <w:shd w:val="clear" w:color="auto" w:fill="auto"/>
            <w:tcMar>
              <w:top w:w="113" w:type="dxa"/>
              <w:bottom w:w="85" w:type="dxa"/>
            </w:tcMar>
          </w:tcPr>
          <w:p w:rsidR="006F7F41" w:rsidRPr="00C75C7E" w:rsidRDefault="006F7F41" w:rsidP="008F4F69">
            <w:pPr>
              <w:rPr>
                <w:sz w:val="16"/>
                <w:szCs w:val="16"/>
                <w:lang w:val="es-ES_tradnl"/>
              </w:rPr>
            </w:pPr>
            <w:r w:rsidRPr="00C75C7E">
              <w:rPr>
                <w:sz w:val="16"/>
                <w:szCs w:val="16"/>
                <w:lang w:val="es-ES_tradnl"/>
              </w:rPr>
              <w:t>Porcentaje de opiniones favorables de las partes interesadas sobre la misión, las actividades y la imagen institucional de la OMPI.</w:t>
            </w:r>
          </w:p>
        </w:tc>
        <w:tc>
          <w:tcPr>
            <w:tcW w:w="1585" w:type="pct"/>
            <w:shd w:val="clear" w:color="auto" w:fill="FFFFFF"/>
            <w:tcMar>
              <w:top w:w="113" w:type="dxa"/>
              <w:bottom w:w="85" w:type="dxa"/>
            </w:tcMar>
          </w:tcPr>
          <w:p w:rsidR="006F7F41" w:rsidRPr="00C75C7E" w:rsidRDefault="006F7F41" w:rsidP="008F4F69">
            <w:pPr>
              <w:ind w:left="768"/>
              <w:rPr>
                <w:sz w:val="16"/>
                <w:szCs w:val="16"/>
                <w:lang w:val="es-ES_tradnl" w:bidi="th-TH"/>
              </w:rPr>
            </w:pPr>
            <w:r w:rsidRPr="00C75C7E">
              <w:rPr>
                <w:sz w:val="16"/>
                <w:szCs w:val="16"/>
                <w:lang w:val="es-ES_tradnl" w:bidi="th-TH"/>
              </w:rPr>
              <w:t xml:space="preserve">Programa  19 </w:t>
            </w:r>
          </w:p>
          <w:p w:rsidR="006F7F41" w:rsidRPr="00C75C7E" w:rsidRDefault="006F7F41" w:rsidP="008F4F69">
            <w:pPr>
              <w:ind w:left="768"/>
              <w:rPr>
                <w:sz w:val="16"/>
                <w:szCs w:val="16"/>
                <w:lang w:val="es-ES_tradnl"/>
              </w:rPr>
            </w:pPr>
            <w:r w:rsidRPr="00C75C7E">
              <w:rPr>
                <w:sz w:val="16"/>
                <w:szCs w:val="16"/>
                <w:lang w:val="es-ES_tradnl" w:bidi="th-TH"/>
              </w:rPr>
              <w:t>Programa  20</w:t>
            </w:r>
          </w:p>
        </w:tc>
      </w:tr>
      <w:tr w:rsidR="006F7F41" w:rsidRPr="00C75C7E" w:rsidTr="008F4F69">
        <w:trPr>
          <w:cantSplit/>
          <w:trHeight w:val="472"/>
        </w:trPr>
        <w:tc>
          <w:tcPr>
            <w:tcW w:w="1891" w:type="pct"/>
            <w:shd w:val="clear" w:color="auto" w:fill="auto"/>
            <w:tcMar>
              <w:top w:w="113" w:type="dxa"/>
              <w:bottom w:w="85" w:type="dxa"/>
            </w:tcMar>
          </w:tcPr>
          <w:p w:rsidR="006F7F41" w:rsidRPr="00C75C7E" w:rsidRDefault="006F7F41" w:rsidP="008F4F69">
            <w:pPr>
              <w:rPr>
                <w:sz w:val="16"/>
                <w:szCs w:val="16"/>
                <w:lang w:val="es-ES_tradnl"/>
              </w:rPr>
            </w:pPr>
          </w:p>
        </w:tc>
        <w:tc>
          <w:tcPr>
            <w:tcW w:w="1524" w:type="pct"/>
            <w:shd w:val="clear" w:color="auto" w:fill="auto"/>
            <w:tcMar>
              <w:top w:w="113" w:type="dxa"/>
              <w:bottom w:w="85" w:type="dxa"/>
            </w:tcMar>
          </w:tcPr>
          <w:p w:rsidR="006F7F41" w:rsidRPr="00C75C7E" w:rsidRDefault="006F7F41" w:rsidP="008F4F69">
            <w:pPr>
              <w:rPr>
                <w:sz w:val="16"/>
                <w:szCs w:val="16"/>
                <w:lang w:val="es-ES_tradnl"/>
              </w:rPr>
            </w:pPr>
            <w:r w:rsidRPr="00C75C7E">
              <w:rPr>
                <w:sz w:val="16"/>
                <w:szCs w:val="16"/>
                <w:lang w:val="es-ES_tradnl"/>
              </w:rPr>
              <w:t>Porcentaje de aumento del material de prensa, vídeos y fotografías de la OMPI vistos por el público.</w:t>
            </w:r>
          </w:p>
        </w:tc>
        <w:tc>
          <w:tcPr>
            <w:tcW w:w="1585" w:type="pct"/>
            <w:shd w:val="clear" w:color="auto" w:fill="FFFFFF"/>
            <w:tcMar>
              <w:top w:w="113" w:type="dxa"/>
              <w:bottom w:w="85" w:type="dxa"/>
            </w:tcMar>
          </w:tcPr>
          <w:p w:rsidR="006F7F41" w:rsidRPr="00C75C7E" w:rsidRDefault="006F7F41" w:rsidP="008F4F69">
            <w:pPr>
              <w:ind w:left="768"/>
              <w:rPr>
                <w:sz w:val="16"/>
                <w:szCs w:val="16"/>
                <w:lang w:val="es-ES_tradnl"/>
              </w:rPr>
            </w:pPr>
            <w:r w:rsidRPr="00C75C7E">
              <w:rPr>
                <w:sz w:val="16"/>
                <w:szCs w:val="16"/>
                <w:lang w:val="es-ES_tradnl" w:bidi="th-TH"/>
              </w:rPr>
              <w:t>Programa  19</w:t>
            </w:r>
          </w:p>
        </w:tc>
      </w:tr>
      <w:tr w:rsidR="006F7F41" w:rsidRPr="00C75C7E" w:rsidTr="008F4F69">
        <w:trPr>
          <w:cantSplit/>
          <w:trHeight w:val="429"/>
        </w:trPr>
        <w:tc>
          <w:tcPr>
            <w:tcW w:w="1891" w:type="pct"/>
            <w:shd w:val="clear" w:color="auto" w:fill="auto"/>
            <w:tcMar>
              <w:top w:w="113" w:type="dxa"/>
              <w:bottom w:w="85" w:type="dxa"/>
            </w:tcMar>
          </w:tcPr>
          <w:p w:rsidR="006F7F41" w:rsidRPr="00C75C7E" w:rsidRDefault="006F7F41" w:rsidP="008F4F69">
            <w:pPr>
              <w:rPr>
                <w:sz w:val="16"/>
                <w:szCs w:val="16"/>
                <w:lang w:val="es-ES_tradnl"/>
              </w:rPr>
            </w:pPr>
          </w:p>
        </w:tc>
        <w:tc>
          <w:tcPr>
            <w:tcW w:w="1524" w:type="pct"/>
            <w:shd w:val="clear" w:color="auto" w:fill="auto"/>
            <w:tcMar>
              <w:top w:w="113" w:type="dxa"/>
              <w:bottom w:w="85" w:type="dxa"/>
            </w:tcMar>
          </w:tcPr>
          <w:p w:rsidR="006F7F41" w:rsidRPr="00C75C7E" w:rsidRDefault="006F7F41" w:rsidP="008F4F69">
            <w:pPr>
              <w:rPr>
                <w:sz w:val="16"/>
                <w:szCs w:val="16"/>
                <w:lang w:val="es-ES_tradnl"/>
              </w:rPr>
            </w:pPr>
            <w:r w:rsidRPr="00C75C7E">
              <w:rPr>
                <w:sz w:val="16"/>
                <w:szCs w:val="16"/>
                <w:lang w:val="es-ES_tradnl"/>
              </w:rPr>
              <w:t>Porcentaje de aumento de la participación global en el Día Mundial de la P.I. por medio de la página de Facebook (alcance global de la campaña).</w:t>
            </w:r>
          </w:p>
        </w:tc>
        <w:tc>
          <w:tcPr>
            <w:tcW w:w="1585" w:type="pct"/>
            <w:shd w:val="clear" w:color="auto" w:fill="FFFFFF"/>
            <w:tcMar>
              <w:top w:w="113" w:type="dxa"/>
              <w:bottom w:w="85" w:type="dxa"/>
            </w:tcMar>
          </w:tcPr>
          <w:p w:rsidR="006F7F41" w:rsidRPr="00C75C7E" w:rsidRDefault="006F7F41" w:rsidP="008F4F69">
            <w:pPr>
              <w:ind w:left="768"/>
              <w:rPr>
                <w:sz w:val="16"/>
                <w:szCs w:val="16"/>
                <w:lang w:val="es-ES_tradnl"/>
              </w:rPr>
            </w:pPr>
            <w:r w:rsidRPr="00C75C7E">
              <w:rPr>
                <w:sz w:val="16"/>
                <w:szCs w:val="16"/>
                <w:lang w:val="es-ES_tradnl" w:bidi="th-TH"/>
              </w:rPr>
              <w:t>Programa  19</w:t>
            </w:r>
          </w:p>
        </w:tc>
      </w:tr>
      <w:tr w:rsidR="006F7F41" w:rsidRPr="00C75C7E" w:rsidTr="008F4F69">
        <w:trPr>
          <w:cantSplit/>
          <w:trHeight w:val="353"/>
        </w:trPr>
        <w:tc>
          <w:tcPr>
            <w:tcW w:w="1891" w:type="pct"/>
            <w:shd w:val="clear" w:color="auto" w:fill="auto"/>
            <w:tcMar>
              <w:top w:w="113" w:type="dxa"/>
              <w:bottom w:w="85" w:type="dxa"/>
            </w:tcMar>
          </w:tcPr>
          <w:p w:rsidR="006F7F41" w:rsidRPr="00C75C7E" w:rsidRDefault="006F7F41" w:rsidP="008F4F69">
            <w:pPr>
              <w:rPr>
                <w:sz w:val="16"/>
                <w:szCs w:val="16"/>
                <w:lang w:val="es-ES_tradnl"/>
              </w:rPr>
            </w:pPr>
          </w:p>
        </w:tc>
        <w:tc>
          <w:tcPr>
            <w:tcW w:w="1524" w:type="pct"/>
            <w:shd w:val="clear" w:color="auto" w:fill="auto"/>
            <w:tcMar>
              <w:top w:w="113" w:type="dxa"/>
              <w:bottom w:w="85" w:type="dxa"/>
            </w:tcMar>
          </w:tcPr>
          <w:p w:rsidR="006F7F41" w:rsidRPr="00C75C7E" w:rsidRDefault="006F7F41" w:rsidP="008F4F69">
            <w:pPr>
              <w:rPr>
                <w:sz w:val="16"/>
                <w:szCs w:val="16"/>
                <w:lang w:val="es-ES_tradnl"/>
              </w:rPr>
            </w:pPr>
            <w:r w:rsidRPr="00C75C7E">
              <w:rPr>
                <w:sz w:val="16"/>
                <w:szCs w:val="16"/>
                <w:lang w:val="es-ES_tradnl"/>
              </w:rPr>
              <w:t>Porcentaje de aumento del número de consultas de las publicaciones de Internet.</w:t>
            </w:r>
          </w:p>
        </w:tc>
        <w:tc>
          <w:tcPr>
            <w:tcW w:w="1585" w:type="pct"/>
            <w:shd w:val="clear" w:color="auto" w:fill="FFFFFF"/>
            <w:tcMar>
              <w:top w:w="113" w:type="dxa"/>
              <w:bottom w:w="85" w:type="dxa"/>
            </w:tcMar>
          </w:tcPr>
          <w:p w:rsidR="006F7F41" w:rsidRPr="00C75C7E" w:rsidRDefault="006F7F41" w:rsidP="008F4F69">
            <w:pPr>
              <w:ind w:left="768"/>
              <w:rPr>
                <w:sz w:val="16"/>
                <w:szCs w:val="16"/>
                <w:lang w:val="es-ES_tradnl" w:bidi="th-TH"/>
              </w:rPr>
            </w:pPr>
            <w:r w:rsidRPr="00C75C7E">
              <w:rPr>
                <w:sz w:val="16"/>
                <w:szCs w:val="16"/>
                <w:lang w:val="es-ES_tradnl" w:bidi="th-TH"/>
              </w:rPr>
              <w:t>Programa  19</w:t>
            </w:r>
          </w:p>
        </w:tc>
      </w:tr>
      <w:tr w:rsidR="006F7F41" w:rsidRPr="00C75C7E" w:rsidTr="008F4F69">
        <w:trPr>
          <w:cantSplit/>
          <w:trHeight w:val="330"/>
        </w:trPr>
        <w:tc>
          <w:tcPr>
            <w:tcW w:w="1891" w:type="pct"/>
            <w:shd w:val="clear" w:color="auto" w:fill="auto"/>
            <w:tcMar>
              <w:top w:w="113" w:type="dxa"/>
              <w:bottom w:w="85" w:type="dxa"/>
            </w:tcMar>
          </w:tcPr>
          <w:p w:rsidR="006F7F41" w:rsidRPr="00C75C7E" w:rsidRDefault="006F7F41" w:rsidP="008F4F69">
            <w:pPr>
              <w:rPr>
                <w:sz w:val="16"/>
                <w:szCs w:val="16"/>
                <w:lang w:val="es-ES_tradnl"/>
              </w:rPr>
            </w:pPr>
          </w:p>
        </w:tc>
        <w:tc>
          <w:tcPr>
            <w:tcW w:w="1524" w:type="pct"/>
            <w:shd w:val="clear" w:color="auto" w:fill="auto"/>
            <w:tcMar>
              <w:top w:w="113" w:type="dxa"/>
              <w:bottom w:w="85" w:type="dxa"/>
            </w:tcMar>
          </w:tcPr>
          <w:p w:rsidR="006F7F41" w:rsidRPr="00C75C7E" w:rsidRDefault="006F7F41" w:rsidP="008F4F69">
            <w:pPr>
              <w:rPr>
                <w:sz w:val="16"/>
                <w:szCs w:val="16"/>
                <w:lang w:val="es-ES_tradnl"/>
              </w:rPr>
            </w:pPr>
            <w:r w:rsidRPr="00C75C7E">
              <w:rPr>
                <w:sz w:val="16"/>
                <w:szCs w:val="16"/>
                <w:lang w:val="es-ES_tradnl"/>
              </w:rPr>
              <w:t>Porcentaje de usuarios satisfechos con el sitio web de la OMPI.</w:t>
            </w:r>
          </w:p>
        </w:tc>
        <w:tc>
          <w:tcPr>
            <w:tcW w:w="1585" w:type="pct"/>
            <w:shd w:val="clear" w:color="auto" w:fill="FFFFFF"/>
            <w:tcMar>
              <w:top w:w="113" w:type="dxa"/>
              <w:bottom w:w="85" w:type="dxa"/>
            </w:tcMar>
          </w:tcPr>
          <w:p w:rsidR="006F7F41" w:rsidRPr="00C75C7E" w:rsidRDefault="006F7F41" w:rsidP="008F4F69">
            <w:pPr>
              <w:ind w:left="768"/>
              <w:rPr>
                <w:sz w:val="16"/>
                <w:szCs w:val="16"/>
                <w:lang w:val="es-ES_tradnl" w:bidi="th-TH"/>
              </w:rPr>
            </w:pPr>
            <w:r w:rsidRPr="00C75C7E">
              <w:rPr>
                <w:sz w:val="16"/>
                <w:szCs w:val="16"/>
                <w:lang w:val="es-ES_tradnl" w:bidi="th-TH"/>
              </w:rPr>
              <w:t>Programa  19</w:t>
            </w:r>
          </w:p>
        </w:tc>
      </w:tr>
      <w:tr w:rsidR="006F7F41" w:rsidRPr="00C75C7E" w:rsidTr="008F4F69">
        <w:trPr>
          <w:cantSplit/>
          <w:trHeight w:val="336"/>
        </w:trPr>
        <w:tc>
          <w:tcPr>
            <w:tcW w:w="1891" w:type="pct"/>
            <w:shd w:val="clear" w:color="auto" w:fill="auto"/>
            <w:tcMar>
              <w:top w:w="113" w:type="dxa"/>
              <w:bottom w:w="85" w:type="dxa"/>
            </w:tcMar>
          </w:tcPr>
          <w:p w:rsidR="006F7F41" w:rsidRPr="00C75C7E" w:rsidRDefault="006F7F41" w:rsidP="008F4F69">
            <w:pPr>
              <w:rPr>
                <w:sz w:val="16"/>
                <w:szCs w:val="16"/>
                <w:lang w:val="es-ES_tradnl"/>
              </w:rPr>
            </w:pPr>
          </w:p>
        </w:tc>
        <w:tc>
          <w:tcPr>
            <w:tcW w:w="1524" w:type="pct"/>
            <w:shd w:val="clear" w:color="auto" w:fill="auto"/>
            <w:tcMar>
              <w:top w:w="113" w:type="dxa"/>
              <w:bottom w:w="85" w:type="dxa"/>
            </w:tcMar>
          </w:tcPr>
          <w:p w:rsidR="006F7F41" w:rsidRPr="00C75C7E" w:rsidRDefault="006F7F41" w:rsidP="008F4F69">
            <w:pPr>
              <w:rPr>
                <w:sz w:val="16"/>
                <w:szCs w:val="16"/>
                <w:lang w:val="es-ES_tradnl"/>
              </w:rPr>
            </w:pPr>
            <w:r w:rsidRPr="00C75C7E">
              <w:rPr>
                <w:sz w:val="16"/>
                <w:szCs w:val="16"/>
                <w:lang w:val="es-ES_tradnl"/>
              </w:rPr>
              <w:t>Aumento de la influencia y la participación de la OMPI en los medios sociales.</w:t>
            </w:r>
          </w:p>
        </w:tc>
        <w:tc>
          <w:tcPr>
            <w:tcW w:w="1585" w:type="pct"/>
            <w:shd w:val="clear" w:color="auto" w:fill="FFFFFF"/>
            <w:tcMar>
              <w:top w:w="113" w:type="dxa"/>
              <w:bottom w:w="85" w:type="dxa"/>
            </w:tcMar>
          </w:tcPr>
          <w:p w:rsidR="006F7F41" w:rsidRPr="00C75C7E" w:rsidRDefault="006F7F41" w:rsidP="008F4F69">
            <w:pPr>
              <w:ind w:left="768"/>
              <w:rPr>
                <w:sz w:val="16"/>
                <w:szCs w:val="16"/>
                <w:lang w:val="es-ES_tradnl" w:bidi="th-TH"/>
              </w:rPr>
            </w:pPr>
            <w:r w:rsidRPr="00C75C7E">
              <w:rPr>
                <w:sz w:val="16"/>
                <w:szCs w:val="16"/>
                <w:lang w:val="es-ES_tradnl" w:bidi="th-TH"/>
              </w:rPr>
              <w:t>Programa  19</w:t>
            </w:r>
          </w:p>
        </w:tc>
      </w:tr>
      <w:tr w:rsidR="006F7F41" w:rsidRPr="00C75C7E" w:rsidTr="008F4F69">
        <w:trPr>
          <w:cantSplit/>
          <w:trHeight w:val="335"/>
        </w:trPr>
        <w:tc>
          <w:tcPr>
            <w:tcW w:w="1891" w:type="pct"/>
            <w:shd w:val="clear" w:color="auto" w:fill="auto"/>
            <w:tcMar>
              <w:top w:w="113" w:type="dxa"/>
              <w:bottom w:w="85" w:type="dxa"/>
            </w:tcMar>
          </w:tcPr>
          <w:p w:rsidR="006F7F41" w:rsidRPr="00C75C7E" w:rsidRDefault="006F7F41" w:rsidP="008F4F69">
            <w:pPr>
              <w:rPr>
                <w:sz w:val="16"/>
                <w:szCs w:val="16"/>
                <w:lang w:val="es-ES_tradnl"/>
              </w:rPr>
            </w:pPr>
          </w:p>
        </w:tc>
        <w:tc>
          <w:tcPr>
            <w:tcW w:w="1524" w:type="pct"/>
            <w:shd w:val="clear" w:color="auto" w:fill="auto"/>
            <w:tcMar>
              <w:top w:w="113" w:type="dxa"/>
              <w:bottom w:w="85" w:type="dxa"/>
            </w:tcMar>
          </w:tcPr>
          <w:p w:rsidR="006F7F41" w:rsidRPr="00C75C7E" w:rsidRDefault="006F7F41" w:rsidP="008F4F69">
            <w:pPr>
              <w:rPr>
                <w:sz w:val="16"/>
                <w:szCs w:val="16"/>
                <w:lang w:val="es-ES_tradnl"/>
              </w:rPr>
            </w:pPr>
            <w:r w:rsidRPr="00C75C7E">
              <w:rPr>
                <w:sz w:val="16"/>
                <w:szCs w:val="16"/>
                <w:lang w:val="es-ES_tradnl"/>
              </w:rPr>
              <w:t>Aumento del tráfico en el sitio web de las Oficinas de la OMPI en el exterior.</w:t>
            </w:r>
          </w:p>
        </w:tc>
        <w:tc>
          <w:tcPr>
            <w:tcW w:w="1585" w:type="pct"/>
            <w:shd w:val="clear" w:color="auto" w:fill="FFFFFF"/>
            <w:tcMar>
              <w:top w:w="113" w:type="dxa"/>
              <w:bottom w:w="85" w:type="dxa"/>
            </w:tcMar>
          </w:tcPr>
          <w:p w:rsidR="006F7F41" w:rsidRPr="00C75C7E" w:rsidRDefault="006F7F41" w:rsidP="008F4F69">
            <w:pPr>
              <w:ind w:left="768"/>
              <w:rPr>
                <w:sz w:val="16"/>
                <w:szCs w:val="16"/>
                <w:lang w:val="es-ES_tradnl" w:bidi="th-TH"/>
              </w:rPr>
            </w:pPr>
            <w:r w:rsidRPr="00C75C7E">
              <w:rPr>
                <w:sz w:val="16"/>
                <w:szCs w:val="16"/>
                <w:lang w:val="es-ES_tradnl" w:bidi="th-TH"/>
              </w:rPr>
              <w:t>Programa  20</w:t>
            </w:r>
          </w:p>
        </w:tc>
      </w:tr>
      <w:tr w:rsidR="006F7F41" w:rsidRPr="00C75C7E" w:rsidTr="008F4F69">
        <w:trPr>
          <w:cantSplit/>
          <w:trHeight w:val="385"/>
        </w:trPr>
        <w:tc>
          <w:tcPr>
            <w:tcW w:w="1891" w:type="pct"/>
            <w:shd w:val="clear" w:color="auto" w:fill="auto"/>
            <w:tcMar>
              <w:top w:w="113" w:type="dxa"/>
              <w:bottom w:w="85" w:type="dxa"/>
            </w:tcMar>
          </w:tcPr>
          <w:p w:rsidR="006F7F41" w:rsidRPr="00C75C7E" w:rsidRDefault="006F7F41" w:rsidP="008F4F69">
            <w:pPr>
              <w:rPr>
                <w:sz w:val="16"/>
                <w:szCs w:val="16"/>
                <w:lang w:val="es-ES_tradnl"/>
              </w:rPr>
            </w:pPr>
            <w:r w:rsidRPr="00C75C7E">
              <w:rPr>
                <w:sz w:val="16"/>
                <w:szCs w:val="16"/>
                <w:lang w:val="es-ES_tradnl"/>
              </w:rPr>
              <w:t>VIII.2. Mejora en la prestación de servicios y la atención de consultas.</w:t>
            </w:r>
          </w:p>
        </w:tc>
        <w:tc>
          <w:tcPr>
            <w:tcW w:w="1524" w:type="pct"/>
            <w:shd w:val="clear" w:color="auto" w:fill="auto"/>
            <w:tcMar>
              <w:top w:w="113" w:type="dxa"/>
              <w:bottom w:w="85" w:type="dxa"/>
            </w:tcMar>
          </w:tcPr>
          <w:p w:rsidR="006F7F41" w:rsidRPr="00C75C7E" w:rsidRDefault="006F7F41" w:rsidP="008F4F69">
            <w:pPr>
              <w:rPr>
                <w:sz w:val="16"/>
                <w:szCs w:val="16"/>
                <w:lang w:val="es-ES_tradnl"/>
              </w:rPr>
            </w:pPr>
            <w:r w:rsidRPr="00C75C7E">
              <w:rPr>
                <w:sz w:val="16"/>
                <w:szCs w:val="16"/>
                <w:lang w:val="es-ES_tradnl"/>
              </w:rPr>
              <w:t>Porcentaje de usuarios satisfechos con los servicios de la Biblioteca.</w:t>
            </w:r>
          </w:p>
        </w:tc>
        <w:tc>
          <w:tcPr>
            <w:tcW w:w="1585" w:type="pct"/>
            <w:shd w:val="clear" w:color="auto" w:fill="FFFFFF"/>
            <w:tcMar>
              <w:top w:w="113" w:type="dxa"/>
              <w:bottom w:w="85" w:type="dxa"/>
            </w:tcMar>
          </w:tcPr>
          <w:p w:rsidR="006F7F41" w:rsidRPr="00C75C7E" w:rsidRDefault="006F7F41" w:rsidP="008F4F69">
            <w:pPr>
              <w:ind w:left="768"/>
              <w:rPr>
                <w:sz w:val="16"/>
                <w:szCs w:val="16"/>
                <w:lang w:val="es-ES_tradnl" w:bidi="th-TH"/>
              </w:rPr>
            </w:pPr>
            <w:r w:rsidRPr="00C75C7E">
              <w:rPr>
                <w:sz w:val="16"/>
                <w:szCs w:val="16"/>
                <w:lang w:val="es-ES_tradnl" w:bidi="th-TH"/>
              </w:rPr>
              <w:t>Programa  19</w:t>
            </w:r>
          </w:p>
        </w:tc>
      </w:tr>
      <w:tr w:rsidR="006F7F41" w:rsidRPr="00C75C7E" w:rsidTr="008F4F69">
        <w:trPr>
          <w:cantSplit/>
          <w:trHeight w:val="337"/>
        </w:trPr>
        <w:tc>
          <w:tcPr>
            <w:tcW w:w="1891" w:type="pct"/>
            <w:shd w:val="clear" w:color="auto" w:fill="auto"/>
            <w:tcMar>
              <w:top w:w="113" w:type="dxa"/>
              <w:bottom w:w="85" w:type="dxa"/>
            </w:tcMar>
          </w:tcPr>
          <w:p w:rsidR="006F7F41" w:rsidRPr="00C75C7E" w:rsidRDefault="006F7F41" w:rsidP="008F4F69">
            <w:pPr>
              <w:rPr>
                <w:sz w:val="16"/>
                <w:szCs w:val="16"/>
                <w:lang w:val="es-ES_tradnl"/>
              </w:rPr>
            </w:pPr>
          </w:p>
        </w:tc>
        <w:tc>
          <w:tcPr>
            <w:tcW w:w="1524" w:type="pct"/>
            <w:shd w:val="clear" w:color="auto" w:fill="auto"/>
            <w:tcMar>
              <w:top w:w="113" w:type="dxa"/>
              <w:bottom w:w="85" w:type="dxa"/>
            </w:tcMar>
          </w:tcPr>
          <w:p w:rsidR="006F7F41" w:rsidRPr="00C75C7E" w:rsidRDefault="006F7F41" w:rsidP="008F4F69">
            <w:pPr>
              <w:rPr>
                <w:sz w:val="16"/>
                <w:szCs w:val="16"/>
                <w:lang w:val="es-ES_tradnl"/>
              </w:rPr>
            </w:pPr>
            <w:r w:rsidRPr="00C75C7E">
              <w:rPr>
                <w:sz w:val="16"/>
                <w:szCs w:val="16"/>
                <w:lang w:val="es-ES_tradnl"/>
              </w:rPr>
              <w:t>Índice de satisfacción de los clientes/partes interesadas.</w:t>
            </w:r>
          </w:p>
        </w:tc>
        <w:tc>
          <w:tcPr>
            <w:tcW w:w="1585" w:type="pct"/>
            <w:shd w:val="clear" w:color="auto" w:fill="FFFFFF"/>
            <w:tcMar>
              <w:top w:w="113" w:type="dxa"/>
              <w:bottom w:w="85" w:type="dxa"/>
            </w:tcMar>
          </w:tcPr>
          <w:p w:rsidR="006F7F41" w:rsidRPr="00C75C7E" w:rsidRDefault="006F7F41" w:rsidP="008F4F69">
            <w:pPr>
              <w:ind w:left="768"/>
              <w:rPr>
                <w:sz w:val="16"/>
                <w:szCs w:val="16"/>
                <w:lang w:val="es-ES_tradnl" w:bidi="th-TH"/>
              </w:rPr>
            </w:pPr>
            <w:r w:rsidRPr="00C75C7E">
              <w:rPr>
                <w:sz w:val="16"/>
                <w:szCs w:val="16"/>
                <w:lang w:val="es-ES_tradnl" w:bidi="th-TH"/>
              </w:rPr>
              <w:t>Programa  19</w:t>
            </w:r>
          </w:p>
          <w:p w:rsidR="006F7F41" w:rsidRPr="00C75C7E" w:rsidRDefault="006F7F41" w:rsidP="008F4F69">
            <w:pPr>
              <w:ind w:left="768"/>
              <w:rPr>
                <w:sz w:val="16"/>
                <w:szCs w:val="16"/>
                <w:lang w:val="es-ES_tradnl" w:bidi="th-TH"/>
              </w:rPr>
            </w:pPr>
            <w:r w:rsidRPr="00C75C7E">
              <w:rPr>
                <w:sz w:val="16"/>
                <w:szCs w:val="16"/>
                <w:lang w:val="es-ES_tradnl" w:bidi="th-TH"/>
              </w:rPr>
              <w:t>Programa  20</w:t>
            </w:r>
          </w:p>
        </w:tc>
      </w:tr>
      <w:tr w:rsidR="006F7F41" w:rsidRPr="00C75C7E" w:rsidTr="008F4F69">
        <w:trPr>
          <w:cantSplit/>
          <w:trHeight w:val="317"/>
        </w:trPr>
        <w:tc>
          <w:tcPr>
            <w:tcW w:w="1891" w:type="pct"/>
            <w:shd w:val="clear" w:color="auto" w:fill="auto"/>
            <w:tcMar>
              <w:top w:w="113" w:type="dxa"/>
              <w:bottom w:w="85" w:type="dxa"/>
            </w:tcMar>
          </w:tcPr>
          <w:p w:rsidR="006F7F41" w:rsidRPr="00C75C7E" w:rsidRDefault="006F7F41" w:rsidP="008F4F69">
            <w:pPr>
              <w:rPr>
                <w:sz w:val="16"/>
                <w:szCs w:val="16"/>
                <w:lang w:val="es-ES_tradnl"/>
              </w:rPr>
            </w:pPr>
          </w:p>
        </w:tc>
        <w:tc>
          <w:tcPr>
            <w:tcW w:w="1524" w:type="pct"/>
            <w:shd w:val="clear" w:color="auto" w:fill="auto"/>
            <w:tcMar>
              <w:top w:w="113" w:type="dxa"/>
              <w:bottom w:w="85" w:type="dxa"/>
            </w:tcMar>
          </w:tcPr>
          <w:p w:rsidR="006F7F41" w:rsidRPr="00C75C7E" w:rsidRDefault="006F7F41" w:rsidP="008F4F69">
            <w:pPr>
              <w:rPr>
                <w:sz w:val="16"/>
                <w:szCs w:val="16"/>
                <w:lang w:val="es-ES_tradnl"/>
              </w:rPr>
            </w:pPr>
            <w:r w:rsidRPr="00C75C7E">
              <w:rPr>
                <w:sz w:val="16"/>
                <w:szCs w:val="16"/>
                <w:lang w:val="es-ES_tradnl"/>
              </w:rPr>
              <w:t>Se cumplen los objetivos definidos en el sitio web de la OMPI para la calidad del servicio.</w:t>
            </w:r>
          </w:p>
        </w:tc>
        <w:tc>
          <w:tcPr>
            <w:tcW w:w="1585" w:type="pct"/>
            <w:shd w:val="clear" w:color="auto" w:fill="FFFFFF"/>
            <w:tcMar>
              <w:top w:w="113" w:type="dxa"/>
              <w:bottom w:w="85" w:type="dxa"/>
            </w:tcMar>
          </w:tcPr>
          <w:p w:rsidR="006F7F41" w:rsidRPr="00C75C7E" w:rsidRDefault="006F7F41" w:rsidP="008F4F69">
            <w:pPr>
              <w:ind w:left="768"/>
              <w:rPr>
                <w:sz w:val="16"/>
                <w:szCs w:val="16"/>
                <w:lang w:val="es-ES_tradnl" w:bidi="th-TH"/>
              </w:rPr>
            </w:pPr>
            <w:r w:rsidRPr="00C75C7E">
              <w:rPr>
                <w:sz w:val="16"/>
                <w:szCs w:val="16"/>
                <w:lang w:val="es-ES_tradnl" w:bidi="th-TH"/>
              </w:rPr>
              <w:t>Programa  19</w:t>
            </w:r>
          </w:p>
        </w:tc>
      </w:tr>
      <w:tr w:rsidR="006F7F41" w:rsidRPr="00C75C7E" w:rsidTr="008F4F69">
        <w:trPr>
          <w:cantSplit/>
          <w:trHeight w:val="297"/>
        </w:trPr>
        <w:tc>
          <w:tcPr>
            <w:tcW w:w="1891" w:type="pct"/>
            <w:shd w:val="clear" w:color="auto" w:fill="auto"/>
            <w:tcMar>
              <w:top w:w="113" w:type="dxa"/>
              <w:bottom w:w="85" w:type="dxa"/>
            </w:tcMar>
          </w:tcPr>
          <w:p w:rsidR="006F7F41" w:rsidRPr="00C75C7E" w:rsidRDefault="006F7F41" w:rsidP="008F4F69">
            <w:pPr>
              <w:rPr>
                <w:sz w:val="16"/>
                <w:szCs w:val="16"/>
                <w:lang w:val="es-ES_tradnl"/>
              </w:rPr>
            </w:pPr>
          </w:p>
        </w:tc>
        <w:tc>
          <w:tcPr>
            <w:tcW w:w="1524" w:type="pct"/>
            <w:shd w:val="clear" w:color="auto" w:fill="auto"/>
            <w:tcMar>
              <w:top w:w="113" w:type="dxa"/>
              <w:bottom w:w="85" w:type="dxa"/>
            </w:tcMar>
          </w:tcPr>
          <w:p w:rsidR="006F7F41" w:rsidRPr="00C75C7E" w:rsidRDefault="006F7F41" w:rsidP="008F4F69">
            <w:pPr>
              <w:rPr>
                <w:sz w:val="16"/>
                <w:szCs w:val="16"/>
                <w:lang w:val="es-ES_tradnl"/>
              </w:rPr>
            </w:pPr>
            <w:r w:rsidRPr="00C75C7E">
              <w:rPr>
                <w:sz w:val="16"/>
                <w:szCs w:val="16"/>
                <w:lang w:val="es-ES_tradnl"/>
              </w:rPr>
              <w:t>Duración de la tramitación de las peticiones de información.</w:t>
            </w:r>
          </w:p>
        </w:tc>
        <w:tc>
          <w:tcPr>
            <w:tcW w:w="1585" w:type="pct"/>
            <w:shd w:val="clear" w:color="auto" w:fill="FFFFFF"/>
            <w:tcMar>
              <w:top w:w="113" w:type="dxa"/>
              <w:bottom w:w="85" w:type="dxa"/>
            </w:tcMar>
          </w:tcPr>
          <w:p w:rsidR="006F7F41" w:rsidRPr="00C75C7E" w:rsidRDefault="006F7F41" w:rsidP="008F4F69">
            <w:pPr>
              <w:ind w:left="768"/>
              <w:rPr>
                <w:sz w:val="16"/>
                <w:szCs w:val="16"/>
                <w:lang w:val="es-ES_tradnl" w:bidi="th-TH"/>
              </w:rPr>
            </w:pPr>
            <w:r w:rsidRPr="00C75C7E">
              <w:rPr>
                <w:sz w:val="16"/>
                <w:szCs w:val="16"/>
                <w:lang w:val="es-ES_tradnl" w:bidi="th-TH"/>
              </w:rPr>
              <w:t>Programa  20</w:t>
            </w:r>
          </w:p>
        </w:tc>
      </w:tr>
      <w:tr w:rsidR="006F7F41" w:rsidRPr="00C75C7E" w:rsidTr="008F4F69">
        <w:trPr>
          <w:cantSplit/>
          <w:trHeight w:val="622"/>
        </w:trPr>
        <w:tc>
          <w:tcPr>
            <w:tcW w:w="1891" w:type="pct"/>
            <w:shd w:val="clear" w:color="auto" w:fill="auto"/>
            <w:tcMar>
              <w:top w:w="113" w:type="dxa"/>
              <w:bottom w:w="85" w:type="dxa"/>
            </w:tcMar>
          </w:tcPr>
          <w:p w:rsidR="006F7F41" w:rsidRPr="00C75C7E" w:rsidRDefault="006F7F41" w:rsidP="008F4F69">
            <w:pPr>
              <w:rPr>
                <w:sz w:val="16"/>
                <w:szCs w:val="16"/>
                <w:lang w:val="es-ES_tradnl"/>
              </w:rPr>
            </w:pPr>
            <w:r w:rsidRPr="00C75C7E">
              <w:rPr>
                <w:sz w:val="16"/>
                <w:szCs w:val="16"/>
                <w:lang w:val="es-ES_tradnl"/>
              </w:rPr>
              <w:lastRenderedPageBreak/>
              <w:t>VIII.3 Atención eficaz a los Estados miembros.</w:t>
            </w:r>
          </w:p>
        </w:tc>
        <w:tc>
          <w:tcPr>
            <w:tcW w:w="1524" w:type="pct"/>
            <w:shd w:val="clear" w:color="auto" w:fill="auto"/>
            <w:tcMar>
              <w:top w:w="113" w:type="dxa"/>
              <w:bottom w:w="85" w:type="dxa"/>
            </w:tcMar>
          </w:tcPr>
          <w:p w:rsidR="006F7F41" w:rsidRPr="00C75C7E" w:rsidRDefault="006F7F41" w:rsidP="008F4F69">
            <w:pPr>
              <w:rPr>
                <w:sz w:val="16"/>
                <w:szCs w:val="16"/>
                <w:lang w:val="es-ES_tradnl"/>
              </w:rPr>
            </w:pPr>
            <w:r w:rsidRPr="00C75C7E">
              <w:rPr>
                <w:sz w:val="16"/>
                <w:szCs w:val="16"/>
                <w:lang w:val="es-ES_tradnl"/>
              </w:rPr>
              <w:t>Porcentaje de sesiones de Comités precedidas de reuniones informativas para los Estados miembros.</w:t>
            </w:r>
          </w:p>
        </w:tc>
        <w:tc>
          <w:tcPr>
            <w:tcW w:w="1585" w:type="pct"/>
            <w:shd w:val="clear" w:color="auto" w:fill="FFFFFF"/>
            <w:tcMar>
              <w:top w:w="113" w:type="dxa"/>
              <w:bottom w:w="85" w:type="dxa"/>
            </w:tcMar>
          </w:tcPr>
          <w:p w:rsidR="006F7F41" w:rsidRPr="00C75C7E" w:rsidRDefault="006F7F41" w:rsidP="008F4F69">
            <w:pPr>
              <w:ind w:left="768"/>
              <w:rPr>
                <w:sz w:val="16"/>
                <w:szCs w:val="16"/>
                <w:lang w:val="es-ES_tradnl" w:bidi="th-TH"/>
              </w:rPr>
            </w:pPr>
            <w:r w:rsidRPr="00C75C7E">
              <w:rPr>
                <w:sz w:val="16"/>
                <w:szCs w:val="16"/>
                <w:lang w:val="es-ES_tradnl" w:bidi="th-TH"/>
              </w:rPr>
              <w:t>Programa  21</w:t>
            </w:r>
          </w:p>
        </w:tc>
      </w:tr>
      <w:tr w:rsidR="006F7F41" w:rsidRPr="00C75C7E" w:rsidTr="008F4F69">
        <w:trPr>
          <w:cantSplit/>
          <w:trHeight w:val="584"/>
        </w:trPr>
        <w:tc>
          <w:tcPr>
            <w:tcW w:w="1891" w:type="pct"/>
            <w:shd w:val="clear" w:color="auto" w:fill="auto"/>
            <w:tcMar>
              <w:top w:w="113" w:type="dxa"/>
              <w:bottom w:w="85" w:type="dxa"/>
            </w:tcMar>
          </w:tcPr>
          <w:p w:rsidR="006F7F41" w:rsidRPr="00C75C7E" w:rsidRDefault="006F7F41" w:rsidP="008F4F69">
            <w:pPr>
              <w:rPr>
                <w:sz w:val="16"/>
                <w:szCs w:val="16"/>
                <w:lang w:val="es-ES_tradnl"/>
              </w:rPr>
            </w:pPr>
          </w:p>
        </w:tc>
        <w:tc>
          <w:tcPr>
            <w:tcW w:w="1524" w:type="pct"/>
            <w:shd w:val="clear" w:color="auto" w:fill="auto"/>
            <w:tcMar>
              <w:top w:w="113" w:type="dxa"/>
              <w:bottom w:w="85" w:type="dxa"/>
            </w:tcMar>
          </w:tcPr>
          <w:p w:rsidR="006F7F41" w:rsidRPr="00C75C7E" w:rsidRDefault="006F7F41" w:rsidP="008F4F69">
            <w:pPr>
              <w:rPr>
                <w:sz w:val="16"/>
                <w:szCs w:val="16"/>
                <w:lang w:val="es-ES_tradnl"/>
              </w:rPr>
            </w:pPr>
            <w:r w:rsidRPr="00C75C7E">
              <w:rPr>
                <w:sz w:val="16"/>
                <w:szCs w:val="16"/>
                <w:lang w:val="es-ES_tradnl"/>
              </w:rPr>
              <w:t>Porcentaje de cartas dirigidas al Director General por los Estados miembros a las que se da respuesta en un plazo de dos semanas.</w:t>
            </w:r>
          </w:p>
        </w:tc>
        <w:tc>
          <w:tcPr>
            <w:tcW w:w="1585" w:type="pct"/>
            <w:shd w:val="clear" w:color="auto" w:fill="FFFFFF"/>
            <w:tcMar>
              <w:top w:w="113" w:type="dxa"/>
              <w:bottom w:w="85" w:type="dxa"/>
            </w:tcMar>
          </w:tcPr>
          <w:p w:rsidR="006F7F41" w:rsidRPr="00C75C7E" w:rsidRDefault="006F7F41" w:rsidP="008F4F69">
            <w:pPr>
              <w:ind w:left="768"/>
              <w:rPr>
                <w:sz w:val="16"/>
                <w:szCs w:val="16"/>
                <w:lang w:val="es-ES_tradnl" w:bidi="th-TH"/>
              </w:rPr>
            </w:pPr>
            <w:r w:rsidRPr="00C75C7E">
              <w:rPr>
                <w:sz w:val="16"/>
                <w:szCs w:val="16"/>
                <w:lang w:val="es-ES_tradnl" w:bidi="th-TH"/>
              </w:rPr>
              <w:t>Programa  21</w:t>
            </w:r>
          </w:p>
        </w:tc>
      </w:tr>
      <w:tr w:rsidR="006F7F41" w:rsidRPr="00C75C7E" w:rsidTr="008F4F69">
        <w:trPr>
          <w:cantSplit/>
          <w:trHeight w:val="714"/>
        </w:trPr>
        <w:tc>
          <w:tcPr>
            <w:tcW w:w="1891" w:type="pct"/>
            <w:shd w:val="clear" w:color="auto" w:fill="auto"/>
            <w:tcMar>
              <w:top w:w="113" w:type="dxa"/>
              <w:bottom w:w="85" w:type="dxa"/>
            </w:tcMar>
          </w:tcPr>
          <w:p w:rsidR="006F7F41" w:rsidRPr="00C75C7E" w:rsidRDefault="006F7F41" w:rsidP="008F4F69">
            <w:pPr>
              <w:rPr>
                <w:sz w:val="16"/>
                <w:szCs w:val="16"/>
                <w:lang w:val="es-ES_tradnl"/>
              </w:rPr>
            </w:pPr>
          </w:p>
        </w:tc>
        <w:tc>
          <w:tcPr>
            <w:tcW w:w="1524" w:type="pct"/>
            <w:shd w:val="clear" w:color="auto" w:fill="auto"/>
            <w:tcMar>
              <w:top w:w="113" w:type="dxa"/>
              <w:bottom w:w="85" w:type="dxa"/>
            </w:tcMar>
          </w:tcPr>
          <w:p w:rsidR="006F7F41" w:rsidRPr="00C75C7E" w:rsidRDefault="006F7F41" w:rsidP="008F4F69">
            <w:pPr>
              <w:rPr>
                <w:sz w:val="16"/>
                <w:szCs w:val="16"/>
                <w:lang w:val="es-ES_tradnl"/>
              </w:rPr>
            </w:pPr>
            <w:r w:rsidRPr="00C75C7E">
              <w:rPr>
                <w:sz w:val="16"/>
                <w:szCs w:val="16"/>
                <w:lang w:val="es-ES_tradnl"/>
              </w:rPr>
              <w:t>Porcentaje de notificaciones de adhesión y otras medidas relacionadas con los tratados tramitadas de manera puntual.</w:t>
            </w:r>
          </w:p>
        </w:tc>
        <w:tc>
          <w:tcPr>
            <w:tcW w:w="1585" w:type="pct"/>
            <w:shd w:val="clear" w:color="auto" w:fill="FFFFFF"/>
            <w:tcMar>
              <w:top w:w="113" w:type="dxa"/>
              <w:bottom w:w="85" w:type="dxa"/>
            </w:tcMar>
          </w:tcPr>
          <w:p w:rsidR="006F7F41" w:rsidRPr="00C75C7E" w:rsidRDefault="006F7F41" w:rsidP="008F4F69">
            <w:pPr>
              <w:ind w:left="768"/>
              <w:rPr>
                <w:sz w:val="16"/>
                <w:szCs w:val="16"/>
                <w:lang w:val="es-ES_tradnl" w:bidi="th-TH"/>
              </w:rPr>
            </w:pPr>
            <w:r w:rsidRPr="00C75C7E">
              <w:rPr>
                <w:sz w:val="16"/>
                <w:szCs w:val="16"/>
                <w:lang w:val="es-ES_tradnl" w:bidi="th-TH"/>
              </w:rPr>
              <w:t>Programa  21</w:t>
            </w:r>
          </w:p>
        </w:tc>
      </w:tr>
      <w:tr w:rsidR="006F7F41" w:rsidRPr="00C75C7E" w:rsidTr="008F4F69">
        <w:trPr>
          <w:cantSplit/>
          <w:trHeight w:val="524"/>
        </w:trPr>
        <w:tc>
          <w:tcPr>
            <w:tcW w:w="1891" w:type="pct"/>
            <w:shd w:val="clear" w:color="auto" w:fill="auto"/>
            <w:tcMar>
              <w:top w:w="113" w:type="dxa"/>
              <w:bottom w:w="85" w:type="dxa"/>
            </w:tcMar>
          </w:tcPr>
          <w:p w:rsidR="006F7F41" w:rsidRPr="00C75C7E" w:rsidRDefault="006F7F41" w:rsidP="008F4F69">
            <w:pPr>
              <w:rPr>
                <w:sz w:val="16"/>
                <w:szCs w:val="16"/>
                <w:lang w:val="es-ES_tradnl"/>
              </w:rPr>
            </w:pPr>
          </w:p>
        </w:tc>
        <w:tc>
          <w:tcPr>
            <w:tcW w:w="1524" w:type="pct"/>
            <w:shd w:val="clear" w:color="auto" w:fill="auto"/>
            <w:tcMar>
              <w:top w:w="113" w:type="dxa"/>
              <w:bottom w:w="85" w:type="dxa"/>
            </w:tcMar>
          </w:tcPr>
          <w:p w:rsidR="006F7F41" w:rsidRPr="00C75C7E" w:rsidRDefault="006F7F41" w:rsidP="008F4F69">
            <w:pPr>
              <w:rPr>
                <w:sz w:val="16"/>
                <w:szCs w:val="16"/>
                <w:lang w:val="es-ES_tradnl"/>
              </w:rPr>
            </w:pPr>
            <w:r w:rsidRPr="00C75C7E">
              <w:rPr>
                <w:sz w:val="16"/>
                <w:szCs w:val="16"/>
                <w:lang w:val="es-ES_tradnl"/>
              </w:rPr>
              <w:t>Índice de satisfacción de los Estados miembros respecto de la preparación y funcionamiento de las Asambleas.</w:t>
            </w:r>
          </w:p>
        </w:tc>
        <w:tc>
          <w:tcPr>
            <w:tcW w:w="1585" w:type="pct"/>
            <w:shd w:val="clear" w:color="auto" w:fill="FFFFFF"/>
            <w:tcMar>
              <w:top w:w="113" w:type="dxa"/>
              <w:bottom w:w="85" w:type="dxa"/>
            </w:tcMar>
          </w:tcPr>
          <w:p w:rsidR="006F7F41" w:rsidRPr="00C75C7E" w:rsidRDefault="006F7F41" w:rsidP="008F4F69">
            <w:pPr>
              <w:ind w:left="768"/>
              <w:rPr>
                <w:sz w:val="16"/>
                <w:szCs w:val="16"/>
                <w:lang w:val="es-ES_tradnl" w:bidi="th-TH"/>
              </w:rPr>
            </w:pPr>
            <w:r w:rsidRPr="00C75C7E">
              <w:rPr>
                <w:sz w:val="16"/>
                <w:szCs w:val="16"/>
                <w:lang w:val="es-ES_tradnl" w:bidi="th-TH"/>
              </w:rPr>
              <w:t>Programa  21</w:t>
            </w:r>
          </w:p>
        </w:tc>
      </w:tr>
      <w:tr w:rsidR="006F7F41" w:rsidRPr="00C75C7E" w:rsidTr="008F4F69">
        <w:trPr>
          <w:cantSplit/>
          <w:trHeight w:val="503"/>
        </w:trPr>
        <w:tc>
          <w:tcPr>
            <w:tcW w:w="1891" w:type="pct"/>
            <w:shd w:val="clear" w:color="auto" w:fill="auto"/>
            <w:tcMar>
              <w:top w:w="113" w:type="dxa"/>
              <w:bottom w:w="85" w:type="dxa"/>
            </w:tcMar>
          </w:tcPr>
          <w:p w:rsidR="006F7F41" w:rsidRPr="00C75C7E" w:rsidRDefault="006F7F41" w:rsidP="008F4F69">
            <w:pPr>
              <w:rPr>
                <w:sz w:val="16"/>
                <w:szCs w:val="16"/>
                <w:lang w:val="es-ES_tradnl"/>
              </w:rPr>
            </w:pPr>
          </w:p>
        </w:tc>
        <w:tc>
          <w:tcPr>
            <w:tcW w:w="1524" w:type="pct"/>
            <w:shd w:val="clear" w:color="auto" w:fill="auto"/>
            <w:tcMar>
              <w:top w:w="113" w:type="dxa"/>
              <w:bottom w:w="85" w:type="dxa"/>
            </w:tcMar>
          </w:tcPr>
          <w:p w:rsidR="006F7F41" w:rsidRPr="00C75C7E" w:rsidRDefault="006F7F41" w:rsidP="008F4F69">
            <w:pPr>
              <w:rPr>
                <w:sz w:val="16"/>
                <w:szCs w:val="16"/>
                <w:lang w:val="es-ES_tradnl"/>
              </w:rPr>
            </w:pPr>
            <w:r w:rsidRPr="00C75C7E">
              <w:rPr>
                <w:sz w:val="16"/>
                <w:szCs w:val="16"/>
                <w:lang w:val="es-ES_tradnl"/>
              </w:rPr>
              <w:t>Publicación puntual de los documentos de las Asambleas.</w:t>
            </w:r>
          </w:p>
        </w:tc>
        <w:tc>
          <w:tcPr>
            <w:tcW w:w="1585" w:type="pct"/>
            <w:shd w:val="clear" w:color="auto" w:fill="FFFFFF"/>
            <w:tcMar>
              <w:top w:w="113" w:type="dxa"/>
              <w:bottom w:w="85" w:type="dxa"/>
            </w:tcMar>
          </w:tcPr>
          <w:p w:rsidR="006F7F41" w:rsidRPr="00C75C7E" w:rsidRDefault="006F7F41" w:rsidP="008F4F69">
            <w:pPr>
              <w:ind w:left="768"/>
              <w:rPr>
                <w:sz w:val="16"/>
                <w:szCs w:val="16"/>
                <w:lang w:val="es-ES_tradnl" w:bidi="th-TH"/>
              </w:rPr>
            </w:pPr>
            <w:r w:rsidRPr="00C75C7E">
              <w:rPr>
                <w:sz w:val="16"/>
                <w:szCs w:val="16"/>
                <w:lang w:val="es-ES_tradnl" w:bidi="th-TH"/>
              </w:rPr>
              <w:t>Programa  21</w:t>
            </w:r>
          </w:p>
        </w:tc>
      </w:tr>
      <w:tr w:rsidR="006F7F41" w:rsidRPr="00C75C7E" w:rsidTr="008F4F69">
        <w:trPr>
          <w:cantSplit/>
          <w:trHeight w:val="522"/>
        </w:trPr>
        <w:tc>
          <w:tcPr>
            <w:tcW w:w="1891" w:type="pct"/>
            <w:shd w:val="clear" w:color="auto" w:fill="auto"/>
            <w:tcMar>
              <w:top w:w="113" w:type="dxa"/>
              <w:bottom w:w="85" w:type="dxa"/>
            </w:tcMar>
          </w:tcPr>
          <w:p w:rsidR="006F7F41" w:rsidRPr="00C75C7E" w:rsidRDefault="006F7F41" w:rsidP="008F4F69">
            <w:pPr>
              <w:rPr>
                <w:sz w:val="16"/>
                <w:szCs w:val="16"/>
                <w:lang w:val="es-ES_tradnl"/>
              </w:rPr>
            </w:pPr>
            <w:r w:rsidRPr="00C75C7E">
              <w:rPr>
                <w:sz w:val="16"/>
                <w:szCs w:val="16"/>
                <w:lang w:val="es-ES_tradnl"/>
              </w:rPr>
              <w:t>VIII.4. Intercambios abiertos, transparentes y dinámicos con las partes interesadas no gubernamentales.</w:t>
            </w:r>
          </w:p>
        </w:tc>
        <w:tc>
          <w:tcPr>
            <w:tcW w:w="1524" w:type="pct"/>
            <w:shd w:val="clear" w:color="auto" w:fill="auto"/>
            <w:tcMar>
              <w:top w:w="113" w:type="dxa"/>
              <w:bottom w:w="85" w:type="dxa"/>
            </w:tcMar>
          </w:tcPr>
          <w:p w:rsidR="006F7F41" w:rsidRPr="00C75C7E" w:rsidRDefault="006F7F41" w:rsidP="008F4F69">
            <w:pPr>
              <w:rPr>
                <w:sz w:val="16"/>
                <w:szCs w:val="16"/>
                <w:lang w:val="es-ES_tradnl"/>
              </w:rPr>
            </w:pPr>
            <w:r w:rsidRPr="00C75C7E">
              <w:rPr>
                <w:sz w:val="16"/>
                <w:szCs w:val="16"/>
                <w:lang w:val="es-ES_tradnl"/>
              </w:rPr>
              <w:t>Participación  eficaz y en mayor grado de las partes interesadas no gubernamentales en las actividades de la OMPI y viceversa.</w:t>
            </w:r>
          </w:p>
        </w:tc>
        <w:tc>
          <w:tcPr>
            <w:tcW w:w="1585" w:type="pct"/>
            <w:shd w:val="clear" w:color="auto" w:fill="FFFFFF"/>
            <w:tcMar>
              <w:top w:w="113" w:type="dxa"/>
              <w:bottom w:w="85" w:type="dxa"/>
            </w:tcMar>
          </w:tcPr>
          <w:p w:rsidR="006F7F41" w:rsidRPr="00C75C7E" w:rsidRDefault="006F7F41" w:rsidP="008F4F69">
            <w:pPr>
              <w:ind w:left="768"/>
              <w:rPr>
                <w:sz w:val="16"/>
                <w:szCs w:val="16"/>
                <w:lang w:val="es-ES_tradnl" w:bidi="th-TH"/>
              </w:rPr>
            </w:pPr>
            <w:r w:rsidRPr="00C75C7E">
              <w:rPr>
                <w:sz w:val="16"/>
                <w:szCs w:val="16"/>
                <w:lang w:val="es-ES_tradnl" w:bidi="th-TH"/>
              </w:rPr>
              <w:t>Programa  20</w:t>
            </w:r>
          </w:p>
        </w:tc>
      </w:tr>
      <w:tr w:rsidR="006F7F41" w:rsidRPr="00C75C7E" w:rsidTr="008F4F69">
        <w:trPr>
          <w:cantSplit/>
          <w:trHeight w:val="537"/>
        </w:trPr>
        <w:tc>
          <w:tcPr>
            <w:tcW w:w="1891" w:type="pct"/>
            <w:shd w:val="clear" w:color="auto" w:fill="auto"/>
            <w:tcMar>
              <w:top w:w="113" w:type="dxa"/>
              <w:bottom w:w="85" w:type="dxa"/>
            </w:tcMar>
          </w:tcPr>
          <w:p w:rsidR="006F7F41" w:rsidRPr="00C75C7E" w:rsidRDefault="006F7F41" w:rsidP="008F4F69">
            <w:pPr>
              <w:rPr>
                <w:sz w:val="16"/>
                <w:szCs w:val="16"/>
                <w:lang w:val="es-ES_tradnl"/>
              </w:rPr>
            </w:pPr>
            <w:r w:rsidRPr="00C75C7E">
              <w:rPr>
                <w:sz w:val="16"/>
                <w:szCs w:val="16"/>
                <w:lang w:val="es-ES_tradnl"/>
              </w:rPr>
              <w:t>VIII.5. La OMPI participa y colabora eficazmente en los procesos y negociaciones de las NN.UU. y otras OIG.</w:t>
            </w:r>
          </w:p>
        </w:tc>
        <w:tc>
          <w:tcPr>
            <w:tcW w:w="1524" w:type="pct"/>
            <w:shd w:val="clear" w:color="auto" w:fill="auto"/>
            <w:tcMar>
              <w:top w:w="113" w:type="dxa"/>
              <w:bottom w:w="85" w:type="dxa"/>
            </w:tcMar>
          </w:tcPr>
          <w:p w:rsidR="006F7F41" w:rsidRPr="00C75C7E" w:rsidRDefault="006F7F41" w:rsidP="008F4F69">
            <w:pPr>
              <w:rPr>
                <w:sz w:val="16"/>
                <w:szCs w:val="16"/>
                <w:lang w:val="es-ES_tradnl"/>
              </w:rPr>
            </w:pPr>
            <w:r w:rsidRPr="00C75C7E">
              <w:rPr>
                <w:sz w:val="16"/>
                <w:szCs w:val="16"/>
                <w:lang w:val="es-ES_tradnl"/>
              </w:rPr>
              <w:t>Utilización de las aportaciones de la OMPI en informes, resoluciones y documentos de procesos de las partes interesadas.</w:t>
            </w:r>
          </w:p>
        </w:tc>
        <w:tc>
          <w:tcPr>
            <w:tcW w:w="1585" w:type="pct"/>
            <w:shd w:val="clear" w:color="auto" w:fill="FFFFFF"/>
            <w:tcMar>
              <w:top w:w="113" w:type="dxa"/>
              <w:bottom w:w="85" w:type="dxa"/>
            </w:tcMar>
          </w:tcPr>
          <w:p w:rsidR="006F7F41" w:rsidRPr="00C75C7E" w:rsidRDefault="006F7F41" w:rsidP="008F4F69">
            <w:pPr>
              <w:ind w:left="768"/>
              <w:rPr>
                <w:sz w:val="16"/>
                <w:szCs w:val="16"/>
                <w:lang w:val="es-ES_tradnl" w:bidi="th-TH"/>
              </w:rPr>
            </w:pPr>
            <w:r w:rsidRPr="00C75C7E">
              <w:rPr>
                <w:sz w:val="16"/>
                <w:szCs w:val="16"/>
                <w:lang w:val="es-ES_tradnl" w:bidi="th-TH"/>
              </w:rPr>
              <w:t>Programa  20</w:t>
            </w:r>
          </w:p>
        </w:tc>
      </w:tr>
      <w:tr w:rsidR="006F7F41" w:rsidRPr="00C75C7E" w:rsidTr="008F4F69">
        <w:trPr>
          <w:cantSplit/>
          <w:trHeight w:val="514"/>
        </w:trPr>
        <w:tc>
          <w:tcPr>
            <w:tcW w:w="1891" w:type="pct"/>
            <w:shd w:val="clear" w:color="auto" w:fill="auto"/>
            <w:tcMar>
              <w:top w:w="113" w:type="dxa"/>
              <w:bottom w:w="85" w:type="dxa"/>
            </w:tcMar>
          </w:tcPr>
          <w:p w:rsidR="006F7F41" w:rsidRPr="00C75C7E" w:rsidRDefault="006F7F41" w:rsidP="008F4F69">
            <w:pPr>
              <w:rPr>
                <w:sz w:val="16"/>
                <w:szCs w:val="16"/>
                <w:lang w:val="es-ES_tradnl"/>
              </w:rPr>
            </w:pPr>
          </w:p>
        </w:tc>
        <w:tc>
          <w:tcPr>
            <w:tcW w:w="1524" w:type="pct"/>
            <w:shd w:val="clear" w:color="auto" w:fill="auto"/>
            <w:tcMar>
              <w:top w:w="113" w:type="dxa"/>
              <w:bottom w:w="85" w:type="dxa"/>
            </w:tcMar>
          </w:tcPr>
          <w:p w:rsidR="006F7F41" w:rsidRPr="00C75C7E" w:rsidRDefault="006F7F41" w:rsidP="008F4F69">
            <w:pPr>
              <w:rPr>
                <w:sz w:val="16"/>
                <w:szCs w:val="16"/>
                <w:lang w:val="es-ES_tradnl"/>
              </w:rPr>
            </w:pPr>
            <w:r w:rsidRPr="00C75C7E">
              <w:rPr>
                <w:sz w:val="16"/>
                <w:szCs w:val="16"/>
                <w:lang w:val="es-ES_tradnl"/>
              </w:rPr>
              <w:t>Porcentaje de respuestas cursadas puntualmente atendiendo a peticiones externas de aportación por parte de las NN.UU., OIG, etc.</w:t>
            </w:r>
          </w:p>
        </w:tc>
        <w:tc>
          <w:tcPr>
            <w:tcW w:w="1585" w:type="pct"/>
            <w:shd w:val="clear" w:color="auto" w:fill="FFFFFF"/>
            <w:tcMar>
              <w:top w:w="113" w:type="dxa"/>
              <w:bottom w:w="85" w:type="dxa"/>
            </w:tcMar>
          </w:tcPr>
          <w:p w:rsidR="006F7F41" w:rsidRPr="00C75C7E" w:rsidRDefault="006F7F41" w:rsidP="008F4F69">
            <w:pPr>
              <w:ind w:left="768"/>
              <w:rPr>
                <w:sz w:val="16"/>
                <w:szCs w:val="16"/>
                <w:lang w:val="es-ES_tradnl" w:bidi="th-TH"/>
              </w:rPr>
            </w:pPr>
            <w:r w:rsidRPr="00C75C7E">
              <w:rPr>
                <w:sz w:val="16"/>
                <w:szCs w:val="16"/>
                <w:lang w:val="es-ES_tradnl" w:bidi="th-TH"/>
              </w:rPr>
              <w:t>Programa  20</w:t>
            </w:r>
          </w:p>
        </w:tc>
      </w:tr>
      <w:tr w:rsidR="006F7F41" w:rsidRPr="00C75C7E" w:rsidTr="008F4F69">
        <w:trPr>
          <w:cantSplit/>
          <w:trHeight w:val="478"/>
        </w:trPr>
        <w:tc>
          <w:tcPr>
            <w:tcW w:w="1891" w:type="pct"/>
            <w:shd w:val="clear" w:color="auto" w:fill="auto"/>
            <w:tcMar>
              <w:top w:w="113" w:type="dxa"/>
              <w:bottom w:w="85" w:type="dxa"/>
            </w:tcMar>
          </w:tcPr>
          <w:p w:rsidR="006F7F41" w:rsidRPr="00C75C7E" w:rsidRDefault="006F7F41" w:rsidP="008F4F69">
            <w:pPr>
              <w:rPr>
                <w:sz w:val="16"/>
                <w:szCs w:val="16"/>
                <w:lang w:val="es-ES_tradnl"/>
              </w:rPr>
            </w:pPr>
          </w:p>
        </w:tc>
        <w:tc>
          <w:tcPr>
            <w:tcW w:w="1524" w:type="pct"/>
            <w:shd w:val="clear" w:color="auto" w:fill="auto"/>
            <w:tcMar>
              <w:top w:w="113" w:type="dxa"/>
              <w:bottom w:w="85" w:type="dxa"/>
            </w:tcMar>
          </w:tcPr>
          <w:p w:rsidR="006F7F41" w:rsidRPr="00C75C7E" w:rsidRDefault="006F7F41" w:rsidP="008F4F69">
            <w:pPr>
              <w:rPr>
                <w:sz w:val="16"/>
                <w:szCs w:val="16"/>
                <w:lang w:val="es-ES_tradnl"/>
              </w:rPr>
            </w:pPr>
            <w:r w:rsidRPr="00C75C7E">
              <w:rPr>
                <w:sz w:val="16"/>
                <w:szCs w:val="16"/>
                <w:lang w:val="es-ES_tradnl"/>
              </w:rPr>
              <w:t>Número de programas de P.I. ejecutados conjuntamente con otros organismos de NN.UU. y otras OIG.</w:t>
            </w:r>
          </w:p>
        </w:tc>
        <w:tc>
          <w:tcPr>
            <w:tcW w:w="1585" w:type="pct"/>
            <w:shd w:val="clear" w:color="auto" w:fill="FFFFFF"/>
            <w:tcMar>
              <w:top w:w="113" w:type="dxa"/>
              <w:bottom w:w="85" w:type="dxa"/>
            </w:tcMar>
          </w:tcPr>
          <w:p w:rsidR="006F7F41" w:rsidRPr="00C75C7E" w:rsidRDefault="006F7F41" w:rsidP="008F4F69">
            <w:pPr>
              <w:ind w:left="768"/>
              <w:rPr>
                <w:sz w:val="16"/>
                <w:szCs w:val="16"/>
                <w:lang w:val="es-ES_tradnl" w:bidi="th-TH"/>
              </w:rPr>
            </w:pPr>
            <w:r w:rsidRPr="00C75C7E">
              <w:rPr>
                <w:sz w:val="16"/>
                <w:szCs w:val="16"/>
                <w:lang w:val="es-ES_tradnl" w:bidi="th-TH"/>
              </w:rPr>
              <w:t>Programa  20</w:t>
            </w:r>
          </w:p>
        </w:tc>
      </w:tr>
      <w:tr w:rsidR="006F7F41" w:rsidRPr="00C75C7E" w:rsidTr="008F4F69">
        <w:trPr>
          <w:cantSplit/>
          <w:trHeight w:val="356"/>
        </w:trPr>
        <w:tc>
          <w:tcPr>
            <w:tcW w:w="1891" w:type="pct"/>
            <w:shd w:val="clear" w:color="auto" w:fill="auto"/>
            <w:tcMar>
              <w:top w:w="113" w:type="dxa"/>
              <w:bottom w:w="85" w:type="dxa"/>
            </w:tcMar>
          </w:tcPr>
          <w:p w:rsidR="006F7F41" w:rsidRPr="00C75C7E" w:rsidRDefault="006F7F41" w:rsidP="008F4F69">
            <w:pPr>
              <w:rPr>
                <w:sz w:val="16"/>
                <w:szCs w:val="16"/>
                <w:lang w:val="es-ES_tradnl"/>
              </w:rPr>
            </w:pPr>
          </w:p>
        </w:tc>
        <w:tc>
          <w:tcPr>
            <w:tcW w:w="1524" w:type="pct"/>
            <w:shd w:val="clear" w:color="auto" w:fill="auto"/>
            <w:tcMar>
              <w:top w:w="113" w:type="dxa"/>
              <w:bottom w:w="85" w:type="dxa"/>
            </w:tcMar>
          </w:tcPr>
          <w:p w:rsidR="006F7F41" w:rsidRPr="00C75C7E" w:rsidRDefault="006F7F41" w:rsidP="008F4F69">
            <w:pPr>
              <w:rPr>
                <w:sz w:val="16"/>
                <w:szCs w:val="16"/>
                <w:lang w:val="es-ES_tradnl"/>
              </w:rPr>
            </w:pPr>
            <w:r w:rsidRPr="00C75C7E">
              <w:rPr>
                <w:sz w:val="16"/>
                <w:szCs w:val="16"/>
                <w:lang w:val="es-ES_tradnl"/>
              </w:rPr>
              <w:t>Nuevas iniciativas conjuntas con otros organismos de NN.UU.</w:t>
            </w:r>
          </w:p>
        </w:tc>
        <w:tc>
          <w:tcPr>
            <w:tcW w:w="1585" w:type="pct"/>
            <w:shd w:val="clear" w:color="auto" w:fill="FFFFFF"/>
            <w:tcMar>
              <w:top w:w="113" w:type="dxa"/>
              <w:bottom w:w="85" w:type="dxa"/>
            </w:tcMar>
          </w:tcPr>
          <w:p w:rsidR="006F7F41" w:rsidRPr="00C75C7E" w:rsidRDefault="006F7F41" w:rsidP="008F4F69">
            <w:pPr>
              <w:ind w:left="768"/>
              <w:rPr>
                <w:sz w:val="16"/>
                <w:szCs w:val="16"/>
                <w:lang w:val="es-ES_tradnl" w:bidi="th-TH"/>
              </w:rPr>
            </w:pPr>
            <w:r w:rsidRPr="00C75C7E">
              <w:rPr>
                <w:sz w:val="16"/>
                <w:szCs w:val="16"/>
                <w:lang w:val="es-ES_tradnl" w:bidi="th-TH"/>
              </w:rPr>
              <w:t>Programa  21</w:t>
            </w:r>
          </w:p>
        </w:tc>
      </w:tr>
      <w:tr w:rsidR="006F7F41" w:rsidRPr="00C75C7E" w:rsidTr="008F4F69">
        <w:trPr>
          <w:cantSplit/>
          <w:trHeight w:val="807"/>
        </w:trPr>
        <w:tc>
          <w:tcPr>
            <w:tcW w:w="1891" w:type="pct"/>
            <w:shd w:val="clear" w:color="auto" w:fill="auto"/>
            <w:tcMar>
              <w:top w:w="113" w:type="dxa"/>
              <w:bottom w:w="85" w:type="dxa"/>
            </w:tcMar>
          </w:tcPr>
          <w:p w:rsidR="006F7F41" w:rsidRPr="00C75C7E" w:rsidRDefault="006F7F41" w:rsidP="008F4F69">
            <w:pPr>
              <w:rPr>
                <w:sz w:val="16"/>
                <w:szCs w:val="16"/>
                <w:lang w:val="es-ES_tradnl"/>
              </w:rPr>
            </w:pPr>
          </w:p>
        </w:tc>
        <w:tc>
          <w:tcPr>
            <w:tcW w:w="1524" w:type="pct"/>
            <w:shd w:val="clear" w:color="auto" w:fill="auto"/>
            <w:tcMar>
              <w:top w:w="113" w:type="dxa"/>
              <w:bottom w:w="85" w:type="dxa"/>
            </w:tcMar>
          </w:tcPr>
          <w:p w:rsidR="006F7F41" w:rsidRPr="00C75C7E" w:rsidRDefault="006F7F41" w:rsidP="008F4F69">
            <w:pPr>
              <w:rPr>
                <w:sz w:val="16"/>
                <w:szCs w:val="16"/>
                <w:lang w:val="es-ES_tradnl"/>
              </w:rPr>
            </w:pPr>
            <w:r w:rsidRPr="00C75C7E">
              <w:rPr>
                <w:sz w:val="16"/>
                <w:szCs w:val="16"/>
                <w:lang w:val="es-ES_tradnl"/>
              </w:rPr>
              <w:t>Porcentaje de peticiones de asesoramiento y servicios jurídicos que reciben respuestas rápidas, independientes y fiables de la Oficina del Consejero Jurídico.</w:t>
            </w:r>
          </w:p>
        </w:tc>
        <w:tc>
          <w:tcPr>
            <w:tcW w:w="1585" w:type="pct"/>
            <w:shd w:val="clear" w:color="auto" w:fill="FFFFFF"/>
            <w:tcMar>
              <w:top w:w="113" w:type="dxa"/>
              <w:bottom w:w="85" w:type="dxa"/>
            </w:tcMar>
          </w:tcPr>
          <w:p w:rsidR="006F7F41" w:rsidRPr="00C75C7E" w:rsidRDefault="006F7F41" w:rsidP="008F4F69">
            <w:pPr>
              <w:ind w:left="768"/>
              <w:rPr>
                <w:sz w:val="16"/>
                <w:szCs w:val="16"/>
                <w:lang w:val="es-ES_tradnl" w:bidi="th-TH"/>
              </w:rPr>
            </w:pPr>
            <w:r w:rsidRPr="00C75C7E">
              <w:rPr>
                <w:sz w:val="16"/>
                <w:szCs w:val="16"/>
                <w:lang w:val="es-ES_tradnl" w:bidi="th-TH"/>
              </w:rPr>
              <w:t>Programa  21</w:t>
            </w:r>
          </w:p>
        </w:tc>
      </w:tr>
      <w:tr w:rsidR="006F7F41" w:rsidRPr="00C75C7E" w:rsidTr="008F4F69">
        <w:trPr>
          <w:cantSplit/>
          <w:trHeight w:val="383"/>
        </w:trPr>
        <w:tc>
          <w:tcPr>
            <w:tcW w:w="1891" w:type="pct"/>
            <w:shd w:val="clear" w:color="auto" w:fill="auto"/>
            <w:tcMar>
              <w:top w:w="113" w:type="dxa"/>
              <w:bottom w:w="85" w:type="dxa"/>
            </w:tcMar>
          </w:tcPr>
          <w:p w:rsidR="006F7F41" w:rsidRPr="00C75C7E" w:rsidRDefault="006F7F41" w:rsidP="008F4F69">
            <w:pPr>
              <w:rPr>
                <w:sz w:val="16"/>
                <w:szCs w:val="16"/>
                <w:lang w:val="es-ES_tradnl"/>
              </w:rPr>
            </w:pPr>
          </w:p>
        </w:tc>
        <w:tc>
          <w:tcPr>
            <w:tcW w:w="1524" w:type="pct"/>
            <w:shd w:val="clear" w:color="auto" w:fill="auto"/>
            <w:tcMar>
              <w:top w:w="113" w:type="dxa"/>
              <w:bottom w:w="85" w:type="dxa"/>
            </w:tcMar>
          </w:tcPr>
          <w:p w:rsidR="006F7F41" w:rsidRPr="00C75C7E" w:rsidRDefault="006F7F41" w:rsidP="008F4F69">
            <w:pPr>
              <w:rPr>
                <w:bCs/>
                <w:sz w:val="16"/>
                <w:szCs w:val="16"/>
                <w:lang w:val="es-ES_tradnl"/>
              </w:rPr>
            </w:pPr>
            <w:r w:rsidRPr="00C75C7E">
              <w:rPr>
                <w:bCs/>
                <w:sz w:val="16"/>
                <w:szCs w:val="16"/>
                <w:lang w:val="es-ES_tradnl"/>
              </w:rPr>
              <w:t>Recomendaciones del Comité de Alto Nivel sobre Gestión y de las redes subsidiarias que se han dado por aplicadas.</w:t>
            </w:r>
          </w:p>
        </w:tc>
        <w:tc>
          <w:tcPr>
            <w:tcW w:w="1585" w:type="pct"/>
            <w:shd w:val="clear" w:color="auto" w:fill="FFFFFF"/>
            <w:tcMar>
              <w:top w:w="113" w:type="dxa"/>
              <w:bottom w:w="85" w:type="dxa"/>
            </w:tcMar>
          </w:tcPr>
          <w:p w:rsidR="006F7F41" w:rsidRPr="00C75C7E" w:rsidRDefault="006F7F41" w:rsidP="008F4F69">
            <w:pPr>
              <w:ind w:left="768"/>
              <w:rPr>
                <w:sz w:val="16"/>
                <w:szCs w:val="16"/>
                <w:lang w:val="es-ES_tradnl" w:bidi="th-TH"/>
              </w:rPr>
            </w:pPr>
            <w:r w:rsidRPr="00C75C7E">
              <w:rPr>
                <w:sz w:val="16"/>
                <w:szCs w:val="16"/>
                <w:lang w:val="es-ES_tradnl" w:bidi="th-TH"/>
              </w:rPr>
              <w:t>Programa  24</w:t>
            </w:r>
          </w:p>
        </w:tc>
      </w:tr>
      <w:tr w:rsidR="006F7F41" w:rsidRPr="00C75C7E" w:rsidTr="008F4F69">
        <w:trPr>
          <w:cantSplit/>
          <w:trHeight w:val="515"/>
        </w:trPr>
        <w:tc>
          <w:tcPr>
            <w:tcW w:w="1891" w:type="pct"/>
            <w:shd w:val="clear" w:color="auto" w:fill="auto"/>
            <w:tcMar>
              <w:top w:w="113" w:type="dxa"/>
              <w:bottom w:w="85" w:type="dxa"/>
            </w:tcMar>
          </w:tcPr>
          <w:p w:rsidR="006F7F41" w:rsidRPr="00C75C7E" w:rsidRDefault="006F7F41" w:rsidP="008F4F69">
            <w:pPr>
              <w:rPr>
                <w:sz w:val="16"/>
                <w:szCs w:val="16"/>
                <w:lang w:val="es-ES_tradnl"/>
              </w:rPr>
            </w:pPr>
          </w:p>
        </w:tc>
        <w:tc>
          <w:tcPr>
            <w:tcW w:w="1524" w:type="pct"/>
            <w:shd w:val="clear" w:color="auto" w:fill="auto"/>
            <w:tcMar>
              <w:top w:w="113" w:type="dxa"/>
              <w:bottom w:w="85" w:type="dxa"/>
            </w:tcMar>
          </w:tcPr>
          <w:p w:rsidR="006F7F41" w:rsidRPr="00C75C7E" w:rsidRDefault="006F7F41" w:rsidP="008F4F69">
            <w:pPr>
              <w:rPr>
                <w:sz w:val="16"/>
                <w:szCs w:val="16"/>
                <w:lang w:val="es-ES_tradnl"/>
              </w:rPr>
            </w:pPr>
            <w:r w:rsidRPr="00C75C7E">
              <w:rPr>
                <w:sz w:val="16"/>
                <w:szCs w:val="16"/>
                <w:lang w:val="es-ES_tradnl"/>
              </w:rPr>
              <w:t>Porcentaje de productos y servicios contratados y adquiridos a nivel local en comparación con el importe total de los adquiridos para actividades de desarrollo.</w:t>
            </w:r>
          </w:p>
        </w:tc>
        <w:tc>
          <w:tcPr>
            <w:tcW w:w="1585" w:type="pct"/>
            <w:shd w:val="clear" w:color="auto" w:fill="FFFFFF"/>
            <w:tcMar>
              <w:top w:w="113" w:type="dxa"/>
              <w:bottom w:w="85" w:type="dxa"/>
            </w:tcMar>
          </w:tcPr>
          <w:p w:rsidR="006F7F41" w:rsidRPr="00C75C7E" w:rsidRDefault="006F7F41" w:rsidP="008F4F69">
            <w:pPr>
              <w:ind w:left="768"/>
              <w:rPr>
                <w:sz w:val="16"/>
                <w:szCs w:val="16"/>
                <w:lang w:val="es-ES_tradnl" w:bidi="th-TH"/>
              </w:rPr>
            </w:pPr>
            <w:r w:rsidRPr="00C75C7E">
              <w:rPr>
                <w:sz w:val="16"/>
                <w:szCs w:val="16"/>
                <w:lang w:val="es-ES_tradnl" w:bidi="th-TH"/>
              </w:rPr>
              <w:t>Programa  24</w:t>
            </w:r>
          </w:p>
        </w:tc>
      </w:tr>
      <w:tr w:rsidR="006F7F41" w:rsidRPr="00C75C7E" w:rsidTr="008F4F69">
        <w:trPr>
          <w:cantSplit/>
          <w:trHeight w:val="518"/>
        </w:trPr>
        <w:tc>
          <w:tcPr>
            <w:tcW w:w="1891" w:type="pct"/>
            <w:shd w:val="clear" w:color="auto" w:fill="auto"/>
            <w:tcMar>
              <w:top w:w="113" w:type="dxa"/>
              <w:bottom w:w="85" w:type="dxa"/>
            </w:tcMar>
          </w:tcPr>
          <w:p w:rsidR="006F7F41" w:rsidRPr="00C75C7E" w:rsidRDefault="006F7F41" w:rsidP="008F4F69">
            <w:pPr>
              <w:rPr>
                <w:sz w:val="16"/>
                <w:szCs w:val="16"/>
                <w:lang w:val="es-ES_tradnl"/>
              </w:rPr>
            </w:pPr>
          </w:p>
        </w:tc>
        <w:tc>
          <w:tcPr>
            <w:tcW w:w="1524" w:type="pct"/>
            <w:shd w:val="clear" w:color="auto" w:fill="auto"/>
            <w:tcMar>
              <w:top w:w="113" w:type="dxa"/>
              <w:bottom w:w="85" w:type="dxa"/>
            </w:tcMar>
          </w:tcPr>
          <w:p w:rsidR="006F7F41" w:rsidRPr="00C75C7E" w:rsidRDefault="006F7F41" w:rsidP="008F4F69">
            <w:pPr>
              <w:rPr>
                <w:sz w:val="16"/>
                <w:szCs w:val="16"/>
                <w:lang w:val="es-ES_tradnl"/>
              </w:rPr>
            </w:pPr>
            <w:r w:rsidRPr="00C75C7E">
              <w:rPr>
                <w:sz w:val="16"/>
                <w:szCs w:val="16"/>
                <w:lang w:val="es-ES_tradnl"/>
              </w:rPr>
              <w:t>Porcentaje de gastos efectuados con arreglo a las prácticas vigentes en NN.UU. (licitaciones comunes o aprovechamiento de los contratos).</w:t>
            </w:r>
          </w:p>
        </w:tc>
        <w:tc>
          <w:tcPr>
            <w:tcW w:w="1585" w:type="pct"/>
            <w:shd w:val="clear" w:color="auto" w:fill="FFFFFF"/>
            <w:tcMar>
              <w:top w:w="113" w:type="dxa"/>
              <w:bottom w:w="85" w:type="dxa"/>
            </w:tcMar>
          </w:tcPr>
          <w:p w:rsidR="006F7F41" w:rsidRPr="00C75C7E" w:rsidRDefault="006F7F41" w:rsidP="008F4F69">
            <w:pPr>
              <w:ind w:left="768"/>
              <w:rPr>
                <w:sz w:val="16"/>
                <w:szCs w:val="16"/>
                <w:lang w:val="es-ES_tradnl" w:bidi="th-TH"/>
              </w:rPr>
            </w:pPr>
            <w:r w:rsidRPr="00C75C7E">
              <w:rPr>
                <w:sz w:val="16"/>
                <w:szCs w:val="16"/>
                <w:lang w:val="es-ES_tradnl" w:bidi="th-TH"/>
              </w:rPr>
              <w:t>Programa  24</w:t>
            </w:r>
          </w:p>
        </w:tc>
      </w:tr>
    </w:tbl>
    <w:p w:rsidR="006F7F41" w:rsidRPr="00C75C7E" w:rsidRDefault="006F7F41" w:rsidP="006F7F41">
      <w:pPr>
        <w:tabs>
          <w:tab w:val="left" w:pos="1701"/>
        </w:tabs>
        <w:ind w:left="1701" w:hanging="1701"/>
        <w:jc w:val="center"/>
        <w:rPr>
          <w:b/>
          <w:bCs/>
          <w:caps/>
          <w:sz w:val="20"/>
          <w:highlight w:val="yellow"/>
          <w:lang w:val="es-ES_tradnl"/>
        </w:rPr>
      </w:pPr>
    </w:p>
    <w:p w:rsidR="000E3B25" w:rsidRPr="000E3B25" w:rsidRDefault="006F7F41" w:rsidP="000E3B25">
      <w:pPr>
        <w:pStyle w:val="Heading3"/>
        <w:tabs>
          <w:tab w:val="left" w:pos="1985"/>
        </w:tabs>
        <w:rPr>
          <w:b/>
          <w:u w:val="none"/>
          <w:lang w:val="es-ES_tradnl"/>
        </w:rPr>
      </w:pPr>
      <w:r w:rsidRPr="00C75C7E">
        <w:rPr>
          <w:sz w:val="20"/>
          <w:lang w:val="es-ES_tradnl"/>
        </w:rPr>
        <w:br w:type="page"/>
      </w:r>
      <w:bookmarkStart w:id="69" w:name="_Toc356567773"/>
      <w:bookmarkStart w:id="70" w:name="_Toc358816711"/>
      <w:r w:rsidR="000E3B25" w:rsidRPr="000E3B25">
        <w:rPr>
          <w:b/>
          <w:u w:val="none"/>
          <w:lang w:val="es-ES_tradnl"/>
        </w:rPr>
        <w:lastRenderedPageBreak/>
        <w:t>PROGRAMA 19</w:t>
      </w:r>
      <w:r w:rsidR="000E3B25" w:rsidRPr="000E3B25">
        <w:rPr>
          <w:b/>
          <w:u w:val="none"/>
          <w:lang w:val="es-ES_tradnl"/>
        </w:rPr>
        <w:tab/>
        <w:t>COMUNICACIONES</w:t>
      </w:r>
      <w:bookmarkEnd w:id="69"/>
      <w:bookmarkEnd w:id="70"/>
    </w:p>
    <w:p w:rsidR="000E3B25" w:rsidRPr="00AD1E8B" w:rsidRDefault="000E3B25" w:rsidP="006A15F5">
      <w:pPr>
        <w:rPr>
          <w:lang w:val="es-ES_tradnl"/>
        </w:rPr>
      </w:pPr>
    </w:p>
    <w:p w:rsidR="000E3B25" w:rsidRPr="00AD1E8B" w:rsidRDefault="000E3B25" w:rsidP="006A15F5">
      <w:pPr>
        <w:rPr>
          <w:b/>
          <w:lang w:val="es-ES_tradnl"/>
        </w:rPr>
      </w:pPr>
    </w:p>
    <w:p w:rsidR="000E3B25" w:rsidRPr="00AD1E8B" w:rsidRDefault="000E3B25" w:rsidP="000E3B25">
      <w:pPr>
        <w:pStyle w:val="BodyTextIndent"/>
        <w:ind w:left="1985" w:hanging="1985"/>
        <w:jc w:val="both"/>
        <w:rPr>
          <w:rFonts w:ascii="Arial" w:hAnsi="Arial" w:cs="Arial"/>
          <w:sz w:val="22"/>
          <w:szCs w:val="22"/>
          <w:lang w:val="es-ES_tradnl"/>
        </w:rPr>
      </w:pPr>
      <w:r w:rsidRPr="00AD1E8B">
        <w:rPr>
          <w:rFonts w:ascii="Arial" w:hAnsi="Arial" w:cs="Arial"/>
          <w:sz w:val="22"/>
          <w:szCs w:val="22"/>
          <w:lang w:val="es-ES_tradnl"/>
        </w:rPr>
        <w:t>CONTEXTO DE PLANIFICACIÓN</w:t>
      </w:r>
    </w:p>
    <w:p w:rsidR="000E3B25" w:rsidRPr="00AD1E8B" w:rsidRDefault="000E3B25" w:rsidP="000E3B25">
      <w:pPr>
        <w:rPr>
          <w:sz w:val="20"/>
          <w:lang w:val="es-ES_tradnl"/>
        </w:rPr>
      </w:pPr>
    </w:p>
    <w:p w:rsidR="000E3B25" w:rsidRPr="00AD1E8B" w:rsidRDefault="000E3B25" w:rsidP="00E17471">
      <w:pPr>
        <w:numPr>
          <w:ilvl w:val="0"/>
          <w:numId w:val="13"/>
        </w:numPr>
        <w:jc w:val="both"/>
        <w:rPr>
          <w:sz w:val="20"/>
          <w:lang w:val="es-ES_tradnl"/>
        </w:rPr>
      </w:pPr>
      <w:r w:rsidRPr="00AD1E8B">
        <w:rPr>
          <w:sz w:val="20"/>
          <w:lang w:val="es-ES_tradnl"/>
        </w:rPr>
        <w:t xml:space="preserve">La importancia del conocimiento en la economía global ha puesto en el candelero a la propiedad intelectual, destacando el funcionamiento del sistema de P.I. y la función que desempeña respecto de la innovación, la cultura, el desarrollo y el acceso a los conocimientos.  La labor de la OMPI en el ámbito de las comunicaciones tiene como telón de fondo un elevado interés normativo, un debate público en que los pareceres se presentan con frecuencia polarizados y una fuerte demanda de información fiable y objetiva en torno a la P.I.  Más recientemente, el clima de comunicaciones a este respecto se ha caracterizado por la movilización masiva de la opinión pública a través de campañas desencadenadas en los medios sociales por grupos de interés contrapuestos en su pugna por la supremacía.  </w:t>
      </w:r>
    </w:p>
    <w:p w:rsidR="000E3B25" w:rsidRPr="00AD1E8B" w:rsidRDefault="000E3B25" w:rsidP="000E3B25">
      <w:pPr>
        <w:jc w:val="both"/>
        <w:rPr>
          <w:sz w:val="20"/>
          <w:lang w:val="es-ES_tradnl"/>
        </w:rPr>
      </w:pPr>
    </w:p>
    <w:p w:rsidR="000E3B25" w:rsidRPr="00AD1E8B" w:rsidRDefault="000E3B25" w:rsidP="00E17471">
      <w:pPr>
        <w:numPr>
          <w:ilvl w:val="0"/>
          <w:numId w:val="13"/>
        </w:numPr>
        <w:jc w:val="both"/>
        <w:rPr>
          <w:sz w:val="20"/>
          <w:lang w:val="es-ES_tradnl"/>
        </w:rPr>
      </w:pPr>
      <w:r w:rsidRPr="00AD1E8B">
        <w:rPr>
          <w:sz w:val="20"/>
          <w:lang w:val="es-ES_tradnl"/>
        </w:rPr>
        <w:t xml:space="preserve">En este contexto, la sensibilización pública hacia la misión, actividades e identidad de la OMPI va desde luego en aumento, pero se mantiene a un nivel relativamente modesto.  Para fortalecer la comprensión, adhesión y confianza que necesita para dar cumplimiento a su cometido, la OMPI debe comunicar más eficazmente su misión, los valores que representa, la función que desempeña y las aportaciones que realiza.  Ha de concitar una mayor comprensión y reconocimiento para la posición que ocupa como foro de referencia incluyente y global en materia de P.I. y como principal proveedor de servicios, pericias, información y asesoramiento en este ámbito a nivel internacional.  Debe articular más claramente lo que está haciendo para conseguir que la P.I. genere innovación y creatividad.  Para lograr estos fines, el programa 19 ha de seguir mejorando la claridad y la consistencia de sus mensajes fundamentales, el valor de los contenidos que produce para un público heterogéneo y la eficacia de la difusión de los mismos.  </w:t>
      </w:r>
    </w:p>
    <w:p w:rsidR="000E3B25" w:rsidRPr="00AD1E8B" w:rsidRDefault="000E3B25" w:rsidP="000E3B25">
      <w:pPr>
        <w:jc w:val="both"/>
        <w:rPr>
          <w:sz w:val="20"/>
          <w:lang w:val="es-ES_tradnl"/>
        </w:rPr>
      </w:pPr>
    </w:p>
    <w:p w:rsidR="000E3B25" w:rsidRPr="00AD1E8B" w:rsidRDefault="000E3B25" w:rsidP="00E17471">
      <w:pPr>
        <w:numPr>
          <w:ilvl w:val="0"/>
          <w:numId w:val="13"/>
        </w:numPr>
        <w:jc w:val="both"/>
        <w:rPr>
          <w:sz w:val="20"/>
          <w:lang w:val="es-ES_tradnl"/>
        </w:rPr>
      </w:pPr>
      <w:r w:rsidRPr="00AD1E8B">
        <w:rPr>
          <w:sz w:val="20"/>
          <w:lang w:val="es-ES_tradnl"/>
        </w:rPr>
        <w:t xml:space="preserve">La velocidad de reacción y la agilidad necesarias para seguir el ritmo de crecimiento exponencial de los nuevos medios de difusión representan un reto aún más apremiante.  Para responder con eficacia a las exigencias que plantea el actual entorno rápidamente cambiante de los medios de comunicación y explotar las oportunidades que presenta, la Secretaría habrá de desarrollar ulteriormente su base de recursos y competencias de comunicaciones, incluyendo las pericias multilingües en materia de creación de contenidos flexibles, gestión de medios sociales y productos multimedia en Internet y producción de medios. </w:t>
      </w:r>
    </w:p>
    <w:p w:rsidR="000E3B25" w:rsidRPr="00AD1E8B" w:rsidRDefault="000E3B25" w:rsidP="000E3B25">
      <w:pPr>
        <w:jc w:val="both"/>
        <w:rPr>
          <w:sz w:val="20"/>
          <w:lang w:val="es-ES_tradnl"/>
        </w:rPr>
      </w:pPr>
    </w:p>
    <w:p w:rsidR="000E3B25" w:rsidRPr="00AD1E8B" w:rsidRDefault="000E3B25" w:rsidP="00E17471">
      <w:pPr>
        <w:numPr>
          <w:ilvl w:val="0"/>
          <w:numId w:val="13"/>
        </w:numPr>
        <w:jc w:val="both"/>
        <w:rPr>
          <w:sz w:val="20"/>
          <w:lang w:val="es-ES_tradnl"/>
        </w:rPr>
      </w:pPr>
      <w:r w:rsidRPr="00AD1E8B">
        <w:rPr>
          <w:sz w:val="20"/>
          <w:lang w:val="es-ES_tradnl"/>
        </w:rPr>
        <w:t>El programa 19 atiende asimismo los crecientes llamamientos en favor de la elaboración y gestión de estrategias destinadas a mejorar la comercialización mundial de servicios y productos esenciales para los potenciales usuarios.  Ello requerirá competencias suplementarias en materia de comercialización y promoción para complementar las pericias y recursos ya existentes.</w:t>
      </w:r>
    </w:p>
    <w:p w:rsidR="000E3B25" w:rsidRPr="00AD1E8B" w:rsidRDefault="000E3B25" w:rsidP="000E3B25">
      <w:pPr>
        <w:jc w:val="both"/>
        <w:rPr>
          <w:sz w:val="20"/>
          <w:lang w:val="es-ES_tradnl"/>
        </w:rPr>
      </w:pPr>
    </w:p>
    <w:p w:rsidR="000E3B25" w:rsidRPr="00AD1E8B" w:rsidRDefault="000E3B25" w:rsidP="00E17471">
      <w:pPr>
        <w:numPr>
          <w:ilvl w:val="0"/>
          <w:numId w:val="13"/>
        </w:numPr>
        <w:jc w:val="both"/>
        <w:rPr>
          <w:sz w:val="20"/>
          <w:lang w:val="es-ES_tradnl"/>
        </w:rPr>
      </w:pPr>
      <w:r w:rsidRPr="00AD1E8B">
        <w:rPr>
          <w:sz w:val="20"/>
          <w:lang w:val="es-ES_tradnl"/>
        </w:rPr>
        <w:t>El programa 19 contribuye a los objetivos de la A.D. proporcionando asistencia técnica para "promover en particular</w:t>
      </w:r>
      <w:r w:rsidRPr="00AD1E8B">
        <w:rPr>
          <w:i/>
          <w:sz w:val="20"/>
          <w:lang w:val="es-ES_tradnl"/>
        </w:rPr>
        <w:t xml:space="preserve"> </w:t>
      </w:r>
      <w:r w:rsidRPr="00AD1E8B">
        <w:rPr>
          <w:sz w:val="20"/>
          <w:lang w:val="es-ES_tradnl"/>
        </w:rPr>
        <w:t xml:space="preserve">una cultura de P.I. orientada hacia el desarrollo, con especial énfasis sobre la presentación de la P.I. a diferentes niveles académicos y un mayor nivel de sensibilización pública hacia la P.I." (recomendación 3 de la A.D.).  Esto incluye la voluntad de atender la fuerte demanda de contenido público de información por parte de los países en desarrollo y los PMA. </w:t>
      </w:r>
    </w:p>
    <w:p w:rsidR="000E3B25" w:rsidRPr="00AD1E8B" w:rsidRDefault="000E3B25" w:rsidP="000E3B25">
      <w:pPr>
        <w:jc w:val="both"/>
        <w:rPr>
          <w:sz w:val="20"/>
          <w:lang w:val="es-ES_tradnl"/>
        </w:rPr>
      </w:pPr>
    </w:p>
    <w:p w:rsidR="000E3B25" w:rsidRPr="00AD1E8B" w:rsidRDefault="000E3B25" w:rsidP="00E17471">
      <w:pPr>
        <w:numPr>
          <w:ilvl w:val="0"/>
          <w:numId w:val="13"/>
        </w:numPr>
        <w:jc w:val="both"/>
        <w:rPr>
          <w:sz w:val="20"/>
          <w:lang w:val="es-ES_tradnl"/>
        </w:rPr>
      </w:pPr>
      <w:r w:rsidRPr="00AD1E8B">
        <w:rPr>
          <w:sz w:val="20"/>
          <w:lang w:val="es-ES_tradnl"/>
        </w:rPr>
        <w:t>La comunicación es un elemento esencial de la prestación de servicios internos y externos.  La OMPI debe esforzarse por comprender mejor las necesidades y expectativas de sus numerosas partes interesadas y continuar edificando sobre los cimientos asentados durante el pasado bienio para promover una cultura orientada hacia el servicio y sustentada por una infraestructura técnica perfeccionada.</w:t>
      </w:r>
    </w:p>
    <w:p w:rsidR="000E3B25" w:rsidRPr="00AD1E8B" w:rsidRDefault="000E3B25" w:rsidP="000E3B25">
      <w:pPr>
        <w:tabs>
          <w:tab w:val="num" w:pos="709"/>
        </w:tabs>
        <w:ind w:left="1140" w:hanging="1140"/>
        <w:jc w:val="both"/>
        <w:rPr>
          <w:bCs/>
          <w:sz w:val="20"/>
          <w:lang w:val="es-ES_tradnl"/>
        </w:rPr>
      </w:pPr>
    </w:p>
    <w:p w:rsidR="000E3B25" w:rsidRPr="00AD1E8B" w:rsidRDefault="000E3B25" w:rsidP="000E3B25">
      <w:pPr>
        <w:tabs>
          <w:tab w:val="num" w:pos="709"/>
        </w:tabs>
        <w:ind w:left="1140" w:hanging="1140"/>
        <w:jc w:val="both"/>
        <w:rPr>
          <w:sz w:val="20"/>
          <w:lang w:val="es-ES_tradnl"/>
        </w:rPr>
      </w:pPr>
    </w:p>
    <w:p w:rsidR="000E3B25" w:rsidRPr="00AD1E8B" w:rsidRDefault="00BC1471" w:rsidP="000E3B25">
      <w:pPr>
        <w:jc w:val="both"/>
        <w:rPr>
          <w:szCs w:val="24"/>
          <w:lang w:val="es-ES_tradnl"/>
        </w:rPr>
      </w:pPr>
      <w:r>
        <w:rPr>
          <w:lang w:val="es-ES_tradnl"/>
        </w:rPr>
        <w:t xml:space="preserve">ESTRATEGIAS </w:t>
      </w:r>
      <w:r w:rsidR="000E3B25" w:rsidRPr="00AD1E8B">
        <w:rPr>
          <w:lang w:val="es-ES_tradnl"/>
        </w:rPr>
        <w:t>DE EJECUCIÓN</w:t>
      </w:r>
    </w:p>
    <w:p w:rsidR="000E3B25" w:rsidRPr="00AD1E8B" w:rsidRDefault="000E3B25" w:rsidP="000E3B25">
      <w:pPr>
        <w:tabs>
          <w:tab w:val="num" w:pos="709"/>
        </w:tabs>
        <w:jc w:val="both"/>
        <w:rPr>
          <w:sz w:val="20"/>
          <w:szCs w:val="18"/>
          <w:lang w:val="es-ES_tradnl"/>
        </w:rPr>
      </w:pPr>
    </w:p>
    <w:p w:rsidR="000E3B25" w:rsidRPr="00AD1E8B" w:rsidRDefault="000E3B25" w:rsidP="00E17471">
      <w:pPr>
        <w:numPr>
          <w:ilvl w:val="0"/>
          <w:numId w:val="13"/>
        </w:numPr>
        <w:jc w:val="both"/>
        <w:rPr>
          <w:sz w:val="20"/>
          <w:lang w:val="es-ES_tradnl"/>
        </w:rPr>
      </w:pPr>
      <w:r w:rsidRPr="00AD1E8B">
        <w:rPr>
          <w:sz w:val="20"/>
          <w:lang w:val="es-ES_tradnl"/>
        </w:rPr>
        <w:t xml:space="preserve">La labor del programa 19 en 2014/15 debería dar lugar a una comunicación más eficaz en torno a la P.I. y a la función propia de la OMPI.  La calidad de la contribución realizada por el programa se reflejará en un consumo acrecentado de contenido público de información, incluyendo publicaciones, videos, imágenes, materiales de prensa y recursos basados en la Web, así como en una mayor participación de las partes interesadas en nuestras plataformas de medios sociales y en las actividades del Día </w:t>
      </w:r>
      <w:r>
        <w:rPr>
          <w:sz w:val="20"/>
          <w:lang w:val="es-ES_tradnl"/>
        </w:rPr>
        <w:t>m</w:t>
      </w:r>
      <w:r w:rsidRPr="00AD1E8B">
        <w:rPr>
          <w:sz w:val="20"/>
          <w:lang w:val="es-ES_tradnl"/>
        </w:rPr>
        <w:t xml:space="preserve">undial de la </w:t>
      </w:r>
      <w:r>
        <w:rPr>
          <w:sz w:val="20"/>
          <w:lang w:val="es-ES_tradnl"/>
        </w:rPr>
        <w:t>p</w:t>
      </w:r>
      <w:r w:rsidRPr="00AD1E8B">
        <w:rPr>
          <w:sz w:val="20"/>
          <w:lang w:val="es-ES_tradnl"/>
        </w:rPr>
        <w:t xml:space="preserve">ropiedad </w:t>
      </w:r>
      <w:r>
        <w:rPr>
          <w:sz w:val="20"/>
          <w:lang w:val="es-ES_tradnl"/>
        </w:rPr>
        <w:t>i</w:t>
      </w:r>
      <w:r w:rsidRPr="00AD1E8B">
        <w:rPr>
          <w:sz w:val="20"/>
          <w:lang w:val="es-ES_tradnl"/>
        </w:rPr>
        <w:t xml:space="preserve">ntelectual.  Una comunicación acertada repercutirá además en una </w:t>
      </w:r>
      <w:r w:rsidRPr="00AD1E8B">
        <w:rPr>
          <w:sz w:val="20"/>
          <w:lang w:val="es-ES_tradnl"/>
        </w:rPr>
        <w:lastRenderedPageBreak/>
        <w:t>mayor visibilidad en los medios internacionales y en una mejor aceptación por parte de las partes interesadas.  La mayor rapidez de la Secretaría de la OMPI para atender las consultas externas se reflejará en el aumento del índice de satisfacción de las partes interesadas.</w:t>
      </w:r>
    </w:p>
    <w:p w:rsidR="000E3B25" w:rsidRPr="00AD1E8B" w:rsidRDefault="000E3B25" w:rsidP="000E3B25">
      <w:pPr>
        <w:jc w:val="both"/>
        <w:rPr>
          <w:sz w:val="20"/>
          <w:lang w:val="es-ES_tradnl"/>
        </w:rPr>
      </w:pPr>
    </w:p>
    <w:p w:rsidR="000E3B25" w:rsidRPr="00AD1E8B" w:rsidRDefault="000E3B25" w:rsidP="00E17471">
      <w:pPr>
        <w:numPr>
          <w:ilvl w:val="0"/>
          <w:numId w:val="13"/>
        </w:numPr>
        <w:jc w:val="both"/>
        <w:rPr>
          <w:sz w:val="20"/>
          <w:lang w:val="es-ES_tradnl"/>
        </w:rPr>
      </w:pPr>
      <w:r w:rsidRPr="00AD1E8B">
        <w:rPr>
          <w:sz w:val="20"/>
          <w:lang w:val="es-ES_tradnl"/>
        </w:rPr>
        <w:t>En consonancia con la pauta señalada en el marco general del Plan Estratégico a Mediano Plazo (meta estratégica VIII), las estrategias aplicadas por el programa 19 en orden a la obtención de dichos resultados continuarán incluyendo los siguientes elementos:</w:t>
      </w:r>
    </w:p>
    <w:p w:rsidR="000E3B25" w:rsidRPr="00AD1E8B" w:rsidRDefault="000E3B25" w:rsidP="000E3B25">
      <w:pPr>
        <w:jc w:val="both"/>
        <w:rPr>
          <w:sz w:val="20"/>
          <w:lang w:val="es-ES_tradnl"/>
        </w:rPr>
      </w:pPr>
    </w:p>
    <w:p w:rsidR="000E3B25" w:rsidRPr="00AD1E8B" w:rsidRDefault="000E3B25" w:rsidP="000E3B25">
      <w:pPr>
        <w:tabs>
          <w:tab w:val="left" w:pos="1100"/>
        </w:tabs>
        <w:ind w:left="550"/>
        <w:jc w:val="both"/>
        <w:rPr>
          <w:sz w:val="20"/>
          <w:lang w:val="es-ES_tradnl"/>
        </w:rPr>
      </w:pPr>
      <w:r w:rsidRPr="00AD1E8B">
        <w:rPr>
          <w:iCs/>
          <w:sz w:val="20"/>
          <w:lang w:val="es-ES_tradnl"/>
        </w:rPr>
        <w:t>i)</w:t>
      </w:r>
      <w:r w:rsidRPr="00AD1E8B">
        <w:rPr>
          <w:i/>
          <w:iCs/>
          <w:sz w:val="20"/>
          <w:lang w:val="es-ES_tradnl"/>
        </w:rPr>
        <w:tab/>
        <w:t>Coordinación interna.</w:t>
      </w:r>
      <w:r w:rsidRPr="00AD1E8B">
        <w:rPr>
          <w:iCs/>
          <w:sz w:val="20"/>
          <w:lang w:val="es-ES_tradnl"/>
        </w:rPr>
        <w:t xml:space="preserve">  Se continuará fomentando en toda la Organización un enfoque estratégico de las comunicaciones, apoyado por una coordinación intersectorial más sistemática.  El programa </w:t>
      </w:r>
      <w:r w:rsidRPr="00AD1E8B">
        <w:rPr>
          <w:sz w:val="20"/>
          <w:lang w:val="es-ES_tradnl"/>
        </w:rPr>
        <w:t>19 lanzará iniciativas encaminadas a promover una mejor comunicación y secundará los esfuerzos tendentes a estimular más comunicación horizontal e intercambio de información en toda la Organización.  Esto es necesario para conseguir que el personal se identifique con las iniciativas destinadas a producir cambios culturales.</w:t>
      </w:r>
    </w:p>
    <w:p w:rsidR="000E3B25" w:rsidRPr="00AD1E8B" w:rsidRDefault="000E3B25" w:rsidP="000E3B25">
      <w:pPr>
        <w:jc w:val="both"/>
        <w:rPr>
          <w:sz w:val="20"/>
          <w:lang w:val="es-ES_tradnl"/>
        </w:rPr>
      </w:pPr>
    </w:p>
    <w:p w:rsidR="000E3B25" w:rsidRPr="00AD1E8B" w:rsidRDefault="000E3B25" w:rsidP="000E3B25">
      <w:pPr>
        <w:tabs>
          <w:tab w:val="left" w:pos="1100"/>
        </w:tabs>
        <w:ind w:left="550"/>
        <w:jc w:val="both"/>
        <w:rPr>
          <w:sz w:val="20"/>
          <w:lang w:val="es-ES_tradnl"/>
        </w:rPr>
      </w:pPr>
      <w:r w:rsidRPr="000E3B25">
        <w:rPr>
          <w:iCs/>
          <w:sz w:val="20"/>
          <w:lang w:val="es-ES_tradnl"/>
        </w:rPr>
        <w:t>ii)</w:t>
      </w:r>
      <w:r w:rsidRPr="000E3B25">
        <w:rPr>
          <w:iCs/>
          <w:sz w:val="20"/>
          <w:lang w:val="es-ES_tradnl"/>
        </w:rPr>
        <w:tab/>
      </w:r>
      <w:r w:rsidRPr="00AD1E8B">
        <w:rPr>
          <w:i/>
          <w:iCs/>
          <w:sz w:val="20"/>
          <w:lang w:val="es-ES_tradnl"/>
        </w:rPr>
        <w:t xml:space="preserve">Asignación de prioridades y diferenciación. </w:t>
      </w:r>
      <w:r w:rsidRPr="00AD1E8B">
        <w:rPr>
          <w:iCs/>
          <w:sz w:val="20"/>
          <w:lang w:val="es-ES_tradnl"/>
        </w:rPr>
        <w:t xml:space="preserve">Cada año, </w:t>
      </w:r>
      <w:r w:rsidRPr="00AD1E8B">
        <w:rPr>
          <w:i/>
          <w:iCs/>
          <w:sz w:val="20"/>
          <w:lang w:val="es-ES_tradnl"/>
        </w:rPr>
        <w:t xml:space="preserve"> </w:t>
      </w:r>
      <w:r w:rsidRPr="00AD1E8B">
        <w:rPr>
          <w:iCs/>
          <w:sz w:val="20"/>
          <w:lang w:val="es-ES_tradnl"/>
        </w:rPr>
        <w:t>un número limitado de eventos, productos y logros importantes de la OMPI serán identificados como las principales comunicaciones y prioridades de comercialización con la mira de movilizar e integrar los recursos disponibles para maximizar la repercusión en los grupos destinatarios.</w:t>
      </w:r>
    </w:p>
    <w:p w:rsidR="000E3B25" w:rsidRPr="00AD1E8B" w:rsidRDefault="000E3B25" w:rsidP="000E3B25">
      <w:pPr>
        <w:jc w:val="both"/>
        <w:rPr>
          <w:i/>
          <w:sz w:val="20"/>
          <w:lang w:val="es-ES_tradnl"/>
        </w:rPr>
      </w:pPr>
    </w:p>
    <w:p w:rsidR="000E3B25" w:rsidRPr="00AD1E8B" w:rsidRDefault="000E3B25" w:rsidP="000E3B25">
      <w:pPr>
        <w:tabs>
          <w:tab w:val="left" w:pos="1100"/>
        </w:tabs>
        <w:ind w:left="550"/>
        <w:jc w:val="both"/>
        <w:rPr>
          <w:sz w:val="20"/>
          <w:lang w:val="es-ES_tradnl"/>
        </w:rPr>
      </w:pPr>
      <w:r w:rsidRPr="00AD1E8B">
        <w:rPr>
          <w:sz w:val="20"/>
          <w:lang w:val="es-ES_tradnl"/>
        </w:rPr>
        <w:t>iii)</w:t>
      </w:r>
      <w:r w:rsidRPr="00AD1E8B">
        <w:rPr>
          <w:sz w:val="20"/>
          <w:lang w:val="es-ES_tradnl"/>
        </w:rPr>
        <w:tab/>
      </w:r>
      <w:r w:rsidRPr="00AD1E8B">
        <w:rPr>
          <w:i/>
          <w:sz w:val="20"/>
          <w:lang w:val="es-ES_tradnl"/>
        </w:rPr>
        <w:t xml:space="preserve"> Contenidos de calidad</w:t>
      </w:r>
      <w:r w:rsidRPr="00AD1E8B">
        <w:rPr>
          <w:i/>
          <w:iCs/>
          <w:sz w:val="20"/>
          <w:lang w:val="es-ES_tradnl"/>
        </w:rPr>
        <w:t xml:space="preserve">.  </w:t>
      </w:r>
      <w:r w:rsidRPr="00AD1E8B">
        <w:rPr>
          <w:iCs/>
          <w:sz w:val="20"/>
          <w:lang w:val="es-ES_tradnl"/>
        </w:rPr>
        <w:t>Los contenidos de elevado valor (p. ej. los prestigiosos análisis estadísticos y económicos de la OMPI)</w:t>
      </w:r>
      <w:r w:rsidRPr="00AD1E8B">
        <w:rPr>
          <w:sz w:val="20"/>
          <w:lang w:val="es-ES_tradnl"/>
        </w:rPr>
        <w:t xml:space="preserve"> – recibirán prioridad y serán vigorosamente promovidos para maximizar su repercusión, incluyendo un mayor uso de infografías de calidad destinadas a comunicar datos complejos mediante visualización.  La Junta de </w:t>
      </w:r>
      <w:r w:rsidR="003B22A3">
        <w:rPr>
          <w:sz w:val="20"/>
          <w:lang w:val="es-ES_tradnl"/>
        </w:rPr>
        <w:t>P</w:t>
      </w:r>
      <w:r w:rsidR="003B22A3" w:rsidRPr="00AD1E8B">
        <w:rPr>
          <w:sz w:val="20"/>
          <w:lang w:val="es-ES_tradnl"/>
        </w:rPr>
        <w:t xml:space="preserve">ublicaciones </w:t>
      </w:r>
      <w:r w:rsidRPr="00AD1E8B">
        <w:rPr>
          <w:sz w:val="20"/>
          <w:lang w:val="es-ES_tradnl"/>
        </w:rPr>
        <w:t xml:space="preserve">y el nuevo procedimiento de publicación velarán por que sea atribuida la primacía, no a la cantidad, sino a la calidad y a la satisfacción de las necesidades identificadas.  Los datos escuetos serán complementados mediante estudios de casos y experiencias positivas de amena lectura, por ejemplo en la Revista de la OMPI o en la base de datos </w:t>
      </w:r>
      <w:r w:rsidRPr="00F50540">
        <w:rPr>
          <w:i/>
          <w:iCs/>
          <w:sz w:val="20"/>
          <w:lang w:val="es-ES_tradnl"/>
        </w:rPr>
        <w:t>IP Advantage</w:t>
      </w:r>
      <w:r w:rsidRPr="00AD1E8B">
        <w:rPr>
          <w:iCs/>
          <w:sz w:val="20"/>
          <w:lang w:val="es-ES_tradnl"/>
        </w:rPr>
        <w:t>.  Se hará un uso más nutrido de imágenes fotográficas originales y de diseño gráfico para aumentar el impacto visual y la inmediatez de las comunicaciones de la OMPI.  También se explotará la avidez mundial de contenidos de video mediante la producción de entrevistas, noticiarios, documentales y otros videos explicativos de la labor y los productos de la OMPI.  Seguirán suministrándose materiales de información pública y herramientas a utilizar por los Estados miembros en actividades de sensibilización en coordinación con el programa 17 (Cultivar el respeto por la P.I.), incluyendo la base de datos de las campañas de divulgación y el programa de Biblioteca Depositaria de la OMPI.</w:t>
      </w:r>
      <w:r w:rsidRPr="00AD1E8B">
        <w:rPr>
          <w:sz w:val="20"/>
          <w:lang w:val="es-ES_tradnl"/>
        </w:rPr>
        <w:t xml:space="preserve"> </w:t>
      </w:r>
    </w:p>
    <w:p w:rsidR="000E3B25" w:rsidRPr="00AD1E8B" w:rsidRDefault="000E3B25" w:rsidP="000E3B25">
      <w:pPr>
        <w:jc w:val="both"/>
        <w:rPr>
          <w:sz w:val="20"/>
          <w:lang w:val="es-ES_tradnl"/>
        </w:rPr>
      </w:pPr>
    </w:p>
    <w:p w:rsidR="000E3B25" w:rsidRPr="00AD1E8B" w:rsidRDefault="000E3B25" w:rsidP="000E3B25">
      <w:pPr>
        <w:tabs>
          <w:tab w:val="left" w:pos="1100"/>
        </w:tabs>
        <w:ind w:left="550"/>
        <w:jc w:val="both"/>
        <w:rPr>
          <w:sz w:val="20"/>
          <w:lang w:val="es-ES_tradnl"/>
        </w:rPr>
      </w:pPr>
      <w:r w:rsidRPr="00AD1E8B">
        <w:rPr>
          <w:sz w:val="20"/>
          <w:lang w:val="es-ES_tradnl"/>
        </w:rPr>
        <w:t>iv)</w:t>
      </w:r>
      <w:r w:rsidRPr="00AD1E8B">
        <w:rPr>
          <w:sz w:val="20"/>
          <w:lang w:val="es-ES_tradnl"/>
        </w:rPr>
        <w:tab/>
        <w:t xml:space="preserve"> </w:t>
      </w:r>
      <w:r w:rsidRPr="00AD1E8B">
        <w:rPr>
          <w:i/>
          <w:sz w:val="20"/>
          <w:lang w:val="es-ES_tradnl"/>
        </w:rPr>
        <w:t>Suministro y acceso mejorados</w:t>
      </w:r>
      <w:r w:rsidRPr="00AD1E8B">
        <w:rPr>
          <w:i/>
          <w:iCs/>
          <w:sz w:val="20"/>
          <w:lang w:val="es-ES_tradnl"/>
        </w:rPr>
        <w:t xml:space="preserve">.  </w:t>
      </w:r>
      <w:r w:rsidRPr="00AD1E8B">
        <w:rPr>
          <w:iCs/>
          <w:sz w:val="20"/>
          <w:lang w:val="es-ES_tradnl"/>
        </w:rPr>
        <w:t xml:space="preserve">El contenido será suministrado a través de canales de comunicaciones distintos y diferenciados al objeto de llegar a grupos destinatarios nuevos (y especializados).  La posibilidad, ofrecida a la OMPI por los medios sociales, de interactuar directamente con los sectores interesados se verá potenciada gracias a </w:t>
      </w:r>
      <w:r w:rsidRPr="00AD1E8B">
        <w:rPr>
          <w:sz w:val="20"/>
          <w:lang w:val="es-ES_tradnl"/>
        </w:rPr>
        <w:t xml:space="preserve">Twitter, Facebook, Flickr, YouTube, Scribd u otras plataformas, según los casos;  y continuará el desarrollo de la versión interactiva en línea de la Revista de la OMPI.  Tras la ambiciosa reestructuración y rediseño de la página Web de la OMPI en 2012/13 se continuará aplicando estrategias  destinadas a aumentar la satisfacción de los usuarios y la presentación de contenidos Web.  La decisión de política en favor del acceso abierto, en cuya virtud todas las publicaciones de la OMPI se ponen gratuitamente a disposición del público en línea, se complementará con el ulterior desarrollo de la manejable e-plataforma que permite la búsqueda de textos íntegros para publicaciones y estudios (la e-colección de la OMPI).  </w:t>
      </w:r>
    </w:p>
    <w:p w:rsidR="000E3B25" w:rsidRPr="00AD1E8B" w:rsidRDefault="000E3B25" w:rsidP="000E3B25">
      <w:pPr>
        <w:jc w:val="both"/>
        <w:rPr>
          <w:sz w:val="20"/>
          <w:lang w:val="es-ES_tradnl"/>
        </w:rPr>
      </w:pPr>
    </w:p>
    <w:p w:rsidR="000E3B25" w:rsidRPr="00AD1E8B" w:rsidRDefault="000E3B25" w:rsidP="000E3B25">
      <w:pPr>
        <w:tabs>
          <w:tab w:val="left" w:pos="1100"/>
        </w:tabs>
        <w:ind w:left="550"/>
        <w:jc w:val="both"/>
        <w:rPr>
          <w:i/>
          <w:sz w:val="20"/>
          <w:lang w:val="es-ES_tradnl"/>
        </w:rPr>
      </w:pPr>
      <w:r w:rsidRPr="00AD1E8B">
        <w:rPr>
          <w:sz w:val="20"/>
          <w:lang w:val="es-ES_tradnl"/>
        </w:rPr>
        <w:t>v)</w:t>
      </w:r>
      <w:r w:rsidRPr="00AD1E8B">
        <w:rPr>
          <w:sz w:val="20"/>
          <w:lang w:val="es-ES_tradnl"/>
        </w:rPr>
        <w:tab/>
      </w:r>
      <w:r w:rsidRPr="00AD1E8B">
        <w:rPr>
          <w:i/>
          <w:sz w:val="20"/>
          <w:lang w:val="es-ES_tradnl"/>
        </w:rPr>
        <w:t>Mayor visibilidad</w:t>
      </w:r>
      <w:r w:rsidRPr="00AD1E8B">
        <w:rPr>
          <w:i/>
          <w:iCs/>
          <w:sz w:val="20"/>
          <w:lang w:val="es-ES_tradnl"/>
        </w:rPr>
        <w:t xml:space="preserve">.  </w:t>
      </w:r>
      <w:r w:rsidRPr="00AD1E8B">
        <w:rPr>
          <w:iCs/>
          <w:sz w:val="20"/>
          <w:lang w:val="es-ES_tradnl"/>
        </w:rPr>
        <w:t xml:space="preserve">Además de la campaña del Día </w:t>
      </w:r>
      <w:r>
        <w:rPr>
          <w:iCs/>
          <w:sz w:val="20"/>
          <w:lang w:val="es-ES_tradnl"/>
        </w:rPr>
        <w:t>m</w:t>
      </w:r>
      <w:r w:rsidRPr="00AD1E8B">
        <w:rPr>
          <w:iCs/>
          <w:sz w:val="20"/>
          <w:lang w:val="es-ES_tradnl"/>
        </w:rPr>
        <w:t xml:space="preserve">undial de la </w:t>
      </w:r>
      <w:r>
        <w:rPr>
          <w:iCs/>
          <w:sz w:val="20"/>
          <w:lang w:val="es-ES_tradnl"/>
        </w:rPr>
        <w:t>p</w:t>
      </w:r>
      <w:r w:rsidRPr="00AD1E8B">
        <w:rPr>
          <w:iCs/>
          <w:sz w:val="20"/>
          <w:lang w:val="es-ES_tradnl"/>
        </w:rPr>
        <w:t xml:space="preserve">ropiedad </w:t>
      </w:r>
      <w:r>
        <w:rPr>
          <w:iCs/>
          <w:sz w:val="20"/>
          <w:lang w:val="es-ES_tradnl"/>
        </w:rPr>
        <w:t>i</w:t>
      </w:r>
      <w:r w:rsidRPr="00AD1E8B">
        <w:rPr>
          <w:iCs/>
          <w:sz w:val="20"/>
          <w:lang w:val="es-ES_tradnl"/>
        </w:rPr>
        <w:t xml:space="preserve">ntelectual, uno o dos nuevos eventos de gran visibilidad servirán como vehículo para comunicar con un amplio público acerca de la forma en que la OMPI pone la P.I. al servicio de la innovación.  Una corriente constante de divulgación a la prensa de opinión, los blogs y los medios en línea ayudará a posicionar a la OMPI en los medios como la fuente de referencia mundial  en cuestiones internacionales de propiedad intelectual.  Se desplegarán mayores esfuerzos para lograr la difusión de contenidos de video de la OMPI a través de las redes nacionales e internacionales de televisión.  A nivel local, la Organización interactuará también con la comunidad en el Día de </w:t>
      </w:r>
      <w:r>
        <w:rPr>
          <w:iCs/>
          <w:sz w:val="20"/>
          <w:lang w:val="es-ES_tradnl"/>
        </w:rPr>
        <w:t>p</w:t>
      </w:r>
      <w:r w:rsidRPr="00AD1E8B">
        <w:rPr>
          <w:iCs/>
          <w:sz w:val="20"/>
          <w:lang w:val="es-ES_tradnl"/>
        </w:rPr>
        <w:t xml:space="preserve">uertas </w:t>
      </w:r>
      <w:r>
        <w:rPr>
          <w:iCs/>
          <w:sz w:val="20"/>
          <w:lang w:val="es-ES_tradnl"/>
        </w:rPr>
        <w:t>a</w:t>
      </w:r>
      <w:r w:rsidRPr="00AD1E8B">
        <w:rPr>
          <w:iCs/>
          <w:sz w:val="20"/>
          <w:lang w:val="es-ES_tradnl"/>
        </w:rPr>
        <w:t>biertas y otras conmemoraciones institucionales.</w:t>
      </w:r>
    </w:p>
    <w:p w:rsidR="000E3B25" w:rsidRPr="00AD1E8B" w:rsidRDefault="000E3B25" w:rsidP="000E3B25">
      <w:pPr>
        <w:jc w:val="both"/>
        <w:rPr>
          <w:sz w:val="20"/>
          <w:lang w:val="es-ES_tradnl"/>
        </w:rPr>
      </w:pPr>
    </w:p>
    <w:p w:rsidR="000E3B25" w:rsidRPr="00AD1E8B" w:rsidRDefault="000E3B25" w:rsidP="000E3B25">
      <w:pPr>
        <w:tabs>
          <w:tab w:val="left" w:pos="1100"/>
        </w:tabs>
        <w:ind w:left="550"/>
        <w:jc w:val="both"/>
        <w:rPr>
          <w:sz w:val="20"/>
          <w:lang w:val="es-ES_tradnl"/>
        </w:rPr>
      </w:pPr>
      <w:r w:rsidRPr="00AD1E8B">
        <w:rPr>
          <w:sz w:val="20"/>
          <w:lang w:val="es-ES_tradnl"/>
        </w:rPr>
        <w:t>vi)</w:t>
      </w:r>
      <w:r w:rsidRPr="00AD1E8B">
        <w:rPr>
          <w:sz w:val="20"/>
          <w:lang w:val="es-ES_tradnl"/>
        </w:rPr>
        <w:tab/>
      </w:r>
      <w:r w:rsidRPr="00AD1E8B">
        <w:rPr>
          <w:i/>
          <w:sz w:val="20"/>
          <w:lang w:val="es-ES_tradnl"/>
        </w:rPr>
        <w:t xml:space="preserve">Fortalecimiento de la identidad institucional. </w:t>
      </w:r>
      <w:r w:rsidRPr="00AD1E8B">
        <w:rPr>
          <w:i/>
          <w:iCs/>
          <w:sz w:val="20"/>
          <w:lang w:val="es-ES_tradnl"/>
        </w:rPr>
        <w:t xml:space="preserve"> </w:t>
      </w:r>
      <w:r w:rsidRPr="00AD1E8B">
        <w:rPr>
          <w:iCs/>
          <w:sz w:val="20"/>
          <w:lang w:val="es-ES_tradnl"/>
        </w:rPr>
        <w:t xml:space="preserve">Tomando como base los trabajos realizados en 2012/13, la misión, los valores, la función y las actividades de la OMPI serán expresados de </w:t>
      </w:r>
      <w:r w:rsidRPr="00AD1E8B">
        <w:rPr>
          <w:iCs/>
          <w:sz w:val="20"/>
          <w:lang w:val="es-ES_tradnl"/>
        </w:rPr>
        <w:lastRenderedPageBreak/>
        <w:t>manera más coherente y eficaz en toda la gama de las comunicaciones externas e internas, proyectándose una identidad visual coherente para conseguir el reconocimiento positivo de la Organización.  Los miembros del personal practicarán actividades destinadas a consolidar en el plano interno una percepción común de los valores "de marca" de la OMPI.</w:t>
      </w:r>
    </w:p>
    <w:p w:rsidR="000E3B25" w:rsidRPr="00AD1E8B" w:rsidRDefault="000E3B25" w:rsidP="000E3B25">
      <w:pPr>
        <w:jc w:val="both"/>
        <w:rPr>
          <w:sz w:val="20"/>
          <w:lang w:val="es-ES_tradnl"/>
        </w:rPr>
      </w:pPr>
    </w:p>
    <w:p w:rsidR="000E3B25" w:rsidRPr="00AD1E8B" w:rsidRDefault="000E3B25" w:rsidP="000E3B25">
      <w:pPr>
        <w:tabs>
          <w:tab w:val="left" w:pos="1100"/>
        </w:tabs>
        <w:ind w:left="550"/>
        <w:jc w:val="both"/>
        <w:rPr>
          <w:sz w:val="20"/>
          <w:lang w:val="es-ES_tradnl"/>
        </w:rPr>
      </w:pPr>
      <w:r w:rsidRPr="00AD1E8B">
        <w:rPr>
          <w:sz w:val="20"/>
          <w:lang w:val="es-ES_tradnl"/>
        </w:rPr>
        <w:t>vii)</w:t>
      </w:r>
      <w:r w:rsidRPr="00AD1E8B">
        <w:rPr>
          <w:sz w:val="20"/>
          <w:lang w:val="es-ES_tradnl"/>
        </w:rPr>
        <w:tab/>
      </w:r>
      <w:r w:rsidRPr="00AD1E8B">
        <w:rPr>
          <w:i/>
          <w:sz w:val="20"/>
          <w:lang w:val="es-ES_tradnl"/>
        </w:rPr>
        <w:t>Cultura orientada hacia el servicio</w:t>
      </w:r>
      <w:r w:rsidRPr="00AD1E8B">
        <w:rPr>
          <w:sz w:val="20"/>
          <w:lang w:val="es-ES_tradnl"/>
        </w:rPr>
        <w:t>.  El programa</w:t>
      </w:r>
      <w:r w:rsidRPr="00AD1E8B">
        <w:rPr>
          <w:iCs/>
          <w:sz w:val="20"/>
          <w:lang w:val="es-ES_tradnl"/>
        </w:rPr>
        <w:t xml:space="preserve"> 19 continuará gestionando el proyecto de modo que fortalezca la cultura organizativa de servicio a los sectores interesados en la OMPI.  Esta orientación de servicio del personal será ulteriormente mejorada mediante actividades de formación y sensibilización más centradas en las expectativas exteriores.  Se supervisará la aplicación de los procedimientos operativos redefinidos y de las normas de calidad que rigen los plazos de respuesta y los servicios individuales.  Se promulgará la Carta de Servicio al Cliente y se instaurará un marco de gobernanza.</w:t>
      </w:r>
      <w:r w:rsidRPr="00AD1E8B">
        <w:rPr>
          <w:sz w:val="20"/>
          <w:lang w:val="es-ES_tradnl"/>
        </w:rPr>
        <w:t xml:space="preserve">  Se continuarán elaborando herramientas para agilizar el tratamiento de las demandas de información (base de datos central de contacto, sistemas de expedición de billetes, medición del volumen de las solicitudes de información.  El nivel de satisfacción de los sectores interesados será sistemáticamente supervisado mediante encuestas.</w:t>
      </w:r>
    </w:p>
    <w:p w:rsidR="000E3B25" w:rsidRPr="00AD1E8B" w:rsidRDefault="000E3B25" w:rsidP="000E3B25">
      <w:pPr>
        <w:tabs>
          <w:tab w:val="num" w:pos="709"/>
        </w:tabs>
        <w:jc w:val="both"/>
        <w:rPr>
          <w:bCs/>
          <w:sz w:val="20"/>
          <w:lang w:val="es-ES_tradnl"/>
        </w:rPr>
      </w:pPr>
    </w:p>
    <w:p w:rsidR="000E3B25" w:rsidRDefault="000E3B25" w:rsidP="006F7F41">
      <w:pPr>
        <w:jc w:val="both"/>
        <w:rPr>
          <w:lang w:val="es-ES_tradnl"/>
        </w:rPr>
      </w:pPr>
    </w:p>
    <w:p w:rsidR="006F7F41" w:rsidRPr="00C75C7E" w:rsidRDefault="006F7F41" w:rsidP="006F7F41">
      <w:pPr>
        <w:jc w:val="both"/>
        <w:rPr>
          <w:lang w:val="es-ES_tradnl"/>
        </w:rPr>
      </w:pPr>
      <w:r w:rsidRPr="00C75C7E">
        <w:rPr>
          <w:lang w:val="es-ES_tradnl"/>
        </w:rPr>
        <w:t>PRINCIPALES RIESGOS Y ESTRATEGIAS DE MITIGACIÓN</w:t>
      </w:r>
    </w:p>
    <w:p w:rsidR="006F7F41" w:rsidRPr="00C75C7E" w:rsidRDefault="006F7F41" w:rsidP="006F7F41">
      <w:pPr>
        <w:tabs>
          <w:tab w:val="num" w:pos="709"/>
        </w:tabs>
        <w:jc w:val="both"/>
        <w:rPr>
          <w:sz w:val="20"/>
          <w:lang w:val="es-ES_tradnl"/>
        </w:rPr>
      </w:pPr>
    </w:p>
    <w:tbl>
      <w:tblPr>
        <w:tblW w:w="9439"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820"/>
        <w:gridCol w:w="4619"/>
      </w:tblGrid>
      <w:tr w:rsidR="006F7F41" w:rsidRPr="00C75C7E" w:rsidTr="00542C2B">
        <w:trPr>
          <w:trHeight w:val="402"/>
          <w:tblHeader/>
        </w:trPr>
        <w:tc>
          <w:tcPr>
            <w:tcW w:w="4820" w:type="dxa"/>
            <w:tcBorders>
              <w:top w:val="single" w:sz="4" w:space="0" w:color="auto"/>
              <w:bottom w:val="single" w:sz="4" w:space="0" w:color="auto"/>
            </w:tcBorders>
            <w:shd w:val="clear" w:color="auto" w:fill="CCFFFF"/>
            <w:tcMar>
              <w:top w:w="113" w:type="dxa"/>
              <w:bottom w:w="85" w:type="dxa"/>
            </w:tcMar>
            <w:vAlign w:val="center"/>
          </w:tcPr>
          <w:p w:rsidR="006F7F41" w:rsidRPr="00C75C7E" w:rsidRDefault="006F7F41" w:rsidP="006F7F41">
            <w:pPr>
              <w:autoSpaceDE w:val="0"/>
              <w:autoSpaceDN w:val="0"/>
              <w:adjustRightInd w:val="0"/>
              <w:ind w:right="-59"/>
              <w:jc w:val="center"/>
              <w:rPr>
                <w:b/>
                <w:bCs/>
                <w:sz w:val="18"/>
                <w:szCs w:val="18"/>
                <w:lang w:val="es-ES_tradnl"/>
              </w:rPr>
            </w:pPr>
            <w:r w:rsidRPr="00C75C7E">
              <w:rPr>
                <w:b/>
                <w:bCs/>
                <w:sz w:val="18"/>
                <w:szCs w:val="18"/>
                <w:lang w:val="es-ES_tradnl"/>
              </w:rPr>
              <w:t>Riesgos en el logro de los resultados del programa</w:t>
            </w:r>
          </w:p>
        </w:tc>
        <w:tc>
          <w:tcPr>
            <w:tcW w:w="4619" w:type="dxa"/>
            <w:tcBorders>
              <w:top w:val="single" w:sz="4" w:space="0" w:color="auto"/>
              <w:bottom w:val="single" w:sz="4" w:space="0" w:color="auto"/>
            </w:tcBorders>
            <w:shd w:val="clear" w:color="auto" w:fill="CCFFFF"/>
            <w:tcMar>
              <w:top w:w="113" w:type="dxa"/>
              <w:bottom w:w="85" w:type="dxa"/>
            </w:tcMar>
            <w:vAlign w:val="center"/>
          </w:tcPr>
          <w:p w:rsidR="006F7F41" w:rsidRPr="00C75C7E" w:rsidRDefault="006F7F41" w:rsidP="006F7F41">
            <w:pPr>
              <w:autoSpaceDE w:val="0"/>
              <w:autoSpaceDN w:val="0"/>
              <w:adjustRightInd w:val="0"/>
              <w:ind w:right="-59"/>
              <w:jc w:val="center"/>
              <w:rPr>
                <w:b/>
                <w:bCs/>
                <w:sz w:val="18"/>
                <w:szCs w:val="18"/>
                <w:lang w:val="es-ES_tradnl"/>
              </w:rPr>
            </w:pPr>
            <w:r w:rsidRPr="00C75C7E">
              <w:rPr>
                <w:b/>
                <w:bCs/>
                <w:sz w:val="18"/>
                <w:szCs w:val="18"/>
                <w:lang w:val="es-ES_tradnl"/>
              </w:rPr>
              <w:t xml:space="preserve">Planes de mitigación ejecutados o en ejecución </w:t>
            </w:r>
          </w:p>
        </w:tc>
      </w:tr>
      <w:tr w:rsidR="006F7F41" w:rsidRPr="00C75C7E" w:rsidTr="00542C2B">
        <w:trPr>
          <w:trHeight w:val="782"/>
        </w:trPr>
        <w:tc>
          <w:tcPr>
            <w:tcW w:w="4820" w:type="dxa"/>
            <w:tcBorders>
              <w:top w:val="single" w:sz="4" w:space="0" w:color="auto"/>
            </w:tcBorders>
            <w:shd w:val="clear" w:color="auto" w:fill="auto"/>
            <w:tcMar>
              <w:top w:w="113" w:type="dxa"/>
              <w:bottom w:w="85" w:type="dxa"/>
            </w:tcMar>
          </w:tcPr>
          <w:p w:rsidR="006F7F41" w:rsidRPr="00C75C7E" w:rsidRDefault="006F7F41" w:rsidP="006F7F41">
            <w:pPr>
              <w:autoSpaceDE w:val="0"/>
              <w:autoSpaceDN w:val="0"/>
              <w:adjustRightInd w:val="0"/>
              <w:ind w:right="-59"/>
              <w:rPr>
                <w:sz w:val="16"/>
                <w:szCs w:val="16"/>
                <w:lang w:val="es-ES_tradnl"/>
              </w:rPr>
            </w:pPr>
            <w:r w:rsidRPr="00C75C7E">
              <w:rPr>
                <w:sz w:val="16"/>
                <w:szCs w:val="16"/>
                <w:lang w:val="es-ES_tradnl"/>
              </w:rPr>
              <w:t>La proliferación de nuevas demandas impide que el programa alcance el grado de especialización y los efectos necesarios para lograr una comunicación eficaz.</w:t>
            </w:r>
          </w:p>
        </w:tc>
        <w:tc>
          <w:tcPr>
            <w:tcW w:w="4619" w:type="dxa"/>
            <w:tcBorders>
              <w:top w:val="single" w:sz="4" w:space="0" w:color="auto"/>
            </w:tcBorders>
            <w:shd w:val="clear" w:color="auto" w:fill="auto"/>
            <w:tcMar>
              <w:top w:w="113" w:type="dxa"/>
              <w:bottom w:w="85" w:type="dxa"/>
            </w:tcMar>
          </w:tcPr>
          <w:p w:rsidR="006F7F41" w:rsidRPr="00C75C7E" w:rsidRDefault="006F7F41" w:rsidP="006F7F41">
            <w:pPr>
              <w:autoSpaceDE w:val="0"/>
              <w:autoSpaceDN w:val="0"/>
              <w:adjustRightInd w:val="0"/>
              <w:ind w:right="-59"/>
              <w:rPr>
                <w:sz w:val="16"/>
                <w:szCs w:val="16"/>
                <w:lang w:val="es-ES_tradnl"/>
              </w:rPr>
            </w:pPr>
            <w:r w:rsidRPr="00C75C7E">
              <w:rPr>
                <w:sz w:val="16"/>
                <w:szCs w:val="16"/>
                <w:lang w:val="es-ES_tradnl"/>
              </w:rPr>
              <w:t xml:space="preserve">Cada año se señalará un número limitado de grandes actos/productos/logros de la OMPI como prioridades máximas acordadas con miras a su promoción y comercialización.  </w:t>
            </w:r>
          </w:p>
        </w:tc>
      </w:tr>
      <w:tr w:rsidR="006F7F41" w:rsidRPr="00C75C7E" w:rsidTr="00542C2B">
        <w:trPr>
          <w:trHeight w:val="961"/>
        </w:trPr>
        <w:tc>
          <w:tcPr>
            <w:tcW w:w="4820" w:type="dxa"/>
            <w:shd w:val="clear" w:color="auto" w:fill="auto"/>
            <w:tcMar>
              <w:top w:w="113" w:type="dxa"/>
              <w:bottom w:w="85" w:type="dxa"/>
            </w:tcMar>
          </w:tcPr>
          <w:p w:rsidR="006F7F41" w:rsidRPr="00C75C7E" w:rsidRDefault="006F7F41" w:rsidP="006F7F41">
            <w:pPr>
              <w:autoSpaceDE w:val="0"/>
              <w:autoSpaceDN w:val="0"/>
              <w:adjustRightInd w:val="0"/>
              <w:ind w:right="-59"/>
              <w:rPr>
                <w:sz w:val="16"/>
                <w:szCs w:val="16"/>
                <w:lang w:val="es-ES_tradnl"/>
              </w:rPr>
            </w:pPr>
            <w:r w:rsidRPr="00C75C7E">
              <w:rPr>
                <w:sz w:val="16"/>
                <w:szCs w:val="16"/>
                <w:lang w:val="es-ES_tradnl"/>
              </w:rPr>
              <w:t xml:space="preserve">La OMPI no consigue evolucionar al ritmo de los cambios tecnológicos y, por tanto, pierde visibilidad e influencia en el entorno de la comunicación digital. </w:t>
            </w:r>
          </w:p>
        </w:tc>
        <w:tc>
          <w:tcPr>
            <w:tcW w:w="4619" w:type="dxa"/>
            <w:shd w:val="clear" w:color="auto" w:fill="auto"/>
            <w:tcMar>
              <w:top w:w="113" w:type="dxa"/>
              <w:bottom w:w="85" w:type="dxa"/>
            </w:tcMar>
          </w:tcPr>
          <w:p w:rsidR="006F7F41" w:rsidRPr="00C75C7E" w:rsidRDefault="006F7F41" w:rsidP="006F7F41">
            <w:pPr>
              <w:autoSpaceDE w:val="0"/>
              <w:autoSpaceDN w:val="0"/>
              <w:adjustRightInd w:val="0"/>
              <w:ind w:right="-59"/>
              <w:rPr>
                <w:sz w:val="16"/>
                <w:szCs w:val="16"/>
                <w:lang w:val="es-ES_tradnl"/>
              </w:rPr>
            </w:pPr>
            <w:r w:rsidRPr="00C75C7E">
              <w:rPr>
                <w:sz w:val="16"/>
                <w:szCs w:val="16"/>
                <w:lang w:val="es-ES_tradnl"/>
              </w:rPr>
              <w:t>Se alienta al personal que trabaja en este programa a que adquiera continuamente competencias nuevas y actualice sus conocimientos mediante la formación y el autoaprendizaje.  Las estructuras flexibles permiten compartir los nuevos conocimientos y competencias.  Se están usando las alianzas y los recursos externos con objeto de ampliar la capacidad interna de la OMPI.</w:t>
            </w:r>
          </w:p>
        </w:tc>
      </w:tr>
    </w:tbl>
    <w:p w:rsidR="006F7F41" w:rsidRPr="00C75C7E" w:rsidRDefault="006F7F41" w:rsidP="006F7F41">
      <w:pPr>
        <w:rPr>
          <w:lang w:val="es-ES_tradnl"/>
        </w:rPr>
      </w:pPr>
    </w:p>
    <w:p w:rsidR="006F7F41" w:rsidRPr="00C75C7E" w:rsidRDefault="006F7F41" w:rsidP="006F7F41">
      <w:pPr>
        <w:widowControl w:val="0"/>
        <w:jc w:val="both"/>
        <w:rPr>
          <w:sz w:val="20"/>
          <w:lang w:val="es-ES_tradnl"/>
        </w:rPr>
      </w:pPr>
    </w:p>
    <w:p w:rsidR="006F7F41" w:rsidRPr="00C75C7E" w:rsidRDefault="006F7F41" w:rsidP="006F7F41">
      <w:pPr>
        <w:rPr>
          <w:szCs w:val="22"/>
          <w:lang w:val="es-ES_tradnl"/>
        </w:rPr>
      </w:pPr>
      <w:r w:rsidRPr="00C75C7E">
        <w:rPr>
          <w:szCs w:val="22"/>
          <w:lang w:val="es-ES_tradnl"/>
        </w:rPr>
        <w:t>MARCO DE RESULTADOS</w:t>
      </w:r>
    </w:p>
    <w:p w:rsidR="006F7F41" w:rsidRPr="00C75C7E" w:rsidRDefault="006F7F41" w:rsidP="006F7F41">
      <w:pPr>
        <w:rPr>
          <w:szCs w:val="22"/>
          <w:lang w:val="es-ES_tradnl"/>
        </w:rPr>
      </w:pPr>
    </w:p>
    <w:tbl>
      <w:tblPr>
        <w:tblW w:w="4914"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349"/>
        <w:gridCol w:w="2848"/>
        <w:gridCol w:w="2175"/>
        <w:gridCol w:w="2034"/>
      </w:tblGrid>
      <w:tr w:rsidR="006F7F41" w:rsidRPr="00C75C7E" w:rsidTr="008F4F69">
        <w:trPr>
          <w:cantSplit/>
          <w:trHeight w:val="605"/>
          <w:tblHeader/>
        </w:trPr>
        <w:tc>
          <w:tcPr>
            <w:tcW w:w="1249" w:type="pct"/>
            <w:tcBorders>
              <w:top w:val="single" w:sz="4" w:space="0" w:color="auto"/>
              <w:bottom w:val="single" w:sz="4" w:space="0" w:color="auto"/>
            </w:tcBorders>
            <w:shd w:val="clear" w:color="auto" w:fill="CCFFFF"/>
            <w:tcMar>
              <w:top w:w="113" w:type="dxa"/>
            </w:tcMar>
            <w:vAlign w:val="center"/>
          </w:tcPr>
          <w:p w:rsidR="006F7F41" w:rsidRPr="00C75C7E" w:rsidRDefault="006F7F41" w:rsidP="008F4F69">
            <w:pPr>
              <w:spacing w:after="120"/>
              <w:jc w:val="center"/>
              <w:rPr>
                <w:b/>
                <w:bCs/>
                <w:sz w:val="18"/>
                <w:szCs w:val="18"/>
                <w:lang w:val="es-ES_tradnl"/>
              </w:rPr>
            </w:pPr>
            <w:r w:rsidRPr="00C75C7E">
              <w:rPr>
                <w:b/>
                <w:bCs/>
                <w:sz w:val="18"/>
                <w:szCs w:val="18"/>
                <w:lang w:val="es-ES_tradnl"/>
              </w:rPr>
              <w:t>Resultados previstos</w:t>
            </w:r>
          </w:p>
        </w:tc>
        <w:tc>
          <w:tcPr>
            <w:tcW w:w="1514" w:type="pct"/>
            <w:tcBorders>
              <w:top w:val="single" w:sz="4" w:space="0" w:color="auto"/>
              <w:bottom w:val="single" w:sz="4" w:space="0" w:color="auto"/>
            </w:tcBorders>
            <w:shd w:val="clear" w:color="auto" w:fill="CCFFFF"/>
            <w:tcMar>
              <w:top w:w="113" w:type="dxa"/>
            </w:tcMar>
            <w:vAlign w:val="center"/>
          </w:tcPr>
          <w:p w:rsidR="006F7F41" w:rsidRPr="00C75C7E" w:rsidRDefault="006F7F41" w:rsidP="008F4F69">
            <w:pPr>
              <w:spacing w:after="120"/>
              <w:jc w:val="center"/>
              <w:rPr>
                <w:b/>
                <w:sz w:val="18"/>
                <w:szCs w:val="18"/>
                <w:lang w:val="es-ES_tradnl"/>
              </w:rPr>
            </w:pPr>
            <w:r w:rsidRPr="00C75C7E">
              <w:rPr>
                <w:b/>
                <w:sz w:val="18"/>
                <w:szCs w:val="18"/>
                <w:lang w:val="es-ES_tradnl"/>
              </w:rPr>
              <w:t>Indicadores de rendimiento</w:t>
            </w:r>
          </w:p>
        </w:tc>
        <w:tc>
          <w:tcPr>
            <w:tcW w:w="1156" w:type="pct"/>
            <w:tcBorders>
              <w:top w:val="single" w:sz="4" w:space="0" w:color="auto"/>
              <w:bottom w:val="single" w:sz="4" w:space="0" w:color="auto"/>
            </w:tcBorders>
            <w:shd w:val="clear" w:color="auto" w:fill="CCFFFF"/>
            <w:tcMar>
              <w:top w:w="113" w:type="dxa"/>
            </w:tcMar>
            <w:vAlign w:val="center"/>
          </w:tcPr>
          <w:p w:rsidR="006F7F41" w:rsidRPr="00C75C7E" w:rsidRDefault="006F7F41" w:rsidP="008F4F69">
            <w:pPr>
              <w:spacing w:after="120"/>
              <w:ind w:left="85"/>
              <w:jc w:val="center"/>
              <w:rPr>
                <w:sz w:val="18"/>
                <w:szCs w:val="18"/>
                <w:lang w:val="es-ES_tradnl"/>
              </w:rPr>
            </w:pPr>
            <w:r w:rsidRPr="00C75C7E">
              <w:rPr>
                <w:b/>
                <w:bCs/>
                <w:sz w:val="18"/>
                <w:szCs w:val="18"/>
                <w:lang w:val="es-ES_tradnl"/>
              </w:rPr>
              <w:t>Referencia</w:t>
            </w:r>
          </w:p>
        </w:tc>
        <w:tc>
          <w:tcPr>
            <w:tcW w:w="1082" w:type="pct"/>
            <w:tcBorders>
              <w:top w:val="single" w:sz="4" w:space="0" w:color="auto"/>
              <w:bottom w:val="single" w:sz="4" w:space="0" w:color="auto"/>
            </w:tcBorders>
            <w:shd w:val="clear" w:color="auto" w:fill="CCFFFF"/>
            <w:tcMar>
              <w:top w:w="113" w:type="dxa"/>
            </w:tcMar>
            <w:vAlign w:val="center"/>
          </w:tcPr>
          <w:p w:rsidR="006F7F41" w:rsidRPr="00C75C7E" w:rsidRDefault="006F7F41" w:rsidP="008F4F69">
            <w:pPr>
              <w:keepNext/>
              <w:keepLines/>
              <w:spacing w:after="120"/>
              <w:ind w:right="271"/>
              <w:jc w:val="center"/>
              <w:rPr>
                <w:b/>
                <w:bCs/>
                <w:sz w:val="18"/>
                <w:szCs w:val="18"/>
                <w:lang w:val="es-ES_tradnl"/>
              </w:rPr>
            </w:pPr>
            <w:r w:rsidRPr="00C75C7E">
              <w:rPr>
                <w:b/>
                <w:bCs/>
                <w:sz w:val="18"/>
                <w:szCs w:val="18"/>
                <w:lang w:val="es-ES_tradnl"/>
              </w:rPr>
              <w:t>Objetivos</w:t>
            </w:r>
          </w:p>
        </w:tc>
      </w:tr>
      <w:tr w:rsidR="006F7F41" w:rsidRPr="00C75C7E" w:rsidTr="008F4F69">
        <w:trPr>
          <w:cantSplit/>
          <w:trHeight w:val="1084"/>
        </w:trPr>
        <w:tc>
          <w:tcPr>
            <w:tcW w:w="1249" w:type="pct"/>
            <w:vMerge w:val="restart"/>
            <w:tcBorders>
              <w:top w:val="single" w:sz="4" w:space="0" w:color="auto"/>
            </w:tcBorders>
            <w:shd w:val="clear" w:color="auto" w:fill="auto"/>
            <w:tcMar>
              <w:top w:w="113" w:type="dxa"/>
            </w:tcMar>
          </w:tcPr>
          <w:p w:rsidR="006F7F41" w:rsidRPr="00C75C7E" w:rsidRDefault="006F7F41" w:rsidP="008F4F69">
            <w:pPr>
              <w:rPr>
                <w:sz w:val="16"/>
                <w:szCs w:val="16"/>
                <w:lang w:val="es-ES_tradnl"/>
              </w:rPr>
            </w:pPr>
            <w:r w:rsidRPr="00C75C7E">
              <w:rPr>
                <w:sz w:val="16"/>
                <w:szCs w:val="16"/>
                <w:lang w:val="es-ES_tradnl"/>
              </w:rPr>
              <w:t>VIII.1. Comunicación más eficaz con el público en general acerca de la P.I. y la función de la OMPI.</w:t>
            </w:r>
          </w:p>
        </w:tc>
        <w:tc>
          <w:tcPr>
            <w:tcW w:w="1514" w:type="pct"/>
            <w:tcBorders>
              <w:top w:val="single" w:sz="4" w:space="0" w:color="auto"/>
            </w:tcBorders>
            <w:shd w:val="clear" w:color="auto" w:fill="auto"/>
            <w:tcMar>
              <w:top w:w="113" w:type="dxa"/>
            </w:tcMar>
          </w:tcPr>
          <w:p w:rsidR="006F7F41" w:rsidRPr="00C75C7E" w:rsidRDefault="006F7F41" w:rsidP="008F4F69">
            <w:pPr>
              <w:rPr>
                <w:sz w:val="16"/>
                <w:szCs w:val="16"/>
                <w:lang w:val="es-ES_tradnl"/>
              </w:rPr>
            </w:pPr>
            <w:r w:rsidRPr="00C75C7E">
              <w:rPr>
                <w:sz w:val="16"/>
                <w:szCs w:val="16"/>
                <w:lang w:val="es-ES_tradnl"/>
              </w:rPr>
              <w:t>Grado de interés público generado por importantes actividades/logros de la OMPI.</w:t>
            </w:r>
          </w:p>
        </w:tc>
        <w:tc>
          <w:tcPr>
            <w:tcW w:w="1156" w:type="pct"/>
            <w:tcBorders>
              <w:top w:val="single" w:sz="4" w:space="0" w:color="auto"/>
            </w:tcBorders>
            <w:shd w:val="clear" w:color="auto" w:fill="FFFFFF"/>
            <w:tcMar>
              <w:top w:w="113" w:type="dxa"/>
            </w:tcMar>
          </w:tcPr>
          <w:p w:rsidR="006F7F41" w:rsidRPr="00C75C7E" w:rsidRDefault="006F7F41" w:rsidP="008F4F69">
            <w:pPr>
              <w:rPr>
                <w:sz w:val="16"/>
                <w:szCs w:val="16"/>
                <w:lang w:val="es-ES_tradnl"/>
              </w:rPr>
            </w:pPr>
            <w:r w:rsidRPr="00C75C7E">
              <w:rPr>
                <w:sz w:val="16"/>
                <w:szCs w:val="16"/>
                <w:lang w:val="es-ES_tradnl"/>
              </w:rPr>
              <w:t>(Actividad de muestra) 12.111 visitantes únicos absolutos de la página de difusión del Índice Mundial de Innovación 2012 en el período de un mes.</w:t>
            </w:r>
          </w:p>
          <w:p w:rsidR="006F7F41" w:rsidRPr="00C75C7E" w:rsidRDefault="006F7F41" w:rsidP="008F4F69">
            <w:pPr>
              <w:rPr>
                <w:sz w:val="16"/>
                <w:szCs w:val="16"/>
                <w:lang w:val="es-ES_tradnl"/>
              </w:rPr>
            </w:pPr>
          </w:p>
        </w:tc>
        <w:tc>
          <w:tcPr>
            <w:tcW w:w="1082" w:type="pct"/>
            <w:tcBorders>
              <w:top w:val="single" w:sz="4" w:space="0" w:color="auto"/>
            </w:tcBorders>
            <w:shd w:val="clear" w:color="auto" w:fill="auto"/>
            <w:tcMar>
              <w:top w:w="113" w:type="dxa"/>
            </w:tcMar>
          </w:tcPr>
          <w:p w:rsidR="006F7F41" w:rsidRPr="00C75C7E" w:rsidRDefault="006F7F41" w:rsidP="008F4F69">
            <w:pPr>
              <w:keepNext/>
              <w:keepLines/>
              <w:ind w:right="381"/>
              <w:rPr>
                <w:bCs/>
                <w:sz w:val="16"/>
                <w:szCs w:val="16"/>
                <w:lang w:val="es-ES_tradnl"/>
              </w:rPr>
            </w:pPr>
            <w:r w:rsidRPr="00C75C7E">
              <w:rPr>
                <w:bCs/>
                <w:sz w:val="16"/>
                <w:szCs w:val="16"/>
                <w:lang w:val="es-ES_tradnl"/>
              </w:rPr>
              <w:t>Aumento del 10% en las visitas de las páginas pertinentes.</w:t>
            </w:r>
          </w:p>
        </w:tc>
      </w:tr>
      <w:tr w:rsidR="006F7F41" w:rsidRPr="00C75C7E" w:rsidTr="008F4F69">
        <w:trPr>
          <w:cantSplit/>
        </w:trPr>
        <w:tc>
          <w:tcPr>
            <w:tcW w:w="1249" w:type="pct"/>
            <w:vMerge/>
            <w:shd w:val="clear" w:color="auto" w:fill="auto"/>
            <w:tcMar>
              <w:top w:w="113" w:type="dxa"/>
            </w:tcMar>
          </w:tcPr>
          <w:p w:rsidR="006F7F41" w:rsidRPr="00C75C7E" w:rsidRDefault="006F7F41" w:rsidP="008F4F69">
            <w:pPr>
              <w:rPr>
                <w:sz w:val="16"/>
                <w:szCs w:val="16"/>
                <w:lang w:val="es-ES_tradnl"/>
              </w:rPr>
            </w:pPr>
          </w:p>
        </w:tc>
        <w:tc>
          <w:tcPr>
            <w:tcW w:w="1514" w:type="pct"/>
            <w:shd w:val="clear" w:color="auto" w:fill="auto"/>
            <w:tcMar>
              <w:top w:w="113" w:type="dxa"/>
            </w:tcMar>
          </w:tcPr>
          <w:p w:rsidR="006F7F41" w:rsidRPr="00C75C7E" w:rsidRDefault="006F7F41" w:rsidP="008F4F69">
            <w:pPr>
              <w:rPr>
                <w:sz w:val="16"/>
                <w:szCs w:val="16"/>
                <w:lang w:val="es-ES_tradnl"/>
              </w:rPr>
            </w:pPr>
            <w:r w:rsidRPr="00C75C7E">
              <w:rPr>
                <w:sz w:val="16"/>
                <w:szCs w:val="16"/>
                <w:lang w:val="es-ES_tradnl"/>
              </w:rPr>
              <w:t>Porcentaje de opiniones favorables de las partes interesadas sobre la misión, las actividades y la imagen institucional de la OMPI.</w:t>
            </w:r>
          </w:p>
        </w:tc>
        <w:tc>
          <w:tcPr>
            <w:tcW w:w="1156" w:type="pct"/>
            <w:shd w:val="clear" w:color="auto" w:fill="FFFFFF"/>
            <w:tcMar>
              <w:top w:w="113" w:type="dxa"/>
            </w:tcMar>
          </w:tcPr>
          <w:p w:rsidR="006F7F41" w:rsidRPr="00C75C7E" w:rsidRDefault="006F7F41" w:rsidP="008F4F69">
            <w:pPr>
              <w:rPr>
                <w:sz w:val="16"/>
                <w:szCs w:val="16"/>
                <w:lang w:val="es-ES_tradnl" w:bidi="th-TH"/>
              </w:rPr>
            </w:pPr>
            <w:r w:rsidRPr="00C75C7E">
              <w:rPr>
                <w:sz w:val="16"/>
                <w:szCs w:val="16"/>
                <w:lang w:val="es-ES_tradnl" w:bidi="th-TH"/>
              </w:rPr>
              <w:t xml:space="preserve">El 65% de los encuestados consideran que la OMPI es el líder mundial de la protección y promoción de la P.I. </w:t>
            </w:r>
          </w:p>
          <w:p w:rsidR="006F7F41" w:rsidRPr="00C75C7E" w:rsidRDefault="006F7F41" w:rsidP="008F4F69">
            <w:pPr>
              <w:rPr>
                <w:sz w:val="16"/>
                <w:szCs w:val="16"/>
                <w:lang w:val="es-ES_tradnl" w:bidi="th-TH"/>
              </w:rPr>
            </w:pPr>
            <w:r w:rsidRPr="00C75C7E">
              <w:rPr>
                <w:sz w:val="16"/>
                <w:szCs w:val="16"/>
                <w:lang w:val="es-ES_tradnl" w:bidi="th-TH"/>
              </w:rPr>
              <w:t>(Encuesta sobre las impresiones acerca de la OMPI que tienen las partes interesadas, enero de 2012).</w:t>
            </w:r>
          </w:p>
          <w:p w:rsidR="006F7F41" w:rsidRPr="00C75C7E" w:rsidRDefault="006F7F41" w:rsidP="008F4F69">
            <w:pPr>
              <w:rPr>
                <w:sz w:val="16"/>
                <w:szCs w:val="16"/>
                <w:lang w:val="es-ES_tradnl"/>
              </w:rPr>
            </w:pPr>
          </w:p>
        </w:tc>
        <w:tc>
          <w:tcPr>
            <w:tcW w:w="1082" w:type="pct"/>
            <w:shd w:val="clear" w:color="auto" w:fill="auto"/>
            <w:tcMar>
              <w:top w:w="113" w:type="dxa"/>
            </w:tcMar>
          </w:tcPr>
          <w:p w:rsidR="006F7F41" w:rsidRPr="00C75C7E" w:rsidRDefault="006F7F41" w:rsidP="008F4F69">
            <w:pPr>
              <w:keepNext/>
              <w:keepLines/>
              <w:tabs>
                <w:tab w:val="left" w:pos="2051"/>
              </w:tabs>
              <w:ind w:right="381"/>
              <w:rPr>
                <w:bCs/>
                <w:sz w:val="16"/>
                <w:szCs w:val="16"/>
                <w:lang w:val="es-ES_tradnl"/>
              </w:rPr>
            </w:pPr>
            <w:r w:rsidRPr="00C75C7E">
              <w:rPr>
                <w:bCs/>
                <w:sz w:val="16"/>
                <w:szCs w:val="16"/>
                <w:lang w:val="es-ES_tradnl"/>
              </w:rPr>
              <w:t>75%</w:t>
            </w:r>
          </w:p>
        </w:tc>
      </w:tr>
      <w:tr w:rsidR="006F7F41" w:rsidRPr="00C75C7E" w:rsidTr="008F4F69">
        <w:trPr>
          <w:cantSplit/>
        </w:trPr>
        <w:tc>
          <w:tcPr>
            <w:tcW w:w="1249" w:type="pct"/>
            <w:vMerge/>
            <w:shd w:val="clear" w:color="auto" w:fill="auto"/>
            <w:tcMar>
              <w:top w:w="113" w:type="dxa"/>
            </w:tcMar>
          </w:tcPr>
          <w:p w:rsidR="006F7F41" w:rsidRPr="00C75C7E" w:rsidRDefault="006F7F41" w:rsidP="008F4F69">
            <w:pPr>
              <w:rPr>
                <w:sz w:val="16"/>
                <w:szCs w:val="16"/>
                <w:lang w:val="es-ES_tradnl"/>
              </w:rPr>
            </w:pPr>
          </w:p>
        </w:tc>
        <w:tc>
          <w:tcPr>
            <w:tcW w:w="1514" w:type="pct"/>
            <w:shd w:val="clear" w:color="auto" w:fill="auto"/>
            <w:tcMar>
              <w:top w:w="113" w:type="dxa"/>
            </w:tcMar>
          </w:tcPr>
          <w:p w:rsidR="006F7F41" w:rsidRPr="00C75C7E" w:rsidRDefault="006F7F41" w:rsidP="008F4F69">
            <w:pPr>
              <w:rPr>
                <w:sz w:val="16"/>
                <w:szCs w:val="16"/>
                <w:lang w:val="es-ES_tradnl"/>
              </w:rPr>
            </w:pPr>
            <w:r w:rsidRPr="00C75C7E">
              <w:rPr>
                <w:sz w:val="16"/>
                <w:szCs w:val="16"/>
                <w:lang w:val="es-ES_tradnl"/>
              </w:rPr>
              <w:t>Porcentaje de aumento del material de prensa, vídeos y fotografías de la OMPI vistos por el público.</w:t>
            </w:r>
          </w:p>
        </w:tc>
        <w:tc>
          <w:tcPr>
            <w:tcW w:w="1156" w:type="pct"/>
            <w:shd w:val="clear" w:color="auto" w:fill="FFFFFF"/>
            <w:tcMar>
              <w:top w:w="113" w:type="dxa"/>
            </w:tcMar>
          </w:tcPr>
          <w:p w:rsidR="006F7F41" w:rsidRPr="00C75C7E" w:rsidRDefault="006F7F41" w:rsidP="008F4F69">
            <w:pPr>
              <w:rPr>
                <w:sz w:val="16"/>
                <w:szCs w:val="16"/>
                <w:lang w:val="es-ES_tradnl" w:bidi="th-TH"/>
              </w:rPr>
            </w:pPr>
            <w:r w:rsidRPr="00C75C7E">
              <w:rPr>
                <w:sz w:val="16"/>
                <w:szCs w:val="16"/>
                <w:lang w:val="es-ES_tradnl" w:bidi="th-TH"/>
              </w:rPr>
              <w:t>(i) En 2012, el promedio de visitantes únicos absolutos por comunicado de prensa era de 3.575. (92.958 para 26 artículos publicados en 2012).</w:t>
            </w:r>
          </w:p>
          <w:p w:rsidR="006F7F41" w:rsidRPr="00C75C7E" w:rsidRDefault="006F7F41" w:rsidP="008F4F69">
            <w:pPr>
              <w:rPr>
                <w:sz w:val="16"/>
                <w:szCs w:val="16"/>
                <w:lang w:val="es-ES_tradnl" w:bidi="th-TH"/>
              </w:rPr>
            </w:pPr>
          </w:p>
          <w:p w:rsidR="006F7F41" w:rsidRPr="00C75C7E" w:rsidRDefault="006F7F41" w:rsidP="008F4F69">
            <w:pPr>
              <w:rPr>
                <w:sz w:val="16"/>
                <w:szCs w:val="16"/>
                <w:lang w:val="es-ES_tradnl" w:bidi="th-TH"/>
              </w:rPr>
            </w:pPr>
            <w:r w:rsidRPr="00C75C7E">
              <w:rPr>
                <w:sz w:val="16"/>
                <w:szCs w:val="16"/>
                <w:lang w:val="es-ES_tradnl" w:bidi="th-TH"/>
              </w:rPr>
              <w:t xml:space="preserve">ii) En 2012, el promedio de visualizaciones por vídeo era de </w:t>
            </w:r>
          </w:p>
          <w:p w:rsidR="006F7F41" w:rsidRPr="00C75C7E" w:rsidRDefault="006F7F41" w:rsidP="008F4F69">
            <w:pPr>
              <w:rPr>
                <w:sz w:val="16"/>
                <w:szCs w:val="16"/>
                <w:lang w:val="es-ES_tradnl" w:bidi="th-TH"/>
              </w:rPr>
            </w:pPr>
            <w:r w:rsidRPr="00C75C7E">
              <w:rPr>
                <w:sz w:val="16"/>
                <w:szCs w:val="16"/>
                <w:lang w:val="es-ES_tradnl" w:bidi="th-TH"/>
              </w:rPr>
              <w:t>3.280 (478.888 visitas para un total de 146 vídeos).</w:t>
            </w:r>
          </w:p>
          <w:p w:rsidR="006F7F41" w:rsidRPr="00C75C7E" w:rsidRDefault="006F7F41" w:rsidP="008F4F69">
            <w:pPr>
              <w:rPr>
                <w:sz w:val="16"/>
                <w:szCs w:val="16"/>
                <w:lang w:val="es-ES_tradnl" w:bidi="th-TH"/>
              </w:rPr>
            </w:pPr>
          </w:p>
          <w:p w:rsidR="006F7F41" w:rsidRPr="00C75C7E" w:rsidRDefault="006F7F41" w:rsidP="008F4F69">
            <w:pPr>
              <w:rPr>
                <w:sz w:val="16"/>
                <w:szCs w:val="16"/>
                <w:lang w:val="es-ES_tradnl"/>
              </w:rPr>
            </w:pPr>
            <w:r w:rsidRPr="00C75C7E">
              <w:rPr>
                <w:sz w:val="16"/>
                <w:szCs w:val="16"/>
                <w:lang w:val="es-ES_tradnl" w:bidi="th-TH"/>
              </w:rPr>
              <w:t>iii) 155.000 visualizaciones de fotos en Flickr al final de 2012.</w:t>
            </w:r>
          </w:p>
        </w:tc>
        <w:tc>
          <w:tcPr>
            <w:tcW w:w="1082" w:type="pct"/>
            <w:shd w:val="clear" w:color="auto" w:fill="auto"/>
            <w:tcMar>
              <w:top w:w="113" w:type="dxa"/>
            </w:tcMar>
          </w:tcPr>
          <w:p w:rsidR="006F7F41" w:rsidRPr="00C75C7E" w:rsidRDefault="006F7F41" w:rsidP="008F4F69">
            <w:pPr>
              <w:keepNext/>
              <w:keepLines/>
              <w:ind w:right="51"/>
              <w:rPr>
                <w:bCs/>
                <w:sz w:val="16"/>
                <w:szCs w:val="16"/>
                <w:lang w:val="es-ES_tradnl"/>
              </w:rPr>
            </w:pPr>
            <w:r w:rsidRPr="00C75C7E">
              <w:rPr>
                <w:bCs/>
                <w:sz w:val="16"/>
                <w:szCs w:val="16"/>
                <w:lang w:val="es-ES_tradnl"/>
              </w:rPr>
              <w:t>(i) Aumento del 10 % en el promedio de visitantes por comunicado de prensa.</w:t>
            </w:r>
          </w:p>
          <w:p w:rsidR="006F7F41" w:rsidRPr="00C75C7E" w:rsidRDefault="006F7F41" w:rsidP="008F4F69">
            <w:pPr>
              <w:keepNext/>
              <w:keepLines/>
              <w:ind w:right="51"/>
              <w:rPr>
                <w:bCs/>
                <w:sz w:val="16"/>
                <w:szCs w:val="16"/>
                <w:lang w:val="es-ES_tradnl"/>
              </w:rPr>
            </w:pPr>
          </w:p>
          <w:p w:rsidR="006F7F41" w:rsidRPr="00C75C7E" w:rsidRDefault="006F7F41" w:rsidP="008F4F69">
            <w:pPr>
              <w:keepNext/>
              <w:keepLines/>
              <w:ind w:right="51"/>
              <w:rPr>
                <w:bCs/>
                <w:sz w:val="16"/>
                <w:szCs w:val="16"/>
                <w:lang w:val="es-ES_tradnl"/>
              </w:rPr>
            </w:pPr>
          </w:p>
          <w:p w:rsidR="006F7F41" w:rsidRPr="00C75C7E" w:rsidRDefault="006F7F41" w:rsidP="008F4F69">
            <w:pPr>
              <w:keepNext/>
              <w:keepLines/>
              <w:ind w:right="51"/>
              <w:rPr>
                <w:bCs/>
                <w:sz w:val="16"/>
                <w:szCs w:val="16"/>
                <w:lang w:val="es-ES_tradnl"/>
              </w:rPr>
            </w:pPr>
          </w:p>
          <w:p w:rsidR="006F7F41" w:rsidRPr="00C75C7E" w:rsidRDefault="006F7F41" w:rsidP="008F4F69">
            <w:pPr>
              <w:keepNext/>
              <w:keepLines/>
              <w:ind w:right="51"/>
              <w:rPr>
                <w:bCs/>
                <w:sz w:val="16"/>
                <w:szCs w:val="16"/>
                <w:lang w:val="es-ES_tradnl"/>
              </w:rPr>
            </w:pPr>
            <w:r w:rsidRPr="00C75C7E">
              <w:rPr>
                <w:bCs/>
                <w:sz w:val="16"/>
                <w:szCs w:val="16"/>
                <w:lang w:val="es-ES_tradnl"/>
              </w:rPr>
              <w:t>ii) Aumento del 10% en el promedio de visualizaciones por vídeo del canal de la OMPI en YouTube.</w:t>
            </w:r>
          </w:p>
          <w:p w:rsidR="006F7F41" w:rsidRPr="00C75C7E" w:rsidRDefault="006F7F41" w:rsidP="008F4F69">
            <w:pPr>
              <w:keepNext/>
              <w:keepLines/>
              <w:ind w:right="51"/>
              <w:rPr>
                <w:bCs/>
                <w:sz w:val="16"/>
                <w:szCs w:val="16"/>
                <w:lang w:val="es-ES_tradnl"/>
              </w:rPr>
            </w:pPr>
          </w:p>
          <w:p w:rsidR="006F7F41" w:rsidRPr="00C75C7E" w:rsidRDefault="006F7F41" w:rsidP="008F4F69">
            <w:pPr>
              <w:keepNext/>
              <w:keepLines/>
              <w:ind w:right="51"/>
              <w:rPr>
                <w:bCs/>
                <w:sz w:val="16"/>
                <w:szCs w:val="16"/>
                <w:lang w:val="es-ES_tradnl"/>
              </w:rPr>
            </w:pPr>
          </w:p>
          <w:p w:rsidR="006F7F41" w:rsidRPr="00C75C7E" w:rsidRDefault="006F7F41" w:rsidP="008F4F69">
            <w:pPr>
              <w:keepNext/>
              <w:keepLines/>
              <w:ind w:right="51"/>
              <w:rPr>
                <w:bCs/>
                <w:sz w:val="16"/>
                <w:szCs w:val="16"/>
                <w:lang w:val="es-ES_tradnl"/>
              </w:rPr>
            </w:pPr>
            <w:r w:rsidRPr="00C75C7E">
              <w:rPr>
                <w:bCs/>
                <w:sz w:val="16"/>
                <w:szCs w:val="16"/>
                <w:lang w:val="es-ES_tradnl"/>
              </w:rPr>
              <w:t>iii) Objetivo:  Otras 300.000 visualizaciones en Flickr.</w:t>
            </w:r>
          </w:p>
          <w:p w:rsidR="006F7F41" w:rsidRPr="00C75C7E" w:rsidRDefault="006F7F41" w:rsidP="008F4F69">
            <w:pPr>
              <w:keepNext/>
              <w:keepLines/>
              <w:ind w:right="51"/>
              <w:rPr>
                <w:bCs/>
                <w:sz w:val="16"/>
                <w:szCs w:val="16"/>
                <w:lang w:val="es-ES_tradnl"/>
              </w:rPr>
            </w:pPr>
          </w:p>
        </w:tc>
      </w:tr>
      <w:tr w:rsidR="006F7F41" w:rsidRPr="00C75C7E" w:rsidTr="008F4F69">
        <w:trPr>
          <w:cantSplit/>
          <w:trHeight w:val="853"/>
        </w:trPr>
        <w:tc>
          <w:tcPr>
            <w:tcW w:w="1249" w:type="pct"/>
            <w:vMerge/>
            <w:shd w:val="clear" w:color="auto" w:fill="auto"/>
            <w:tcMar>
              <w:top w:w="113" w:type="dxa"/>
            </w:tcMar>
          </w:tcPr>
          <w:p w:rsidR="006F7F41" w:rsidRPr="00C75C7E" w:rsidRDefault="006F7F41" w:rsidP="008F4F69">
            <w:pPr>
              <w:rPr>
                <w:sz w:val="16"/>
                <w:szCs w:val="16"/>
                <w:lang w:val="es-ES_tradnl"/>
              </w:rPr>
            </w:pPr>
          </w:p>
        </w:tc>
        <w:tc>
          <w:tcPr>
            <w:tcW w:w="1514" w:type="pct"/>
            <w:shd w:val="clear" w:color="auto" w:fill="auto"/>
            <w:tcMar>
              <w:top w:w="113" w:type="dxa"/>
            </w:tcMar>
          </w:tcPr>
          <w:p w:rsidR="006F7F41" w:rsidRPr="00C75C7E" w:rsidRDefault="006F7F41" w:rsidP="008F4F69">
            <w:pPr>
              <w:rPr>
                <w:sz w:val="16"/>
                <w:szCs w:val="16"/>
                <w:lang w:val="es-ES_tradnl"/>
              </w:rPr>
            </w:pPr>
            <w:r w:rsidRPr="00C75C7E">
              <w:rPr>
                <w:sz w:val="16"/>
                <w:szCs w:val="16"/>
                <w:lang w:val="es-ES_tradnl"/>
              </w:rPr>
              <w:t>Porcentaje de aumento de la participación global en el Día Mundial de la P.I. por medio de la página de Facebook (alcance global de la campaña).</w:t>
            </w:r>
          </w:p>
        </w:tc>
        <w:tc>
          <w:tcPr>
            <w:tcW w:w="1156" w:type="pct"/>
            <w:shd w:val="clear" w:color="auto" w:fill="FFFFFF"/>
            <w:tcMar>
              <w:top w:w="113" w:type="dxa"/>
            </w:tcMar>
          </w:tcPr>
          <w:p w:rsidR="006F7F41" w:rsidRPr="00C75C7E" w:rsidRDefault="006F7F41" w:rsidP="008F4F69">
            <w:pPr>
              <w:rPr>
                <w:sz w:val="16"/>
                <w:szCs w:val="16"/>
                <w:lang w:val="es-ES_tradnl" w:bidi="th-TH"/>
              </w:rPr>
            </w:pPr>
            <w:r w:rsidRPr="00C75C7E">
              <w:rPr>
                <w:sz w:val="16"/>
                <w:szCs w:val="16"/>
                <w:lang w:val="es-ES_tradnl" w:bidi="th-TH"/>
              </w:rPr>
              <w:t>379.600 personas accedieron a contenido sobre el Día Mundial de la P.I. mediante la campaña llevada a cabo en Facebook en 2012.</w:t>
            </w:r>
          </w:p>
          <w:p w:rsidR="006F7F41" w:rsidRPr="00C75C7E" w:rsidRDefault="006F7F41" w:rsidP="008F4F69">
            <w:pPr>
              <w:rPr>
                <w:sz w:val="16"/>
                <w:szCs w:val="16"/>
                <w:lang w:val="es-ES_tradnl" w:bidi="th-TH"/>
              </w:rPr>
            </w:pPr>
          </w:p>
          <w:p w:rsidR="006F7F41" w:rsidRPr="00C75C7E" w:rsidRDefault="006F7F41" w:rsidP="008F4F69">
            <w:pPr>
              <w:rPr>
                <w:sz w:val="16"/>
                <w:szCs w:val="16"/>
                <w:lang w:val="es-ES_tradnl"/>
              </w:rPr>
            </w:pPr>
          </w:p>
        </w:tc>
        <w:tc>
          <w:tcPr>
            <w:tcW w:w="1082" w:type="pct"/>
            <w:shd w:val="clear" w:color="auto" w:fill="auto"/>
            <w:tcMar>
              <w:top w:w="113" w:type="dxa"/>
            </w:tcMar>
          </w:tcPr>
          <w:p w:rsidR="006F7F41" w:rsidRPr="00C75C7E" w:rsidRDefault="006F7F41" w:rsidP="008F4F69">
            <w:pPr>
              <w:keepNext/>
              <w:keepLines/>
              <w:ind w:right="161"/>
              <w:rPr>
                <w:bCs/>
                <w:sz w:val="16"/>
                <w:szCs w:val="16"/>
                <w:lang w:val="es-ES_tradnl"/>
              </w:rPr>
            </w:pPr>
            <w:r w:rsidRPr="00C75C7E">
              <w:rPr>
                <w:bCs/>
                <w:sz w:val="16"/>
                <w:szCs w:val="16"/>
                <w:lang w:val="es-ES_tradnl"/>
              </w:rPr>
              <w:t>Aumento del 30% en el número de personas que acceden a contenido sobre el Día Mundial de la P.I. por medio de Facebook (alcance total).</w:t>
            </w:r>
          </w:p>
        </w:tc>
      </w:tr>
      <w:tr w:rsidR="006F7F41" w:rsidRPr="00C75C7E" w:rsidTr="008F4F69">
        <w:trPr>
          <w:cantSplit/>
          <w:trHeight w:val="698"/>
        </w:trPr>
        <w:tc>
          <w:tcPr>
            <w:tcW w:w="1249" w:type="pct"/>
            <w:vMerge/>
            <w:shd w:val="clear" w:color="auto" w:fill="auto"/>
            <w:tcMar>
              <w:top w:w="113" w:type="dxa"/>
            </w:tcMar>
          </w:tcPr>
          <w:p w:rsidR="006F7F41" w:rsidRPr="00C75C7E" w:rsidRDefault="006F7F41" w:rsidP="008F4F69">
            <w:pPr>
              <w:rPr>
                <w:sz w:val="16"/>
                <w:szCs w:val="16"/>
                <w:lang w:val="es-ES_tradnl"/>
              </w:rPr>
            </w:pPr>
          </w:p>
        </w:tc>
        <w:tc>
          <w:tcPr>
            <w:tcW w:w="1514" w:type="pct"/>
            <w:shd w:val="clear" w:color="auto" w:fill="auto"/>
            <w:tcMar>
              <w:top w:w="113" w:type="dxa"/>
            </w:tcMar>
          </w:tcPr>
          <w:p w:rsidR="006F7F41" w:rsidRPr="00C75C7E" w:rsidRDefault="006F7F41" w:rsidP="008F4F69">
            <w:pPr>
              <w:rPr>
                <w:sz w:val="16"/>
                <w:szCs w:val="16"/>
                <w:lang w:val="es-ES_tradnl"/>
              </w:rPr>
            </w:pPr>
            <w:r w:rsidRPr="00C75C7E">
              <w:rPr>
                <w:sz w:val="16"/>
                <w:szCs w:val="16"/>
                <w:lang w:val="es-ES_tradnl"/>
              </w:rPr>
              <w:t>Porcentaje de aumento del número de consultas de las publicaciones de Internet.</w:t>
            </w:r>
          </w:p>
        </w:tc>
        <w:tc>
          <w:tcPr>
            <w:tcW w:w="1156" w:type="pct"/>
            <w:shd w:val="clear" w:color="auto" w:fill="FFFFFF"/>
            <w:tcMar>
              <w:top w:w="113" w:type="dxa"/>
            </w:tcMar>
          </w:tcPr>
          <w:p w:rsidR="006F7F41" w:rsidRPr="00C75C7E" w:rsidRDefault="006F7F41" w:rsidP="008F4F69">
            <w:pPr>
              <w:rPr>
                <w:sz w:val="16"/>
                <w:szCs w:val="16"/>
                <w:lang w:val="es-ES_tradnl" w:bidi="th-TH"/>
              </w:rPr>
            </w:pPr>
            <w:r w:rsidRPr="00C75C7E">
              <w:rPr>
                <w:sz w:val="16"/>
                <w:szCs w:val="16"/>
                <w:lang w:val="es-ES_tradnl" w:bidi="th-TH"/>
              </w:rPr>
              <w:t xml:space="preserve">i) por determinar (no se dispone de estadísticas comparables para </w:t>
            </w:r>
            <w:r w:rsidRPr="00C83A6A">
              <w:rPr>
                <w:sz w:val="16"/>
                <w:szCs w:val="16"/>
                <w:lang w:val="es-ES_tradnl" w:bidi="th-TH"/>
              </w:rPr>
              <w:t>2012)</w:t>
            </w:r>
            <w:r w:rsidRPr="00C75C7E">
              <w:rPr>
                <w:sz w:val="16"/>
                <w:szCs w:val="16"/>
                <w:lang w:val="es-ES_tradnl" w:bidi="th-TH"/>
              </w:rPr>
              <w:t>.</w:t>
            </w:r>
          </w:p>
          <w:p w:rsidR="006F7F41" w:rsidRPr="00C75C7E" w:rsidRDefault="006F7F41" w:rsidP="008F4F69">
            <w:pPr>
              <w:rPr>
                <w:sz w:val="16"/>
                <w:szCs w:val="16"/>
                <w:lang w:val="es-ES_tradnl" w:bidi="th-TH"/>
              </w:rPr>
            </w:pPr>
          </w:p>
          <w:p w:rsidR="006F7F41" w:rsidRPr="00C75C7E" w:rsidRDefault="006F7F41" w:rsidP="008F4F69">
            <w:pPr>
              <w:rPr>
                <w:sz w:val="16"/>
                <w:szCs w:val="16"/>
                <w:lang w:val="es-ES_tradnl" w:bidi="th-TH"/>
              </w:rPr>
            </w:pPr>
          </w:p>
          <w:p w:rsidR="006F7F41" w:rsidRPr="00C75C7E" w:rsidRDefault="006F7F41" w:rsidP="008F4F69">
            <w:pPr>
              <w:rPr>
                <w:sz w:val="16"/>
                <w:szCs w:val="16"/>
                <w:lang w:val="es-ES_tradnl" w:bidi="th-TH"/>
              </w:rPr>
            </w:pPr>
          </w:p>
          <w:p w:rsidR="006F7F41" w:rsidRPr="00C75C7E" w:rsidRDefault="006F7F41" w:rsidP="008F4F69">
            <w:pPr>
              <w:rPr>
                <w:sz w:val="16"/>
                <w:szCs w:val="16"/>
                <w:lang w:val="es-ES_tradnl" w:bidi="th-TH"/>
              </w:rPr>
            </w:pPr>
            <w:r w:rsidRPr="00C75C7E">
              <w:rPr>
                <w:sz w:val="16"/>
                <w:szCs w:val="16"/>
                <w:lang w:val="es-ES_tradnl" w:bidi="th-TH"/>
              </w:rPr>
              <w:t>ii) 409.265 visitantes únicos absolutos de la sección del sitio web dedicada a la Revista de la OMPI en 2012.</w:t>
            </w:r>
          </w:p>
        </w:tc>
        <w:tc>
          <w:tcPr>
            <w:tcW w:w="1082" w:type="pct"/>
            <w:shd w:val="clear" w:color="auto" w:fill="auto"/>
            <w:tcMar>
              <w:top w:w="113" w:type="dxa"/>
            </w:tcMar>
          </w:tcPr>
          <w:p w:rsidR="006F7F41" w:rsidRPr="00C75C7E" w:rsidRDefault="006F7F41" w:rsidP="008F4F69">
            <w:pPr>
              <w:keepNext/>
              <w:keepLines/>
              <w:ind w:right="161"/>
              <w:rPr>
                <w:bCs/>
                <w:sz w:val="16"/>
                <w:szCs w:val="16"/>
                <w:lang w:val="es-ES_tradnl"/>
              </w:rPr>
            </w:pPr>
            <w:r w:rsidRPr="00C75C7E">
              <w:rPr>
                <w:bCs/>
                <w:sz w:val="16"/>
                <w:szCs w:val="16"/>
                <w:lang w:val="es-ES_tradnl"/>
              </w:rPr>
              <w:t>i) Aumento del 10% en el número total de consultas de las publicaciones de Internet.</w:t>
            </w:r>
          </w:p>
          <w:p w:rsidR="006F7F41" w:rsidRPr="00C75C7E" w:rsidRDefault="006F7F41" w:rsidP="008F4F69">
            <w:pPr>
              <w:keepNext/>
              <w:keepLines/>
              <w:ind w:right="161"/>
              <w:rPr>
                <w:bCs/>
                <w:sz w:val="16"/>
                <w:szCs w:val="16"/>
                <w:lang w:val="es-ES_tradnl"/>
              </w:rPr>
            </w:pPr>
          </w:p>
          <w:p w:rsidR="006F7F41" w:rsidRPr="00C75C7E" w:rsidRDefault="006F7F41" w:rsidP="008F4F69">
            <w:pPr>
              <w:keepNext/>
              <w:keepLines/>
              <w:ind w:right="161"/>
              <w:rPr>
                <w:bCs/>
                <w:sz w:val="16"/>
                <w:szCs w:val="16"/>
                <w:lang w:val="es-ES_tradnl"/>
              </w:rPr>
            </w:pPr>
            <w:r w:rsidRPr="00C75C7E">
              <w:rPr>
                <w:bCs/>
                <w:sz w:val="16"/>
                <w:szCs w:val="16"/>
                <w:lang w:val="es-ES_tradnl"/>
              </w:rPr>
              <w:t xml:space="preserve">ii) Aumento del 10% en el número de visitantes de la sección del sitio web dedicada a la Revista de la OMPI. </w:t>
            </w:r>
          </w:p>
        </w:tc>
      </w:tr>
      <w:tr w:rsidR="006F7F41" w:rsidRPr="00C75C7E" w:rsidTr="008F4F69">
        <w:trPr>
          <w:cantSplit/>
          <w:trHeight w:val="641"/>
        </w:trPr>
        <w:tc>
          <w:tcPr>
            <w:tcW w:w="1249" w:type="pct"/>
            <w:vMerge/>
            <w:shd w:val="clear" w:color="auto" w:fill="auto"/>
            <w:tcMar>
              <w:top w:w="113" w:type="dxa"/>
            </w:tcMar>
          </w:tcPr>
          <w:p w:rsidR="006F7F41" w:rsidRPr="00C75C7E" w:rsidRDefault="006F7F41" w:rsidP="008F4F69">
            <w:pPr>
              <w:rPr>
                <w:sz w:val="16"/>
                <w:szCs w:val="16"/>
                <w:lang w:val="es-ES_tradnl"/>
              </w:rPr>
            </w:pPr>
          </w:p>
        </w:tc>
        <w:tc>
          <w:tcPr>
            <w:tcW w:w="1514" w:type="pct"/>
            <w:shd w:val="clear" w:color="auto" w:fill="auto"/>
            <w:tcMar>
              <w:top w:w="113" w:type="dxa"/>
            </w:tcMar>
          </w:tcPr>
          <w:p w:rsidR="006F7F41" w:rsidRPr="00C75C7E" w:rsidRDefault="006F7F41" w:rsidP="008F4F69">
            <w:pPr>
              <w:rPr>
                <w:sz w:val="16"/>
                <w:szCs w:val="16"/>
                <w:lang w:val="es-ES_tradnl"/>
              </w:rPr>
            </w:pPr>
            <w:r w:rsidRPr="00C75C7E">
              <w:rPr>
                <w:sz w:val="16"/>
                <w:szCs w:val="16"/>
                <w:lang w:val="es-ES_tradnl"/>
              </w:rPr>
              <w:t>Porcentaje de usuarios satisfechos con el sitio web de la OMPI.</w:t>
            </w:r>
          </w:p>
        </w:tc>
        <w:tc>
          <w:tcPr>
            <w:tcW w:w="1156" w:type="pct"/>
            <w:shd w:val="clear" w:color="auto" w:fill="FFFFFF"/>
            <w:tcMar>
              <w:top w:w="113" w:type="dxa"/>
            </w:tcMar>
          </w:tcPr>
          <w:p w:rsidR="006F7F41" w:rsidRPr="00C75C7E" w:rsidRDefault="006F7F41" w:rsidP="008F4F69">
            <w:pPr>
              <w:rPr>
                <w:sz w:val="16"/>
                <w:szCs w:val="16"/>
                <w:lang w:val="es-ES_tradnl" w:bidi="th-TH"/>
              </w:rPr>
            </w:pPr>
            <w:r w:rsidRPr="00C75C7E">
              <w:rPr>
                <w:sz w:val="16"/>
                <w:szCs w:val="16"/>
                <w:lang w:val="es-ES_tradnl" w:bidi="th-TH"/>
              </w:rPr>
              <w:t>Por determinar.</w:t>
            </w:r>
          </w:p>
          <w:p w:rsidR="006F7F41" w:rsidRPr="00C75C7E" w:rsidRDefault="006F7F41" w:rsidP="008F4F69">
            <w:pPr>
              <w:rPr>
                <w:sz w:val="16"/>
                <w:szCs w:val="16"/>
                <w:lang w:val="es-ES_tradnl" w:bidi="th-TH"/>
              </w:rPr>
            </w:pPr>
          </w:p>
        </w:tc>
        <w:tc>
          <w:tcPr>
            <w:tcW w:w="1082" w:type="pct"/>
            <w:shd w:val="clear" w:color="auto" w:fill="auto"/>
            <w:tcMar>
              <w:top w:w="113" w:type="dxa"/>
            </w:tcMar>
          </w:tcPr>
          <w:p w:rsidR="006F7F41" w:rsidRPr="00C75C7E" w:rsidRDefault="006F7F41" w:rsidP="008F4F69">
            <w:pPr>
              <w:keepNext/>
              <w:keepLines/>
              <w:ind w:right="161"/>
              <w:rPr>
                <w:bCs/>
                <w:sz w:val="16"/>
                <w:szCs w:val="16"/>
                <w:lang w:val="es-ES_tradnl"/>
              </w:rPr>
            </w:pPr>
            <w:r w:rsidRPr="00C75C7E">
              <w:rPr>
                <w:bCs/>
                <w:sz w:val="16"/>
                <w:szCs w:val="16"/>
                <w:lang w:val="es-ES_tradnl"/>
              </w:rPr>
              <w:t>≥ 60% están satisfechos.</w:t>
            </w:r>
          </w:p>
        </w:tc>
      </w:tr>
      <w:tr w:rsidR="006F7F41" w:rsidRPr="00C75C7E" w:rsidTr="008F4F69">
        <w:trPr>
          <w:cantSplit/>
          <w:trHeight w:val="1163"/>
        </w:trPr>
        <w:tc>
          <w:tcPr>
            <w:tcW w:w="1249" w:type="pct"/>
            <w:vMerge/>
            <w:shd w:val="clear" w:color="auto" w:fill="auto"/>
            <w:tcMar>
              <w:top w:w="113" w:type="dxa"/>
            </w:tcMar>
          </w:tcPr>
          <w:p w:rsidR="006F7F41" w:rsidRPr="00C75C7E" w:rsidRDefault="006F7F41" w:rsidP="008F4F69">
            <w:pPr>
              <w:rPr>
                <w:sz w:val="16"/>
                <w:szCs w:val="16"/>
                <w:lang w:val="es-ES_tradnl"/>
              </w:rPr>
            </w:pPr>
          </w:p>
        </w:tc>
        <w:tc>
          <w:tcPr>
            <w:tcW w:w="1514" w:type="pct"/>
            <w:shd w:val="clear" w:color="auto" w:fill="auto"/>
            <w:tcMar>
              <w:top w:w="113" w:type="dxa"/>
            </w:tcMar>
          </w:tcPr>
          <w:p w:rsidR="006F7F41" w:rsidRPr="00C75C7E" w:rsidRDefault="006F7F41" w:rsidP="008F4F69">
            <w:pPr>
              <w:rPr>
                <w:sz w:val="16"/>
                <w:szCs w:val="16"/>
                <w:lang w:val="es-ES_tradnl"/>
              </w:rPr>
            </w:pPr>
            <w:r w:rsidRPr="00C75C7E">
              <w:rPr>
                <w:sz w:val="16"/>
                <w:szCs w:val="16"/>
                <w:lang w:val="es-ES_tradnl"/>
              </w:rPr>
              <w:t>Aumento de la influencia y la participación de la OMPI en los medios sociales.</w:t>
            </w:r>
          </w:p>
        </w:tc>
        <w:tc>
          <w:tcPr>
            <w:tcW w:w="1156" w:type="pct"/>
            <w:shd w:val="clear" w:color="auto" w:fill="FFFFFF"/>
            <w:tcMar>
              <w:top w:w="113" w:type="dxa"/>
            </w:tcMar>
          </w:tcPr>
          <w:p w:rsidR="006F7F41" w:rsidRPr="00C75C7E" w:rsidRDefault="006F7F41" w:rsidP="008F4F69">
            <w:pPr>
              <w:rPr>
                <w:sz w:val="16"/>
                <w:szCs w:val="16"/>
                <w:lang w:val="es-ES_tradnl" w:bidi="th-TH"/>
              </w:rPr>
            </w:pPr>
            <w:r w:rsidRPr="00C75C7E">
              <w:rPr>
                <w:sz w:val="16"/>
                <w:szCs w:val="16"/>
                <w:lang w:val="es-ES_tradnl" w:bidi="th-TH"/>
              </w:rPr>
              <w:t>i) Índice de influencia “Klout”  de 62 al 1 de enero de 2013.</w:t>
            </w:r>
          </w:p>
          <w:p w:rsidR="006F7F41" w:rsidRPr="00C75C7E" w:rsidRDefault="006F7F41" w:rsidP="008F4F69">
            <w:pPr>
              <w:rPr>
                <w:sz w:val="16"/>
                <w:szCs w:val="16"/>
                <w:lang w:val="es-ES_tradnl" w:bidi="th-TH"/>
              </w:rPr>
            </w:pPr>
          </w:p>
          <w:p w:rsidR="006F7F41" w:rsidRPr="00C75C7E" w:rsidRDefault="006F7F41" w:rsidP="008F4F69">
            <w:pPr>
              <w:rPr>
                <w:sz w:val="16"/>
                <w:szCs w:val="16"/>
                <w:lang w:val="es-ES_tradnl" w:bidi="th-TH"/>
              </w:rPr>
            </w:pPr>
            <w:r w:rsidRPr="00C75C7E">
              <w:rPr>
                <w:sz w:val="16"/>
                <w:szCs w:val="16"/>
                <w:lang w:val="es-ES_tradnl" w:bidi="th-TH"/>
              </w:rPr>
              <w:t>ii) 3.112 retuiteos en total en 2012.</w:t>
            </w:r>
          </w:p>
        </w:tc>
        <w:tc>
          <w:tcPr>
            <w:tcW w:w="1082" w:type="pct"/>
            <w:shd w:val="clear" w:color="auto" w:fill="auto"/>
            <w:tcMar>
              <w:top w:w="113" w:type="dxa"/>
            </w:tcMar>
          </w:tcPr>
          <w:p w:rsidR="006F7F41" w:rsidRPr="00C75C7E" w:rsidRDefault="006F7F41" w:rsidP="008F4F69">
            <w:pPr>
              <w:keepNext/>
              <w:keepLines/>
              <w:ind w:right="161"/>
              <w:rPr>
                <w:bCs/>
                <w:sz w:val="16"/>
                <w:szCs w:val="16"/>
                <w:lang w:val="es-ES_tradnl"/>
              </w:rPr>
            </w:pPr>
            <w:r w:rsidRPr="00C75C7E">
              <w:rPr>
                <w:bCs/>
                <w:sz w:val="16"/>
                <w:szCs w:val="16"/>
                <w:lang w:val="es-ES_tradnl"/>
              </w:rPr>
              <w:t>i) Índice de influencia “Klout” de 73.</w:t>
            </w:r>
          </w:p>
          <w:p w:rsidR="006F7F41" w:rsidRPr="00C75C7E" w:rsidRDefault="006F7F41" w:rsidP="008F4F69">
            <w:pPr>
              <w:keepNext/>
              <w:keepLines/>
              <w:ind w:right="161"/>
              <w:rPr>
                <w:bCs/>
                <w:sz w:val="16"/>
                <w:szCs w:val="16"/>
                <w:lang w:val="es-ES_tradnl"/>
              </w:rPr>
            </w:pPr>
            <w:r w:rsidRPr="00C75C7E">
              <w:rPr>
                <w:bCs/>
                <w:sz w:val="16"/>
                <w:szCs w:val="16"/>
                <w:lang w:val="es-ES_tradnl"/>
              </w:rPr>
              <w:t xml:space="preserve"> </w:t>
            </w:r>
          </w:p>
          <w:p w:rsidR="006F7F41" w:rsidRPr="00C75C7E" w:rsidRDefault="006F7F41" w:rsidP="008F4F69">
            <w:pPr>
              <w:keepNext/>
              <w:keepLines/>
              <w:ind w:right="161"/>
              <w:rPr>
                <w:bCs/>
                <w:sz w:val="16"/>
                <w:szCs w:val="16"/>
                <w:lang w:val="es-ES_tradnl"/>
              </w:rPr>
            </w:pPr>
          </w:p>
          <w:p w:rsidR="006F7F41" w:rsidRPr="00C75C7E" w:rsidRDefault="006F7F41" w:rsidP="008F4F69">
            <w:pPr>
              <w:keepNext/>
              <w:keepLines/>
              <w:ind w:right="161"/>
              <w:rPr>
                <w:bCs/>
                <w:sz w:val="16"/>
                <w:szCs w:val="16"/>
                <w:lang w:val="es-ES_tradnl"/>
              </w:rPr>
            </w:pPr>
            <w:r w:rsidRPr="00C75C7E">
              <w:rPr>
                <w:bCs/>
                <w:sz w:val="16"/>
                <w:szCs w:val="16"/>
                <w:lang w:val="es-ES_tradnl"/>
              </w:rPr>
              <w:t>ii) Aumento del 30% en el número total de retuiteos anuales.</w:t>
            </w:r>
          </w:p>
        </w:tc>
      </w:tr>
      <w:tr w:rsidR="006F7F41" w:rsidRPr="00C75C7E" w:rsidTr="008F4F69">
        <w:trPr>
          <w:cantSplit/>
          <w:trHeight w:val="646"/>
        </w:trPr>
        <w:tc>
          <w:tcPr>
            <w:tcW w:w="1249" w:type="pct"/>
            <w:shd w:val="clear" w:color="auto" w:fill="auto"/>
            <w:tcMar>
              <w:top w:w="113" w:type="dxa"/>
            </w:tcMar>
          </w:tcPr>
          <w:p w:rsidR="006F7F41" w:rsidRPr="00C75C7E" w:rsidRDefault="006F7F41" w:rsidP="008F4F69">
            <w:pPr>
              <w:rPr>
                <w:sz w:val="16"/>
                <w:szCs w:val="16"/>
                <w:lang w:val="es-ES_tradnl"/>
              </w:rPr>
            </w:pPr>
            <w:r w:rsidRPr="00C75C7E">
              <w:rPr>
                <w:sz w:val="16"/>
                <w:szCs w:val="16"/>
                <w:lang w:val="es-ES_tradnl"/>
              </w:rPr>
              <w:t>VIII.2. Mejora en la prestación de servicios y la atención de consultas.</w:t>
            </w:r>
          </w:p>
        </w:tc>
        <w:tc>
          <w:tcPr>
            <w:tcW w:w="1514" w:type="pct"/>
            <w:shd w:val="clear" w:color="auto" w:fill="auto"/>
            <w:tcMar>
              <w:top w:w="113" w:type="dxa"/>
            </w:tcMar>
          </w:tcPr>
          <w:p w:rsidR="006F7F41" w:rsidRPr="00C75C7E" w:rsidRDefault="006F7F41" w:rsidP="008F4F69">
            <w:pPr>
              <w:rPr>
                <w:sz w:val="16"/>
                <w:szCs w:val="16"/>
                <w:lang w:val="es-ES_tradnl"/>
              </w:rPr>
            </w:pPr>
            <w:r w:rsidRPr="00C75C7E">
              <w:rPr>
                <w:sz w:val="16"/>
                <w:szCs w:val="16"/>
                <w:lang w:val="es-ES_tradnl"/>
              </w:rPr>
              <w:t>Porcentaje de usuarios satisfechos con los servicios de la Biblioteca.</w:t>
            </w:r>
          </w:p>
        </w:tc>
        <w:tc>
          <w:tcPr>
            <w:tcW w:w="1156" w:type="pct"/>
            <w:shd w:val="clear" w:color="auto" w:fill="FFFFFF"/>
            <w:tcMar>
              <w:top w:w="113" w:type="dxa"/>
            </w:tcMar>
          </w:tcPr>
          <w:p w:rsidR="006F7F41" w:rsidRPr="00C75C7E" w:rsidRDefault="006F7F41" w:rsidP="008F4F69">
            <w:pPr>
              <w:rPr>
                <w:sz w:val="16"/>
                <w:szCs w:val="16"/>
                <w:lang w:val="es-ES_tradnl" w:bidi="th-TH"/>
              </w:rPr>
            </w:pPr>
            <w:r w:rsidRPr="00C75C7E">
              <w:rPr>
                <w:sz w:val="16"/>
                <w:szCs w:val="16"/>
                <w:lang w:val="es-ES_tradnl" w:bidi="th-TH"/>
              </w:rPr>
              <w:t>Por determinar.</w:t>
            </w:r>
          </w:p>
          <w:p w:rsidR="006F7F41" w:rsidRPr="00C75C7E" w:rsidRDefault="006F7F41" w:rsidP="008F4F69">
            <w:pPr>
              <w:rPr>
                <w:sz w:val="16"/>
                <w:szCs w:val="16"/>
                <w:lang w:val="es-ES_tradnl" w:bidi="th-TH"/>
              </w:rPr>
            </w:pPr>
          </w:p>
          <w:p w:rsidR="006F7F41" w:rsidRPr="00C75C7E" w:rsidRDefault="006F7F41" w:rsidP="008F4F69">
            <w:pPr>
              <w:rPr>
                <w:sz w:val="16"/>
                <w:szCs w:val="16"/>
                <w:lang w:val="es-ES_tradnl" w:bidi="th-TH"/>
              </w:rPr>
            </w:pPr>
          </w:p>
          <w:p w:rsidR="006F7F41" w:rsidRPr="00C75C7E" w:rsidRDefault="006F7F41" w:rsidP="008F4F69">
            <w:pPr>
              <w:rPr>
                <w:sz w:val="16"/>
                <w:szCs w:val="16"/>
                <w:lang w:val="es-ES_tradnl" w:bidi="th-TH"/>
              </w:rPr>
            </w:pPr>
          </w:p>
        </w:tc>
        <w:tc>
          <w:tcPr>
            <w:tcW w:w="1082" w:type="pct"/>
            <w:shd w:val="clear" w:color="auto" w:fill="auto"/>
            <w:tcMar>
              <w:top w:w="113" w:type="dxa"/>
            </w:tcMar>
          </w:tcPr>
          <w:p w:rsidR="006F7F41" w:rsidRPr="00C75C7E" w:rsidRDefault="006F7F41" w:rsidP="008F4F69">
            <w:pPr>
              <w:keepNext/>
              <w:keepLines/>
              <w:ind w:right="161"/>
              <w:rPr>
                <w:bCs/>
                <w:sz w:val="16"/>
                <w:szCs w:val="16"/>
                <w:lang w:val="es-ES_tradnl"/>
              </w:rPr>
            </w:pPr>
            <w:r w:rsidRPr="00C75C7E">
              <w:rPr>
                <w:bCs/>
                <w:sz w:val="16"/>
                <w:szCs w:val="16"/>
                <w:lang w:val="es-ES_tradnl"/>
              </w:rPr>
              <w:t>≥ 70 % visitantes y clientes de Internet satisfechos.</w:t>
            </w:r>
          </w:p>
        </w:tc>
      </w:tr>
      <w:tr w:rsidR="006F7F41" w:rsidRPr="00C75C7E" w:rsidTr="008F4F69">
        <w:trPr>
          <w:cantSplit/>
          <w:trHeight w:val="511"/>
        </w:trPr>
        <w:tc>
          <w:tcPr>
            <w:tcW w:w="1249" w:type="pct"/>
            <w:shd w:val="clear" w:color="auto" w:fill="auto"/>
            <w:tcMar>
              <w:top w:w="113" w:type="dxa"/>
            </w:tcMar>
          </w:tcPr>
          <w:p w:rsidR="006F7F41" w:rsidRPr="00C75C7E" w:rsidRDefault="006F7F41" w:rsidP="008F4F69">
            <w:pPr>
              <w:rPr>
                <w:sz w:val="16"/>
                <w:szCs w:val="16"/>
                <w:lang w:val="es-ES_tradnl"/>
              </w:rPr>
            </w:pPr>
          </w:p>
        </w:tc>
        <w:tc>
          <w:tcPr>
            <w:tcW w:w="1514" w:type="pct"/>
            <w:shd w:val="clear" w:color="auto" w:fill="auto"/>
            <w:tcMar>
              <w:top w:w="113" w:type="dxa"/>
            </w:tcMar>
          </w:tcPr>
          <w:p w:rsidR="006F7F41" w:rsidRPr="00C75C7E" w:rsidRDefault="006F7F41" w:rsidP="008F4F69">
            <w:pPr>
              <w:rPr>
                <w:sz w:val="16"/>
                <w:szCs w:val="16"/>
                <w:lang w:val="es-ES_tradnl"/>
              </w:rPr>
            </w:pPr>
            <w:r w:rsidRPr="00C75C7E">
              <w:rPr>
                <w:sz w:val="16"/>
                <w:szCs w:val="16"/>
                <w:lang w:val="es-ES_tradnl"/>
              </w:rPr>
              <w:t>Índice de satisfacción de los clientes/partes interesadas.</w:t>
            </w:r>
          </w:p>
        </w:tc>
        <w:tc>
          <w:tcPr>
            <w:tcW w:w="1156" w:type="pct"/>
            <w:shd w:val="clear" w:color="auto" w:fill="FFFFFF"/>
            <w:tcMar>
              <w:top w:w="113" w:type="dxa"/>
            </w:tcMar>
          </w:tcPr>
          <w:p w:rsidR="006F7F41" w:rsidRPr="00C75C7E" w:rsidRDefault="006F7F41" w:rsidP="008F4F69">
            <w:pPr>
              <w:rPr>
                <w:sz w:val="16"/>
                <w:szCs w:val="16"/>
                <w:lang w:val="es-ES_tradnl" w:bidi="th-TH"/>
              </w:rPr>
            </w:pPr>
            <w:r w:rsidRPr="00C75C7E">
              <w:rPr>
                <w:sz w:val="16"/>
                <w:szCs w:val="16"/>
                <w:lang w:val="es-ES_tradnl" w:bidi="th-TH"/>
              </w:rPr>
              <w:t>Resultados de la encuesta de 2012: el 86% de los usuarios de los sistemas de Madrid y de La Haya están satisfechos o muy satisfechos.</w:t>
            </w:r>
          </w:p>
        </w:tc>
        <w:tc>
          <w:tcPr>
            <w:tcW w:w="1082" w:type="pct"/>
            <w:shd w:val="clear" w:color="auto" w:fill="auto"/>
            <w:tcMar>
              <w:top w:w="113" w:type="dxa"/>
            </w:tcMar>
          </w:tcPr>
          <w:p w:rsidR="006F7F41" w:rsidRPr="00C75C7E" w:rsidRDefault="006F7F41" w:rsidP="008F4F69">
            <w:pPr>
              <w:keepNext/>
              <w:keepLines/>
              <w:ind w:right="161"/>
              <w:rPr>
                <w:bCs/>
                <w:sz w:val="16"/>
                <w:szCs w:val="16"/>
                <w:lang w:val="es-ES_tradnl"/>
              </w:rPr>
            </w:pPr>
            <w:r w:rsidRPr="00C75C7E">
              <w:rPr>
                <w:bCs/>
                <w:sz w:val="16"/>
                <w:szCs w:val="16"/>
                <w:lang w:val="es-ES_tradnl"/>
              </w:rPr>
              <w:t>≥ 86% satisfechos o muy satisfechos.</w:t>
            </w:r>
          </w:p>
        </w:tc>
      </w:tr>
      <w:tr w:rsidR="006F7F41" w:rsidRPr="00C75C7E" w:rsidTr="008F4F69">
        <w:trPr>
          <w:cantSplit/>
          <w:trHeight w:val="559"/>
        </w:trPr>
        <w:tc>
          <w:tcPr>
            <w:tcW w:w="1249" w:type="pct"/>
            <w:shd w:val="clear" w:color="auto" w:fill="auto"/>
            <w:tcMar>
              <w:top w:w="113" w:type="dxa"/>
            </w:tcMar>
          </w:tcPr>
          <w:p w:rsidR="006F7F41" w:rsidRPr="00C75C7E" w:rsidRDefault="006F7F41" w:rsidP="008F4F69">
            <w:pPr>
              <w:rPr>
                <w:sz w:val="16"/>
                <w:szCs w:val="16"/>
                <w:lang w:val="es-ES_tradnl"/>
              </w:rPr>
            </w:pPr>
          </w:p>
        </w:tc>
        <w:tc>
          <w:tcPr>
            <w:tcW w:w="1514" w:type="pct"/>
            <w:shd w:val="clear" w:color="auto" w:fill="auto"/>
            <w:tcMar>
              <w:top w:w="113" w:type="dxa"/>
            </w:tcMar>
          </w:tcPr>
          <w:p w:rsidR="006F7F41" w:rsidRPr="00C75C7E" w:rsidRDefault="006F7F41" w:rsidP="008F4F69">
            <w:pPr>
              <w:rPr>
                <w:sz w:val="16"/>
                <w:szCs w:val="16"/>
                <w:lang w:val="es-ES_tradnl"/>
              </w:rPr>
            </w:pPr>
            <w:r w:rsidRPr="00C75C7E">
              <w:rPr>
                <w:sz w:val="16"/>
                <w:szCs w:val="16"/>
                <w:lang w:val="es-ES_tradnl"/>
              </w:rPr>
              <w:t>Se cumplen los objetivos definidos en el sitio web de la OMPI para la calidad del servicio.</w:t>
            </w:r>
          </w:p>
        </w:tc>
        <w:tc>
          <w:tcPr>
            <w:tcW w:w="1156" w:type="pct"/>
            <w:shd w:val="clear" w:color="auto" w:fill="FFFFFF"/>
            <w:tcMar>
              <w:top w:w="113" w:type="dxa"/>
            </w:tcMar>
          </w:tcPr>
          <w:p w:rsidR="006F7F41" w:rsidRPr="00C75C7E" w:rsidRDefault="006F7F41" w:rsidP="008F4F69">
            <w:pPr>
              <w:rPr>
                <w:sz w:val="16"/>
                <w:szCs w:val="16"/>
                <w:lang w:val="es-ES_tradnl" w:bidi="th-TH"/>
              </w:rPr>
            </w:pPr>
            <w:r w:rsidRPr="00C75C7E">
              <w:rPr>
                <w:sz w:val="16"/>
                <w:szCs w:val="16"/>
                <w:lang w:val="es-ES_tradnl" w:bidi="th-TH"/>
              </w:rPr>
              <w:t>Por definir respecto de los ámbitos específicos.</w:t>
            </w:r>
          </w:p>
        </w:tc>
        <w:tc>
          <w:tcPr>
            <w:tcW w:w="1082" w:type="pct"/>
            <w:shd w:val="clear" w:color="auto" w:fill="auto"/>
            <w:tcMar>
              <w:top w:w="113" w:type="dxa"/>
            </w:tcMar>
          </w:tcPr>
          <w:p w:rsidR="006F7F41" w:rsidRPr="00C75C7E" w:rsidRDefault="006F7F41" w:rsidP="008F4F69">
            <w:pPr>
              <w:keepNext/>
              <w:keepLines/>
              <w:ind w:right="161"/>
              <w:rPr>
                <w:bCs/>
                <w:sz w:val="16"/>
                <w:szCs w:val="16"/>
                <w:lang w:val="es-ES_tradnl"/>
              </w:rPr>
            </w:pPr>
            <w:r w:rsidRPr="00C75C7E">
              <w:rPr>
                <w:bCs/>
                <w:sz w:val="16"/>
                <w:szCs w:val="16"/>
                <w:lang w:val="es-ES_tradnl"/>
              </w:rPr>
              <w:t>Por definir respecto de los ámbitos específicos.</w:t>
            </w:r>
          </w:p>
        </w:tc>
      </w:tr>
    </w:tbl>
    <w:p w:rsidR="006F7F41" w:rsidRDefault="006F7F41" w:rsidP="006F7F41">
      <w:pPr>
        <w:rPr>
          <w:szCs w:val="22"/>
          <w:highlight w:val="yellow"/>
          <w:lang w:val="es-ES_tradnl"/>
        </w:rPr>
      </w:pPr>
    </w:p>
    <w:p w:rsidR="00F21127" w:rsidRDefault="00F21127" w:rsidP="006F7F41">
      <w:pPr>
        <w:rPr>
          <w:szCs w:val="22"/>
          <w:highlight w:val="yellow"/>
          <w:lang w:val="es-ES_tradnl"/>
        </w:rPr>
      </w:pPr>
    </w:p>
    <w:p w:rsidR="000E3B25" w:rsidRPr="00AD1E8B" w:rsidRDefault="000E3B25" w:rsidP="000E3B25">
      <w:pPr>
        <w:widowControl w:val="0"/>
        <w:autoSpaceDE w:val="0"/>
        <w:autoSpaceDN w:val="0"/>
        <w:adjustRightInd w:val="0"/>
        <w:jc w:val="both"/>
        <w:rPr>
          <w:szCs w:val="22"/>
          <w:lang w:val="es-ES_tradnl"/>
        </w:rPr>
      </w:pPr>
      <w:r w:rsidRPr="00AD1E8B">
        <w:rPr>
          <w:szCs w:val="22"/>
          <w:lang w:val="es-ES_tradnl"/>
        </w:rPr>
        <w:t>RECURSOS PARA EL PROGRAMA 19</w:t>
      </w:r>
    </w:p>
    <w:p w:rsidR="000E3B25" w:rsidRPr="00AD1E8B" w:rsidRDefault="000E3B25" w:rsidP="000E3B25">
      <w:pPr>
        <w:widowControl w:val="0"/>
        <w:autoSpaceDE w:val="0"/>
        <w:autoSpaceDN w:val="0"/>
        <w:adjustRightInd w:val="0"/>
        <w:jc w:val="both"/>
        <w:rPr>
          <w:sz w:val="20"/>
          <w:lang w:val="es-ES_tradnl"/>
        </w:rPr>
      </w:pPr>
    </w:p>
    <w:p w:rsidR="000E3B25" w:rsidRPr="00AD1E8B" w:rsidRDefault="000E3B25" w:rsidP="00E17471">
      <w:pPr>
        <w:widowControl w:val="0"/>
        <w:numPr>
          <w:ilvl w:val="0"/>
          <w:numId w:val="13"/>
        </w:numPr>
        <w:jc w:val="both"/>
        <w:rPr>
          <w:sz w:val="20"/>
          <w:lang w:val="es-ES_tradnl"/>
        </w:rPr>
      </w:pPr>
      <w:r w:rsidRPr="00AD1E8B">
        <w:rPr>
          <w:sz w:val="20"/>
          <w:lang w:val="es-ES_tradnl"/>
        </w:rPr>
        <w:t xml:space="preserve">El decremento de los recursos asignados al resultado VIII.1 (Comunicación más eficaz con el público en general acerca de la P.I. y la función de la OMPI) representa una prestación más costo-eficaz </w:t>
      </w:r>
      <w:r w:rsidRPr="00AD1E8B">
        <w:rPr>
          <w:sz w:val="20"/>
          <w:lang w:val="es-ES_tradnl"/>
        </w:rPr>
        <w:lastRenderedPageBreak/>
        <w:t>de dichos servicios, lo que se refleja asimismo en el decremento registrado por la mayor parte de las categorías de costo no pertinentes al personal.  Dicho decremento compensa el incremento de los recursos de personal asignados a este resultado a raíz de la aplicación de la estrategia encaminada a fortalecer las competencias de TIC en determinados sectores de actividad.</w:t>
      </w:r>
    </w:p>
    <w:p w:rsidR="000E3B25" w:rsidRPr="00AD1E8B" w:rsidRDefault="000E3B25" w:rsidP="000E3B25">
      <w:pPr>
        <w:widowControl w:val="0"/>
        <w:jc w:val="both"/>
        <w:rPr>
          <w:sz w:val="20"/>
          <w:lang w:val="es-ES_tradnl"/>
        </w:rPr>
      </w:pPr>
    </w:p>
    <w:p w:rsidR="000E3B25" w:rsidRPr="00AD1E8B" w:rsidRDefault="000E3B25" w:rsidP="00E17471">
      <w:pPr>
        <w:widowControl w:val="0"/>
        <w:numPr>
          <w:ilvl w:val="0"/>
          <w:numId w:val="13"/>
        </w:numPr>
        <w:jc w:val="both"/>
        <w:rPr>
          <w:sz w:val="20"/>
          <w:lang w:val="es-ES_tradnl"/>
        </w:rPr>
      </w:pPr>
      <w:r w:rsidRPr="00AD1E8B">
        <w:rPr>
          <w:sz w:val="20"/>
          <w:lang w:val="es-ES_tradnl"/>
        </w:rPr>
        <w:t xml:space="preserve">El incremento de los recursos asignados al resultado VIII.2 (Mejora en la prestación de servicios y la atención de consultas) dimana de una actitud más orientada hacia el cliente y de una mayor voluntad de servicio, lo que se refleja tanto en el incremento propuesto de los servicios contractuales individuales como en el incremento de los costos de personal.  </w:t>
      </w:r>
    </w:p>
    <w:p w:rsidR="000E3B25" w:rsidRPr="00AD1E8B" w:rsidRDefault="000E3B25" w:rsidP="00542C2B">
      <w:pPr>
        <w:keepNext/>
        <w:widowControl w:val="0"/>
        <w:jc w:val="both"/>
        <w:rPr>
          <w:sz w:val="20"/>
          <w:lang w:val="es-ES_tradnl"/>
        </w:rPr>
      </w:pPr>
    </w:p>
    <w:p w:rsidR="000E3B25" w:rsidRPr="00C75C7E" w:rsidRDefault="000E3B25" w:rsidP="00542C2B">
      <w:pPr>
        <w:keepNext/>
        <w:rPr>
          <w:szCs w:val="22"/>
          <w:highlight w:val="yellow"/>
          <w:lang w:val="es-ES_tradnl"/>
        </w:rPr>
      </w:pPr>
    </w:p>
    <w:p w:rsidR="006F7F41" w:rsidRPr="00C75C7E" w:rsidRDefault="00F50540" w:rsidP="00542C2B">
      <w:pPr>
        <w:keepNext/>
        <w:widowControl w:val="0"/>
        <w:autoSpaceDE w:val="0"/>
        <w:autoSpaceDN w:val="0"/>
        <w:adjustRightInd w:val="0"/>
        <w:jc w:val="center"/>
        <w:rPr>
          <w:b/>
          <w:bCs/>
          <w:iCs/>
          <w:sz w:val="20"/>
          <w:lang w:val="es-ES_tradnl"/>
        </w:rPr>
      </w:pPr>
      <w:r>
        <w:rPr>
          <w:b/>
          <w:bCs/>
          <w:iCs/>
          <w:sz w:val="20"/>
          <w:lang w:val="es-ES_tradnl"/>
        </w:rPr>
        <w:t xml:space="preserve">Programa 19:  </w:t>
      </w:r>
      <w:r w:rsidR="006F7F41" w:rsidRPr="00C75C7E">
        <w:rPr>
          <w:b/>
          <w:bCs/>
          <w:iCs/>
          <w:sz w:val="20"/>
          <w:lang w:val="es-ES_tradnl"/>
        </w:rPr>
        <w:t>Recursos por resultado</w:t>
      </w:r>
    </w:p>
    <w:p w:rsidR="006F7F41" w:rsidRPr="00C75C7E" w:rsidRDefault="006F7F41" w:rsidP="00542C2B">
      <w:pPr>
        <w:keepNext/>
        <w:widowControl w:val="0"/>
        <w:autoSpaceDE w:val="0"/>
        <w:autoSpaceDN w:val="0"/>
        <w:adjustRightInd w:val="0"/>
        <w:jc w:val="center"/>
        <w:rPr>
          <w:bCs/>
          <w:i/>
          <w:sz w:val="20"/>
          <w:lang w:val="es-ES_tradnl"/>
        </w:rPr>
      </w:pPr>
      <w:r w:rsidRPr="00C75C7E">
        <w:rPr>
          <w:bCs/>
          <w:i/>
          <w:sz w:val="20"/>
          <w:lang w:val="es-ES_tradnl"/>
        </w:rPr>
        <w:t>(en miles de francos suizos)</w:t>
      </w:r>
    </w:p>
    <w:p w:rsidR="006F7F41" w:rsidRPr="00C75C7E" w:rsidRDefault="006F7F41" w:rsidP="00542C2B">
      <w:pPr>
        <w:keepNext/>
        <w:widowControl w:val="0"/>
        <w:jc w:val="both"/>
        <w:rPr>
          <w:sz w:val="20"/>
          <w:lang w:val="es-ES_tradnl"/>
        </w:rPr>
      </w:pPr>
    </w:p>
    <w:p w:rsidR="006F7F41" w:rsidRPr="00C75C7E" w:rsidRDefault="00C40A11" w:rsidP="00542C2B">
      <w:pPr>
        <w:keepNext/>
        <w:widowControl w:val="0"/>
        <w:jc w:val="both"/>
        <w:rPr>
          <w:sz w:val="20"/>
          <w:lang w:val="es-ES_tradnl"/>
        </w:rPr>
      </w:pPr>
      <w:r>
        <w:rPr>
          <w:noProof/>
          <w:lang w:val="en-US" w:eastAsia="en-US"/>
        </w:rPr>
        <w:drawing>
          <wp:inline distT="0" distB="0" distL="0" distR="0" wp14:anchorId="0A3997F3" wp14:editId="5E8705A4">
            <wp:extent cx="5752465" cy="1466850"/>
            <wp:effectExtent l="0" t="0" r="635" b="0"/>
            <wp:docPr id="62"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752465" cy="1466850"/>
                    </a:xfrm>
                    <a:prstGeom prst="rect">
                      <a:avLst/>
                    </a:prstGeom>
                    <a:noFill/>
                    <a:ln>
                      <a:noFill/>
                    </a:ln>
                  </pic:spPr>
                </pic:pic>
              </a:graphicData>
            </a:graphic>
          </wp:inline>
        </w:drawing>
      </w:r>
    </w:p>
    <w:p w:rsidR="006F7F41" w:rsidRPr="00C75C7E" w:rsidRDefault="006F7F41" w:rsidP="006F7F41">
      <w:pPr>
        <w:widowControl w:val="0"/>
        <w:jc w:val="both"/>
        <w:rPr>
          <w:sz w:val="20"/>
          <w:lang w:val="es-ES_tradnl"/>
        </w:rPr>
      </w:pPr>
    </w:p>
    <w:p w:rsidR="006F7F41" w:rsidRPr="00C75C7E" w:rsidRDefault="006F7F41" w:rsidP="006F7F41">
      <w:pPr>
        <w:autoSpaceDE w:val="0"/>
        <w:autoSpaceDN w:val="0"/>
        <w:adjustRightInd w:val="0"/>
        <w:rPr>
          <w:sz w:val="20"/>
          <w:lang w:val="es-ES_tradnl"/>
        </w:rPr>
      </w:pPr>
      <w:r w:rsidRPr="00C75C7E">
        <w:rPr>
          <w:sz w:val="16"/>
          <w:szCs w:val="16"/>
          <w:lang w:val="es-ES_tradnl"/>
        </w:rPr>
        <w:t>Nota:</w:t>
      </w:r>
      <w:r w:rsidR="00F604EF">
        <w:rPr>
          <w:sz w:val="16"/>
          <w:szCs w:val="16"/>
          <w:lang w:val="es-ES_tradnl"/>
        </w:rPr>
        <w:t xml:space="preserve"> </w:t>
      </w:r>
      <w:r w:rsidRPr="00C75C7E">
        <w:rPr>
          <w:sz w:val="16"/>
          <w:szCs w:val="16"/>
          <w:lang w:val="es-ES_tradnl"/>
        </w:rPr>
        <w:t xml:space="preserve"> Se ha reexpresado el presupuesto aprobado de 2012/13 y el presupuesto de dicho bienio después de las transferencias, por resultado previsto, para reflejar el marco de resultados de la Organización propuesto para 2014/15.</w:t>
      </w:r>
    </w:p>
    <w:p w:rsidR="006F7F41" w:rsidRPr="00C75C7E" w:rsidRDefault="006F7F41" w:rsidP="006F7F41">
      <w:pPr>
        <w:widowControl w:val="0"/>
        <w:jc w:val="both"/>
        <w:rPr>
          <w:sz w:val="20"/>
          <w:highlight w:val="yellow"/>
          <w:lang w:val="es-ES_tradnl"/>
        </w:rPr>
      </w:pPr>
    </w:p>
    <w:p w:rsidR="006F7F41" w:rsidRPr="00C75C7E" w:rsidRDefault="00F50540" w:rsidP="00542C2B">
      <w:pPr>
        <w:keepNext/>
        <w:autoSpaceDE w:val="0"/>
        <w:autoSpaceDN w:val="0"/>
        <w:adjustRightInd w:val="0"/>
        <w:ind w:firstLine="567"/>
        <w:jc w:val="center"/>
        <w:rPr>
          <w:b/>
          <w:bCs/>
          <w:iCs/>
          <w:sz w:val="20"/>
          <w:lang w:val="es-ES_tradnl"/>
        </w:rPr>
      </w:pPr>
      <w:r>
        <w:rPr>
          <w:b/>
          <w:bCs/>
          <w:iCs/>
          <w:sz w:val="20"/>
          <w:lang w:val="es-ES_tradnl"/>
        </w:rPr>
        <w:lastRenderedPageBreak/>
        <w:t xml:space="preserve">Programa 19:  </w:t>
      </w:r>
      <w:r w:rsidR="006F7F41" w:rsidRPr="00C75C7E">
        <w:rPr>
          <w:b/>
          <w:bCs/>
          <w:iCs/>
          <w:sz w:val="20"/>
          <w:lang w:val="es-ES_tradnl"/>
        </w:rPr>
        <w:t>Recursos por objeto de gasto</w:t>
      </w:r>
    </w:p>
    <w:p w:rsidR="006F7F41" w:rsidRPr="00C75C7E" w:rsidRDefault="006F7F41" w:rsidP="00542C2B">
      <w:pPr>
        <w:keepNext/>
        <w:autoSpaceDE w:val="0"/>
        <w:autoSpaceDN w:val="0"/>
        <w:adjustRightInd w:val="0"/>
        <w:ind w:firstLine="567"/>
        <w:jc w:val="center"/>
        <w:rPr>
          <w:bCs/>
          <w:i/>
          <w:sz w:val="20"/>
          <w:lang w:val="es-ES_tradnl"/>
        </w:rPr>
      </w:pPr>
      <w:r w:rsidRPr="00C75C7E">
        <w:rPr>
          <w:bCs/>
          <w:i/>
          <w:sz w:val="20"/>
          <w:lang w:val="es-ES_tradnl"/>
        </w:rPr>
        <w:t>(en miles de francos suizos)</w:t>
      </w:r>
    </w:p>
    <w:p w:rsidR="006F7F41" w:rsidRDefault="006F7F41" w:rsidP="00542C2B">
      <w:pPr>
        <w:keepNext/>
        <w:jc w:val="center"/>
        <w:rPr>
          <w:sz w:val="20"/>
          <w:lang w:val="es-ES_tradnl"/>
        </w:rPr>
      </w:pPr>
    </w:p>
    <w:p w:rsidR="001E5683" w:rsidRPr="00C75C7E" w:rsidRDefault="00C40A11" w:rsidP="00542C2B">
      <w:pPr>
        <w:keepNext/>
        <w:jc w:val="center"/>
        <w:rPr>
          <w:sz w:val="20"/>
          <w:lang w:val="es-ES_tradnl"/>
        </w:rPr>
      </w:pPr>
      <w:r>
        <w:rPr>
          <w:noProof/>
          <w:lang w:val="en-US" w:eastAsia="en-US"/>
        </w:rPr>
        <w:drawing>
          <wp:inline distT="0" distB="0" distL="0" distR="0" wp14:anchorId="7CF03F8A" wp14:editId="27C27E9B">
            <wp:extent cx="5936615" cy="5739130"/>
            <wp:effectExtent l="0" t="0" r="6985"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5936615" cy="5739130"/>
                    </a:xfrm>
                    <a:prstGeom prst="rect">
                      <a:avLst/>
                    </a:prstGeom>
                    <a:noFill/>
                    <a:ln>
                      <a:noFill/>
                    </a:ln>
                  </pic:spPr>
                </pic:pic>
              </a:graphicData>
            </a:graphic>
          </wp:inline>
        </w:drawing>
      </w:r>
    </w:p>
    <w:p w:rsidR="006F7F41" w:rsidRPr="00C75C7E" w:rsidRDefault="006F7F41" w:rsidP="006F7F41">
      <w:pPr>
        <w:rPr>
          <w:sz w:val="16"/>
          <w:szCs w:val="16"/>
          <w:lang w:val="es-ES_tradnl"/>
        </w:rPr>
      </w:pPr>
    </w:p>
    <w:p w:rsidR="006F7F41" w:rsidRPr="00C75C7E" w:rsidRDefault="006F7F41" w:rsidP="006F7F41">
      <w:pPr>
        <w:widowControl w:val="0"/>
        <w:rPr>
          <w:sz w:val="16"/>
          <w:szCs w:val="16"/>
          <w:lang w:val="es-ES_tradnl"/>
        </w:rPr>
      </w:pPr>
      <w:r w:rsidRPr="00C75C7E">
        <w:rPr>
          <w:sz w:val="16"/>
          <w:szCs w:val="16"/>
          <w:lang w:val="es-ES_tradnl"/>
        </w:rPr>
        <w:t>Notas:</w:t>
      </w:r>
    </w:p>
    <w:p w:rsidR="006F7F41" w:rsidRPr="00C75C7E" w:rsidRDefault="006F7F41" w:rsidP="006F7F41">
      <w:pPr>
        <w:widowControl w:val="0"/>
        <w:rPr>
          <w:sz w:val="16"/>
          <w:szCs w:val="16"/>
          <w:u w:val="single"/>
          <w:lang w:val="es-ES_tradnl"/>
        </w:rPr>
      </w:pPr>
    </w:p>
    <w:p w:rsidR="006F7F41" w:rsidRPr="00C75C7E" w:rsidRDefault="00542C2B" w:rsidP="006F7F41">
      <w:pPr>
        <w:widowControl w:val="0"/>
        <w:spacing w:after="120"/>
        <w:rPr>
          <w:sz w:val="16"/>
          <w:szCs w:val="16"/>
          <w:lang w:val="es-ES_tradnl"/>
        </w:rPr>
      </w:pPr>
      <w:r>
        <w:rPr>
          <w:sz w:val="16"/>
          <w:szCs w:val="16"/>
          <w:lang w:val="es-ES_tradnl"/>
        </w:rPr>
        <w:t xml:space="preserve">1)  </w:t>
      </w:r>
      <w:r w:rsidR="006F7F41" w:rsidRPr="00C75C7E">
        <w:rPr>
          <w:sz w:val="16"/>
          <w:szCs w:val="16"/>
          <w:lang w:val="es-ES_tradnl"/>
        </w:rPr>
        <w:t>El presupuesto aprobado de 2012/13 y el presupuesto de dicho bienio después de las transferencias se reexpresan sobre la base de la estructura de categorías de costos propuesta para 2014/15.</w:t>
      </w:r>
    </w:p>
    <w:p w:rsidR="006F7F41" w:rsidRPr="00C75C7E" w:rsidRDefault="00542C2B" w:rsidP="006F7F41">
      <w:pPr>
        <w:widowControl w:val="0"/>
        <w:spacing w:after="120"/>
        <w:rPr>
          <w:sz w:val="16"/>
          <w:szCs w:val="16"/>
          <w:lang w:val="es-ES_tradnl"/>
        </w:rPr>
      </w:pPr>
      <w:r>
        <w:rPr>
          <w:sz w:val="16"/>
          <w:szCs w:val="16"/>
          <w:lang w:val="es-ES_tradnl"/>
        </w:rPr>
        <w:t xml:space="preserve">2)  </w:t>
      </w:r>
      <w:r w:rsidR="006F7F41" w:rsidRPr="00C75C7E">
        <w:rPr>
          <w:sz w:val="16"/>
          <w:szCs w:val="16"/>
          <w:lang w:val="es-ES_tradnl"/>
        </w:rPr>
        <w:t>El presupuesto después de las transferencias refleja el presupuesto de los programas ajustado tras las transferencias efectuadas en 2012/13 en virtud del artículo 5.5 del Reglamento Financiero. Para más información sobre el presupuesto de</w:t>
      </w:r>
      <w:r w:rsidR="00D86F03">
        <w:rPr>
          <w:sz w:val="16"/>
          <w:szCs w:val="16"/>
          <w:lang w:val="es-ES_tradnl"/>
        </w:rPr>
        <w:t> </w:t>
      </w:r>
      <w:r w:rsidR="006F7F41" w:rsidRPr="00C75C7E">
        <w:rPr>
          <w:sz w:val="16"/>
          <w:szCs w:val="16"/>
          <w:lang w:val="es-ES_tradnl"/>
        </w:rPr>
        <w:t xml:space="preserve">2012/13 después de las transferencias, cabe remitirse al cuadro que figura en el Anexo I (Presupuesto después de las transferencias, por programa) del presente documento y al documento WO/PBC/20/2 (Informe sobre el rendimiento de los programas en 2012).  </w:t>
      </w:r>
      <w:r w:rsidR="006F7F41" w:rsidRPr="00C75C7E">
        <w:rPr>
          <w:rFonts w:cs="ArialMT"/>
          <w:sz w:val="16"/>
          <w:szCs w:val="16"/>
          <w:lang w:val="es-ES_tradnl"/>
        </w:rPr>
        <w:t xml:space="preserve">Los costos de personal del presupuesto de 2012/13 después de las transferencias representan los gastos reales efectuados hasta el 31 de marzo de 2013 y los importes presupuestados para los nueve meses restantes de 2013, sobre la base de costos estándar. </w:t>
      </w:r>
    </w:p>
    <w:p w:rsidR="006F7F41" w:rsidRPr="00C75C7E" w:rsidRDefault="00542C2B" w:rsidP="006F7F41">
      <w:pPr>
        <w:widowControl w:val="0"/>
        <w:spacing w:after="120"/>
        <w:rPr>
          <w:sz w:val="20"/>
          <w:highlight w:val="yellow"/>
          <w:lang w:val="es-ES_tradnl"/>
        </w:rPr>
      </w:pPr>
      <w:r>
        <w:rPr>
          <w:sz w:val="16"/>
          <w:szCs w:val="16"/>
          <w:lang w:val="es-ES_tradnl"/>
        </w:rPr>
        <w:t xml:space="preserve">3)  </w:t>
      </w:r>
      <w:r w:rsidR="006F7F41" w:rsidRPr="00C75C7E">
        <w:rPr>
          <w:sz w:val="16"/>
          <w:szCs w:val="16"/>
          <w:lang w:val="es-ES_tradnl"/>
        </w:rPr>
        <w:t>Para más información sobre los puestos del programa cabe remitirse al cuadro que figura en el Anexo II.</w:t>
      </w:r>
    </w:p>
    <w:p w:rsidR="000E3B25" w:rsidRPr="000E3B25" w:rsidRDefault="006F7F41" w:rsidP="00C42F2A">
      <w:pPr>
        <w:pStyle w:val="Heading3"/>
        <w:tabs>
          <w:tab w:val="left" w:pos="1985"/>
        </w:tabs>
        <w:ind w:left="1985" w:hanging="1985"/>
        <w:rPr>
          <w:b/>
          <w:u w:val="none"/>
          <w:lang w:val="es-ES_tradnl"/>
        </w:rPr>
      </w:pPr>
      <w:r w:rsidRPr="00C75C7E">
        <w:rPr>
          <w:sz w:val="20"/>
          <w:lang w:val="es-ES_tradnl"/>
        </w:rPr>
        <w:br w:type="page"/>
      </w:r>
      <w:bookmarkStart w:id="71" w:name="_Toc356567774"/>
      <w:bookmarkStart w:id="72" w:name="_Toc358816712"/>
      <w:r w:rsidR="00BE322F" w:rsidRPr="00BE322F">
        <w:rPr>
          <w:b/>
          <w:u w:val="none"/>
          <w:lang w:val="es-ES_tradnl"/>
        </w:rPr>
        <w:lastRenderedPageBreak/>
        <w:t>PROGRAMA 20</w:t>
      </w:r>
      <w:r w:rsidR="00BE322F" w:rsidRPr="00BE322F">
        <w:rPr>
          <w:b/>
          <w:u w:val="none"/>
          <w:lang w:val="es-ES_tradnl"/>
        </w:rPr>
        <w:tab/>
      </w:r>
      <w:r w:rsidR="00BE322F" w:rsidRPr="00F21127">
        <w:rPr>
          <w:b/>
          <w:iCs/>
          <w:caps/>
          <w:u w:val="none"/>
        </w:rPr>
        <w:t>RELACIONES</w:t>
      </w:r>
      <w:r w:rsidR="00BE322F" w:rsidRPr="00BE322F">
        <w:rPr>
          <w:b/>
          <w:u w:val="none"/>
          <w:lang w:val="es-ES_tradnl"/>
        </w:rPr>
        <w:t xml:space="preserve"> EXTERIORES, ALIANZAS Y OFICINAS </w:t>
      </w:r>
      <w:r w:rsidR="00C42F2A">
        <w:rPr>
          <w:b/>
          <w:u w:val="none"/>
          <w:lang w:val="es-ES_tradnl"/>
        </w:rPr>
        <w:t>EN EL EXTERIOR</w:t>
      </w:r>
      <w:bookmarkEnd w:id="71"/>
      <w:bookmarkEnd w:id="72"/>
    </w:p>
    <w:p w:rsidR="000E3B25" w:rsidRPr="00AD1E8B" w:rsidRDefault="000E3B25" w:rsidP="000E3B25">
      <w:pPr>
        <w:tabs>
          <w:tab w:val="left" w:pos="2268"/>
        </w:tabs>
        <w:ind w:left="2268" w:hanging="2268"/>
        <w:rPr>
          <w:b/>
          <w:sz w:val="20"/>
          <w:lang w:val="es-ES_tradnl"/>
        </w:rPr>
      </w:pPr>
    </w:p>
    <w:p w:rsidR="000E3B25" w:rsidRPr="00AD1E8B" w:rsidRDefault="000E3B25" w:rsidP="000E3B25">
      <w:pPr>
        <w:tabs>
          <w:tab w:val="left" w:pos="2268"/>
        </w:tabs>
        <w:ind w:left="2268" w:hanging="2268"/>
        <w:rPr>
          <w:b/>
          <w:sz w:val="20"/>
          <w:lang w:val="es-ES_tradnl"/>
        </w:rPr>
      </w:pPr>
    </w:p>
    <w:p w:rsidR="000E3B25" w:rsidRPr="00AD1E8B" w:rsidRDefault="000E3B25" w:rsidP="000E3B25">
      <w:pPr>
        <w:rPr>
          <w:szCs w:val="22"/>
          <w:lang w:val="es-ES_tradnl"/>
        </w:rPr>
      </w:pPr>
      <w:r w:rsidRPr="00AD1E8B">
        <w:rPr>
          <w:szCs w:val="22"/>
          <w:lang w:val="es-ES_tradnl"/>
        </w:rPr>
        <w:t>CONTEXTO DE PLANIFICACIÓN</w:t>
      </w:r>
      <w:r w:rsidR="00F21127">
        <w:rPr>
          <w:szCs w:val="22"/>
          <w:lang w:val="es-ES_tradnl"/>
        </w:rPr>
        <w:t xml:space="preserve"> </w:t>
      </w:r>
    </w:p>
    <w:p w:rsidR="000E3B25" w:rsidRPr="00AD1E8B" w:rsidRDefault="000E3B25" w:rsidP="000E3B25">
      <w:pPr>
        <w:tabs>
          <w:tab w:val="num" w:pos="709"/>
        </w:tabs>
        <w:jc w:val="both"/>
        <w:rPr>
          <w:bCs/>
          <w:sz w:val="20"/>
          <w:lang w:val="es-ES_tradnl"/>
        </w:rPr>
      </w:pPr>
    </w:p>
    <w:p w:rsidR="000E3B25" w:rsidRPr="00AD1E8B" w:rsidRDefault="000E3B25" w:rsidP="00E17471">
      <w:pPr>
        <w:numPr>
          <w:ilvl w:val="0"/>
          <w:numId w:val="14"/>
        </w:numPr>
        <w:jc w:val="both"/>
        <w:rPr>
          <w:bCs/>
          <w:sz w:val="20"/>
          <w:lang w:val="es-ES_tradnl"/>
        </w:rPr>
      </w:pPr>
      <w:r w:rsidRPr="00AD1E8B">
        <w:rPr>
          <w:bCs/>
          <w:sz w:val="20"/>
          <w:lang w:val="es-ES_tradnl"/>
        </w:rPr>
        <w:t xml:space="preserve">En esta época caracterizada por la existencia de desafíos de política pública cada vez más interrelacionados y globalizados, el mundo ha presenciado un correspondiente incremento de la irrupción e influencia  de una multiplicidad de actores en los procesos internacionales de adopción de políticas.  En este contexto, la OMPI recurre a las competencias y la experiencia de una variada gama de instancias interesadas:  organismos de las NN.UU., organizaciones intergubernamentales (OIG) y entidades interesadas no gubernamentales, por ejemplo organizaciones no gubernamentales (ONG), empresas privadas y la sociedad civil en general, para dar cumplimiento a su misión de promover la innovación y la creatividad a través de un sistema internacional eficaz y equilibrado de P.I. en aras del desarrollo económico, social y cultural de todos los países.  El programa 20 procura establecer alianzas y fomentar una cooperación reforzada y receptiva con dichos actores al objeto de fomentar las sinergias, la colaboración y la cooperación necesarias para gestionar mejor la intersección entre la P.I. y los desafíos de política pública mundial.   </w:t>
      </w:r>
    </w:p>
    <w:p w:rsidR="000E3B25" w:rsidRPr="00AD1E8B" w:rsidRDefault="000E3B25" w:rsidP="000E3B25">
      <w:pPr>
        <w:tabs>
          <w:tab w:val="num" w:pos="709"/>
        </w:tabs>
        <w:jc w:val="both"/>
        <w:rPr>
          <w:bCs/>
          <w:sz w:val="20"/>
          <w:lang w:val="es-ES_tradnl"/>
        </w:rPr>
      </w:pPr>
    </w:p>
    <w:p w:rsidR="000E3B25" w:rsidRPr="00AD1E8B" w:rsidRDefault="000E3B25" w:rsidP="00E17471">
      <w:pPr>
        <w:numPr>
          <w:ilvl w:val="0"/>
          <w:numId w:val="14"/>
        </w:numPr>
        <w:jc w:val="both"/>
        <w:rPr>
          <w:bCs/>
          <w:sz w:val="20"/>
          <w:lang w:val="es-ES_tradnl"/>
        </w:rPr>
      </w:pPr>
      <w:r w:rsidRPr="00AD1E8B">
        <w:rPr>
          <w:bCs/>
          <w:sz w:val="20"/>
          <w:lang w:val="es-ES_tradnl"/>
        </w:rPr>
        <w:t xml:space="preserve">En el bienio 2014/15 la comunidad internacional habrá de afrontar una serie de importantes retos mundiales que afectan especialmente a la OMPI, a saber :  los esfuerzos de las NN.UU. para acelerar la consecución de los Objetivos de </w:t>
      </w:r>
      <w:r>
        <w:rPr>
          <w:bCs/>
          <w:sz w:val="20"/>
          <w:lang w:val="es-ES_tradnl"/>
        </w:rPr>
        <w:t>d</w:t>
      </w:r>
      <w:r w:rsidRPr="00AD1E8B">
        <w:rPr>
          <w:bCs/>
          <w:sz w:val="20"/>
          <w:lang w:val="es-ES_tradnl"/>
        </w:rPr>
        <w:t xml:space="preserve">esarrollo del </w:t>
      </w:r>
      <w:r>
        <w:rPr>
          <w:bCs/>
          <w:sz w:val="20"/>
          <w:lang w:val="es-ES_tradnl"/>
        </w:rPr>
        <w:t>m</w:t>
      </w:r>
      <w:r w:rsidRPr="00AD1E8B">
        <w:rPr>
          <w:bCs/>
          <w:sz w:val="20"/>
          <w:lang w:val="es-ES_tradnl"/>
        </w:rPr>
        <w:t xml:space="preserve">ilenio (ODM);  la elaboración del Marco de </w:t>
      </w:r>
      <w:r>
        <w:rPr>
          <w:bCs/>
          <w:sz w:val="20"/>
          <w:lang w:val="es-ES_tradnl"/>
        </w:rPr>
        <w:t>d</w:t>
      </w:r>
      <w:r w:rsidRPr="00AD1E8B">
        <w:rPr>
          <w:bCs/>
          <w:sz w:val="20"/>
          <w:lang w:val="es-ES_tradnl"/>
        </w:rPr>
        <w:t xml:space="preserve">esarrollo post-2015 y la aplicación de los resultados de la Conferencia de Río+20; las negociaciones tendentes a la adición de un nuevo resultado jurídico de la Convención Marco de las NN.UU sobre el </w:t>
      </w:r>
      <w:r>
        <w:rPr>
          <w:bCs/>
          <w:sz w:val="20"/>
          <w:lang w:val="es-ES_tradnl"/>
        </w:rPr>
        <w:t>c</w:t>
      </w:r>
      <w:r w:rsidRPr="00AD1E8B">
        <w:rPr>
          <w:bCs/>
          <w:sz w:val="20"/>
          <w:lang w:val="es-ES_tradnl"/>
        </w:rPr>
        <w:t xml:space="preserve">ambio </w:t>
      </w:r>
      <w:r>
        <w:rPr>
          <w:bCs/>
          <w:sz w:val="20"/>
          <w:lang w:val="es-ES_tradnl"/>
        </w:rPr>
        <w:t>c</w:t>
      </w:r>
      <w:r w:rsidRPr="00AD1E8B">
        <w:rPr>
          <w:bCs/>
          <w:sz w:val="20"/>
          <w:lang w:val="es-ES_tradnl"/>
        </w:rPr>
        <w:t xml:space="preserve">limático (CMNUCC), cuya firma se halla prevista para 2015 en París; la creación del Mecanismo de </w:t>
      </w:r>
      <w:r>
        <w:rPr>
          <w:bCs/>
          <w:sz w:val="20"/>
          <w:lang w:val="es-ES_tradnl"/>
        </w:rPr>
        <w:t>t</w:t>
      </w:r>
      <w:r w:rsidRPr="00AD1E8B">
        <w:rPr>
          <w:bCs/>
          <w:sz w:val="20"/>
          <w:lang w:val="es-ES_tradnl"/>
        </w:rPr>
        <w:t>ecnología de la CMNUCC;  y la revisión de la Cumbre Mundial sobre la Sociedad de la Información (CMSI).  Cada uno de estos procesos y desafíos presenta una vertiente relacionada con el funcionamiento del sistema de P.I.  La OMPI puede realizar una importante contribución suministrando información equilibrada de base empírica (una aportación que se le reclama cada vez más). El establecimiento de alianzas con organizaciones de las NN.UU., OIG y otras partes interesadas es fundamental a este respecto, ya que amplifica el efecto de la intervención de la OMPI y pone de relieve la pertinencia de la P.I. en cuanto instrumento de desarrollo.  En 2014/15 la OMPI aplicará los acuerdos y colaboraciones ya vigentes con organizaciones de las NN.UU. y otras OIG, además de concertar nuevas alianzas con vistas a una amplia cooperación entre numerosas partes interesadas. A este respecto es también importante que la OMPI coopere con asociados en el desarrollo para poder ayudar a los Estados miembros de la OMPI a obtener recursos y asesoramiento en materia de P.I. con destino a proyectos de desarrollo.</w:t>
      </w:r>
    </w:p>
    <w:p w:rsidR="000E3B25" w:rsidRPr="00AD1E8B" w:rsidRDefault="000E3B25" w:rsidP="000E3B25">
      <w:pPr>
        <w:tabs>
          <w:tab w:val="num" w:pos="709"/>
        </w:tabs>
        <w:jc w:val="both"/>
        <w:rPr>
          <w:bCs/>
          <w:sz w:val="20"/>
          <w:lang w:val="es-ES_tradnl"/>
        </w:rPr>
      </w:pPr>
    </w:p>
    <w:p w:rsidR="000E3B25" w:rsidRPr="00AD1E8B" w:rsidRDefault="000E3B25" w:rsidP="00E17471">
      <w:pPr>
        <w:numPr>
          <w:ilvl w:val="0"/>
          <w:numId w:val="14"/>
        </w:numPr>
        <w:jc w:val="both"/>
        <w:rPr>
          <w:bCs/>
          <w:sz w:val="20"/>
          <w:lang w:val="es-ES_tradnl"/>
        </w:rPr>
      </w:pPr>
      <w:r w:rsidRPr="00AD1E8B">
        <w:rPr>
          <w:bCs/>
          <w:sz w:val="20"/>
          <w:lang w:val="es-ES_tradnl"/>
        </w:rPr>
        <w:t>La OMPI cuenta asimismo en su labor con la acreditación y participación de un amplio abanico de organizaciones no gubernamentales de ámbito nacional o internacional que representan diferentes intereses y perspectivas.  Las partes interesadas no gubernamentales pueden contribuir a la constitución de un eficaz sistema internacional de P.I., no sólo gracias a sus conocimientos especializados, sino también a través de sus puntos de vista y de los de sus representados.  En este contexto, los representantes del sector empresarial que intervienen directamente en la creación y uso de obras innovadoras y creativas pueden aportar también una contribución insustituible al quehacer de la OMPI gracias a su experiencia de primera mano en el uso de la P.I. como herramienta de desarrollo económico, social y cultural.  El establecimiento de alianzas estratégicas y eficaces con dichas instancias no gubernamentales será un componente esencial de un diálogo sobre políticas que pueda contribuir auténticamente al uso de la P.I. como instrumento de desarrollo a través de la cooperación internacional con un gran número de partes interesadas.</w:t>
      </w:r>
    </w:p>
    <w:p w:rsidR="000E3B25" w:rsidRPr="00AD1E8B" w:rsidRDefault="000E3B25" w:rsidP="000E3B25">
      <w:pPr>
        <w:tabs>
          <w:tab w:val="num" w:pos="709"/>
        </w:tabs>
        <w:jc w:val="both"/>
        <w:rPr>
          <w:bCs/>
          <w:sz w:val="20"/>
          <w:lang w:val="es-ES_tradnl"/>
        </w:rPr>
      </w:pPr>
    </w:p>
    <w:p w:rsidR="000E3B25" w:rsidRPr="00AD1E8B" w:rsidRDefault="000E3B25" w:rsidP="000E3B25">
      <w:pPr>
        <w:tabs>
          <w:tab w:val="num" w:pos="709"/>
        </w:tabs>
        <w:jc w:val="both"/>
        <w:rPr>
          <w:bCs/>
          <w:szCs w:val="22"/>
          <w:lang w:val="es-ES_tradnl"/>
        </w:rPr>
      </w:pPr>
    </w:p>
    <w:p w:rsidR="000E3B25" w:rsidRPr="00AD1E8B" w:rsidRDefault="000E3B25" w:rsidP="000E3B25">
      <w:pPr>
        <w:tabs>
          <w:tab w:val="num" w:pos="709"/>
        </w:tabs>
        <w:jc w:val="both"/>
        <w:rPr>
          <w:szCs w:val="22"/>
          <w:lang w:val="es-ES_tradnl"/>
        </w:rPr>
      </w:pPr>
      <w:r w:rsidRPr="00AD1E8B">
        <w:rPr>
          <w:szCs w:val="22"/>
          <w:lang w:val="es-ES_tradnl"/>
        </w:rPr>
        <w:t>ESTRATEGIAS  DE EJECUCIÓN</w:t>
      </w:r>
    </w:p>
    <w:p w:rsidR="000E3B25" w:rsidRPr="00AD1E8B" w:rsidRDefault="000E3B25" w:rsidP="000E3B25">
      <w:pPr>
        <w:tabs>
          <w:tab w:val="num" w:pos="709"/>
        </w:tabs>
        <w:jc w:val="both"/>
        <w:rPr>
          <w:b/>
          <w:bCs/>
          <w:sz w:val="20"/>
          <w:lang w:val="es-ES_tradnl"/>
        </w:rPr>
      </w:pPr>
    </w:p>
    <w:p w:rsidR="000E3B25" w:rsidRPr="00AD1E8B" w:rsidRDefault="000E3B25" w:rsidP="00E17471">
      <w:pPr>
        <w:numPr>
          <w:ilvl w:val="0"/>
          <w:numId w:val="14"/>
        </w:numPr>
        <w:jc w:val="both"/>
        <w:rPr>
          <w:bCs/>
          <w:sz w:val="20"/>
          <w:lang w:val="es-ES_tradnl"/>
        </w:rPr>
      </w:pPr>
      <w:r w:rsidRPr="00AD1E8B">
        <w:rPr>
          <w:bCs/>
          <w:sz w:val="20"/>
          <w:lang w:val="es-ES_tradnl"/>
        </w:rPr>
        <w:t>Dada su condición de foro global preeminente en materia de P.I. (dotado de plena credibilidad como fuente de apoyo, asistencia y referencia a efectos de información sobre temas de innovación, creatividad y P.I. en los correspondientes procesos de política pública), la OMPI debe realizar contribuciones diligentes, pertinentes, f</w:t>
      </w:r>
      <w:r>
        <w:rPr>
          <w:bCs/>
          <w:sz w:val="20"/>
          <w:lang w:val="es-ES_tradnl"/>
        </w:rPr>
        <w:t>ácticas</w:t>
      </w:r>
      <w:r w:rsidRPr="00AD1E8B">
        <w:rPr>
          <w:bCs/>
          <w:sz w:val="20"/>
          <w:lang w:val="es-ES_tradnl"/>
        </w:rPr>
        <w:t xml:space="preserve"> y equilibradas a los debates mantenidos en el exterior de la OMPI, en la intersección de la P.I. con los desafíos de política mundial.  Dichos debates tienen lugar en una amplia gama de foros y en ellos participan un sinnúmero de actores procedentes de las NN.UU., </w:t>
      </w:r>
      <w:r w:rsidRPr="00AD1E8B">
        <w:rPr>
          <w:bCs/>
          <w:sz w:val="20"/>
          <w:lang w:val="es-ES_tradnl"/>
        </w:rPr>
        <w:lastRenderedPageBreak/>
        <w:t>las OIG y las partes interesadas no gubernamentales.  La información que la OMPI aporte ha de ser equilibrada, realista y coherente con su mandato.  Por lo demás, la OMPI debe habilitar un espacio abierto y transparente en que sea posible oír, contestar e incorporar las voces de todos los interesados, bien a través de asociaciones que arrojen resultados tangibles, bien mediante la creación de foros que permitan mantener un diálogo constructivo en torno al uso de la P.I. como factor de innovación y desarrollo, en consonancia con las recomendaciones 30, 40 y 42 de la A.D.</w:t>
      </w:r>
    </w:p>
    <w:p w:rsidR="000E3B25" w:rsidRPr="00AD1E8B" w:rsidRDefault="000E3B25" w:rsidP="000E3B25">
      <w:pPr>
        <w:tabs>
          <w:tab w:val="num" w:pos="709"/>
        </w:tabs>
        <w:jc w:val="both"/>
        <w:rPr>
          <w:bCs/>
          <w:sz w:val="20"/>
          <w:lang w:val="es-ES_tradnl"/>
        </w:rPr>
      </w:pPr>
    </w:p>
    <w:p w:rsidR="000E3B25" w:rsidRPr="00AD1E8B" w:rsidRDefault="000E3B25" w:rsidP="00E17471">
      <w:pPr>
        <w:numPr>
          <w:ilvl w:val="0"/>
          <w:numId w:val="14"/>
        </w:numPr>
        <w:jc w:val="both"/>
        <w:rPr>
          <w:bCs/>
          <w:sz w:val="20"/>
          <w:lang w:val="es-ES_tradnl"/>
        </w:rPr>
      </w:pPr>
      <w:r w:rsidRPr="00AD1E8B">
        <w:rPr>
          <w:bCs/>
          <w:sz w:val="20"/>
          <w:lang w:val="es-ES_tradnl"/>
        </w:rPr>
        <w:t xml:space="preserve">En tal empeño, las estrategias durante el bienio 2014/15 atenderán sobre todo a fortalecer ulteriormente las alianzas existentes en busca de resultados sostenibles, al tiempo de elaborar esquemas nuevos e innovadores para la cooperación con una amplia gama de partes interesadas en el quehacer de la OMPI o con nuevos aliados potenciales.  Sobre esta base, los planteamientos estratégicos durante el bienio serán los siguientes:  </w:t>
      </w:r>
    </w:p>
    <w:p w:rsidR="000E3B25" w:rsidRPr="00AD1E8B" w:rsidRDefault="000E3B25" w:rsidP="000E3B25">
      <w:pPr>
        <w:tabs>
          <w:tab w:val="num" w:pos="709"/>
        </w:tabs>
        <w:jc w:val="both"/>
        <w:rPr>
          <w:bCs/>
          <w:sz w:val="20"/>
          <w:lang w:val="es-ES_tradnl"/>
        </w:rPr>
      </w:pPr>
    </w:p>
    <w:p w:rsidR="000E3B25" w:rsidRPr="00AD1E8B" w:rsidRDefault="000E3B25" w:rsidP="00E17471">
      <w:pPr>
        <w:numPr>
          <w:ilvl w:val="0"/>
          <w:numId w:val="15"/>
        </w:numPr>
        <w:jc w:val="both"/>
        <w:rPr>
          <w:bCs/>
          <w:sz w:val="20"/>
          <w:lang w:val="es-ES_tradnl"/>
        </w:rPr>
      </w:pPr>
      <w:r w:rsidRPr="00AD1E8B">
        <w:rPr>
          <w:bCs/>
          <w:sz w:val="20"/>
          <w:lang w:val="es-ES_tradnl"/>
        </w:rPr>
        <w:t xml:space="preserve">Facilitar asistencia y contribuciones a procesos de las NN.UU. como son:  los trabajos destinados a acelerar la consecución de los ODM (recomendación 22 de la A.D.);  la cooperación interinstitucional respecto del Marco de </w:t>
      </w:r>
      <w:r>
        <w:rPr>
          <w:bCs/>
          <w:sz w:val="20"/>
          <w:lang w:val="es-ES_tradnl"/>
        </w:rPr>
        <w:t>d</w:t>
      </w:r>
      <w:r w:rsidRPr="00AD1E8B">
        <w:rPr>
          <w:bCs/>
          <w:sz w:val="20"/>
          <w:lang w:val="es-ES_tradnl"/>
        </w:rPr>
        <w:t xml:space="preserve">esarrollo post 2015;  la aplicación de los resultados de la Conferencia de Río+20;  las negociaciones en torno a la adición de un nuevo resultado jurídico de la Convención Marco sobre el Cambio Climático;  la creación del Mecanismo de </w:t>
      </w:r>
      <w:r>
        <w:rPr>
          <w:bCs/>
          <w:sz w:val="20"/>
          <w:lang w:val="es-ES_tradnl"/>
        </w:rPr>
        <w:t>t</w:t>
      </w:r>
      <w:r w:rsidRPr="00AD1E8B">
        <w:rPr>
          <w:bCs/>
          <w:sz w:val="20"/>
          <w:lang w:val="es-ES_tradnl"/>
        </w:rPr>
        <w:t>ecnología de la CMNUCC;  y la revisión de la CMSI en 2015;</w:t>
      </w:r>
    </w:p>
    <w:p w:rsidR="000E3B25" w:rsidRPr="00AD1E8B" w:rsidRDefault="000E3B25" w:rsidP="000E3B25">
      <w:pPr>
        <w:jc w:val="both"/>
        <w:rPr>
          <w:bCs/>
          <w:sz w:val="20"/>
          <w:lang w:val="es-ES_tradnl"/>
        </w:rPr>
      </w:pPr>
    </w:p>
    <w:p w:rsidR="000E3B25" w:rsidRPr="00AD1E8B" w:rsidRDefault="000E3B25" w:rsidP="00E17471">
      <w:pPr>
        <w:numPr>
          <w:ilvl w:val="0"/>
          <w:numId w:val="15"/>
        </w:numPr>
        <w:jc w:val="both"/>
        <w:rPr>
          <w:bCs/>
          <w:sz w:val="20"/>
          <w:lang w:val="es-ES_tradnl"/>
        </w:rPr>
      </w:pPr>
      <w:r w:rsidRPr="00AD1E8B">
        <w:rPr>
          <w:bCs/>
          <w:sz w:val="20"/>
          <w:lang w:val="es-ES_tradnl"/>
        </w:rPr>
        <w:t>Supervisar y recoger en los correspondientes informes las negociaciones, procesos y debates celebrados en el seno de las NN.UU. u otros foros intergubernamentales que presenten gran pertinencia y elevada prioridad para la OMPI, identificando aquellas oportunidades en que la OMPI pueda efectuar una contribución valiosa y contribuir a que el sistema de P.I. sea mejor comprendido en tales debates;</w:t>
      </w:r>
    </w:p>
    <w:p w:rsidR="000E3B25" w:rsidRPr="00AD1E8B" w:rsidRDefault="000E3B25" w:rsidP="000E3B25">
      <w:pPr>
        <w:jc w:val="both"/>
        <w:rPr>
          <w:bCs/>
          <w:sz w:val="20"/>
          <w:lang w:val="es-ES_tradnl"/>
        </w:rPr>
      </w:pPr>
    </w:p>
    <w:p w:rsidR="000E3B25" w:rsidRPr="00AD1E8B" w:rsidRDefault="000E3B25" w:rsidP="00E17471">
      <w:pPr>
        <w:numPr>
          <w:ilvl w:val="0"/>
          <w:numId w:val="15"/>
        </w:numPr>
        <w:jc w:val="both"/>
        <w:rPr>
          <w:bCs/>
          <w:sz w:val="20"/>
          <w:lang w:val="es-ES_tradnl"/>
        </w:rPr>
      </w:pPr>
      <w:r w:rsidRPr="00AD1E8B">
        <w:rPr>
          <w:bCs/>
          <w:sz w:val="20"/>
          <w:lang w:val="es-ES_tradnl"/>
        </w:rPr>
        <w:t xml:space="preserve">Fomentar las relaciones con las NN.UU. y otros interlocutores esenciales como la Organización Mundial del Comercio (OMC), la Organización Mundial de la Salud (OMS), la Conferencia de las Naciones Unidas sobre Comercio y Desarrollo (UNCTAD), el Programa </w:t>
      </w:r>
      <w:r w:rsidR="00733234">
        <w:rPr>
          <w:bCs/>
          <w:sz w:val="20"/>
          <w:lang w:val="es-ES_tradnl"/>
        </w:rPr>
        <w:t xml:space="preserve">de </w:t>
      </w:r>
      <w:r w:rsidR="00BB5D51">
        <w:rPr>
          <w:bCs/>
          <w:sz w:val="20"/>
          <w:lang w:val="es-ES_tradnl"/>
        </w:rPr>
        <w:t>las Naciones Unidas</w:t>
      </w:r>
      <w:r w:rsidR="00733234">
        <w:rPr>
          <w:bCs/>
          <w:sz w:val="20"/>
          <w:lang w:val="es-ES_tradnl"/>
        </w:rPr>
        <w:t xml:space="preserve"> para el Medio Ambiente</w:t>
      </w:r>
      <w:r w:rsidR="00BB5D51">
        <w:rPr>
          <w:bCs/>
          <w:sz w:val="20"/>
          <w:lang w:val="es-ES_tradnl"/>
        </w:rPr>
        <w:t xml:space="preserve"> (</w:t>
      </w:r>
      <w:r w:rsidRPr="00AD1E8B">
        <w:rPr>
          <w:bCs/>
          <w:sz w:val="20"/>
          <w:lang w:val="es-ES_tradnl"/>
        </w:rPr>
        <w:t>P</w:t>
      </w:r>
      <w:r w:rsidR="00BB5D51">
        <w:rPr>
          <w:bCs/>
          <w:sz w:val="20"/>
          <w:lang w:val="es-ES_tradnl"/>
        </w:rPr>
        <w:t>NUMA</w:t>
      </w:r>
      <w:r w:rsidRPr="00AD1E8B">
        <w:rPr>
          <w:bCs/>
          <w:sz w:val="20"/>
          <w:lang w:val="es-ES_tradnl"/>
        </w:rPr>
        <w:t xml:space="preserve">), la Convención Marco de las Naciones Unidas sobre el Cambio Climático (CMNUCC), la Organización de las Naciones Unidas para el Desarrollo Industrial (ONUDI), la Organización de las Naciones Unidas para la Alimentación y la Agricultura (FAO), la Unión Internacional de Telecomunicaciones (UIT), la Organización de las Naciones Unidas para la Educación, la Ciencia y la Cultura (UNESCO) y el Departamento de Asuntos Económicos </w:t>
      </w:r>
      <w:r w:rsidR="00BB5D51">
        <w:rPr>
          <w:bCs/>
          <w:sz w:val="20"/>
          <w:lang w:val="es-ES_tradnl"/>
        </w:rPr>
        <w:t xml:space="preserve">y Sociales </w:t>
      </w:r>
      <w:r w:rsidRPr="00AD1E8B">
        <w:rPr>
          <w:bCs/>
          <w:sz w:val="20"/>
          <w:lang w:val="es-ES_tradnl"/>
        </w:rPr>
        <w:t xml:space="preserve">de las Naciones Unidas (DAES), así como la ejecución de proyectos y actividades conjuntos acordados con dichas organizaciones y otras OIG como la Organización Europea para la Investigación Nuclear (CERN) (recomendaciones 30 y 40 de la A.D.); </w:t>
      </w:r>
    </w:p>
    <w:p w:rsidR="000E3B25" w:rsidRPr="00AD1E8B" w:rsidRDefault="000E3B25" w:rsidP="000E3B25">
      <w:pPr>
        <w:jc w:val="both"/>
        <w:rPr>
          <w:bCs/>
          <w:sz w:val="20"/>
          <w:lang w:val="es-ES_tradnl"/>
        </w:rPr>
      </w:pPr>
    </w:p>
    <w:p w:rsidR="000E3B25" w:rsidRPr="00AD1E8B" w:rsidRDefault="000E3B25" w:rsidP="00E17471">
      <w:pPr>
        <w:numPr>
          <w:ilvl w:val="0"/>
          <w:numId w:val="15"/>
        </w:numPr>
        <w:jc w:val="both"/>
        <w:rPr>
          <w:bCs/>
          <w:sz w:val="20"/>
          <w:lang w:val="es-ES_tradnl"/>
        </w:rPr>
      </w:pPr>
      <w:r w:rsidRPr="00AD1E8B">
        <w:rPr>
          <w:bCs/>
          <w:sz w:val="20"/>
          <w:lang w:val="es-ES_tradnl"/>
        </w:rPr>
        <w:t>Suministrar respuestas diligentes y de elevada calidad a las demandas de información recibidas por la OMPI de organizaciones de las NN.UU. y otras OIG, o bien de ONG;</w:t>
      </w:r>
    </w:p>
    <w:p w:rsidR="000E3B25" w:rsidRPr="00AD1E8B" w:rsidRDefault="000E3B25" w:rsidP="000E3B25">
      <w:pPr>
        <w:jc w:val="both"/>
        <w:rPr>
          <w:bCs/>
          <w:sz w:val="20"/>
          <w:lang w:val="es-ES_tradnl"/>
        </w:rPr>
      </w:pPr>
    </w:p>
    <w:p w:rsidR="000E3B25" w:rsidRPr="00AD1E8B" w:rsidRDefault="000E3B25" w:rsidP="00E17471">
      <w:pPr>
        <w:numPr>
          <w:ilvl w:val="0"/>
          <w:numId w:val="15"/>
        </w:numPr>
        <w:jc w:val="both"/>
        <w:rPr>
          <w:bCs/>
          <w:sz w:val="20"/>
          <w:lang w:val="es-ES_tradnl"/>
        </w:rPr>
      </w:pPr>
      <w:r w:rsidRPr="00AD1E8B">
        <w:rPr>
          <w:bCs/>
          <w:sz w:val="20"/>
          <w:lang w:val="es-ES_tradnl"/>
        </w:rPr>
        <w:t>Elaborar estructuras institucionales y alianzas prácticas relativas a determinadas actividades conjuntas con ONG nacionales e internacionales y crear mecanismos que procuren a la OMPI una mejor comprensión de las posiciones y perspectivas de sus partes interesadas no gubernamentales;</w:t>
      </w:r>
    </w:p>
    <w:p w:rsidR="000E3B25" w:rsidRPr="00AD1E8B" w:rsidRDefault="000E3B25" w:rsidP="000E3B25">
      <w:pPr>
        <w:jc w:val="both"/>
        <w:rPr>
          <w:bCs/>
          <w:sz w:val="20"/>
          <w:lang w:val="es-ES_tradnl"/>
        </w:rPr>
      </w:pPr>
    </w:p>
    <w:p w:rsidR="000E3B25" w:rsidRPr="00AD1E8B" w:rsidRDefault="000E3B25" w:rsidP="00E17471">
      <w:pPr>
        <w:numPr>
          <w:ilvl w:val="0"/>
          <w:numId w:val="15"/>
        </w:numPr>
        <w:jc w:val="both"/>
        <w:rPr>
          <w:bCs/>
          <w:sz w:val="20"/>
          <w:lang w:val="es-ES_tradnl"/>
        </w:rPr>
      </w:pPr>
      <w:r w:rsidRPr="00AD1E8B">
        <w:rPr>
          <w:bCs/>
          <w:sz w:val="20"/>
          <w:lang w:val="es-ES_tradnl"/>
        </w:rPr>
        <w:t>Crear foros para el diálogo constructivo con una amplia gama de partes interesadas en la P.I. considerada como instrumento de innovación, crecimiento económico y desarrollo.  Esto podrá incluir un debate con la máxima participación posible de creadores y usuarios de la P.I. de los PMA, los países en desarrollo y los países desarrollados para articular la forma de crear, proteger y utilizar la P.I. a este respecto;</w:t>
      </w:r>
    </w:p>
    <w:p w:rsidR="000E3B25" w:rsidRPr="00AD1E8B" w:rsidRDefault="000E3B25" w:rsidP="000E3B25">
      <w:pPr>
        <w:jc w:val="both"/>
        <w:rPr>
          <w:bCs/>
          <w:sz w:val="20"/>
          <w:lang w:val="es-ES_tradnl"/>
        </w:rPr>
      </w:pPr>
    </w:p>
    <w:p w:rsidR="000E3B25" w:rsidRPr="00AD1E8B" w:rsidRDefault="000E3B25" w:rsidP="00E17471">
      <w:pPr>
        <w:numPr>
          <w:ilvl w:val="0"/>
          <w:numId w:val="15"/>
        </w:numPr>
        <w:jc w:val="both"/>
        <w:rPr>
          <w:bCs/>
          <w:sz w:val="20"/>
          <w:lang w:val="es-ES_tradnl"/>
        </w:rPr>
      </w:pPr>
      <w:r w:rsidRPr="00AD1E8B">
        <w:rPr>
          <w:bCs/>
          <w:sz w:val="20"/>
          <w:lang w:val="es-ES_tradnl"/>
        </w:rPr>
        <w:t>Divulgar información a los donantes y suministrar apoyo a los Estados miembros de la OMPI y a otros programas de la OMPI para impulsar los esfuerzos encaminados a la movilización de recursos;</w:t>
      </w:r>
    </w:p>
    <w:p w:rsidR="000E3B25" w:rsidRPr="00AD1E8B" w:rsidRDefault="000E3B25" w:rsidP="000E3B25">
      <w:pPr>
        <w:jc w:val="both"/>
        <w:rPr>
          <w:bCs/>
          <w:sz w:val="20"/>
          <w:lang w:val="es-ES_tradnl"/>
        </w:rPr>
      </w:pPr>
    </w:p>
    <w:p w:rsidR="000E3B25" w:rsidRPr="00AD1E8B" w:rsidRDefault="000E3B25" w:rsidP="00E17471">
      <w:pPr>
        <w:numPr>
          <w:ilvl w:val="0"/>
          <w:numId w:val="15"/>
        </w:numPr>
        <w:jc w:val="both"/>
        <w:rPr>
          <w:bCs/>
          <w:sz w:val="20"/>
          <w:lang w:val="es-ES_tradnl"/>
        </w:rPr>
      </w:pPr>
      <w:r w:rsidRPr="00AD1E8B">
        <w:rPr>
          <w:bCs/>
          <w:sz w:val="20"/>
          <w:lang w:val="es-ES_tradnl"/>
        </w:rPr>
        <w:t xml:space="preserve">Elaborar proyectos de P.I. para el Desarrollo que puedan ser propuestos a potenciales asociados con el fin de movilizar recursos financieros extrapresupuestarios con destino a los países en desarrollo y los PMA, siempre en estrecha cooperación con el programa 9 para </w:t>
      </w:r>
      <w:r w:rsidRPr="00AD1E8B">
        <w:rPr>
          <w:bCs/>
          <w:sz w:val="20"/>
          <w:lang w:val="es-ES_tradnl"/>
        </w:rPr>
        <w:lastRenderedPageBreak/>
        <w:t>garantizar la plena utilización de la base de datos destinada a subvenir con los recursos disponibles a las necesidades de desarrollo relacionadas con la P.I. (</w:t>
      </w:r>
      <w:r>
        <w:rPr>
          <w:bCs/>
          <w:sz w:val="20"/>
          <w:lang w:val="es-ES_tradnl"/>
        </w:rPr>
        <w:t>r</w:t>
      </w:r>
      <w:r w:rsidRPr="00AD1E8B">
        <w:rPr>
          <w:bCs/>
          <w:sz w:val="20"/>
          <w:lang w:val="es-ES_tradnl"/>
        </w:rPr>
        <w:t>ecomendaciones 2 y 9 de la A.D.).</w:t>
      </w:r>
    </w:p>
    <w:p w:rsidR="000E3B25" w:rsidRPr="00AD1E8B" w:rsidRDefault="000E3B25" w:rsidP="000E3B25">
      <w:pPr>
        <w:tabs>
          <w:tab w:val="num" w:pos="709"/>
        </w:tabs>
        <w:jc w:val="both"/>
        <w:rPr>
          <w:bCs/>
          <w:szCs w:val="22"/>
          <w:lang w:val="es-ES_tradnl"/>
        </w:rPr>
      </w:pPr>
    </w:p>
    <w:p w:rsidR="00D919EA" w:rsidRDefault="00D919EA" w:rsidP="00D919EA">
      <w:pPr>
        <w:tabs>
          <w:tab w:val="num" w:pos="709"/>
        </w:tabs>
        <w:rPr>
          <w:szCs w:val="22"/>
          <w:lang w:val="es-ES_tradnl"/>
        </w:rPr>
      </w:pPr>
    </w:p>
    <w:p w:rsidR="006F7F41" w:rsidRPr="00994766" w:rsidRDefault="006F7F41" w:rsidP="00D919EA">
      <w:pPr>
        <w:tabs>
          <w:tab w:val="num" w:pos="709"/>
        </w:tabs>
        <w:rPr>
          <w:szCs w:val="22"/>
          <w:lang w:val="es-ES_tradnl"/>
        </w:rPr>
      </w:pPr>
      <w:r w:rsidRPr="00994766">
        <w:rPr>
          <w:szCs w:val="22"/>
          <w:lang w:val="es-ES_tradnl"/>
        </w:rPr>
        <w:t xml:space="preserve">PRINCIPALES RIESGOS Y ESTRATEGIAS DE MITIGACIÓN  </w:t>
      </w:r>
    </w:p>
    <w:p w:rsidR="006F7F41" w:rsidRPr="00994766" w:rsidRDefault="006F7F41" w:rsidP="00D919EA">
      <w:pPr>
        <w:tabs>
          <w:tab w:val="num" w:pos="709"/>
        </w:tabs>
        <w:rPr>
          <w:b/>
          <w:bCs/>
          <w:szCs w:val="22"/>
          <w:lang w:val="es-ES_tradnl"/>
        </w:rPr>
      </w:pPr>
    </w:p>
    <w:tbl>
      <w:tblPr>
        <w:tblW w:w="0" w:type="auto"/>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290"/>
        <w:gridCol w:w="5066"/>
      </w:tblGrid>
      <w:tr w:rsidR="006F7F41" w:rsidRPr="007C656B" w:rsidTr="00F50540">
        <w:trPr>
          <w:trHeight w:val="621"/>
        </w:trPr>
        <w:tc>
          <w:tcPr>
            <w:tcW w:w="4290" w:type="dxa"/>
            <w:tcBorders>
              <w:top w:val="single" w:sz="4" w:space="0" w:color="auto"/>
              <w:left w:val="single" w:sz="4" w:space="0" w:color="auto"/>
              <w:bottom w:val="single" w:sz="4" w:space="0" w:color="auto"/>
              <w:right w:val="nil"/>
            </w:tcBorders>
            <w:shd w:val="clear" w:color="auto" w:fill="CCFFFF"/>
            <w:vAlign w:val="center"/>
          </w:tcPr>
          <w:p w:rsidR="006F7F41" w:rsidRPr="007C656B" w:rsidRDefault="006F7F41" w:rsidP="00D919EA">
            <w:pPr>
              <w:autoSpaceDE w:val="0"/>
              <w:autoSpaceDN w:val="0"/>
              <w:adjustRightInd w:val="0"/>
              <w:ind w:right="-59"/>
              <w:jc w:val="center"/>
              <w:rPr>
                <w:b/>
                <w:bCs/>
                <w:iCs/>
                <w:sz w:val="18"/>
                <w:szCs w:val="14"/>
                <w:lang w:val="es-ES_tradnl"/>
              </w:rPr>
            </w:pPr>
            <w:r w:rsidRPr="007C656B">
              <w:rPr>
                <w:b/>
                <w:bCs/>
                <w:iCs/>
                <w:sz w:val="18"/>
                <w:szCs w:val="14"/>
                <w:lang w:val="es-ES_tradnl"/>
              </w:rPr>
              <w:t>Riesgos en el logro de los resultados del programa</w:t>
            </w:r>
          </w:p>
        </w:tc>
        <w:tc>
          <w:tcPr>
            <w:tcW w:w="5066" w:type="dxa"/>
            <w:tcBorders>
              <w:top w:val="single" w:sz="4" w:space="0" w:color="auto"/>
              <w:left w:val="nil"/>
              <w:bottom w:val="single" w:sz="4" w:space="0" w:color="auto"/>
              <w:right w:val="single" w:sz="4" w:space="0" w:color="auto"/>
            </w:tcBorders>
            <w:shd w:val="clear" w:color="auto" w:fill="CCFFFF"/>
            <w:vAlign w:val="center"/>
          </w:tcPr>
          <w:p w:rsidR="006F7F41" w:rsidRPr="007C656B" w:rsidRDefault="006F7F41" w:rsidP="00D919EA">
            <w:pPr>
              <w:autoSpaceDE w:val="0"/>
              <w:autoSpaceDN w:val="0"/>
              <w:adjustRightInd w:val="0"/>
              <w:ind w:right="-59"/>
              <w:jc w:val="center"/>
              <w:rPr>
                <w:b/>
                <w:bCs/>
                <w:iCs/>
                <w:sz w:val="18"/>
                <w:szCs w:val="14"/>
                <w:lang w:val="es-ES_tradnl"/>
              </w:rPr>
            </w:pPr>
            <w:r w:rsidRPr="007C656B">
              <w:rPr>
                <w:b/>
                <w:bCs/>
                <w:iCs/>
                <w:sz w:val="18"/>
                <w:szCs w:val="14"/>
                <w:lang w:val="es-ES_tradnl"/>
              </w:rPr>
              <w:t>Planes de mitigación ejecutados o en ejecución</w:t>
            </w:r>
          </w:p>
        </w:tc>
      </w:tr>
      <w:tr w:rsidR="006F7F41" w:rsidRPr="007C656B" w:rsidTr="00F50540">
        <w:trPr>
          <w:trHeight w:val="776"/>
        </w:trPr>
        <w:tc>
          <w:tcPr>
            <w:tcW w:w="4290" w:type="dxa"/>
            <w:tcBorders>
              <w:top w:val="single" w:sz="4" w:space="0" w:color="auto"/>
            </w:tcBorders>
            <w:shd w:val="clear" w:color="auto" w:fill="auto"/>
            <w:tcMar>
              <w:top w:w="113" w:type="dxa"/>
              <w:bottom w:w="85" w:type="dxa"/>
            </w:tcMar>
          </w:tcPr>
          <w:p w:rsidR="006F7F41" w:rsidRPr="007C656B" w:rsidRDefault="006F7F41" w:rsidP="00D919EA">
            <w:pPr>
              <w:tabs>
                <w:tab w:val="left" w:pos="3465"/>
              </w:tabs>
              <w:rPr>
                <w:sz w:val="16"/>
                <w:lang w:val="es-ES_tradnl"/>
              </w:rPr>
            </w:pPr>
            <w:r w:rsidRPr="007C656B">
              <w:rPr>
                <w:sz w:val="16"/>
                <w:lang w:val="es-ES_tradnl"/>
              </w:rPr>
              <w:t>La participación eficaz de la OMPI en los procesos de las NN.UU. y otras OIG y ONG, así como la utilidad que tiene en esos procesos, se basa en la aceptación de que es una fuente creíble y fiable de apoyo, asistencia e información.</w:t>
            </w:r>
          </w:p>
        </w:tc>
        <w:tc>
          <w:tcPr>
            <w:tcW w:w="5066" w:type="dxa"/>
            <w:tcBorders>
              <w:top w:val="single" w:sz="4" w:space="0" w:color="auto"/>
            </w:tcBorders>
            <w:shd w:val="clear" w:color="auto" w:fill="auto"/>
            <w:tcMar>
              <w:top w:w="113" w:type="dxa"/>
              <w:bottom w:w="85" w:type="dxa"/>
            </w:tcMar>
          </w:tcPr>
          <w:p w:rsidR="006F7F41" w:rsidRPr="007C656B" w:rsidRDefault="006F7F41" w:rsidP="00D919EA">
            <w:pPr>
              <w:autoSpaceDE w:val="0"/>
              <w:autoSpaceDN w:val="0"/>
              <w:adjustRightInd w:val="0"/>
              <w:ind w:right="-59"/>
              <w:rPr>
                <w:sz w:val="16"/>
                <w:lang w:val="es-ES_tradnl"/>
              </w:rPr>
            </w:pPr>
            <w:r w:rsidRPr="007C656B">
              <w:rPr>
                <w:sz w:val="16"/>
                <w:lang w:val="es-ES_tradnl"/>
              </w:rPr>
              <w:t>Velar por que las aportaciones de la OMPI se basen en hechos, tengan carácter empírico y equilibrado, reflejen las opiniones de todas las partes interesadas, sean puntuales y estén bien enfocadas.  Fomentar los vínculos de cooperación para incrementar la repercusión de las aportaciones de la OMPI.</w:t>
            </w:r>
          </w:p>
        </w:tc>
      </w:tr>
      <w:tr w:rsidR="006F7F41" w:rsidRPr="007C656B" w:rsidTr="00F50540">
        <w:trPr>
          <w:trHeight w:val="939"/>
        </w:trPr>
        <w:tc>
          <w:tcPr>
            <w:tcW w:w="4290" w:type="dxa"/>
            <w:shd w:val="clear" w:color="auto" w:fill="auto"/>
            <w:tcMar>
              <w:top w:w="113" w:type="dxa"/>
              <w:bottom w:w="85" w:type="dxa"/>
            </w:tcMar>
          </w:tcPr>
          <w:p w:rsidR="006F7F41" w:rsidRPr="007C656B" w:rsidRDefault="006F7F41" w:rsidP="00D919EA">
            <w:pPr>
              <w:tabs>
                <w:tab w:val="left" w:pos="3465"/>
              </w:tabs>
              <w:rPr>
                <w:sz w:val="16"/>
                <w:lang w:val="es-ES_tradnl"/>
              </w:rPr>
            </w:pPr>
            <w:r w:rsidRPr="007C656B">
              <w:rPr>
                <w:sz w:val="16"/>
                <w:lang w:val="es-ES_tradnl"/>
              </w:rPr>
              <w:t>Si no se cumplen los objetivos de movilización de recursos no se podrán iniciar determinados proyectos de P.I. al servicio del desarrollo.</w:t>
            </w:r>
          </w:p>
        </w:tc>
        <w:tc>
          <w:tcPr>
            <w:tcW w:w="5066" w:type="dxa"/>
            <w:shd w:val="clear" w:color="auto" w:fill="auto"/>
            <w:tcMar>
              <w:top w:w="113" w:type="dxa"/>
              <w:bottom w:w="85" w:type="dxa"/>
            </w:tcMar>
          </w:tcPr>
          <w:p w:rsidR="006F7F41" w:rsidRPr="007C656B" w:rsidRDefault="006F7F41" w:rsidP="00D919EA">
            <w:pPr>
              <w:rPr>
                <w:sz w:val="16"/>
                <w:lang w:val="es-ES_tradnl"/>
              </w:rPr>
            </w:pPr>
            <w:r w:rsidRPr="007C656B">
              <w:rPr>
                <w:sz w:val="16"/>
                <w:lang w:val="es-ES_tradnl"/>
              </w:rPr>
              <w:t xml:space="preserve">Velar por la ejecución de proyectos de alta calidad para la movilización de recursos que estén orientados específicamente a la obtención de financiación de los donantes.  Seguir desarrollando la capacidad de la </w:t>
            </w:r>
            <w:r w:rsidRPr="007C656B">
              <w:rPr>
                <w:sz w:val="16"/>
                <w:lang w:val="es-ES_tradnl" w:eastAsia="fr-FR"/>
              </w:rPr>
              <w:t>Organización</w:t>
            </w:r>
            <w:r w:rsidRPr="007C656B">
              <w:rPr>
                <w:sz w:val="16"/>
                <w:lang w:val="es-ES_tradnl"/>
              </w:rPr>
              <w:t xml:space="preserve"> para movilizar y administrar recursos extrapresupuestarios.  Fomentar el conocimiento de las prioridades de los donantes y los contactos con estos últimos.</w:t>
            </w:r>
          </w:p>
        </w:tc>
      </w:tr>
    </w:tbl>
    <w:p w:rsidR="006F7F41" w:rsidRDefault="006F7F41" w:rsidP="006F7F41">
      <w:pPr>
        <w:rPr>
          <w:bCs/>
          <w:szCs w:val="22"/>
          <w:lang w:val="es-ES_tradnl"/>
        </w:rPr>
      </w:pPr>
    </w:p>
    <w:p w:rsidR="00BE322F" w:rsidRDefault="00BE322F" w:rsidP="006F7F41">
      <w:pPr>
        <w:rPr>
          <w:bCs/>
          <w:szCs w:val="22"/>
          <w:lang w:val="es-ES_tradnl"/>
        </w:rPr>
      </w:pPr>
    </w:p>
    <w:p w:rsidR="00BE322F" w:rsidRPr="00AD1E8B" w:rsidRDefault="00BE322F" w:rsidP="00BE322F">
      <w:pPr>
        <w:jc w:val="both"/>
        <w:rPr>
          <w:b/>
          <w:bCs/>
          <w:szCs w:val="22"/>
          <w:lang w:val="es-ES_tradnl"/>
        </w:rPr>
      </w:pPr>
      <w:r w:rsidRPr="00AD1E8B">
        <w:rPr>
          <w:b/>
          <w:bCs/>
          <w:szCs w:val="22"/>
          <w:lang w:val="es-ES_tradnl"/>
        </w:rPr>
        <w:t xml:space="preserve">OFICINAS </w:t>
      </w:r>
      <w:r w:rsidR="00C42F2A">
        <w:rPr>
          <w:b/>
          <w:bCs/>
          <w:szCs w:val="22"/>
          <w:lang w:val="es-ES_tradnl"/>
        </w:rPr>
        <w:t xml:space="preserve">EN EL </w:t>
      </w:r>
      <w:r w:rsidRPr="00AD1E8B">
        <w:rPr>
          <w:b/>
          <w:bCs/>
          <w:szCs w:val="22"/>
          <w:lang w:val="es-ES_tradnl"/>
        </w:rPr>
        <w:t>EXTER</w:t>
      </w:r>
      <w:r w:rsidR="00C42F2A">
        <w:rPr>
          <w:b/>
          <w:bCs/>
          <w:szCs w:val="22"/>
          <w:lang w:val="es-ES_tradnl"/>
        </w:rPr>
        <w:t>IOR</w:t>
      </w:r>
    </w:p>
    <w:p w:rsidR="00BE322F" w:rsidRPr="00AD1E8B" w:rsidRDefault="00BE322F" w:rsidP="00BE322F">
      <w:pPr>
        <w:jc w:val="both"/>
        <w:rPr>
          <w:sz w:val="20"/>
          <w:lang w:val="es-ES_tradnl"/>
        </w:rPr>
      </w:pPr>
    </w:p>
    <w:p w:rsidR="00BE322F" w:rsidRPr="00AD1E8B" w:rsidRDefault="00BE322F" w:rsidP="00BE322F">
      <w:pPr>
        <w:tabs>
          <w:tab w:val="num" w:pos="709"/>
        </w:tabs>
        <w:jc w:val="both"/>
        <w:rPr>
          <w:bCs/>
          <w:szCs w:val="22"/>
          <w:lang w:val="es-ES_tradnl"/>
        </w:rPr>
      </w:pPr>
      <w:r w:rsidRPr="00AD1E8B">
        <w:rPr>
          <w:bCs/>
          <w:szCs w:val="22"/>
          <w:lang w:val="es-ES_tradnl"/>
        </w:rPr>
        <w:t>CONTEXTO  DE PLANIFICACIÓN</w:t>
      </w:r>
    </w:p>
    <w:p w:rsidR="00BE322F" w:rsidRPr="00AD1E8B" w:rsidRDefault="00BE322F" w:rsidP="00BE322F">
      <w:pPr>
        <w:tabs>
          <w:tab w:val="num" w:pos="709"/>
        </w:tabs>
        <w:jc w:val="both"/>
        <w:rPr>
          <w:bCs/>
          <w:sz w:val="20"/>
          <w:lang w:val="es-ES_tradnl"/>
        </w:rPr>
      </w:pPr>
    </w:p>
    <w:p w:rsidR="00BE322F" w:rsidRPr="00AD1E8B" w:rsidRDefault="00BE322F" w:rsidP="00E17471">
      <w:pPr>
        <w:numPr>
          <w:ilvl w:val="0"/>
          <w:numId w:val="14"/>
        </w:numPr>
        <w:jc w:val="both"/>
        <w:rPr>
          <w:sz w:val="20"/>
          <w:lang w:val="es-ES_tradnl" w:eastAsia="ja-JP"/>
        </w:rPr>
      </w:pPr>
      <w:r w:rsidRPr="00AD1E8B">
        <w:rPr>
          <w:sz w:val="20"/>
          <w:lang w:val="es-ES_tradnl" w:eastAsia="ja-JP"/>
        </w:rPr>
        <w:t xml:space="preserve">Las oficinas </w:t>
      </w:r>
      <w:r w:rsidR="00C42F2A">
        <w:rPr>
          <w:sz w:val="20"/>
          <w:lang w:val="es-ES_tradnl" w:eastAsia="ja-JP"/>
        </w:rPr>
        <w:t>en el exterior</w:t>
      </w:r>
      <w:r w:rsidRPr="00AD1E8B">
        <w:rPr>
          <w:sz w:val="20"/>
          <w:lang w:val="es-ES_tradnl" w:eastAsia="ja-JP"/>
        </w:rPr>
        <w:t xml:space="preserve"> desempeñan un papel cada vez más importante de cara al suministro efectivo de los productos y servicios de la OMPI (incluyendo los servicios orientados hacia el desarrollo) a los Estados miembros y demás partes interesadas.  Dichas oficinas ofrecen una plataforma para la evolución de la OMPI como Organización auténticamente mundial que suministra servicios coherentes de manera más eficiente y receptiva a través de una cooperación más inmediata con las partes interesadas y los beneficiarios.  Por ejemplo, la Oficina de la OMPI en Nueva York, establecida hace más de treinta años, ha desempeñado una función esencial consagrando a la OMPI como el punto de referencia dentro del sistema de las NN.UU. tratándose de temas relacionados con la P.I.  Las otras tres oficinas de la OMPI </w:t>
      </w:r>
      <w:r w:rsidR="003B22A3">
        <w:rPr>
          <w:sz w:val="20"/>
          <w:lang w:val="es-ES_tradnl" w:eastAsia="ja-JP"/>
        </w:rPr>
        <w:t xml:space="preserve">en el exterior, </w:t>
      </w:r>
      <w:r w:rsidRPr="00AD1E8B">
        <w:rPr>
          <w:sz w:val="20"/>
          <w:lang w:val="es-ES_tradnl" w:eastAsia="ja-JP"/>
        </w:rPr>
        <w:t>que se hallan actualmente en funcionamiento</w:t>
      </w:r>
      <w:r w:rsidR="003B22A3">
        <w:rPr>
          <w:sz w:val="20"/>
          <w:lang w:val="es-ES_tradnl" w:eastAsia="ja-JP"/>
        </w:rPr>
        <w:t>,</w:t>
      </w:r>
      <w:r w:rsidRPr="00AD1E8B">
        <w:rPr>
          <w:sz w:val="20"/>
          <w:lang w:val="es-ES_tradnl" w:eastAsia="ja-JP"/>
        </w:rPr>
        <w:t xml:space="preserve"> son la Oficina de Singapur (establecida en 2005), la Oficina del Japón (establecida en 2006) y la Oficina del Brasil (establecida en 2010).</w:t>
      </w:r>
    </w:p>
    <w:p w:rsidR="00BE322F" w:rsidRPr="00AD1E8B" w:rsidRDefault="00BE322F" w:rsidP="00BE322F">
      <w:pPr>
        <w:jc w:val="both"/>
        <w:rPr>
          <w:sz w:val="20"/>
          <w:lang w:val="es-ES_tradnl" w:eastAsia="ja-JP"/>
        </w:rPr>
      </w:pPr>
    </w:p>
    <w:p w:rsidR="00BE322F" w:rsidRPr="00AD1E8B" w:rsidRDefault="00BE322F" w:rsidP="00E17471">
      <w:pPr>
        <w:numPr>
          <w:ilvl w:val="0"/>
          <w:numId w:val="14"/>
        </w:numPr>
        <w:jc w:val="both"/>
        <w:rPr>
          <w:sz w:val="20"/>
          <w:lang w:val="es-ES_tradnl"/>
        </w:rPr>
      </w:pPr>
      <w:r w:rsidRPr="00AD1E8B">
        <w:rPr>
          <w:sz w:val="20"/>
          <w:lang w:val="es-ES_tradnl"/>
        </w:rPr>
        <w:t xml:space="preserve">En septiembre de 2010, la Asamblea General de la OMPI resolvió iniciar un proceso de consultas oficiosas entre los Estados miembros con vistas a la elaboración de una política sobre el establecimiento de oficinas </w:t>
      </w:r>
      <w:r w:rsidR="008921D7">
        <w:rPr>
          <w:sz w:val="20"/>
          <w:lang w:val="es-ES_tradnl"/>
        </w:rPr>
        <w:t>en el exterior</w:t>
      </w:r>
      <w:r w:rsidRPr="00AD1E8B">
        <w:rPr>
          <w:sz w:val="20"/>
          <w:lang w:val="es-ES_tradnl"/>
        </w:rPr>
        <w:t xml:space="preserve"> (docu</w:t>
      </w:r>
      <w:r w:rsidR="00C42F2A">
        <w:rPr>
          <w:sz w:val="20"/>
          <w:lang w:val="es-ES_tradnl"/>
        </w:rPr>
        <w:t xml:space="preserve">mentos A/48/12 Rev. y A/48/26, </w:t>
      </w:r>
      <w:r w:rsidRPr="00AD1E8B">
        <w:rPr>
          <w:sz w:val="20"/>
          <w:lang w:val="es-ES_tradnl"/>
        </w:rPr>
        <w:t>p</w:t>
      </w:r>
      <w:r w:rsidR="00C42F2A">
        <w:rPr>
          <w:sz w:val="20"/>
          <w:lang w:val="es-ES_tradnl"/>
        </w:rPr>
        <w:t>árraf</w:t>
      </w:r>
      <w:r w:rsidRPr="00AD1E8B">
        <w:rPr>
          <w:sz w:val="20"/>
          <w:lang w:val="es-ES_tradnl"/>
        </w:rPr>
        <w:t xml:space="preserve">o 262).  </w:t>
      </w:r>
    </w:p>
    <w:p w:rsidR="00BE322F" w:rsidRPr="00AD1E8B" w:rsidRDefault="00BE322F" w:rsidP="00BE322F">
      <w:pPr>
        <w:jc w:val="both"/>
        <w:rPr>
          <w:sz w:val="20"/>
          <w:lang w:val="es-ES_tradnl"/>
        </w:rPr>
      </w:pPr>
    </w:p>
    <w:p w:rsidR="00BE322F" w:rsidRPr="00AD1E8B" w:rsidRDefault="00BE322F" w:rsidP="00E17471">
      <w:pPr>
        <w:numPr>
          <w:ilvl w:val="0"/>
          <w:numId w:val="14"/>
        </w:numPr>
        <w:jc w:val="both"/>
        <w:rPr>
          <w:sz w:val="20"/>
          <w:lang w:val="es-ES_tradnl"/>
        </w:rPr>
      </w:pPr>
      <w:r w:rsidRPr="00AD1E8B">
        <w:rPr>
          <w:sz w:val="20"/>
          <w:lang w:val="es-ES_tradnl"/>
        </w:rPr>
        <w:t>Las consultas oficiosas celebradas con los Estados miembros en 2011 y 2012 arrojaron como resultado la formulación de los siguientes princ</w:t>
      </w:r>
      <w:r w:rsidR="00BB5D51">
        <w:rPr>
          <w:sz w:val="20"/>
          <w:lang w:val="es-ES_tradnl"/>
        </w:rPr>
        <w:t xml:space="preserve">ipios: </w:t>
      </w:r>
      <w:r w:rsidR="00D86F03">
        <w:rPr>
          <w:sz w:val="20"/>
          <w:lang w:val="es-ES_tradnl"/>
        </w:rPr>
        <w:t xml:space="preserve"> </w:t>
      </w:r>
      <w:r w:rsidR="00BB5D51">
        <w:rPr>
          <w:sz w:val="20"/>
          <w:lang w:val="es-ES_tradnl"/>
        </w:rPr>
        <w:t>1) las oficinas en el exterior</w:t>
      </w:r>
      <w:r w:rsidRPr="00AD1E8B">
        <w:rPr>
          <w:sz w:val="20"/>
          <w:lang w:val="es-ES_tradnl"/>
        </w:rPr>
        <w:t xml:space="preserve"> deben generar valor añadido y emprender actividades que puedan llevar a cabo más eficientemente que la Sede de la Organ</w:t>
      </w:r>
      <w:r w:rsidR="00BB5D51">
        <w:rPr>
          <w:sz w:val="20"/>
          <w:lang w:val="es-ES_tradnl"/>
        </w:rPr>
        <w:t>ización;  2) las oficinas en el exterior</w:t>
      </w:r>
      <w:r w:rsidRPr="00AD1E8B">
        <w:rPr>
          <w:sz w:val="20"/>
          <w:lang w:val="es-ES_tradnl"/>
        </w:rPr>
        <w:t xml:space="preserve"> podrán desempeñar diferentes combinaciones de funciones según las prioridades y peculiaridades regionales;  3) una nueva oficina </w:t>
      </w:r>
      <w:r w:rsidR="00BB5D51">
        <w:rPr>
          <w:sz w:val="20"/>
          <w:lang w:val="es-ES_tradnl"/>
        </w:rPr>
        <w:t>en el exterior</w:t>
      </w:r>
      <w:r w:rsidRPr="00AD1E8B">
        <w:rPr>
          <w:sz w:val="20"/>
          <w:lang w:val="es-ES_tradnl"/>
        </w:rPr>
        <w:t xml:space="preserve"> sólo debe ser  establecida si ello resulta viable para la Organización desde el punto de vista financiero;  4) se adoptará un planteamiento gradual y prudente al determinar las funciones de las oficinas </w:t>
      </w:r>
      <w:r w:rsidR="00BB5D51">
        <w:rPr>
          <w:sz w:val="20"/>
          <w:lang w:val="es-ES_tradnl"/>
        </w:rPr>
        <w:t>en el exterior</w:t>
      </w:r>
      <w:r w:rsidRPr="00AD1E8B">
        <w:rPr>
          <w:sz w:val="20"/>
          <w:lang w:val="es-ES_tradnl"/>
        </w:rPr>
        <w:t xml:space="preserve"> y asignar los correspondientes recursos.</w:t>
      </w:r>
    </w:p>
    <w:p w:rsidR="00BE322F" w:rsidRPr="00AD1E8B" w:rsidRDefault="00BE322F" w:rsidP="00BE322F">
      <w:pPr>
        <w:jc w:val="both"/>
        <w:rPr>
          <w:sz w:val="20"/>
          <w:lang w:val="es-ES_tradnl"/>
        </w:rPr>
      </w:pPr>
    </w:p>
    <w:p w:rsidR="00BE322F" w:rsidRPr="00AD1E8B" w:rsidRDefault="00BE322F" w:rsidP="00E17471">
      <w:pPr>
        <w:numPr>
          <w:ilvl w:val="0"/>
          <w:numId w:val="14"/>
        </w:numPr>
        <w:jc w:val="both"/>
        <w:rPr>
          <w:sz w:val="20"/>
          <w:lang w:val="es-ES_tradnl"/>
        </w:rPr>
      </w:pPr>
      <w:r w:rsidRPr="00AD1E8B">
        <w:rPr>
          <w:sz w:val="20"/>
          <w:lang w:val="es-ES_tradnl"/>
        </w:rPr>
        <w:t>En consonancia con la prioridad central atribuida por la OMPI a la "prestación óptima de servicios", una importante obligación de cada oficina será contribuir a la oferta de servicios "</w:t>
      </w:r>
      <w:r w:rsidR="00BB5D51">
        <w:rPr>
          <w:sz w:val="20"/>
          <w:lang w:val="es-ES_tradnl"/>
        </w:rPr>
        <w:t xml:space="preserve">las </w:t>
      </w:r>
      <w:r w:rsidRPr="00AD1E8B">
        <w:rPr>
          <w:sz w:val="20"/>
          <w:lang w:val="es-ES_tradnl"/>
        </w:rPr>
        <w:t>24 horas" para garantizar la disponibilidad de la OMPI al margen del horario comercial de Ginebra.</w:t>
      </w:r>
    </w:p>
    <w:p w:rsidR="00BE322F" w:rsidRPr="00AD1E8B" w:rsidRDefault="00BE322F" w:rsidP="00BE322F">
      <w:pPr>
        <w:jc w:val="both"/>
        <w:rPr>
          <w:sz w:val="20"/>
          <w:lang w:val="es-ES_tradnl"/>
        </w:rPr>
      </w:pPr>
    </w:p>
    <w:p w:rsidR="00BE322F" w:rsidRPr="00AD1E8B" w:rsidRDefault="00BE322F" w:rsidP="00BE322F">
      <w:pPr>
        <w:tabs>
          <w:tab w:val="num" w:pos="709"/>
        </w:tabs>
        <w:jc w:val="both"/>
        <w:rPr>
          <w:bCs/>
          <w:sz w:val="20"/>
          <w:lang w:val="es-ES_tradnl"/>
        </w:rPr>
      </w:pPr>
    </w:p>
    <w:p w:rsidR="00BE322F" w:rsidRPr="00AD1E8B" w:rsidRDefault="00BE322F" w:rsidP="00C83A6A">
      <w:pPr>
        <w:keepNext/>
        <w:keepLines/>
        <w:tabs>
          <w:tab w:val="num" w:pos="709"/>
        </w:tabs>
        <w:jc w:val="both"/>
        <w:rPr>
          <w:bCs/>
          <w:szCs w:val="22"/>
          <w:lang w:val="es-ES_tradnl"/>
        </w:rPr>
      </w:pPr>
      <w:r w:rsidRPr="00AD1E8B">
        <w:rPr>
          <w:bCs/>
          <w:szCs w:val="22"/>
          <w:lang w:val="es-ES_tradnl"/>
        </w:rPr>
        <w:lastRenderedPageBreak/>
        <w:t>ESTRATEGIAS DE EJECUCIÓN</w:t>
      </w:r>
    </w:p>
    <w:p w:rsidR="00BE322F" w:rsidRPr="00AD1E8B" w:rsidRDefault="00BE322F" w:rsidP="00C83A6A">
      <w:pPr>
        <w:keepNext/>
        <w:keepLines/>
        <w:tabs>
          <w:tab w:val="num" w:pos="709"/>
        </w:tabs>
        <w:jc w:val="both"/>
        <w:rPr>
          <w:bCs/>
          <w:sz w:val="20"/>
          <w:lang w:val="es-ES_tradnl"/>
        </w:rPr>
      </w:pPr>
    </w:p>
    <w:p w:rsidR="00BE322F" w:rsidRPr="00AD1E8B" w:rsidRDefault="00BE322F" w:rsidP="00C83A6A">
      <w:pPr>
        <w:keepNext/>
        <w:keepLines/>
        <w:numPr>
          <w:ilvl w:val="0"/>
          <w:numId w:val="14"/>
        </w:numPr>
        <w:jc w:val="both"/>
        <w:rPr>
          <w:sz w:val="20"/>
          <w:lang w:val="es-ES_tradnl"/>
        </w:rPr>
      </w:pPr>
      <w:r w:rsidRPr="00AD1E8B">
        <w:rPr>
          <w:sz w:val="20"/>
          <w:lang w:val="es-ES_tradnl"/>
        </w:rPr>
        <w:t>Cada una de las oficinas existentes de la OMPI</w:t>
      </w:r>
      <w:r w:rsidR="00BB5D51">
        <w:rPr>
          <w:sz w:val="20"/>
          <w:lang w:val="es-ES_tradnl"/>
        </w:rPr>
        <w:t xml:space="preserve"> en el exterior</w:t>
      </w:r>
      <w:r w:rsidRPr="00AD1E8B">
        <w:rPr>
          <w:sz w:val="20"/>
          <w:lang w:val="es-ES_tradnl"/>
        </w:rPr>
        <w:t xml:space="preserve"> contribuirá, en su respectivo país anfitrión y en la región circundante, a la consecución de todos los </w:t>
      </w:r>
      <w:r>
        <w:rPr>
          <w:sz w:val="20"/>
          <w:lang w:val="es-ES_tradnl"/>
        </w:rPr>
        <w:t>o</w:t>
      </w:r>
      <w:r w:rsidRPr="00AD1E8B">
        <w:rPr>
          <w:sz w:val="20"/>
          <w:lang w:val="es-ES_tradnl"/>
        </w:rPr>
        <w:t xml:space="preserve">bjetivos </w:t>
      </w:r>
      <w:r>
        <w:rPr>
          <w:sz w:val="20"/>
          <w:lang w:val="es-ES_tradnl"/>
        </w:rPr>
        <w:t>e</w:t>
      </w:r>
      <w:r w:rsidRPr="00AD1E8B">
        <w:rPr>
          <w:sz w:val="20"/>
          <w:lang w:val="es-ES_tradnl"/>
        </w:rPr>
        <w:t xml:space="preserve">stratégicos en coordinación con la Sede de la Organización.   </w:t>
      </w:r>
    </w:p>
    <w:p w:rsidR="00BE322F" w:rsidRPr="00AD1E8B" w:rsidRDefault="00BE322F" w:rsidP="00BE322F">
      <w:pPr>
        <w:jc w:val="both"/>
        <w:rPr>
          <w:sz w:val="20"/>
          <w:lang w:val="es-ES_tradnl"/>
        </w:rPr>
      </w:pPr>
    </w:p>
    <w:p w:rsidR="00BE322F" w:rsidRPr="00AD1E8B" w:rsidRDefault="00BE322F" w:rsidP="00E17471">
      <w:pPr>
        <w:numPr>
          <w:ilvl w:val="0"/>
          <w:numId w:val="14"/>
        </w:numPr>
        <w:jc w:val="both"/>
        <w:rPr>
          <w:sz w:val="20"/>
          <w:lang w:val="es-ES_tradnl"/>
        </w:rPr>
      </w:pPr>
      <w:r w:rsidRPr="00AD1E8B">
        <w:rPr>
          <w:sz w:val="20"/>
          <w:lang w:val="es-ES_tradnl"/>
        </w:rPr>
        <w:t xml:space="preserve">En consonancia con el principio rector que preconiza la adición de valor y el suministro más eficaz y eficiente de resultados gracias a una situación geográfica más cercana a las partes interesadas, las oficinas atenderán particularmente a:  proporcionar apoyo a los </w:t>
      </w:r>
      <w:r>
        <w:rPr>
          <w:sz w:val="20"/>
          <w:lang w:val="es-ES_tradnl"/>
        </w:rPr>
        <w:t>s</w:t>
      </w:r>
      <w:r w:rsidRPr="00AD1E8B">
        <w:rPr>
          <w:sz w:val="20"/>
          <w:lang w:val="es-ES_tradnl"/>
        </w:rPr>
        <w:t xml:space="preserve">ervicios </w:t>
      </w:r>
      <w:r>
        <w:rPr>
          <w:sz w:val="20"/>
          <w:lang w:val="es-ES_tradnl"/>
        </w:rPr>
        <w:t>m</w:t>
      </w:r>
      <w:r w:rsidRPr="00AD1E8B">
        <w:rPr>
          <w:sz w:val="20"/>
          <w:lang w:val="es-ES_tradnl"/>
        </w:rPr>
        <w:t>undiales de P.I. de la OMPI (</w:t>
      </w:r>
      <w:r>
        <w:rPr>
          <w:sz w:val="20"/>
          <w:lang w:val="es-ES_tradnl"/>
        </w:rPr>
        <w:t>m</w:t>
      </w:r>
      <w:r w:rsidRPr="00AD1E8B">
        <w:rPr>
          <w:sz w:val="20"/>
          <w:lang w:val="es-ES_tradnl"/>
        </w:rPr>
        <w:t xml:space="preserve">eta </w:t>
      </w:r>
      <w:r>
        <w:rPr>
          <w:sz w:val="20"/>
          <w:lang w:val="es-ES_tradnl"/>
        </w:rPr>
        <w:t>e</w:t>
      </w:r>
      <w:r w:rsidR="00733234">
        <w:rPr>
          <w:sz w:val="20"/>
          <w:lang w:val="es-ES_tradnl"/>
        </w:rPr>
        <w:t>stratégica II), facilitar</w:t>
      </w:r>
      <w:r w:rsidRPr="00AD1E8B">
        <w:rPr>
          <w:sz w:val="20"/>
          <w:lang w:val="es-ES_tradnl"/>
        </w:rPr>
        <w:t xml:space="preserve"> el uso de la P.I. </w:t>
      </w:r>
      <w:r w:rsidR="00733234">
        <w:rPr>
          <w:sz w:val="20"/>
          <w:lang w:val="es-ES_tradnl"/>
        </w:rPr>
        <w:t>en aras del</w:t>
      </w:r>
      <w:r w:rsidRPr="00AD1E8B">
        <w:rPr>
          <w:sz w:val="20"/>
          <w:lang w:val="es-ES_tradnl"/>
        </w:rPr>
        <w:t xml:space="preserve"> desarrollo (</w:t>
      </w:r>
      <w:r>
        <w:rPr>
          <w:sz w:val="20"/>
          <w:lang w:val="es-ES_tradnl"/>
        </w:rPr>
        <w:t>m</w:t>
      </w:r>
      <w:r w:rsidRPr="00AD1E8B">
        <w:rPr>
          <w:sz w:val="20"/>
          <w:lang w:val="es-ES_tradnl"/>
        </w:rPr>
        <w:t xml:space="preserve">eta </w:t>
      </w:r>
      <w:r>
        <w:rPr>
          <w:sz w:val="20"/>
          <w:lang w:val="es-ES_tradnl"/>
        </w:rPr>
        <w:t>e</w:t>
      </w:r>
      <w:r w:rsidRPr="00AD1E8B">
        <w:rPr>
          <w:sz w:val="20"/>
          <w:lang w:val="es-ES_tradnl"/>
        </w:rPr>
        <w:t>stratégica III), mejorar la infraestructura mundial de P.I. (</w:t>
      </w:r>
      <w:r>
        <w:rPr>
          <w:sz w:val="20"/>
          <w:lang w:val="es-ES_tradnl"/>
        </w:rPr>
        <w:t>m</w:t>
      </w:r>
      <w:r w:rsidRPr="00AD1E8B">
        <w:rPr>
          <w:sz w:val="20"/>
          <w:lang w:val="es-ES_tradnl"/>
        </w:rPr>
        <w:t xml:space="preserve">eta </w:t>
      </w:r>
      <w:r>
        <w:rPr>
          <w:sz w:val="20"/>
          <w:lang w:val="es-ES_tradnl"/>
        </w:rPr>
        <w:t>e</w:t>
      </w:r>
      <w:r w:rsidRPr="00AD1E8B">
        <w:rPr>
          <w:sz w:val="20"/>
          <w:lang w:val="es-ES_tradnl"/>
        </w:rPr>
        <w:t>stratégica IV) e instituir unas comunicaciones más eficaces con el público en general y con las partes interesadas del país y la región respectivos (</w:t>
      </w:r>
      <w:r>
        <w:rPr>
          <w:sz w:val="20"/>
          <w:lang w:val="es-ES_tradnl"/>
        </w:rPr>
        <w:t>m</w:t>
      </w:r>
      <w:r w:rsidRPr="00AD1E8B">
        <w:rPr>
          <w:sz w:val="20"/>
          <w:lang w:val="es-ES_tradnl"/>
        </w:rPr>
        <w:t xml:space="preserve">eta </w:t>
      </w:r>
      <w:r>
        <w:rPr>
          <w:sz w:val="20"/>
          <w:lang w:val="es-ES_tradnl"/>
        </w:rPr>
        <w:t>e</w:t>
      </w:r>
      <w:r w:rsidRPr="00AD1E8B">
        <w:rPr>
          <w:sz w:val="20"/>
          <w:lang w:val="es-ES_tradnl"/>
        </w:rPr>
        <w:t xml:space="preserve">stratégica VIII).  </w:t>
      </w:r>
    </w:p>
    <w:p w:rsidR="00BE322F" w:rsidRPr="00AD1E8B" w:rsidRDefault="00BE322F" w:rsidP="00BE322F">
      <w:pPr>
        <w:jc w:val="both"/>
        <w:rPr>
          <w:sz w:val="20"/>
          <w:lang w:val="es-ES_tradnl"/>
        </w:rPr>
      </w:pPr>
    </w:p>
    <w:p w:rsidR="00BE322F" w:rsidRPr="00AD1E8B" w:rsidRDefault="00BE322F" w:rsidP="00E17471">
      <w:pPr>
        <w:numPr>
          <w:ilvl w:val="0"/>
          <w:numId w:val="14"/>
        </w:numPr>
        <w:jc w:val="both"/>
        <w:rPr>
          <w:sz w:val="20"/>
          <w:lang w:val="es-ES_tradnl"/>
        </w:rPr>
      </w:pPr>
      <w:r w:rsidRPr="00AD1E8B">
        <w:rPr>
          <w:sz w:val="20"/>
          <w:lang w:val="es-ES_tradnl"/>
        </w:rPr>
        <w:t xml:space="preserve">Asimismo, las oficinas existentes </w:t>
      </w:r>
      <w:r w:rsidR="00BB5D51">
        <w:rPr>
          <w:sz w:val="20"/>
          <w:lang w:val="es-ES_tradnl"/>
        </w:rPr>
        <w:t xml:space="preserve">en el exterior </w:t>
      </w:r>
      <w:r w:rsidRPr="00AD1E8B">
        <w:rPr>
          <w:sz w:val="20"/>
          <w:lang w:val="es-ES_tradnl"/>
        </w:rPr>
        <w:t xml:space="preserve">aplicarán las estrategias específicas que a continuación se exponen: </w:t>
      </w:r>
    </w:p>
    <w:p w:rsidR="00BE322F" w:rsidRPr="00AD1E8B" w:rsidRDefault="00BE322F" w:rsidP="00BE322F">
      <w:pPr>
        <w:jc w:val="both"/>
        <w:rPr>
          <w:sz w:val="20"/>
          <w:lang w:val="es-ES_tradnl"/>
        </w:rPr>
      </w:pPr>
    </w:p>
    <w:p w:rsidR="00BE322F" w:rsidRPr="00AD1E8B" w:rsidRDefault="00BE322F" w:rsidP="00BE322F">
      <w:pPr>
        <w:tabs>
          <w:tab w:val="num" w:pos="709"/>
        </w:tabs>
        <w:jc w:val="both"/>
        <w:rPr>
          <w:sz w:val="20"/>
          <w:u w:val="single"/>
          <w:lang w:val="es-ES_tradnl"/>
        </w:rPr>
      </w:pPr>
      <w:r w:rsidRPr="00AD1E8B">
        <w:rPr>
          <w:sz w:val="20"/>
          <w:u w:val="single"/>
          <w:lang w:val="es-ES_tradnl"/>
        </w:rPr>
        <w:t>Oficina de Coordinación de la OMPI en Nueva York (</w:t>
      </w:r>
      <w:r w:rsidR="00BB5D51">
        <w:rPr>
          <w:sz w:val="20"/>
          <w:u w:val="single"/>
          <w:lang w:val="es-ES_tradnl"/>
        </w:rPr>
        <w:t>O</w:t>
      </w:r>
      <w:r w:rsidRPr="00AD1E8B">
        <w:rPr>
          <w:sz w:val="20"/>
          <w:u w:val="single"/>
          <w:lang w:val="es-ES_tradnl"/>
        </w:rPr>
        <w:t>NY)</w:t>
      </w:r>
    </w:p>
    <w:p w:rsidR="00BE322F" w:rsidRPr="00AD1E8B" w:rsidRDefault="00BE322F" w:rsidP="00BE322F">
      <w:pPr>
        <w:tabs>
          <w:tab w:val="num" w:pos="709"/>
        </w:tabs>
        <w:jc w:val="both"/>
        <w:rPr>
          <w:sz w:val="20"/>
          <w:u w:val="single"/>
          <w:lang w:val="es-ES_tradnl"/>
        </w:rPr>
      </w:pPr>
    </w:p>
    <w:p w:rsidR="00BE322F" w:rsidRPr="00AD1E8B" w:rsidRDefault="00BE322F" w:rsidP="00E17471">
      <w:pPr>
        <w:numPr>
          <w:ilvl w:val="0"/>
          <w:numId w:val="14"/>
        </w:numPr>
        <w:jc w:val="both"/>
        <w:rPr>
          <w:sz w:val="20"/>
          <w:lang w:val="es-ES_tradnl"/>
        </w:rPr>
      </w:pPr>
      <w:r w:rsidRPr="00AD1E8B">
        <w:rPr>
          <w:sz w:val="20"/>
          <w:lang w:val="es-ES_tradnl"/>
        </w:rPr>
        <w:t xml:space="preserve">La </w:t>
      </w:r>
      <w:r>
        <w:rPr>
          <w:sz w:val="20"/>
          <w:lang w:val="es-ES_tradnl"/>
        </w:rPr>
        <w:t>o</w:t>
      </w:r>
      <w:r w:rsidRPr="00AD1E8B">
        <w:rPr>
          <w:sz w:val="20"/>
          <w:lang w:val="es-ES_tradnl"/>
        </w:rPr>
        <w:t>ficina apoyará especialmente el estrechamiento de vínculos con las NN.UU. y sus programas.</w:t>
      </w:r>
    </w:p>
    <w:p w:rsidR="00BE322F" w:rsidRPr="00AD1E8B" w:rsidRDefault="00BE322F" w:rsidP="00BE322F">
      <w:pPr>
        <w:tabs>
          <w:tab w:val="left" w:pos="1134"/>
        </w:tabs>
        <w:ind w:left="6"/>
        <w:jc w:val="both"/>
        <w:rPr>
          <w:sz w:val="20"/>
          <w:lang w:val="es-ES_tradnl"/>
        </w:rPr>
      </w:pPr>
    </w:p>
    <w:p w:rsidR="00BE322F" w:rsidRPr="00AD1E8B" w:rsidRDefault="00BE322F" w:rsidP="00BE322F">
      <w:pPr>
        <w:tabs>
          <w:tab w:val="left" w:pos="1134"/>
        </w:tabs>
        <w:ind w:left="6"/>
        <w:jc w:val="both"/>
        <w:rPr>
          <w:sz w:val="20"/>
          <w:lang w:val="es-ES_tradnl"/>
        </w:rPr>
      </w:pPr>
    </w:p>
    <w:p w:rsidR="00BE322F" w:rsidRPr="00AD1E8B" w:rsidRDefault="00BE322F" w:rsidP="00BE322F">
      <w:pPr>
        <w:tabs>
          <w:tab w:val="left" w:pos="1134"/>
        </w:tabs>
        <w:ind w:left="6"/>
        <w:jc w:val="both"/>
        <w:rPr>
          <w:bCs/>
          <w:iCs/>
          <w:sz w:val="20"/>
          <w:u w:val="single"/>
          <w:lang w:val="es-ES_tradnl"/>
        </w:rPr>
      </w:pPr>
      <w:r w:rsidRPr="00AD1E8B">
        <w:rPr>
          <w:bCs/>
          <w:iCs/>
          <w:sz w:val="20"/>
          <w:u w:val="single"/>
          <w:lang w:val="es-ES_tradnl"/>
        </w:rPr>
        <w:t>Oficina de la OMPI e</w:t>
      </w:r>
      <w:r w:rsidR="00BB5D51">
        <w:rPr>
          <w:bCs/>
          <w:iCs/>
          <w:sz w:val="20"/>
          <w:u w:val="single"/>
          <w:lang w:val="es-ES_tradnl"/>
        </w:rPr>
        <w:t>n el Brasil, Río de Janeiro (OOB</w:t>
      </w:r>
      <w:r w:rsidRPr="00AD1E8B">
        <w:rPr>
          <w:bCs/>
          <w:iCs/>
          <w:sz w:val="20"/>
          <w:u w:val="single"/>
          <w:lang w:val="es-ES_tradnl"/>
        </w:rPr>
        <w:t>)</w:t>
      </w:r>
    </w:p>
    <w:p w:rsidR="00BE322F" w:rsidRPr="00AD1E8B" w:rsidRDefault="00BE322F" w:rsidP="00BE322F">
      <w:pPr>
        <w:jc w:val="both"/>
        <w:rPr>
          <w:sz w:val="20"/>
          <w:lang w:val="es-ES_tradnl"/>
        </w:rPr>
      </w:pPr>
    </w:p>
    <w:p w:rsidR="00BE322F" w:rsidRPr="00AD1E8B" w:rsidRDefault="00BE322F" w:rsidP="00E17471">
      <w:pPr>
        <w:numPr>
          <w:ilvl w:val="0"/>
          <w:numId w:val="14"/>
        </w:numPr>
        <w:jc w:val="both"/>
        <w:rPr>
          <w:sz w:val="20"/>
          <w:lang w:val="es-ES_tradnl"/>
        </w:rPr>
      </w:pPr>
      <w:r w:rsidRPr="00AD1E8B">
        <w:rPr>
          <w:sz w:val="20"/>
          <w:lang w:val="es-ES_tradnl"/>
        </w:rPr>
        <w:t xml:space="preserve">La </w:t>
      </w:r>
      <w:r w:rsidR="00B877E6">
        <w:rPr>
          <w:sz w:val="20"/>
          <w:lang w:val="es-ES_tradnl"/>
        </w:rPr>
        <w:t>Oficina de la OMPI</w:t>
      </w:r>
      <w:r w:rsidR="00BB5D51">
        <w:rPr>
          <w:sz w:val="20"/>
          <w:lang w:val="es-ES_tradnl"/>
        </w:rPr>
        <w:t xml:space="preserve"> en el Brasil (</w:t>
      </w:r>
      <w:r w:rsidRPr="00AD1E8B">
        <w:rPr>
          <w:sz w:val="20"/>
          <w:lang w:val="es-ES_tradnl"/>
        </w:rPr>
        <w:t>O</w:t>
      </w:r>
      <w:r w:rsidR="00BB5D51">
        <w:rPr>
          <w:sz w:val="20"/>
          <w:lang w:val="es-ES_tradnl"/>
        </w:rPr>
        <w:t>OB</w:t>
      </w:r>
      <w:r w:rsidRPr="00AD1E8B">
        <w:rPr>
          <w:sz w:val="20"/>
          <w:lang w:val="es-ES_tradnl"/>
        </w:rPr>
        <w:t>) apoya la realización de actividades dirigidas primariamente a potenciar el uso del sistema de P.I. en general y de los servicios de la OMPI en particular, en el Brasil y en otros países en desarrollo que tienen programas de cooperación con el Brasil.</w:t>
      </w:r>
    </w:p>
    <w:p w:rsidR="00BE322F" w:rsidRPr="00AD1E8B" w:rsidRDefault="00BE322F" w:rsidP="00BE322F">
      <w:pPr>
        <w:jc w:val="both"/>
        <w:rPr>
          <w:sz w:val="20"/>
          <w:lang w:val="es-ES_tradnl"/>
        </w:rPr>
      </w:pPr>
    </w:p>
    <w:p w:rsidR="00BE322F" w:rsidRPr="00AD1E8B" w:rsidRDefault="00BB5D51" w:rsidP="00E17471">
      <w:pPr>
        <w:numPr>
          <w:ilvl w:val="0"/>
          <w:numId w:val="14"/>
        </w:numPr>
        <w:jc w:val="both"/>
        <w:rPr>
          <w:sz w:val="20"/>
          <w:lang w:val="es-ES_tradnl"/>
        </w:rPr>
      </w:pPr>
      <w:r>
        <w:rPr>
          <w:sz w:val="20"/>
          <w:lang w:val="es-ES_tradnl"/>
        </w:rPr>
        <w:t xml:space="preserve">La </w:t>
      </w:r>
      <w:r w:rsidR="00BE322F" w:rsidRPr="00AD1E8B">
        <w:rPr>
          <w:sz w:val="20"/>
          <w:lang w:val="es-ES_tradnl"/>
        </w:rPr>
        <w:t>O</w:t>
      </w:r>
      <w:r>
        <w:rPr>
          <w:sz w:val="20"/>
          <w:lang w:val="es-ES_tradnl"/>
        </w:rPr>
        <w:t>OB</w:t>
      </w:r>
      <w:r w:rsidR="00BE322F" w:rsidRPr="00AD1E8B">
        <w:rPr>
          <w:sz w:val="20"/>
          <w:lang w:val="es-ES_tradnl"/>
        </w:rPr>
        <w:t xml:space="preserve"> administra el Acuerdo de </w:t>
      </w:r>
      <w:r w:rsidR="00BE322F">
        <w:rPr>
          <w:sz w:val="20"/>
          <w:lang w:val="es-ES_tradnl"/>
        </w:rPr>
        <w:t>f</w:t>
      </w:r>
      <w:r w:rsidR="00BE322F" w:rsidRPr="00AD1E8B">
        <w:rPr>
          <w:sz w:val="20"/>
          <w:lang w:val="es-ES_tradnl"/>
        </w:rPr>
        <w:t xml:space="preserve">ondos </w:t>
      </w:r>
      <w:r w:rsidR="00BE322F">
        <w:rPr>
          <w:sz w:val="20"/>
          <w:lang w:val="es-ES_tradnl"/>
        </w:rPr>
        <w:t>f</w:t>
      </w:r>
      <w:r w:rsidR="00BE322F" w:rsidRPr="00AD1E8B">
        <w:rPr>
          <w:sz w:val="20"/>
          <w:lang w:val="es-ES_tradnl"/>
        </w:rPr>
        <w:t xml:space="preserve">iduciarios suscrito entre el Gobierno del Brasil y la OMPI, una de cuyas finalidades es promover una cultura de P.I. entre las instituciones y usuarios  nacionales e internacionales a través de la cooperación Sur-Sur entre países en desarrollo de dentro y fuera de la región latinoamericana, utilizando competencias brasileñas en el ámbito de la P.I. </w:t>
      </w:r>
    </w:p>
    <w:p w:rsidR="00BE322F" w:rsidRPr="00AD1E8B" w:rsidRDefault="00BE322F" w:rsidP="00BE322F">
      <w:pPr>
        <w:jc w:val="both"/>
        <w:rPr>
          <w:sz w:val="20"/>
          <w:lang w:val="es-ES_tradnl"/>
        </w:rPr>
      </w:pPr>
    </w:p>
    <w:p w:rsidR="00BE322F" w:rsidRPr="00AD1E8B" w:rsidRDefault="00BE322F" w:rsidP="00BE322F">
      <w:pPr>
        <w:jc w:val="both"/>
        <w:rPr>
          <w:sz w:val="20"/>
          <w:lang w:val="es-ES_tradnl"/>
        </w:rPr>
      </w:pPr>
    </w:p>
    <w:p w:rsidR="00BE322F" w:rsidRPr="00AD1E8B" w:rsidRDefault="00BE322F" w:rsidP="00BE322F">
      <w:pPr>
        <w:jc w:val="both"/>
        <w:rPr>
          <w:sz w:val="20"/>
          <w:u w:val="single"/>
          <w:lang w:val="es-ES_tradnl"/>
        </w:rPr>
      </w:pPr>
      <w:r w:rsidRPr="00AD1E8B">
        <w:rPr>
          <w:sz w:val="20"/>
          <w:u w:val="single"/>
          <w:lang w:val="es-ES_tradnl"/>
        </w:rPr>
        <w:t>Of</w:t>
      </w:r>
      <w:r w:rsidR="00BB5D51">
        <w:rPr>
          <w:sz w:val="20"/>
          <w:u w:val="single"/>
          <w:lang w:val="es-ES_tradnl"/>
        </w:rPr>
        <w:t>icina de la OMPI en Singapur (</w:t>
      </w:r>
      <w:r w:rsidRPr="00AD1E8B">
        <w:rPr>
          <w:sz w:val="20"/>
          <w:u w:val="single"/>
          <w:lang w:val="es-ES_tradnl"/>
        </w:rPr>
        <w:t>O</w:t>
      </w:r>
      <w:r w:rsidR="00BB5D51">
        <w:rPr>
          <w:sz w:val="20"/>
          <w:u w:val="single"/>
          <w:lang w:val="es-ES_tradnl"/>
        </w:rPr>
        <w:t>OS</w:t>
      </w:r>
      <w:r w:rsidRPr="00AD1E8B">
        <w:rPr>
          <w:sz w:val="20"/>
          <w:u w:val="single"/>
          <w:lang w:val="es-ES_tradnl"/>
        </w:rPr>
        <w:t>)</w:t>
      </w:r>
    </w:p>
    <w:p w:rsidR="00BE322F" w:rsidRPr="00AD1E8B" w:rsidRDefault="00BE322F" w:rsidP="00BE322F">
      <w:pPr>
        <w:jc w:val="both"/>
        <w:rPr>
          <w:sz w:val="20"/>
          <w:lang w:val="es-ES_tradnl"/>
        </w:rPr>
      </w:pPr>
    </w:p>
    <w:p w:rsidR="00BE322F" w:rsidRPr="00AD1E8B" w:rsidRDefault="00BE322F" w:rsidP="00E17471">
      <w:pPr>
        <w:numPr>
          <w:ilvl w:val="0"/>
          <w:numId w:val="14"/>
        </w:numPr>
        <w:jc w:val="both"/>
        <w:rPr>
          <w:sz w:val="20"/>
          <w:lang w:val="es-ES_tradnl"/>
        </w:rPr>
      </w:pPr>
      <w:r w:rsidRPr="00AD1E8B">
        <w:rPr>
          <w:sz w:val="20"/>
          <w:lang w:val="es-ES_tradnl"/>
        </w:rPr>
        <w:t xml:space="preserve">La </w:t>
      </w:r>
      <w:r w:rsidR="00B877E6">
        <w:rPr>
          <w:sz w:val="20"/>
          <w:lang w:val="es-ES_tradnl"/>
        </w:rPr>
        <w:t>Oficina de la OMPI</w:t>
      </w:r>
      <w:r w:rsidR="00BB5D51">
        <w:rPr>
          <w:sz w:val="20"/>
          <w:lang w:val="es-ES_tradnl"/>
        </w:rPr>
        <w:t xml:space="preserve"> en Singapur (</w:t>
      </w:r>
      <w:r w:rsidRPr="00AD1E8B">
        <w:rPr>
          <w:sz w:val="20"/>
          <w:lang w:val="es-ES_tradnl"/>
        </w:rPr>
        <w:t>O</w:t>
      </w:r>
      <w:r w:rsidR="00BB5D51">
        <w:rPr>
          <w:sz w:val="20"/>
          <w:lang w:val="es-ES_tradnl"/>
        </w:rPr>
        <w:t>OS</w:t>
      </w:r>
      <w:r w:rsidRPr="00AD1E8B">
        <w:rPr>
          <w:sz w:val="20"/>
          <w:lang w:val="es-ES_tradnl"/>
        </w:rPr>
        <w:t xml:space="preserve">) actuará como un centro de servicios en la región, promoviendo en particular el uso de la P.I. con fines de desarrollo y facilitando apoyo a los servicios mundiales de P.I. de la OMPI, así como al Centro de Arbitraje y Mediación de la OMPI. </w:t>
      </w:r>
    </w:p>
    <w:p w:rsidR="00BE322F" w:rsidRPr="00AD1E8B" w:rsidRDefault="00BE322F" w:rsidP="00BE322F">
      <w:pPr>
        <w:jc w:val="both"/>
        <w:rPr>
          <w:sz w:val="20"/>
          <w:lang w:val="es-ES_tradnl"/>
        </w:rPr>
      </w:pPr>
    </w:p>
    <w:p w:rsidR="00BE322F" w:rsidRPr="00AD1E8B" w:rsidRDefault="00BE322F" w:rsidP="00E17471">
      <w:pPr>
        <w:numPr>
          <w:ilvl w:val="0"/>
          <w:numId w:val="14"/>
        </w:numPr>
        <w:jc w:val="both"/>
        <w:rPr>
          <w:sz w:val="20"/>
          <w:lang w:val="es-ES_tradnl"/>
        </w:rPr>
      </w:pPr>
      <w:r w:rsidRPr="00AD1E8B">
        <w:rPr>
          <w:sz w:val="20"/>
          <w:lang w:val="es-ES_tradnl"/>
        </w:rPr>
        <w:t xml:space="preserve">Se depositará un especial énfasis sobre la sub-región de la Asociación de Naciones del Asia Sudoriental (ASEAN) contribuyendo a la puesta en práctica del Plan de Acción de la ASEAN en materia de P.I. (2011-2015) con sus diversas iniciativas, incluyendo en particular algunas áreas de posible colaboración con la OMPI propuestas por el Grupo de </w:t>
      </w:r>
      <w:r>
        <w:rPr>
          <w:sz w:val="20"/>
          <w:lang w:val="es-ES_tradnl"/>
        </w:rPr>
        <w:t>tr</w:t>
      </w:r>
      <w:r w:rsidRPr="00AD1E8B">
        <w:rPr>
          <w:sz w:val="20"/>
          <w:lang w:val="es-ES_tradnl"/>
        </w:rPr>
        <w:t>abajo de la</w:t>
      </w:r>
      <w:r>
        <w:rPr>
          <w:sz w:val="20"/>
          <w:lang w:val="es-ES_tradnl"/>
        </w:rPr>
        <w:t xml:space="preserve"> </w:t>
      </w:r>
      <w:r w:rsidRPr="00AD1E8B">
        <w:rPr>
          <w:sz w:val="20"/>
          <w:lang w:val="es-ES_tradnl"/>
        </w:rPr>
        <w:t>ASEAN sobre cooperación en materia de P.I.</w:t>
      </w:r>
    </w:p>
    <w:p w:rsidR="00BE322F" w:rsidRPr="00AD1E8B" w:rsidRDefault="00BE322F" w:rsidP="00BE322F">
      <w:pPr>
        <w:jc w:val="both"/>
        <w:rPr>
          <w:sz w:val="20"/>
          <w:lang w:val="es-ES_tradnl"/>
        </w:rPr>
      </w:pPr>
    </w:p>
    <w:p w:rsidR="00BE322F" w:rsidRPr="00AD1E8B" w:rsidRDefault="00BE322F" w:rsidP="00E17471">
      <w:pPr>
        <w:numPr>
          <w:ilvl w:val="0"/>
          <w:numId w:val="14"/>
        </w:numPr>
        <w:jc w:val="both"/>
        <w:rPr>
          <w:sz w:val="20"/>
          <w:lang w:val="es-ES_tradnl"/>
        </w:rPr>
      </w:pPr>
      <w:r w:rsidRPr="00AD1E8B">
        <w:rPr>
          <w:sz w:val="20"/>
          <w:lang w:val="es-ES_tradnl"/>
        </w:rPr>
        <w:t xml:space="preserve">La </w:t>
      </w:r>
      <w:r w:rsidR="00BB5D51">
        <w:rPr>
          <w:sz w:val="20"/>
          <w:lang w:val="es-ES_tradnl"/>
        </w:rPr>
        <w:t>OOS</w:t>
      </w:r>
      <w:r w:rsidRPr="00AD1E8B">
        <w:rPr>
          <w:sz w:val="20"/>
          <w:lang w:val="es-ES_tradnl"/>
        </w:rPr>
        <w:t xml:space="preserve"> promoverá asimismo los productos emblemáticos de la OMPI y sus servicios de información y referencia en materia de P.I. (bases de datos mundiales, Índice de innovación mundial e Indicadores mundiales de P.I.) entre las partes interesadas y los potenciales usuarios en esta región. </w:t>
      </w:r>
    </w:p>
    <w:p w:rsidR="00BE322F" w:rsidRPr="00AD1E8B" w:rsidRDefault="00BE322F" w:rsidP="00BE322F">
      <w:pPr>
        <w:tabs>
          <w:tab w:val="num" w:pos="709"/>
        </w:tabs>
        <w:jc w:val="both"/>
        <w:rPr>
          <w:bCs/>
          <w:sz w:val="20"/>
          <w:lang w:val="es-ES_tradnl"/>
        </w:rPr>
      </w:pPr>
    </w:p>
    <w:p w:rsidR="00BE322F" w:rsidRPr="00AD1E8B" w:rsidRDefault="00BE322F" w:rsidP="00BE322F">
      <w:pPr>
        <w:tabs>
          <w:tab w:val="num" w:pos="709"/>
        </w:tabs>
        <w:jc w:val="both"/>
        <w:rPr>
          <w:bCs/>
          <w:sz w:val="20"/>
          <w:lang w:val="es-ES_tradnl"/>
        </w:rPr>
      </w:pPr>
    </w:p>
    <w:p w:rsidR="00BE322F" w:rsidRPr="00AD1E8B" w:rsidRDefault="00BE322F" w:rsidP="00BE322F">
      <w:pPr>
        <w:tabs>
          <w:tab w:val="num" w:pos="709"/>
        </w:tabs>
        <w:jc w:val="both"/>
        <w:rPr>
          <w:bCs/>
          <w:sz w:val="20"/>
          <w:u w:val="single"/>
          <w:lang w:val="es-ES_tradnl" w:eastAsia="ja-JP"/>
        </w:rPr>
      </w:pPr>
      <w:r w:rsidRPr="00AD1E8B">
        <w:rPr>
          <w:bCs/>
          <w:sz w:val="20"/>
          <w:u w:val="single"/>
          <w:lang w:val="es-ES_tradnl"/>
        </w:rPr>
        <w:t>Oficina de</w:t>
      </w:r>
      <w:r w:rsidR="00BB5D51">
        <w:rPr>
          <w:bCs/>
          <w:sz w:val="20"/>
          <w:u w:val="single"/>
          <w:lang w:val="es-ES_tradnl"/>
        </w:rPr>
        <w:t xml:space="preserve"> la OMPI en el Japón, Tokio (OOJ</w:t>
      </w:r>
      <w:r w:rsidRPr="00AD1E8B">
        <w:rPr>
          <w:bCs/>
          <w:sz w:val="20"/>
          <w:u w:val="single"/>
          <w:lang w:val="es-ES_tradnl"/>
        </w:rPr>
        <w:t>)</w:t>
      </w:r>
    </w:p>
    <w:p w:rsidR="00BE322F" w:rsidRPr="00AD1E8B" w:rsidRDefault="00BE322F" w:rsidP="00BE322F">
      <w:pPr>
        <w:tabs>
          <w:tab w:val="left" w:pos="1134"/>
        </w:tabs>
        <w:ind w:left="6"/>
        <w:jc w:val="both"/>
        <w:rPr>
          <w:bCs/>
          <w:sz w:val="20"/>
          <w:lang w:val="es-ES_tradnl"/>
        </w:rPr>
      </w:pPr>
    </w:p>
    <w:p w:rsidR="00BE322F" w:rsidRPr="00AD1E8B" w:rsidRDefault="00BE322F" w:rsidP="00E17471">
      <w:pPr>
        <w:numPr>
          <w:ilvl w:val="0"/>
          <w:numId w:val="14"/>
        </w:numPr>
        <w:jc w:val="both"/>
        <w:rPr>
          <w:bCs/>
          <w:sz w:val="20"/>
          <w:lang w:val="es-ES_tradnl" w:eastAsia="ja-JP"/>
        </w:rPr>
      </w:pPr>
      <w:r w:rsidRPr="00AD1E8B">
        <w:rPr>
          <w:bCs/>
          <w:sz w:val="20"/>
          <w:lang w:val="es-ES_tradnl"/>
        </w:rPr>
        <w:t xml:space="preserve">La </w:t>
      </w:r>
      <w:r w:rsidR="00B877E6">
        <w:rPr>
          <w:bCs/>
          <w:sz w:val="20"/>
          <w:lang w:val="es-ES_tradnl"/>
        </w:rPr>
        <w:t>Oficina de la OMPI</w:t>
      </w:r>
      <w:r w:rsidRPr="00AD1E8B">
        <w:rPr>
          <w:bCs/>
          <w:sz w:val="20"/>
          <w:lang w:val="es-ES_tradnl"/>
        </w:rPr>
        <w:t xml:space="preserve"> en el Japón </w:t>
      </w:r>
      <w:r w:rsidRPr="00AD1E8B">
        <w:rPr>
          <w:bCs/>
          <w:sz w:val="20"/>
          <w:lang w:val="es-ES_tradnl" w:eastAsia="ja-JP"/>
        </w:rPr>
        <w:t>(</w:t>
      </w:r>
      <w:r w:rsidR="00BB5D51">
        <w:rPr>
          <w:bCs/>
          <w:sz w:val="20"/>
          <w:lang w:val="es-ES_tradnl"/>
        </w:rPr>
        <w:t>OOJ</w:t>
      </w:r>
      <w:r w:rsidRPr="00AD1E8B">
        <w:rPr>
          <w:bCs/>
          <w:sz w:val="20"/>
          <w:lang w:val="es-ES_tradnl" w:eastAsia="ja-JP"/>
        </w:rPr>
        <w:t>)</w:t>
      </w:r>
      <w:r w:rsidRPr="00AD1E8B">
        <w:rPr>
          <w:bCs/>
          <w:sz w:val="20"/>
          <w:lang w:val="es-ES_tradnl"/>
        </w:rPr>
        <w:t xml:space="preserve"> reforzará su función como centro de servicios atendiendo con diligencia y eficacia a los usuarios actuales y futuros de servicios mundiales de P.I. y de servicios de información y referencia sobre la P.I. </w:t>
      </w:r>
      <w:r w:rsidRPr="00AD1E8B">
        <w:rPr>
          <w:bCs/>
          <w:sz w:val="20"/>
          <w:lang w:val="es-ES_tradnl" w:eastAsia="ja-JP"/>
        </w:rPr>
        <w:t xml:space="preserve">(bases de datos mundiales, Índice de innovación mundial, Indicadores mundiales de P.I.).  Se reforzará la colaboración con el Gobierno anfitrión (incluyendo la Oficina de Patentes japonesa) para mejorar la prestación de servicios mundiales de P.I. en el Japón, optimizando el uso de las redes digitales.  </w:t>
      </w:r>
      <w:r w:rsidR="008921D7">
        <w:rPr>
          <w:bCs/>
          <w:sz w:val="20"/>
          <w:lang w:val="es-ES_tradnl" w:eastAsia="ja-JP"/>
        </w:rPr>
        <w:t>La OOJ</w:t>
      </w:r>
      <w:r w:rsidRPr="00AD1E8B">
        <w:rPr>
          <w:bCs/>
          <w:sz w:val="20"/>
          <w:lang w:val="es-ES_tradnl" w:eastAsia="ja-JP"/>
        </w:rPr>
        <w:t xml:space="preserve"> consolidará igualmente sus alianzas con la industria japonesa para apoyar plataformas mundiales como WIPO GREEN.  </w:t>
      </w:r>
    </w:p>
    <w:p w:rsidR="00BE322F" w:rsidRPr="00AD1E8B" w:rsidRDefault="00BE322F" w:rsidP="00BE322F">
      <w:pPr>
        <w:tabs>
          <w:tab w:val="left" w:pos="1134"/>
        </w:tabs>
        <w:ind w:left="6"/>
        <w:jc w:val="both"/>
        <w:rPr>
          <w:bCs/>
          <w:sz w:val="20"/>
          <w:lang w:val="es-ES_tradnl" w:eastAsia="ja-JP"/>
        </w:rPr>
      </w:pPr>
    </w:p>
    <w:p w:rsidR="00BE322F" w:rsidRPr="00AD1E8B" w:rsidRDefault="00BB5D51" w:rsidP="00E17471">
      <w:pPr>
        <w:numPr>
          <w:ilvl w:val="0"/>
          <w:numId w:val="14"/>
        </w:numPr>
        <w:jc w:val="both"/>
        <w:rPr>
          <w:bCs/>
          <w:sz w:val="20"/>
          <w:lang w:val="es-ES_tradnl"/>
        </w:rPr>
      </w:pPr>
      <w:r>
        <w:rPr>
          <w:bCs/>
          <w:sz w:val="20"/>
          <w:lang w:val="es-ES_tradnl" w:eastAsia="ja-JP"/>
        </w:rPr>
        <w:lastRenderedPageBreak/>
        <w:t>La OO</w:t>
      </w:r>
      <w:r w:rsidR="00BE322F" w:rsidRPr="00AD1E8B">
        <w:rPr>
          <w:bCs/>
          <w:sz w:val="20"/>
          <w:lang w:val="es-ES_tradnl" w:eastAsia="ja-JP"/>
        </w:rPr>
        <w:t xml:space="preserve">J continuará su estrecha cooperación con el Japón en virtud del </w:t>
      </w:r>
      <w:r w:rsidR="00BE322F">
        <w:rPr>
          <w:bCs/>
          <w:sz w:val="20"/>
          <w:lang w:val="es-ES_tradnl" w:eastAsia="ja-JP"/>
        </w:rPr>
        <w:t>A</w:t>
      </w:r>
      <w:r w:rsidR="00BE322F" w:rsidRPr="00AD1E8B">
        <w:rPr>
          <w:bCs/>
          <w:sz w:val="20"/>
          <w:lang w:val="es-ES_tradnl" w:eastAsia="ja-JP"/>
        </w:rPr>
        <w:t xml:space="preserve">cuerdo de </w:t>
      </w:r>
      <w:r w:rsidR="00BE322F">
        <w:rPr>
          <w:bCs/>
          <w:sz w:val="20"/>
          <w:lang w:val="es-ES_tradnl" w:eastAsia="ja-JP"/>
        </w:rPr>
        <w:t>f</w:t>
      </w:r>
      <w:r w:rsidR="00BE322F" w:rsidRPr="00AD1E8B">
        <w:rPr>
          <w:bCs/>
          <w:sz w:val="20"/>
          <w:lang w:val="es-ES_tradnl" w:eastAsia="ja-JP"/>
        </w:rPr>
        <w:t xml:space="preserve">ondos </w:t>
      </w:r>
      <w:r w:rsidR="00BE322F">
        <w:rPr>
          <w:bCs/>
          <w:sz w:val="20"/>
          <w:lang w:val="es-ES_tradnl" w:eastAsia="ja-JP"/>
        </w:rPr>
        <w:t>f</w:t>
      </w:r>
      <w:r w:rsidR="00BE322F" w:rsidRPr="00AD1E8B">
        <w:rPr>
          <w:bCs/>
          <w:sz w:val="20"/>
          <w:lang w:val="es-ES_tradnl" w:eastAsia="ja-JP"/>
        </w:rPr>
        <w:t xml:space="preserve">iduciarios para la realización de actividades encaminadas a fortalecer capacidades, reforzar la infraestructura técnica y mejorar el uso de la P.I. en las actividades empresariales de los países vecinos, incluyendo proyectos especiales como el desarrollo de la base de datos </w:t>
      </w:r>
      <w:r w:rsidR="00BE322F" w:rsidRPr="00BB5D51">
        <w:rPr>
          <w:bCs/>
          <w:i/>
          <w:sz w:val="20"/>
          <w:lang w:val="es-ES_tradnl" w:eastAsia="ja-JP"/>
        </w:rPr>
        <w:t>IP Advantage</w:t>
      </w:r>
      <w:r w:rsidR="00BE322F" w:rsidRPr="00AD1E8B">
        <w:rPr>
          <w:bCs/>
          <w:sz w:val="20"/>
          <w:lang w:val="es-ES_tradnl" w:eastAsia="ja-JP"/>
        </w:rPr>
        <w:t>.</w:t>
      </w:r>
      <w:r w:rsidR="00BE322F" w:rsidRPr="00AD1E8B">
        <w:rPr>
          <w:bCs/>
          <w:sz w:val="20"/>
          <w:lang w:val="es-ES_tradnl"/>
        </w:rPr>
        <w:t xml:space="preserve"> </w:t>
      </w:r>
    </w:p>
    <w:p w:rsidR="00BE322F" w:rsidRPr="00AD1E8B" w:rsidRDefault="00BE322F" w:rsidP="00BE322F">
      <w:pPr>
        <w:tabs>
          <w:tab w:val="left" w:pos="1134"/>
        </w:tabs>
        <w:ind w:left="6"/>
        <w:jc w:val="both"/>
        <w:rPr>
          <w:sz w:val="20"/>
          <w:u w:val="single"/>
          <w:lang w:val="es-ES_tradnl"/>
        </w:rPr>
      </w:pPr>
    </w:p>
    <w:p w:rsidR="00BE322F" w:rsidRPr="00AD1E8B" w:rsidRDefault="00BE322F" w:rsidP="00BE322F">
      <w:pPr>
        <w:tabs>
          <w:tab w:val="left" w:pos="1134"/>
        </w:tabs>
        <w:ind w:left="6"/>
        <w:jc w:val="both"/>
        <w:rPr>
          <w:sz w:val="20"/>
          <w:u w:val="single"/>
          <w:lang w:val="es-ES_tradnl"/>
        </w:rPr>
      </w:pPr>
    </w:p>
    <w:p w:rsidR="00BE322F" w:rsidRPr="00AD1E8B" w:rsidRDefault="00BE322F" w:rsidP="00BE322F">
      <w:pPr>
        <w:tabs>
          <w:tab w:val="left" w:pos="1134"/>
        </w:tabs>
        <w:ind w:left="6"/>
        <w:jc w:val="both"/>
        <w:rPr>
          <w:sz w:val="20"/>
          <w:u w:val="single"/>
          <w:lang w:val="es-ES_tradnl"/>
        </w:rPr>
      </w:pPr>
      <w:r w:rsidRPr="00AD1E8B">
        <w:rPr>
          <w:sz w:val="20"/>
          <w:u w:val="single"/>
          <w:lang w:val="es-ES_tradnl"/>
        </w:rPr>
        <w:t xml:space="preserve">Nuevas oficinas </w:t>
      </w:r>
      <w:r w:rsidR="00BB5D51">
        <w:rPr>
          <w:sz w:val="20"/>
          <w:u w:val="single"/>
          <w:lang w:val="es-ES_tradnl"/>
        </w:rPr>
        <w:t xml:space="preserve">en el </w:t>
      </w:r>
      <w:r w:rsidRPr="00AD1E8B">
        <w:rPr>
          <w:sz w:val="20"/>
          <w:u w:val="single"/>
          <w:lang w:val="es-ES_tradnl"/>
        </w:rPr>
        <w:t>exter</w:t>
      </w:r>
      <w:r w:rsidR="00BB5D51">
        <w:rPr>
          <w:sz w:val="20"/>
          <w:u w:val="single"/>
          <w:lang w:val="es-ES_tradnl"/>
        </w:rPr>
        <w:t>ior</w:t>
      </w:r>
    </w:p>
    <w:p w:rsidR="00BE322F" w:rsidRPr="00AD1E8B" w:rsidRDefault="00BE322F" w:rsidP="00BE322F">
      <w:pPr>
        <w:jc w:val="both"/>
        <w:rPr>
          <w:sz w:val="20"/>
          <w:highlight w:val="yellow"/>
          <w:lang w:val="es-ES_tradnl"/>
        </w:rPr>
      </w:pPr>
    </w:p>
    <w:p w:rsidR="00BE322F" w:rsidRPr="00AD1E8B" w:rsidRDefault="00BE322F" w:rsidP="00E17471">
      <w:pPr>
        <w:numPr>
          <w:ilvl w:val="0"/>
          <w:numId w:val="14"/>
        </w:numPr>
        <w:jc w:val="both"/>
        <w:rPr>
          <w:bCs/>
          <w:sz w:val="20"/>
          <w:lang w:val="es-ES_tradnl"/>
        </w:rPr>
      </w:pPr>
      <w:r w:rsidRPr="00AD1E8B">
        <w:rPr>
          <w:sz w:val="20"/>
          <w:lang w:val="es-ES_tradnl"/>
        </w:rPr>
        <w:t xml:space="preserve">Para el próximo bienio se ha planificado la apertura de oficinas en China, la Federación de Rusia y los Estados Unidos de América, así como dos en África.   Se da por supuesto que el establecimiento de las nuevas oficinas </w:t>
      </w:r>
      <w:r w:rsidR="00BB5D51">
        <w:rPr>
          <w:sz w:val="20"/>
          <w:lang w:val="es-ES_tradnl"/>
        </w:rPr>
        <w:t xml:space="preserve">en el </w:t>
      </w:r>
      <w:r w:rsidRPr="00AD1E8B">
        <w:rPr>
          <w:sz w:val="20"/>
          <w:lang w:val="es-ES_tradnl"/>
        </w:rPr>
        <w:t>exter</w:t>
      </w:r>
      <w:r w:rsidR="00BB5D51">
        <w:rPr>
          <w:sz w:val="20"/>
          <w:lang w:val="es-ES_tradnl"/>
        </w:rPr>
        <w:t>ior</w:t>
      </w:r>
      <w:r w:rsidRPr="00AD1E8B">
        <w:rPr>
          <w:sz w:val="20"/>
          <w:lang w:val="es-ES_tradnl"/>
        </w:rPr>
        <w:t xml:space="preserve"> no quedará culminado durante el bienio 2014-2015.  Tanto las oficinas nuevas como las existentes serán objeto de un seguimiento, procediéndose a una evaluación de los resultados alcanzados gracias a ellas.  Las propuestas relativas al establecimiento de ulteriores oficinas quedarán en suspenso por el momento.  En último término, es preciso que el número de las oficinas </w:t>
      </w:r>
      <w:r w:rsidR="00BB5D51">
        <w:rPr>
          <w:sz w:val="20"/>
          <w:lang w:val="es-ES_tradnl"/>
        </w:rPr>
        <w:t>en el exterior</w:t>
      </w:r>
      <w:r w:rsidRPr="00AD1E8B">
        <w:rPr>
          <w:sz w:val="20"/>
          <w:lang w:val="es-ES_tradnl"/>
        </w:rPr>
        <w:t xml:space="preserve"> sea sostenible;  lo ideal sería tener una red mundial limitada de oficinas estratégicamente situadas.</w:t>
      </w:r>
    </w:p>
    <w:p w:rsidR="00BE322F" w:rsidRPr="00AD1E8B" w:rsidRDefault="00BE322F" w:rsidP="00BE322F">
      <w:pPr>
        <w:tabs>
          <w:tab w:val="num" w:pos="709"/>
        </w:tabs>
        <w:jc w:val="both"/>
        <w:rPr>
          <w:bCs/>
          <w:sz w:val="20"/>
          <w:lang w:val="es-ES_tradnl"/>
        </w:rPr>
      </w:pPr>
    </w:p>
    <w:p w:rsidR="00BE322F" w:rsidRPr="00AD1E8B" w:rsidRDefault="00BE322F" w:rsidP="00BE322F">
      <w:pPr>
        <w:tabs>
          <w:tab w:val="num" w:pos="709"/>
        </w:tabs>
        <w:jc w:val="both"/>
        <w:rPr>
          <w:bCs/>
          <w:sz w:val="20"/>
          <w:lang w:val="es-ES_tradnl"/>
        </w:rPr>
      </w:pPr>
    </w:p>
    <w:p w:rsidR="006F7F41" w:rsidRPr="007C656B" w:rsidRDefault="006F7F41" w:rsidP="001E7E39">
      <w:pPr>
        <w:tabs>
          <w:tab w:val="num" w:pos="709"/>
        </w:tabs>
        <w:jc w:val="both"/>
        <w:rPr>
          <w:bCs/>
          <w:szCs w:val="22"/>
          <w:lang w:val="es-ES_tradnl"/>
        </w:rPr>
      </w:pPr>
      <w:r w:rsidRPr="007C656B">
        <w:rPr>
          <w:bCs/>
          <w:szCs w:val="22"/>
          <w:lang w:val="es-ES_tradnl"/>
        </w:rPr>
        <w:t>PRINCIPALES RIESGOS Y ESTRATEGIAS DE MITIGACIÓN</w:t>
      </w:r>
    </w:p>
    <w:p w:rsidR="006F7F41" w:rsidRPr="007C656B" w:rsidRDefault="006F7F41" w:rsidP="001E7E39">
      <w:pPr>
        <w:tabs>
          <w:tab w:val="num" w:pos="709"/>
        </w:tabs>
        <w:jc w:val="both"/>
        <w:rPr>
          <w:bCs/>
          <w:szCs w:val="22"/>
          <w:lang w:val="es-ES_tradnl"/>
        </w:rPr>
      </w:pPr>
    </w:p>
    <w:tbl>
      <w:tblPr>
        <w:tblW w:w="0" w:type="auto"/>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535"/>
        <w:gridCol w:w="4821"/>
      </w:tblGrid>
      <w:tr w:rsidR="006F7F41" w:rsidRPr="007C656B" w:rsidTr="00F50540">
        <w:trPr>
          <w:trHeight w:val="852"/>
        </w:trPr>
        <w:tc>
          <w:tcPr>
            <w:tcW w:w="4535" w:type="dxa"/>
            <w:shd w:val="clear" w:color="auto" w:fill="CCFFFF"/>
            <w:vAlign w:val="center"/>
          </w:tcPr>
          <w:p w:rsidR="006F7F41" w:rsidRPr="007C656B" w:rsidRDefault="006F7F41" w:rsidP="001E7E39">
            <w:pPr>
              <w:autoSpaceDE w:val="0"/>
              <w:autoSpaceDN w:val="0"/>
              <w:adjustRightInd w:val="0"/>
              <w:ind w:right="-59"/>
              <w:jc w:val="center"/>
              <w:rPr>
                <w:b/>
                <w:sz w:val="18"/>
                <w:szCs w:val="18"/>
                <w:lang w:val="es-ES_tradnl"/>
              </w:rPr>
            </w:pPr>
            <w:r w:rsidRPr="007C656B">
              <w:rPr>
                <w:b/>
                <w:sz w:val="18"/>
                <w:szCs w:val="18"/>
                <w:lang w:val="es-ES_tradnl"/>
              </w:rPr>
              <w:t>Riesgos en el logro de los resultados del programa</w:t>
            </w:r>
          </w:p>
        </w:tc>
        <w:tc>
          <w:tcPr>
            <w:tcW w:w="4821" w:type="dxa"/>
            <w:shd w:val="clear" w:color="auto" w:fill="CCFFFF"/>
            <w:vAlign w:val="center"/>
          </w:tcPr>
          <w:p w:rsidR="006F7F41" w:rsidRPr="007C656B" w:rsidRDefault="006F7F41" w:rsidP="001E7E39">
            <w:pPr>
              <w:autoSpaceDE w:val="0"/>
              <w:autoSpaceDN w:val="0"/>
              <w:adjustRightInd w:val="0"/>
              <w:ind w:right="-59"/>
              <w:jc w:val="center"/>
              <w:rPr>
                <w:b/>
                <w:sz w:val="18"/>
                <w:szCs w:val="18"/>
                <w:lang w:val="es-ES_tradnl"/>
              </w:rPr>
            </w:pPr>
            <w:r w:rsidRPr="007C656B">
              <w:rPr>
                <w:b/>
                <w:sz w:val="18"/>
                <w:szCs w:val="18"/>
                <w:lang w:val="es-ES_tradnl"/>
              </w:rPr>
              <w:t xml:space="preserve">Planes de mitigación ejecutados o en ejecución </w:t>
            </w:r>
          </w:p>
        </w:tc>
      </w:tr>
      <w:tr w:rsidR="006F7F41" w:rsidRPr="007C656B" w:rsidTr="00F50540">
        <w:trPr>
          <w:trHeight w:val="821"/>
        </w:trPr>
        <w:tc>
          <w:tcPr>
            <w:tcW w:w="4535" w:type="dxa"/>
            <w:shd w:val="clear" w:color="auto" w:fill="auto"/>
            <w:tcMar>
              <w:top w:w="113" w:type="dxa"/>
              <w:bottom w:w="85" w:type="dxa"/>
            </w:tcMar>
          </w:tcPr>
          <w:p w:rsidR="006F7F41" w:rsidRPr="007C656B" w:rsidRDefault="006F7F41" w:rsidP="001E7E39">
            <w:pPr>
              <w:tabs>
                <w:tab w:val="left" w:pos="3465"/>
              </w:tabs>
              <w:rPr>
                <w:sz w:val="16"/>
                <w:szCs w:val="16"/>
                <w:lang w:val="es-ES_tradnl"/>
              </w:rPr>
            </w:pPr>
            <w:r w:rsidRPr="007C656B">
              <w:rPr>
                <w:sz w:val="16"/>
                <w:lang w:val="es-ES_tradnl"/>
              </w:rPr>
              <w:t>Problemas de seguridad o desastres naturales ponen en peligro la labor de las oficinas en el exterior destinada a lograr los resultados previstos.</w:t>
            </w:r>
          </w:p>
        </w:tc>
        <w:tc>
          <w:tcPr>
            <w:tcW w:w="4821" w:type="dxa"/>
            <w:shd w:val="clear" w:color="auto" w:fill="auto"/>
            <w:tcMar>
              <w:top w:w="113" w:type="dxa"/>
              <w:bottom w:w="85" w:type="dxa"/>
            </w:tcMar>
          </w:tcPr>
          <w:p w:rsidR="006F7F41" w:rsidRPr="007C656B" w:rsidRDefault="006F7F41" w:rsidP="001E7E39">
            <w:pPr>
              <w:autoSpaceDE w:val="0"/>
              <w:autoSpaceDN w:val="0"/>
              <w:adjustRightInd w:val="0"/>
              <w:ind w:right="-59"/>
              <w:rPr>
                <w:sz w:val="16"/>
                <w:szCs w:val="16"/>
                <w:lang w:val="es-ES_tradnl"/>
              </w:rPr>
            </w:pPr>
            <w:r w:rsidRPr="007C656B">
              <w:rPr>
                <w:sz w:val="16"/>
                <w:szCs w:val="16"/>
                <w:lang w:val="es-ES_tradnl"/>
              </w:rPr>
              <w:t xml:space="preserve">Establecer una estrecha cooperación con el gobierno anfitrión y ampliar el plan de continuidad de las actividades de la OMPI para dar cabida a las oficinas en el exterior. </w:t>
            </w:r>
          </w:p>
        </w:tc>
      </w:tr>
    </w:tbl>
    <w:p w:rsidR="006F7F41" w:rsidRPr="00994766" w:rsidRDefault="006F7F41" w:rsidP="006F7F41">
      <w:pPr>
        <w:tabs>
          <w:tab w:val="num" w:pos="709"/>
        </w:tabs>
        <w:jc w:val="both"/>
        <w:rPr>
          <w:bCs/>
          <w:sz w:val="20"/>
          <w:lang w:val="es-ES_tradnl"/>
        </w:rPr>
      </w:pPr>
    </w:p>
    <w:p w:rsidR="006F7F41" w:rsidRPr="00C75C7E" w:rsidRDefault="006F7F41" w:rsidP="006F7F41">
      <w:pPr>
        <w:widowControl w:val="0"/>
        <w:jc w:val="both"/>
        <w:rPr>
          <w:sz w:val="20"/>
          <w:lang w:val="es-ES_tradnl"/>
        </w:rPr>
      </w:pPr>
    </w:p>
    <w:p w:rsidR="006F7F41" w:rsidRPr="00C75C7E" w:rsidRDefault="006F7F41" w:rsidP="006F7F41">
      <w:pPr>
        <w:tabs>
          <w:tab w:val="left" w:pos="567"/>
        </w:tabs>
        <w:jc w:val="both"/>
        <w:rPr>
          <w:bCs/>
          <w:sz w:val="20"/>
          <w:lang w:val="es-ES_tradnl"/>
        </w:rPr>
      </w:pPr>
      <w:r w:rsidRPr="00C75C7E">
        <w:rPr>
          <w:bCs/>
          <w:szCs w:val="22"/>
          <w:lang w:val="es-ES_tradnl"/>
        </w:rPr>
        <w:t>MARCO DE RESULTADOS</w:t>
      </w:r>
    </w:p>
    <w:p w:rsidR="006F7F41" w:rsidRPr="00C75C7E" w:rsidRDefault="006F7F41" w:rsidP="006F7F41">
      <w:pPr>
        <w:tabs>
          <w:tab w:val="left" w:pos="567"/>
        </w:tabs>
        <w:jc w:val="both"/>
        <w:rPr>
          <w:bCs/>
          <w:sz w:val="20"/>
          <w:lang w:val="es-ES_tradnl"/>
        </w:rPr>
      </w:pPr>
    </w:p>
    <w:tbl>
      <w:tblPr>
        <w:tblW w:w="4914"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349"/>
        <w:gridCol w:w="2848"/>
        <w:gridCol w:w="2175"/>
        <w:gridCol w:w="2034"/>
      </w:tblGrid>
      <w:tr w:rsidR="006F7F41" w:rsidRPr="00C75C7E" w:rsidTr="008F4F69">
        <w:trPr>
          <w:cantSplit/>
          <w:trHeight w:val="605"/>
          <w:tblHeader/>
        </w:trPr>
        <w:tc>
          <w:tcPr>
            <w:tcW w:w="1249" w:type="pct"/>
            <w:tcBorders>
              <w:top w:val="single" w:sz="4" w:space="0" w:color="auto"/>
              <w:bottom w:val="single" w:sz="4" w:space="0" w:color="auto"/>
            </w:tcBorders>
            <w:shd w:val="clear" w:color="auto" w:fill="CCFFFF"/>
            <w:tcMar>
              <w:top w:w="113" w:type="dxa"/>
            </w:tcMar>
            <w:vAlign w:val="center"/>
          </w:tcPr>
          <w:p w:rsidR="006F7F41" w:rsidRPr="00C75C7E" w:rsidRDefault="006F7F41" w:rsidP="008F4F69">
            <w:pPr>
              <w:spacing w:after="120"/>
              <w:jc w:val="center"/>
              <w:rPr>
                <w:b/>
                <w:bCs/>
                <w:sz w:val="18"/>
                <w:szCs w:val="18"/>
                <w:lang w:val="es-ES_tradnl"/>
              </w:rPr>
            </w:pPr>
            <w:r w:rsidRPr="00C75C7E">
              <w:rPr>
                <w:b/>
                <w:bCs/>
                <w:sz w:val="18"/>
                <w:szCs w:val="18"/>
                <w:lang w:val="es-ES_tradnl"/>
              </w:rPr>
              <w:t>Resultados previstos</w:t>
            </w:r>
          </w:p>
        </w:tc>
        <w:tc>
          <w:tcPr>
            <w:tcW w:w="1514" w:type="pct"/>
            <w:tcBorders>
              <w:top w:val="single" w:sz="4" w:space="0" w:color="auto"/>
              <w:bottom w:val="single" w:sz="4" w:space="0" w:color="auto"/>
            </w:tcBorders>
            <w:shd w:val="clear" w:color="auto" w:fill="CCFFFF"/>
            <w:tcMar>
              <w:top w:w="113" w:type="dxa"/>
            </w:tcMar>
            <w:vAlign w:val="center"/>
          </w:tcPr>
          <w:p w:rsidR="006F7F41" w:rsidRPr="00C75C7E" w:rsidRDefault="006F7F41" w:rsidP="008F4F69">
            <w:pPr>
              <w:spacing w:after="120"/>
              <w:jc w:val="center"/>
              <w:rPr>
                <w:b/>
                <w:sz w:val="18"/>
                <w:szCs w:val="18"/>
                <w:lang w:val="es-ES_tradnl"/>
              </w:rPr>
            </w:pPr>
            <w:r w:rsidRPr="00C75C7E">
              <w:rPr>
                <w:b/>
                <w:sz w:val="18"/>
                <w:szCs w:val="18"/>
                <w:lang w:val="es-ES_tradnl"/>
              </w:rPr>
              <w:t>Indicadores de rendimiento</w:t>
            </w:r>
          </w:p>
        </w:tc>
        <w:tc>
          <w:tcPr>
            <w:tcW w:w="1156" w:type="pct"/>
            <w:tcBorders>
              <w:top w:val="single" w:sz="4" w:space="0" w:color="auto"/>
              <w:bottom w:val="single" w:sz="4" w:space="0" w:color="auto"/>
            </w:tcBorders>
            <w:shd w:val="clear" w:color="auto" w:fill="CCFFFF"/>
            <w:tcMar>
              <w:top w:w="113" w:type="dxa"/>
            </w:tcMar>
            <w:vAlign w:val="center"/>
          </w:tcPr>
          <w:p w:rsidR="006F7F41" w:rsidRPr="00C75C7E" w:rsidRDefault="006F7F41" w:rsidP="008F4F69">
            <w:pPr>
              <w:spacing w:after="120"/>
              <w:jc w:val="center"/>
              <w:rPr>
                <w:sz w:val="18"/>
                <w:szCs w:val="18"/>
                <w:lang w:val="es-ES_tradnl"/>
              </w:rPr>
            </w:pPr>
            <w:r w:rsidRPr="00C75C7E">
              <w:rPr>
                <w:b/>
                <w:bCs/>
                <w:sz w:val="18"/>
                <w:szCs w:val="18"/>
                <w:lang w:val="es-ES_tradnl"/>
              </w:rPr>
              <w:t>Referencia</w:t>
            </w:r>
          </w:p>
        </w:tc>
        <w:tc>
          <w:tcPr>
            <w:tcW w:w="1081" w:type="pct"/>
            <w:tcBorders>
              <w:top w:val="single" w:sz="4" w:space="0" w:color="auto"/>
              <w:bottom w:val="single" w:sz="4" w:space="0" w:color="auto"/>
            </w:tcBorders>
            <w:shd w:val="clear" w:color="auto" w:fill="CCFFFF"/>
            <w:tcMar>
              <w:top w:w="113" w:type="dxa"/>
            </w:tcMar>
            <w:vAlign w:val="center"/>
          </w:tcPr>
          <w:p w:rsidR="006F7F41" w:rsidRPr="00C75C7E" w:rsidRDefault="006F7F41" w:rsidP="008F4F69">
            <w:pPr>
              <w:keepNext/>
              <w:keepLines/>
              <w:tabs>
                <w:tab w:val="left" w:pos="1757"/>
              </w:tabs>
              <w:spacing w:after="120"/>
              <w:jc w:val="center"/>
              <w:rPr>
                <w:b/>
                <w:bCs/>
                <w:sz w:val="18"/>
                <w:szCs w:val="18"/>
                <w:lang w:val="es-ES_tradnl"/>
              </w:rPr>
            </w:pPr>
            <w:r w:rsidRPr="00C75C7E">
              <w:rPr>
                <w:b/>
                <w:bCs/>
                <w:sz w:val="18"/>
                <w:szCs w:val="18"/>
                <w:lang w:val="es-ES_tradnl"/>
              </w:rPr>
              <w:t>Objetivos</w:t>
            </w:r>
          </w:p>
        </w:tc>
      </w:tr>
      <w:tr w:rsidR="006F7F41" w:rsidRPr="00C75C7E" w:rsidTr="008F4F69">
        <w:trPr>
          <w:cantSplit/>
          <w:trHeight w:val="953"/>
        </w:trPr>
        <w:tc>
          <w:tcPr>
            <w:tcW w:w="1249" w:type="pct"/>
            <w:vMerge w:val="restart"/>
            <w:tcBorders>
              <w:top w:val="single" w:sz="4" w:space="0" w:color="auto"/>
            </w:tcBorders>
            <w:shd w:val="clear" w:color="auto" w:fill="auto"/>
            <w:tcMar>
              <w:top w:w="113" w:type="dxa"/>
            </w:tcMar>
          </w:tcPr>
          <w:p w:rsidR="006F7F41" w:rsidRPr="00C75C7E" w:rsidRDefault="006F7F41" w:rsidP="005C32FC">
            <w:pPr>
              <w:rPr>
                <w:sz w:val="16"/>
                <w:szCs w:val="16"/>
                <w:lang w:val="es-ES_tradnl"/>
              </w:rPr>
            </w:pPr>
            <w:r w:rsidRPr="00C75C7E">
              <w:rPr>
                <w:sz w:val="16"/>
                <w:szCs w:val="16"/>
                <w:lang w:val="es-ES_tradnl"/>
              </w:rPr>
              <w:t xml:space="preserve">II.1. Fomento del uso de la vía del PCT para la presentación de solicitudes </w:t>
            </w:r>
            <w:r w:rsidR="005C32FC">
              <w:rPr>
                <w:sz w:val="16"/>
                <w:szCs w:val="16"/>
                <w:lang w:val="es-ES_tradnl"/>
              </w:rPr>
              <w:t xml:space="preserve">internacionales </w:t>
            </w:r>
            <w:r w:rsidRPr="00C75C7E">
              <w:rPr>
                <w:sz w:val="16"/>
                <w:szCs w:val="16"/>
                <w:lang w:val="es-ES_tradnl"/>
              </w:rPr>
              <w:t>de patente.</w:t>
            </w:r>
          </w:p>
        </w:tc>
        <w:tc>
          <w:tcPr>
            <w:tcW w:w="1514" w:type="pct"/>
            <w:tcBorders>
              <w:top w:val="single" w:sz="4" w:space="0" w:color="auto"/>
            </w:tcBorders>
            <w:shd w:val="clear" w:color="auto" w:fill="auto"/>
            <w:tcMar>
              <w:top w:w="113" w:type="dxa"/>
            </w:tcMar>
          </w:tcPr>
          <w:p w:rsidR="006F7F41" w:rsidRPr="00C75C7E" w:rsidRDefault="006F7F41" w:rsidP="008F4F69">
            <w:pPr>
              <w:rPr>
                <w:sz w:val="16"/>
                <w:szCs w:val="16"/>
                <w:lang w:val="es-ES_tradnl"/>
              </w:rPr>
            </w:pPr>
            <w:r w:rsidRPr="00C75C7E">
              <w:rPr>
                <w:sz w:val="16"/>
                <w:szCs w:val="16"/>
                <w:lang w:val="es-ES_tradnl"/>
              </w:rPr>
              <w:t>Porcentaje de solicitudes presentadas en virtud del PCT.</w:t>
            </w:r>
          </w:p>
        </w:tc>
        <w:tc>
          <w:tcPr>
            <w:tcW w:w="1156" w:type="pct"/>
            <w:tcBorders>
              <w:top w:val="single" w:sz="4" w:space="0" w:color="auto"/>
            </w:tcBorders>
            <w:shd w:val="clear" w:color="auto" w:fill="FFFFFF"/>
            <w:tcMar>
              <w:top w:w="113" w:type="dxa"/>
            </w:tcMar>
          </w:tcPr>
          <w:p w:rsidR="006F7F41" w:rsidRPr="00C75C7E" w:rsidRDefault="00A117FF" w:rsidP="008F4F69">
            <w:pPr>
              <w:rPr>
                <w:sz w:val="16"/>
                <w:szCs w:val="16"/>
                <w:lang w:val="es-ES_tradnl" w:bidi="th-TH"/>
              </w:rPr>
            </w:pPr>
            <w:r>
              <w:rPr>
                <w:sz w:val="16"/>
                <w:szCs w:val="16"/>
                <w:lang w:val="es-ES_tradnl" w:bidi="th-TH"/>
              </w:rPr>
              <w:t>519 e</w:t>
            </w:r>
            <w:r w:rsidR="006F7F41" w:rsidRPr="00C75C7E">
              <w:rPr>
                <w:sz w:val="16"/>
                <w:szCs w:val="16"/>
                <w:lang w:val="es-ES_tradnl" w:bidi="th-TH"/>
              </w:rPr>
              <w:t>n 2011 (</w:t>
            </w:r>
            <w:r w:rsidR="00BB5D51">
              <w:rPr>
                <w:sz w:val="16"/>
                <w:szCs w:val="16"/>
                <w:lang w:val="es-ES_tradnl" w:bidi="th-TH"/>
              </w:rPr>
              <w:t>OOB</w:t>
            </w:r>
            <w:r w:rsidR="006F7F41" w:rsidRPr="00C75C7E">
              <w:rPr>
                <w:sz w:val="16"/>
                <w:szCs w:val="16"/>
                <w:lang w:val="es-ES_tradnl" w:bidi="th-TH"/>
              </w:rPr>
              <w:t>).</w:t>
            </w:r>
          </w:p>
          <w:p w:rsidR="006F7F41" w:rsidRPr="00C75C7E" w:rsidRDefault="006F7F41" w:rsidP="008F4F69">
            <w:pPr>
              <w:rPr>
                <w:sz w:val="16"/>
                <w:szCs w:val="16"/>
                <w:lang w:val="es-ES_tradnl" w:bidi="th-TH"/>
              </w:rPr>
            </w:pPr>
          </w:p>
          <w:p w:rsidR="006F7F41" w:rsidRPr="00C75C7E" w:rsidRDefault="006F7F41" w:rsidP="008F4F69">
            <w:pPr>
              <w:rPr>
                <w:sz w:val="16"/>
                <w:szCs w:val="16"/>
                <w:lang w:val="es-ES_tradnl" w:bidi="th-TH"/>
              </w:rPr>
            </w:pPr>
            <w:r w:rsidRPr="00C75C7E">
              <w:rPr>
                <w:sz w:val="16"/>
                <w:szCs w:val="16"/>
                <w:lang w:val="es-ES_tradnl" w:bidi="th-TH"/>
              </w:rPr>
              <w:t>Por determinar (O</w:t>
            </w:r>
            <w:r w:rsidR="00BB5D51">
              <w:rPr>
                <w:sz w:val="16"/>
                <w:szCs w:val="16"/>
                <w:lang w:val="es-ES_tradnl" w:bidi="th-TH"/>
              </w:rPr>
              <w:t>OJ</w:t>
            </w:r>
            <w:r w:rsidRPr="00C75C7E">
              <w:rPr>
                <w:sz w:val="16"/>
                <w:szCs w:val="16"/>
                <w:lang w:val="es-ES_tradnl" w:bidi="th-TH"/>
              </w:rPr>
              <w:t>).</w:t>
            </w:r>
          </w:p>
          <w:p w:rsidR="006F7F41" w:rsidRPr="00C75C7E" w:rsidRDefault="006F7F41" w:rsidP="008F4F69">
            <w:pPr>
              <w:rPr>
                <w:sz w:val="16"/>
                <w:szCs w:val="16"/>
                <w:lang w:val="es-ES_tradnl" w:bidi="th-TH"/>
              </w:rPr>
            </w:pPr>
          </w:p>
          <w:p w:rsidR="006F7F41" w:rsidRPr="00C75C7E" w:rsidRDefault="006F7F41" w:rsidP="008F4F69">
            <w:pPr>
              <w:rPr>
                <w:sz w:val="16"/>
                <w:szCs w:val="16"/>
                <w:lang w:val="es-ES_tradnl"/>
              </w:rPr>
            </w:pPr>
            <w:r w:rsidRPr="00C75C7E">
              <w:rPr>
                <w:sz w:val="16"/>
                <w:szCs w:val="16"/>
                <w:lang w:val="es-ES_tradnl" w:bidi="th-TH"/>
              </w:rPr>
              <w:t>Por determinar (</w:t>
            </w:r>
            <w:r w:rsidR="00BB5D51">
              <w:rPr>
                <w:sz w:val="16"/>
                <w:szCs w:val="16"/>
                <w:lang w:val="es-ES_tradnl" w:bidi="th-TH"/>
              </w:rPr>
              <w:t>OOS</w:t>
            </w:r>
            <w:r w:rsidRPr="00C75C7E">
              <w:rPr>
                <w:sz w:val="16"/>
                <w:szCs w:val="16"/>
                <w:lang w:val="es-ES_tradnl" w:bidi="th-TH"/>
              </w:rPr>
              <w:t>).</w:t>
            </w:r>
          </w:p>
        </w:tc>
        <w:tc>
          <w:tcPr>
            <w:tcW w:w="1081" w:type="pct"/>
            <w:tcBorders>
              <w:top w:val="single" w:sz="4" w:space="0" w:color="auto"/>
            </w:tcBorders>
            <w:shd w:val="clear" w:color="auto" w:fill="auto"/>
            <w:tcMar>
              <w:top w:w="113" w:type="dxa"/>
            </w:tcMar>
          </w:tcPr>
          <w:p w:rsidR="006F7F41" w:rsidRPr="00C75C7E" w:rsidRDefault="006F7F41" w:rsidP="008F4F69">
            <w:pPr>
              <w:tabs>
                <w:tab w:val="left" w:pos="1757"/>
              </w:tabs>
              <w:rPr>
                <w:bCs/>
                <w:sz w:val="16"/>
                <w:szCs w:val="16"/>
                <w:lang w:val="es-ES_tradnl"/>
              </w:rPr>
            </w:pPr>
            <w:r w:rsidRPr="00C75C7E">
              <w:rPr>
                <w:bCs/>
                <w:sz w:val="16"/>
                <w:szCs w:val="16"/>
                <w:lang w:val="es-ES_tradnl"/>
              </w:rPr>
              <w:t>Aumento del 15% (</w:t>
            </w:r>
            <w:r w:rsidR="00BB5D51">
              <w:rPr>
                <w:bCs/>
                <w:sz w:val="16"/>
                <w:szCs w:val="16"/>
                <w:lang w:val="es-ES_tradnl"/>
              </w:rPr>
              <w:t>OOB</w:t>
            </w:r>
            <w:r w:rsidRPr="00C75C7E">
              <w:rPr>
                <w:bCs/>
                <w:sz w:val="16"/>
                <w:szCs w:val="16"/>
                <w:lang w:val="es-ES_tradnl"/>
              </w:rPr>
              <w:t>).</w:t>
            </w:r>
          </w:p>
          <w:p w:rsidR="006F7F41" w:rsidRPr="00C75C7E" w:rsidRDefault="006F7F41" w:rsidP="008F4F69">
            <w:pPr>
              <w:tabs>
                <w:tab w:val="left" w:pos="1757"/>
              </w:tabs>
              <w:rPr>
                <w:bCs/>
                <w:sz w:val="16"/>
                <w:szCs w:val="16"/>
                <w:lang w:val="es-ES_tradnl"/>
              </w:rPr>
            </w:pPr>
          </w:p>
          <w:p w:rsidR="006F7F41" w:rsidRPr="00C75C7E" w:rsidRDefault="006F7F41" w:rsidP="008F4F69">
            <w:pPr>
              <w:tabs>
                <w:tab w:val="left" w:pos="1757"/>
              </w:tabs>
              <w:rPr>
                <w:sz w:val="16"/>
                <w:szCs w:val="16"/>
                <w:lang w:val="es-ES_tradnl" w:bidi="th-TH"/>
              </w:rPr>
            </w:pPr>
            <w:r w:rsidRPr="00C75C7E">
              <w:rPr>
                <w:sz w:val="16"/>
                <w:szCs w:val="16"/>
                <w:lang w:val="es-ES_tradnl" w:bidi="th-TH"/>
              </w:rPr>
              <w:t>Aumento del 1% (</w:t>
            </w:r>
            <w:r w:rsidR="00BB5D51">
              <w:rPr>
                <w:sz w:val="16"/>
                <w:szCs w:val="16"/>
                <w:lang w:val="es-ES_tradnl" w:bidi="th-TH"/>
              </w:rPr>
              <w:t>OOJ</w:t>
            </w:r>
            <w:r w:rsidRPr="00C75C7E">
              <w:rPr>
                <w:sz w:val="16"/>
                <w:szCs w:val="16"/>
                <w:lang w:val="es-ES_tradnl" w:bidi="th-TH"/>
              </w:rPr>
              <w:t>).</w:t>
            </w:r>
          </w:p>
          <w:p w:rsidR="006F7F41" w:rsidRPr="00C75C7E" w:rsidRDefault="006F7F41" w:rsidP="008F4F69">
            <w:pPr>
              <w:tabs>
                <w:tab w:val="left" w:pos="1757"/>
              </w:tabs>
              <w:rPr>
                <w:sz w:val="16"/>
                <w:szCs w:val="16"/>
                <w:lang w:val="es-ES_tradnl" w:bidi="th-TH"/>
              </w:rPr>
            </w:pPr>
          </w:p>
          <w:p w:rsidR="006F7F41" w:rsidRPr="00C75C7E" w:rsidRDefault="006F7F41" w:rsidP="008F4F69">
            <w:pPr>
              <w:keepNext/>
              <w:keepLines/>
              <w:tabs>
                <w:tab w:val="left" w:pos="1757"/>
              </w:tabs>
              <w:rPr>
                <w:bCs/>
                <w:sz w:val="16"/>
                <w:szCs w:val="16"/>
                <w:lang w:val="es-ES_tradnl"/>
              </w:rPr>
            </w:pPr>
            <w:r w:rsidRPr="00C75C7E">
              <w:rPr>
                <w:bCs/>
                <w:sz w:val="16"/>
                <w:szCs w:val="16"/>
                <w:lang w:val="es-ES_tradnl"/>
              </w:rPr>
              <w:t>Aumento del 5% (</w:t>
            </w:r>
            <w:r w:rsidR="00BB5D51">
              <w:rPr>
                <w:bCs/>
                <w:sz w:val="16"/>
                <w:szCs w:val="16"/>
                <w:lang w:val="es-ES_tradnl"/>
              </w:rPr>
              <w:t>OOS</w:t>
            </w:r>
            <w:r w:rsidRPr="00C75C7E">
              <w:rPr>
                <w:bCs/>
                <w:sz w:val="16"/>
                <w:szCs w:val="16"/>
                <w:lang w:val="es-ES_tradnl"/>
              </w:rPr>
              <w:t>).</w:t>
            </w:r>
          </w:p>
        </w:tc>
      </w:tr>
      <w:tr w:rsidR="006F7F41" w:rsidRPr="00C75C7E" w:rsidTr="008F4F69">
        <w:trPr>
          <w:cantSplit/>
        </w:trPr>
        <w:tc>
          <w:tcPr>
            <w:tcW w:w="1249" w:type="pct"/>
            <w:vMerge/>
            <w:shd w:val="clear" w:color="auto" w:fill="auto"/>
            <w:tcMar>
              <w:top w:w="113" w:type="dxa"/>
            </w:tcMar>
          </w:tcPr>
          <w:p w:rsidR="006F7F41" w:rsidRPr="00C75C7E" w:rsidRDefault="006F7F41" w:rsidP="008F4F69">
            <w:pPr>
              <w:rPr>
                <w:sz w:val="16"/>
                <w:szCs w:val="16"/>
                <w:lang w:val="es-ES_tradnl"/>
              </w:rPr>
            </w:pPr>
          </w:p>
        </w:tc>
        <w:tc>
          <w:tcPr>
            <w:tcW w:w="1514" w:type="pct"/>
            <w:shd w:val="clear" w:color="auto" w:fill="auto"/>
            <w:tcMar>
              <w:top w:w="113" w:type="dxa"/>
            </w:tcMar>
          </w:tcPr>
          <w:p w:rsidR="006F7F41" w:rsidRPr="00C75C7E" w:rsidRDefault="006F7F41" w:rsidP="008F4F69">
            <w:pPr>
              <w:rPr>
                <w:sz w:val="16"/>
                <w:szCs w:val="16"/>
                <w:lang w:val="es-ES_tradnl"/>
              </w:rPr>
            </w:pPr>
            <w:r w:rsidRPr="00C75C7E">
              <w:rPr>
                <w:sz w:val="16"/>
                <w:szCs w:val="16"/>
                <w:lang w:val="es-ES_tradnl"/>
              </w:rPr>
              <w:t>Porcentaje de encargados de la adopción de políticas, funcionarios gubernamentales, profesionales de la P.I. y participantes en talleres con un mayor conocimiento del PCT y los temas conexos.</w:t>
            </w:r>
          </w:p>
        </w:tc>
        <w:tc>
          <w:tcPr>
            <w:tcW w:w="1156" w:type="pct"/>
            <w:shd w:val="clear" w:color="auto" w:fill="FFFFFF"/>
            <w:tcMar>
              <w:top w:w="113" w:type="dxa"/>
            </w:tcMar>
          </w:tcPr>
          <w:p w:rsidR="006F7F41" w:rsidRPr="00C75C7E" w:rsidRDefault="005C037B" w:rsidP="008F4F69">
            <w:pPr>
              <w:rPr>
                <w:sz w:val="16"/>
                <w:szCs w:val="16"/>
                <w:lang w:val="es-ES_tradnl" w:bidi="th-TH"/>
              </w:rPr>
            </w:pPr>
            <w:r>
              <w:rPr>
                <w:sz w:val="16"/>
                <w:szCs w:val="16"/>
                <w:lang w:val="es-ES_tradnl" w:bidi="th-TH"/>
              </w:rPr>
              <w:t>N.d.</w:t>
            </w:r>
            <w:r w:rsidR="006F7F41" w:rsidRPr="00C75C7E">
              <w:rPr>
                <w:sz w:val="16"/>
                <w:szCs w:val="16"/>
                <w:lang w:val="es-ES_tradnl" w:bidi="th-TH"/>
              </w:rPr>
              <w:t xml:space="preserve"> (</w:t>
            </w:r>
            <w:r w:rsidR="00BB5D51">
              <w:rPr>
                <w:sz w:val="16"/>
                <w:szCs w:val="16"/>
                <w:lang w:val="es-ES_tradnl" w:bidi="th-TH"/>
              </w:rPr>
              <w:t>OOB</w:t>
            </w:r>
            <w:r w:rsidR="006F7F41" w:rsidRPr="00C75C7E">
              <w:rPr>
                <w:sz w:val="16"/>
                <w:szCs w:val="16"/>
                <w:lang w:val="es-ES_tradnl" w:bidi="th-TH"/>
              </w:rPr>
              <w:t>).</w:t>
            </w:r>
          </w:p>
          <w:p w:rsidR="006F7F41" w:rsidRPr="00C75C7E" w:rsidRDefault="006F7F41" w:rsidP="008F4F69">
            <w:pPr>
              <w:rPr>
                <w:sz w:val="16"/>
                <w:szCs w:val="16"/>
                <w:lang w:val="es-ES_tradnl" w:bidi="th-TH"/>
              </w:rPr>
            </w:pPr>
          </w:p>
          <w:p w:rsidR="006F7F41" w:rsidRPr="00C75C7E" w:rsidRDefault="005C037B" w:rsidP="008F4F69">
            <w:pPr>
              <w:rPr>
                <w:sz w:val="16"/>
                <w:szCs w:val="16"/>
                <w:lang w:val="es-ES_tradnl"/>
              </w:rPr>
            </w:pPr>
            <w:r>
              <w:rPr>
                <w:sz w:val="16"/>
                <w:szCs w:val="16"/>
                <w:lang w:val="es-ES_tradnl"/>
              </w:rPr>
              <w:t>N.d.</w:t>
            </w:r>
            <w:r w:rsidR="006F7F41" w:rsidRPr="00C75C7E">
              <w:rPr>
                <w:sz w:val="16"/>
                <w:szCs w:val="16"/>
                <w:lang w:val="es-ES_tradnl"/>
              </w:rPr>
              <w:t xml:space="preserve"> (</w:t>
            </w:r>
            <w:r w:rsidR="00BB5D51">
              <w:rPr>
                <w:sz w:val="16"/>
                <w:szCs w:val="16"/>
                <w:lang w:val="es-ES_tradnl"/>
              </w:rPr>
              <w:t>OOJ</w:t>
            </w:r>
            <w:r w:rsidR="006F7F41" w:rsidRPr="00C75C7E">
              <w:rPr>
                <w:sz w:val="16"/>
                <w:szCs w:val="16"/>
                <w:lang w:val="es-ES_tradnl"/>
              </w:rPr>
              <w:t>).</w:t>
            </w:r>
          </w:p>
          <w:p w:rsidR="006F7F41" w:rsidRPr="00C75C7E" w:rsidRDefault="006F7F41" w:rsidP="008F4F69">
            <w:pPr>
              <w:rPr>
                <w:sz w:val="16"/>
                <w:szCs w:val="16"/>
                <w:lang w:val="es-ES_tradnl"/>
              </w:rPr>
            </w:pPr>
          </w:p>
          <w:p w:rsidR="006F7F41" w:rsidRPr="00C75C7E" w:rsidRDefault="005C037B" w:rsidP="008F4F69">
            <w:pPr>
              <w:rPr>
                <w:sz w:val="16"/>
                <w:szCs w:val="16"/>
                <w:lang w:val="es-ES_tradnl"/>
              </w:rPr>
            </w:pPr>
            <w:r>
              <w:rPr>
                <w:sz w:val="16"/>
                <w:szCs w:val="16"/>
                <w:lang w:val="es-ES_tradnl" w:bidi="th-TH"/>
              </w:rPr>
              <w:t>N.d.</w:t>
            </w:r>
            <w:r w:rsidR="006F7F41" w:rsidRPr="00C75C7E">
              <w:rPr>
                <w:sz w:val="16"/>
                <w:szCs w:val="16"/>
                <w:lang w:val="es-ES_tradnl" w:bidi="th-TH"/>
              </w:rPr>
              <w:t xml:space="preserve"> (</w:t>
            </w:r>
            <w:r w:rsidR="00BB5D51">
              <w:rPr>
                <w:sz w:val="16"/>
                <w:szCs w:val="16"/>
                <w:lang w:val="es-ES_tradnl" w:bidi="th-TH"/>
              </w:rPr>
              <w:t>OOS</w:t>
            </w:r>
            <w:r w:rsidR="006F7F41" w:rsidRPr="00C75C7E">
              <w:rPr>
                <w:sz w:val="16"/>
                <w:szCs w:val="16"/>
                <w:lang w:val="es-ES_tradnl" w:bidi="th-TH"/>
              </w:rPr>
              <w:t>).</w:t>
            </w:r>
          </w:p>
        </w:tc>
        <w:tc>
          <w:tcPr>
            <w:tcW w:w="1081" w:type="pct"/>
            <w:shd w:val="clear" w:color="auto" w:fill="auto"/>
            <w:tcMar>
              <w:top w:w="113" w:type="dxa"/>
            </w:tcMar>
          </w:tcPr>
          <w:p w:rsidR="006F7F41" w:rsidRPr="00C75C7E" w:rsidRDefault="006F7F41" w:rsidP="008F4F69">
            <w:pPr>
              <w:keepNext/>
              <w:keepLines/>
              <w:tabs>
                <w:tab w:val="left" w:pos="1757"/>
                <w:tab w:val="left" w:pos="2051"/>
              </w:tabs>
              <w:rPr>
                <w:bCs/>
                <w:sz w:val="16"/>
                <w:szCs w:val="16"/>
                <w:lang w:val="es-ES_tradnl"/>
              </w:rPr>
            </w:pPr>
            <w:r w:rsidRPr="00C75C7E">
              <w:rPr>
                <w:bCs/>
                <w:sz w:val="16"/>
                <w:szCs w:val="16"/>
                <w:lang w:val="es-ES_tradnl"/>
              </w:rPr>
              <w:t>75% (</w:t>
            </w:r>
            <w:r w:rsidR="00BB5D51">
              <w:rPr>
                <w:bCs/>
                <w:sz w:val="16"/>
                <w:szCs w:val="16"/>
                <w:lang w:val="es-ES_tradnl"/>
              </w:rPr>
              <w:t>OOB</w:t>
            </w:r>
            <w:r w:rsidRPr="00C75C7E">
              <w:rPr>
                <w:bCs/>
                <w:sz w:val="16"/>
                <w:szCs w:val="16"/>
                <w:lang w:val="es-ES_tradnl"/>
              </w:rPr>
              <w:t>).</w:t>
            </w:r>
          </w:p>
          <w:p w:rsidR="006F7F41" w:rsidRPr="00C75C7E" w:rsidRDefault="006F7F41" w:rsidP="008F4F69">
            <w:pPr>
              <w:keepNext/>
              <w:keepLines/>
              <w:tabs>
                <w:tab w:val="left" w:pos="1757"/>
                <w:tab w:val="left" w:pos="2051"/>
              </w:tabs>
              <w:rPr>
                <w:bCs/>
                <w:sz w:val="16"/>
                <w:szCs w:val="16"/>
                <w:lang w:val="es-ES_tradnl"/>
              </w:rPr>
            </w:pPr>
          </w:p>
          <w:p w:rsidR="006F7F41" w:rsidRPr="00C75C7E" w:rsidRDefault="006F7F41" w:rsidP="008F4F69">
            <w:pPr>
              <w:keepNext/>
              <w:keepLines/>
              <w:tabs>
                <w:tab w:val="left" w:pos="1757"/>
                <w:tab w:val="left" w:pos="2051"/>
              </w:tabs>
              <w:rPr>
                <w:bCs/>
                <w:sz w:val="16"/>
                <w:szCs w:val="16"/>
                <w:lang w:val="es-ES_tradnl"/>
              </w:rPr>
            </w:pPr>
            <w:r w:rsidRPr="00C75C7E">
              <w:rPr>
                <w:bCs/>
                <w:sz w:val="16"/>
                <w:szCs w:val="16"/>
                <w:lang w:val="es-ES_tradnl"/>
              </w:rPr>
              <w:t>75% (</w:t>
            </w:r>
            <w:r w:rsidR="00BB5D51">
              <w:rPr>
                <w:bCs/>
                <w:sz w:val="16"/>
                <w:szCs w:val="16"/>
                <w:lang w:val="es-ES_tradnl"/>
              </w:rPr>
              <w:t>OOJ</w:t>
            </w:r>
            <w:r w:rsidRPr="00C75C7E">
              <w:rPr>
                <w:bCs/>
                <w:sz w:val="16"/>
                <w:szCs w:val="16"/>
                <w:lang w:val="es-ES_tradnl"/>
              </w:rPr>
              <w:t>).</w:t>
            </w:r>
          </w:p>
          <w:p w:rsidR="006F7F41" w:rsidRPr="00C75C7E" w:rsidRDefault="006F7F41" w:rsidP="008F4F69">
            <w:pPr>
              <w:keepNext/>
              <w:keepLines/>
              <w:tabs>
                <w:tab w:val="left" w:pos="1757"/>
                <w:tab w:val="left" w:pos="2051"/>
              </w:tabs>
              <w:rPr>
                <w:bCs/>
                <w:sz w:val="16"/>
                <w:szCs w:val="16"/>
                <w:lang w:val="es-ES_tradnl"/>
              </w:rPr>
            </w:pPr>
          </w:p>
          <w:p w:rsidR="006F7F41" w:rsidRPr="00C75C7E" w:rsidRDefault="006F7F41" w:rsidP="008F4F69">
            <w:pPr>
              <w:keepNext/>
              <w:keepLines/>
              <w:tabs>
                <w:tab w:val="left" w:pos="1757"/>
                <w:tab w:val="left" w:pos="2051"/>
              </w:tabs>
              <w:rPr>
                <w:bCs/>
                <w:sz w:val="16"/>
                <w:szCs w:val="16"/>
                <w:lang w:val="es-ES_tradnl"/>
              </w:rPr>
            </w:pPr>
            <w:r w:rsidRPr="00C75C7E">
              <w:rPr>
                <w:bCs/>
                <w:sz w:val="16"/>
                <w:szCs w:val="16"/>
                <w:lang w:val="es-ES_tradnl"/>
              </w:rPr>
              <w:t>75% (</w:t>
            </w:r>
            <w:r w:rsidR="00BB5D51">
              <w:rPr>
                <w:bCs/>
                <w:sz w:val="16"/>
                <w:szCs w:val="16"/>
                <w:lang w:val="es-ES_tradnl"/>
              </w:rPr>
              <w:t>OOS</w:t>
            </w:r>
            <w:r w:rsidRPr="00C75C7E">
              <w:rPr>
                <w:bCs/>
                <w:sz w:val="16"/>
                <w:szCs w:val="16"/>
                <w:lang w:val="es-ES_tradnl"/>
              </w:rPr>
              <w:t xml:space="preserve">). </w:t>
            </w:r>
          </w:p>
        </w:tc>
      </w:tr>
      <w:tr w:rsidR="006F7F41" w:rsidRPr="00C75C7E" w:rsidTr="008F4F69">
        <w:trPr>
          <w:cantSplit/>
        </w:trPr>
        <w:tc>
          <w:tcPr>
            <w:tcW w:w="1249" w:type="pct"/>
            <w:vMerge w:val="restart"/>
            <w:shd w:val="clear" w:color="auto" w:fill="auto"/>
            <w:tcMar>
              <w:top w:w="113" w:type="dxa"/>
            </w:tcMar>
          </w:tcPr>
          <w:p w:rsidR="006F7F41" w:rsidRPr="00C75C7E" w:rsidRDefault="006F7F41" w:rsidP="008F4F69">
            <w:pPr>
              <w:rPr>
                <w:sz w:val="16"/>
                <w:szCs w:val="16"/>
                <w:lang w:val="es-ES_tradnl"/>
              </w:rPr>
            </w:pPr>
            <w:r w:rsidRPr="00C75C7E">
              <w:rPr>
                <w:sz w:val="16"/>
                <w:szCs w:val="16"/>
                <w:lang w:val="es-ES_tradnl"/>
              </w:rPr>
              <w:t>II.4. Ampliación y mejora del uso del sistema de La Haya por los países en desarrollo y los PMA, entre otros.</w:t>
            </w:r>
          </w:p>
        </w:tc>
        <w:tc>
          <w:tcPr>
            <w:tcW w:w="1514" w:type="pct"/>
            <w:shd w:val="clear" w:color="auto" w:fill="auto"/>
            <w:tcMar>
              <w:top w:w="113" w:type="dxa"/>
            </w:tcMar>
          </w:tcPr>
          <w:p w:rsidR="006F7F41" w:rsidRPr="00C75C7E" w:rsidRDefault="006F7F41" w:rsidP="008F4F69">
            <w:pPr>
              <w:rPr>
                <w:sz w:val="16"/>
                <w:szCs w:val="16"/>
                <w:lang w:val="es-ES_tradnl"/>
              </w:rPr>
            </w:pPr>
            <w:r w:rsidRPr="00C75C7E">
              <w:rPr>
                <w:sz w:val="16"/>
                <w:szCs w:val="16"/>
                <w:lang w:val="es-ES_tradnl"/>
              </w:rPr>
              <w:t>Número de países que han formulado o adoptado políticas en las que se expone su adhesión al Arreglo de La Haya.</w:t>
            </w:r>
          </w:p>
        </w:tc>
        <w:tc>
          <w:tcPr>
            <w:tcW w:w="1156" w:type="pct"/>
            <w:shd w:val="clear" w:color="auto" w:fill="FFFFFF"/>
            <w:tcMar>
              <w:top w:w="113" w:type="dxa"/>
            </w:tcMar>
          </w:tcPr>
          <w:p w:rsidR="006F7F41" w:rsidRPr="00C75C7E" w:rsidRDefault="005C037B" w:rsidP="008F4F69">
            <w:pPr>
              <w:rPr>
                <w:sz w:val="16"/>
                <w:szCs w:val="16"/>
                <w:lang w:val="es-ES_tradnl" w:bidi="th-TH"/>
              </w:rPr>
            </w:pPr>
            <w:r>
              <w:rPr>
                <w:sz w:val="16"/>
                <w:szCs w:val="16"/>
                <w:lang w:val="es-ES_tradnl" w:bidi="th-TH"/>
              </w:rPr>
              <w:t>N.d.</w:t>
            </w:r>
            <w:r w:rsidR="006F7F41" w:rsidRPr="00C75C7E">
              <w:rPr>
                <w:sz w:val="16"/>
                <w:szCs w:val="16"/>
                <w:lang w:val="es-ES_tradnl" w:bidi="th-TH"/>
              </w:rPr>
              <w:t xml:space="preserve"> (</w:t>
            </w:r>
            <w:r w:rsidR="00BB5D51">
              <w:rPr>
                <w:sz w:val="16"/>
                <w:szCs w:val="16"/>
                <w:lang w:val="es-ES_tradnl" w:bidi="th-TH"/>
              </w:rPr>
              <w:t>OOS</w:t>
            </w:r>
            <w:r w:rsidR="006F7F41" w:rsidRPr="00C75C7E">
              <w:rPr>
                <w:sz w:val="16"/>
                <w:szCs w:val="16"/>
                <w:lang w:val="es-ES_tradnl" w:bidi="th-TH"/>
              </w:rPr>
              <w:t>).</w:t>
            </w:r>
          </w:p>
          <w:p w:rsidR="006F7F41" w:rsidRPr="00C75C7E" w:rsidRDefault="006F7F41" w:rsidP="008F4F69">
            <w:pPr>
              <w:rPr>
                <w:sz w:val="16"/>
                <w:szCs w:val="16"/>
                <w:lang w:val="es-ES_tradnl" w:bidi="th-TH"/>
              </w:rPr>
            </w:pPr>
          </w:p>
          <w:p w:rsidR="006F7F41" w:rsidRPr="00C75C7E" w:rsidRDefault="006F7F41" w:rsidP="008F4F69">
            <w:pPr>
              <w:rPr>
                <w:sz w:val="16"/>
                <w:szCs w:val="16"/>
                <w:lang w:val="es-ES_tradnl"/>
              </w:rPr>
            </w:pPr>
          </w:p>
        </w:tc>
        <w:tc>
          <w:tcPr>
            <w:tcW w:w="1081" w:type="pct"/>
            <w:shd w:val="clear" w:color="auto" w:fill="auto"/>
            <w:tcMar>
              <w:top w:w="113" w:type="dxa"/>
            </w:tcMar>
          </w:tcPr>
          <w:p w:rsidR="006F7F41" w:rsidRPr="00C75C7E" w:rsidRDefault="006F7F41" w:rsidP="008F4F69">
            <w:pPr>
              <w:keepNext/>
              <w:keepLines/>
              <w:tabs>
                <w:tab w:val="left" w:pos="1757"/>
              </w:tabs>
              <w:rPr>
                <w:bCs/>
                <w:sz w:val="16"/>
                <w:szCs w:val="16"/>
                <w:lang w:val="es-ES_tradnl"/>
              </w:rPr>
            </w:pPr>
            <w:r w:rsidRPr="00C75C7E">
              <w:rPr>
                <w:bCs/>
                <w:sz w:val="16"/>
                <w:szCs w:val="16"/>
                <w:lang w:val="es-ES_tradnl"/>
              </w:rPr>
              <w:t>7 Estados miembros de la ASEAN (</w:t>
            </w:r>
            <w:r w:rsidR="00BB5D51">
              <w:rPr>
                <w:bCs/>
                <w:sz w:val="16"/>
                <w:szCs w:val="16"/>
                <w:lang w:val="es-ES_tradnl"/>
              </w:rPr>
              <w:t>OOS</w:t>
            </w:r>
            <w:r w:rsidRPr="00C75C7E">
              <w:rPr>
                <w:bCs/>
                <w:sz w:val="16"/>
                <w:szCs w:val="16"/>
                <w:lang w:val="es-ES_tradnl"/>
              </w:rPr>
              <w:t>).</w:t>
            </w:r>
          </w:p>
        </w:tc>
      </w:tr>
      <w:tr w:rsidR="006F7F41" w:rsidRPr="00C75C7E" w:rsidTr="008F4F69">
        <w:trPr>
          <w:cantSplit/>
          <w:trHeight w:val="897"/>
        </w:trPr>
        <w:tc>
          <w:tcPr>
            <w:tcW w:w="1249" w:type="pct"/>
            <w:vMerge/>
            <w:shd w:val="clear" w:color="auto" w:fill="auto"/>
            <w:tcMar>
              <w:top w:w="113" w:type="dxa"/>
            </w:tcMar>
          </w:tcPr>
          <w:p w:rsidR="006F7F41" w:rsidRPr="00C75C7E" w:rsidRDefault="006F7F41" w:rsidP="008F4F69">
            <w:pPr>
              <w:rPr>
                <w:sz w:val="16"/>
                <w:szCs w:val="16"/>
                <w:lang w:val="es-ES_tradnl"/>
              </w:rPr>
            </w:pPr>
          </w:p>
        </w:tc>
        <w:tc>
          <w:tcPr>
            <w:tcW w:w="1514" w:type="pct"/>
            <w:shd w:val="clear" w:color="auto" w:fill="auto"/>
            <w:tcMar>
              <w:top w:w="113" w:type="dxa"/>
            </w:tcMar>
          </w:tcPr>
          <w:p w:rsidR="006F7F41" w:rsidRPr="00C75C7E" w:rsidRDefault="006F7F41" w:rsidP="008F4F69">
            <w:pPr>
              <w:rPr>
                <w:sz w:val="16"/>
                <w:szCs w:val="16"/>
                <w:lang w:val="es-ES_tradnl"/>
              </w:rPr>
            </w:pPr>
            <w:r w:rsidRPr="00C75C7E">
              <w:rPr>
                <w:sz w:val="16"/>
                <w:szCs w:val="16"/>
                <w:lang w:val="es-ES_tradnl"/>
              </w:rPr>
              <w:t>Porcentaje de encargados de la adopción de políticas, funcionarios gubernamentales, profesionales de la P.I. y participantes en talleres con un mayor conocimiento del sistema de La Haya.</w:t>
            </w:r>
          </w:p>
        </w:tc>
        <w:tc>
          <w:tcPr>
            <w:tcW w:w="1156" w:type="pct"/>
            <w:shd w:val="clear" w:color="auto" w:fill="FFFFFF"/>
            <w:tcMar>
              <w:top w:w="113" w:type="dxa"/>
            </w:tcMar>
          </w:tcPr>
          <w:p w:rsidR="006F7F41" w:rsidRPr="00C75C7E" w:rsidRDefault="005C037B" w:rsidP="008F4F69">
            <w:pPr>
              <w:rPr>
                <w:sz w:val="16"/>
                <w:szCs w:val="16"/>
                <w:lang w:val="es-ES_tradnl" w:bidi="th-TH"/>
              </w:rPr>
            </w:pPr>
            <w:r>
              <w:rPr>
                <w:sz w:val="16"/>
                <w:szCs w:val="16"/>
                <w:lang w:val="es-ES_tradnl" w:bidi="th-TH"/>
              </w:rPr>
              <w:t>N.d.</w:t>
            </w:r>
            <w:r w:rsidR="006F7F41" w:rsidRPr="00C75C7E">
              <w:rPr>
                <w:sz w:val="16"/>
                <w:szCs w:val="16"/>
                <w:lang w:val="es-ES_tradnl" w:bidi="th-TH"/>
              </w:rPr>
              <w:t xml:space="preserve"> (</w:t>
            </w:r>
            <w:r w:rsidR="00BB5D51">
              <w:rPr>
                <w:sz w:val="16"/>
                <w:szCs w:val="16"/>
                <w:lang w:val="es-ES_tradnl" w:bidi="th-TH"/>
              </w:rPr>
              <w:t>OOB</w:t>
            </w:r>
            <w:r w:rsidR="006F7F41" w:rsidRPr="00C75C7E">
              <w:rPr>
                <w:sz w:val="16"/>
                <w:szCs w:val="16"/>
                <w:lang w:val="es-ES_tradnl" w:bidi="th-TH"/>
              </w:rPr>
              <w:t>).</w:t>
            </w:r>
          </w:p>
          <w:p w:rsidR="006F7F41" w:rsidRPr="00C75C7E" w:rsidRDefault="006F7F41" w:rsidP="008F4F69">
            <w:pPr>
              <w:rPr>
                <w:sz w:val="16"/>
                <w:szCs w:val="16"/>
                <w:lang w:val="es-ES_tradnl" w:bidi="th-TH"/>
              </w:rPr>
            </w:pPr>
          </w:p>
          <w:p w:rsidR="006F7F41" w:rsidRPr="00C75C7E" w:rsidRDefault="005C037B" w:rsidP="008F4F69">
            <w:pPr>
              <w:rPr>
                <w:sz w:val="16"/>
                <w:szCs w:val="16"/>
                <w:lang w:val="es-ES_tradnl" w:bidi="th-TH"/>
              </w:rPr>
            </w:pPr>
            <w:r>
              <w:rPr>
                <w:sz w:val="16"/>
                <w:szCs w:val="16"/>
                <w:lang w:val="es-ES_tradnl" w:bidi="th-TH"/>
              </w:rPr>
              <w:t>N.d.</w:t>
            </w:r>
            <w:r w:rsidR="006F7F41" w:rsidRPr="00C75C7E">
              <w:rPr>
                <w:sz w:val="16"/>
                <w:szCs w:val="16"/>
                <w:lang w:val="es-ES_tradnl" w:bidi="th-TH"/>
              </w:rPr>
              <w:t xml:space="preserve"> (</w:t>
            </w:r>
            <w:r w:rsidR="00BB5D51">
              <w:rPr>
                <w:sz w:val="16"/>
                <w:szCs w:val="16"/>
                <w:lang w:val="es-ES_tradnl" w:bidi="th-TH"/>
              </w:rPr>
              <w:t>OOJ</w:t>
            </w:r>
            <w:r w:rsidR="006F7F41" w:rsidRPr="00C75C7E">
              <w:rPr>
                <w:sz w:val="16"/>
                <w:szCs w:val="16"/>
                <w:lang w:val="es-ES_tradnl" w:bidi="th-TH"/>
              </w:rPr>
              <w:t>).</w:t>
            </w:r>
          </w:p>
          <w:p w:rsidR="006F7F41" w:rsidRPr="00C75C7E" w:rsidRDefault="006F7F41" w:rsidP="008F4F69">
            <w:pPr>
              <w:rPr>
                <w:sz w:val="16"/>
                <w:szCs w:val="16"/>
                <w:lang w:val="es-ES_tradnl" w:bidi="th-TH"/>
              </w:rPr>
            </w:pPr>
          </w:p>
          <w:p w:rsidR="006F7F41" w:rsidRPr="00C75C7E" w:rsidRDefault="005C037B" w:rsidP="008F4F69">
            <w:pPr>
              <w:rPr>
                <w:sz w:val="16"/>
                <w:szCs w:val="16"/>
                <w:lang w:val="es-ES_tradnl"/>
              </w:rPr>
            </w:pPr>
            <w:r>
              <w:rPr>
                <w:sz w:val="16"/>
                <w:szCs w:val="16"/>
                <w:lang w:val="es-ES_tradnl" w:bidi="th-TH"/>
              </w:rPr>
              <w:t>N.d.</w:t>
            </w:r>
            <w:r w:rsidR="006F7F41" w:rsidRPr="00C75C7E">
              <w:rPr>
                <w:sz w:val="16"/>
                <w:szCs w:val="16"/>
                <w:lang w:val="es-ES_tradnl" w:bidi="th-TH"/>
              </w:rPr>
              <w:t xml:space="preserve"> (</w:t>
            </w:r>
            <w:r w:rsidR="00BB5D51">
              <w:rPr>
                <w:sz w:val="16"/>
                <w:szCs w:val="16"/>
                <w:lang w:val="es-ES_tradnl" w:bidi="th-TH"/>
              </w:rPr>
              <w:t>OOS</w:t>
            </w:r>
            <w:r w:rsidR="006F7F41" w:rsidRPr="00C75C7E">
              <w:rPr>
                <w:sz w:val="16"/>
                <w:szCs w:val="16"/>
                <w:lang w:val="es-ES_tradnl" w:bidi="th-TH"/>
              </w:rPr>
              <w:t>).</w:t>
            </w:r>
          </w:p>
        </w:tc>
        <w:tc>
          <w:tcPr>
            <w:tcW w:w="1081" w:type="pct"/>
            <w:shd w:val="clear" w:color="auto" w:fill="auto"/>
            <w:tcMar>
              <w:top w:w="113" w:type="dxa"/>
            </w:tcMar>
          </w:tcPr>
          <w:p w:rsidR="006F7F41" w:rsidRPr="00C75C7E" w:rsidRDefault="006F7F41" w:rsidP="008F4F69">
            <w:pPr>
              <w:keepNext/>
              <w:keepLines/>
              <w:tabs>
                <w:tab w:val="left" w:pos="1757"/>
              </w:tabs>
              <w:rPr>
                <w:bCs/>
                <w:sz w:val="16"/>
                <w:szCs w:val="16"/>
                <w:lang w:val="es-ES_tradnl"/>
              </w:rPr>
            </w:pPr>
            <w:r w:rsidRPr="00C75C7E">
              <w:rPr>
                <w:bCs/>
                <w:sz w:val="16"/>
                <w:szCs w:val="16"/>
                <w:lang w:val="es-ES_tradnl"/>
              </w:rPr>
              <w:t>75% (</w:t>
            </w:r>
            <w:r w:rsidR="00BB5D51">
              <w:rPr>
                <w:bCs/>
                <w:sz w:val="16"/>
                <w:szCs w:val="16"/>
                <w:lang w:val="es-ES_tradnl"/>
              </w:rPr>
              <w:t>OOB</w:t>
            </w:r>
            <w:r w:rsidRPr="00C75C7E">
              <w:rPr>
                <w:bCs/>
                <w:sz w:val="16"/>
                <w:szCs w:val="16"/>
                <w:lang w:val="es-ES_tradnl"/>
              </w:rPr>
              <w:t>).</w:t>
            </w:r>
          </w:p>
          <w:p w:rsidR="006F7F41" w:rsidRPr="00C75C7E" w:rsidRDefault="006F7F41" w:rsidP="008F4F69">
            <w:pPr>
              <w:keepNext/>
              <w:keepLines/>
              <w:tabs>
                <w:tab w:val="left" w:pos="1757"/>
              </w:tabs>
              <w:rPr>
                <w:bCs/>
                <w:sz w:val="16"/>
                <w:szCs w:val="16"/>
                <w:lang w:val="es-ES_tradnl"/>
              </w:rPr>
            </w:pPr>
          </w:p>
          <w:p w:rsidR="006F7F41" w:rsidRPr="00C75C7E" w:rsidRDefault="006F7F41" w:rsidP="008F4F69">
            <w:pPr>
              <w:keepNext/>
              <w:keepLines/>
              <w:tabs>
                <w:tab w:val="left" w:pos="1757"/>
              </w:tabs>
              <w:rPr>
                <w:bCs/>
                <w:sz w:val="16"/>
                <w:szCs w:val="16"/>
                <w:lang w:val="es-ES_tradnl"/>
              </w:rPr>
            </w:pPr>
            <w:r w:rsidRPr="00C75C7E">
              <w:rPr>
                <w:bCs/>
                <w:sz w:val="16"/>
                <w:szCs w:val="16"/>
                <w:lang w:val="es-ES_tradnl"/>
              </w:rPr>
              <w:t>75% (</w:t>
            </w:r>
            <w:r w:rsidR="00BB5D51">
              <w:rPr>
                <w:bCs/>
                <w:sz w:val="16"/>
                <w:szCs w:val="16"/>
                <w:lang w:val="es-ES_tradnl"/>
              </w:rPr>
              <w:t>OOJ</w:t>
            </w:r>
            <w:r w:rsidRPr="00C75C7E">
              <w:rPr>
                <w:bCs/>
                <w:sz w:val="16"/>
                <w:szCs w:val="16"/>
                <w:lang w:val="es-ES_tradnl"/>
              </w:rPr>
              <w:t>).</w:t>
            </w:r>
          </w:p>
          <w:p w:rsidR="006F7F41" w:rsidRPr="00C75C7E" w:rsidRDefault="006F7F41" w:rsidP="008F4F69">
            <w:pPr>
              <w:keepNext/>
              <w:keepLines/>
              <w:tabs>
                <w:tab w:val="left" w:pos="1757"/>
              </w:tabs>
              <w:rPr>
                <w:bCs/>
                <w:sz w:val="16"/>
                <w:szCs w:val="16"/>
                <w:lang w:val="es-ES_tradnl"/>
              </w:rPr>
            </w:pPr>
          </w:p>
          <w:p w:rsidR="006F7F41" w:rsidRPr="00C75C7E" w:rsidRDefault="006F7F41" w:rsidP="008F4F69">
            <w:pPr>
              <w:keepNext/>
              <w:keepLines/>
              <w:tabs>
                <w:tab w:val="left" w:pos="1757"/>
              </w:tabs>
              <w:rPr>
                <w:bCs/>
                <w:sz w:val="16"/>
                <w:szCs w:val="16"/>
                <w:lang w:val="es-ES_tradnl"/>
              </w:rPr>
            </w:pPr>
            <w:r w:rsidRPr="00C75C7E">
              <w:rPr>
                <w:bCs/>
                <w:sz w:val="16"/>
                <w:szCs w:val="16"/>
                <w:lang w:val="es-ES_tradnl"/>
              </w:rPr>
              <w:t>75% (</w:t>
            </w:r>
            <w:r w:rsidR="00BB5D51">
              <w:rPr>
                <w:bCs/>
                <w:sz w:val="16"/>
                <w:szCs w:val="16"/>
                <w:lang w:val="es-ES_tradnl"/>
              </w:rPr>
              <w:t>OOS</w:t>
            </w:r>
            <w:r w:rsidRPr="00C75C7E">
              <w:rPr>
                <w:bCs/>
                <w:sz w:val="16"/>
                <w:szCs w:val="16"/>
                <w:lang w:val="es-ES_tradnl"/>
              </w:rPr>
              <w:t>).</w:t>
            </w:r>
          </w:p>
        </w:tc>
      </w:tr>
      <w:tr w:rsidR="006F7F41" w:rsidRPr="00C75C7E" w:rsidTr="008F4F69">
        <w:trPr>
          <w:cantSplit/>
          <w:trHeight w:val="967"/>
        </w:trPr>
        <w:tc>
          <w:tcPr>
            <w:tcW w:w="1249" w:type="pct"/>
            <w:vMerge/>
            <w:shd w:val="clear" w:color="auto" w:fill="auto"/>
            <w:tcMar>
              <w:top w:w="113" w:type="dxa"/>
            </w:tcMar>
          </w:tcPr>
          <w:p w:rsidR="006F7F41" w:rsidRPr="00C75C7E" w:rsidRDefault="006F7F41" w:rsidP="008F4F69">
            <w:pPr>
              <w:rPr>
                <w:sz w:val="16"/>
                <w:szCs w:val="16"/>
                <w:lang w:val="es-ES_tradnl"/>
              </w:rPr>
            </w:pPr>
          </w:p>
        </w:tc>
        <w:tc>
          <w:tcPr>
            <w:tcW w:w="1514" w:type="pct"/>
            <w:shd w:val="clear" w:color="auto" w:fill="auto"/>
            <w:tcMar>
              <w:top w:w="113" w:type="dxa"/>
            </w:tcMar>
          </w:tcPr>
          <w:p w:rsidR="006F7F41" w:rsidRPr="00C75C7E" w:rsidRDefault="006F7F41" w:rsidP="008F4F69">
            <w:pPr>
              <w:rPr>
                <w:sz w:val="16"/>
                <w:szCs w:val="16"/>
                <w:lang w:val="es-ES_tradnl"/>
              </w:rPr>
            </w:pPr>
            <w:r w:rsidRPr="00C75C7E">
              <w:rPr>
                <w:sz w:val="16"/>
                <w:szCs w:val="16"/>
                <w:lang w:val="es-ES_tradnl"/>
              </w:rPr>
              <w:t>Número de partes contratantes en el sistema de La Haya de la región de Asia y el Pacífico.</w:t>
            </w:r>
          </w:p>
        </w:tc>
        <w:tc>
          <w:tcPr>
            <w:tcW w:w="1156" w:type="pct"/>
            <w:shd w:val="clear" w:color="auto" w:fill="FFFFFF"/>
            <w:tcMar>
              <w:top w:w="113" w:type="dxa"/>
            </w:tcMar>
          </w:tcPr>
          <w:p w:rsidR="006F7F41" w:rsidRPr="00C75C7E" w:rsidRDefault="006F7F41" w:rsidP="008F4F69">
            <w:pPr>
              <w:rPr>
                <w:sz w:val="16"/>
                <w:szCs w:val="16"/>
                <w:lang w:val="es-ES_tradnl" w:bidi="th-TH"/>
              </w:rPr>
            </w:pPr>
            <w:r w:rsidRPr="00C75C7E">
              <w:rPr>
                <w:sz w:val="16"/>
                <w:szCs w:val="16"/>
                <w:lang w:val="es-ES_tradnl" w:bidi="th-TH"/>
              </w:rPr>
              <w:t>1 en la región de la ASEAN (</w:t>
            </w:r>
            <w:r w:rsidR="00BB5D51">
              <w:rPr>
                <w:sz w:val="16"/>
                <w:szCs w:val="16"/>
                <w:lang w:val="es-ES_tradnl" w:bidi="th-TH"/>
              </w:rPr>
              <w:t>OOS</w:t>
            </w:r>
            <w:r w:rsidRPr="00C75C7E">
              <w:rPr>
                <w:sz w:val="16"/>
                <w:szCs w:val="16"/>
                <w:lang w:val="es-ES_tradnl" w:bidi="th-TH"/>
              </w:rPr>
              <w:t>).</w:t>
            </w:r>
          </w:p>
          <w:p w:rsidR="006F7F41" w:rsidRPr="00C75C7E" w:rsidRDefault="006F7F41" w:rsidP="008F4F69">
            <w:pPr>
              <w:rPr>
                <w:sz w:val="16"/>
                <w:szCs w:val="16"/>
                <w:lang w:val="es-ES_tradnl" w:bidi="th-TH"/>
              </w:rPr>
            </w:pPr>
          </w:p>
          <w:p w:rsidR="006F7F41" w:rsidRPr="00C75C7E" w:rsidRDefault="006F7F41" w:rsidP="008F4F69">
            <w:pPr>
              <w:rPr>
                <w:sz w:val="16"/>
                <w:szCs w:val="16"/>
                <w:lang w:val="es-ES_tradnl" w:bidi="th-TH"/>
              </w:rPr>
            </w:pPr>
            <w:r w:rsidRPr="00C75C7E">
              <w:rPr>
                <w:sz w:val="16"/>
                <w:szCs w:val="16"/>
                <w:lang w:val="es-ES_tradnl" w:bidi="th-TH"/>
              </w:rPr>
              <w:t>El Japón no es parte contratante (</w:t>
            </w:r>
            <w:r w:rsidR="00BB5D51">
              <w:rPr>
                <w:sz w:val="16"/>
                <w:szCs w:val="16"/>
                <w:lang w:val="es-ES_tradnl" w:bidi="th-TH"/>
              </w:rPr>
              <w:t>OOJ</w:t>
            </w:r>
            <w:r w:rsidRPr="00C75C7E">
              <w:rPr>
                <w:sz w:val="16"/>
                <w:szCs w:val="16"/>
                <w:lang w:val="es-ES_tradnl" w:bidi="th-TH"/>
              </w:rPr>
              <w:t>).</w:t>
            </w:r>
          </w:p>
        </w:tc>
        <w:tc>
          <w:tcPr>
            <w:tcW w:w="1081" w:type="pct"/>
            <w:shd w:val="clear" w:color="auto" w:fill="auto"/>
            <w:tcMar>
              <w:top w:w="113" w:type="dxa"/>
            </w:tcMar>
          </w:tcPr>
          <w:p w:rsidR="006F7F41" w:rsidRPr="00C75C7E" w:rsidRDefault="006F7F41" w:rsidP="008F4F69">
            <w:pPr>
              <w:keepNext/>
              <w:keepLines/>
              <w:tabs>
                <w:tab w:val="left" w:pos="1757"/>
              </w:tabs>
              <w:rPr>
                <w:bCs/>
                <w:sz w:val="16"/>
                <w:szCs w:val="16"/>
                <w:lang w:val="es-ES_tradnl"/>
              </w:rPr>
            </w:pPr>
            <w:r w:rsidRPr="00C75C7E">
              <w:rPr>
                <w:bCs/>
                <w:sz w:val="16"/>
                <w:szCs w:val="16"/>
                <w:lang w:val="es-ES_tradnl"/>
              </w:rPr>
              <w:t>7 en la región de la ASEAN (</w:t>
            </w:r>
            <w:r w:rsidR="00BB5D51">
              <w:rPr>
                <w:bCs/>
                <w:sz w:val="16"/>
                <w:szCs w:val="16"/>
                <w:lang w:val="es-ES_tradnl"/>
              </w:rPr>
              <w:t>OOS</w:t>
            </w:r>
            <w:r w:rsidRPr="00C75C7E">
              <w:rPr>
                <w:bCs/>
                <w:sz w:val="16"/>
                <w:szCs w:val="16"/>
                <w:lang w:val="es-ES_tradnl"/>
              </w:rPr>
              <w:t>).</w:t>
            </w:r>
          </w:p>
          <w:p w:rsidR="006F7F41" w:rsidRPr="00C75C7E" w:rsidRDefault="006F7F41" w:rsidP="008F4F69">
            <w:pPr>
              <w:keepNext/>
              <w:keepLines/>
              <w:tabs>
                <w:tab w:val="left" w:pos="1757"/>
              </w:tabs>
              <w:rPr>
                <w:bCs/>
                <w:sz w:val="16"/>
                <w:szCs w:val="16"/>
                <w:lang w:val="es-ES_tradnl"/>
              </w:rPr>
            </w:pPr>
          </w:p>
          <w:p w:rsidR="006F7F41" w:rsidRPr="00C75C7E" w:rsidRDefault="006F7F41" w:rsidP="008F4F69">
            <w:pPr>
              <w:keepNext/>
              <w:keepLines/>
              <w:tabs>
                <w:tab w:val="left" w:pos="1757"/>
              </w:tabs>
              <w:rPr>
                <w:bCs/>
                <w:sz w:val="16"/>
                <w:szCs w:val="16"/>
                <w:lang w:val="es-ES_tradnl"/>
              </w:rPr>
            </w:pPr>
            <w:r w:rsidRPr="00C75C7E">
              <w:rPr>
                <w:bCs/>
                <w:sz w:val="16"/>
                <w:szCs w:val="16"/>
                <w:lang w:val="es-ES_tradnl"/>
              </w:rPr>
              <w:t xml:space="preserve">Adhesión del Japón </w:t>
            </w:r>
            <w:r w:rsidRPr="00C75C7E">
              <w:rPr>
                <w:sz w:val="16"/>
                <w:szCs w:val="16"/>
                <w:lang w:val="es-ES_tradnl" w:bidi="th-TH"/>
              </w:rPr>
              <w:t>(</w:t>
            </w:r>
            <w:r w:rsidR="00BB5D51">
              <w:rPr>
                <w:sz w:val="16"/>
                <w:szCs w:val="16"/>
                <w:lang w:val="es-ES_tradnl" w:bidi="th-TH"/>
              </w:rPr>
              <w:t>OOJ</w:t>
            </w:r>
            <w:r w:rsidRPr="00C75C7E">
              <w:rPr>
                <w:sz w:val="16"/>
                <w:szCs w:val="16"/>
                <w:lang w:val="es-ES_tradnl" w:bidi="th-TH"/>
              </w:rPr>
              <w:t>).</w:t>
            </w:r>
          </w:p>
        </w:tc>
      </w:tr>
      <w:tr w:rsidR="006F7F41" w:rsidRPr="00C75C7E" w:rsidTr="008F4F69">
        <w:trPr>
          <w:cantSplit/>
          <w:trHeight w:val="801"/>
        </w:trPr>
        <w:tc>
          <w:tcPr>
            <w:tcW w:w="1249" w:type="pct"/>
            <w:vMerge w:val="restart"/>
            <w:shd w:val="clear" w:color="auto" w:fill="auto"/>
            <w:tcMar>
              <w:top w:w="113" w:type="dxa"/>
            </w:tcMar>
          </w:tcPr>
          <w:p w:rsidR="006F7F41" w:rsidRPr="00C75C7E" w:rsidRDefault="006F7F41" w:rsidP="008F4F69">
            <w:pPr>
              <w:rPr>
                <w:sz w:val="16"/>
                <w:szCs w:val="16"/>
                <w:lang w:val="es-ES_tradnl"/>
              </w:rPr>
            </w:pPr>
            <w:r w:rsidRPr="00C75C7E">
              <w:rPr>
                <w:sz w:val="16"/>
                <w:szCs w:val="16"/>
                <w:lang w:val="es-ES_tradnl"/>
              </w:rPr>
              <w:lastRenderedPageBreak/>
              <w:t>II. 6 Ampliación y mejora del uso de los sistemas de Madrid y de Lisboa por los países en desarrollo y los PMA, entre otros.</w:t>
            </w:r>
          </w:p>
        </w:tc>
        <w:tc>
          <w:tcPr>
            <w:tcW w:w="1514" w:type="pct"/>
            <w:shd w:val="clear" w:color="auto" w:fill="auto"/>
            <w:tcMar>
              <w:top w:w="113" w:type="dxa"/>
            </w:tcMar>
          </w:tcPr>
          <w:p w:rsidR="006F7F41" w:rsidRPr="00C75C7E" w:rsidRDefault="006F7F41" w:rsidP="008F4F69">
            <w:pPr>
              <w:rPr>
                <w:sz w:val="16"/>
                <w:szCs w:val="16"/>
                <w:lang w:val="es-ES_tradnl"/>
              </w:rPr>
            </w:pPr>
            <w:r w:rsidRPr="00C75C7E">
              <w:rPr>
                <w:sz w:val="16"/>
                <w:szCs w:val="16"/>
                <w:lang w:val="es-ES_tradnl"/>
              </w:rPr>
              <w:t>Número de países que han formulado o adoptado políticas en las que se expone su adhesión al Protocolo de Madrid.</w:t>
            </w:r>
          </w:p>
        </w:tc>
        <w:tc>
          <w:tcPr>
            <w:tcW w:w="1156" w:type="pct"/>
            <w:shd w:val="clear" w:color="auto" w:fill="FFFFFF"/>
            <w:tcMar>
              <w:top w:w="113" w:type="dxa"/>
            </w:tcMar>
          </w:tcPr>
          <w:p w:rsidR="006F7F41" w:rsidRPr="00C75C7E" w:rsidRDefault="005C037B" w:rsidP="008F4F69">
            <w:pPr>
              <w:rPr>
                <w:sz w:val="16"/>
                <w:szCs w:val="16"/>
                <w:lang w:val="es-ES_tradnl" w:bidi="th-TH"/>
              </w:rPr>
            </w:pPr>
            <w:r>
              <w:rPr>
                <w:sz w:val="16"/>
                <w:szCs w:val="16"/>
                <w:lang w:val="es-ES_tradnl" w:bidi="th-TH"/>
              </w:rPr>
              <w:t>N.d.</w:t>
            </w:r>
            <w:r w:rsidR="006F7F41" w:rsidRPr="00C75C7E">
              <w:rPr>
                <w:sz w:val="16"/>
                <w:szCs w:val="16"/>
                <w:lang w:val="es-ES_tradnl" w:bidi="th-TH"/>
              </w:rPr>
              <w:t xml:space="preserve"> (</w:t>
            </w:r>
            <w:r w:rsidR="00BB5D51">
              <w:rPr>
                <w:sz w:val="16"/>
                <w:szCs w:val="16"/>
                <w:lang w:val="es-ES_tradnl" w:bidi="th-TH"/>
              </w:rPr>
              <w:t>OOS</w:t>
            </w:r>
            <w:r w:rsidR="006F7F41" w:rsidRPr="00C75C7E">
              <w:rPr>
                <w:sz w:val="16"/>
                <w:szCs w:val="16"/>
                <w:lang w:val="es-ES_tradnl" w:bidi="th-TH"/>
              </w:rPr>
              <w:t>).</w:t>
            </w:r>
          </w:p>
          <w:p w:rsidR="006F7F41" w:rsidRPr="00C75C7E" w:rsidRDefault="006F7F41" w:rsidP="008F4F69">
            <w:pPr>
              <w:rPr>
                <w:sz w:val="16"/>
                <w:szCs w:val="16"/>
                <w:lang w:val="es-ES_tradnl" w:bidi="th-TH"/>
              </w:rPr>
            </w:pPr>
          </w:p>
          <w:p w:rsidR="006F7F41" w:rsidRPr="00C75C7E" w:rsidRDefault="006F7F41" w:rsidP="008F4F69">
            <w:pPr>
              <w:rPr>
                <w:sz w:val="16"/>
                <w:szCs w:val="16"/>
                <w:lang w:val="es-ES_tradnl" w:bidi="th-TH"/>
              </w:rPr>
            </w:pPr>
          </w:p>
        </w:tc>
        <w:tc>
          <w:tcPr>
            <w:tcW w:w="1081" w:type="pct"/>
            <w:shd w:val="clear" w:color="auto" w:fill="auto"/>
            <w:tcMar>
              <w:top w:w="113" w:type="dxa"/>
            </w:tcMar>
          </w:tcPr>
          <w:p w:rsidR="006F7F41" w:rsidRPr="00C75C7E" w:rsidRDefault="006F7F41" w:rsidP="008F4F69">
            <w:pPr>
              <w:keepNext/>
              <w:keepLines/>
              <w:tabs>
                <w:tab w:val="left" w:pos="1757"/>
              </w:tabs>
              <w:rPr>
                <w:bCs/>
                <w:sz w:val="16"/>
                <w:szCs w:val="16"/>
                <w:lang w:val="es-ES_tradnl"/>
              </w:rPr>
            </w:pPr>
            <w:r w:rsidRPr="00C75C7E">
              <w:rPr>
                <w:bCs/>
                <w:sz w:val="16"/>
                <w:szCs w:val="16"/>
                <w:lang w:val="es-ES_tradnl"/>
              </w:rPr>
              <w:t>6 Estados miembros de la ASEAN (</w:t>
            </w:r>
            <w:r w:rsidR="00BB5D51">
              <w:rPr>
                <w:bCs/>
                <w:sz w:val="16"/>
                <w:szCs w:val="16"/>
                <w:lang w:val="es-ES_tradnl"/>
              </w:rPr>
              <w:t>OOS</w:t>
            </w:r>
            <w:r w:rsidRPr="00C75C7E">
              <w:rPr>
                <w:bCs/>
                <w:sz w:val="16"/>
                <w:szCs w:val="16"/>
                <w:lang w:val="es-ES_tradnl"/>
              </w:rPr>
              <w:t>).</w:t>
            </w:r>
          </w:p>
        </w:tc>
      </w:tr>
      <w:tr w:rsidR="006F7F41" w:rsidRPr="00C75C7E" w:rsidTr="008F4F69">
        <w:trPr>
          <w:cantSplit/>
          <w:trHeight w:val="567"/>
        </w:trPr>
        <w:tc>
          <w:tcPr>
            <w:tcW w:w="1249" w:type="pct"/>
            <w:vMerge/>
            <w:shd w:val="clear" w:color="auto" w:fill="auto"/>
            <w:tcMar>
              <w:top w:w="113" w:type="dxa"/>
            </w:tcMar>
          </w:tcPr>
          <w:p w:rsidR="006F7F41" w:rsidRPr="00C75C7E" w:rsidRDefault="006F7F41" w:rsidP="008F4F69">
            <w:pPr>
              <w:rPr>
                <w:sz w:val="16"/>
                <w:szCs w:val="16"/>
                <w:lang w:val="es-ES_tradnl"/>
              </w:rPr>
            </w:pPr>
          </w:p>
        </w:tc>
        <w:tc>
          <w:tcPr>
            <w:tcW w:w="1514" w:type="pct"/>
            <w:shd w:val="clear" w:color="auto" w:fill="auto"/>
            <w:tcMar>
              <w:top w:w="113" w:type="dxa"/>
            </w:tcMar>
          </w:tcPr>
          <w:p w:rsidR="006F7F41" w:rsidRPr="00C75C7E" w:rsidRDefault="006F7F41" w:rsidP="008F4F69">
            <w:pPr>
              <w:rPr>
                <w:sz w:val="16"/>
                <w:szCs w:val="16"/>
                <w:lang w:val="es-ES_tradnl"/>
              </w:rPr>
            </w:pPr>
            <w:r w:rsidRPr="00C75C7E">
              <w:rPr>
                <w:sz w:val="16"/>
                <w:szCs w:val="16"/>
                <w:lang w:val="es-ES_tradnl"/>
              </w:rPr>
              <w:t>Porcentaje de participantes satisfechos en talleres/seminarios sobre temas relacionados con el sistema de Madrid.</w:t>
            </w:r>
          </w:p>
        </w:tc>
        <w:tc>
          <w:tcPr>
            <w:tcW w:w="1156" w:type="pct"/>
            <w:shd w:val="clear" w:color="auto" w:fill="FFFFFF"/>
            <w:tcMar>
              <w:top w:w="113" w:type="dxa"/>
            </w:tcMar>
          </w:tcPr>
          <w:p w:rsidR="006F7F41" w:rsidRPr="00C75C7E" w:rsidRDefault="006F7F41" w:rsidP="008F4F69">
            <w:pPr>
              <w:rPr>
                <w:sz w:val="16"/>
                <w:szCs w:val="16"/>
                <w:lang w:val="es-ES_tradnl" w:bidi="th-TH"/>
              </w:rPr>
            </w:pPr>
            <w:r w:rsidRPr="00C75C7E">
              <w:rPr>
                <w:sz w:val="16"/>
                <w:szCs w:val="16"/>
                <w:lang w:val="es-ES_tradnl" w:bidi="th-TH"/>
              </w:rPr>
              <w:t>65% (</w:t>
            </w:r>
            <w:r w:rsidR="00BB5D51">
              <w:rPr>
                <w:sz w:val="16"/>
                <w:szCs w:val="16"/>
                <w:lang w:val="es-ES_tradnl" w:bidi="th-TH"/>
              </w:rPr>
              <w:t>OOB</w:t>
            </w:r>
            <w:r w:rsidRPr="00C75C7E">
              <w:rPr>
                <w:sz w:val="16"/>
                <w:szCs w:val="16"/>
                <w:lang w:val="es-ES_tradnl" w:bidi="th-TH"/>
              </w:rPr>
              <w:t>).</w:t>
            </w:r>
          </w:p>
          <w:p w:rsidR="006F7F41" w:rsidRPr="00C75C7E" w:rsidRDefault="006F7F41" w:rsidP="008F4F69">
            <w:pPr>
              <w:rPr>
                <w:sz w:val="16"/>
                <w:szCs w:val="16"/>
                <w:lang w:val="es-ES_tradnl" w:bidi="th-TH"/>
              </w:rPr>
            </w:pPr>
          </w:p>
          <w:p w:rsidR="006F7F41" w:rsidRPr="00C75C7E" w:rsidRDefault="006F7F41" w:rsidP="008F4F69">
            <w:pPr>
              <w:rPr>
                <w:sz w:val="16"/>
                <w:szCs w:val="16"/>
                <w:lang w:val="es-ES_tradnl" w:bidi="th-TH"/>
              </w:rPr>
            </w:pPr>
            <w:r w:rsidRPr="00C75C7E">
              <w:rPr>
                <w:sz w:val="16"/>
                <w:szCs w:val="16"/>
                <w:lang w:val="es-ES_tradnl" w:bidi="th-TH"/>
              </w:rPr>
              <w:t>65% (</w:t>
            </w:r>
            <w:r w:rsidR="00BB5D51">
              <w:rPr>
                <w:sz w:val="16"/>
                <w:szCs w:val="16"/>
                <w:lang w:val="es-ES_tradnl" w:bidi="th-TH"/>
              </w:rPr>
              <w:t>OOS</w:t>
            </w:r>
            <w:r w:rsidRPr="00C75C7E">
              <w:rPr>
                <w:sz w:val="16"/>
                <w:szCs w:val="16"/>
                <w:lang w:val="es-ES_tradnl" w:bidi="th-TH"/>
              </w:rPr>
              <w:t>).</w:t>
            </w:r>
          </w:p>
        </w:tc>
        <w:tc>
          <w:tcPr>
            <w:tcW w:w="1081" w:type="pct"/>
            <w:shd w:val="clear" w:color="auto" w:fill="auto"/>
            <w:tcMar>
              <w:top w:w="113" w:type="dxa"/>
            </w:tcMar>
          </w:tcPr>
          <w:p w:rsidR="006F7F41" w:rsidRPr="00C75C7E" w:rsidRDefault="006F7F41" w:rsidP="008F4F69">
            <w:pPr>
              <w:keepNext/>
              <w:keepLines/>
              <w:tabs>
                <w:tab w:val="left" w:pos="1757"/>
              </w:tabs>
              <w:rPr>
                <w:bCs/>
                <w:sz w:val="16"/>
                <w:szCs w:val="16"/>
                <w:lang w:val="es-ES_tradnl"/>
              </w:rPr>
            </w:pPr>
            <w:r w:rsidRPr="00C75C7E">
              <w:rPr>
                <w:bCs/>
                <w:sz w:val="16"/>
                <w:szCs w:val="16"/>
                <w:lang w:val="es-ES_tradnl"/>
              </w:rPr>
              <w:t>75% (</w:t>
            </w:r>
            <w:r w:rsidR="00BB5D51">
              <w:rPr>
                <w:bCs/>
                <w:sz w:val="16"/>
                <w:szCs w:val="16"/>
                <w:lang w:val="es-ES_tradnl"/>
              </w:rPr>
              <w:t>OOB</w:t>
            </w:r>
            <w:r w:rsidRPr="00C75C7E">
              <w:rPr>
                <w:bCs/>
                <w:sz w:val="16"/>
                <w:szCs w:val="16"/>
                <w:lang w:val="es-ES_tradnl"/>
              </w:rPr>
              <w:t>).</w:t>
            </w:r>
          </w:p>
          <w:p w:rsidR="006F7F41" w:rsidRPr="00C75C7E" w:rsidRDefault="006F7F41" w:rsidP="008F4F69">
            <w:pPr>
              <w:keepNext/>
              <w:keepLines/>
              <w:tabs>
                <w:tab w:val="left" w:pos="1757"/>
              </w:tabs>
              <w:rPr>
                <w:bCs/>
                <w:sz w:val="16"/>
                <w:szCs w:val="16"/>
                <w:lang w:val="es-ES_tradnl"/>
              </w:rPr>
            </w:pPr>
          </w:p>
          <w:p w:rsidR="006F7F41" w:rsidRPr="00C75C7E" w:rsidRDefault="006F7F41" w:rsidP="008F4F69">
            <w:pPr>
              <w:keepNext/>
              <w:keepLines/>
              <w:tabs>
                <w:tab w:val="left" w:pos="1757"/>
              </w:tabs>
              <w:rPr>
                <w:bCs/>
                <w:sz w:val="16"/>
                <w:szCs w:val="16"/>
                <w:lang w:val="es-ES_tradnl"/>
              </w:rPr>
            </w:pPr>
            <w:r w:rsidRPr="00C75C7E">
              <w:rPr>
                <w:bCs/>
                <w:sz w:val="16"/>
                <w:szCs w:val="16"/>
                <w:lang w:val="es-ES_tradnl"/>
              </w:rPr>
              <w:t>75% (</w:t>
            </w:r>
            <w:r w:rsidR="00BB5D51">
              <w:rPr>
                <w:bCs/>
                <w:sz w:val="16"/>
                <w:szCs w:val="16"/>
                <w:lang w:val="es-ES_tradnl"/>
              </w:rPr>
              <w:t>OOS</w:t>
            </w:r>
            <w:r w:rsidRPr="00C75C7E">
              <w:rPr>
                <w:bCs/>
                <w:sz w:val="16"/>
                <w:szCs w:val="16"/>
                <w:lang w:val="es-ES_tradnl"/>
              </w:rPr>
              <w:t>).</w:t>
            </w:r>
          </w:p>
        </w:tc>
      </w:tr>
      <w:tr w:rsidR="006F7F41" w:rsidRPr="00C75C7E" w:rsidTr="008F4F69">
        <w:trPr>
          <w:cantSplit/>
          <w:trHeight w:val="434"/>
        </w:trPr>
        <w:tc>
          <w:tcPr>
            <w:tcW w:w="1249" w:type="pct"/>
            <w:vMerge/>
            <w:shd w:val="clear" w:color="auto" w:fill="auto"/>
            <w:tcMar>
              <w:top w:w="113" w:type="dxa"/>
            </w:tcMar>
          </w:tcPr>
          <w:p w:rsidR="006F7F41" w:rsidRPr="00C75C7E" w:rsidRDefault="006F7F41" w:rsidP="008F4F69">
            <w:pPr>
              <w:rPr>
                <w:sz w:val="16"/>
                <w:szCs w:val="16"/>
                <w:lang w:val="es-ES_tradnl"/>
              </w:rPr>
            </w:pPr>
          </w:p>
        </w:tc>
        <w:tc>
          <w:tcPr>
            <w:tcW w:w="1514" w:type="pct"/>
            <w:shd w:val="clear" w:color="auto" w:fill="auto"/>
            <w:tcMar>
              <w:top w:w="113" w:type="dxa"/>
            </w:tcMar>
          </w:tcPr>
          <w:p w:rsidR="006F7F41" w:rsidRPr="00C75C7E" w:rsidRDefault="006F7F41" w:rsidP="008F4F69">
            <w:pPr>
              <w:jc w:val="both"/>
              <w:rPr>
                <w:sz w:val="16"/>
                <w:szCs w:val="16"/>
                <w:lang w:val="es-ES_tradnl"/>
              </w:rPr>
            </w:pPr>
            <w:r w:rsidRPr="00C75C7E">
              <w:rPr>
                <w:sz w:val="16"/>
                <w:szCs w:val="16"/>
                <w:lang w:val="es-ES_tradnl"/>
              </w:rPr>
              <w:t>Número de Partes Contratantes en el Protocolo de Madrid.</w:t>
            </w:r>
          </w:p>
        </w:tc>
        <w:tc>
          <w:tcPr>
            <w:tcW w:w="1156" w:type="pct"/>
            <w:shd w:val="clear" w:color="auto" w:fill="FFFFFF"/>
            <w:tcMar>
              <w:top w:w="113" w:type="dxa"/>
            </w:tcMar>
          </w:tcPr>
          <w:p w:rsidR="006F7F41" w:rsidRPr="00C75C7E" w:rsidRDefault="006F7F41" w:rsidP="008F4F69">
            <w:pPr>
              <w:rPr>
                <w:sz w:val="16"/>
                <w:szCs w:val="16"/>
                <w:lang w:val="es-ES_tradnl" w:bidi="th-TH"/>
              </w:rPr>
            </w:pPr>
            <w:r w:rsidRPr="00C75C7E">
              <w:rPr>
                <w:sz w:val="16"/>
                <w:szCs w:val="16"/>
                <w:lang w:val="es-ES_tradnl" w:bidi="th-TH"/>
              </w:rPr>
              <w:t>3% (</w:t>
            </w:r>
            <w:r w:rsidR="00BB5D51">
              <w:rPr>
                <w:sz w:val="16"/>
                <w:szCs w:val="16"/>
                <w:lang w:val="es-ES_tradnl" w:bidi="th-TH"/>
              </w:rPr>
              <w:t>OOS</w:t>
            </w:r>
            <w:r w:rsidRPr="00C75C7E">
              <w:rPr>
                <w:sz w:val="16"/>
                <w:szCs w:val="16"/>
                <w:lang w:val="es-ES_tradnl" w:bidi="th-TH"/>
              </w:rPr>
              <w:t>).</w:t>
            </w:r>
          </w:p>
        </w:tc>
        <w:tc>
          <w:tcPr>
            <w:tcW w:w="1081" w:type="pct"/>
            <w:shd w:val="clear" w:color="auto" w:fill="auto"/>
            <w:tcMar>
              <w:top w:w="113" w:type="dxa"/>
            </w:tcMar>
          </w:tcPr>
          <w:p w:rsidR="006F7F41" w:rsidRPr="00C75C7E" w:rsidRDefault="006F7F41" w:rsidP="008F4F69">
            <w:pPr>
              <w:tabs>
                <w:tab w:val="left" w:pos="1757"/>
              </w:tabs>
              <w:rPr>
                <w:sz w:val="16"/>
                <w:szCs w:val="16"/>
                <w:lang w:val="es-ES_tradnl" w:bidi="th-TH"/>
              </w:rPr>
            </w:pPr>
            <w:r w:rsidRPr="00C75C7E">
              <w:rPr>
                <w:sz w:val="16"/>
                <w:szCs w:val="16"/>
                <w:lang w:val="es-ES_tradnl" w:bidi="th-TH"/>
              </w:rPr>
              <w:t>10% (</w:t>
            </w:r>
            <w:r w:rsidR="00BB5D51">
              <w:rPr>
                <w:sz w:val="16"/>
                <w:szCs w:val="16"/>
                <w:lang w:val="es-ES_tradnl" w:bidi="th-TH"/>
              </w:rPr>
              <w:t>OOS</w:t>
            </w:r>
            <w:r w:rsidRPr="00C75C7E">
              <w:rPr>
                <w:sz w:val="16"/>
                <w:szCs w:val="16"/>
                <w:lang w:val="es-ES_tradnl" w:bidi="th-TH"/>
              </w:rPr>
              <w:t>).</w:t>
            </w:r>
          </w:p>
          <w:p w:rsidR="006F7F41" w:rsidRPr="00C75C7E" w:rsidRDefault="006F7F41" w:rsidP="008F4F69">
            <w:pPr>
              <w:keepNext/>
              <w:keepLines/>
              <w:tabs>
                <w:tab w:val="left" w:pos="1757"/>
              </w:tabs>
              <w:rPr>
                <w:bCs/>
                <w:sz w:val="16"/>
                <w:szCs w:val="16"/>
                <w:lang w:val="es-ES_tradnl"/>
              </w:rPr>
            </w:pPr>
          </w:p>
        </w:tc>
      </w:tr>
      <w:tr w:rsidR="006F7F41" w:rsidRPr="00C75C7E" w:rsidTr="008F4F69">
        <w:trPr>
          <w:cantSplit/>
          <w:trHeight w:val="1035"/>
        </w:trPr>
        <w:tc>
          <w:tcPr>
            <w:tcW w:w="1249" w:type="pct"/>
            <w:vMerge/>
            <w:shd w:val="clear" w:color="auto" w:fill="auto"/>
            <w:tcMar>
              <w:top w:w="113" w:type="dxa"/>
            </w:tcMar>
          </w:tcPr>
          <w:p w:rsidR="006F7F41" w:rsidRPr="00C75C7E" w:rsidRDefault="006F7F41" w:rsidP="008F4F69">
            <w:pPr>
              <w:rPr>
                <w:sz w:val="16"/>
                <w:szCs w:val="16"/>
                <w:lang w:val="es-ES_tradnl"/>
              </w:rPr>
            </w:pPr>
          </w:p>
        </w:tc>
        <w:tc>
          <w:tcPr>
            <w:tcW w:w="1514" w:type="pct"/>
            <w:shd w:val="clear" w:color="auto" w:fill="auto"/>
            <w:tcMar>
              <w:top w:w="113" w:type="dxa"/>
            </w:tcMar>
          </w:tcPr>
          <w:p w:rsidR="006F7F41" w:rsidRPr="00C75C7E" w:rsidRDefault="006F7F41" w:rsidP="008F4F69">
            <w:pPr>
              <w:rPr>
                <w:sz w:val="16"/>
                <w:szCs w:val="16"/>
                <w:lang w:val="es-ES_tradnl"/>
              </w:rPr>
            </w:pPr>
            <w:r w:rsidRPr="00C75C7E">
              <w:rPr>
                <w:sz w:val="16"/>
                <w:szCs w:val="16"/>
                <w:lang w:val="es-ES_tradnl"/>
              </w:rPr>
              <w:t>Número de nuevos registros (sistema de Madrid).</w:t>
            </w:r>
          </w:p>
        </w:tc>
        <w:tc>
          <w:tcPr>
            <w:tcW w:w="1156" w:type="pct"/>
            <w:shd w:val="clear" w:color="auto" w:fill="FFFFFF"/>
            <w:tcMar>
              <w:top w:w="113" w:type="dxa"/>
            </w:tcMar>
          </w:tcPr>
          <w:p w:rsidR="006F7F41" w:rsidRPr="00C75C7E" w:rsidRDefault="006F7F41" w:rsidP="008F4F69">
            <w:pPr>
              <w:rPr>
                <w:sz w:val="16"/>
                <w:szCs w:val="16"/>
                <w:lang w:val="es-ES_tradnl" w:bidi="th-TH"/>
              </w:rPr>
            </w:pPr>
            <w:r w:rsidRPr="00C75C7E">
              <w:rPr>
                <w:sz w:val="16"/>
                <w:szCs w:val="16"/>
                <w:lang w:val="es-ES_tradnl" w:bidi="th-TH"/>
              </w:rPr>
              <w:t>Estadísticas de la ASEAN en el sistema de Madrid (</w:t>
            </w:r>
            <w:r w:rsidR="00BB5D51">
              <w:rPr>
                <w:sz w:val="16"/>
                <w:szCs w:val="16"/>
                <w:lang w:val="es-ES_tradnl" w:bidi="th-TH"/>
              </w:rPr>
              <w:t>OOS</w:t>
            </w:r>
            <w:r w:rsidRPr="00C75C7E">
              <w:rPr>
                <w:sz w:val="16"/>
                <w:szCs w:val="16"/>
                <w:lang w:val="es-ES_tradnl" w:bidi="th-TH"/>
              </w:rPr>
              <w:t>) 2012/13.</w:t>
            </w:r>
          </w:p>
          <w:p w:rsidR="006F7F41" w:rsidRPr="00C75C7E" w:rsidRDefault="006F7F41" w:rsidP="008F4F69">
            <w:pPr>
              <w:rPr>
                <w:sz w:val="16"/>
                <w:szCs w:val="16"/>
                <w:lang w:val="es-ES_tradnl" w:bidi="th-TH"/>
              </w:rPr>
            </w:pPr>
          </w:p>
          <w:p w:rsidR="006F7F41" w:rsidRPr="00C75C7E" w:rsidRDefault="006F7F41" w:rsidP="008F4F69">
            <w:pPr>
              <w:rPr>
                <w:sz w:val="16"/>
                <w:szCs w:val="16"/>
                <w:lang w:val="es-ES_tradnl" w:bidi="th-TH"/>
              </w:rPr>
            </w:pPr>
            <w:r w:rsidRPr="00C75C7E">
              <w:rPr>
                <w:sz w:val="16"/>
                <w:szCs w:val="16"/>
                <w:lang w:val="es-ES_tradnl" w:bidi="th-TH"/>
              </w:rPr>
              <w:t>Estadísticas de la ASEAN en el sistema de Madrid, Japón (</w:t>
            </w:r>
            <w:r w:rsidR="00BB5D51">
              <w:rPr>
                <w:sz w:val="16"/>
                <w:szCs w:val="16"/>
                <w:lang w:val="es-ES_tradnl" w:bidi="th-TH"/>
              </w:rPr>
              <w:t>OOJ</w:t>
            </w:r>
            <w:r w:rsidRPr="00C75C7E">
              <w:rPr>
                <w:sz w:val="16"/>
                <w:szCs w:val="16"/>
                <w:lang w:val="es-ES_tradnl" w:bidi="th-TH"/>
              </w:rPr>
              <w:t>) 2012/13.</w:t>
            </w:r>
          </w:p>
        </w:tc>
        <w:tc>
          <w:tcPr>
            <w:tcW w:w="1081" w:type="pct"/>
            <w:tcBorders>
              <w:right w:val="single" w:sz="4" w:space="0" w:color="auto"/>
            </w:tcBorders>
            <w:shd w:val="clear" w:color="auto" w:fill="auto"/>
            <w:tcMar>
              <w:top w:w="113" w:type="dxa"/>
            </w:tcMar>
          </w:tcPr>
          <w:p w:rsidR="006F7F41" w:rsidRPr="00C75C7E" w:rsidRDefault="006F7F41" w:rsidP="008F4F69">
            <w:pPr>
              <w:keepNext/>
              <w:keepLines/>
              <w:tabs>
                <w:tab w:val="left" w:pos="1757"/>
              </w:tabs>
              <w:rPr>
                <w:bCs/>
                <w:sz w:val="16"/>
                <w:szCs w:val="16"/>
                <w:lang w:val="es-ES_tradnl"/>
              </w:rPr>
            </w:pPr>
            <w:r w:rsidRPr="00C75C7E">
              <w:rPr>
                <w:bCs/>
                <w:sz w:val="16"/>
                <w:szCs w:val="16"/>
                <w:lang w:val="es-ES_tradnl"/>
              </w:rPr>
              <w:t xml:space="preserve">Aumento del 5% en las solicitudes presentadas </w:t>
            </w:r>
            <w:r w:rsidRPr="00C75C7E">
              <w:rPr>
                <w:sz w:val="16"/>
                <w:szCs w:val="16"/>
                <w:lang w:val="es-ES_tradnl" w:bidi="th-TH"/>
              </w:rPr>
              <w:t>(</w:t>
            </w:r>
            <w:r w:rsidR="00BB5D51">
              <w:rPr>
                <w:sz w:val="16"/>
                <w:szCs w:val="16"/>
                <w:lang w:val="es-ES_tradnl" w:bidi="th-TH"/>
              </w:rPr>
              <w:t>OOS</w:t>
            </w:r>
            <w:r w:rsidRPr="00C75C7E">
              <w:rPr>
                <w:sz w:val="16"/>
                <w:szCs w:val="16"/>
                <w:lang w:val="es-ES_tradnl" w:bidi="th-TH"/>
              </w:rPr>
              <w:t>).</w:t>
            </w:r>
          </w:p>
          <w:p w:rsidR="006F7F41" w:rsidRPr="00C75C7E" w:rsidRDefault="006F7F41" w:rsidP="008F4F69">
            <w:pPr>
              <w:keepNext/>
              <w:keepLines/>
              <w:tabs>
                <w:tab w:val="left" w:pos="1757"/>
              </w:tabs>
              <w:rPr>
                <w:bCs/>
                <w:sz w:val="16"/>
                <w:szCs w:val="16"/>
                <w:lang w:val="es-ES_tradnl"/>
              </w:rPr>
            </w:pPr>
          </w:p>
          <w:p w:rsidR="006F7F41" w:rsidRPr="00C75C7E" w:rsidRDefault="006F7F41" w:rsidP="008F4F69">
            <w:pPr>
              <w:keepNext/>
              <w:keepLines/>
              <w:tabs>
                <w:tab w:val="left" w:pos="1757"/>
              </w:tabs>
              <w:rPr>
                <w:bCs/>
                <w:sz w:val="16"/>
                <w:szCs w:val="16"/>
                <w:lang w:val="es-ES_tradnl"/>
              </w:rPr>
            </w:pPr>
            <w:r w:rsidRPr="00C75C7E">
              <w:rPr>
                <w:bCs/>
                <w:sz w:val="16"/>
                <w:szCs w:val="16"/>
                <w:lang w:val="es-ES_tradnl"/>
              </w:rPr>
              <w:t>Aumento de las solicitudes presentadas (</w:t>
            </w:r>
            <w:r w:rsidR="00BB5D51">
              <w:rPr>
                <w:bCs/>
                <w:sz w:val="16"/>
                <w:szCs w:val="16"/>
                <w:lang w:val="es-ES_tradnl"/>
              </w:rPr>
              <w:t>OOJ</w:t>
            </w:r>
            <w:r w:rsidRPr="00C75C7E">
              <w:rPr>
                <w:bCs/>
                <w:sz w:val="16"/>
                <w:szCs w:val="16"/>
                <w:lang w:val="es-ES_tradnl"/>
              </w:rPr>
              <w:t>).</w:t>
            </w:r>
          </w:p>
        </w:tc>
      </w:tr>
      <w:tr w:rsidR="006F7F41" w:rsidRPr="00C75C7E" w:rsidTr="008F4F69">
        <w:trPr>
          <w:cantSplit/>
          <w:trHeight w:val="953"/>
        </w:trPr>
        <w:tc>
          <w:tcPr>
            <w:tcW w:w="1249" w:type="pct"/>
            <w:shd w:val="clear" w:color="auto" w:fill="auto"/>
            <w:tcMar>
              <w:top w:w="113" w:type="dxa"/>
            </w:tcMar>
          </w:tcPr>
          <w:p w:rsidR="006F7F41" w:rsidRPr="00C75C7E" w:rsidRDefault="006F7F41" w:rsidP="008F4F69">
            <w:pPr>
              <w:rPr>
                <w:sz w:val="16"/>
                <w:szCs w:val="16"/>
                <w:lang w:val="es-ES_tradnl"/>
              </w:rPr>
            </w:pPr>
          </w:p>
        </w:tc>
        <w:tc>
          <w:tcPr>
            <w:tcW w:w="1514" w:type="pct"/>
            <w:shd w:val="clear" w:color="auto" w:fill="auto"/>
            <w:tcMar>
              <w:top w:w="113" w:type="dxa"/>
            </w:tcMar>
          </w:tcPr>
          <w:p w:rsidR="006F7F41" w:rsidRPr="00C75C7E" w:rsidRDefault="006F7F41" w:rsidP="008F4F69">
            <w:pPr>
              <w:rPr>
                <w:sz w:val="16"/>
                <w:szCs w:val="16"/>
                <w:lang w:val="es-ES_tradnl"/>
              </w:rPr>
            </w:pPr>
            <w:r w:rsidRPr="00C75C7E">
              <w:rPr>
                <w:sz w:val="16"/>
                <w:szCs w:val="16"/>
                <w:lang w:val="es-ES_tradnl"/>
              </w:rPr>
              <w:t>Número de renovaciones (sistema de Madrid).</w:t>
            </w:r>
          </w:p>
        </w:tc>
        <w:tc>
          <w:tcPr>
            <w:tcW w:w="1156" w:type="pct"/>
            <w:shd w:val="clear" w:color="auto" w:fill="FFFFFF"/>
            <w:tcMar>
              <w:top w:w="113" w:type="dxa"/>
            </w:tcMar>
          </w:tcPr>
          <w:p w:rsidR="006F7F41" w:rsidRPr="00C75C7E" w:rsidRDefault="006F7F41" w:rsidP="008F4F69">
            <w:pPr>
              <w:rPr>
                <w:sz w:val="16"/>
                <w:szCs w:val="16"/>
                <w:lang w:val="es-ES_tradnl" w:bidi="th-TH"/>
              </w:rPr>
            </w:pPr>
            <w:r w:rsidRPr="00C75C7E">
              <w:rPr>
                <w:sz w:val="16"/>
                <w:szCs w:val="16"/>
                <w:lang w:val="es-ES_tradnl" w:bidi="th-TH"/>
              </w:rPr>
              <w:t>Estadísticas de la ASEAN en el sistema de Madrid (</w:t>
            </w:r>
            <w:r w:rsidR="00BB5D51">
              <w:rPr>
                <w:sz w:val="16"/>
                <w:szCs w:val="16"/>
                <w:lang w:val="es-ES_tradnl" w:bidi="th-TH"/>
              </w:rPr>
              <w:t>OOJ</w:t>
            </w:r>
            <w:r w:rsidRPr="00C75C7E">
              <w:rPr>
                <w:sz w:val="16"/>
                <w:szCs w:val="16"/>
                <w:lang w:val="es-ES_tradnl" w:bidi="th-TH"/>
              </w:rPr>
              <w:t>).</w:t>
            </w:r>
          </w:p>
          <w:p w:rsidR="006F7F41" w:rsidRPr="00C75C7E" w:rsidRDefault="006F7F41" w:rsidP="008F4F69">
            <w:pPr>
              <w:rPr>
                <w:sz w:val="16"/>
                <w:szCs w:val="16"/>
                <w:lang w:val="es-ES_tradnl" w:bidi="th-TH"/>
              </w:rPr>
            </w:pPr>
          </w:p>
          <w:p w:rsidR="006F7F41" w:rsidRPr="00C75C7E" w:rsidRDefault="006F7F41" w:rsidP="008F4F69">
            <w:pPr>
              <w:rPr>
                <w:sz w:val="16"/>
                <w:szCs w:val="16"/>
                <w:lang w:val="es-ES_tradnl" w:bidi="th-TH"/>
              </w:rPr>
            </w:pPr>
            <w:r w:rsidRPr="00C75C7E">
              <w:rPr>
                <w:sz w:val="16"/>
                <w:szCs w:val="16"/>
                <w:lang w:val="es-ES_tradnl" w:bidi="th-TH"/>
              </w:rPr>
              <w:t>Estadísticas de la ASEAN en el sistema de Madrid, Japón (</w:t>
            </w:r>
            <w:r w:rsidR="00BB5D51">
              <w:rPr>
                <w:sz w:val="16"/>
                <w:szCs w:val="16"/>
                <w:lang w:val="es-ES_tradnl" w:bidi="th-TH"/>
              </w:rPr>
              <w:t>OOJ</w:t>
            </w:r>
            <w:r w:rsidRPr="00C75C7E">
              <w:rPr>
                <w:sz w:val="16"/>
                <w:szCs w:val="16"/>
                <w:lang w:val="es-ES_tradnl" w:bidi="th-TH"/>
              </w:rPr>
              <w:t>).</w:t>
            </w:r>
          </w:p>
        </w:tc>
        <w:tc>
          <w:tcPr>
            <w:tcW w:w="1081" w:type="pct"/>
            <w:tcBorders>
              <w:right w:val="single" w:sz="4" w:space="0" w:color="auto"/>
            </w:tcBorders>
            <w:shd w:val="clear" w:color="auto" w:fill="auto"/>
            <w:tcMar>
              <w:top w:w="113" w:type="dxa"/>
            </w:tcMar>
          </w:tcPr>
          <w:p w:rsidR="006F7F41" w:rsidRPr="00C75C7E" w:rsidRDefault="006F7F41" w:rsidP="008F4F69">
            <w:pPr>
              <w:keepNext/>
              <w:keepLines/>
              <w:tabs>
                <w:tab w:val="left" w:pos="1757"/>
              </w:tabs>
              <w:rPr>
                <w:bCs/>
                <w:sz w:val="16"/>
                <w:szCs w:val="16"/>
                <w:lang w:val="es-ES_tradnl"/>
              </w:rPr>
            </w:pPr>
            <w:r w:rsidRPr="00C75C7E">
              <w:rPr>
                <w:bCs/>
                <w:sz w:val="16"/>
                <w:szCs w:val="16"/>
                <w:lang w:val="es-ES_tradnl"/>
              </w:rPr>
              <w:t>Por determinar (</w:t>
            </w:r>
            <w:r w:rsidR="00BB5D51">
              <w:rPr>
                <w:bCs/>
                <w:sz w:val="16"/>
                <w:szCs w:val="16"/>
                <w:lang w:val="es-ES_tradnl"/>
              </w:rPr>
              <w:t>OOS</w:t>
            </w:r>
            <w:r w:rsidRPr="00C75C7E">
              <w:rPr>
                <w:bCs/>
                <w:sz w:val="16"/>
                <w:szCs w:val="16"/>
                <w:lang w:val="es-ES_tradnl"/>
              </w:rPr>
              <w:t>).</w:t>
            </w:r>
          </w:p>
          <w:p w:rsidR="006F7F41" w:rsidRDefault="006F7F41" w:rsidP="008F4F69">
            <w:pPr>
              <w:keepNext/>
              <w:keepLines/>
              <w:tabs>
                <w:tab w:val="left" w:pos="1757"/>
              </w:tabs>
              <w:rPr>
                <w:bCs/>
                <w:sz w:val="16"/>
                <w:szCs w:val="16"/>
                <w:lang w:val="es-ES_tradnl"/>
              </w:rPr>
            </w:pPr>
          </w:p>
          <w:p w:rsidR="004E3B39" w:rsidRDefault="004E3B39" w:rsidP="008F4F69">
            <w:pPr>
              <w:keepNext/>
              <w:keepLines/>
              <w:tabs>
                <w:tab w:val="left" w:pos="1757"/>
              </w:tabs>
              <w:rPr>
                <w:bCs/>
                <w:sz w:val="16"/>
                <w:szCs w:val="16"/>
                <w:lang w:val="es-ES_tradnl"/>
              </w:rPr>
            </w:pPr>
          </w:p>
          <w:p w:rsidR="004E3B39" w:rsidRPr="00C75C7E" w:rsidRDefault="004E3B39" w:rsidP="008F4F69">
            <w:pPr>
              <w:keepNext/>
              <w:keepLines/>
              <w:tabs>
                <w:tab w:val="left" w:pos="1757"/>
              </w:tabs>
              <w:rPr>
                <w:bCs/>
                <w:sz w:val="16"/>
                <w:szCs w:val="16"/>
                <w:lang w:val="es-ES_tradnl"/>
              </w:rPr>
            </w:pPr>
          </w:p>
          <w:p w:rsidR="006F7F41" w:rsidRPr="00C75C7E" w:rsidRDefault="006F7F41" w:rsidP="008F4F69">
            <w:pPr>
              <w:keepNext/>
              <w:keepLines/>
              <w:tabs>
                <w:tab w:val="left" w:pos="1757"/>
              </w:tabs>
              <w:rPr>
                <w:bCs/>
                <w:sz w:val="16"/>
                <w:szCs w:val="16"/>
                <w:lang w:val="es-ES_tradnl"/>
              </w:rPr>
            </w:pPr>
            <w:r w:rsidRPr="00C75C7E">
              <w:rPr>
                <w:bCs/>
                <w:sz w:val="16"/>
                <w:szCs w:val="16"/>
                <w:lang w:val="es-ES_tradnl"/>
              </w:rPr>
              <w:t>Por determinar (</w:t>
            </w:r>
            <w:r w:rsidR="00BB5D51">
              <w:rPr>
                <w:bCs/>
                <w:sz w:val="16"/>
                <w:szCs w:val="16"/>
                <w:lang w:val="es-ES_tradnl"/>
              </w:rPr>
              <w:t>OOJ</w:t>
            </w:r>
            <w:r w:rsidRPr="00C75C7E">
              <w:rPr>
                <w:bCs/>
                <w:sz w:val="16"/>
                <w:szCs w:val="16"/>
                <w:lang w:val="es-ES_tradnl"/>
              </w:rPr>
              <w:t xml:space="preserve">). </w:t>
            </w:r>
          </w:p>
        </w:tc>
      </w:tr>
      <w:tr w:rsidR="006F7F41" w:rsidRPr="00C75C7E" w:rsidTr="008F4F69">
        <w:trPr>
          <w:cantSplit/>
          <w:trHeight w:val="1438"/>
        </w:trPr>
        <w:tc>
          <w:tcPr>
            <w:tcW w:w="1249" w:type="pct"/>
            <w:shd w:val="clear" w:color="auto" w:fill="auto"/>
            <w:tcMar>
              <w:top w:w="113" w:type="dxa"/>
            </w:tcMar>
          </w:tcPr>
          <w:p w:rsidR="006F7F41" w:rsidRPr="00C75C7E" w:rsidRDefault="006F7F41" w:rsidP="008F4F69">
            <w:pPr>
              <w:rPr>
                <w:sz w:val="16"/>
                <w:szCs w:val="16"/>
                <w:lang w:val="es-ES_tradnl"/>
              </w:rPr>
            </w:pPr>
            <w:r w:rsidRPr="00C75C7E">
              <w:rPr>
                <w:sz w:val="16"/>
                <w:szCs w:val="16"/>
                <w:lang w:val="es-ES_tradnl"/>
              </w:rPr>
              <w:t>II.8. Las controversias nacionales e internacionales en materia de P.I. se evitan o resuelven cada vez con más frecuencia mediante procedimientos de mediación, arbitraje y demás métodos de solución extrajudicial de controversias.</w:t>
            </w:r>
          </w:p>
        </w:tc>
        <w:tc>
          <w:tcPr>
            <w:tcW w:w="1514" w:type="pct"/>
            <w:shd w:val="clear" w:color="auto" w:fill="auto"/>
            <w:tcMar>
              <w:top w:w="113" w:type="dxa"/>
            </w:tcMar>
          </w:tcPr>
          <w:p w:rsidR="006F7F41" w:rsidRPr="00C75C7E" w:rsidRDefault="006F7F41" w:rsidP="008F4F69">
            <w:pPr>
              <w:rPr>
                <w:sz w:val="16"/>
                <w:szCs w:val="16"/>
                <w:lang w:val="es-ES_tradnl"/>
              </w:rPr>
            </w:pPr>
            <w:r w:rsidRPr="00C75C7E">
              <w:rPr>
                <w:sz w:val="16"/>
                <w:szCs w:val="16"/>
                <w:lang w:val="es-ES_tradnl"/>
              </w:rPr>
              <w:t>Se considera cada vez más la posibilidad de utilizar servicios de solución extrajudicial de controversias en las transacciones sobre propiedad intelectual, entre otros medios, valiéndose de los procedimientos de la OMPI.</w:t>
            </w:r>
          </w:p>
        </w:tc>
        <w:tc>
          <w:tcPr>
            <w:tcW w:w="1156" w:type="pct"/>
            <w:shd w:val="clear" w:color="auto" w:fill="FFFFFF"/>
            <w:tcMar>
              <w:top w:w="113" w:type="dxa"/>
            </w:tcMar>
          </w:tcPr>
          <w:p w:rsidR="006F7F41" w:rsidRPr="00C75C7E" w:rsidRDefault="005C037B" w:rsidP="008F4F69">
            <w:pPr>
              <w:rPr>
                <w:sz w:val="16"/>
                <w:szCs w:val="16"/>
                <w:lang w:val="es-ES_tradnl" w:bidi="th-TH"/>
              </w:rPr>
            </w:pPr>
            <w:r>
              <w:rPr>
                <w:sz w:val="16"/>
                <w:szCs w:val="16"/>
                <w:lang w:val="es-ES_tradnl" w:bidi="th-TH"/>
              </w:rPr>
              <w:t>N.d.</w:t>
            </w:r>
            <w:r w:rsidR="006F7F41" w:rsidRPr="00C75C7E">
              <w:rPr>
                <w:sz w:val="16"/>
                <w:szCs w:val="16"/>
                <w:lang w:val="es-ES_tradnl" w:bidi="th-TH"/>
              </w:rPr>
              <w:t xml:space="preserve"> (</w:t>
            </w:r>
            <w:r w:rsidR="00BB5D51">
              <w:rPr>
                <w:sz w:val="16"/>
                <w:szCs w:val="16"/>
                <w:lang w:val="es-ES_tradnl" w:bidi="th-TH"/>
              </w:rPr>
              <w:t>OOB</w:t>
            </w:r>
            <w:r w:rsidR="006F7F41" w:rsidRPr="00C75C7E">
              <w:rPr>
                <w:sz w:val="16"/>
                <w:szCs w:val="16"/>
                <w:lang w:val="es-ES_tradnl" w:bidi="th-TH"/>
              </w:rPr>
              <w:t>).</w:t>
            </w:r>
          </w:p>
          <w:p w:rsidR="006F7F41" w:rsidRPr="00C75C7E" w:rsidRDefault="006F7F41" w:rsidP="008F4F69">
            <w:pPr>
              <w:rPr>
                <w:sz w:val="16"/>
                <w:szCs w:val="16"/>
                <w:lang w:val="es-ES_tradnl" w:bidi="th-TH"/>
              </w:rPr>
            </w:pPr>
          </w:p>
          <w:p w:rsidR="006F7F41" w:rsidRPr="00C75C7E" w:rsidRDefault="006F7F41" w:rsidP="008F4F69">
            <w:pPr>
              <w:rPr>
                <w:sz w:val="16"/>
                <w:szCs w:val="16"/>
                <w:lang w:val="es-ES_tradnl" w:bidi="th-TH"/>
              </w:rPr>
            </w:pPr>
          </w:p>
          <w:p w:rsidR="006F7F41" w:rsidRPr="00C75C7E" w:rsidRDefault="006F7F41" w:rsidP="008F4F69">
            <w:pPr>
              <w:rPr>
                <w:sz w:val="16"/>
                <w:szCs w:val="16"/>
                <w:lang w:val="es-ES_tradnl" w:bidi="th-TH"/>
              </w:rPr>
            </w:pPr>
          </w:p>
          <w:p w:rsidR="006F7F41" w:rsidRPr="00C75C7E" w:rsidRDefault="006F7F41" w:rsidP="008F4F69">
            <w:pPr>
              <w:rPr>
                <w:sz w:val="16"/>
                <w:szCs w:val="16"/>
                <w:lang w:val="es-ES_tradnl" w:bidi="th-TH"/>
              </w:rPr>
            </w:pPr>
          </w:p>
          <w:p w:rsidR="006F7F41" w:rsidRPr="00C75C7E" w:rsidRDefault="006F7F41" w:rsidP="008F4F69">
            <w:pPr>
              <w:rPr>
                <w:sz w:val="16"/>
                <w:szCs w:val="16"/>
                <w:lang w:val="es-ES_tradnl" w:bidi="th-TH"/>
              </w:rPr>
            </w:pPr>
          </w:p>
          <w:p w:rsidR="006F7F41" w:rsidRPr="00C75C7E" w:rsidRDefault="006F7F41" w:rsidP="008F4F69">
            <w:pPr>
              <w:rPr>
                <w:sz w:val="16"/>
                <w:szCs w:val="16"/>
                <w:lang w:val="es-ES_tradnl" w:bidi="th-TH"/>
              </w:rPr>
            </w:pPr>
          </w:p>
        </w:tc>
        <w:tc>
          <w:tcPr>
            <w:tcW w:w="1081" w:type="pct"/>
            <w:tcBorders>
              <w:right w:val="single" w:sz="4" w:space="0" w:color="auto"/>
            </w:tcBorders>
            <w:shd w:val="clear" w:color="auto" w:fill="auto"/>
            <w:tcMar>
              <w:top w:w="113" w:type="dxa"/>
            </w:tcMar>
          </w:tcPr>
          <w:p w:rsidR="006F7F41" w:rsidRPr="00C75C7E" w:rsidRDefault="006F7F41" w:rsidP="008F4F69">
            <w:pPr>
              <w:keepNext/>
              <w:keepLines/>
              <w:tabs>
                <w:tab w:val="left" w:pos="1757"/>
              </w:tabs>
              <w:rPr>
                <w:bCs/>
                <w:sz w:val="16"/>
                <w:szCs w:val="16"/>
                <w:lang w:val="es-ES_tradnl"/>
              </w:rPr>
            </w:pPr>
            <w:r w:rsidRPr="00C75C7E">
              <w:rPr>
                <w:bCs/>
                <w:sz w:val="16"/>
                <w:szCs w:val="16"/>
                <w:lang w:val="es-ES_tradnl"/>
              </w:rPr>
              <w:t xml:space="preserve">Se tramitarán mediante WIPO MAC </w:t>
            </w:r>
            <w:r w:rsidRPr="00C75C7E">
              <w:rPr>
                <w:sz w:val="16"/>
                <w:szCs w:val="16"/>
                <w:lang w:val="es-ES_tradnl" w:bidi="th-TH"/>
              </w:rPr>
              <w:t>(</w:t>
            </w:r>
            <w:r w:rsidR="00BB5D51">
              <w:rPr>
                <w:sz w:val="16"/>
                <w:szCs w:val="16"/>
                <w:lang w:val="es-ES_tradnl" w:bidi="th-TH"/>
              </w:rPr>
              <w:t>OOB</w:t>
            </w:r>
            <w:r w:rsidRPr="00C75C7E">
              <w:rPr>
                <w:sz w:val="16"/>
                <w:szCs w:val="16"/>
                <w:lang w:val="es-ES_tradnl" w:bidi="th-TH"/>
              </w:rPr>
              <w:t xml:space="preserve">) </w:t>
            </w:r>
            <w:r w:rsidRPr="00C75C7E">
              <w:rPr>
                <w:bCs/>
                <w:sz w:val="16"/>
                <w:szCs w:val="16"/>
                <w:lang w:val="es-ES_tradnl"/>
              </w:rPr>
              <w:t xml:space="preserve">30 </w:t>
            </w:r>
            <w:r w:rsidR="004E3B39">
              <w:rPr>
                <w:bCs/>
                <w:sz w:val="16"/>
                <w:szCs w:val="16"/>
                <w:lang w:val="es-ES_tradnl"/>
              </w:rPr>
              <w:t>controversias</w:t>
            </w:r>
            <w:r w:rsidRPr="00C75C7E">
              <w:rPr>
                <w:bCs/>
                <w:sz w:val="16"/>
                <w:szCs w:val="16"/>
                <w:lang w:val="es-ES_tradnl"/>
              </w:rPr>
              <w:t xml:space="preserve"> presentadas por usuarios brasileños en el INPI y 4  presentadas por no residentes en la </w:t>
            </w:r>
            <w:r w:rsidR="00BB5D51">
              <w:rPr>
                <w:bCs/>
                <w:sz w:val="16"/>
                <w:szCs w:val="16"/>
                <w:lang w:val="es-ES_tradnl"/>
              </w:rPr>
              <w:t>OOB</w:t>
            </w:r>
            <w:r w:rsidRPr="00C75C7E">
              <w:rPr>
                <w:bCs/>
                <w:sz w:val="16"/>
                <w:szCs w:val="16"/>
                <w:lang w:val="es-ES_tradnl"/>
              </w:rPr>
              <w:t>.</w:t>
            </w:r>
          </w:p>
          <w:p w:rsidR="006F7F41" w:rsidRPr="00C75C7E" w:rsidRDefault="006F7F41" w:rsidP="008F4F69">
            <w:pPr>
              <w:keepNext/>
              <w:keepLines/>
              <w:tabs>
                <w:tab w:val="left" w:pos="1757"/>
              </w:tabs>
              <w:rPr>
                <w:bCs/>
                <w:sz w:val="16"/>
                <w:szCs w:val="16"/>
                <w:lang w:val="es-ES_tradnl"/>
              </w:rPr>
            </w:pPr>
          </w:p>
          <w:p w:rsidR="006F7F41" w:rsidRPr="00C75C7E" w:rsidRDefault="006F7F41" w:rsidP="008F4F69">
            <w:pPr>
              <w:keepNext/>
              <w:keepLines/>
              <w:tabs>
                <w:tab w:val="left" w:pos="1757"/>
              </w:tabs>
              <w:rPr>
                <w:bCs/>
                <w:sz w:val="16"/>
                <w:szCs w:val="16"/>
                <w:lang w:val="es-ES_tradnl"/>
              </w:rPr>
            </w:pPr>
          </w:p>
        </w:tc>
      </w:tr>
      <w:tr w:rsidR="006F7F41" w:rsidRPr="00C75C7E" w:rsidTr="008F4F69">
        <w:trPr>
          <w:cantSplit/>
          <w:trHeight w:val="1682"/>
        </w:trPr>
        <w:tc>
          <w:tcPr>
            <w:tcW w:w="1249" w:type="pct"/>
            <w:shd w:val="clear" w:color="auto" w:fill="auto"/>
            <w:tcMar>
              <w:top w:w="113" w:type="dxa"/>
            </w:tcMar>
          </w:tcPr>
          <w:p w:rsidR="006F7F41" w:rsidRPr="00C75C7E" w:rsidRDefault="006F7F41" w:rsidP="008F4F69">
            <w:pPr>
              <w:rPr>
                <w:sz w:val="16"/>
                <w:szCs w:val="16"/>
                <w:lang w:val="es-ES_tradnl"/>
              </w:rPr>
            </w:pPr>
            <w:r w:rsidRPr="00C75C7E">
              <w:rPr>
                <w:sz w:val="16"/>
                <w:szCs w:val="16"/>
                <w:lang w:val="es-ES_tradnl"/>
              </w:rPr>
              <w:t>III.2 Mejora de las capacidades en el ámbito de los recursos humanos para hacer frente al amplio espectro de exigencias que supone la utilización eficaz de la P.I. en aras del desarrollo en los países en desarrollo, PMA y países con economías en transición.</w:t>
            </w:r>
          </w:p>
        </w:tc>
        <w:tc>
          <w:tcPr>
            <w:tcW w:w="1514" w:type="pct"/>
            <w:shd w:val="clear" w:color="auto" w:fill="auto"/>
            <w:tcMar>
              <w:top w:w="113" w:type="dxa"/>
            </w:tcMar>
          </w:tcPr>
          <w:p w:rsidR="006F7F41" w:rsidRPr="00C75C7E" w:rsidRDefault="006F7F41" w:rsidP="008F4F69">
            <w:pPr>
              <w:rPr>
                <w:sz w:val="16"/>
                <w:szCs w:val="16"/>
                <w:lang w:val="es-ES_tradnl"/>
              </w:rPr>
            </w:pPr>
            <w:r w:rsidRPr="00C75C7E">
              <w:rPr>
                <w:sz w:val="16"/>
                <w:szCs w:val="16"/>
                <w:lang w:val="es-ES_tradnl"/>
              </w:rPr>
              <w:t>Porcentaje de encargados de la adopción de políticas, funcionarios gubernamentales, profesionales de la P.I. y participantes en talleres con un mayor conocimiento de los OGC y la manera de usar eficazmente la P.I. al servicio del desarrollo.</w:t>
            </w:r>
          </w:p>
        </w:tc>
        <w:tc>
          <w:tcPr>
            <w:tcW w:w="1156" w:type="pct"/>
            <w:shd w:val="clear" w:color="auto" w:fill="FFFFFF"/>
            <w:tcMar>
              <w:top w:w="113" w:type="dxa"/>
            </w:tcMar>
          </w:tcPr>
          <w:p w:rsidR="006F7F41" w:rsidRPr="00C75C7E" w:rsidRDefault="005C037B" w:rsidP="008F4F69">
            <w:pPr>
              <w:rPr>
                <w:sz w:val="16"/>
                <w:szCs w:val="16"/>
                <w:lang w:val="es-ES_tradnl" w:bidi="th-TH"/>
              </w:rPr>
            </w:pPr>
            <w:r>
              <w:rPr>
                <w:sz w:val="16"/>
                <w:szCs w:val="16"/>
                <w:lang w:val="es-ES_tradnl" w:bidi="th-TH"/>
              </w:rPr>
              <w:t>N.d.</w:t>
            </w:r>
            <w:r w:rsidR="006F7F41" w:rsidRPr="00C75C7E">
              <w:rPr>
                <w:sz w:val="16"/>
                <w:szCs w:val="16"/>
                <w:lang w:val="es-ES_tradnl" w:bidi="th-TH"/>
              </w:rPr>
              <w:t xml:space="preserve"> (</w:t>
            </w:r>
            <w:r w:rsidR="00BB5D51">
              <w:rPr>
                <w:sz w:val="16"/>
                <w:szCs w:val="16"/>
                <w:lang w:val="es-ES_tradnl" w:bidi="th-TH"/>
              </w:rPr>
              <w:t>OOB</w:t>
            </w:r>
            <w:r w:rsidR="006F7F41" w:rsidRPr="00C75C7E">
              <w:rPr>
                <w:sz w:val="16"/>
                <w:szCs w:val="16"/>
                <w:lang w:val="es-ES_tradnl" w:bidi="th-TH"/>
              </w:rPr>
              <w:t>).</w:t>
            </w:r>
          </w:p>
          <w:p w:rsidR="006F7F41" w:rsidRPr="00C75C7E" w:rsidRDefault="006F7F41" w:rsidP="008F4F69">
            <w:pPr>
              <w:rPr>
                <w:sz w:val="16"/>
                <w:szCs w:val="16"/>
                <w:lang w:val="es-ES_tradnl" w:bidi="th-TH"/>
              </w:rPr>
            </w:pPr>
          </w:p>
          <w:p w:rsidR="006F7F41" w:rsidRPr="00C75C7E" w:rsidRDefault="005C037B" w:rsidP="008F4F69">
            <w:pPr>
              <w:rPr>
                <w:sz w:val="16"/>
                <w:szCs w:val="16"/>
                <w:lang w:val="es-ES_tradnl" w:bidi="th-TH"/>
              </w:rPr>
            </w:pPr>
            <w:r>
              <w:rPr>
                <w:sz w:val="16"/>
                <w:szCs w:val="16"/>
                <w:lang w:val="es-ES_tradnl" w:bidi="th-TH"/>
              </w:rPr>
              <w:t>N.d.</w:t>
            </w:r>
            <w:r w:rsidR="006F7F41" w:rsidRPr="00C75C7E">
              <w:rPr>
                <w:sz w:val="16"/>
                <w:szCs w:val="16"/>
                <w:lang w:val="es-ES_tradnl" w:bidi="th-TH"/>
              </w:rPr>
              <w:t xml:space="preserve"> (</w:t>
            </w:r>
            <w:r w:rsidR="00BB5D51">
              <w:rPr>
                <w:sz w:val="16"/>
                <w:szCs w:val="16"/>
                <w:lang w:val="es-ES_tradnl" w:bidi="th-TH"/>
              </w:rPr>
              <w:t>OOJ</w:t>
            </w:r>
            <w:r w:rsidR="006F7F41" w:rsidRPr="00C75C7E">
              <w:rPr>
                <w:sz w:val="16"/>
                <w:szCs w:val="16"/>
                <w:lang w:val="es-ES_tradnl" w:bidi="th-TH"/>
              </w:rPr>
              <w:t>).</w:t>
            </w:r>
          </w:p>
          <w:p w:rsidR="006F7F41" w:rsidRPr="00C75C7E" w:rsidRDefault="006F7F41" w:rsidP="008F4F69">
            <w:pPr>
              <w:rPr>
                <w:sz w:val="16"/>
                <w:szCs w:val="16"/>
                <w:lang w:val="es-ES_tradnl" w:bidi="th-TH"/>
              </w:rPr>
            </w:pPr>
            <w:r w:rsidRPr="00C75C7E">
              <w:rPr>
                <w:sz w:val="16"/>
                <w:szCs w:val="16"/>
                <w:lang w:val="es-ES_tradnl" w:bidi="th-TH"/>
              </w:rPr>
              <w:t xml:space="preserve"> </w:t>
            </w:r>
          </w:p>
          <w:p w:rsidR="006F7F41" w:rsidRPr="00C75C7E" w:rsidRDefault="006F7F41" w:rsidP="008F4F69">
            <w:pPr>
              <w:rPr>
                <w:sz w:val="16"/>
                <w:szCs w:val="16"/>
                <w:lang w:val="es-ES_tradnl" w:bidi="th-TH"/>
              </w:rPr>
            </w:pPr>
            <w:r w:rsidRPr="00C75C7E">
              <w:rPr>
                <w:sz w:val="16"/>
                <w:szCs w:val="16"/>
                <w:lang w:val="es-ES_tradnl" w:bidi="th-TH"/>
              </w:rPr>
              <w:t>60% (</w:t>
            </w:r>
            <w:r w:rsidR="00BB5D51">
              <w:rPr>
                <w:sz w:val="16"/>
                <w:szCs w:val="16"/>
                <w:lang w:val="es-ES_tradnl" w:bidi="th-TH"/>
              </w:rPr>
              <w:t>OOS</w:t>
            </w:r>
            <w:r w:rsidRPr="00C75C7E">
              <w:rPr>
                <w:sz w:val="16"/>
                <w:szCs w:val="16"/>
                <w:lang w:val="es-ES_tradnl" w:bidi="th-TH"/>
              </w:rPr>
              <w:t>).</w:t>
            </w:r>
          </w:p>
          <w:p w:rsidR="006F7F41" w:rsidRPr="00C75C7E" w:rsidRDefault="006F7F41" w:rsidP="008F4F69">
            <w:pPr>
              <w:rPr>
                <w:sz w:val="16"/>
                <w:szCs w:val="16"/>
                <w:lang w:val="es-ES_tradnl" w:bidi="th-TH"/>
              </w:rPr>
            </w:pPr>
          </w:p>
          <w:p w:rsidR="006F7F41" w:rsidRPr="00C75C7E" w:rsidRDefault="006F7F41" w:rsidP="008F4F69">
            <w:pPr>
              <w:rPr>
                <w:sz w:val="16"/>
                <w:szCs w:val="16"/>
                <w:lang w:val="es-ES_tradnl" w:bidi="th-TH"/>
              </w:rPr>
            </w:pPr>
          </w:p>
          <w:p w:rsidR="006F7F41" w:rsidRPr="00C75C7E" w:rsidRDefault="006F7F41" w:rsidP="008F4F69">
            <w:pPr>
              <w:rPr>
                <w:sz w:val="16"/>
                <w:szCs w:val="16"/>
                <w:lang w:val="es-ES_tradnl" w:bidi="th-TH"/>
              </w:rPr>
            </w:pPr>
          </w:p>
        </w:tc>
        <w:tc>
          <w:tcPr>
            <w:tcW w:w="1081" w:type="pct"/>
            <w:tcBorders>
              <w:right w:val="single" w:sz="4" w:space="0" w:color="auto"/>
            </w:tcBorders>
            <w:shd w:val="clear" w:color="auto" w:fill="auto"/>
            <w:tcMar>
              <w:top w:w="113" w:type="dxa"/>
            </w:tcMar>
          </w:tcPr>
          <w:p w:rsidR="006F7F41" w:rsidRPr="00C75C7E" w:rsidRDefault="006F7F41" w:rsidP="008F4F69">
            <w:pPr>
              <w:keepNext/>
              <w:keepLines/>
              <w:tabs>
                <w:tab w:val="left" w:pos="1757"/>
              </w:tabs>
              <w:rPr>
                <w:bCs/>
                <w:sz w:val="16"/>
                <w:szCs w:val="16"/>
                <w:lang w:val="es-ES_tradnl"/>
              </w:rPr>
            </w:pPr>
            <w:r w:rsidRPr="00C75C7E">
              <w:rPr>
                <w:bCs/>
                <w:sz w:val="16"/>
                <w:szCs w:val="16"/>
                <w:lang w:val="es-ES_tradnl"/>
              </w:rPr>
              <w:t>75% (</w:t>
            </w:r>
            <w:r w:rsidR="00BB5D51">
              <w:rPr>
                <w:bCs/>
                <w:sz w:val="16"/>
                <w:szCs w:val="16"/>
                <w:lang w:val="es-ES_tradnl"/>
              </w:rPr>
              <w:t>OOB</w:t>
            </w:r>
            <w:r w:rsidRPr="00C75C7E">
              <w:rPr>
                <w:bCs/>
                <w:sz w:val="16"/>
                <w:szCs w:val="16"/>
                <w:lang w:val="es-ES_tradnl"/>
              </w:rPr>
              <w:t>).</w:t>
            </w:r>
          </w:p>
          <w:p w:rsidR="006F7F41" w:rsidRPr="00C75C7E" w:rsidRDefault="006F7F41" w:rsidP="008F4F69">
            <w:pPr>
              <w:keepNext/>
              <w:keepLines/>
              <w:tabs>
                <w:tab w:val="left" w:pos="1757"/>
              </w:tabs>
              <w:rPr>
                <w:bCs/>
                <w:sz w:val="16"/>
                <w:szCs w:val="16"/>
                <w:lang w:val="es-ES_tradnl"/>
              </w:rPr>
            </w:pPr>
          </w:p>
          <w:p w:rsidR="006F7F41" w:rsidRPr="00C75C7E" w:rsidRDefault="006F7F41" w:rsidP="008F4F69">
            <w:pPr>
              <w:keepNext/>
              <w:keepLines/>
              <w:tabs>
                <w:tab w:val="left" w:pos="1757"/>
              </w:tabs>
              <w:rPr>
                <w:bCs/>
                <w:sz w:val="16"/>
                <w:szCs w:val="16"/>
                <w:lang w:val="es-ES_tradnl"/>
              </w:rPr>
            </w:pPr>
            <w:r w:rsidRPr="00C75C7E">
              <w:rPr>
                <w:bCs/>
                <w:sz w:val="16"/>
                <w:szCs w:val="16"/>
                <w:lang w:val="es-ES_tradnl"/>
              </w:rPr>
              <w:t>75% (</w:t>
            </w:r>
            <w:r w:rsidR="00BB5D51">
              <w:rPr>
                <w:bCs/>
                <w:sz w:val="16"/>
                <w:szCs w:val="16"/>
                <w:lang w:val="es-ES_tradnl"/>
              </w:rPr>
              <w:t>OOJ</w:t>
            </w:r>
            <w:r w:rsidRPr="00C75C7E">
              <w:rPr>
                <w:bCs/>
                <w:sz w:val="16"/>
                <w:szCs w:val="16"/>
                <w:lang w:val="es-ES_tradnl"/>
              </w:rPr>
              <w:t>).</w:t>
            </w:r>
          </w:p>
          <w:p w:rsidR="006F7F41" w:rsidRPr="00C75C7E" w:rsidRDefault="006F7F41" w:rsidP="008F4F69">
            <w:pPr>
              <w:keepNext/>
              <w:keepLines/>
              <w:tabs>
                <w:tab w:val="left" w:pos="1757"/>
              </w:tabs>
              <w:rPr>
                <w:bCs/>
                <w:sz w:val="16"/>
                <w:szCs w:val="16"/>
                <w:lang w:val="es-ES_tradnl"/>
              </w:rPr>
            </w:pPr>
          </w:p>
          <w:p w:rsidR="006F7F41" w:rsidRPr="00C75C7E" w:rsidRDefault="006F7F41" w:rsidP="008F4F69">
            <w:pPr>
              <w:keepNext/>
              <w:keepLines/>
              <w:tabs>
                <w:tab w:val="left" w:pos="1757"/>
              </w:tabs>
              <w:rPr>
                <w:bCs/>
                <w:sz w:val="16"/>
                <w:szCs w:val="16"/>
                <w:lang w:val="es-ES_tradnl"/>
              </w:rPr>
            </w:pPr>
            <w:r w:rsidRPr="00C75C7E">
              <w:rPr>
                <w:bCs/>
                <w:sz w:val="16"/>
                <w:szCs w:val="16"/>
                <w:lang w:val="es-ES_tradnl"/>
              </w:rPr>
              <w:t>70% (</w:t>
            </w:r>
            <w:r w:rsidR="00BB5D51">
              <w:rPr>
                <w:bCs/>
                <w:sz w:val="16"/>
                <w:szCs w:val="16"/>
                <w:lang w:val="es-ES_tradnl"/>
              </w:rPr>
              <w:t>OOS</w:t>
            </w:r>
            <w:r w:rsidRPr="00C75C7E">
              <w:rPr>
                <w:bCs/>
                <w:sz w:val="16"/>
                <w:szCs w:val="16"/>
                <w:lang w:val="es-ES_tradnl"/>
              </w:rPr>
              <w:t>).</w:t>
            </w:r>
          </w:p>
        </w:tc>
      </w:tr>
      <w:tr w:rsidR="006F7F41" w:rsidRPr="00C75C7E" w:rsidTr="008F4F69">
        <w:trPr>
          <w:cantSplit/>
          <w:trHeight w:val="1137"/>
        </w:trPr>
        <w:tc>
          <w:tcPr>
            <w:tcW w:w="1249" w:type="pct"/>
            <w:shd w:val="clear" w:color="auto" w:fill="auto"/>
            <w:tcMar>
              <w:top w:w="113" w:type="dxa"/>
            </w:tcMar>
          </w:tcPr>
          <w:p w:rsidR="006F7F41" w:rsidRPr="00C75C7E" w:rsidRDefault="006F7F41" w:rsidP="008F4F69">
            <w:pPr>
              <w:rPr>
                <w:sz w:val="16"/>
                <w:szCs w:val="16"/>
                <w:lang w:val="es-ES_tradnl"/>
              </w:rPr>
            </w:pPr>
            <w:r w:rsidRPr="00C75C7E">
              <w:rPr>
                <w:sz w:val="16"/>
                <w:szCs w:val="16"/>
                <w:lang w:val="es-ES_tradnl"/>
              </w:rPr>
              <w:t>IV.2. Mejora del acceso y uso de información y conocimientos de P.I. por parte de instituciones de P.I. y el público para fomentar la innovación y la creatividad.</w:t>
            </w:r>
          </w:p>
        </w:tc>
        <w:tc>
          <w:tcPr>
            <w:tcW w:w="1514" w:type="pct"/>
            <w:shd w:val="clear" w:color="auto" w:fill="auto"/>
            <w:tcMar>
              <w:top w:w="113" w:type="dxa"/>
            </w:tcMar>
          </w:tcPr>
          <w:p w:rsidR="006F7F41" w:rsidRPr="00C75C7E" w:rsidRDefault="006F7F41" w:rsidP="008F4F69">
            <w:pPr>
              <w:rPr>
                <w:sz w:val="16"/>
                <w:szCs w:val="16"/>
                <w:lang w:val="es-ES_tradnl"/>
              </w:rPr>
            </w:pPr>
            <w:r w:rsidRPr="00C75C7E">
              <w:rPr>
                <w:sz w:val="16"/>
                <w:szCs w:val="16"/>
                <w:lang w:val="es-ES_tradnl"/>
              </w:rPr>
              <w:t>Número de usuarios de las bases de datos mundiales de la OMPI:</w:t>
            </w:r>
          </w:p>
          <w:p w:rsidR="006F7F41" w:rsidRPr="00C75C7E" w:rsidRDefault="006F7F41" w:rsidP="008F4F69">
            <w:pPr>
              <w:rPr>
                <w:sz w:val="16"/>
                <w:szCs w:val="16"/>
                <w:lang w:val="es-ES_tradnl"/>
              </w:rPr>
            </w:pPr>
            <w:r w:rsidRPr="00C75C7E">
              <w:rPr>
                <w:sz w:val="16"/>
                <w:szCs w:val="16"/>
                <w:lang w:val="es-ES_tradnl"/>
              </w:rPr>
              <w:t>PATENTSCOPE y Base Mundial de Datos sobre Marcas.</w:t>
            </w:r>
          </w:p>
        </w:tc>
        <w:tc>
          <w:tcPr>
            <w:tcW w:w="1156" w:type="pct"/>
            <w:shd w:val="clear" w:color="auto" w:fill="FFFFFF"/>
            <w:tcMar>
              <w:top w:w="113" w:type="dxa"/>
            </w:tcMar>
          </w:tcPr>
          <w:p w:rsidR="006F7F41" w:rsidRPr="00C75C7E" w:rsidRDefault="006F7F41" w:rsidP="008F4F69">
            <w:pPr>
              <w:rPr>
                <w:sz w:val="16"/>
                <w:szCs w:val="16"/>
                <w:lang w:val="es-ES_tradnl" w:bidi="th-TH"/>
              </w:rPr>
            </w:pPr>
            <w:r w:rsidRPr="00C75C7E">
              <w:rPr>
                <w:sz w:val="16"/>
                <w:szCs w:val="16"/>
                <w:lang w:val="es-ES_tradnl" w:bidi="th-TH"/>
              </w:rPr>
              <w:t>Estadísticas al final de 2013 (</w:t>
            </w:r>
            <w:r w:rsidR="00BB5D51">
              <w:rPr>
                <w:sz w:val="16"/>
                <w:szCs w:val="16"/>
                <w:lang w:val="es-ES_tradnl" w:bidi="th-TH"/>
              </w:rPr>
              <w:t>OOB</w:t>
            </w:r>
            <w:r w:rsidRPr="00C75C7E">
              <w:rPr>
                <w:sz w:val="16"/>
                <w:szCs w:val="16"/>
                <w:lang w:val="es-ES_tradnl" w:bidi="th-TH"/>
              </w:rPr>
              <w:t>).</w:t>
            </w:r>
          </w:p>
          <w:p w:rsidR="006F7F41" w:rsidRPr="00C75C7E" w:rsidRDefault="006F7F41" w:rsidP="008F4F69">
            <w:pPr>
              <w:rPr>
                <w:sz w:val="16"/>
                <w:szCs w:val="16"/>
                <w:lang w:val="es-ES_tradnl" w:bidi="th-TH"/>
              </w:rPr>
            </w:pPr>
          </w:p>
          <w:p w:rsidR="006F7F41" w:rsidRPr="00C75C7E" w:rsidRDefault="006F7F41" w:rsidP="008F4F69">
            <w:pPr>
              <w:rPr>
                <w:sz w:val="16"/>
                <w:szCs w:val="16"/>
                <w:lang w:val="es-ES_tradnl" w:bidi="th-TH"/>
              </w:rPr>
            </w:pPr>
            <w:r w:rsidRPr="00C75C7E">
              <w:rPr>
                <w:sz w:val="16"/>
                <w:szCs w:val="16"/>
                <w:lang w:val="es-ES_tradnl" w:bidi="th-TH"/>
              </w:rPr>
              <w:t>Estadísticas al final de 2013 (</w:t>
            </w:r>
            <w:r w:rsidR="00BB5D51">
              <w:rPr>
                <w:sz w:val="16"/>
                <w:szCs w:val="16"/>
                <w:lang w:val="es-ES_tradnl" w:bidi="th-TH"/>
              </w:rPr>
              <w:t>OOJ</w:t>
            </w:r>
            <w:r w:rsidRPr="00C75C7E">
              <w:rPr>
                <w:sz w:val="16"/>
                <w:szCs w:val="16"/>
                <w:lang w:val="es-ES_tradnl" w:bidi="th-TH"/>
              </w:rPr>
              <w:t>).</w:t>
            </w:r>
          </w:p>
          <w:p w:rsidR="006F7F41" w:rsidRPr="00C75C7E" w:rsidRDefault="006F7F41" w:rsidP="008F4F69">
            <w:pPr>
              <w:rPr>
                <w:sz w:val="16"/>
                <w:szCs w:val="16"/>
                <w:lang w:val="es-ES_tradnl" w:bidi="th-TH"/>
              </w:rPr>
            </w:pPr>
          </w:p>
          <w:p w:rsidR="006F7F41" w:rsidRPr="00C75C7E" w:rsidRDefault="006F7F41" w:rsidP="008F4F69">
            <w:pPr>
              <w:rPr>
                <w:sz w:val="16"/>
                <w:szCs w:val="16"/>
                <w:lang w:val="es-ES_tradnl" w:bidi="th-TH"/>
              </w:rPr>
            </w:pPr>
            <w:r w:rsidRPr="00C75C7E">
              <w:rPr>
                <w:sz w:val="16"/>
                <w:szCs w:val="16"/>
                <w:lang w:val="es-ES_tradnl" w:bidi="th-TH"/>
              </w:rPr>
              <w:t>Por determinar (</w:t>
            </w:r>
            <w:r w:rsidR="00BB5D51">
              <w:rPr>
                <w:sz w:val="16"/>
                <w:szCs w:val="16"/>
                <w:lang w:val="es-ES_tradnl" w:bidi="th-TH"/>
              </w:rPr>
              <w:t>OOS</w:t>
            </w:r>
            <w:r w:rsidRPr="00C75C7E">
              <w:rPr>
                <w:sz w:val="16"/>
                <w:szCs w:val="16"/>
                <w:lang w:val="es-ES_tradnl" w:bidi="th-TH"/>
              </w:rPr>
              <w:t>).</w:t>
            </w:r>
          </w:p>
        </w:tc>
        <w:tc>
          <w:tcPr>
            <w:tcW w:w="1081" w:type="pct"/>
            <w:tcBorders>
              <w:right w:val="single" w:sz="4" w:space="0" w:color="auto"/>
            </w:tcBorders>
            <w:shd w:val="clear" w:color="auto" w:fill="auto"/>
            <w:tcMar>
              <w:top w:w="113" w:type="dxa"/>
            </w:tcMar>
          </w:tcPr>
          <w:p w:rsidR="006F7F41" w:rsidRPr="00C75C7E" w:rsidRDefault="006F7F41" w:rsidP="008F4F69">
            <w:pPr>
              <w:keepNext/>
              <w:keepLines/>
              <w:tabs>
                <w:tab w:val="left" w:pos="1757"/>
              </w:tabs>
              <w:rPr>
                <w:bCs/>
                <w:sz w:val="16"/>
                <w:szCs w:val="16"/>
                <w:lang w:val="es-ES_tradnl"/>
              </w:rPr>
            </w:pPr>
            <w:r w:rsidRPr="00C75C7E">
              <w:rPr>
                <w:bCs/>
                <w:sz w:val="16"/>
                <w:szCs w:val="16"/>
                <w:lang w:val="es-ES_tradnl"/>
              </w:rPr>
              <w:t>5% (</w:t>
            </w:r>
            <w:r w:rsidR="00BB5D51">
              <w:rPr>
                <w:bCs/>
                <w:sz w:val="16"/>
                <w:szCs w:val="16"/>
                <w:lang w:val="es-ES_tradnl"/>
              </w:rPr>
              <w:t>OOB</w:t>
            </w:r>
            <w:r w:rsidRPr="00C75C7E">
              <w:rPr>
                <w:bCs/>
                <w:sz w:val="16"/>
                <w:szCs w:val="16"/>
                <w:lang w:val="es-ES_tradnl"/>
              </w:rPr>
              <w:t>).</w:t>
            </w:r>
          </w:p>
          <w:p w:rsidR="006F7F41" w:rsidRPr="00C75C7E" w:rsidRDefault="006F7F41" w:rsidP="008F4F69">
            <w:pPr>
              <w:keepNext/>
              <w:keepLines/>
              <w:tabs>
                <w:tab w:val="left" w:pos="1757"/>
              </w:tabs>
              <w:rPr>
                <w:bCs/>
                <w:sz w:val="16"/>
                <w:szCs w:val="16"/>
                <w:lang w:val="es-ES_tradnl"/>
              </w:rPr>
            </w:pPr>
          </w:p>
          <w:p w:rsidR="006F7F41" w:rsidRPr="00C75C7E" w:rsidRDefault="006F7F41" w:rsidP="008F4F69">
            <w:pPr>
              <w:keepNext/>
              <w:keepLines/>
              <w:tabs>
                <w:tab w:val="left" w:pos="1757"/>
              </w:tabs>
              <w:rPr>
                <w:bCs/>
                <w:sz w:val="16"/>
                <w:szCs w:val="16"/>
                <w:lang w:val="es-ES_tradnl"/>
              </w:rPr>
            </w:pPr>
          </w:p>
          <w:p w:rsidR="006F7F41" w:rsidRPr="00C75C7E" w:rsidRDefault="006F7F41" w:rsidP="008F4F69">
            <w:pPr>
              <w:keepNext/>
              <w:keepLines/>
              <w:tabs>
                <w:tab w:val="left" w:pos="1757"/>
              </w:tabs>
              <w:rPr>
                <w:bCs/>
                <w:sz w:val="16"/>
                <w:szCs w:val="16"/>
                <w:lang w:val="es-ES_tradnl"/>
              </w:rPr>
            </w:pPr>
            <w:r w:rsidRPr="00C75C7E">
              <w:rPr>
                <w:bCs/>
                <w:sz w:val="16"/>
                <w:szCs w:val="16"/>
                <w:lang w:val="es-ES_tradnl"/>
              </w:rPr>
              <w:t xml:space="preserve">Aumento del 5% </w:t>
            </w:r>
            <w:r w:rsidRPr="00C75C7E">
              <w:rPr>
                <w:sz w:val="16"/>
                <w:szCs w:val="16"/>
                <w:lang w:val="es-ES_tradnl" w:bidi="th-TH"/>
              </w:rPr>
              <w:t>(</w:t>
            </w:r>
            <w:r w:rsidR="00BB5D51">
              <w:rPr>
                <w:sz w:val="16"/>
                <w:szCs w:val="16"/>
                <w:lang w:val="es-ES_tradnl" w:bidi="th-TH"/>
              </w:rPr>
              <w:t>OOJ</w:t>
            </w:r>
            <w:r w:rsidRPr="00C75C7E">
              <w:rPr>
                <w:sz w:val="16"/>
                <w:szCs w:val="16"/>
                <w:lang w:val="es-ES_tradnl" w:bidi="th-TH"/>
              </w:rPr>
              <w:t>).</w:t>
            </w:r>
          </w:p>
          <w:p w:rsidR="006F7F41" w:rsidRDefault="006F7F41" w:rsidP="008F4F69">
            <w:pPr>
              <w:keepNext/>
              <w:keepLines/>
              <w:tabs>
                <w:tab w:val="left" w:pos="1757"/>
              </w:tabs>
              <w:rPr>
                <w:bCs/>
                <w:sz w:val="16"/>
                <w:szCs w:val="16"/>
                <w:lang w:val="es-ES_tradnl"/>
              </w:rPr>
            </w:pPr>
          </w:p>
          <w:p w:rsidR="004E3B39" w:rsidRPr="00C75C7E" w:rsidRDefault="004E3B39" w:rsidP="008F4F69">
            <w:pPr>
              <w:keepNext/>
              <w:keepLines/>
              <w:tabs>
                <w:tab w:val="left" w:pos="1757"/>
              </w:tabs>
              <w:rPr>
                <w:bCs/>
                <w:sz w:val="16"/>
                <w:szCs w:val="16"/>
                <w:lang w:val="es-ES_tradnl"/>
              </w:rPr>
            </w:pPr>
          </w:p>
          <w:p w:rsidR="006F7F41" w:rsidRPr="00C75C7E" w:rsidRDefault="006F7F41" w:rsidP="008F4F69">
            <w:pPr>
              <w:keepNext/>
              <w:keepLines/>
              <w:tabs>
                <w:tab w:val="left" w:pos="1757"/>
              </w:tabs>
              <w:rPr>
                <w:bCs/>
                <w:sz w:val="16"/>
                <w:szCs w:val="16"/>
                <w:lang w:val="es-ES_tradnl"/>
              </w:rPr>
            </w:pPr>
            <w:r w:rsidRPr="00C75C7E">
              <w:rPr>
                <w:bCs/>
                <w:sz w:val="16"/>
                <w:szCs w:val="16"/>
                <w:lang w:val="es-ES_tradnl"/>
              </w:rPr>
              <w:t>Aumento del 5% en los usuarios de la ASEAN (</w:t>
            </w:r>
            <w:r w:rsidR="00BB5D51">
              <w:rPr>
                <w:bCs/>
                <w:sz w:val="16"/>
                <w:szCs w:val="16"/>
                <w:lang w:val="es-ES_tradnl"/>
              </w:rPr>
              <w:t>OOS</w:t>
            </w:r>
            <w:r w:rsidRPr="00C75C7E">
              <w:rPr>
                <w:bCs/>
                <w:sz w:val="16"/>
                <w:szCs w:val="16"/>
                <w:lang w:val="es-ES_tradnl"/>
              </w:rPr>
              <w:t>).</w:t>
            </w:r>
          </w:p>
        </w:tc>
      </w:tr>
      <w:tr w:rsidR="006F7F41" w:rsidRPr="00C75C7E" w:rsidTr="008F4F69">
        <w:trPr>
          <w:cantSplit/>
          <w:trHeight w:val="1315"/>
        </w:trPr>
        <w:tc>
          <w:tcPr>
            <w:tcW w:w="1249" w:type="pct"/>
            <w:shd w:val="clear" w:color="auto" w:fill="auto"/>
            <w:tcMar>
              <w:top w:w="113" w:type="dxa"/>
            </w:tcMar>
          </w:tcPr>
          <w:p w:rsidR="006F7F41" w:rsidRPr="00C75C7E" w:rsidRDefault="006F7F41" w:rsidP="00F50540">
            <w:pPr>
              <w:rPr>
                <w:sz w:val="16"/>
                <w:szCs w:val="16"/>
                <w:lang w:val="es-ES_tradnl"/>
              </w:rPr>
            </w:pPr>
            <w:r w:rsidRPr="00C75C7E">
              <w:rPr>
                <w:sz w:val="16"/>
                <w:szCs w:val="16"/>
                <w:lang w:val="es-ES_tradnl"/>
              </w:rPr>
              <w:t>VII.</w:t>
            </w:r>
            <w:r w:rsidR="00F50540">
              <w:rPr>
                <w:sz w:val="16"/>
                <w:szCs w:val="16"/>
                <w:lang w:val="es-ES_tradnl"/>
              </w:rPr>
              <w:t xml:space="preserve">2 </w:t>
            </w:r>
            <w:r w:rsidRPr="00C75C7E">
              <w:rPr>
                <w:sz w:val="16"/>
                <w:szCs w:val="16"/>
                <w:lang w:val="es-ES_tradnl"/>
              </w:rPr>
              <w:t xml:space="preserve"> </w:t>
            </w:r>
            <w:r w:rsidR="00F50540" w:rsidRPr="00F50540">
              <w:rPr>
                <w:sz w:val="16"/>
                <w:szCs w:val="16"/>
                <w:lang w:val="es-ES_tradnl"/>
              </w:rPr>
              <w:t>Plataformas y herra</w:t>
            </w:r>
            <w:r w:rsidR="00F50540">
              <w:rPr>
                <w:sz w:val="16"/>
                <w:szCs w:val="16"/>
                <w:lang w:val="es-ES_tradnl"/>
              </w:rPr>
              <w:t>-</w:t>
            </w:r>
            <w:r w:rsidR="00F50540" w:rsidRPr="00F50540">
              <w:rPr>
                <w:sz w:val="16"/>
                <w:szCs w:val="16"/>
                <w:lang w:val="es-ES_tradnl"/>
              </w:rPr>
              <w:t>mientas de P.I. utilizadas para la transferencia de conocimiento y la difusión y adaptación de tecnología de los países desarrollados en los países en desarrollo, en particular en los menos adelantados, con el fin de atender los desafíos mundiales</w:t>
            </w:r>
            <w:r w:rsidRPr="00C75C7E">
              <w:rPr>
                <w:sz w:val="16"/>
                <w:szCs w:val="16"/>
                <w:lang w:val="es-ES_tradnl"/>
              </w:rPr>
              <w:t>.</w:t>
            </w:r>
          </w:p>
        </w:tc>
        <w:tc>
          <w:tcPr>
            <w:tcW w:w="1514" w:type="pct"/>
            <w:shd w:val="clear" w:color="auto" w:fill="auto"/>
            <w:tcMar>
              <w:top w:w="113" w:type="dxa"/>
            </w:tcMar>
          </w:tcPr>
          <w:p w:rsidR="006F7F41" w:rsidRPr="00C75C7E" w:rsidRDefault="006F7F41" w:rsidP="008F4F69">
            <w:pPr>
              <w:rPr>
                <w:sz w:val="16"/>
                <w:szCs w:val="16"/>
                <w:lang w:val="es-ES_tradnl"/>
              </w:rPr>
            </w:pPr>
            <w:r w:rsidRPr="00C75C7E">
              <w:rPr>
                <w:sz w:val="16"/>
                <w:szCs w:val="16"/>
                <w:lang w:val="es-ES_tradnl"/>
              </w:rPr>
              <w:t>Participación de las partes interesadas en plataformas de la OMPI como WIPO GREEN y WIPO Re:Search.</w:t>
            </w:r>
          </w:p>
        </w:tc>
        <w:tc>
          <w:tcPr>
            <w:tcW w:w="1156" w:type="pct"/>
            <w:shd w:val="clear" w:color="auto" w:fill="FFFFFF"/>
            <w:tcMar>
              <w:top w:w="113" w:type="dxa"/>
            </w:tcMar>
          </w:tcPr>
          <w:p w:rsidR="006F7F41" w:rsidRPr="00C75C7E" w:rsidRDefault="005C037B" w:rsidP="008F4F69">
            <w:pPr>
              <w:rPr>
                <w:sz w:val="16"/>
                <w:szCs w:val="16"/>
                <w:lang w:val="es-ES_tradnl" w:bidi="th-TH"/>
              </w:rPr>
            </w:pPr>
            <w:r>
              <w:rPr>
                <w:sz w:val="16"/>
                <w:szCs w:val="16"/>
                <w:lang w:val="es-ES_tradnl" w:bidi="th-TH"/>
              </w:rPr>
              <w:t>N.d.</w:t>
            </w:r>
            <w:r w:rsidR="006F7F41" w:rsidRPr="00C75C7E">
              <w:rPr>
                <w:sz w:val="16"/>
                <w:szCs w:val="16"/>
                <w:lang w:val="es-ES_tradnl" w:bidi="th-TH"/>
              </w:rPr>
              <w:t xml:space="preserve"> (</w:t>
            </w:r>
            <w:r w:rsidR="00BB5D51">
              <w:rPr>
                <w:sz w:val="16"/>
                <w:szCs w:val="16"/>
                <w:lang w:val="es-ES_tradnl" w:bidi="th-TH"/>
              </w:rPr>
              <w:t>OOB</w:t>
            </w:r>
            <w:r w:rsidR="006F7F41" w:rsidRPr="00C75C7E">
              <w:rPr>
                <w:sz w:val="16"/>
                <w:szCs w:val="16"/>
                <w:lang w:val="es-ES_tradnl" w:bidi="th-TH"/>
              </w:rPr>
              <w:t>).</w:t>
            </w:r>
          </w:p>
          <w:p w:rsidR="006F7F41" w:rsidRPr="00C75C7E" w:rsidRDefault="006F7F41" w:rsidP="008F4F69">
            <w:pPr>
              <w:rPr>
                <w:sz w:val="16"/>
                <w:szCs w:val="16"/>
                <w:lang w:val="es-ES_tradnl" w:bidi="th-TH"/>
              </w:rPr>
            </w:pPr>
          </w:p>
          <w:p w:rsidR="006F7F41" w:rsidRPr="00C75C7E" w:rsidRDefault="006F7F41" w:rsidP="008F4F69">
            <w:pPr>
              <w:rPr>
                <w:sz w:val="16"/>
                <w:szCs w:val="16"/>
                <w:lang w:val="es-ES_tradnl" w:bidi="th-TH"/>
              </w:rPr>
            </w:pPr>
          </w:p>
          <w:p w:rsidR="006F7F41" w:rsidRPr="00C75C7E" w:rsidRDefault="006F7F41" w:rsidP="008F4F69">
            <w:pPr>
              <w:rPr>
                <w:sz w:val="16"/>
                <w:szCs w:val="16"/>
                <w:lang w:val="es-ES_tradnl" w:bidi="th-TH"/>
              </w:rPr>
            </w:pPr>
          </w:p>
          <w:p w:rsidR="006F7F41" w:rsidRPr="00C75C7E" w:rsidRDefault="006F7F41" w:rsidP="008F4F69">
            <w:pPr>
              <w:rPr>
                <w:sz w:val="16"/>
                <w:szCs w:val="16"/>
                <w:lang w:val="es-ES_tradnl" w:bidi="th-TH"/>
              </w:rPr>
            </w:pPr>
          </w:p>
          <w:p w:rsidR="006F7F41" w:rsidRPr="00C75C7E" w:rsidRDefault="006F7F41" w:rsidP="008F4F69">
            <w:pPr>
              <w:rPr>
                <w:sz w:val="16"/>
                <w:szCs w:val="16"/>
                <w:lang w:val="es-ES_tradnl" w:bidi="th-TH"/>
              </w:rPr>
            </w:pPr>
          </w:p>
          <w:p w:rsidR="006F7F41" w:rsidRPr="00C75C7E" w:rsidRDefault="005C037B" w:rsidP="008F4F69">
            <w:pPr>
              <w:rPr>
                <w:sz w:val="16"/>
                <w:szCs w:val="16"/>
                <w:lang w:val="es-ES_tradnl" w:bidi="th-TH"/>
              </w:rPr>
            </w:pPr>
            <w:r>
              <w:rPr>
                <w:sz w:val="16"/>
                <w:szCs w:val="16"/>
                <w:lang w:val="es-ES_tradnl" w:bidi="th-TH"/>
              </w:rPr>
              <w:t>N.d.</w:t>
            </w:r>
            <w:r w:rsidR="006F7F41" w:rsidRPr="00C75C7E">
              <w:rPr>
                <w:sz w:val="16"/>
                <w:szCs w:val="16"/>
                <w:lang w:val="es-ES_tradnl" w:bidi="th-TH"/>
              </w:rPr>
              <w:t xml:space="preserve"> (</w:t>
            </w:r>
            <w:r w:rsidR="00BB5D51">
              <w:rPr>
                <w:sz w:val="16"/>
                <w:szCs w:val="16"/>
                <w:lang w:val="es-ES_tradnl" w:bidi="th-TH"/>
              </w:rPr>
              <w:t>OOJ</w:t>
            </w:r>
            <w:r w:rsidR="006F7F41" w:rsidRPr="00C75C7E">
              <w:rPr>
                <w:sz w:val="16"/>
                <w:szCs w:val="16"/>
                <w:lang w:val="es-ES_tradnl" w:bidi="th-TH"/>
              </w:rPr>
              <w:t>).</w:t>
            </w:r>
          </w:p>
          <w:p w:rsidR="006F7F41" w:rsidRPr="00C75C7E" w:rsidRDefault="006F7F41" w:rsidP="008F4F69">
            <w:pPr>
              <w:rPr>
                <w:sz w:val="16"/>
                <w:szCs w:val="16"/>
                <w:lang w:val="es-ES_tradnl" w:bidi="th-TH"/>
              </w:rPr>
            </w:pPr>
          </w:p>
          <w:p w:rsidR="006F7F41" w:rsidRPr="00C75C7E" w:rsidRDefault="006F7F41" w:rsidP="008F4F69">
            <w:pPr>
              <w:rPr>
                <w:sz w:val="16"/>
                <w:szCs w:val="16"/>
                <w:lang w:val="es-ES_tradnl" w:bidi="th-TH"/>
              </w:rPr>
            </w:pPr>
          </w:p>
          <w:p w:rsidR="006F7F41" w:rsidRPr="00C75C7E" w:rsidRDefault="006F7F41" w:rsidP="008F4F69">
            <w:pPr>
              <w:rPr>
                <w:sz w:val="16"/>
                <w:szCs w:val="16"/>
                <w:lang w:val="es-ES_tradnl" w:bidi="th-TH"/>
              </w:rPr>
            </w:pPr>
          </w:p>
          <w:p w:rsidR="006F7F41" w:rsidRPr="00C75C7E" w:rsidRDefault="006F7F41" w:rsidP="008F4F69">
            <w:pPr>
              <w:rPr>
                <w:sz w:val="16"/>
                <w:szCs w:val="16"/>
                <w:lang w:val="es-ES_tradnl" w:bidi="th-TH"/>
              </w:rPr>
            </w:pPr>
          </w:p>
          <w:p w:rsidR="006F7F41" w:rsidRPr="00C75C7E" w:rsidRDefault="006F7F41" w:rsidP="008F4F69">
            <w:pPr>
              <w:rPr>
                <w:sz w:val="16"/>
                <w:szCs w:val="16"/>
                <w:lang w:val="es-ES_tradnl" w:bidi="th-TH"/>
              </w:rPr>
            </w:pPr>
            <w:r w:rsidRPr="00C75C7E">
              <w:rPr>
                <w:sz w:val="16"/>
                <w:szCs w:val="16"/>
                <w:lang w:val="es-ES_tradnl" w:bidi="th-TH"/>
              </w:rPr>
              <w:t>Por determinar (</w:t>
            </w:r>
            <w:r w:rsidR="00BB5D51">
              <w:rPr>
                <w:sz w:val="16"/>
                <w:szCs w:val="16"/>
                <w:lang w:val="es-ES_tradnl" w:bidi="th-TH"/>
              </w:rPr>
              <w:t>OOS</w:t>
            </w:r>
            <w:r w:rsidRPr="00C75C7E">
              <w:rPr>
                <w:sz w:val="16"/>
                <w:szCs w:val="16"/>
                <w:lang w:val="es-ES_tradnl" w:bidi="th-TH"/>
              </w:rPr>
              <w:t>).</w:t>
            </w:r>
          </w:p>
        </w:tc>
        <w:tc>
          <w:tcPr>
            <w:tcW w:w="1081" w:type="pct"/>
            <w:tcBorders>
              <w:right w:val="single" w:sz="4" w:space="0" w:color="auto"/>
            </w:tcBorders>
            <w:shd w:val="clear" w:color="auto" w:fill="auto"/>
            <w:tcMar>
              <w:top w:w="113" w:type="dxa"/>
            </w:tcMar>
          </w:tcPr>
          <w:p w:rsidR="006F7F41" w:rsidRPr="00C75C7E" w:rsidRDefault="006F7F41" w:rsidP="008F4F69">
            <w:pPr>
              <w:keepNext/>
              <w:keepLines/>
              <w:tabs>
                <w:tab w:val="left" w:pos="1757"/>
              </w:tabs>
              <w:rPr>
                <w:bCs/>
                <w:sz w:val="16"/>
                <w:szCs w:val="16"/>
                <w:lang w:val="es-ES_tradnl"/>
              </w:rPr>
            </w:pPr>
            <w:r w:rsidRPr="00C75C7E">
              <w:rPr>
                <w:bCs/>
                <w:sz w:val="16"/>
                <w:szCs w:val="16"/>
                <w:lang w:val="es-ES_tradnl"/>
              </w:rPr>
              <w:t xml:space="preserve">30 tecnologías desarrolladas por instituciones y empresas brasileñas en WIPO GREEN </w:t>
            </w:r>
            <w:r w:rsidRPr="00C75C7E">
              <w:rPr>
                <w:sz w:val="16"/>
                <w:szCs w:val="16"/>
                <w:lang w:val="es-ES_tradnl" w:bidi="th-TH"/>
              </w:rPr>
              <w:t>(</w:t>
            </w:r>
            <w:r w:rsidR="00BB5D51">
              <w:rPr>
                <w:sz w:val="16"/>
                <w:szCs w:val="16"/>
                <w:lang w:val="es-ES_tradnl" w:bidi="th-TH"/>
              </w:rPr>
              <w:t>OOB</w:t>
            </w:r>
            <w:r w:rsidRPr="00C75C7E">
              <w:rPr>
                <w:sz w:val="16"/>
                <w:szCs w:val="16"/>
                <w:lang w:val="es-ES_tradnl" w:bidi="th-TH"/>
              </w:rPr>
              <w:t>).</w:t>
            </w:r>
          </w:p>
          <w:p w:rsidR="006F7F41" w:rsidRPr="00C75C7E" w:rsidRDefault="006F7F41" w:rsidP="008F4F69">
            <w:pPr>
              <w:keepNext/>
              <w:keepLines/>
              <w:tabs>
                <w:tab w:val="left" w:pos="1757"/>
              </w:tabs>
              <w:rPr>
                <w:bCs/>
                <w:sz w:val="16"/>
                <w:szCs w:val="16"/>
                <w:lang w:val="es-ES_tradnl"/>
              </w:rPr>
            </w:pPr>
          </w:p>
          <w:p w:rsidR="006F7F41" w:rsidRPr="00C75C7E" w:rsidRDefault="006F7F41" w:rsidP="008F4F69">
            <w:pPr>
              <w:keepNext/>
              <w:keepLines/>
              <w:tabs>
                <w:tab w:val="left" w:pos="1757"/>
              </w:tabs>
              <w:rPr>
                <w:bCs/>
                <w:sz w:val="16"/>
                <w:szCs w:val="16"/>
                <w:lang w:val="es-ES_tradnl"/>
              </w:rPr>
            </w:pPr>
            <w:r w:rsidRPr="00C75C7E">
              <w:rPr>
                <w:bCs/>
                <w:sz w:val="16"/>
                <w:szCs w:val="16"/>
                <w:lang w:val="es-ES_tradnl"/>
              </w:rPr>
              <w:t>Nuevos casos en WIPO GREEN o nueva participación en WIPO Re:Search (</w:t>
            </w:r>
            <w:r w:rsidR="00BB5D51">
              <w:rPr>
                <w:bCs/>
                <w:sz w:val="16"/>
                <w:szCs w:val="16"/>
                <w:lang w:val="es-ES_tradnl"/>
              </w:rPr>
              <w:t>OOJ</w:t>
            </w:r>
            <w:r w:rsidRPr="00C75C7E">
              <w:rPr>
                <w:bCs/>
                <w:sz w:val="16"/>
                <w:szCs w:val="16"/>
                <w:lang w:val="es-ES_tradnl"/>
              </w:rPr>
              <w:t>).</w:t>
            </w:r>
          </w:p>
          <w:p w:rsidR="006F7F41" w:rsidRPr="00C75C7E" w:rsidRDefault="006F7F41" w:rsidP="008F4F69">
            <w:pPr>
              <w:keepNext/>
              <w:keepLines/>
              <w:tabs>
                <w:tab w:val="left" w:pos="1757"/>
              </w:tabs>
              <w:rPr>
                <w:bCs/>
                <w:sz w:val="16"/>
                <w:szCs w:val="16"/>
                <w:lang w:val="es-ES_tradnl"/>
              </w:rPr>
            </w:pPr>
          </w:p>
          <w:p w:rsidR="006F7F41" w:rsidRPr="00C75C7E" w:rsidRDefault="006F7F41" w:rsidP="008F4F69">
            <w:pPr>
              <w:keepNext/>
              <w:keepLines/>
              <w:tabs>
                <w:tab w:val="left" w:pos="1757"/>
              </w:tabs>
              <w:rPr>
                <w:bCs/>
                <w:sz w:val="16"/>
                <w:szCs w:val="16"/>
                <w:lang w:val="es-ES_tradnl"/>
              </w:rPr>
            </w:pPr>
            <w:r w:rsidRPr="00C75C7E">
              <w:rPr>
                <w:bCs/>
                <w:sz w:val="16"/>
                <w:szCs w:val="16"/>
                <w:lang w:val="es-ES_tradnl"/>
              </w:rPr>
              <w:t>Aumento del 5% en los usuarios de la ASEAN (</w:t>
            </w:r>
            <w:r w:rsidR="00BB5D51">
              <w:rPr>
                <w:bCs/>
                <w:sz w:val="16"/>
                <w:szCs w:val="16"/>
                <w:lang w:val="es-ES_tradnl"/>
              </w:rPr>
              <w:t>OOS</w:t>
            </w:r>
            <w:r w:rsidRPr="00C75C7E">
              <w:rPr>
                <w:bCs/>
                <w:sz w:val="16"/>
                <w:szCs w:val="16"/>
                <w:lang w:val="es-ES_tradnl"/>
              </w:rPr>
              <w:t>).</w:t>
            </w:r>
          </w:p>
        </w:tc>
      </w:tr>
      <w:tr w:rsidR="006F7F41" w:rsidRPr="00C75C7E" w:rsidTr="008F4F69">
        <w:trPr>
          <w:cantSplit/>
          <w:trHeight w:val="1560"/>
        </w:trPr>
        <w:tc>
          <w:tcPr>
            <w:tcW w:w="1249" w:type="pct"/>
            <w:shd w:val="clear" w:color="auto" w:fill="auto"/>
            <w:tcMar>
              <w:top w:w="113" w:type="dxa"/>
            </w:tcMar>
          </w:tcPr>
          <w:p w:rsidR="006F7F41" w:rsidRPr="00C75C7E" w:rsidRDefault="006F7F41" w:rsidP="008F4F69">
            <w:pPr>
              <w:rPr>
                <w:sz w:val="16"/>
                <w:szCs w:val="16"/>
                <w:lang w:val="es-ES_tradnl"/>
              </w:rPr>
            </w:pPr>
            <w:r w:rsidRPr="00C75C7E">
              <w:rPr>
                <w:sz w:val="16"/>
                <w:szCs w:val="16"/>
                <w:lang w:val="es-ES_tradnl"/>
              </w:rPr>
              <w:lastRenderedPageBreak/>
              <w:t>VIII.1. Comunicación más eficaz con el público en general acerca de la P.I. y la función de la OMPI.</w:t>
            </w:r>
          </w:p>
        </w:tc>
        <w:tc>
          <w:tcPr>
            <w:tcW w:w="1514" w:type="pct"/>
            <w:shd w:val="clear" w:color="auto" w:fill="auto"/>
            <w:tcMar>
              <w:top w:w="113" w:type="dxa"/>
            </w:tcMar>
          </w:tcPr>
          <w:p w:rsidR="006F7F41" w:rsidRPr="00C75C7E" w:rsidRDefault="006F7F41" w:rsidP="008F4F69">
            <w:pPr>
              <w:rPr>
                <w:sz w:val="16"/>
                <w:szCs w:val="16"/>
                <w:lang w:val="es-ES_tradnl"/>
              </w:rPr>
            </w:pPr>
            <w:r w:rsidRPr="00C75C7E">
              <w:rPr>
                <w:sz w:val="16"/>
                <w:szCs w:val="16"/>
                <w:lang w:val="es-ES_tradnl"/>
              </w:rPr>
              <w:t xml:space="preserve">Aumento del tráfico en el sitio web de las Oficinas de la OMPI en el exterior. </w:t>
            </w:r>
          </w:p>
        </w:tc>
        <w:tc>
          <w:tcPr>
            <w:tcW w:w="1156" w:type="pct"/>
            <w:shd w:val="clear" w:color="auto" w:fill="FFFFFF"/>
            <w:tcMar>
              <w:top w:w="113" w:type="dxa"/>
            </w:tcMar>
          </w:tcPr>
          <w:p w:rsidR="006F7F41" w:rsidRPr="00C75C7E" w:rsidRDefault="006F7F41" w:rsidP="008F4F69">
            <w:pPr>
              <w:rPr>
                <w:sz w:val="16"/>
                <w:szCs w:val="16"/>
                <w:lang w:val="es-ES_tradnl" w:bidi="th-TH"/>
              </w:rPr>
            </w:pPr>
            <w:r w:rsidRPr="00C75C7E">
              <w:rPr>
                <w:sz w:val="16"/>
                <w:szCs w:val="16"/>
                <w:lang w:val="es-ES_tradnl" w:bidi="th-TH"/>
              </w:rPr>
              <w:t>Por determinar (</w:t>
            </w:r>
            <w:r w:rsidR="00BB5D51">
              <w:rPr>
                <w:sz w:val="16"/>
                <w:szCs w:val="16"/>
                <w:lang w:val="es-ES_tradnl" w:bidi="th-TH"/>
              </w:rPr>
              <w:t>OOB</w:t>
            </w:r>
            <w:r w:rsidRPr="00C75C7E">
              <w:rPr>
                <w:sz w:val="16"/>
                <w:szCs w:val="16"/>
                <w:lang w:val="es-ES_tradnl" w:bidi="th-TH"/>
              </w:rPr>
              <w:t>).</w:t>
            </w:r>
          </w:p>
          <w:p w:rsidR="006F7F41" w:rsidRPr="00C75C7E" w:rsidRDefault="006F7F41" w:rsidP="008F4F69">
            <w:pPr>
              <w:rPr>
                <w:sz w:val="16"/>
                <w:szCs w:val="16"/>
                <w:lang w:val="es-ES_tradnl" w:bidi="th-TH"/>
              </w:rPr>
            </w:pPr>
          </w:p>
          <w:p w:rsidR="006F7F41" w:rsidRPr="00C75C7E" w:rsidRDefault="006F7F41" w:rsidP="008F4F69">
            <w:pPr>
              <w:rPr>
                <w:sz w:val="16"/>
                <w:szCs w:val="16"/>
                <w:lang w:val="es-ES_tradnl" w:bidi="th-TH"/>
              </w:rPr>
            </w:pPr>
          </w:p>
          <w:p w:rsidR="006F7F41" w:rsidRPr="00C75C7E" w:rsidRDefault="006F7F41" w:rsidP="008F4F69">
            <w:pPr>
              <w:rPr>
                <w:sz w:val="16"/>
                <w:szCs w:val="16"/>
                <w:lang w:val="es-ES_tradnl" w:bidi="th-TH"/>
              </w:rPr>
            </w:pPr>
            <w:r w:rsidRPr="00C75C7E">
              <w:rPr>
                <w:sz w:val="16"/>
                <w:szCs w:val="16"/>
                <w:lang w:val="es-ES_tradnl" w:bidi="th-TH"/>
              </w:rPr>
              <w:t>Por determinar (</w:t>
            </w:r>
            <w:r w:rsidR="00BB5D51">
              <w:rPr>
                <w:sz w:val="16"/>
                <w:szCs w:val="16"/>
                <w:lang w:val="es-ES_tradnl" w:bidi="th-TH"/>
              </w:rPr>
              <w:t>OOJ</w:t>
            </w:r>
            <w:r w:rsidRPr="00C75C7E">
              <w:rPr>
                <w:sz w:val="16"/>
                <w:szCs w:val="16"/>
                <w:lang w:val="es-ES_tradnl" w:bidi="th-TH"/>
              </w:rPr>
              <w:t>).</w:t>
            </w:r>
          </w:p>
          <w:p w:rsidR="006F7F41" w:rsidRPr="00C75C7E" w:rsidRDefault="006F7F41" w:rsidP="008F4F69">
            <w:pPr>
              <w:rPr>
                <w:sz w:val="16"/>
                <w:szCs w:val="16"/>
                <w:lang w:val="es-ES_tradnl" w:bidi="th-TH"/>
              </w:rPr>
            </w:pPr>
          </w:p>
          <w:p w:rsidR="006F7F41" w:rsidRPr="00C75C7E" w:rsidRDefault="006F7F41" w:rsidP="008F4F69">
            <w:pPr>
              <w:rPr>
                <w:sz w:val="16"/>
                <w:szCs w:val="16"/>
                <w:lang w:val="es-ES_tradnl" w:bidi="th-TH"/>
              </w:rPr>
            </w:pPr>
            <w:r w:rsidRPr="00C75C7E">
              <w:rPr>
                <w:sz w:val="16"/>
                <w:szCs w:val="16"/>
                <w:lang w:val="es-ES_tradnl" w:bidi="th-TH"/>
              </w:rPr>
              <w:t>Por determinar (</w:t>
            </w:r>
            <w:r w:rsidR="00BB5D51">
              <w:rPr>
                <w:sz w:val="16"/>
                <w:szCs w:val="16"/>
                <w:lang w:val="es-ES_tradnl" w:bidi="th-TH"/>
              </w:rPr>
              <w:t>OOS</w:t>
            </w:r>
            <w:r w:rsidRPr="00C75C7E">
              <w:rPr>
                <w:sz w:val="16"/>
                <w:szCs w:val="16"/>
                <w:lang w:val="es-ES_tradnl" w:bidi="th-TH"/>
              </w:rPr>
              <w:t>).</w:t>
            </w:r>
          </w:p>
        </w:tc>
        <w:tc>
          <w:tcPr>
            <w:tcW w:w="1081" w:type="pct"/>
            <w:tcBorders>
              <w:right w:val="single" w:sz="4" w:space="0" w:color="auto"/>
            </w:tcBorders>
            <w:shd w:val="clear" w:color="auto" w:fill="auto"/>
            <w:tcMar>
              <w:top w:w="113" w:type="dxa"/>
            </w:tcMar>
          </w:tcPr>
          <w:p w:rsidR="006F7F41" w:rsidRPr="00C75C7E" w:rsidRDefault="006F7F41" w:rsidP="008F4F69">
            <w:pPr>
              <w:keepNext/>
              <w:keepLines/>
              <w:tabs>
                <w:tab w:val="left" w:pos="1757"/>
              </w:tabs>
              <w:rPr>
                <w:bCs/>
                <w:sz w:val="16"/>
                <w:szCs w:val="16"/>
                <w:lang w:val="es-ES_tradnl"/>
              </w:rPr>
            </w:pPr>
            <w:r w:rsidRPr="00C75C7E">
              <w:rPr>
                <w:bCs/>
                <w:sz w:val="16"/>
                <w:szCs w:val="16"/>
                <w:lang w:val="es-ES_tradnl"/>
              </w:rPr>
              <w:t xml:space="preserve">Aumento del 5% en el tráfico del Brasil </w:t>
            </w:r>
            <w:r w:rsidRPr="00C75C7E">
              <w:rPr>
                <w:sz w:val="16"/>
                <w:szCs w:val="16"/>
                <w:lang w:val="es-ES_tradnl" w:bidi="th-TH"/>
              </w:rPr>
              <w:t>(</w:t>
            </w:r>
            <w:r w:rsidR="00BB5D51">
              <w:rPr>
                <w:sz w:val="16"/>
                <w:szCs w:val="16"/>
                <w:lang w:val="es-ES_tradnl" w:bidi="th-TH"/>
              </w:rPr>
              <w:t>OOB</w:t>
            </w:r>
            <w:r w:rsidRPr="00C75C7E">
              <w:rPr>
                <w:sz w:val="16"/>
                <w:szCs w:val="16"/>
                <w:lang w:val="es-ES_tradnl" w:bidi="th-TH"/>
              </w:rPr>
              <w:t>).</w:t>
            </w:r>
          </w:p>
          <w:p w:rsidR="006F7F41" w:rsidRPr="00C75C7E" w:rsidRDefault="006F7F41" w:rsidP="008F4F69">
            <w:pPr>
              <w:keepNext/>
              <w:keepLines/>
              <w:tabs>
                <w:tab w:val="left" w:pos="1757"/>
              </w:tabs>
              <w:rPr>
                <w:bCs/>
                <w:sz w:val="16"/>
                <w:szCs w:val="16"/>
                <w:lang w:val="es-ES_tradnl"/>
              </w:rPr>
            </w:pPr>
          </w:p>
          <w:p w:rsidR="006F7F41" w:rsidRPr="00C75C7E" w:rsidRDefault="006F7F41" w:rsidP="008F4F69">
            <w:pPr>
              <w:tabs>
                <w:tab w:val="left" w:pos="1757"/>
              </w:tabs>
              <w:rPr>
                <w:sz w:val="16"/>
                <w:szCs w:val="16"/>
                <w:lang w:val="es-ES_tradnl" w:bidi="th-TH"/>
              </w:rPr>
            </w:pPr>
            <w:r w:rsidRPr="00C75C7E">
              <w:rPr>
                <w:sz w:val="16"/>
                <w:szCs w:val="16"/>
                <w:lang w:val="es-ES_tradnl" w:bidi="th-TH"/>
              </w:rPr>
              <w:t>5% (</w:t>
            </w:r>
            <w:r w:rsidR="00BB5D51">
              <w:rPr>
                <w:sz w:val="16"/>
                <w:szCs w:val="16"/>
                <w:lang w:val="es-ES_tradnl" w:bidi="th-TH"/>
              </w:rPr>
              <w:t>OOJ</w:t>
            </w:r>
            <w:r w:rsidRPr="00C75C7E">
              <w:rPr>
                <w:sz w:val="16"/>
                <w:szCs w:val="16"/>
                <w:lang w:val="es-ES_tradnl" w:bidi="th-TH"/>
              </w:rPr>
              <w:t>).</w:t>
            </w:r>
          </w:p>
          <w:p w:rsidR="006F7F41" w:rsidRPr="00C75C7E" w:rsidRDefault="006F7F41" w:rsidP="008F4F69">
            <w:pPr>
              <w:keepNext/>
              <w:keepLines/>
              <w:tabs>
                <w:tab w:val="left" w:pos="1757"/>
              </w:tabs>
              <w:rPr>
                <w:bCs/>
                <w:sz w:val="16"/>
                <w:szCs w:val="16"/>
                <w:lang w:val="es-ES_tradnl"/>
              </w:rPr>
            </w:pPr>
          </w:p>
          <w:p w:rsidR="006F7F41" w:rsidRPr="00C75C7E" w:rsidRDefault="006F7F41" w:rsidP="008F4F69">
            <w:pPr>
              <w:keepNext/>
              <w:keepLines/>
              <w:tabs>
                <w:tab w:val="left" w:pos="1757"/>
              </w:tabs>
              <w:rPr>
                <w:bCs/>
                <w:sz w:val="16"/>
                <w:szCs w:val="16"/>
                <w:lang w:val="es-ES_tradnl"/>
              </w:rPr>
            </w:pPr>
            <w:r w:rsidRPr="00C75C7E">
              <w:rPr>
                <w:bCs/>
                <w:sz w:val="16"/>
                <w:szCs w:val="16"/>
                <w:lang w:val="es-ES_tradnl"/>
              </w:rPr>
              <w:t xml:space="preserve">Aumento del 5% en el tráfico de la región de la ASEAN </w:t>
            </w:r>
            <w:r w:rsidRPr="00C75C7E">
              <w:rPr>
                <w:sz w:val="16"/>
                <w:szCs w:val="16"/>
                <w:lang w:val="es-ES_tradnl" w:bidi="th-TH"/>
              </w:rPr>
              <w:t>(</w:t>
            </w:r>
            <w:r w:rsidR="00BB5D51">
              <w:rPr>
                <w:sz w:val="16"/>
                <w:szCs w:val="16"/>
                <w:lang w:val="es-ES_tradnl" w:bidi="th-TH"/>
              </w:rPr>
              <w:t>OOS</w:t>
            </w:r>
            <w:r w:rsidRPr="00C75C7E">
              <w:rPr>
                <w:sz w:val="16"/>
                <w:szCs w:val="16"/>
                <w:lang w:val="es-ES_tradnl" w:bidi="th-TH"/>
              </w:rPr>
              <w:t>).</w:t>
            </w:r>
          </w:p>
        </w:tc>
      </w:tr>
      <w:tr w:rsidR="006F7F41" w:rsidRPr="00C75C7E" w:rsidTr="008F4F69">
        <w:trPr>
          <w:cantSplit/>
          <w:trHeight w:val="1315"/>
        </w:trPr>
        <w:tc>
          <w:tcPr>
            <w:tcW w:w="1249" w:type="pct"/>
            <w:shd w:val="clear" w:color="auto" w:fill="auto"/>
            <w:tcMar>
              <w:top w:w="113" w:type="dxa"/>
            </w:tcMar>
          </w:tcPr>
          <w:p w:rsidR="006F7F41" w:rsidRPr="00C75C7E" w:rsidRDefault="006F7F41" w:rsidP="008F4F69">
            <w:pPr>
              <w:rPr>
                <w:sz w:val="16"/>
                <w:szCs w:val="16"/>
                <w:lang w:val="es-ES_tradnl"/>
              </w:rPr>
            </w:pPr>
          </w:p>
        </w:tc>
        <w:tc>
          <w:tcPr>
            <w:tcW w:w="1514" w:type="pct"/>
            <w:shd w:val="clear" w:color="auto" w:fill="auto"/>
            <w:tcMar>
              <w:top w:w="113" w:type="dxa"/>
            </w:tcMar>
          </w:tcPr>
          <w:p w:rsidR="006F7F41" w:rsidRPr="00C75C7E" w:rsidRDefault="006F7F41" w:rsidP="008F4F69">
            <w:pPr>
              <w:rPr>
                <w:sz w:val="16"/>
                <w:szCs w:val="16"/>
                <w:lang w:val="es-ES_tradnl"/>
              </w:rPr>
            </w:pPr>
            <w:r w:rsidRPr="00C75C7E">
              <w:rPr>
                <w:sz w:val="16"/>
                <w:szCs w:val="16"/>
                <w:lang w:val="es-ES_tradnl"/>
              </w:rPr>
              <w:t>Porcentaje de opiniones favorables de las partes interesadas sobre la misión, las actividades y la imagen institucional de la OMPI.</w:t>
            </w:r>
          </w:p>
        </w:tc>
        <w:tc>
          <w:tcPr>
            <w:tcW w:w="1156" w:type="pct"/>
            <w:shd w:val="clear" w:color="auto" w:fill="FFFFFF"/>
            <w:tcMar>
              <w:top w:w="113" w:type="dxa"/>
            </w:tcMar>
          </w:tcPr>
          <w:p w:rsidR="006F7F41" w:rsidRPr="00C75C7E" w:rsidRDefault="005C037B" w:rsidP="008F4F69">
            <w:pPr>
              <w:rPr>
                <w:sz w:val="16"/>
                <w:szCs w:val="16"/>
                <w:lang w:val="es-ES_tradnl" w:bidi="th-TH"/>
              </w:rPr>
            </w:pPr>
            <w:r>
              <w:rPr>
                <w:sz w:val="16"/>
                <w:szCs w:val="16"/>
                <w:lang w:val="es-ES_tradnl" w:bidi="th-TH"/>
              </w:rPr>
              <w:t>N.d.</w:t>
            </w:r>
            <w:r w:rsidR="006F7F41" w:rsidRPr="00C75C7E">
              <w:rPr>
                <w:sz w:val="16"/>
                <w:szCs w:val="16"/>
                <w:lang w:val="es-ES_tradnl" w:bidi="th-TH"/>
              </w:rPr>
              <w:t xml:space="preserve"> (</w:t>
            </w:r>
            <w:r w:rsidR="00BB5D51">
              <w:rPr>
                <w:sz w:val="16"/>
                <w:szCs w:val="16"/>
                <w:lang w:val="es-ES_tradnl" w:bidi="th-TH"/>
              </w:rPr>
              <w:t>OOB</w:t>
            </w:r>
            <w:r w:rsidR="006F7F41" w:rsidRPr="00C75C7E">
              <w:rPr>
                <w:sz w:val="16"/>
                <w:szCs w:val="16"/>
                <w:lang w:val="es-ES_tradnl" w:bidi="th-TH"/>
              </w:rPr>
              <w:t>).</w:t>
            </w:r>
          </w:p>
          <w:p w:rsidR="006F7F41" w:rsidRPr="00C75C7E" w:rsidRDefault="006F7F41" w:rsidP="008F4F69">
            <w:pPr>
              <w:rPr>
                <w:sz w:val="16"/>
                <w:szCs w:val="16"/>
                <w:lang w:val="es-ES_tradnl" w:bidi="th-TH"/>
              </w:rPr>
            </w:pPr>
          </w:p>
          <w:p w:rsidR="006F7F41" w:rsidRPr="00C75C7E" w:rsidRDefault="005C037B" w:rsidP="008F4F69">
            <w:pPr>
              <w:rPr>
                <w:sz w:val="16"/>
                <w:szCs w:val="16"/>
                <w:lang w:val="es-ES_tradnl" w:bidi="th-TH"/>
              </w:rPr>
            </w:pPr>
            <w:r>
              <w:rPr>
                <w:sz w:val="16"/>
                <w:szCs w:val="16"/>
                <w:lang w:val="es-ES_tradnl" w:bidi="th-TH"/>
              </w:rPr>
              <w:t>N.d.</w:t>
            </w:r>
            <w:r w:rsidR="006F7F41" w:rsidRPr="00C75C7E">
              <w:rPr>
                <w:sz w:val="16"/>
                <w:szCs w:val="16"/>
                <w:lang w:val="es-ES_tradnl" w:bidi="th-TH"/>
              </w:rPr>
              <w:t xml:space="preserve"> (</w:t>
            </w:r>
            <w:r w:rsidR="00BB5D51">
              <w:rPr>
                <w:sz w:val="16"/>
                <w:szCs w:val="16"/>
                <w:lang w:val="es-ES_tradnl" w:bidi="th-TH"/>
              </w:rPr>
              <w:t>OOJ</w:t>
            </w:r>
            <w:r w:rsidR="006F7F41" w:rsidRPr="00C75C7E">
              <w:rPr>
                <w:sz w:val="16"/>
                <w:szCs w:val="16"/>
                <w:lang w:val="es-ES_tradnl" w:bidi="th-TH"/>
              </w:rPr>
              <w:t>).</w:t>
            </w:r>
          </w:p>
          <w:p w:rsidR="006F7F41" w:rsidRPr="00C75C7E" w:rsidRDefault="006F7F41" w:rsidP="008F4F69">
            <w:pPr>
              <w:rPr>
                <w:sz w:val="16"/>
                <w:szCs w:val="16"/>
                <w:lang w:val="es-ES_tradnl" w:bidi="th-TH"/>
              </w:rPr>
            </w:pPr>
          </w:p>
          <w:p w:rsidR="006F7F41" w:rsidRPr="00C75C7E" w:rsidRDefault="005C037B" w:rsidP="008F4F69">
            <w:pPr>
              <w:rPr>
                <w:sz w:val="16"/>
                <w:szCs w:val="16"/>
                <w:lang w:val="es-ES_tradnl" w:bidi="th-TH"/>
              </w:rPr>
            </w:pPr>
            <w:r>
              <w:rPr>
                <w:sz w:val="16"/>
                <w:szCs w:val="16"/>
                <w:lang w:val="es-ES_tradnl" w:bidi="th-TH"/>
              </w:rPr>
              <w:t>N.d.</w:t>
            </w:r>
            <w:r w:rsidR="006F7F41" w:rsidRPr="00C75C7E">
              <w:rPr>
                <w:sz w:val="16"/>
                <w:szCs w:val="16"/>
                <w:lang w:val="es-ES_tradnl" w:bidi="th-TH"/>
              </w:rPr>
              <w:t xml:space="preserve"> (</w:t>
            </w:r>
            <w:r w:rsidR="00BB5D51">
              <w:rPr>
                <w:sz w:val="16"/>
                <w:szCs w:val="16"/>
                <w:lang w:val="es-ES_tradnl" w:bidi="th-TH"/>
              </w:rPr>
              <w:t>OOS</w:t>
            </w:r>
            <w:r w:rsidR="006F7F41" w:rsidRPr="00C75C7E">
              <w:rPr>
                <w:sz w:val="16"/>
                <w:szCs w:val="16"/>
                <w:lang w:val="es-ES_tradnl" w:bidi="th-TH"/>
              </w:rPr>
              <w:t>).</w:t>
            </w:r>
          </w:p>
        </w:tc>
        <w:tc>
          <w:tcPr>
            <w:tcW w:w="1081" w:type="pct"/>
            <w:tcBorders>
              <w:right w:val="single" w:sz="4" w:space="0" w:color="auto"/>
            </w:tcBorders>
            <w:shd w:val="clear" w:color="auto" w:fill="auto"/>
            <w:tcMar>
              <w:top w:w="113" w:type="dxa"/>
            </w:tcMar>
          </w:tcPr>
          <w:p w:rsidR="006F7F41" w:rsidRPr="00C75C7E" w:rsidRDefault="006F7F41" w:rsidP="008F4F69">
            <w:pPr>
              <w:keepNext/>
              <w:keepLines/>
              <w:tabs>
                <w:tab w:val="left" w:pos="1757"/>
              </w:tabs>
              <w:rPr>
                <w:bCs/>
                <w:sz w:val="16"/>
                <w:szCs w:val="16"/>
                <w:lang w:val="es-ES_tradnl"/>
              </w:rPr>
            </w:pPr>
            <w:r w:rsidRPr="00C75C7E">
              <w:rPr>
                <w:bCs/>
                <w:sz w:val="16"/>
                <w:szCs w:val="16"/>
                <w:lang w:val="es-ES_tradnl"/>
              </w:rPr>
              <w:t>75% (</w:t>
            </w:r>
            <w:r w:rsidR="00BB5D51">
              <w:rPr>
                <w:bCs/>
                <w:sz w:val="16"/>
                <w:szCs w:val="16"/>
                <w:lang w:val="es-ES_tradnl"/>
              </w:rPr>
              <w:t>OOB</w:t>
            </w:r>
            <w:r w:rsidRPr="00C75C7E">
              <w:rPr>
                <w:bCs/>
                <w:sz w:val="16"/>
                <w:szCs w:val="16"/>
                <w:lang w:val="es-ES_tradnl"/>
              </w:rPr>
              <w:t xml:space="preserve">). </w:t>
            </w:r>
          </w:p>
          <w:p w:rsidR="006F7F41" w:rsidRPr="00C75C7E" w:rsidRDefault="006F7F41" w:rsidP="008F4F69">
            <w:pPr>
              <w:keepNext/>
              <w:keepLines/>
              <w:tabs>
                <w:tab w:val="left" w:pos="1757"/>
              </w:tabs>
              <w:rPr>
                <w:bCs/>
                <w:sz w:val="16"/>
                <w:szCs w:val="16"/>
                <w:lang w:val="es-ES_tradnl"/>
              </w:rPr>
            </w:pPr>
          </w:p>
          <w:p w:rsidR="006F7F41" w:rsidRPr="00C75C7E" w:rsidRDefault="006F7F41" w:rsidP="008F4F69">
            <w:pPr>
              <w:tabs>
                <w:tab w:val="left" w:pos="1757"/>
              </w:tabs>
              <w:rPr>
                <w:sz w:val="16"/>
                <w:szCs w:val="16"/>
                <w:lang w:val="es-ES_tradnl" w:bidi="th-TH"/>
              </w:rPr>
            </w:pPr>
            <w:r w:rsidRPr="00C75C7E">
              <w:rPr>
                <w:sz w:val="16"/>
                <w:szCs w:val="16"/>
                <w:lang w:val="es-ES_tradnl" w:bidi="th-TH"/>
              </w:rPr>
              <w:t>75% (</w:t>
            </w:r>
            <w:r w:rsidR="00BB5D51">
              <w:rPr>
                <w:sz w:val="16"/>
                <w:szCs w:val="16"/>
                <w:lang w:val="es-ES_tradnl" w:bidi="th-TH"/>
              </w:rPr>
              <w:t>OOJ</w:t>
            </w:r>
            <w:r w:rsidRPr="00C75C7E">
              <w:rPr>
                <w:sz w:val="16"/>
                <w:szCs w:val="16"/>
                <w:lang w:val="es-ES_tradnl" w:bidi="th-TH"/>
              </w:rPr>
              <w:t>).</w:t>
            </w:r>
          </w:p>
          <w:p w:rsidR="006F7F41" w:rsidRPr="00C75C7E" w:rsidRDefault="006F7F41" w:rsidP="008F4F69">
            <w:pPr>
              <w:keepNext/>
              <w:keepLines/>
              <w:tabs>
                <w:tab w:val="left" w:pos="1757"/>
              </w:tabs>
              <w:rPr>
                <w:bCs/>
                <w:sz w:val="16"/>
                <w:szCs w:val="16"/>
                <w:lang w:val="es-ES_tradnl"/>
              </w:rPr>
            </w:pPr>
          </w:p>
          <w:p w:rsidR="006F7F41" w:rsidRPr="00C75C7E" w:rsidRDefault="006F7F41" w:rsidP="008F4F69">
            <w:pPr>
              <w:keepNext/>
              <w:keepLines/>
              <w:tabs>
                <w:tab w:val="left" w:pos="1757"/>
              </w:tabs>
              <w:rPr>
                <w:bCs/>
                <w:sz w:val="16"/>
                <w:szCs w:val="16"/>
                <w:lang w:val="es-ES_tradnl"/>
              </w:rPr>
            </w:pPr>
            <w:r w:rsidRPr="00C75C7E">
              <w:rPr>
                <w:bCs/>
                <w:sz w:val="16"/>
                <w:szCs w:val="16"/>
                <w:lang w:val="es-ES_tradnl"/>
              </w:rPr>
              <w:t>&gt; 70% de participantes en principales actividades de la OMPI (</w:t>
            </w:r>
            <w:r w:rsidR="00BB5D51">
              <w:rPr>
                <w:bCs/>
                <w:sz w:val="16"/>
                <w:szCs w:val="16"/>
                <w:lang w:val="es-ES_tradnl"/>
              </w:rPr>
              <w:t>OOS</w:t>
            </w:r>
            <w:r w:rsidRPr="00C75C7E">
              <w:rPr>
                <w:bCs/>
                <w:sz w:val="16"/>
                <w:szCs w:val="16"/>
                <w:lang w:val="es-ES_tradnl"/>
              </w:rPr>
              <w:t>).</w:t>
            </w:r>
          </w:p>
        </w:tc>
      </w:tr>
      <w:tr w:rsidR="006F7F41" w:rsidRPr="00C75C7E" w:rsidTr="008F4F69">
        <w:trPr>
          <w:cantSplit/>
          <w:trHeight w:val="1315"/>
        </w:trPr>
        <w:tc>
          <w:tcPr>
            <w:tcW w:w="1249" w:type="pct"/>
            <w:shd w:val="clear" w:color="auto" w:fill="auto"/>
            <w:tcMar>
              <w:top w:w="113" w:type="dxa"/>
            </w:tcMar>
          </w:tcPr>
          <w:p w:rsidR="006F7F41" w:rsidRPr="00C75C7E" w:rsidRDefault="006F7F41" w:rsidP="008F4F69">
            <w:pPr>
              <w:rPr>
                <w:sz w:val="16"/>
                <w:szCs w:val="16"/>
                <w:lang w:val="es-ES_tradnl"/>
              </w:rPr>
            </w:pPr>
            <w:r w:rsidRPr="00C75C7E">
              <w:rPr>
                <w:sz w:val="16"/>
                <w:szCs w:val="16"/>
                <w:lang w:val="es-ES_tradnl"/>
              </w:rPr>
              <w:t>VIII.2. Mejora en la prestación de servicios y la atención de consultas.</w:t>
            </w:r>
          </w:p>
        </w:tc>
        <w:tc>
          <w:tcPr>
            <w:tcW w:w="1514" w:type="pct"/>
            <w:shd w:val="clear" w:color="auto" w:fill="auto"/>
            <w:tcMar>
              <w:top w:w="113" w:type="dxa"/>
            </w:tcMar>
          </w:tcPr>
          <w:p w:rsidR="006F7F41" w:rsidRPr="00C75C7E" w:rsidRDefault="006F7F41" w:rsidP="008F4F69">
            <w:pPr>
              <w:rPr>
                <w:sz w:val="16"/>
                <w:szCs w:val="16"/>
                <w:lang w:val="es-ES_tradnl"/>
              </w:rPr>
            </w:pPr>
            <w:r w:rsidRPr="00C75C7E">
              <w:rPr>
                <w:sz w:val="16"/>
                <w:szCs w:val="16"/>
                <w:lang w:val="es-ES_tradnl"/>
              </w:rPr>
              <w:t>Índice de satisfacción de los clientes/partes interesadas.</w:t>
            </w:r>
          </w:p>
        </w:tc>
        <w:tc>
          <w:tcPr>
            <w:tcW w:w="1156" w:type="pct"/>
            <w:shd w:val="clear" w:color="auto" w:fill="FFFFFF"/>
            <w:tcMar>
              <w:top w:w="113" w:type="dxa"/>
            </w:tcMar>
          </w:tcPr>
          <w:p w:rsidR="006F7F41" w:rsidRPr="00C75C7E" w:rsidRDefault="005C037B" w:rsidP="008F4F69">
            <w:pPr>
              <w:rPr>
                <w:sz w:val="16"/>
                <w:szCs w:val="16"/>
                <w:lang w:val="es-ES_tradnl" w:bidi="th-TH"/>
              </w:rPr>
            </w:pPr>
            <w:r>
              <w:rPr>
                <w:sz w:val="16"/>
                <w:szCs w:val="16"/>
                <w:lang w:val="es-ES_tradnl" w:bidi="th-TH"/>
              </w:rPr>
              <w:t>N.d.</w:t>
            </w:r>
            <w:r w:rsidR="006F7F41" w:rsidRPr="00C75C7E">
              <w:rPr>
                <w:sz w:val="16"/>
                <w:szCs w:val="16"/>
                <w:lang w:val="es-ES_tradnl" w:bidi="th-TH"/>
              </w:rPr>
              <w:t xml:space="preserve"> (</w:t>
            </w:r>
            <w:r w:rsidR="00BB5D51">
              <w:rPr>
                <w:sz w:val="16"/>
                <w:szCs w:val="16"/>
                <w:lang w:val="es-ES_tradnl" w:bidi="th-TH"/>
              </w:rPr>
              <w:t>OOB</w:t>
            </w:r>
            <w:r w:rsidR="006F7F41" w:rsidRPr="00C75C7E">
              <w:rPr>
                <w:sz w:val="16"/>
                <w:szCs w:val="16"/>
                <w:lang w:val="es-ES_tradnl" w:bidi="th-TH"/>
              </w:rPr>
              <w:t>).</w:t>
            </w:r>
          </w:p>
          <w:p w:rsidR="006F7F41" w:rsidRPr="00C75C7E" w:rsidRDefault="006F7F41" w:rsidP="008F4F69">
            <w:pPr>
              <w:rPr>
                <w:sz w:val="16"/>
                <w:szCs w:val="16"/>
                <w:lang w:val="es-ES_tradnl" w:bidi="th-TH"/>
              </w:rPr>
            </w:pPr>
          </w:p>
          <w:p w:rsidR="006F7F41" w:rsidRPr="00C75C7E" w:rsidRDefault="005C037B" w:rsidP="008F4F69">
            <w:pPr>
              <w:rPr>
                <w:sz w:val="16"/>
                <w:szCs w:val="16"/>
                <w:lang w:val="es-ES_tradnl" w:bidi="th-TH"/>
              </w:rPr>
            </w:pPr>
            <w:r>
              <w:rPr>
                <w:sz w:val="16"/>
                <w:szCs w:val="16"/>
                <w:lang w:val="es-ES_tradnl" w:bidi="th-TH"/>
              </w:rPr>
              <w:t>N.d.</w:t>
            </w:r>
            <w:r w:rsidR="006F7F41" w:rsidRPr="00C75C7E">
              <w:rPr>
                <w:sz w:val="16"/>
                <w:szCs w:val="16"/>
                <w:lang w:val="es-ES_tradnl" w:bidi="th-TH"/>
              </w:rPr>
              <w:t xml:space="preserve"> (</w:t>
            </w:r>
            <w:r w:rsidR="00BB5D51">
              <w:rPr>
                <w:sz w:val="16"/>
                <w:szCs w:val="16"/>
                <w:lang w:val="es-ES_tradnl" w:bidi="th-TH"/>
              </w:rPr>
              <w:t>OOJ</w:t>
            </w:r>
            <w:r w:rsidR="006F7F41" w:rsidRPr="00C75C7E">
              <w:rPr>
                <w:sz w:val="16"/>
                <w:szCs w:val="16"/>
                <w:lang w:val="es-ES_tradnl" w:bidi="th-TH"/>
              </w:rPr>
              <w:t>).</w:t>
            </w:r>
          </w:p>
          <w:p w:rsidR="006F7F41" w:rsidRPr="00C75C7E" w:rsidRDefault="006F7F41" w:rsidP="008F4F69">
            <w:pPr>
              <w:rPr>
                <w:sz w:val="16"/>
                <w:szCs w:val="16"/>
                <w:lang w:val="es-ES_tradnl" w:bidi="th-TH"/>
              </w:rPr>
            </w:pPr>
          </w:p>
          <w:p w:rsidR="006F7F41" w:rsidRPr="00C75C7E" w:rsidRDefault="005C037B" w:rsidP="008F4F69">
            <w:pPr>
              <w:rPr>
                <w:sz w:val="16"/>
                <w:szCs w:val="16"/>
                <w:lang w:val="es-ES_tradnl" w:bidi="th-TH"/>
              </w:rPr>
            </w:pPr>
            <w:r>
              <w:rPr>
                <w:sz w:val="16"/>
                <w:szCs w:val="16"/>
                <w:lang w:val="es-ES_tradnl" w:bidi="th-TH"/>
              </w:rPr>
              <w:t>N.d.</w:t>
            </w:r>
            <w:r w:rsidR="006F7F41" w:rsidRPr="00C75C7E">
              <w:rPr>
                <w:sz w:val="16"/>
                <w:szCs w:val="16"/>
                <w:lang w:val="es-ES_tradnl" w:bidi="th-TH"/>
              </w:rPr>
              <w:t xml:space="preserve"> (</w:t>
            </w:r>
            <w:r w:rsidR="00BB5D51">
              <w:rPr>
                <w:sz w:val="16"/>
                <w:szCs w:val="16"/>
                <w:lang w:val="es-ES_tradnl" w:bidi="th-TH"/>
              </w:rPr>
              <w:t>OOS</w:t>
            </w:r>
            <w:r w:rsidR="006F7F41" w:rsidRPr="00C75C7E">
              <w:rPr>
                <w:sz w:val="16"/>
                <w:szCs w:val="16"/>
                <w:lang w:val="es-ES_tradnl" w:bidi="th-TH"/>
              </w:rPr>
              <w:t>).</w:t>
            </w:r>
          </w:p>
        </w:tc>
        <w:tc>
          <w:tcPr>
            <w:tcW w:w="1081" w:type="pct"/>
            <w:tcBorders>
              <w:right w:val="single" w:sz="4" w:space="0" w:color="auto"/>
            </w:tcBorders>
            <w:shd w:val="clear" w:color="auto" w:fill="auto"/>
            <w:tcMar>
              <w:top w:w="113" w:type="dxa"/>
            </w:tcMar>
          </w:tcPr>
          <w:p w:rsidR="006F7F41" w:rsidRPr="00C75C7E" w:rsidRDefault="006F7F41" w:rsidP="008F4F69">
            <w:pPr>
              <w:keepNext/>
              <w:keepLines/>
              <w:tabs>
                <w:tab w:val="left" w:pos="1757"/>
              </w:tabs>
              <w:rPr>
                <w:bCs/>
                <w:sz w:val="16"/>
                <w:szCs w:val="16"/>
                <w:lang w:val="es-ES_tradnl"/>
              </w:rPr>
            </w:pPr>
            <w:r w:rsidRPr="00C75C7E">
              <w:rPr>
                <w:bCs/>
                <w:sz w:val="16"/>
                <w:szCs w:val="16"/>
                <w:lang w:val="es-ES_tradnl"/>
              </w:rPr>
              <w:t>Por determinar (</w:t>
            </w:r>
            <w:r w:rsidR="00BB5D51">
              <w:rPr>
                <w:bCs/>
                <w:sz w:val="16"/>
                <w:szCs w:val="16"/>
                <w:lang w:val="es-ES_tradnl"/>
              </w:rPr>
              <w:t>OOB</w:t>
            </w:r>
            <w:r w:rsidRPr="00C75C7E">
              <w:rPr>
                <w:bCs/>
                <w:sz w:val="16"/>
                <w:szCs w:val="16"/>
                <w:lang w:val="es-ES_tradnl"/>
              </w:rPr>
              <w:t xml:space="preserve">). </w:t>
            </w:r>
          </w:p>
          <w:p w:rsidR="006F7F41" w:rsidRPr="00C75C7E" w:rsidRDefault="006F7F41" w:rsidP="008F4F69">
            <w:pPr>
              <w:keepNext/>
              <w:keepLines/>
              <w:tabs>
                <w:tab w:val="left" w:pos="1757"/>
              </w:tabs>
              <w:rPr>
                <w:bCs/>
                <w:sz w:val="16"/>
                <w:szCs w:val="16"/>
                <w:lang w:val="es-ES_tradnl"/>
              </w:rPr>
            </w:pPr>
          </w:p>
          <w:p w:rsidR="006F7F41" w:rsidRPr="00C75C7E" w:rsidRDefault="006F7F41" w:rsidP="008F4F69">
            <w:pPr>
              <w:keepNext/>
              <w:keepLines/>
              <w:tabs>
                <w:tab w:val="left" w:pos="1757"/>
              </w:tabs>
              <w:rPr>
                <w:bCs/>
                <w:sz w:val="16"/>
                <w:szCs w:val="16"/>
                <w:lang w:val="es-ES_tradnl"/>
              </w:rPr>
            </w:pPr>
            <w:r w:rsidRPr="00C75C7E">
              <w:rPr>
                <w:bCs/>
                <w:sz w:val="16"/>
                <w:szCs w:val="16"/>
                <w:lang w:val="es-ES_tradnl"/>
              </w:rPr>
              <w:t>Por determinar (</w:t>
            </w:r>
            <w:r w:rsidR="00BB5D51">
              <w:rPr>
                <w:bCs/>
                <w:sz w:val="16"/>
                <w:szCs w:val="16"/>
                <w:lang w:val="es-ES_tradnl"/>
              </w:rPr>
              <w:t>OOJ</w:t>
            </w:r>
            <w:r w:rsidRPr="00C75C7E">
              <w:rPr>
                <w:bCs/>
                <w:sz w:val="16"/>
                <w:szCs w:val="16"/>
                <w:lang w:val="es-ES_tradnl"/>
              </w:rPr>
              <w:t>).</w:t>
            </w:r>
          </w:p>
          <w:p w:rsidR="006F7F41" w:rsidRPr="00C75C7E" w:rsidRDefault="006F7F41" w:rsidP="008F4F69">
            <w:pPr>
              <w:keepNext/>
              <w:keepLines/>
              <w:tabs>
                <w:tab w:val="left" w:pos="1757"/>
              </w:tabs>
              <w:rPr>
                <w:bCs/>
                <w:sz w:val="16"/>
                <w:szCs w:val="16"/>
                <w:lang w:val="es-ES_tradnl"/>
              </w:rPr>
            </w:pPr>
          </w:p>
          <w:p w:rsidR="006F7F41" w:rsidRPr="00C75C7E" w:rsidRDefault="006F7F41" w:rsidP="008F4F69">
            <w:pPr>
              <w:keepNext/>
              <w:keepLines/>
              <w:tabs>
                <w:tab w:val="left" w:pos="1757"/>
              </w:tabs>
              <w:rPr>
                <w:bCs/>
                <w:sz w:val="16"/>
                <w:szCs w:val="16"/>
                <w:lang w:val="es-ES_tradnl"/>
              </w:rPr>
            </w:pPr>
            <w:r w:rsidRPr="00C75C7E">
              <w:rPr>
                <w:bCs/>
                <w:sz w:val="16"/>
                <w:szCs w:val="16"/>
                <w:lang w:val="es-ES_tradnl"/>
              </w:rPr>
              <w:t xml:space="preserve">&gt; 90% de personas que llaman están satisfechas con el servicio que proporciona la </w:t>
            </w:r>
            <w:r w:rsidR="00BB5D51">
              <w:rPr>
                <w:bCs/>
                <w:sz w:val="16"/>
                <w:szCs w:val="16"/>
                <w:lang w:val="es-ES_tradnl"/>
              </w:rPr>
              <w:t>OOS</w:t>
            </w:r>
            <w:r w:rsidRPr="00C75C7E">
              <w:rPr>
                <w:bCs/>
                <w:sz w:val="16"/>
                <w:szCs w:val="16"/>
                <w:lang w:val="es-ES_tradnl"/>
              </w:rPr>
              <w:t xml:space="preserve"> (</w:t>
            </w:r>
            <w:r w:rsidR="00BB5D51">
              <w:rPr>
                <w:bCs/>
                <w:sz w:val="16"/>
                <w:szCs w:val="16"/>
                <w:lang w:val="es-ES_tradnl"/>
              </w:rPr>
              <w:t>OOS</w:t>
            </w:r>
            <w:r w:rsidRPr="00C75C7E">
              <w:rPr>
                <w:bCs/>
                <w:sz w:val="16"/>
                <w:szCs w:val="16"/>
                <w:lang w:val="es-ES_tradnl"/>
              </w:rPr>
              <w:t>).</w:t>
            </w:r>
          </w:p>
        </w:tc>
      </w:tr>
      <w:tr w:rsidR="006F7F41" w:rsidRPr="00C75C7E" w:rsidTr="008F4F69">
        <w:trPr>
          <w:cantSplit/>
          <w:trHeight w:val="1315"/>
        </w:trPr>
        <w:tc>
          <w:tcPr>
            <w:tcW w:w="1249" w:type="pct"/>
            <w:shd w:val="clear" w:color="auto" w:fill="auto"/>
            <w:tcMar>
              <w:top w:w="113" w:type="dxa"/>
            </w:tcMar>
          </w:tcPr>
          <w:p w:rsidR="006F7F41" w:rsidRPr="00C75C7E" w:rsidRDefault="006F7F41" w:rsidP="008F4F69">
            <w:pPr>
              <w:rPr>
                <w:sz w:val="16"/>
                <w:szCs w:val="16"/>
                <w:lang w:val="es-ES_tradnl"/>
              </w:rPr>
            </w:pPr>
          </w:p>
        </w:tc>
        <w:tc>
          <w:tcPr>
            <w:tcW w:w="1514" w:type="pct"/>
            <w:shd w:val="clear" w:color="auto" w:fill="auto"/>
            <w:tcMar>
              <w:top w:w="113" w:type="dxa"/>
            </w:tcMar>
          </w:tcPr>
          <w:p w:rsidR="006F7F41" w:rsidRPr="00C75C7E" w:rsidRDefault="006F7F41" w:rsidP="008F4F69">
            <w:pPr>
              <w:rPr>
                <w:sz w:val="16"/>
                <w:szCs w:val="16"/>
                <w:lang w:val="es-ES_tradnl"/>
              </w:rPr>
            </w:pPr>
            <w:r w:rsidRPr="00C75C7E">
              <w:rPr>
                <w:sz w:val="16"/>
                <w:szCs w:val="16"/>
                <w:lang w:val="es-ES_tradnl"/>
              </w:rPr>
              <w:t>Duración de la tramitación de las peticiones de información.</w:t>
            </w:r>
          </w:p>
        </w:tc>
        <w:tc>
          <w:tcPr>
            <w:tcW w:w="1156" w:type="pct"/>
            <w:shd w:val="clear" w:color="auto" w:fill="FFFFFF"/>
            <w:tcMar>
              <w:top w:w="113" w:type="dxa"/>
            </w:tcMar>
          </w:tcPr>
          <w:p w:rsidR="006F7F41" w:rsidRPr="00C75C7E" w:rsidRDefault="005C037B" w:rsidP="008F4F69">
            <w:pPr>
              <w:rPr>
                <w:sz w:val="16"/>
                <w:szCs w:val="16"/>
                <w:lang w:val="es-ES_tradnl" w:bidi="th-TH"/>
              </w:rPr>
            </w:pPr>
            <w:r>
              <w:rPr>
                <w:sz w:val="16"/>
                <w:szCs w:val="16"/>
                <w:lang w:val="es-ES_tradnl" w:bidi="th-TH"/>
              </w:rPr>
              <w:t>N.d.</w:t>
            </w:r>
            <w:r w:rsidR="006F7F41" w:rsidRPr="00C75C7E">
              <w:rPr>
                <w:sz w:val="16"/>
                <w:szCs w:val="16"/>
                <w:lang w:val="es-ES_tradnl" w:bidi="th-TH"/>
              </w:rPr>
              <w:t xml:space="preserve"> (</w:t>
            </w:r>
            <w:r w:rsidR="00BB5D51">
              <w:rPr>
                <w:sz w:val="16"/>
                <w:szCs w:val="16"/>
                <w:lang w:val="es-ES_tradnl" w:bidi="th-TH"/>
              </w:rPr>
              <w:t>OOB</w:t>
            </w:r>
            <w:r w:rsidR="006F7F41" w:rsidRPr="00C75C7E">
              <w:rPr>
                <w:sz w:val="16"/>
                <w:szCs w:val="16"/>
                <w:lang w:val="es-ES_tradnl" w:bidi="th-TH"/>
              </w:rPr>
              <w:t>).</w:t>
            </w:r>
          </w:p>
          <w:p w:rsidR="006F7F41" w:rsidRPr="00C75C7E" w:rsidRDefault="006F7F41" w:rsidP="008F4F69">
            <w:pPr>
              <w:rPr>
                <w:sz w:val="16"/>
                <w:szCs w:val="16"/>
                <w:lang w:val="es-ES_tradnl" w:bidi="th-TH"/>
              </w:rPr>
            </w:pPr>
          </w:p>
          <w:p w:rsidR="006F7F41" w:rsidRPr="00C75C7E" w:rsidRDefault="005C037B" w:rsidP="008F4F69">
            <w:pPr>
              <w:rPr>
                <w:sz w:val="16"/>
                <w:szCs w:val="16"/>
                <w:lang w:val="es-ES_tradnl" w:bidi="th-TH"/>
              </w:rPr>
            </w:pPr>
            <w:r>
              <w:rPr>
                <w:sz w:val="16"/>
                <w:szCs w:val="16"/>
                <w:lang w:val="es-ES_tradnl" w:bidi="th-TH"/>
              </w:rPr>
              <w:t>N.d.</w:t>
            </w:r>
            <w:r w:rsidR="006F7F41" w:rsidRPr="00C75C7E">
              <w:rPr>
                <w:sz w:val="16"/>
                <w:szCs w:val="16"/>
                <w:lang w:val="es-ES_tradnl" w:bidi="th-TH"/>
              </w:rPr>
              <w:t xml:space="preserve"> (</w:t>
            </w:r>
            <w:r w:rsidR="00BB5D51">
              <w:rPr>
                <w:sz w:val="16"/>
                <w:szCs w:val="16"/>
                <w:lang w:val="es-ES_tradnl" w:bidi="th-TH"/>
              </w:rPr>
              <w:t>OOJ</w:t>
            </w:r>
            <w:r w:rsidR="006F7F41" w:rsidRPr="00C75C7E">
              <w:rPr>
                <w:sz w:val="16"/>
                <w:szCs w:val="16"/>
                <w:lang w:val="es-ES_tradnl" w:bidi="th-TH"/>
              </w:rPr>
              <w:t>).</w:t>
            </w:r>
          </w:p>
          <w:p w:rsidR="006F7F41" w:rsidRPr="00C75C7E" w:rsidRDefault="006F7F41" w:rsidP="008F4F69">
            <w:pPr>
              <w:rPr>
                <w:sz w:val="16"/>
                <w:szCs w:val="16"/>
                <w:lang w:val="es-ES_tradnl" w:bidi="th-TH"/>
              </w:rPr>
            </w:pPr>
          </w:p>
          <w:p w:rsidR="006F7F41" w:rsidRPr="00C75C7E" w:rsidRDefault="005C037B" w:rsidP="008F4F69">
            <w:pPr>
              <w:rPr>
                <w:sz w:val="16"/>
                <w:szCs w:val="16"/>
                <w:lang w:val="es-ES_tradnl" w:bidi="th-TH"/>
              </w:rPr>
            </w:pPr>
            <w:r>
              <w:rPr>
                <w:sz w:val="16"/>
                <w:szCs w:val="16"/>
                <w:lang w:val="es-ES_tradnl" w:bidi="th-TH"/>
              </w:rPr>
              <w:t>N.d.</w:t>
            </w:r>
            <w:r w:rsidR="006F7F41" w:rsidRPr="00C75C7E">
              <w:rPr>
                <w:sz w:val="16"/>
                <w:szCs w:val="16"/>
                <w:lang w:val="es-ES_tradnl" w:bidi="th-TH"/>
              </w:rPr>
              <w:t xml:space="preserve"> (</w:t>
            </w:r>
            <w:r w:rsidR="00BB5D51">
              <w:rPr>
                <w:sz w:val="16"/>
                <w:szCs w:val="16"/>
                <w:lang w:val="es-ES_tradnl" w:bidi="th-TH"/>
              </w:rPr>
              <w:t>OOS</w:t>
            </w:r>
            <w:r w:rsidR="006F7F41" w:rsidRPr="00C75C7E">
              <w:rPr>
                <w:sz w:val="16"/>
                <w:szCs w:val="16"/>
                <w:lang w:val="es-ES_tradnl" w:bidi="th-TH"/>
              </w:rPr>
              <w:t>).</w:t>
            </w:r>
          </w:p>
        </w:tc>
        <w:tc>
          <w:tcPr>
            <w:tcW w:w="1081" w:type="pct"/>
            <w:tcBorders>
              <w:right w:val="single" w:sz="4" w:space="0" w:color="auto"/>
            </w:tcBorders>
            <w:shd w:val="clear" w:color="auto" w:fill="auto"/>
            <w:tcMar>
              <w:top w:w="113" w:type="dxa"/>
            </w:tcMar>
          </w:tcPr>
          <w:p w:rsidR="006F7F41" w:rsidRPr="00C75C7E" w:rsidRDefault="006F7F41" w:rsidP="008F4F69">
            <w:pPr>
              <w:keepNext/>
              <w:keepLines/>
              <w:tabs>
                <w:tab w:val="left" w:pos="1757"/>
              </w:tabs>
              <w:rPr>
                <w:bCs/>
                <w:sz w:val="16"/>
                <w:szCs w:val="16"/>
                <w:lang w:val="es-ES_tradnl"/>
              </w:rPr>
            </w:pPr>
            <w:r w:rsidRPr="00C75C7E">
              <w:rPr>
                <w:bCs/>
                <w:sz w:val="16"/>
                <w:szCs w:val="16"/>
                <w:lang w:val="es-ES_tradnl"/>
              </w:rPr>
              <w:t>Por determinar (</w:t>
            </w:r>
            <w:r w:rsidR="00BB5D51">
              <w:rPr>
                <w:bCs/>
                <w:sz w:val="16"/>
                <w:szCs w:val="16"/>
                <w:lang w:val="es-ES_tradnl"/>
              </w:rPr>
              <w:t>OOB</w:t>
            </w:r>
            <w:r w:rsidRPr="00C75C7E">
              <w:rPr>
                <w:bCs/>
                <w:sz w:val="16"/>
                <w:szCs w:val="16"/>
                <w:lang w:val="es-ES_tradnl"/>
              </w:rPr>
              <w:t xml:space="preserve">). </w:t>
            </w:r>
          </w:p>
          <w:p w:rsidR="006F7F41" w:rsidRPr="00C75C7E" w:rsidRDefault="006F7F41" w:rsidP="008F4F69">
            <w:pPr>
              <w:keepNext/>
              <w:keepLines/>
              <w:tabs>
                <w:tab w:val="left" w:pos="1757"/>
              </w:tabs>
              <w:rPr>
                <w:bCs/>
                <w:sz w:val="16"/>
                <w:szCs w:val="16"/>
                <w:lang w:val="es-ES_tradnl"/>
              </w:rPr>
            </w:pPr>
          </w:p>
          <w:p w:rsidR="006F7F41" w:rsidRPr="00C75C7E" w:rsidRDefault="006F7F41" w:rsidP="008F4F69">
            <w:pPr>
              <w:keepNext/>
              <w:keepLines/>
              <w:tabs>
                <w:tab w:val="left" w:pos="1757"/>
              </w:tabs>
              <w:rPr>
                <w:bCs/>
                <w:sz w:val="16"/>
                <w:szCs w:val="16"/>
                <w:lang w:val="es-ES_tradnl"/>
              </w:rPr>
            </w:pPr>
            <w:r w:rsidRPr="00C75C7E">
              <w:rPr>
                <w:bCs/>
                <w:sz w:val="16"/>
                <w:szCs w:val="16"/>
                <w:lang w:val="es-ES_tradnl"/>
              </w:rPr>
              <w:t>Por determinar (</w:t>
            </w:r>
            <w:r w:rsidR="00BB5D51">
              <w:rPr>
                <w:bCs/>
                <w:sz w:val="16"/>
                <w:szCs w:val="16"/>
                <w:lang w:val="es-ES_tradnl"/>
              </w:rPr>
              <w:t>OOJ</w:t>
            </w:r>
            <w:r w:rsidRPr="00C75C7E">
              <w:rPr>
                <w:bCs/>
                <w:sz w:val="16"/>
                <w:szCs w:val="16"/>
                <w:lang w:val="es-ES_tradnl"/>
              </w:rPr>
              <w:t>).</w:t>
            </w:r>
          </w:p>
          <w:p w:rsidR="006F7F41" w:rsidRPr="00C75C7E" w:rsidRDefault="006F7F41" w:rsidP="008F4F69">
            <w:pPr>
              <w:keepNext/>
              <w:keepLines/>
              <w:tabs>
                <w:tab w:val="left" w:pos="1757"/>
              </w:tabs>
              <w:rPr>
                <w:bCs/>
                <w:sz w:val="16"/>
                <w:szCs w:val="16"/>
                <w:lang w:val="es-ES_tradnl"/>
              </w:rPr>
            </w:pPr>
          </w:p>
          <w:p w:rsidR="006F7F41" w:rsidRPr="00C75C7E" w:rsidRDefault="006F7F41" w:rsidP="008F4F69">
            <w:pPr>
              <w:keepNext/>
              <w:keepLines/>
              <w:tabs>
                <w:tab w:val="left" w:pos="1757"/>
              </w:tabs>
              <w:rPr>
                <w:bCs/>
                <w:sz w:val="16"/>
                <w:szCs w:val="16"/>
                <w:lang w:val="es-ES_tradnl"/>
              </w:rPr>
            </w:pPr>
            <w:r w:rsidRPr="00C75C7E">
              <w:rPr>
                <w:bCs/>
                <w:sz w:val="16"/>
                <w:szCs w:val="16"/>
                <w:lang w:val="es-ES_tradnl"/>
              </w:rPr>
              <w:t xml:space="preserve">En </w:t>
            </w:r>
            <w:r w:rsidR="00AB0A03">
              <w:rPr>
                <w:bCs/>
                <w:sz w:val="16"/>
                <w:szCs w:val="16"/>
                <w:lang w:val="es-ES_tradnl"/>
              </w:rPr>
              <w:t xml:space="preserve">el </w:t>
            </w:r>
            <w:r w:rsidRPr="00C75C7E">
              <w:rPr>
                <w:bCs/>
                <w:sz w:val="16"/>
                <w:szCs w:val="16"/>
                <w:lang w:val="es-ES_tradnl"/>
              </w:rPr>
              <w:t>95% de los casos se responde en un plazo de tres días laborables (</w:t>
            </w:r>
            <w:r w:rsidR="00BB5D51">
              <w:rPr>
                <w:bCs/>
                <w:sz w:val="16"/>
                <w:szCs w:val="16"/>
                <w:lang w:val="es-ES_tradnl"/>
              </w:rPr>
              <w:t>OOS</w:t>
            </w:r>
            <w:r w:rsidRPr="00C75C7E">
              <w:rPr>
                <w:bCs/>
                <w:sz w:val="16"/>
                <w:szCs w:val="16"/>
                <w:lang w:val="es-ES_tradnl"/>
              </w:rPr>
              <w:t>).</w:t>
            </w:r>
          </w:p>
        </w:tc>
      </w:tr>
      <w:tr w:rsidR="006F7F41" w:rsidRPr="00C75C7E" w:rsidTr="008F4F69">
        <w:trPr>
          <w:cantSplit/>
          <w:trHeight w:val="784"/>
        </w:trPr>
        <w:tc>
          <w:tcPr>
            <w:tcW w:w="1249" w:type="pct"/>
            <w:shd w:val="clear" w:color="auto" w:fill="auto"/>
            <w:tcMar>
              <w:top w:w="113" w:type="dxa"/>
            </w:tcMar>
          </w:tcPr>
          <w:p w:rsidR="006F7F41" w:rsidRPr="00C75C7E" w:rsidRDefault="006F7F41" w:rsidP="008F4F69">
            <w:pPr>
              <w:rPr>
                <w:sz w:val="16"/>
                <w:szCs w:val="16"/>
                <w:lang w:val="es-ES_tradnl"/>
              </w:rPr>
            </w:pPr>
            <w:r w:rsidRPr="00C75C7E">
              <w:rPr>
                <w:sz w:val="16"/>
                <w:szCs w:val="16"/>
                <w:lang w:val="es-ES_tradnl"/>
              </w:rPr>
              <w:t>VIII.4. Intercambios abiertos, transparentes y dinámicos con las partes interesadas no gubernamentales.</w:t>
            </w:r>
          </w:p>
        </w:tc>
        <w:tc>
          <w:tcPr>
            <w:tcW w:w="1514" w:type="pct"/>
            <w:shd w:val="clear" w:color="auto" w:fill="auto"/>
            <w:tcMar>
              <w:top w:w="113" w:type="dxa"/>
            </w:tcMar>
          </w:tcPr>
          <w:p w:rsidR="006F7F41" w:rsidRPr="00C75C7E" w:rsidRDefault="006F7F41" w:rsidP="008F4F69">
            <w:pPr>
              <w:rPr>
                <w:sz w:val="16"/>
                <w:szCs w:val="16"/>
                <w:lang w:val="es-ES_tradnl"/>
              </w:rPr>
            </w:pPr>
            <w:r w:rsidRPr="00C75C7E">
              <w:rPr>
                <w:sz w:val="16"/>
                <w:szCs w:val="16"/>
                <w:lang w:val="es-ES_tradnl"/>
              </w:rPr>
              <w:t>Participación  eficaz y en mayor grado de las partes interesadas no gubernamentales en las actividades de la OMPI y viceversa.</w:t>
            </w:r>
          </w:p>
        </w:tc>
        <w:tc>
          <w:tcPr>
            <w:tcW w:w="1156" w:type="pct"/>
            <w:shd w:val="clear" w:color="auto" w:fill="FFFFFF"/>
            <w:tcMar>
              <w:top w:w="113" w:type="dxa"/>
            </w:tcMar>
          </w:tcPr>
          <w:p w:rsidR="006F7F41" w:rsidRPr="00C75C7E" w:rsidRDefault="006F7F41" w:rsidP="008F4F69">
            <w:pPr>
              <w:rPr>
                <w:sz w:val="16"/>
                <w:szCs w:val="16"/>
                <w:lang w:val="es-ES_tradnl" w:bidi="th-TH"/>
              </w:rPr>
            </w:pPr>
            <w:r w:rsidRPr="00C75C7E">
              <w:rPr>
                <w:sz w:val="16"/>
                <w:szCs w:val="16"/>
                <w:lang w:val="es-ES_tradnl" w:bidi="th-TH"/>
              </w:rPr>
              <w:t xml:space="preserve">Por determinar.  </w:t>
            </w:r>
          </w:p>
        </w:tc>
        <w:tc>
          <w:tcPr>
            <w:tcW w:w="1081" w:type="pct"/>
            <w:tcBorders>
              <w:right w:val="single" w:sz="4" w:space="0" w:color="auto"/>
            </w:tcBorders>
            <w:shd w:val="clear" w:color="auto" w:fill="auto"/>
            <w:tcMar>
              <w:top w:w="113" w:type="dxa"/>
            </w:tcMar>
          </w:tcPr>
          <w:p w:rsidR="006F7F41" w:rsidRPr="00C75C7E" w:rsidRDefault="006F7F41" w:rsidP="008F4F69">
            <w:pPr>
              <w:keepNext/>
              <w:keepLines/>
              <w:tabs>
                <w:tab w:val="left" w:pos="1757"/>
              </w:tabs>
              <w:rPr>
                <w:bCs/>
                <w:sz w:val="16"/>
                <w:szCs w:val="16"/>
                <w:lang w:val="es-ES_tradnl"/>
              </w:rPr>
            </w:pPr>
            <w:r w:rsidRPr="00C75C7E">
              <w:rPr>
                <w:bCs/>
                <w:sz w:val="16"/>
                <w:szCs w:val="16"/>
                <w:lang w:val="es-ES_tradnl"/>
              </w:rPr>
              <w:t>Aumento del 10% en la participación de diversas partes interesadas.</w:t>
            </w:r>
          </w:p>
        </w:tc>
      </w:tr>
      <w:tr w:rsidR="006F7F41" w:rsidRPr="00C75C7E" w:rsidTr="008F4F69">
        <w:trPr>
          <w:cantSplit/>
          <w:trHeight w:val="814"/>
        </w:trPr>
        <w:tc>
          <w:tcPr>
            <w:tcW w:w="1249" w:type="pct"/>
            <w:shd w:val="clear" w:color="auto" w:fill="auto"/>
            <w:tcMar>
              <w:top w:w="113" w:type="dxa"/>
            </w:tcMar>
          </w:tcPr>
          <w:p w:rsidR="006F7F41" w:rsidRPr="00C75C7E" w:rsidRDefault="006F7F41" w:rsidP="008F4F69">
            <w:pPr>
              <w:rPr>
                <w:sz w:val="16"/>
                <w:szCs w:val="16"/>
                <w:lang w:val="es-ES_tradnl"/>
              </w:rPr>
            </w:pPr>
            <w:r w:rsidRPr="00C75C7E">
              <w:rPr>
                <w:sz w:val="16"/>
                <w:szCs w:val="16"/>
                <w:lang w:val="es-ES_tradnl"/>
              </w:rPr>
              <w:t>VIII.5. La OMPI participa y colabora eficazmente en los procesos y negociaciones de las NN.UU. y otras OIG.</w:t>
            </w:r>
          </w:p>
        </w:tc>
        <w:tc>
          <w:tcPr>
            <w:tcW w:w="1514" w:type="pct"/>
            <w:shd w:val="clear" w:color="auto" w:fill="auto"/>
            <w:tcMar>
              <w:top w:w="113" w:type="dxa"/>
            </w:tcMar>
          </w:tcPr>
          <w:p w:rsidR="006F7F41" w:rsidRPr="00C75C7E" w:rsidRDefault="006F7F41" w:rsidP="008F4F69">
            <w:pPr>
              <w:rPr>
                <w:sz w:val="16"/>
                <w:szCs w:val="16"/>
                <w:lang w:val="es-ES_tradnl"/>
              </w:rPr>
            </w:pPr>
            <w:r w:rsidRPr="00C75C7E">
              <w:rPr>
                <w:sz w:val="16"/>
                <w:szCs w:val="16"/>
                <w:lang w:val="es-ES_tradnl"/>
              </w:rPr>
              <w:t>Utilización de las aportaciones de la OMPI en informes, resoluciones y documentos de procesos de las partes interesadas.</w:t>
            </w:r>
          </w:p>
        </w:tc>
        <w:tc>
          <w:tcPr>
            <w:tcW w:w="1156" w:type="pct"/>
            <w:shd w:val="clear" w:color="auto" w:fill="FFFFFF"/>
            <w:tcMar>
              <w:top w:w="113" w:type="dxa"/>
            </w:tcMar>
          </w:tcPr>
          <w:p w:rsidR="006F7F41" w:rsidRPr="00C75C7E" w:rsidRDefault="006F7F41" w:rsidP="008F4F69">
            <w:pPr>
              <w:rPr>
                <w:sz w:val="16"/>
                <w:szCs w:val="16"/>
                <w:lang w:val="es-ES_tradnl" w:bidi="th-TH"/>
              </w:rPr>
            </w:pPr>
            <w:r w:rsidRPr="00C75C7E">
              <w:rPr>
                <w:sz w:val="16"/>
                <w:szCs w:val="16"/>
                <w:lang w:val="es-ES_tradnl" w:bidi="th-TH"/>
              </w:rPr>
              <w:t xml:space="preserve">20 de 24 (al final de 2011). </w:t>
            </w:r>
          </w:p>
          <w:p w:rsidR="006F7F41" w:rsidRPr="00C75C7E" w:rsidRDefault="006F7F41" w:rsidP="008F4F69">
            <w:pPr>
              <w:rPr>
                <w:sz w:val="16"/>
                <w:szCs w:val="16"/>
                <w:lang w:val="es-ES_tradnl" w:bidi="th-TH"/>
              </w:rPr>
            </w:pPr>
          </w:p>
          <w:p w:rsidR="006F7F41" w:rsidRPr="00C75C7E" w:rsidRDefault="006F7F41" w:rsidP="008F4F69">
            <w:pPr>
              <w:rPr>
                <w:sz w:val="16"/>
                <w:szCs w:val="16"/>
                <w:lang w:val="es-ES_tradnl" w:bidi="th-TH"/>
              </w:rPr>
            </w:pPr>
          </w:p>
        </w:tc>
        <w:tc>
          <w:tcPr>
            <w:tcW w:w="1081" w:type="pct"/>
            <w:tcBorders>
              <w:right w:val="single" w:sz="4" w:space="0" w:color="auto"/>
            </w:tcBorders>
            <w:shd w:val="clear" w:color="auto" w:fill="auto"/>
            <w:tcMar>
              <w:top w:w="113" w:type="dxa"/>
            </w:tcMar>
          </w:tcPr>
          <w:p w:rsidR="006F7F41" w:rsidRPr="00C75C7E" w:rsidRDefault="006F7F41" w:rsidP="008F4F69">
            <w:pPr>
              <w:keepNext/>
              <w:keepLines/>
              <w:tabs>
                <w:tab w:val="left" w:pos="1757"/>
              </w:tabs>
              <w:rPr>
                <w:bCs/>
                <w:sz w:val="16"/>
                <w:szCs w:val="16"/>
                <w:lang w:val="es-ES_tradnl"/>
              </w:rPr>
            </w:pPr>
            <w:r w:rsidRPr="00C75C7E">
              <w:rPr>
                <w:bCs/>
                <w:sz w:val="16"/>
                <w:szCs w:val="16"/>
                <w:lang w:val="es-ES_tradnl"/>
              </w:rPr>
              <w:t xml:space="preserve">Uso al 100% </w:t>
            </w:r>
          </w:p>
        </w:tc>
      </w:tr>
      <w:tr w:rsidR="006F7F41" w:rsidRPr="00C75C7E" w:rsidTr="008F4F69">
        <w:trPr>
          <w:cantSplit/>
          <w:trHeight w:val="609"/>
        </w:trPr>
        <w:tc>
          <w:tcPr>
            <w:tcW w:w="1249" w:type="pct"/>
            <w:shd w:val="clear" w:color="auto" w:fill="auto"/>
            <w:tcMar>
              <w:top w:w="113" w:type="dxa"/>
            </w:tcMar>
          </w:tcPr>
          <w:p w:rsidR="006F7F41" w:rsidRPr="00C75C7E" w:rsidRDefault="006F7F41" w:rsidP="008F4F69">
            <w:pPr>
              <w:rPr>
                <w:sz w:val="16"/>
                <w:szCs w:val="16"/>
                <w:lang w:val="es-ES_tradnl"/>
              </w:rPr>
            </w:pPr>
          </w:p>
        </w:tc>
        <w:tc>
          <w:tcPr>
            <w:tcW w:w="1514" w:type="pct"/>
            <w:shd w:val="clear" w:color="auto" w:fill="auto"/>
            <w:tcMar>
              <w:top w:w="113" w:type="dxa"/>
            </w:tcMar>
          </w:tcPr>
          <w:p w:rsidR="006F7F41" w:rsidRPr="00E32C2C" w:rsidRDefault="006F7F41" w:rsidP="008F4F69">
            <w:pPr>
              <w:rPr>
                <w:sz w:val="16"/>
                <w:szCs w:val="16"/>
                <w:lang w:val="es-ES_tradnl"/>
              </w:rPr>
            </w:pPr>
            <w:r w:rsidRPr="00E32C2C">
              <w:rPr>
                <w:sz w:val="16"/>
                <w:szCs w:val="16"/>
                <w:lang w:val="es-ES_tradnl"/>
              </w:rPr>
              <w:t>Porcentaje de respuestas cursadas puntualmente atendiendo a peticiones externas de aportación por parte de las NN.UU., OIG, etc.</w:t>
            </w:r>
          </w:p>
        </w:tc>
        <w:tc>
          <w:tcPr>
            <w:tcW w:w="1156" w:type="pct"/>
            <w:shd w:val="clear" w:color="auto" w:fill="FFFFFF"/>
            <w:tcMar>
              <w:top w:w="113" w:type="dxa"/>
            </w:tcMar>
          </w:tcPr>
          <w:p w:rsidR="006F7F41" w:rsidRPr="00E32C2C" w:rsidRDefault="006F7F41" w:rsidP="008F4F69">
            <w:pPr>
              <w:rPr>
                <w:sz w:val="16"/>
                <w:szCs w:val="16"/>
                <w:lang w:val="es-ES_tradnl" w:bidi="th-TH"/>
              </w:rPr>
            </w:pPr>
            <w:r w:rsidRPr="00E32C2C">
              <w:rPr>
                <w:sz w:val="16"/>
                <w:szCs w:val="16"/>
                <w:lang w:val="es-ES_tradnl" w:bidi="th-TH"/>
              </w:rPr>
              <w:t>Por determinar (datos de 2012).</w:t>
            </w:r>
          </w:p>
          <w:p w:rsidR="006F7F41" w:rsidRPr="00E32C2C" w:rsidRDefault="006F7F41" w:rsidP="008F4F69">
            <w:pPr>
              <w:rPr>
                <w:sz w:val="16"/>
                <w:szCs w:val="16"/>
                <w:lang w:val="es-ES_tradnl" w:bidi="th-TH"/>
              </w:rPr>
            </w:pPr>
          </w:p>
        </w:tc>
        <w:tc>
          <w:tcPr>
            <w:tcW w:w="1081" w:type="pct"/>
            <w:tcBorders>
              <w:right w:val="single" w:sz="4" w:space="0" w:color="auto"/>
            </w:tcBorders>
            <w:shd w:val="clear" w:color="auto" w:fill="auto"/>
            <w:tcMar>
              <w:top w:w="113" w:type="dxa"/>
            </w:tcMar>
          </w:tcPr>
          <w:p w:rsidR="006F7F41" w:rsidRPr="00C75C7E" w:rsidRDefault="006F7F41" w:rsidP="008F4F69">
            <w:pPr>
              <w:keepNext/>
              <w:keepLines/>
              <w:tabs>
                <w:tab w:val="left" w:pos="1757"/>
              </w:tabs>
              <w:rPr>
                <w:bCs/>
                <w:sz w:val="16"/>
                <w:szCs w:val="16"/>
                <w:lang w:val="es-ES_tradnl"/>
              </w:rPr>
            </w:pPr>
            <w:r w:rsidRPr="00C75C7E">
              <w:rPr>
                <w:bCs/>
                <w:sz w:val="16"/>
                <w:szCs w:val="16"/>
                <w:lang w:val="es-ES_tradnl"/>
              </w:rPr>
              <w:t>100%</w:t>
            </w:r>
          </w:p>
        </w:tc>
      </w:tr>
      <w:tr w:rsidR="006F7F41" w:rsidRPr="00C75C7E" w:rsidTr="008F4F69">
        <w:trPr>
          <w:cantSplit/>
          <w:trHeight w:val="776"/>
        </w:trPr>
        <w:tc>
          <w:tcPr>
            <w:tcW w:w="1249" w:type="pct"/>
            <w:shd w:val="clear" w:color="auto" w:fill="auto"/>
            <w:tcMar>
              <w:top w:w="113" w:type="dxa"/>
            </w:tcMar>
          </w:tcPr>
          <w:p w:rsidR="006F7F41" w:rsidRPr="00C75C7E" w:rsidRDefault="006F7F41" w:rsidP="008F4F69">
            <w:pPr>
              <w:rPr>
                <w:sz w:val="16"/>
                <w:szCs w:val="16"/>
                <w:lang w:val="es-ES_tradnl"/>
              </w:rPr>
            </w:pPr>
          </w:p>
        </w:tc>
        <w:tc>
          <w:tcPr>
            <w:tcW w:w="1514" w:type="pct"/>
            <w:shd w:val="clear" w:color="auto" w:fill="auto"/>
            <w:tcMar>
              <w:top w:w="113" w:type="dxa"/>
            </w:tcMar>
          </w:tcPr>
          <w:p w:rsidR="006F7F41" w:rsidRPr="00E32C2C" w:rsidRDefault="006F7F41" w:rsidP="008F4F69">
            <w:pPr>
              <w:rPr>
                <w:sz w:val="16"/>
                <w:szCs w:val="16"/>
                <w:lang w:val="es-ES_tradnl"/>
              </w:rPr>
            </w:pPr>
            <w:r w:rsidRPr="00E32C2C">
              <w:rPr>
                <w:sz w:val="16"/>
                <w:szCs w:val="16"/>
                <w:lang w:val="es-ES_tradnl"/>
              </w:rPr>
              <w:t>Número de programas de P.I. ejecutados conjuntamente con otros organismos de NN.UU. y otras OIG.</w:t>
            </w:r>
          </w:p>
        </w:tc>
        <w:tc>
          <w:tcPr>
            <w:tcW w:w="1156" w:type="pct"/>
            <w:shd w:val="clear" w:color="auto" w:fill="FFFFFF"/>
            <w:tcMar>
              <w:top w:w="113" w:type="dxa"/>
            </w:tcMar>
          </w:tcPr>
          <w:p w:rsidR="006F7F41" w:rsidRPr="00E32C2C" w:rsidRDefault="006F7F41" w:rsidP="008F4F69">
            <w:pPr>
              <w:rPr>
                <w:sz w:val="16"/>
                <w:szCs w:val="16"/>
                <w:lang w:val="es-ES_tradnl" w:bidi="th-TH"/>
              </w:rPr>
            </w:pPr>
            <w:r w:rsidRPr="00E32C2C">
              <w:rPr>
                <w:sz w:val="16"/>
                <w:szCs w:val="16"/>
                <w:lang w:val="es-ES_tradnl" w:bidi="th-TH"/>
              </w:rPr>
              <w:t>0 (cero) (</w:t>
            </w:r>
            <w:r w:rsidR="00BB5D51">
              <w:rPr>
                <w:sz w:val="16"/>
                <w:szCs w:val="16"/>
                <w:lang w:val="es-ES_tradnl" w:bidi="th-TH"/>
              </w:rPr>
              <w:t>OOS</w:t>
            </w:r>
            <w:r w:rsidRPr="00E32C2C">
              <w:rPr>
                <w:sz w:val="16"/>
                <w:szCs w:val="16"/>
                <w:lang w:val="es-ES_tradnl" w:bidi="th-TH"/>
              </w:rPr>
              <w:t>).</w:t>
            </w:r>
          </w:p>
          <w:p w:rsidR="006F7F41" w:rsidRPr="00E32C2C" w:rsidRDefault="006F7F41" w:rsidP="008F4F69">
            <w:pPr>
              <w:rPr>
                <w:sz w:val="16"/>
                <w:szCs w:val="16"/>
                <w:lang w:val="es-ES_tradnl" w:bidi="th-TH"/>
              </w:rPr>
            </w:pPr>
          </w:p>
          <w:p w:rsidR="006F7F41" w:rsidRPr="00E32C2C" w:rsidRDefault="006F7F41" w:rsidP="008F4F69">
            <w:pPr>
              <w:rPr>
                <w:sz w:val="16"/>
                <w:szCs w:val="16"/>
                <w:lang w:val="es-ES_tradnl" w:bidi="th-TH"/>
              </w:rPr>
            </w:pPr>
          </w:p>
        </w:tc>
        <w:tc>
          <w:tcPr>
            <w:tcW w:w="1081" w:type="pct"/>
            <w:tcBorders>
              <w:right w:val="single" w:sz="4" w:space="0" w:color="auto"/>
            </w:tcBorders>
            <w:shd w:val="clear" w:color="auto" w:fill="auto"/>
            <w:tcMar>
              <w:top w:w="113" w:type="dxa"/>
            </w:tcMar>
          </w:tcPr>
          <w:p w:rsidR="006F7F41" w:rsidRPr="00C75C7E" w:rsidRDefault="006F7F41" w:rsidP="008F4F69">
            <w:pPr>
              <w:keepNext/>
              <w:keepLines/>
              <w:tabs>
                <w:tab w:val="left" w:pos="1757"/>
              </w:tabs>
              <w:rPr>
                <w:bCs/>
                <w:sz w:val="16"/>
                <w:szCs w:val="16"/>
                <w:lang w:val="es-ES_tradnl"/>
              </w:rPr>
            </w:pPr>
            <w:r w:rsidRPr="00C75C7E">
              <w:rPr>
                <w:sz w:val="16"/>
                <w:szCs w:val="16"/>
                <w:lang w:val="es-ES_tradnl" w:bidi="th-TH"/>
              </w:rPr>
              <w:t>2% (</w:t>
            </w:r>
            <w:r w:rsidR="00BB5D51">
              <w:rPr>
                <w:sz w:val="16"/>
                <w:szCs w:val="16"/>
                <w:lang w:val="es-ES_tradnl" w:bidi="th-TH"/>
              </w:rPr>
              <w:t>OOS</w:t>
            </w:r>
            <w:r w:rsidRPr="00C75C7E">
              <w:rPr>
                <w:sz w:val="16"/>
                <w:szCs w:val="16"/>
                <w:lang w:val="es-ES_tradnl" w:bidi="th-TH"/>
              </w:rPr>
              <w:t>).</w:t>
            </w:r>
          </w:p>
        </w:tc>
      </w:tr>
    </w:tbl>
    <w:p w:rsidR="006F7F41" w:rsidRPr="00C75C7E" w:rsidRDefault="006F7F41" w:rsidP="006F7F41">
      <w:pPr>
        <w:tabs>
          <w:tab w:val="left" w:pos="567"/>
          <w:tab w:val="left" w:pos="1985"/>
        </w:tabs>
        <w:rPr>
          <w:bCs/>
          <w:sz w:val="20"/>
          <w:lang w:val="es-ES_tradnl"/>
        </w:rPr>
      </w:pPr>
    </w:p>
    <w:p w:rsidR="00BE322F" w:rsidRPr="00AD1E8B" w:rsidRDefault="00BE322F" w:rsidP="00542C2B">
      <w:pPr>
        <w:widowControl w:val="0"/>
        <w:rPr>
          <w:sz w:val="20"/>
          <w:lang w:val="es-ES_tradnl"/>
        </w:rPr>
      </w:pPr>
    </w:p>
    <w:p w:rsidR="00BE322F" w:rsidRPr="00AD1E8B" w:rsidRDefault="00BE322F" w:rsidP="00542C2B">
      <w:pPr>
        <w:widowControl w:val="0"/>
        <w:autoSpaceDE w:val="0"/>
        <w:autoSpaceDN w:val="0"/>
        <w:adjustRightInd w:val="0"/>
        <w:jc w:val="both"/>
        <w:rPr>
          <w:szCs w:val="22"/>
          <w:lang w:val="es-ES_tradnl"/>
        </w:rPr>
      </w:pPr>
      <w:r w:rsidRPr="00AD1E8B">
        <w:rPr>
          <w:szCs w:val="22"/>
          <w:lang w:val="es-ES_tradnl"/>
        </w:rPr>
        <w:t>RECURSOS PARA EL PROGRAMA 20</w:t>
      </w:r>
    </w:p>
    <w:p w:rsidR="00BE322F" w:rsidRPr="00AD1E8B" w:rsidRDefault="00BE322F" w:rsidP="00542C2B">
      <w:pPr>
        <w:widowControl w:val="0"/>
        <w:autoSpaceDE w:val="0"/>
        <w:autoSpaceDN w:val="0"/>
        <w:adjustRightInd w:val="0"/>
        <w:jc w:val="both"/>
        <w:rPr>
          <w:sz w:val="20"/>
          <w:lang w:val="es-ES_tradnl"/>
        </w:rPr>
      </w:pPr>
    </w:p>
    <w:p w:rsidR="00BE322F" w:rsidRPr="00AD1E8B" w:rsidRDefault="00BE322F" w:rsidP="00E17471">
      <w:pPr>
        <w:numPr>
          <w:ilvl w:val="0"/>
          <w:numId w:val="14"/>
        </w:numPr>
        <w:jc w:val="both"/>
        <w:rPr>
          <w:sz w:val="20"/>
          <w:lang w:val="es-ES_tradnl"/>
        </w:rPr>
      </w:pPr>
      <w:r w:rsidRPr="00AD1E8B">
        <w:rPr>
          <w:sz w:val="20"/>
          <w:lang w:val="es-ES_tradnl"/>
        </w:rPr>
        <w:t xml:space="preserve">El incremento general de los recursos para los </w:t>
      </w:r>
      <w:r w:rsidR="004E3B39" w:rsidRPr="00AD1E8B">
        <w:rPr>
          <w:sz w:val="20"/>
          <w:lang w:val="es-ES_tradnl"/>
        </w:rPr>
        <w:t xml:space="preserve">resultados </w:t>
      </w:r>
      <w:r w:rsidRPr="00AD1E8B">
        <w:rPr>
          <w:sz w:val="20"/>
          <w:lang w:val="es-ES_tradnl"/>
        </w:rPr>
        <w:t>en el marco de este programa dimana de la asignación de un suplemento de recursos de personal y de recursos no relativos al personal a las nuevas oficinas de la OMPI</w:t>
      </w:r>
      <w:r w:rsidR="008921D7">
        <w:rPr>
          <w:sz w:val="20"/>
          <w:lang w:val="es-ES_tradnl"/>
        </w:rPr>
        <w:t xml:space="preserve"> en el exterior</w:t>
      </w:r>
      <w:r w:rsidRPr="00AD1E8B">
        <w:rPr>
          <w:sz w:val="20"/>
          <w:lang w:val="es-ES_tradnl"/>
        </w:rPr>
        <w:t>.  Los incrementos de recursos no relativos al personal se reflejan principalmente en l</w:t>
      </w:r>
      <w:r>
        <w:rPr>
          <w:sz w:val="20"/>
          <w:lang w:val="es-ES_tradnl"/>
        </w:rPr>
        <w:t>as líneas "</w:t>
      </w:r>
      <w:r w:rsidRPr="00AD1E8B">
        <w:rPr>
          <w:sz w:val="20"/>
          <w:lang w:val="es-ES_tradnl"/>
        </w:rPr>
        <w:t>Locales y mantenimiento</w:t>
      </w:r>
      <w:r>
        <w:rPr>
          <w:sz w:val="20"/>
          <w:lang w:val="es-ES_tradnl"/>
        </w:rPr>
        <w:t>"</w:t>
      </w:r>
      <w:r w:rsidRPr="00AD1E8B">
        <w:rPr>
          <w:sz w:val="20"/>
          <w:lang w:val="es-ES_tradnl"/>
        </w:rPr>
        <w:t xml:space="preserve">, </w:t>
      </w:r>
      <w:r>
        <w:rPr>
          <w:sz w:val="20"/>
          <w:lang w:val="es-ES_tradnl"/>
        </w:rPr>
        <w:t>"</w:t>
      </w:r>
      <w:r w:rsidRPr="00AD1E8B">
        <w:rPr>
          <w:sz w:val="20"/>
          <w:lang w:val="es-ES_tradnl"/>
        </w:rPr>
        <w:t>Comunicaciones</w:t>
      </w:r>
      <w:r>
        <w:rPr>
          <w:sz w:val="20"/>
          <w:lang w:val="es-ES_tradnl"/>
        </w:rPr>
        <w:t>"</w:t>
      </w:r>
      <w:r w:rsidRPr="00AD1E8B">
        <w:rPr>
          <w:sz w:val="20"/>
          <w:lang w:val="es-ES_tradnl"/>
        </w:rPr>
        <w:t xml:space="preserve">, </w:t>
      </w:r>
      <w:r>
        <w:rPr>
          <w:sz w:val="20"/>
          <w:lang w:val="es-ES_tradnl"/>
        </w:rPr>
        <w:t>"</w:t>
      </w:r>
      <w:r w:rsidRPr="00AD1E8B">
        <w:rPr>
          <w:sz w:val="20"/>
          <w:lang w:val="es-ES_tradnl"/>
        </w:rPr>
        <w:t>Mobiliario y equipo</w:t>
      </w:r>
      <w:r>
        <w:rPr>
          <w:sz w:val="20"/>
          <w:lang w:val="es-ES_tradnl"/>
        </w:rPr>
        <w:t>s"</w:t>
      </w:r>
      <w:r w:rsidRPr="00AD1E8B">
        <w:rPr>
          <w:sz w:val="20"/>
          <w:lang w:val="es-ES_tradnl"/>
        </w:rPr>
        <w:t xml:space="preserve"> y </w:t>
      </w:r>
      <w:r>
        <w:rPr>
          <w:sz w:val="20"/>
          <w:lang w:val="es-ES_tradnl"/>
        </w:rPr>
        <w:t>"</w:t>
      </w:r>
      <w:r w:rsidRPr="00AD1E8B">
        <w:rPr>
          <w:sz w:val="20"/>
          <w:lang w:val="es-ES_tradnl"/>
        </w:rPr>
        <w:t>Suministros y material</w:t>
      </w:r>
      <w:r>
        <w:rPr>
          <w:sz w:val="20"/>
          <w:lang w:val="es-ES_tradnl"/>
        </w:rPr>
        <w:t>"</w:t>
      </w:r>
      <w:r w:rsidRPr="00AD1E8B">
        <w:rPr>
          <w:sz w:val="20"/>
          <w:lang w:val="es-ES_tradnl"/>
        </w:rPr>
        <w:t>.</w:t>
      </w:r>
    </w:p>
    <w:p w:rsidR="00BE322F" w:rsidRPr="00AD1E8B" w:rsidRDefault="00BE322F" w:rsidP="00BE322F">
      <w:pPr>
        <w:jc w:val="both"/>
        <w:rPr>
          <w:sz w:val="20"/>
          <w:lang w:val="es-ES_tradnl"/>
        </w:rPr>
      </w:pPr>
    </w:p>
    <w:p w:rsidR="00BE322F" w:rsidRPr="00AD1E8B" w:rsidRDefault="00BE322F" w:rsidP="00E17471">
      <w:pPr>
        <w:numPr>
          <w:ilvl w:val="0"/>
          <w:numId w:val="14"/>
        </w:numPr>
        <w:jc w:val="both"/>
        <w:rPr>
          <w:sz w:val="20"/>
          <w:lang w:val="es-ES_tradnl"/>
        </w:rPr>
      </w:pPr>
      <w:r w:rsidRPr="00AD1E8B">
        <w:rPr>
          <w:sz w:val="20"/>
          <w:lang w:val="es-ES_tradnl"/>
        </w:rPr>
        <w:t xml:space="preserve">La asignación de recursos a los diferentes </w:t>
      </w:r>
      <w:r>
        <w:rPr>
          <w:sz w:val="20"/>
          <w:lang w:val="es-ES_tradnl"/>
        </w:rPr>
        <w:t>r</w:t>
      </w:r>
      <w:r w:rsidRPr="00AD1E8B">
        <w:rPr>
          <w:sz w:val="20"/>
          <w:lang w:val="es-ES_tradnl"/>
        </w:rPr>
        <w:t xml:space="preserve">esultados individuales refleja la dedicación prioritaria de las oficinas </w:t>
      </w:r>
      <w:r w:rsidR="004E3B39">
        <w:rPr>
          <w:sz w:val="20"/>
          <w:lang w:val="es-ES_tradnl"/>
        </w:rPr>
        <w:t xml:space="preserve">en el </w:t>
      </w:r>
      <w:r w:rsidRPr="00AD1E8B">
        <w:rPr>
          <w:sz w:val="20"/>
          <w:lang w:val="es-ES_tradnl"/>
        </w:rPr>
        <w:t>exter</w:t>
      </w:r>
      <w:r w:rsidR="004E3B39">
        <w:rPr>
          <w:sz w:val="20"/>
          <w:lang w:val="es-ES_tradnl"/>
        </w:rPr>
        <w:t>ior</w:t>
      </w:r>
      <w:r w:rsidRPr="00AD1E8B">
        <w:rPr>
          <w:sz w:val="20"/>
          <w:lang w:val="es-ES_tradnl"/>
        </w:rPr>
        <w:t xml:space="preserve"> a las actividades de apoyo a los </w:t>
      </w:r>
      <w:r>
        <w:rPr>
          <w:sz w:val="20"/>
          <w:lang w:val="es-ES_tradnl"/>
        </w:rPr>
        <w:t>s</w:t>
      </w:r>
      <w:r w:rsidRPr="00AD1E8B">
        <w:rPr>
          <w:sz w:val="20"/>
          <w:lang w:val="es-ES_tradnl"/>
        </w:rPr>
        <w:t xml:space="preserve">ervicios </w:t>
      </w:r>
      <w:r>
        <w:rPr>
          <w:sz w:val="20"/>
          <w:lang w:val="es-ES_tradnl"/>
        </w:rPr>
        <w:t>m</w:t>
      </w:r>
      <w:r w:rsidRPr="00AD1E8B">
        <w:rPr>
          <w:sz w:val="20"/>
          <w:lang w:val="es-ES_tradnl"/>
        </w:rPr>
        <w:t xml:space="preserve">undiales de P.I. de la OMPI (Resultados II.1 (Mayor uso del PCT para la presentación de solicitudes internacionales), II.4 (Mejor utilización y mayor difusión del sistema de La Haya), II.6 (Mejor utilización y mayor difusión de los </w:t>
      </w:r>
      <w:r w:rsidRPr="00AD1E8B">
        <w:rPr>
          <w:sz w:val="20"/>
          <w:lang w:val="es-ES_tradnl"/>
        </w:rPr>
        <w:lastRenderedPageBreak/>
        <w:t xml:space="preserve">sistemas de Madrid y Lisboa) y II.8 (Prevención o solución de controversias en materia de P.I. mediante procedimientos de mediación, arbitraje y demás métodos de solución extrajudicial de controversias)), </w:t>
      </w:r>
      <w:r w:rsidR="00733234">
        <w:rPr>
          <w:sz w:val="20"/>
          <w:lang w:val="es-ES_tradnl"/>
        </w:rPr>
        <w:t xml:space="preserve">facilitar </w:t>
      </w:r>
      <w:r w:rsidRPr="00AD1E8B">
        <w:rPr>
          <w:sz w:val="20"/>
          <w:lang w:val="es-ES_tradnl"/>
        </w:rPr>
        <w:t>el uso de la P.I. en aras del desarrollo (Resultado III.2 (Mejora de las capacidades en el ámbito de los recursos humanos)), la mejora de la infraestructura mundial de P.I. (Resultados IV.2 (Mejora del acceso y uso de información y conocimientos de P.I.) y una mayor eficacia de las comunicaciones al público en general y a las partes interesadas, así como una receptividad acrecentada a las consultas en el país y región respectivos (Resultados VIII.1 (Comunicación eficaz al público en general acerca de la P.I. y de la función de la OMPI) y VIII.2 (Mejora en la prestación de servicios y la atención de consultas)).</w:t>
      </w:r>
    </w:p>
    <w:p w:rsidR="00BE322F" w:rsidRPr="00AD1E8B" w:rsidRDefault="00BE322F" w:rsidP="00BE322F">
      <w:pPr>
        <w:keepNext/>
        <w:keepLines/>
        <w:jc w:val="both"/>
        <w:rPr>
          <w:sz w:val="20"/>
          <w:lang w:val="es-ES_tradnl"/>
        </w:rPr>
      </w:pPr>
    </w:p>
    <w:p w:rsidR="006F7F41" w:rsidRPr="00C75C7E" w:rsidRDefault="00B27EBC" w:rsidP="00BE322F">
      <w:pPr>
        <w:keepNext/>
        <w:autoSpaceDE w:val="0"/>
        <w:autoSpaceDN w:val="0"/>
        <w:adjustRightInd w:val="0"/>
        <w:jc w:val="center"/>
        <w:rPr>
          <w:b/>
          <w:bCs/>
          <w:iCs/>
          <w:sz w:val="20"/>
          <w:lang w:val="es-ES_tradnl"/>
        </w:rPr>
      </w:pPr>
      <w:r>
        <w:rPr>
          <w:b/>
          <w:bCs/>
          <w:iCs/>
          <w:sz w:val="20"/>
          <w:lang w:val="es-ES_tradnl"/>
        </w:rPr>
        <w:t xml:space="preserve">Programa 20:  </w:t>
      </w:r>
      <w:r w:rsidR="006F7F41" w:rsidRPr="00C75C7E">
        <w:rPr>
          <w:b/>
          <w:bCs/>
          <w:iCs/>
          <w:sz w:val="20"/>
          <w:lang w:val="es-ES_tradnl"/>
        </w:rPr>
        <w:t>Recursos por resultado</w:t>
      </w:r>
    </w:p>
    <w:p w:rsidR="006F7F41" w:rsidRDefault="006F7F41" w:rsidP="00BE322F">
      <w:pPr>
        <w:keepNext/>
        <w:autoSpaceDE w:val="0"/>
        <w:autoSpaceDN w:val="0"/>
        <w:adjustRightInd w:val="0"/>
        <w:jc w:val="center"/>
        <w:rPr>
          <w:bCs/>
          <w:i/>
          <w:sz w:val="20"/>
          <w:lang w:val="es-ES_tradnl"/>
        </w:rPr>
      </w:pPr>
      <w:r w:rsidRPr="00C75C7E">
        <w:rPr>
          <w:bCs/>
          <w:i/>
          <w:sz w:val="20"/>
          <w:lang w:val="es-ES_tradnl"/>
        </w:rPr>
        <w:t>(en miles de francos suizos)</w:t>
      </w:r>
    </w:p>
    <w:p w:rsidR="006265DC" w:rsidRDefault="006265DC" w:rsidP="00BE322F">
      <w:pPr>
        <w:keepNext/>
        <w:autoSpaceDE w:val="0"/>
        <w:autoSpaceDN w:val="0"/>
        <w:adjustRightInd w:val="0"/>
        <w:jc w:val="center"/>
        <w:rPr>
          <w:bCs/>
          <w:i/>
          <w:sz w:val="20"/>
          <w:lang w:val="es-ES_tradnl"/>
        </w:rPr>
      </w:pPr>
    </w:p>
    <w:p w:rsidR="006265DC" w:rsidRPr="00C75C7E" w:rsidRDefault="00B27EBC" w:rsidP="00BE322F">
      <w:pPr>
        <w:keepNext/>
        <w:autoSpaceDE w:val="0"/>
        <w:autoSpaceDN w:val="0"/>
        <w:adjustRightInd w:val="0"/>
        <w:jc w:val="center"/>
        <w:rPr>
          <w:bCs/>
          <w:i/>
          <w:sz w:val="20"/>
          <w:lang w:val="es-ES_tradnl"/>
        </w:rPr>
      </w:pPr>
      <w:r w:rsidRPr="00B27EBC">
        <w:rPr>
          <w:noProof/>
          <w:lang w:val="en-US" w:eastAsia="en-US"/>
        </w:rPr>
        <w:drawing>
          <wp:inline distT="0" distB="0" distL="0" distR="0">
            <wp:extent cx="5886450" cy="5934075"/>
            <wp:effectExtent l="0" t="0" r="0" b="952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886450" cy="5934075"/>
                    </a:xfrm>
                    <a:prstGeom prst="rect">
                      <a:avLst/>
                    </a:prstGeom>
                    <a:noFill/>
                    <a:ln>
                      <a:noFill/>
                    </a:ln>
                  </pic:spPr>
                </pic:pic>
              </a:graphicData>
            </a:graphic>
          </wp:inline>
        </w:drawing>
      </w:r>
    </w:p>
    <w:p w:rsidR="006F7F41" w:rsidRPr="00C75C7E" w:rsidRDefault="006F7F41" w:rsidP="00BE322F">
      <w:pPr>
        <w:keepNext/>
        <w:widowControl w:val="0"/>
        <w:autoSpaceDE w:val="0"/>
        <w:autoSpaceDN w:val="0"/>
        <w:adjustRightInd w:val="0"/>
        <w:rPr>
          <w:sz w:val="20"/>
          <w:lang w:val="es-ES_tradnl"/>
        </w:rPr>
      </w:pPr>
    </w:p>
    <w:p w:rsidR="006F7F41" w:rsidRPr="00C75C7E" w:rsidRDefault="006F7F41" w:rsidP="006F7F41">
      <w:pPr>
        <w:keepLines/>
        <w:autoSpaceDE w:val="0"/>
        <w:autoSpaceDN w:val="0"/>
        <w:adjustRightInd w:val="0"/>
        <w:rPr>
          <w:sz w:val="20"/>
          <w:lang w:val="es-ES_tradnl"/>
        </w:rPr>
      </w:pPr>
      <w:r w:rsidRPr="00C75C7E">
        <w:rPr>
          <w:sz w:val="16"/>
          <w:szCs w:val="16"/>
          <w:lang w:val="es-ES_tradnl"/>
        </w:rPr>
        <w:t xml:space="preserve">Nota: </w:t>
      </w:r>
      <w:r w:rsidR="004D2C03">
        <w:rPr>
          <w:sz w:val="16"/>
          <w:szCs w:val="16"/>
          <w:lang w:val="es-ES_tradnl"/>
        </w:rPr>
        <w:t xml:space="preserve"> </w:t>
      </w:r>
      <w:r w:rsidRPr="00C75C7E">
        <w:rPr>
          <w:sz w:val="16"/>
          <w:szCs w:val="16"/>
          <w:lang w:val="es-ES_tradnl"/>
        </w:rPr>
        <w:t>Se ha reexpresado el presupuesto aprobado de 2012/13 y el presupuesto de dicho bienio después de las transferencias, por resultado previsto, para reflejar el marco de resultados de la Organización propuesto para 2014/15.</w:t>
      </w:r>
    </w:p>
    <w:p w:rsidR="006F7F41" w:rsidRPr="00C75C7E" w:rsidRDefault="006F7F41" w:rsidP="00516B69">
      <w:pPr>
        <w:jc w:val="both"/>
        <w:rPr>
          <w:sz w:val="20"/>
          <w:highlight w:val="yellow"/>
          <w:lang w:val="es-ES_tradnl"/>
        </w:rPr>
      </w:pPr>
    </w:p>
    <w:p w:rsidR="006F7F41" w:rsidRPr="00C75C7E" w:rsidRDefault="00B27EBC" w:rsidP="00D22678">
      <w:pPr>
        <w:keepNext/>
        <w:autoSpaceDE w:val="0"/>
        <w:autoSpaceDN w:val="0"/>
        <w:adjustRightInd w:val="0"/>
        <w:jc w:val="center"/>
        <w:rPr>
          <w:b/>
          <w:bCs/>
          <w:iCs/>
          <w:sz w:val="20"/>
          <w:lang w:val="es-ES_tradnl"/>
        </w:rPr>
      </w:pPr>
      <w:r>
        <w:rPr>
          <w:b/>
          <w:bCs/>
          <w:iCs/>
          <w:sz w:val="20"/>
          <w:lang w:val="es-ES_tradnl"/>
        </w:rPr>
        <w:lastRenderedPageBreak/>
        <w:t xml:space="preserve">Programa 20:  </w:t>
      </w:r>
      <w:r w:rsidR="006F7F41" w:rsidRPr="00C75C7E">
        <w:rPr>
          <w:b/>
          <w:bCs/>
          <w:iCs/>
          <w:sz w:val="20"/>
          <w:lang w:val="es-ES_tradnl"/>
        </w:rPr>
        <w:t>Recursos por objeto de gasto</w:t>
      </w:r>
    </w:p>
    <w:p w:rsidR="006F7F41" w:rsidRDefault="006F7F41" w:rsidP="00D22678">
      <w:pPr>
        <w:keepNext/>
        <w:autoSpaceDE w:val="0"/>
        <w:autoSpaceDN w:val="0"/>
        <w:adjustRightInd w:val="0"/>
        <w:jc w:val="center"/>
        <w:rPr>
          <w:bCs/>
          <w:i/>
          <w:sz w:val="20"/>
          <w:lang w:val="es-ES_tradnl"/>
        </w:rPr>
      </w:pPr>
      <w:r w:rsidRPr="00C75C7E">
        <w:rPr>
          <w:bCs/>
          <w:i/>
          <w:sz w:val="20"/>
          <w:lang w:val="es-ES_tradnl"/>
        </w:rPr>
        <w:t>(en miles de francos suizos)</w:t>
      </w:r>
    </w:p>
    <w:p w:rsidR="001E5683" w:rsidRDefault="001E5683" w:rsidP="00D22678">
      <w:pPr>
        <w:keepNext/>
        <w:autoSpaceDE w:val="0"/>
        <w:autoSpaceDN w:val="0"/>
        <w:adjustRightInd w:val="0"/>
        <w:jc w:val="center"/>
        <w:rPr>
          <w:bCs/>
          <w:i/>
          <w:sz w:val="20"/>
          <w:lang w:val="es-ES_tradnl"/>
        </w:rPr>
      </w:pPr>
    </w:p>
    <w:p w:rsidR="001E5683" w:rsidRPr="00C75C7E" w:rsidRDefault="00C40A11" w:rsidP="00D22678">
      <w:pPr>
        <w:keepNext/>
        <w:autoSpaceDE w:val="0"/>
        <w:autoSpaceDN w:val="0"/>
        <w:adjustRightInd w:val="0"/>
        <w:jc w:val="center"/>
        <w:rPr>
          <w:bCs/>
          <w:i/>
          <w:sz w:val="20"/>
          <w:lang w:val="es-ES_tradnl"/>
        </w:rPr>
      </w:pPr>
      <w:r>
        <w:rPr>
          <w:noProof/>
          <w:lang w:val="en-US" w:eastAsia="en-US"/>
        </w:rPr>
        <w:drawing>
          <wp:inline distT="0" distB="0" distL="0" distR="0" wp14:anchorId="2627597B" wp14:editId="4EA08DDD">
            <wp:extent cx="5936615" cy="5739130"/>
            <wp:effectExtent l="0" t="0" r="6985"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5936615" cy="5739130"/>
                    </a:xfrm>
                    <a:prstGeom prst="rect">
                      <a:avLst/>
                    </a:prstGeom>
                    <a:noFill/>
                    <a:ln>
                      <a:noFill/>
                    </a:ln>
                  </pic:spPr>
                </pic:pic>
              </a:graphicData>
            </a:graphic>
          </wp:inline>
        </w:drawing>
      </w:r>
    </w:p>
    <w:p w:rsidR="001E5683" w:rsidRDefault="001E5683" w:rsidP="006F7F41">
      <w:pPr>
        <w:widowControl w:val="0"/>
        <w:rPr>
          <w:sz w:val="20"/>
          <w:lang w:val="es-ES_tradnl"/>
        </w:rPr>
      </w:pPr>
    </w:p>
    <w:p w:rsidR="006F7F41" w:rsidRPr="00C75C7E" w:rsidRDefault="006F7F41" w:rsidP="006F7F41">
      <w:pPr>
        <w:widowControl w:val="0"/>
        <w:rPr>
          <w:sz w:val="16"/>
          <w:szCs w:val="16"/>
          <w:lang w:val="es-ES_tradnl"/>
        </w:rPr>
      </w:pPr>
      <w:r w:rsidRPr="00C75C7E">
        <w:rPr>
          <w:sz w:val="16"/>
          <w:szCs w:val="16"/>
          <w:lang w:val="es-ES_tradnl"/>
        </w:rPr>
        <w:t>Notas:</w:t>
      </w:r>
    </w:p>
    <w:p w:rsidR="006F7F41" w:rsidRPr="00C75C7E" w:rsidRDefault="006F7F41" w:rsidP="006F7F41">
      <w:pPr>
        <w:widowControl w:val="0"/>
        <w:rPr>
          <w:sz w:val="16"/>
          <w:szCs w:val="16"/>
          <w:u w:val="single"/>
          <w:lang w:val="es-ES_tradnl"/>
        </w:rPr>
      </w:pPr>
    </w:p>
    <w:p w:rsidR="006F7F41" w:rsidRPr="00C75C7E" w:rsidRDefault="006F7F41" w:rsidP="006F7F41">
      <w:pPr>
        <w:widowControl w:val="0"/>
        <w:spacing w:after="120"/>
        <w:rPr>
          <w:sz w:val="16"/>
          <w:szCs w:val="16"/>
          <w:lang w:val="es-ES_tradnl"/>
        </w:rPr>
      </w:pPr>
      <w:r>
        <w:rPr>
          <w:sz w:val="16"/>
          <w:szCs w:val="16"/>
          <w:lang w:val="es-ES_tradnl"/>
        </w:rPr>
        <w:t>1)</w:t>
      </w:r>
      <w:r w:rsidR="00516B69">
        <w:rPr>
          <w:sz w:val="16"/>
          <w:szCs w:val="16"/>
          <w:lang w:val="es-ES_tradnl"/>
        </w:rPr>
        <w:t xml:space="preserve">  </w:t>
      </w:r>
      <w:r w:rsidRPr="00C75C7E">
        <w:rPr>
          <w:sz w:val="16"/>
          <w:szCs w:val="16"/>
          <w:lang w:val="es-ES_tradnl"/>
        </w:rPr>
        <w:t>El presupuesto aprobado de 2012/13 y el presupuesto de dicho bienio después de las transferencias se reexpresan sobre la base de la estructura de categorías de costos propuesta para 2014/15.</w:t>
      </w:r>
    </w:p>
    <w:p w:rsidR="006F7F41" w:rsidRPr="00C75C7E" w:rsidRDefault="006F7F41" w:rsidP="006F7F41">
      <w:pPr>
        <w:widowControl w:val="0"/>
        <w:spacing w:after="120"/>
        <w:rPr>
          <w:sz w:val="16"/>
          <w:szCs w:val="16"/>
          <w:lang w:val="es-ES_tradnl"/>
        </w:rPr>
      </w:pPr>
      <w:r>
        <w:rPr>
          <w:sz w:val="16"/>
          <w:szCs w:val="16"/>
          <w:lang w:val="es-ES_tradnl"/>
        </w:rPr>
        <w:t>2)</w:t>
      </w:r>
      <w:r w:rsidR="00516B69">
        <w:rPr>
          <w:sz w:val="16"/>
          <w:szCs w:val="16"/>
          <w:lang w:val="es-ES_tradnl"/>
        </w:rPr>
        <w:t xml:space="preserve">  </w:t>
      </w:r>
      <w:r w:rsidRPr="00C75C7E">
        <w:rPr>
          <w:sz w:val="16"/>
          <w:szCs w:val="16"/>
          <w:lang w:val="es-ES_tradnl"/>
        </w:rPr>
        <w:t>El presupuesto después de las transferencias refleja el presupuesto de los programas ajustado tras las transferencias efectuadas en 2012/13 en virtud del artículo 5.5 del Reglamento Financiero. Para más información sobre el presupuesto de</w:t>
      </w:r>
      <w:r w:rsidR="00D86F03">
        <w:rPr>
          <w:sz w:val="16"/>
          <w:szCs w:val="16"/>
          <w:lang w:val="es-ES_tradnl"/>
        </w:rPr>
        <w:t> </w:t>
      </w:r>
      <w:r w:rsidRPr="00C75C7E">
        <w:rPr>
          <w:sz w:val="16"/>
          <w:szCs w:val="16"/>
          <w:lang w:val="es-ES_tradnl"/>
        </w:rPr>
        <w:t xml:space="preserve">2012/13 después de las transferencias, cabe remitirse al cuadro que figura en el Anexo I (Presupuesto después de las transferencias, por programa) del presente documento y al documento WO/PBC/20/2 (Informe sobre el rendimiento de los programas en 2012).  </w:t>
      </w:r>
      <w:r w:rsidRPr="00C75C7E">
        <w:rPr>
          <w:rFonts w:cs="ArialMT"/>
          <w:sz w:val="16"/>
          <w:szCs w:val="16"/>
          <w:lang w:val="es-ES_tradnl"/>
        </w:rPr>
        <w:t xml:space="preserve">Los costos de personal del presupuesto de 2012/13 después de las transferencias representan los gastos reales efectuados hasta el 31 de marzo de 2013 y los importes presupuestados para los nueve meses restantes de 2013, sobre la base de costos estándar. </w:t>
      </w:r>
    </w:p>
    <w:p w:rsidR="006F7F41" w:rsidRPr="00C75C7E" w:rsidRDefault="006F7F41" w:rsidP="006F7F41">
      <w:pPr>
        <w:widowControl w:val="0"/>
        <w:spacing w:after="120"/>
        <w:rPr>
          <w:sz w:val="20"/>
          <w:highlight w:val="yellow"/>
          <w:lang w:val="es-ES_tradnl"/>
        </w:rPr>
      </w:pPr>
      <w:r>
        <w:rPr>
          <w:sz w:val="16"/>
          <w:szCs w:val="16"/>
          <w:lang w:val="es-ES_tradnl"/>
        </w:rPr>
        <w:t>3)</w:t>
      </w:r>
      <w:r w:rsidR="00516B69">
        <w:rPr>
          <w:sz w:val="16"/>
          <w:szCs w:val="16"/>
          <w:lang w:val="es-ES_tradnl"/>
        </w:rPr>
        <w:t xml:space="preserve">  </w:t>
      </w:r>
      <w:r w:rsidRPr="00C75C7E">
        <w:rPr>
          <w:sz w:val="16"/>
          <w:szCs w:val="16"/>
          <w:lang w:val="es-ES_tradnl"/>
        </w:rPr>
        <w:t>Para más información sobre los puestos del programa cabe remitirse al cuadro que figura en el Anexo II.</w:t>
      </w:r>
    </w:p>
    <w:p w:rsidR="006F7F41" w:rsidRPr="00C75C7E" w:rsidRDefault="006F7F41" w:rsidP="00D73B21">
      <w:pPr>
        <w:keepNext/>
        <w:widowControl w:val="0"/>
        <w:jc w:val="center"/>
        <w:rPr>
          <w:sz w:val="16"/>
          <w:szCs w:val="16"/>
          <w:lang w:val="es-ES_tradnl"/>
        </w:rPr>
      </w:pPr>
      <w:r w:rsidRPr="00C75C7E">
        <w:rPr>
          <w:sz w:val="18"/>
          <w:szCs w:val="18"/>
          <w:lang w:val="es-ES_tradnl"/>
        </w:rPr>
        <w:lastRenderedPageBreak/>
        <w:t>Fondos fiduciarios disponibles potencialmente para su utilización en 2014/15*</w:t>
      </w:r>
    </w:p>
    <w:p w:rsidR="006F7F41" w:rsidRPr="00C75C7E" w:rsidRDefault="006F7F41" w:rsidP="00D73B21">
      <w:pPr>
        <w:keepNext/>
        <w:widowControl w:val="0"/>
        <w:jc w:val="center"/>
        <w:rPr>
          <w:sz w:val="18"/>
          <w:szCs w:val="18"/>
          <w:lang w:val="es-ES_tradnl"/>
        </w:rPr>
      </w:pPr>
      <w:r w:rsidRPr="00C75C7E">
        <w:rPr>
          <w:iCs/>
          <w:sz w:val="18"/>
          <w:szCs w:val="18"/>
          <w:lang w:val="es-ES_tradnl"/>
        </w:rPr>
        <w:t>(en miles de francos suizos)</w:t>
      </w:r>
    </w:p>
    <w:p w:rsidR="006F7F41" w:rsidRPr="00C75C7E" w:rsidRDefault="006F7F41" w:rsidP="00D73B21">
      <w:pPr>
        <w:keepNext/>
        <w:widowControl w:val="0"/>
        <w:rPr>
          <w:sz w:val="20"/>
          <w:lang w:val="es-ES_tradnl"/>
        </w:rPr>
      </w:pPr>
    </w:p>
    <w:p w:rsidR="006F7F41" w:rsidRPr="00C75C7E" w:rsidRDefault="00C40A11" w:rsidP="00D73B21">
      <w:pPr>
        <w:keepNext/>
        <w:widowControl w:val="0"/>
        <w:jc w:val="center"/>
        <w:rPr>
          <w:sz w:val="20"/>
          <w:lang w:val="es-ES_tradnl"/>
        </w:rPr>
      </w:pPr>
      <w:r>
        <w:rPr>
          <w:noProof/>
          <w:lang w:val="en-US" w:eastAsia="en-US"/>
        </w:rPr>
        <w:drawing>
          <wp:inline distT="0" distB="0" distL="0" distR="0" wp14:anchorId="006F2A63" wp14:editId="43B9B5F0">
            <wp:extent cx="4217035" cy="839470"/>
            <wp:effectExtent l="0" t="0" r="0" b="0"/>
            <wp:docPr id="66"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4217035" cy="839470"/>
                    </a:xfrm>
                    <a:prstGeom prst="rect">
                      <a:avLst/>
                    </a:prstGeom>
                    <a:noFill/>
                    <a:ln>
                      <a:noFill/>
                    </a:ln>
                  </pic:spPr>
                </pic:pic>
              </a:graphicData>
            </a:graphic>
          </wp:inline>
        </w:drawing>
      </w:r>
    </w:p>
    <w:p w:rsidR="006F7F41" w:rsidRPr="00C75C7E" w:rsidRDefault="006F7F41" w:rsidP="002963D7">
      <w:pPr>
        <w:widowControl w:val="0"/>
        <w:jc w:val="both"/>
        <w:rPr>
          <w:sz w:val="16"/>
          <w:szCs w:val="16"/>
          <w:lang w:val="es-ES_tradnl"/>
        </w:rPr>
      </w:pPr>
    </w:p>
    <w:p w:rsidR="006F7F41" w:rsidRPr="00C75C7E" w:rsidRDefault="006F7F41" w:rsidP="002963D7">
      <w:pPr>
        <w:widowControl w:val="0"/>
        <w:ind w:left="1134"/>
        <w:jc w:val="both"/>
        <w:rPr>
          <w:sz w:val="16"/>
          <w:szCs w:val="16"/>
          <w:lang w:val="es-ES_tradnl"/>
        </w:rPr>
      </w:pPr>
      <w:r w:rsidRPr="00C75C7E">
        <w:rPr>
          <w:sz w:val="16"/>
          <w:szCs w:val="16"/>
          <w:lang w:val="es-ES_tradnl"/>
        </w:rPr>
        <w:t>*  A título informativo únicamente.  Para más información cabe remitirse al Anexo VIII.</w:t>
      </w:r>
    </w:p>
    <w:p w:rsidR="006F7F41" w:rsidRPr="00C75C7E" w:rsidRDefault="006F7F41" w:rsidP="002963D7">
      <w:pPr>
        <w:widowControl w:val="0"/>
        <w:ind w:left="1134"/>
        <w:jc w:val="both"/>
        <w:rPr>
          <w:sz w:val="16"/>
          <w:szCs w:val="16"/>
          <w:lang w:val="es-ES_tradnl"/>
        </w:rPr>
      </w:pPr>
    </w:p>
    <w:p w:rsidR="006F7F41" w:rsidRPr="00C75C7E" w:rsidRDefault="006F7F41" w:rsidP="002963D7">
      <w:pPr>
        <w:widowControl w:val="0"/>
        <w:ind w:left="1134"/>
        <w:jc w:val="both"/>
        <w:rPr>
          <w:sz w:val="16"/>
          <w:szCs w:val="16"/>
          <w:lang w:val="es-ES_tradnl"/>
        </w:rPr>
      </w:pPr>
      <w:r w:rsidRPr="00C75C7E">
        <w:rPr>
          <w:sz w:val="16"/>
          <w:szCs w:val="16"/>
          <w:lang w:val="es-ES_tradnl"/>
        </w:rPr>
        <w:t>**  En las cifras no se han incluido los intereses ni los ajustes cambiarios.  Cabe observar asimismo que estos fondos se destinan generalmente a actividades que cubren un período que va más allá de un solo bienio, a medida que se reciben los ingresos y se incurre en gastos.</w:t>
      </w:r>
    </w:p>
    <w:p w:rsidR="006F7F41" w:rsidRPr="00C75C7E" w:rsidRDefault="006F7F41" w:rsidP="006F7F41">
      <w:pPr>
        <w:widowControl w:val="0"/>
        <w:ind w:left="1134"/>
        <w:jc w:val="both"/>
        <w:rPr>
          <w:sz w:val="16"/>
          <w:szCs w:val="16"/>
          <w:lang w:val="es-ES_tradnl"/>
        </w:rPr>
      </w:pPr>
    </w:p>
    <w:p w:rsidR="006F7F41" w:rsidRPr="00C75C7E" w:rsidRDefault="006F7F41" w:rsidP="006F7F41">
      <w:pPr>
        <w:widowControl w:val="0"/>
        <w:ind w:left="1134"/>
        <w:jc w:val="both"/>
        <w:rPr>
          <w:sz w:val="16"/>
          <w:szCs w:val="16"/>
          <w:lang w:val="es-ES_tradnl"/>
        </w:rPr>
      </w:pPr>
      <w:r w:rsidRPr="00C75C7E">
        <w:rPr>
          <w:sz w:val="16"/>
          <w:szCs w:val="16"/>
          <w:lang w:val="es-ES_tradnl"/>
        </w:rPr>
        <w:t>***  Las contribuciones anuales varían y se han observado fluctuaciones de un año a otro.</w:t>
      </w:r>
    </w:p>
    <w:p w:rsidR="006F7F41" w:rsidRPr="00C75C7E" w:rsidRDefault="006F7F41" w:rsidP="006F7F41">
      <w:pPr>
        <w:widowControl w:val="0"/>
        <w:ind w:left="1134"/>
        <w:jc w:val="both"/>
        <w:rPr>
          <w:sz w:val="16"/>
          <w:szCs w:val="16"/>
          <w:lang w:val="es-ES_tradnl"/>
        </w:rPr>
      </w:pPr>
    </w:p>
    <w:p w:rsidR="006F7F41" w:rsidRPr="00C75C7E" w:rsidRDefault="006F7F41" w:rsidP="006F7F41">
      <w:pPr>
        <w:ind w:left="1134"/>
        <w:jc w:val="both"/>
        <w:rPr>
          <w:sz w:val="16"/>
          <w:szCs w:val="16"/>
          <w:lang w:val="es-ES_tradnl"/>
        </w:rPr>
      </w:pPr>
      <w:r w:rsidRPr="00C75C7E">
        <w:rPr>
          <w:sz w:val="16"/>
          <w:szCs w:val="16"/>
          <w:lang w:val="es-ES_tradnl"/>
        </w:rPr>
        <w:t>****  Las cifras expuestas en esta columna son puramente indicativas y se basan en patrones de financiación anteriores.  Además, no representan los compromisos de los Estados miembros salvo cuando quedan incluidos en el acuerdo de fondos fiduciarios.</w:t>
      </w:r>
    </w:p>
    <w:p w:rsidR="002F6F11" w:rsidRDefault="002F6F11" w:rsidP="003E638B">
      <w:pPr>
        <w:rPr>
          <w:sz w:val="20"/>
          <w:lang w:val="es-ES_tradnl"/>
        </w:rPr>
      </w:pPr>
    </w:p>
    <w:p w:rsidR="002F6F11" w:rsidRDefault="002F6F11" w:rsidP="003E638B">
      <w:pPr>
        <w:rPr>
          <w:sz w:val="20"/>
          <w:lang w:val="es-ES_tradnl"/>
        </w:rPr>
      </w:pPr>
    </w:p>
    <w:p w:rsidR="008B390C" w:rsidRDefault="008B390C" w:rsidP="003E638B">
      <w:pPr>
        <w:rPr>
          <w:sz w:val="20"/>
          <w:lang w:val="es-ES_tradnl"/>
        </w:rPr>
        <w:sectPr w:rsidR="008B390C" w:rsidSect="00FF362A">
          <w:headerReference w:type="even" r:id="rId112"/>
          <w:headerReference w:type="default" r:id="rId113"/>
          <w:headerReference w:type="first" r:id="rId114"/>
          <w:pgSz w:w="11907" w:h="16840" w:code="9"/>
          <w:pgMar w:top="567" w:right="1134" w:bottom="1418" w:left="1418" w:header="510" w:footer="1021" w:gutter="0"/>
          <w:cols w:space="720"/>
          <w:titlePg/>
        </w:sectPr>
      </w:pPr>
    </w:p>
    <w:p w:rsidR="00B27EBC" w:rsidRPr="00B27EBC" w:rsidRDefault="00D73B21" w:rsidP="00B27EBC">
      <w:pPr>
        <w:pStyle w:val="Heading2"/>
        <w:jc w:val="center"/>
        <w:rPr>
          <w:b/>
          <w:caps w:val="0"/>
          <w:lang w:val="es-ES_tradnl"/>
        </w:rPr>
      </w:pPr>
      <w:bookmarkStart w:id="73" w:name="_Toc356567775"/>
      <w:bookmarkStart w:id="74" w:name="_Toc358816713"/>
      <w:r w:rsidRPr="00B27EBC">
        <w:rPr>
          <w:b/>
          <w:caps w:val="0"/>
          <w:lang w:val="es-ES_tradnl"/>
        </w:rPr>
        <w:lastRenderedPageBreak/>
        <w:t>META ESTRATÉGICA IX</w:t>
      </w:r>
      <w:bookmarkEnd w:id="73"/>
    </w:p>
    <w:p w:rsidR="00D73B21" w:rsidRPr="00B27EBC" w:rsidRDefault="00D73B21" w:rsidP="00B27EBC">
      <w:pPr>
        <w:pStyle w:val="Heading2"/>
        <w:jc w:val="center"/>
        <w:rPr>
          <w:b/>
          <w:caps w:val="0"/>
          <w:lang w:val="es-ES_tradnl"/>
        </w:rPr>
      </w:pPr>
      <w:r w:rsidRPr="00B27EBC">
        <w:rPr>
          <w:b/>
          <w:caps w:val="0"/>
          <w:lang w:val="es-ES_tradnl"/>
        </w:rPr>
        <w:t>APOYO ADMINISTRATIVO Y FINANCIERO EFICIENTE</w:t>
      </w:r>
      <w:bookmarkEnd w:id="74"/>
    </w:p>
    <w:p w:rsidR="00D73B21" w:rsidRPr="008F5D63" w:rsidRDefault="00D73B21" w:rsidP="00D73B21">
      <w:pPr>
        <w:tabs>
          <w:tab w:val="left" w:pos="1701"/>
        </w:tabs>
        <w:ind w:left="1701" w:hanging="1701"/>
        <w:jc w:val="center"/>
        <w:rPr>
          <w:b/>
          <w:bCs/>
          <w:caps/>
          <w:szCs w:val="24"/>
        </w:rPr>
      </w:pPr>
    </w:p>
    <w:p w:rsidR="00D73B21" w:rsidRPr="008F5D63" w:rsidRDefault="00D73B21" w:rsidP="00D73B21">
      <w:pPr>
        <w:tabs>
          <w:tab w:val="left" w:pos="1701"/>
        </w:tabs>
        <w:ind w:left="1701" w:hanging="1701"/>
        <w:jc w:val="center"/>
        <w:rPr>
          <w:b/>
          <w:bCs/>
          <w:caps/>
          <w:szCs w:val="24"/>
        </w:rPr>
      </w:pPr>
    </w:p>
    <w:p w:rsidR="00D73B21" w:rsidRPr="008F5D63" w:rsidRDefault="00D73B21" w:rsidP="00D73B21">
      <w:pPr>
        <w:tabs>
          <w:tab w:val="left" w:pos="0"/>
        </w:tabs>
        <w:jc w:val="both"/>
        <w:rPr>
          <w:sz w:val="20"/>
        </w:rPr>
      </w:pPr>
      <w:r w:rsidRPr="008F5D63">
        <w:rPr>
          <w:sz w:val="20"/>
        </w:rPr>
        <w:t>La meta estratégica IX es la segunda de las dos metas coadyuvantes. Refleja y satisface la</w:t>
      </w:r>
      <w:r>
        <w:rPr>
          <w:sz w:val="20"/>
        </w:rPr>
        <w:t xml:space="preserve"> </w:t>
      </w:r>
      <w:r w:rsidRPr="008F5D63">
        <w:rPr>
          <w:sz w:val="20"/>
        </w:rPr>
        <w:t>necesidad de la Organización de contar con una estructura de apoyo, en el aspecto administrativo,</w:t>
      </w:r>
      <w:r>
        <w:rPr>
          <w:sz w:val="20"/>
        </w:rPr>
        <w:t xml:space="preserve"> </w:t>
      </w:r>
      <w:r w:rsidRPr="008F5D63">
        <w:rPr>
          <w:sz w:val="20"/>
        </w:rPr>
        <w:t>financiero y de gestión, que coadyuve la ejecución de los programas, cuyos principios rectores sean</w:t>
      </w:r>
      <w:r>
        <w:rPr>
          <w:sz w:val="20"/>
        </w:rPr>
        <w:t xml:space="preserve"> </w:t>
      </w:r>
      <w:r w:rsidRPr="008F5D63">
        <w:rPr>
          <w:sz w:val="20"/>
        </w:rPr>
        <w:t>la eficiencia y la transparencia. Esta meta estratégica también abarca la reforma institucional amplia</w:t>
      </w:r>
      <w:r>
        <w:rPr>
          <w:sz w:val="20"/>
        </w:rPr>
        <w:t xml:space="preserve"> </w:t>
      </w:r>
      <w:r w:rsidRPr="008F5D63">
        <w:rPr>
          <w:sz w:val="20"/>
        </w:rPr>
        <w:t xml:space="preserve">(el </w:t>
      </w:r>
      <w:r w:rsidR="00AE7D43">
        <w:rPr>
          <w:sz w:val="20"/>
        </w:rPr>
        <w:t>Programa de Alineación Estratégica</w:t>
      </w:r>
      <w:r w:rsidRPr="008F5D63">
        <w:rPr>
          <w:sz w:val="20"/>
        </w:rPr>
        <w:t>) que mejorará el apoyo que brinda la OMPI, haciéndolo más</w:t>
      </w:r>
      <w:r>
        <w:rPr>
          <w:sz w:val="20"/>
        </w:rPr>
        <w:t xml:space="preserve"> </w:t>
      </w:r>
      <w:r w:rsidRPr="008F5D63">
        <w:rPr>
          <w:sz w:val="20"/>
        </w:rPr>
        <w:t>eficiente y económico, y favorecerá un mejor rendimiento en la Organización.</w:t>
      </w:r>
    </w:p>
    <w:p w:rsidR="00D4275F" w:rsidRPr="00D73B21" w:rsidRDefault="00D4275F" w:rsidP="003E638B">
      <w:pPr>
        <w:rPr>
          <w:sz w:val="20"/>
        </w:rPr>
      </w:pPr>
    </w:p>
    <w:tbl>
      <w:tblPr>
        <w:tblW w:w="4855"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514"/>
        <w:gridCol w:w="2833"/>
        <w:gridCol w:w="2946"/>
      </w:tblGrid>
      <w:tr w:rsidR="009F58E5" w:rsidRPr="00C75C7E" w:rsidTr="008F4F69">
        <w:trPr>
          <w:cantSplit/>
          <w:trHeight w:val="317"/>
          <w:tblHeader/>
        </w:trPr>
        <w:tc>
          <w:tcPr>
            <w:tcW w:w="1891" w:type="pct"/>
            <w:tcBorders>
              <w:top w:val="single" w:sz="4" w:space="0" w:color="auto"/>
              <w:bottom w:val="single" w:sz="4" w:space="0" w:color="auto"/>
            </w:tcBorders>
            <w:shd w:val="clear" w:color="auto" w:fill="CCFFFF"/>
            <w:tcMar>
              <w:top w:w="113" w:type="dxa"/>
              <w:bottom w:w="85" w:type="dxa"/>
            </w:tcMar>
            <w:vAlign w:val="center"/>
          </w:tcPr>
          <w:p w:rsidR="009F58E5" w:rsidRPr="00C75C7E" w:rsidRDefault="009F58E5" w:rsidP="008F4F69">
            <w:pPr>
              <w:spacing w:after="120"/>
              <w:jc w:val="center"/>
              <w:rPr>
                <w:b/>
                <w:bCs/>
                <w:sz w:val="18"/>
                <w:szCs w:val="18"/>
                <w:lang w:val="es-ES_tradnl"/>
              </w:rPr>
            </w:pPr>
            <w:r w:rsidRPr="00C75C7E">
              <w:rPr>
                <w:b/>
                <w:bCs/>
                <w:sz w:val="18"/>
                <w:szCs w:val="18"/>
                <w:lang w:val="es-ES_tradnl"/>
              </w:rPr>
              <w:t>Resultados previstos</w:t>
            </w:r>
          </w:p>
        </w:tc>
        <w:tc>
          <w:tcPr>
            <w:tcW w:w="1524" w:type="pct"/>
            <w:tcBorders>
              <w:top w:val="single" w:sz="4" w:space="0" w:color="auto"/>
              <w:bottom w:val="single" w:sz="4" w:space="0" w:color="auto"/>
            </w:tcBorders>
            <w:shd w:val="clear" w:color="auto" w:fill="CCFFFF"/>
            <w:tcMar>
              <w:top w:w="113" w:type="dxa"/>
              <w:bottom w:w="85" w:type="dxa"/>
            </w:tcMar>
            <w:vAlign w:val="center"/>
          </w:tcPr>
          <w:p w:rsidR="009F58E5" w:rsidRPr="00C75C7E" w:rsidRDefault="009F58E5" w:rsidP="008F4F69">
            <w:pPr>
              <w:spacing w:after="120"/>
              <w:jc w:val="center"/>
              <w:rPr>
                <w:b/>
                <w:sz w:val="18"/>
                <w:szCs w:val="18"/>
                <w:lang w:val="es-ES_tradnl"/>
              </w:rPr>
            </w:pPr>
            <w:r w:rsidRPr="00C75C7E">
              <w:rPr>
                <w:b/>
                <w:sz w:val="18"/>
                <w:szCs w:val="18"/>
                <w:lang w:val="es-ES_tradnl"/>
              </w:rPr>
              <w:t>Indicadores de rendimiento</w:t>
            </w:r>
          </w:p>
        </w:tc>
        <w:tc>
          <w:tcPr>
            <w:tcW w:w="1585" w:type="pct"/>
            <w:tcBorders>
              <w:top w:val="single" w:sz="4" w:space="0" w:color="auto"/>
              <w:bottom w:val="single" w:sz="4" w:space="0" w:color="auto"/>
            </w:tcBorders>
            <w:shd w:val="clear" w:color="auto" w:fill="CCFFFF"/>
            <w:tcMar>
              <w:top w:w="113" w:type="dxa"/>
              <w:bottom w:w="85" w:type="dxa"/>
            </w:tcMar>
            <w:vAlign w:val="center"/>
          </w:tcPr>
          <w:p w:rsidR="009F58E5" w:rsidRPr="00C75C7E" w:rsidRDefault="009F58E5" w:rsidP="008F4F69">
            <w:pPr>
              <w:spacing w:after="120"/>
              <w:ind w:left="85"/>
              <w:rPr>
                <w:sz w:val="18"/>
                <w:szCs w:val="18"/>
                <w:lang w:val="es-ES_tradnl"/>
              </w:rPr>
            </w:pPr>
            <w:r w:rsidRPr="00C75C7E">
              <w:rPr>
                <w:b/>
                <w:bCs/>
                <w:sz w:val="18"/>
                <w:szCs w:val="18"/>
                <w:lang w:val="es-ES_tradnl"/>
              </w:rPr>
              <w:t>Programas responsables</w:t>
            </w:r>
          </w:p>
        </w:tc>
      </w:tr>
      <w:tr w:rsidR="009F58E5" w:rsidRPr="00C75C7E" w:rsidTr="008F4F69">
        <w:trPr>
          <w:cantSplit/>
          <w:trHeight w:val="704"/>
        </w:trPr>
        <w:tc>
          <w:tcPr>
            <w:tcW w:w="1891" w:type="pct"/>
            <w:tcBorders>
              <w:top w:val="single" w:sz="4" w:space="0" w:color="auto"/>
            </w:tcBorders>
            <w:shd w:val="clear" w:color="auto" w:fill="auto"/>
            <w:tcMar>
              <w:top w:w="113" w:type="dxa"/>
              <w:bottom w:w="85" w:type="dxa"/>
            </w:tcMar>
          </w:tcPr>
          <w:p w:rsidR="009F58E5" w:rsidRPr="00C75C7E" w:rsidRDefault="009F58E5" w:rsidP="008F4F69">
            <w:pPr>
              <w:rPr>
                <w:sz w:val="16"/>
                <w:szCs w:val="16"/>
                <w:lang w:val="es-ES_tradnl"/>
              </w:rPr>
            </w:pPr>
            <w:r>
              <w:rPr>
                <w:sz w:val="16"/>
                <w:szCs w:val="16"/>
                <w:lang w:val="es-ES_tradnl"/>
              </w:rPr>
              <w:t xml:space="preserve">IX.1 </w:t>
            </w:r>
            <w:r w:rsidRPr="00C75C7E">
              <w:rPr>
                <w:sz w:val="16"/>
                <w:szCs w:val="16"/>
                <w:lang w:val="es-ES_tradnl"/>
              </w:rPr>
              <w:t xml:space="preserve"> Servicios de apoyo eficaces, eficientes, de calidad y orientados al cliente, tanto a los clientes internos como a las partes interesadas externas.</w:t>
            </w:r>
          </w:p>
        </w:tc>
        <w:tc>
          <w:tcPr>
            <w:tcW w:w="1524" w:type="pct"/>
            <w:tcBorders>
              <w:top w:val="single" w:sz="4" w:space="0" w:color="auto"/>
            </w:tcBorders>
            <w:shd w:val="clear" w:color="auto" w:fill="auto"/>
            <w:tcMar>
              <w:top w:w="113" w:type="dxa"/>
              <w:bottom w:w="85" w:type="dxa"/>
            </w:tcMar>
          </w:tcPr>
          <w:p w:rsidR="009F58E5" w:rsidRPr="00C75C7E" w:rsidRDefault="009F58E5" w:rsidP="008F4F69">
            <w:pPr>
              <w:rPr>
                <w:sz w:val="16"/>
                <w:szCs w:val="16"/>
                <w:lang w:val="es-ES_tradnl"/>
              </w:rPr>
            </w:pPr>
            <w:r w:rsidRPr="00C75C7E">
              <w:rPr>
                <w:sz w:val="16"/>
                <w:szCs w:val="16"/>
                <w:lang w:val="es-ES_tradnl"/>
              </w:rPr>
              <w:t>Suministro de informes y análisis financieros y de gestión solicitados por el personal directivo superior, los directores de programa y los Estados miembros con arreglo a los plazos acordados.</w:t>
            </w:r>
          </w:p>
        </w:tc>
        <w:tc>
          <w:tcPr>
            <w:tcW w:w="1585" w:type="pct"/>
            <w:tcBorders>
              <w:top w:val="single" w:sz="4" w:space="0" w:color="auto"/>
            </w:tcBorders>
            <w:shd w:val="clear" w:color="auto" w:fill="FFFFFF"/>
            <w:tcMar>
              <w:top w:w="113" w:type="dxa"/>
              <w:bottom w:w="85" w:type="dxa"/>
            </w:tcMar>
          </w:tcPr>
          <w:p w:rsidR="009F58E5" w:rsidRPr="00C75C7E" w:rsidRDefault="009F58E5" w:rsidP="008F4F69">
            <w:pPr>
              <w:jc w:val="center"/>
              <w:rPr>
                <w:sz w:val="16"/>
                <w:szCs w:val="16"/>
                <w:lang w:val="es-ES_tradnl"/>
              </w:rPr>
            </w:pPr>
            <w:r w:rsidRPr="00C75C7E">
              <w:rPr>
                <w:sz w:val="16"/>
                <w:szCs w:val="16"/>
                <w:lang w:val="es-ES_tradnl"/>
              </w:rPr>
              <w:t>Programa  22</w:t>
            </w:r>
          </w:p>
        </w:tc>
      </w:tr>
      <w:tr w:rsidR="009F58E5" w:rsidRPr="00C75C7E" w:rsidTr="008F4F69">
        <w:trPr>
          <w:cantSplit/>
        </w:trPr>
        <w:tc>
          <w:tcPr>
            <w:tcW w:w="1891" w:type="pct"/>
            <w:shd w:val="clear" w:color="auto" w:fill="auto"/>
            <w:tcMar>
              <w:top w:w="113" w:type="dxa"/>
              <w:bottom w:w="85" w:type="dxa"/>
            </w:tcMar>
          </w:tcPr>
          <w:p w:rsidR="009F58E5" w:rsidRPr="00C75C7E" w:rsidRDefault="009F58E5" w:rsidP="008F4F69">
            <w:pPr>
              <w:rPr>
                <w:sz w:val="16"/>
                <w:szCs w:val="16"/>
                <w:lang w:val="es-ES_tradnl"/>
              </w:rPr>
            </w:pPr>
          </w:p>
        </w:tc>
        <w:tc>
          <w:tcPr>
            <w:tcW w:w="1524" w:type="pct"/>
            <w:shd w:val="clear" w:color="auto" w:fill="auto"/>
            <w:tcMar>
              <w:top w:w="113" w:type="dxa"/>
              <w:bottom w:w="85" w:type="dxa"/>
            </w:tcMar>
          </w:tcPr>
          <w:p w:rsidR="009F58E5" w:rsidRPr="00C75C7E" w:rsidRDefault="009F58E5" w:rsidP="008F4F69">
            <w:pPr>
              <w:rPr>
                <w:sz w:val="16"/>
                <w:szCs w:val="16"/>
                <w:lang w:val="es-ES_tradnl"/>
              </w:rPr>
            </w:pPr>
            <w:r w:rsidRPr="00C75C7E">
              <w:rPr>
                <w:sz w:val="16"/>
                <w:szCs w:val="16"/>
                <w:lang w:val="es-ES_tradnl"/>
              </w:rPr>
              <w:t>Atención de consultas recibidas a nivel interno y externo con arreglo a los plazos establecidos.</w:t>
            </w:r>
          </w:p>
        </w:tc>
        <w:tc>
          <w:tcPr>
            <w:tcW w:w="1585" w:type="pct"/>
            <w:shd w:val="clear" w:color="auto" w:fill="FFFFFF"/>
            <w:tcMar>
              <w:top w:w="113" w:type="dxa"/>
              <w:bottom w:w="85" w:type="dxa"/>
            </w:tcMar>
          </w:tcPr>
          <w:p w:rsidR="009F58E5" w:rsidRPr="00C75C7E" w:rsidRDefault="009F58E5" w:rsidP="008F4F69">
            <w:pPr>
              <w:jc w:val="center"/>
              <w:rPr>
                <w:sz w:val="16"/>
                <w:szCs w:val="16"/>
                <w:lang w:val="es-ES_tradnl" w:bidi="th-TH"/>
              </w:rPr>
            </w:pPr>
            <w:r w:rsidRPr="00C75C7E">
              <w:rPr>
                <w:sz w:val="16"/>
                <w:szCs w:val="16"/>
                <w:lang w:val="es-ES_tradnl"/>
              </w:rPr>
              <w:t>Programa  22</w:t>
            </w:r>
          </w:p>
        </w:tc>
      </w:tr>
      <w:tr w:rsidR="009F58E5" w:rsidRPr="00C75C7E" w:rsidTr="008F4F69">
        <w:trPr>
          <w:cantSplit/>
          <w:trHeight w:val="472"/>
        </w:trPr>
        <w:tc>
          <w:tcPr>
            <w:tcW w:w="1891" w:type="pct"/>
            <w:shd w:val="clear" w:color="auto" w:fill="auto"/>
            <w:tcMar>
              <w:top w:w="113" w:type="dxa"/>
              <w:bottom w:w="85" w:type="dxa"/>
            </w:tcMar>
          </w:tcPr>
          <w:p w:rsidR="009F58E5" w:rsidRPr="00C75C7E" w:rsidRDefault="009F58E5" w:rsidP="008F4F69">
            <w:pPr>
              <w:rPr>
                <w:sz w:val="16"/>
                <w:szCs w:val="16"/>
                <w:lang w:val="es-ES_tradnl"/>
              </w:rPr>
            </w:pPr>
          </w:p>
        </w:tc>
        <w:tc>
          <w:tcPr>
            <w:tcW w:w="1524" w:type="pct"/>
            <w:shd w:val="clear" w:color="auto" w:fill="auto"/>
            <w:tcMar>
              <w:top w:w="113" w:type="dxa"/>
              <w:bottom w:w="85" w:type="dxa"/>
            </w:tcMar>
          </w:tcPr>
          <w:p w:rsidR="009F58E5" w:rsidRPr="00C75C7E" w:rsidRDefault="009F58E5" w:rsidP="008F4F69">
            <w:pPr>
              <w:rPr>
                <w:bCs/>
                <w:sz w:val="16"/>
                <w:szCs w:val="16"/>
                <w:lang w:val="es-ES_tradnl"/>
              </w:rPr>
            </w:pPr>
            <w:r w:rsidRPr="00C75C7E">
              <w:rPr>
                <w:bCs/>
                <w:sz w:val="16"/>
                <w:szCs w:val="16"/>
                <w:lang w:val="es-ES_tradnl"/>
              </w:rPr>
              <w:t>Porcentaje de miembros del personal satisfechos de los servicios de recursos humanos.</w:t>
            </w:r>
          </w:p>
        </w:tc>
        <w:tc>
          <w:tcPr>
            <w:tcW w:w="1585" w:type="pct"/>
            <w:shd w:val="clear" w:color="auto" w:fill="FFFFFF"/>
            <w:tcMar>
              <w:top w:w="113" w:type="dxa"/>
              <w:bottom w:w="85" w:type="dxa"/>
            </w:tcMar>
          </w:tcPr>
          <w:p w:rsidR="009F58E5" w:rsidRPr="00C75C7E" w:rsidRDefault="009F58E5" w:rsidP="008F4F69">
            <w:pPr>
              <w:jc w:val="center"/>
              <w:rPr>
                <w:sz w:val="16"/>
                <w:szCs w:val="16"/>
                <w:lang w:val="es-ES_tradnl"/>
              </w:rPr>
            </w:pPr>
            <w:r w:rsidRPr="00C75C7E">
              <w:rPr>
                <w:sz w:val="16"/>
                <w:szCs w:val="16"/>
                <w:lang w:val="es-ES_tradnl"/>
              </w:rPr>
              <w:t>Programa  23</w:t>
            </w:r>
          </w:p>
        </w:tc>
      </w:tr>
      <w:tr w:rsidR="009F58E5" w:rsidRPr="00C75C7E" w:rsidTr="008F4F69">
        <w:trPr>
          <w:cantSplit/>
          <w:trHeight w:val="472"/>
        </w:trPr>
        <w:tc>
          <w:tcPr>
            <w:tcW w:w="1891" w:type="pct"/>
            <w:shd w:val="clear" w:color="auto" w:fill="auto"/>
            <w:tcMar>
              <w:top w:w="113" w:type="dxa"/>
              <w:bottom w:w="85" w:type="dxa"/>
            </w:tcMar>
          </w:tcPr>
          <w:p w:rsidR="009F58E5" w:rsidRPr="00C75C7E" w:rsidRDefault="009F58E5" w:rsidP="008F4F69">
            <w:pPr>
              <w:rPr>
                <w:sz w:val="16"/>
                <w:szCs w:val="16"/>
                <w:lang w:val="es-ES_tradnl"/>
              </w:rPr>
            </w:pPr>
          </w:p>
        </w:tc>
        <w:tc>
          <w:tcPr>
            <w:tcW w:w="1524" w:type="pct"/>
            <w:shd w:val="clear" w:color="auto" w:fill="auto"/>
            <w:tcMar>
              <w:top w:w="113" w:type="dxa"/>
              <w:bottom w:w="85" w:type="dxa"/>
            </w:tcMar>
          </w:tcPr>
          <w:p w:rsidR="009F58E5" w:rsidRPr="00C75C7E" w:rsidRDefault="009F58E5" w:rsidP="008F4F69">
            <w:pPr>
              <w:rPr>
                <w:sz w:val="16"/>
                <w:szCs w:val="16"/>
                <w:lang w:val="es-ES_tradnl"/>
              </w:rPr>
            </w:pPr>
            <w:r w:rsidRPr="00C75C7E">
              <w:rPr>
                <w:sz w:val="16"/>
                <w:szCs w:val="16"/>
                <w:lang w:val="es-ES_tradnl"/>
              </w:rPr>
              <w:t>Prestación puntual, precisa y eficaz de servicios de operaciones en materia de recursos humanos.</w:t>
            </w:r>
          </w:p>
        </w:tc>
        <w:tc>
          <w:tcPr>
            <w:tcW w:w="1585" w:type="pct"/>
            <w:shd w:val="clear" w:color="auto" w:fill="FFFFFF"/>
            <w:tcMar>
              <w:top w:w="113" w:type="dxa"/>
              <w:bottom w:w="85" w:type="dxa"/>
            </w:tcMar>
          </w:tcPr>
          <w:p w:rsidR="009F58E5" w:rsidRPr="00C75C7E" w:rsidRDefault="009F58E5" w:rsidP="008F4F69">
            <w:pPr>
              <w:jc w:val="center"/>
              <w:rPr>
                <w:sz w:val="16"/>
                <w:szCs w:val="16"/>
                <w:lang w:val="es-ES_tradnl"/>
              </w:rPr>
            </w:pPr>
            <w:r w:rsidRPr="00C75C7E">
              <w:rPr>
                <w:sz w:val="16"/>
                <w:szCs w:val="16"/>
                <w:lang w:val="es-ES_tradnl"/>
              </w:rPr>
              <w:t>Programa  23</w:t>
            </w:r>
          </w:p>
        </w:tc>
      </w:tr>
      <w:tr w:rsidR="009F58E5" w:rsidRPr="00C75C7E" w:rsidTr="008F4F69">
        <w:trPr>
          <w:cantSplit/>
          <w:trHeight w:val="472"/>
        </w:trPr>
        <w:tc>
          <w:tcPr>
            <w:tcW w:w="1891" w:type="pct"/>
            <w:shd w:val="clear" w:color="auto" w:fill="auto"/>
            <w:tcMar>
              <w:top w:w="113" w:type="dxa"/>
              <w:bottom w:w="85" w:type="dxa"/>
            </w:tcMar>
          </w:tcPr>
          <w:p w:rsidR="009F58E5" w:rsidRPr="00C75C7E" w:rsidRDefault="009F58E5" w:rsidP="008F4F69">
            <w:pPr>
              <w:rPr>
                <w:sz w:val="16"/>
                <w:szCs w:val="16"/>
                <w:lang w:val="es-ES_tradnl"/>
              </w:rPr>
            </w:pPr>
          </w:p>
        </w:tc>
        <w:tc>
          <w:tcPr>
            <w:tcW w:w="1524" w:type="pct"/>
            <w:shd w:val="clear" w:color="auto" w:fill="auto"/>
            <w:tcMar>
              <w:top w:w="113" w:type="dxa"/>
              <w:bottom w:w="85" w:type="dxa"/>
            </w:tcMar>
          </w:tcPr>
          <w:p w:rsidR="009F58E5" w:rsidRPr="00C75C7E" w:rsidRDefault="009F58E5" w:rsidP="008F4F69">
            <w:pPr>
              <w:rPr>
                <w:sz w:val="16"/>
                <w:szCs w:val="16"/>
                <w:lang w:val="es-ES_tradnl"/>
              </w:rPr>
            </w:pPr>
            <w:r w:rsidRPr="00C75C7E">
              <w:rPr>
                <w:sz w:val="16"/>
                <w:szCs w:val="16"/>
                <w:lang w:val="es-ES_tradnl"/>
              </w:rPr>
              <w:t>Finalización del proyecto de construcción de la nueva sala de conferencias atendiendo a los requisitos de calidad, de manera puntual y dentro de los límites presupuestarios.</w:t>
            </w:r>
          </w:p>
        </w:tc>
        <w:tc>
          <w:tcPr>
            <w:tcW w:w="1585" w:type="pct"/>
            <w:shd w:val="clear" w:color="auto" w:fill="FFFFFF"/>
            <w:tcMar>
              <w:top w:w="113" w:type="dxa"/>
              <w:bottom w:w="85" w:type="dxa"/>
            </w:tcMar>
          </w:tcPr>
          <w:p w:rsidR="009F58E5" w:rsidRPr="00C75C7E" w:rsidRDefault="009F58E5" w:rsidP="008F4F69">
            <w:pPr>
              <w:jc w:val="center"/>
              <w:rPr>
                <w:sz w:val="16"/>
                <w:szCs w:val="16"/>
                <w:lang w:val="es-ES_tradnl" w:bidi="th-TH"/>
              </w:rPr>
            </w:pPr>
            <w:r w:rsidRPr="00C75C7E">
              <w:rPr>
                <w:sz w:val="16"/>
                <w:szCs w:val="16"/>
                <w:lang w:val="es-ES_tradnl"/>
              </w:rPr>
              <w:t>Programa  29</w:t>
            </w:r>
          </w:p>
        </w:tc>
      </w:tr>
      <w:tr w:rsidR="009F58E5" w:rsidRPr="00C75C7E" w:rsidTr="008F4F69">
        <w:trPr>
          <w:cantSplit/>
          <w:trHeight w:val="617"/>
        </w:trPr>
        <w:tc>
          <w:tcPr>
            <w:tcW w:w="1891" w:type="pct"/>
            <w:shd w:val="clear" w:color="auto" w:fill="auto"/>
            <w:tcMar>
              <w:top w:w="113" w:type="dxa"/>
              <w:bottom w:w="85" w:type="dxa"/>
            </w:tcMar>
          </w:tcPr>
          <w:p w:rsidR="009F58E5" w:rsidRPr="00C75C7E" w:rsidRDefault="009F58E5" w:rsidP="008F4F69">
            <w:pPr>
              <w:rPr>
                <w:sz w:val="16"/>
                <w:szCs w:val="16"/>
                <w:lang w:val="es-ES_tradnl"/>
              </w:rPr>
            </w:pPr>
          </w:p>
        </w:tc>
        <w:tc>
          <w:tcPr>
            <w:tcW w:w="1524" w:type="pct"/>
            <w:shd w:val="clear" w:color="auto" w:fill="auto"/>
            <w:tcMar>
              <w:top w:w="113" w:type="dxa"/>
              <w:bottom w:w="85" w:type="dxa"/>
            </w:tcMar>
          </w:tcPr>
          <w:p w:rsidR="009F58E5" w:rsidRPr="00C75C7E" w:rsidRDefault="009F58E5" w:rsidP="008F4F69">
            <w:pPr>
              <w:rPr>
                <w:sz w:val="16"/>
                <w:szCs w:val="16"/>
                <w:lang w:val="es-ES_tradnl"/>
              </w:rPr>
            </w:pPr>
            <w:r w:rsidRPr="00C75C7E">
              <w:rPr>
                <w:sz w:val="16"/>
                <w:szCs w:val="16"/>
                <w:lang w:val="es-ES_tradnl"/>
              </w:rPr>
              <w:t>Uso de la sala de conferencias como lugar preferido para las reuniones y actividades de los Estados miembros.</w:t>
            </w:r>
          </w:p>
        </w:tc>
        <w:tc>
          <w:tcPr>
            <w:tcW w:w="1585" w:type="pct"/>
            <w:shd w:val="clear" w:color="auto" w:fill="FFFFFF"/>
            <w:tcMar>
              <w:top w:w="113" w:type="dxa"/>
              <w:bottom w:w="85" w:type="dxa"/>
            </w:tcMar>
          </w:tcPr>
          <w:p w:rsidR="009F58E5" w:rsidRPr="00C75C7E" w:rsidRDefault="009F58E5" w:rsidP="008F4F69">
            <w:pPr>
              <w:jc w:val="center"/>
              <w:rPr>
                <w:sz w:val="16"/>
                <w:szCs w:val="16"/>
                <w:lang w:val="es-ES_tradnl" w:bidi="th-TH"/>
              </w:rPr>
            </w:pPr>
            <w:r w:rsidRPr="00C75C7E">
              <w:rPr>
                <w:sz w:val="16"/>
                <w:szCs w:val="16"/>
                <w:lang w:val="es-ES_tradnl"/>
              </w:rPr>
              <w:t>Programa  29</w:t>
            </w:r>
          </w:p>
        </w:tc>
      </w:tr>
      <w:tr w:rsidR="009F58E5" w:rsidRPr="00C75C7E" w:rsidTr="008F4F69">
        <w:trPr>
          <w:cantSplit/>
          <w:trHeight w:val="516"/>
        </w:trPr>
        <w:tc>
          <w:tcPr>
            <w:tcW w:w="1891" w:type="pct"/>
            <w:shd w:val="clear" w:color="auto" w:fill="auto"/>
            <w:tcMar>
              <w:top w:w="113" w:type="dxa"/>
              <w:bottom w:w="85" w:type="dxa"/>
            </w:tcMar>
          </w:tcPr>
          <w:p w:rsidR="009F58E5" w:rsidRPr="00C75C7E" w:rsidRDefault="009F58E5" w:rsidP="008F4F69">
            <w:pPr>
              <w:rPr>
                <w:sz w:val="16"/>
                <w:szCs w:val="16"/>
                <w:lang w:val="es-ES_tradnl"/>
              </w:rPr>
            </w:pPr>
          </w:p>
        </w:tc>
        <w:tc>
          <w:tcPr>
            <w:tcW w:w="1524" w:type="pct"/>
            <w:shd w:val="clear" w:color="auto" w:fill="auto"/>
            <w:tcMar>
              <w:top w:w="113" w:type="dxa"/>
              <w:bottom w:w="85" w:type="dxa"/>
            </w:tcMar>
          </w:tcPr>
          <w:p w:rsidR="009F58E5" w:rsidRPr="00C75C7E" w:rsidRDefault="009F58E5" w:rsidP="008F4F69">
            <w:pPr>
              <w:rPr>
                <w:bCs/>
                <w:sz w:val="16"/>
                <w:szCs w:val="16"/>
                <w:lang w:val="es-ES_tradnl"/>
              </w:rPr>
            </w:pPr>
            <w:r w:rsidRPr="00C75C7E">
              <w:rPr>
                <w:bCs/>
                <w:sz w:val="16"/>
                <w:szCs w:val="16"/>
                <w:lang w:val="es-ES_tradnl"/>
              </w:rPr>
              <w:t>Disminución de los costos de adquisición de productos y servicios por la OMPI (derivada de solicitudes de ofertas o negociaciones directas).</w:t>
            </w:r>
          </w:p>
        </w:tc>
        <w:tc>
          <w:tcPr>
            <w:tcW w:w="1585" w:type="pct"/>
            <w:shd w:val="clear" w:color="auto" w:fill="FFFFFF"/>
            <w:tcMar>
              <w:top w:w="113" w:type="dxa"/>
              <w:bottom w:w="85" w:type="dxa"/>
            </w:tcMar>
          </w:tcPr>
          <w:p w:rsidR="009F58E5" w:rsidRPr="00C75C7E" w:rsidRDefault="009F58E5" w:rsidP="008F4F69">
            <w:pPr>
              <w:jc w:val="center"/>
              <w:rPr>
                <w:sz w:val="16"/>
                <w:szCs w:val="16"/>
                <w:lang w:val="es-ES_tradnl" w:bidi="th-TH"/>
              </w:rPr>
            </w:pPr>
            <w:r w:rsidRPr="00C75C7E">
              <w:rPr>
                <w:sz w:val="16"/>
                <w:szCs w:val="16"/>
                <w:lang w:val="es-ES_tradnl" w:bidi="th-TH"/>
              </w:rPr>
              <w:t>Programa  24</w:t>
            </w:r>
          </w:p>
        </w:tc>
      </w:tr>
      <w:tr w:rsidR="009F58E5" w:rsidRPr="00C75C7E" w:rsidTr="008F4F69">
        <w:trPr>
          <w:cantSplit/>
          <w:trHeight w:val="516"/>
        </w:trPr>
        <w:tc>
          <w:tcPr>
            <w:tcW w:w="1891" w:type="pct"/>
            <w:shd w:val="clear" w:color="auto" w:fill="auto"/>
            <w:tcMar>
              <w:top w:w="113" w:type="dxa"/>
              <w:bottom w:w="85" w:type="dxa"/>
            </w:tcMar>
          </w:tcPr>
          <w:p w:rsidR="009F58E5" w:rsidRPr="00C75C7E" w:rsidRDefault="009F58E5" w:rsidP="008F4F69">
            <w:pPr>
              <w:rPr>
                <w:sz w:val="16"/>
                <w:szCs w:val="16"/>
                <w:lang w:val="es-ES_tradnl"/>
              </w:rPr>
            </w:pPr>
          </w:p>
        </w:tc>
        <w:tc>
          <w:tcPr>
            <w:tcW w:w="1524" w:type="pct"/>
            <w:shd w:val="clear" w:color="auto" w:fill="auto"/>
            <w:tcMar>
              <w:top w:w="113" w:type="dxa"/>
              <w:bottom w:w="85" w:type="dxa"/>
            </w:tcMar>
          </w:tcPr>
          <w:p w:rsidR="009F58E5" w:rsidRPr="00C75C7E" w:rsidRDefault="009F58E5" w:rsidP="008F4F69">
            <w:pPr>
              <w:rPr>
                <w:sz w:val="16"/>
                <w:szCs w:val="16"/>
                <w:lang w:val="es-ES_tradnl"/>
              </w:rPr>
            </w:pPr>
            <w:r w:rsidRPr="00C75C7E">
              <w:rPr>
                <w:sz w:val="16"/>
                <w:szCs w:val="16"/>
                <w:lang w:val="es-ES_tradnl"/>
              </w:rPr>
              <w:t>Porcentaje de usuarios internos satisfechos con los servicios de adquisiciones.</w:t>
            </w:r>
          </w:p>
        </w:tc>
        <w:tc>
          <w:tcPr>
            <w:tcW w:w="1585" w:type="pct"/>
            <w:shd w:val="clear" w:color="auto" w:fill="FFFFFF"/>
            <w:tcMar>
              <w:top w:w="113" w:type="dxa"/>
              <w:bottom w:w="85" w:type="dxa"/>
            </w:tcMar>
          </w:tcPr>
          <w:p w:rsidR="009F58E5" w:rsidRPr="00C75C7E" w:rsidRDefault="009F58E5" w:rsidP="008F4F69">
            <w:pPr>
              <w:jc w:val="center"/>
              <w:rPr>
                <w:lang w:val="es-ES_tradnl"/>
              </w:rPr>
            </w:pPr>
            <w:r w:rsidRPr="00C75C7E">
              <w:rPr>
                <w:sz w:val="16"/>
                <w:szCs w:val="16"/>
                <w:lang w:val="es-ES_tradnl" w:bidi="th-TH"/>
              </w:rPr>
              <w:t>Programa  24</w:t>
            </w:r>
          </w:p>
        </w:tc>
      </w:tr>
      <w:tr w:rsidR="009F58E5" w:rsidRPr="00C75C7E" w:rsidTr="008F4F69">
        <w:trPr>
          <w:cantSplit/>
          <w:trHeight w:val="516"/>
        </w:trPr>
        <w:tc>
          <w:tcPr>
            <w:tcW w:w="1891" w:type="pct"/>
            <w:shd w:val="clear" w:color="auto" w:fill="auto"/>
            <w:tcMar>
              <w:top w:w="113" w:type="dxa"/>
              <w:bottom w:w="85" w:type="dxa"/>
            </w:tcMar>
          </w:tcPr>
          <w:p w:rsidR="009F58E5" w:rsidRPr="00C75C7E" w:rsidRDefault="009F58E5" w:rsidP="008F4F69">
            <w:pPr>
              <w:rPr>
                <w:sz w:val="16"/>
                <w:szCs w:val="16"/>
                <w:lang w:val="es-ES_tradnl"/>
              </w:rPr>
            </w:pPr>
          </w:p>
        </w:tc>
        <w:tc>
          <w:tcPr>
            <w:tcW w:w="1524" w:type="pct"/>
            <w:shd w:val="clear" w:color="auto" w:fill="auto"/>
            <w:tcMar>
              <w:top w:w="113" w:type="dxa"/>
              <w:bottom w:w="85" w:type="dxa"/>
            </w:tcMar>
          </w:tcPr>
          <w:p w:rsidR="009F58E5" w:rsidRPr="00C75C7E" w:rsidRDefault="009F58E5" w:rsidP="008F4F69">
            <w:pPr>
              <w:rPr>
                <w:sz w:val="16"/>
                <w:szCs w:val="16"/>
                <w:lang w:val="es-ES_tradnl"/>
              </w:rPr>
            </w:pPr>
            <w:r w:rsidRPr="00C75C7E">
              <w:rPr>
                <w:sz w:val="16"/>
                <w:szCs w:val="16"/>
                <w:lang w:val="es-ES_tradnl"/>
              </w:rPr>
              <w:t>Tiempo de tramitación de peticiones relativas a los viajes (autorizaciones electrónicas de viaje (e-TA), peticiones electrónicas de actividades (e-ER), visados).</w:t>
            </w:r>
          </w:p>
        </w:tc>
        <w:tc>
          <w:tcPr>
            <w:tcW w:w="1585" w:type="pct"/>
            <w:shd w:val="clear" w:color="auto" w:fill="FFFFFF"/>
            <w:tcMar>
              <w:top w:w="113" w:type="dxa"/>
              <w:bottom w:w="85" w:type="dxa"/>
            </w:tcMar>
          </w:tcPr>
          <w:p w:rsidR="009F58E5" w:rsidRPr="00C75C7E" w:rsidRDefault="009F58E5" w:rsidP="008F4F69">
            <w:pPr>
              <w:jc w:val="center"/>
              <w:rPr>
                <w:lang w:val="es-ES_tradnl"/>
              </w:rPr>
            </w:pPr>
            <w:r w:rsidRPr="00C75C7E">
              <w:rPr>
                <w:sz w:val="16"/>
                <w:szCs w:val="16"/>
                <w:lang w:val="es-ES_tradnl" w:bidi="th-TH"/>
              </w:rPr>
              <w:t>Programa  24</w:t>
            </w:r>
          </w:p>
        </w:tc>
      </w:tr>
      <w:tr w:rsidR="009F58E5" w:rsidRPr="00C75C7E" w:rsidTr="008F4F69">
        <w:trPr>
          <w:cantSplit/>
          <w:trHeight w:val="516"/>
        </w:trPr>
        <w:tc>
          <w:tcPr>
            <w:tcW w:w="1891" w:type="pct"/>
            <w:shd w:val="clear" w:color="auto" w:fill="auto"/>
            <w:tcMar>
              <w:top w:w="113" w:type="dxa"/>
              <w:bottom w:w="85" w:type="dxa"/>
            </w:tcMar>
          </w:tcPr>
          <w:p w:rsidR="009F58E5" w:rsidRPr="00C75C7E" w:rsidRDefault="009F58E5" w:rsidP="008F4F69">
            <w:pPr>
              <w:rPr>
                <w:sz w:val="16"/>
                <w:szCs w:val="16"/>
                <w:lang w:val="es-ES_tradnl"/>
              </w:rPr>
            </w:pPr>
          </w:p>
        </w:tc>
        <w:tc>
          <w:tcPr>
            <w:tcW w:w="1524" w:type="pct"/>
            <w:shd w:val="clear" w:color="auto" w:fill="auto"/>
            <w:tcMar>
              <w:top w:w="113" w:type="dxa"/>
              <w:bottom w:w="85" w:type="dxa"/>
            </w:tcMar>
          </w:tcPr>
          <w:p w:rsidR="009F58E5" w:rsidRPr="00C75C7E" w:rsidRDefault="009F58E5" w:rsidP="008F4F69">
            <w:pPr>
              <w:rPr>
                <w:sz w:val="16"/>
                <w:szCs w:val="16"/>
                <w:lang w:val="es-ES_tradnl"/>
              </w:rPr>
            </w:pPr>
            <w:r w:rsidRPr="00C75C7E">
              <w:rPr>
                <w:sz w:val="16"/>
                <w:szCs w:val="16"/>
                <w:lang w:val="es-ES_tradnl"/>
              </w:rPr>
              <w:t>Costo medio de los billetes (billetes de la empresa de gestión de viajes y del PNUD).</w:t>
            </w:r>
          </w:p>
        </w:tc>
        <w:tc>
          <w:tcPr>
            <w:tcW w:w="1585" w:type="pct"/>
            <w:shd w:val="clear" w:color="auto" w:fill="FFFFFF"/>
            <w:tcMar>
              <w:top w:w="113" w:type="dxa"/>
              <w:bottom w:w="85" w:type="dxa"/>
            </w:tcMar>
          </w:tcPr>
          <w:p w:rsidR="009F58E5" w:rsidRPr="00C75C7E" w:rsidRDefault="009F58E5" w:rsidP="008F4F69">
            <w:pPr>
              <w:jc w:val="center"/>
              <w:rPr>
                <w:lang w:val="es-ES_tradnl"/>
              </w:rPr>
            </w:pPr>
            <w:r w:rsidRPr="00C75C7E">
              <w:rPr>
                <w:sz w:val="16"/>
                <w:szCs w:val="16"/>
                <w:lang w:val="es-ES_tradnl" w:bidi="th-TH"/>
              </w:rPr>
              <w:t>Programa  24</w:t>
            </w:r>
          </w:p>
        </w:tc>
      </w:tr>
      <w:tr w:rsidR="009F58E5" w:rsidRPr="00C75C7E" w:rsidTr="008F4F69">
        <w:trPr>
          <w:cantSplit/>
          <w:trHeight w:val="516"/>
        </w:trPr>
        <w:tc>
          <w:tcPr>
            <w:tcW w:w="1891" w:type="pct"/>
            <w:shd w:val="clear" w:color="auto" w:fill="auto"/>
            <w:tcMar>
              <w:top w:w="113" w:type="dxa"/>
              <w:bottom w:w="85" w:type="dxa"/>
            </w:tcMar>
          </w:tcPr>
          <w:p w:rsidR="009F58E5" w:rsidRPr="00C75C7E" w:rsidRDefault="009F58E5" w:rsidP="008F4F69">
            <w:pPr>
              <w:rPr>
                <w:sz w:val="16"/>
                <w:szCs w:val="16"/>
                <w:lang w:val="es-ES_tradnl"/>
              </w:rPr>
            </w:pPr>
          </w:p>
        </w:tc>
        <w:tc>
          <w:tcPr>
            <w:tcW w:w="1524" w:type="pct"/>
            <w:shd w:val="clear" w:color="auto" w:fill="auto"/>
            <w:tcMar>
              <w:top w:w="113" w:type="dxa"/>
              <w:bottom w:w="85" w:type="dxa"/>
            </w:tcMar>
          </w:tcPr>
          <w:p w:rsidR="009F58E5" w:rsidRPr="00C75C7E" w:rsidRDefault="009F58E5" w:rsidP="008F4F69">
            <w:pPr>
              <w:rPr>
                <w:sz w:val="16"/>
                <w:szCs w:val="16"/>
                <w:lang w:val="es-ES_tradnl"/>
              </w:rPr>
            </w:pPr>
            <w:r w:rsidRPr="00C75C7E">
              <w:rPr>
                <w:sz w:val="16"/>
                <w:szCs w:val="16"/>
                <w:lang w:val="es-ES_tradnl"/>
              </w:rPr>
              <w:t>Se administran eficazmente todos los tipos de espacio del recinto de la OMPI (espacios de  trabajo, almacenamiento y archivo).</w:t>
            </w:r>
          </w:p>
        </w:tc>
        <w:tc>
          <w:tcPr>
            <w:tcW w:w="1585" w:type="pct"/>
            <w:shd w:val="clear" w:color="auto" w:fill="FFFFFF"/>
            <w:tcMar>
              <w:top w:w="113" w:type="dxa"/>
              <w:bottom w:w="85" w:type="dxa"/>
            </w:tcMar>
          </w:tcPr>
          <w:p w:rsidR="009F58E5" w:rsidRPr="00C75C7E" w:rsidRDefault="009F58E5" w:rsidP="008F4F69">
            <w:pPr>
              <w:jc w:val="center"/>
              <w:rPr>
                <w:lang w:val="es-ES_tradnl"/>
              </w:rPr>
            </w:pPr>
            <w:r w:rsidRPr="00C75C7E">
              <w:rPr>
                <w:sz w:val="16"/>
                <w:szCs w:val="16"/>
                <w:lang w:val="es-ES_tradnl" w:bidi="th-TH"/>
              </w:rPr>
              <w:t>Programa  24</w:t>
            </w:r>
          </w:p>
        </w:tc>
      </w:tr>
      <w:tr w:rsidR="009F58E5" w:rsidRPr="00C75C7E" w:rsidTr="008F4F69">
        <w:trPr>
          <w:cantSplit/>
          <w:trHeight w:val="516"/>
        </w:trPr>
        <w:tc>
          <w:tcPr>
            <w:tcW w:w="1891" w:type="pct"/>
            <w:shd w:val="clear" w:color="auto" w:fill="auto"/>
            <w:tcMar>
              <w:top w:w="113" w:type="dxa"/>
              <w:bottom w:w="85" w:type="dxa"/>
            </w:tcMar>
          </w:tcPr>
          <w:p w:rsidR="009F58E5" w:rsidRPr="00C75C7E" w:rsidRDefault="009F58E5" w:rsidP="008F4F69">
            <w:pPr>
              <w:rPr>
                <w:sz w:val="16"/>
                <w:szCs w:val="16"/>
                <w:lang w:val="es-ES_tradnl"/>
              </w:rPr>
            </w:pPr>
          </w:p>
        </w:tc>
        <w:tc>
          <w:tcPr>
            <w:tcW w:w="1524" w:type="pct"/>
            <w:shd w:val="clear" w:color="auto" w:fill="auto"/>
            <w:tcMar>
              <w:top w:w="113" w:type="dxa"/>
              <w:bottom w:w="85" w:type="dxa"/>
            </w:tcMar>
          </w:tcPr>
          <w:p w:rsidR="009F58E5" w:rsidRPr="00C75C7E" w:rsidRDefault="009F58E5" w:rsidP="008F4F69">
            <w:pPr>
              <w:rPr>
                <w:sz w:val="16"/>
                <w:szCs w:val="16"/>
                <w:highlight w:val="cyan"/>
                <w:lang w:val="es-ES_tradnl"/>
              </w:rPr>
            </w:pPr>
            <w:r w:rsidRPr="00C75C7E">
              <w:rPr>
                <w:sz w:val="16"/>
                <w:szCs w:val="16"/>
                <w:lang w:val="es-ES_tradnl"/>
              </w:rPr>
              <w:t>Se renuevan, modernizan o transforman los edificios del recinto de la OMPI para que sigan sirviendo a los fines establecidos.</w:t>
            </w:r>
          </w:p>
        </w:tc>
        <w:tc>
          <w:tcPr>
            <w:tcW w:w="1585" w:type="pct"/>
            <w:shd w:val="clear" w:color="auto" w:fill="FFFFFF"/>
            <w:tcMar>
              <w:top w:w="113" w:type="dxa"/>
              <w:bottom w:w="85" w:type="dxa"/>
            </w:tcMar>
          </w:tcPr>
          <w:p w:rsidR="009F58E5" w:rsidRPr="00C75C7E" w:rsidRDefault="009F58E5" w:rsidP="008F4F69">
            <w:pPr>
              <w:jc w:val="center"/>
              <w:rPr>
                <w:lang w:val="es-ES_tradnl"/>
              </w:rPr>
            </w:pPr>
            <w:r w:rsidRPr="00C75C7E">
              <w:rPr>
                <w:sz w:val="16"/>
                <w:szCs w:val="16"/>
                <w:lang w:val="es-ES_tradnl" w:bidi="th-TH"/>
              </w:rPr>
              <w:t>Programa  24</w:t>
            </w:r>
          </w:p>
        </w:tc>
      </w:tr>
      <w:tr w:rsidR="009F58E5" w:rsidRPr="00C75C7E" w:rsidTr="008F4F69">
        <w:trPr>
          <w:cantSplit/>
          <w:trHeight w:val="516"/>
        </w:trPr>
        <w:tc>
          <w:tcPr>
            <w:tcW w:w="1891" w:type="pct"/>
            <w:shd w:val="clear" w:color="auto" w:fill="auto"/>
            <w:tcMar>
              <w:top w:w="113" w:type="dxa"/>
              <w:bottom w:w="85" w:type="dxa"/>
            </w:tcMar>
          </w:tcPr>
          <w:p w:rsidR="009F58E5" w:rsidRPr="00C75C7E" w:rsidRDefault="009F58E5" w:rsidP="008F4F69">
            <w:pPr>
              <w:rPr>
                <w:sz w:val="16"/>
                <w:szCs w:val="16"/>
                <w:lang w:val="es-ES_tradnl"/>
              </w:rPr>
            </w:pPr>
          </w:p>
        </w:tc>
        <w:tc>
          <w:tcPr>
            <w:tcW w:w="1524" w:type="pct"/>
            <w:shd w:val="clear" w:color="auto" w:fill="auto"/>
            <w:tcMar>
              <w:top w:w="113" w:type="dxa"/>
              <w:bottom w:w="85" w:type="dxa"/>
            </w:tcMar>
          </w:tcPr>
          <w:p w:rsidR="009F58E5" w:rsidRPr="00C75C7E" w:rsidRDefault="009F58E5" w:rsidP="008F4F69">
            <w:pPr>
              <w:rPr>
                <w:sz w:val="16"/>
                <w:szCs w:val="16"/>
                <w:lang w:val="es-ES_tradnl"/>
              </w:rPr>
            </w:pPr>
            <w:r w:rsidRPr="00C75C7E">
              <w:rPr>
                <w:sz w:val="16"/>
                <w:szCs w:val="16"/>
                <w:lang w:val="es-ES_tradnl"/>
              </w:rPr>
              <w:t xml:space="preserve">Todos los tipos de instalaciones técnicas esenciales cumplen las normas técnicas aplicables. </w:t>
            </w:r>
          </w:p>
        </w:tc>
        <w:tc>
          <w:tcPr>
            <w:tcW w:w="1585" w:type="pct"/>
            <w:shd w:val="clear" w:color="auto" w:fill="FFFFFF"/>
            <w:tcMar>
              <w:top w:w="113" w:type="dxa"/>
              <w:bottom w:w="85" w:type="dxa"/>
            </w:tcMar>
          </w:tcPr>
          <w:p w:rsidR="009F58E5" w:rsidRPr="00C75C7E" w:rsidRDefault="009F58E5" w:rsidP="008F4F69">
            <w:pPr>
              <w:ind w:left="679"/>
              <w:rPr>
                <w:sz w:val="16"/>
                <w:szCs w:val="16"/>
                <w:lang w:val="es-ES_tradnl" w:bidi="th-TH"/>
              </w:rPr>
            </w:pPr>
            <w:r w:rsidRPr="00C75C7E">
              <w:rPr>
                <w:sz w:val="16"/>
                <w:szCs w:val="16"/>
                <w:lang w:val="es-ES_tradnl" w:bidi="th-TH"/>
              </w:rPr>
              <w:t>Programa  24</w:t>
            </w:r>
          </w:p>
        </w:tc>
      </w:tr>
      <w:tr w:rsidR="009F58E5" w:rsidRPr="00C75C7E" w:rsidTr="008F4F69">
        <w:trPr>
          <w:cantSplit/>
          <w:trHeight w:val="516"/>
        </w:trPr>
        <w:tc>
          <w:tcPr>
            <w:tcW w:w="1891" w:type="pct"/>
            <w:shd w:val="clear" w:color="auto" w:fill="auto"/>
            <w:tcMar>
              <w:top w:w="113" w:type="dxa"/>
              <w:bottom w:w="85" w:type="dxa"/>
            </w:tcMar>
          </w:tcPr>
          <w:p w:rsidR="009F58E5" w:rsidRPr="00C75C7E" w:rsidRDefault="009F58E5" w:rsidP="008F4F69">
            <w:pPr>
              <w:rPr>
                <w:sz w:val="16"/>
                <w:szCs w:val="16"/>
                <w:lang w:val="es-ES_tradnl"/>
              </w:rPr>
            </w:pPr>
          </w:p>
        </w:tc>
        <w:tc>
          <w:tcPr>
            <w:tcW w:w="1524" w:type="pct"/>
            <w:shd w:val="clear" w:color="auto" w:fill="auto"/>
            <w:tcMar>
              <w:top w:w="113" w:type="dxa"/>
              <w:bottom w:w="85" w:type="dxa"/>
            </w:tcMar>
          </w:tcPr>
          <w:p w:rsidR="009F58E5" w:rsidRPr="00C75C7E" w:rsidRDefault="009F58E5" w:rsidP="008F4F69">
            <w:pPr>
              <w:rPr>
                <w:sz w:val="16"/>
                <w:szCs w:val="16"/>
                <w:lang w:val="es-ES_tradnl"/>
              </w:rPr>
            </w:pPr>
            <w:r w:rsidRPr="00C75C7E">
              <w:rPr>
                <w:sz w:val="16"/>
                <w:szCs w:val="16"/>
                <w:lang w:val="es-ES_tradnl"/>
              </w:rPr>
              <w:t>Los sistemas de TIC se alojan y se administran económicamente en concordancia con las necesidades operativas.</w:t>
            </w:r>
          </w:p>
          <w:p w:rsidR="009F58E5" w:rsidRPr="00C75C7E" w:rsidRDefault="009F58E5" w:rsidP="008F4F69">
            <w:pPr>
              <w:rPr>
                <w:bCs/>
                <w:sz w:val="16"/>
                <w:szCs w:val="16"/>
                <w:lang w:val="es-ES_tradnl"/>
              </w:rPr>
            </w:pPr>
          </w:p>
        </w:tc>
        <w:tc>
          <w:tcPr>
            <w:tcW w:w="1585" w:type="pct"/>
            <w:shd w:val="clear" w:color="auto" w:fill="FFFFFF"/>
            <w:tcMar>
              <w:top w:w="113" w:type="dxa"/>
              <w:bottom w:w="85" w:type="dxa"/>
            </w:tcMar>
          </w:tcPr>
          <w:p w:rsidR="009F58E5" w:rsidRPr="00C75C7E" w:rsidRDefault="009F58E5" w:rsidP="008F4F69">
            <w:pPr>
              <w:ind w:left="679"/>
              <w:rPr>
                <w:sz w:val="16"/>
                <w:szCs w:val="16"/>
                <w:lang w:val="es-ES_tradnl" w:bidi="th-TH"/>
              </w:rPr>
            </w:pPr>
            <w:r w:rsidRPr="00C75C7E">
              <w:rPr>
                <w:sz w:val="16"/>
                <w:szCs w:val="16"/>
                <w:lang w:val="es-ES_tradnl" w:bidi="th-TH"/>
              </w:rPr>
              <w:t>Programa  25</w:t>
            </w:r>
          </w:p>
        </w:tc>
      </w:tr>
      <w:tr w:rsidR="009F58E5" w:rsidRPr="00C75C7E" w:rsidTr="008F4F69">
        <w:trPr>
          <w:cantSplit/>
          <w:trHeight w:val="516"/>
        </w:trPr>
        <w:tc>
          <w:tcPr>
            <w:tcW w:w="1891" w:type="pct"/>
            <w:shd w:val="clear" w:color="auto" w:fill="auto"/>
            <w:tcMar>
              <w:top w:w="113" w:type="dxa"/>
              <w:bottom w:w="85" w:type="dxa"/>
            </w:tcMar>
          </w:tcPr>
          <w:p w:rsidR="009F58E5" w:rsidRPr="00C75C7E" w:rsidRDefault="009F58E5" w:rsidP="008F4F69">
            <w:pPr>
              <w:rPr>
                <w:sz w:val="16"/>
                <w:szCs w:val="16"/>
                <w:lang w:val="es-ES_tradnl"/>
              </w:rPr>
            </w:pPr>
          </w:p>
        </w:tc>
        <w:tc>
          <w:tcPr>
            <w:tcW w:w="1524" w:type="pct"/>
            <w:shd w:val="clear" w:color="auto" w:fill="auto"/>
            <w:tcMar>
              <w:top w:w="113" w:type="dxa"/>
              <w:bottom w:w="85" w:type="dxa"/>
            </w:tcMar>
          </w:tcPr>
          <w:p w:rsidR="009F58E5" w:rsidRPr="00C75C7E" w:rsidRDefault="009F58E5" w:rsidP="008F4F69">
            <w:pPr>
              <w:rPr>
                <w:sz w:val="16"/>
                <w:szCs w:val="16"/>
                <w:lang w:val="es-ES_tradnl"/>
              </w:rPr>
            </w:pPr>
            <w:r w:rsidRPr="00C75C7E">
              <w:rPr>
                <w:sz w:val="16"/>
                <w:szCs w:val="16"/>
                <w:lang w:val="es-ES_tradnl"/>
              </w:rPr>
              <w:t>Número de acuerdos de prestación de servicios para el alojamiento de sistemas y servicios que cumplen con el marco de acuerdos de prestación de servicios para las TIC.</w:t>
            </w:r>
          </w:p>
        </w:tc>
        <w:tc>
          <w:tcPr>
            <w:tcW w:w="1585" w:type="pct"/>
            <w:shd w:val="clear" w:color="auto" w:fill="FFFFFF"/>
            <w:tcMar>
              <w:top w:w="113" w:type="dxa"/>
              <w:bottom w:w="85" w:type="dxa"/>
            </w:tcMar>
          </w:tcPr>
          <w:p w:rsidR="009F58E5" w:rsidRPr="00C75C7E" w:rsidRDefault="009F58E5" w:rsidP="008F4F69">
            <w:pPr>
              <w:ind w:left="679"/>
              <w:rPr>
                <w:lang w:val="es-ES_tradnl"/>
              </w:rPr>
            </w:pPr>
            <w:r w:rsidRPr="00C75C7E">
              <w:rPr>
                <w:sz w:val="16"/>
                <w:szCs w:val="16"/>
                <w:lang w:val="es-ES_tradnl" w:bidi="th-TH"/>
              </w:rPr>
              <w:t>Programa  25</w:t>
            </w:r>
          </w:p>
        </w:tc>
      </w:tr>
      <w:tr w:rsidR="009F58E5" w:rsidRPr="00C75C7E" w:rsidTr="008F4F69">
        <w:trPr>
          <w:cantSplit/>
          <w:trHeight w:val="516"/>
        </w:trPr>
        <w:tc>
          <w:tcPr>
            <w:tcW w:w="1891" w:type="pct"/>
            <w:shd w:val="clear" w:color="auto" w:fill="auto"/>
            <w:tcMar>
              <w:top w:w="113" w:type="dxa"/>
              <w:bottom w:w="85" w:type="dxa"/>
            </w:tcMar>
          </w:tcPr>
          <w:p w:rsidR="009F58E5" w:rsidRPr="00C75C7E" w:rsidRDefault="009F58E5" w:rsidP="008F4F69">
            <w:pPr>
              <w:rPr>
                <w:sz w:val="16"/>
                <w:szCs w:val="16"/>
                <w:lang w:val="es-ES_tradnl"/>
              </w:rPr>
            </w:pPr>
          </w:p>
        </w:tc>
        <w:tc>
          <w:tcPr>
            <w:tcW w:w="1524" w:type="pct"/>
            <w:shd w:val="clear" w:color="auto" w:fill="auto"/>
            <w:tcMar>
              <w:top w:w="113" w:type="dxa"/>
              <w:bottom w:w="85" w:type="dxa"/>
            </w:tcMar>
          </w:tcPr>
          <w:p w:rsidR="009F58E5" w:rsidRPr="00C75C7E" w:rsidRDefault="009F58E5" w:rsidP="008F4F69">
            <w:pPr>
              <w:rPr>
                <w:sz w:val="16"/>
                <w:szCs w:val="16"/>
                <w:lang w:val="es-ES_tradnl"/>
              </w:rPr>
            </w:pPr>
            <w:r w:rsidRPr="00C75C7E">
              <w:rPr>
                <w:sz w:val="16"/>
                <w:szCs w:val="16"/>
                <w:lang w:val="es-ES_tradnl"/>
              </w:rPr>
              <w:t>Continuidad de los servicios de TIC de los sistemas esenciales.</w:t>
            </w:r>
          </w:p>
        </w:tc>
        <w:tc>
          <w:tcPr>
            <w:tcW w:w="1585" w:type="pct"/>
            <w:shd w:val="clear" w:color="auto" w:fill="FFFFFF"/>
            <w:tcMar>
              <w:top w:w="113" w:type="dxa"/>
              <w:bottom w:w="85" w:type="dxa"/>
            </w:tcMar>
          </w:tcPr>
          <w:p w:rsidR="009F58E5" w:rsidRPr="00C75C7E" w:rsidRDefault="009F58E5" w:rsidP="008F4F69">
            <w:pPr>
              <w:ind w:left="679"/>
              <w:rPr>
                <w:lang w:val="es-ES_tradnl"/>
              </w:rPr>
            </w:pPr>
            <w:r w:rsidRPr="00C75C7E">
              <w:rPr>
                <w:sz w:val="16"/>
                <w:szCs w:val="16"/>
                <w:lang w:val="es-ES_tradnl" w:bidi="th-TH"/>
              </w:rPr>
              <w:t>Programa  25</w:t>
            </w:r>
          </w:p>
        </w:tc>
      </w:tr>
      <w:tr w:rsidR="009F58E5" w:rsidRPr="00C75C7E" w:rsidTr="008F4F69">
        <w:trPr>
          <w:cantSplit/>
          <w:trHeight w:val="516"/>
        </w:trPr>
        <w:tc>
          <w:tcPr>
            <w:tcW w:w="1891" w:type="pct"/>
            <w:shd w:val="clear" w:color="auto" w:fill="auto"/>
            <w:tcMar>
              <w:top w:w="113" w:type="dxa"/>
              <w:bottom w:w="85" w:type="dxa"/>
            </w:tcMar>
          </w:tcPr>
          <w:p w:rsidR="009F58E5" w:rsidRPr="00C75C7E" w:rsidRDefault="009F58E5" w:rsidP="008F4F69">
            <w:pPr>
              <w:rPr>
                <w:sz w:val="16"/>
                <w:szCs w:val="16"/>
                <w:lang w:val="es-ES_tradnl"/>
              </w:rPr>
            </w:pPr>
          </w:p>
        </w:tc>
        <w:tc>
          <w:tcPr>
            <w:tcW w:w="1524" w:type="pct"/>
            <w:shd w:val="clear" w:color="auto" w:fill="auto"/>
            <w:tcMar>
              <w:top w:w="113" w:type="dxa"/>
              <w:bottom w:w="85" w:type="dxa"/>
            </w:tcMar>
          </w:tcPr>
          <w:p w:rsidR="009F58E5" w:rsidRPr="00C75C7E" w:rsidRDefault="009F58E5" w:rsidP="008F4F69">
            <w:pPr>
              <w:rPr>
                <w:sz w:val="16"/>
                <w:szCs w:val="16"/>
                <w:lang w:val="es-ES_tradnl"/>
              </w:rPr>
            </w:pPr>
            <w:r w:rsidRPr="00C75C7E">
              <w:rPr>
                <w:sz w:val="16"/>
                <w:szCs w:val="16"/>
                <w:lang w:val="es-ES_tradnl"/>
              </w:rPr>
              <w:t>Porcentaje de usuarios y sectores de actividades que están satisfechos con los servicios de TIC.</w:t>
            </w:r>
          </w:p>
        </w:tc>
        <w:tc>
          <w:tcPr>
            <w:tcW w:w="1585" w:type="pct"/>
            <w:shd w:val="clear" w:color="auto" w:fill="FFFFFF"/>
            <w:tcMar>
              <w:top w:w="113" w:type="dxa"/>
              <w:bottom w:w="85" w:type="dxa"/>
            </w:tcMar>
          </w:tcPr>
          <w:p w:rsidR="009F58E5" w:rsidRPr="00C75C7E" w:rsidRDefault="009F58E5" w:rsidP="008F4F69">
            <w:pPr>
              <w:ind w:left="679"/>
              <w:rPr>
                <w:lang w:val="es-ES_tradnl"/>
              </w:rPr>
            </w:pPr>
            <w:r w:rsidRPr="00C75C7E">
              <w:rPr>
                <w:sz w:val="16"/>
                <w:szCs w:val="16"/>
                <w:lang w:val="es-ES_tradnl" w:bidi="th-TH"/>
              </w:rPr>
              <w:t>Programa  25</w:t>
            </w:r>
          </w:p>
        </w:tc>
      </w:tr>
      <w:tr w:rsidR="009F58E5" w:rsidRPr="00C75C7E" w:rsidTr="008F4F69">
        <w:trPr>
          <w:cantSplit/>
          <w:trHeight w:val="516"/>
        </w:trPr>
        <w:tc>
          <w:tcPr>
            <w:tcW w:w="1891" w:type="pct"/>
            <w:shd w:val="clear" w:color="auto" w:fill="auto"/>
            <w:tcMar>
              <w:top w:w="113" w:type="dxa"/>
              <w:bottom w:w="85" w:type="dxa"/>
            </w:tcMar>
          </w:tcPr>
          <w:p w:rsidR="009F58E5" w:rsidRPr="00C75C7E" w:rsidRDefault="009F58E5" w:rsidP="008F4F69">
            <w:pPr>
              <w:rPr>
                <w:sz w:val="16"/>
                <w:szCs w:val="16"/>
                <w:lang w:val="es-ES_tradnl"/>
              </w:rPr>
            </w:pPr>
          </w:p>
        </w:tc>
        <w:tc>
          <w:tcPr>
            <w:tcW w:w="1524" w:type="pct"/>
            <w:shd w:val="clear" w:color="auto" w:fill="auto"/>
            <w:tcMar>
              <w:top w:w="113" w:type="dxa"/>
              <w:bottom w:w="85" w:type="dxa"/>
            </w:tcMar>
          </w:tcPr>
          <w:p w:rsidR="009F58E5" w:rsidRPr="00C75C7E" w:rsidRDefault="009F58E5" w:rsidP="008F4F69">
            <w:pPr>
              <w:rPr>
                <w:sz w:val="16"/>
                <w:szCs w:val="16"/>
                <w:lang w:val="es-ES_tradnl"/>
              </w:rPr>
            </w:pPr>
            <w:r w:rsidRPr="00C75C7E">
              <w:rPr>
                <w:sz w:val="16"/>
                <w:szCs w:val="16"/>
                <w:lang w:val="es-ES_tradnl"/>
              </w:rPr>
              <w:t>El personal tiene fácil acceso a tecnologías de las comunicaciones integradas y de amplio alcance.</w:t>
            </w:r>
          </w:p>
        </w:tc>
        <w:tc>
          <w:tcPr>
            <w:tcW w:w="1585" w:type="pct"/>
            <w:shd w:val="clear" w:color="auto" w:fill="FFFFFF"/>
            <w:tcMar>
              <w:top w:w="113" w:type="dxa"/>
              <w:bottom w:w="85" w:type="dxa"/>
            </w:tcMar>
          </w:tcPr>
          <w:p w:rsidR="009F58E5" w:rsidRPr="00C75C7E" w:rsidRDefault="009F58E5" w:rsidP="008F4F69">
            <w:pPr>
              <w:ind w:left="679"/>
              <w:rPr>
                <w:lang w:val="es-ES_tradnl"/>
              </w:rPr>
            </w:pPr>
            <w:r w:rsidRPr="00C75C7E">
              <w:rPr>
                <w:sz w:val="16"/>
                <w:szCs w:val="16"/>
                <w:lang w:val="es-ES_tradnl" w:bidi="th-TH"/>
              </w:rPr>
              <w:t>Programa  25</w:t>
            </w:r>
          </w:p>
        </w:tc>
      </w:tr>
      <w:tr w:rsidR="009F58E5" w:rsidRPr="00C75C7E" w:rsidTr="008F4F69">
        <w:trPr>
          <w:cantSplit/>
          <w:trHeight w:val="516"/>
        </w:trPr>
        <w:tc>
          <w:tcPr>
            <w:tcW w:w="1891" w:type="pct"/>
            <w:shd w:val="clear" w:color="auto" w:fill="auto"/>
            <w:tcMar>
              <w:top w:w="113" w:type="dxa"/>
              <w:bottom w:w="85" w:type="dxa"/>
            </w:tcMar>
          </w:tcPr>
          <w:p w:rsidR="009F58E5" w:rsidRPr="00C75C7E" w:rsidRDefault="009F58E5" w:rsidP="008F4F69">
            <w:pPr>
              <w:rPr>
                <w:sz w:val="16"/>
                <w:szCs w:val="16"/>
                <w:lang w:val="es-ES_tradnl"/>
              </w:rPr>
            </w:pPr>
          </w:p>
        </w:tc>
        <w:tc>
          <w:tcPr>
            <w:tcW w:w="1524" w:type="pct"/>
            <w:shd w:val="clear" w:color="auto" w:fill="auto"/>
            <w:tcMar>
              <w:top w:w="113" w:type="dxa"/>
              <w:bottom w:w="85" w:type="dxa"/>
            </w:tcMar>
          </w:tcPr>
          <w:p w:rsidR="009F58E5" w:rsidRPr="00C75C7E" w:rsidRDefault="009F58E5" w:rsidP="008F4F69">
            <w:pPr>
              <w:rPr>
                <w:bCs/>
                <w:sz w:val="16"/>
                <w:szCs w:val="16"/>
                <w:lang w:val="es-ES_tradnl"/>
              </w:rPr>
            </w:pPr>
            <w:r w:rsidRPr="00C75C7E">
              <w:rPr>
                <w:bCs/>
                <w:sz w:val="16"/>
                <w:szCs w:val="16"/>
                <w:lang w:val="es-ES_tradnl"/>
              </w:rPr>
              <w:t>Porcentaje de usuarios internos y externos satisfechos de los Servicios de Conferencias de la OMPI.</w:t>
            </w:r>
          </w:p>
        </w:tc>
        <w:tc>
          <w:tcPr>
            <w:tcW w:w="1585" w:type="pct"/>
            <w:shd w:val="clear" w:color="auto" w:fill="FFFFFF"/>
            <w:tcMar>
              <w:top w:w="113" w:type="dxa"/>
              <w:bottom w:w="85" w:type="dxa"/>
            </w:tcMar>
          </w:tcPr>
          <w:p w:rsidR="009F58E5" w:rsidRPr="00C75C7E" w:rsidRDefault="009F58E5" w:rsidP="008F4F69">
            <w:pPr>
              <w:ind w:left="679"/>
              <w:rPr>
                <w:sz w:val="16"/>
                <w:szCs w:val="16"/>
                <w:lang w:val="es-ES_tradnl" w:bidi="th-TH"/>
              </w:rPr>
            </w:pPr>
            <w:r w:rsidRPr="00C75C7E">
              <w:rPr>
                <w:sz w:val="16"/>
                <w:szCs w:val="16"/>
                <w:lang w:val="es-ES_tradnl" w:bidi="th-TH"/>
              </w:rPr>
              <w:t>Programa  27</w:t>
            </w:r>
          </w:p>
        </w:tc>
      </w:tr>
      <w:tr w:rsidR="009F58E5" w:rsidRPr="00C75C7E" w:rsidTr="008F4F69">
        <w:trPr>
          <w:cantSplit/>
          <w:trHeight w:val="516"/>
        </w:trPr>
        <w:tc>
          <w:tcPr>
            <w:tcW w:w="1891" w:type="pct"/>
            <w:shd w:val="clear" w:color="auto" w:fill="auto"/>
            <w:tcMar>
              <w:top w:w="113" w:type="dxa"/>
              <w:bottom w:w="85" w:type="dxa"/>
            </w:tcMar>
          </w:tcPr>
          <w:p w:rsidR="009F58E5" w:rsidRPr="00C75C7E" w:rsidRDefault="009F58E5" w:rsidP="008F4F69">
            <w:pPr>
              <w:rPr>
                <w:sz w:val="16"/>
                <w:szCs w:val="16"/>
                <w:lang w:val="es-ES_tradnl"/>
              </w:rPr>
            </w:pPr>
          </w:p>
        </w:tc>
        <w:tc>
          <w:tcPr>
            <w:tcW w:w="1524" w:type="pct"/>
            <w:shd w:val="clear" w:color="auto" w:fill="auto"/>
            <w:tcMar>
              <w:top w:w="113" w:type="dxa"/>
              <w:bottom w:w="85" w:type="dxa"/>
            </w:tcMar>
          </w:tcPr>
          <w:p w:rsidR="009F58E5" w:rsidRPr="00C75C7E" w:rsidRDefault="009F58E5" w:rsidP="008F4F69">
            <w:pPr>
              <w:rPr>
                <w:sz w:val="16"/>
                <w:szCs w:val="16"/>
                <w:lang w:val="es-ES_tradnl"/>
              </w:rPr>
            </w:pPr>
            <w:r w:rsidRPr="00C75C7E">
              <w:rPr>
                <w:sz w:val="16"/>
                <w:szCs w:val="16"/>
                <w:lang w:val="es-ES_tradnl"/>
              </w:rPr>
              <w:t>Aplicación eficaz de la Política Lingüística de la OMPI.</w:t>
            </w:r>
          </w:p>
        </w:tc>
        <w:tc>
          <w:tcPr>
            <w:tcW w:w="1585" w:type="pct"/>
            <w:shd w:val="clear" w:color="auto" w:fill="FFFFFF"/>
            <w:tcMar>
              <w:top w:w="113" w:type="dxa"/>
              <w:bottom w:w="85" w:type="dxa"/>
            </w:tcMar>
          </w:tcPr>
          <w:p w:rsidR="009F58E5" w:rsidRPr="00C75C7E" w:rsidRDefault="009F58E5" w:rsidP="008F4F69">
            <w:pPr>
              <w:ind w:left="679"/>
              <w:rPr>
                <w:lang w:val="es-ES_tradnl"/>
              </w:rPr>
            </w:pPr>
            <w:r w:rsidRPr="00C75C7E">
              <w:rPr>
                <w:sz w:val="16"/>
                <w:szCs w:val="16"/>
                <w:lang w:val="es-ES_tradnl" w:bidi="th-TH"/>
              </w:rPr>
              <w:t>Programa  27</w:t>
            </w:r>
          </w:p>
        </w:tc>
      </w:tr>
      <w:tr w:rsidR="009F58E5" w:rsidRPr="00C75C7E" w:rsidTr="00B57FA6">
        <w:trPr>
          <w:cantSplit/>
          <w:trHeight w:val="218"/>
        </w:trPr>
        <w:tc>
          <w:tcPr>
            <w:tcW w:w="1891" w:type="pct"/>
            <w:shd w:val="clear" w:color="auto" w:fill="auto"/>
            <w:tcMar>
              <w:top w:w="113" w:type="dxa"/>
              <w:bottom w:w="85" w:type="dxa"/>
            </w:tcMar>
          </w:tcPr>
          <w:p w:rsidR="009F58E5" w:rsidRPr="00C75C7E" w:rsidRDefault="009F58E5" w:rsidP="008F4F69">
            <w:pPr>
              <w:rPr>
                <w:sz w:val="16"/>
                <w:szCs w:val="16"/>
                <w:lang w:val="es-ES_tradnl"/>
              </w:rPr>
            </w:pPr>
          </w:p>
        </w:tc>
        <w:tc>
          <w:tcPr>
            <w:tcW w:w="1524" w:type="pct"/>
            <w:shd w:val="clear" w:color="auto" w:fill="auto"/>
            <w:tcMar>
              <w:top w:w="113" w:type="dxa"/>
              <w:bottom w:w="85" w:type="dxa"/>
            </w:tcMar>
          </w:tcPr>
          <w:p w:rsidR="009F58E5" w:rsidRPr="00C75C7E" w:rsidRDefault="009F58E5" w:rsidP="008F4F69">
            <w:pPr>
              <w:rPr>
                <w:sz w:val="16"/>
                <w:szCs w:val="16"/>
                <w:lang w:val="es-ES_tradnl"/>
              </w:rPr>
            </w:pPr>
            <w:r w:rsidRPr="00C75C7E">
              <w:rPr>
                <w:sz w:val="16"/>
                <w:szCs w:val="16"/>
                <w:lang w:val="es-ES_tradnl"/>
              </w:rPr>
              <w:t>Costo por palabra traducida.</w:t>
            </w:r>
          </w:p>
        </w:tc>
        <w:tc>
          <w:tcPr>
            <w:tcW w:w="1585" w:type="pct"/>
            <w:shd w:val="clear" w:color="auto" w:fill="FFFFFF"/>
            <w:tcMar>
              <w:top w:w="113" w:type="dxa"/>
              <w:bottom w:w="85" w:type="dxa"/>
            </w:tcMar>
          </w:tcPr>
          <w:p w:rsidR="009F58E5" w:rsidRPr="00C75C7E" w:rsidRDefault="009F58E5" w:rsidP="008F4F69">
            <w:pPr>
              <w:ind w:left="679"/>
              <w:rPr>
                <w:lang w:val="es-ES_tradnl"/>
              </w:rPr>
            </w:pPr>
            <w:r w:rsidRPr="00C75C7E">
              <w:rPr>
                <w:sz w:val="16"/>
                <w:szCs w:val="16"/>
                <w:lang w:val="es-ES_tradnl" w:bidi="th-TH"/>
              </w:rPr>
              <w:t>Programa  27</w:t>
            </w:r>
          </w:p>
        </w:tc>
      </w:tr>
      <w:tr w:rsidR="009F58E5" w:rsidRPr="00C75C7E" w:rsidTr="00B57FA6">
        <w:trPr>
          <w:cantSplit/>
          <w:trHeight w:val="226"/>
        </w:trPr>
        <w:tc>
          <w:tcPr>
            <w:tcW w:w="1891" w:type="pct"/>
            <w:shd w:val="clear" w:color="auto" w:fill="auto"/>
            <w:tcMar>
              <w:top w:w="113" w:type="dxa"/>
              <w:bottom w:w="85" w:type="dxa"/>
            </w:tcMar>
          </w:tcPr>
          <w:p w:rsidR="009F58E5" w:rsidRPr="00C75C7E" w:rsidRDefault="009F58E5" w:rsidP="008F4F69">
            <w:pPr>
              <w:rPr>
                <w:sz w:val="16"/>
                <w:szCs w:val="16"/>
                <w:lang w:val="es-ES_tradnl"/>
              </w:rPr>
            </w:pPr>
          </w:p>
        </w:tc>
        <w:tc>
          <w:tcPr>
            <w:tcW w:w="1524" w:type="pct"/>
            <w:shd w:val="clear" w:color="auto" w:fill="auto"/>
            <w:tcMar>
              <w:top w:w="113" w:type="dxa"/>
              <w:bottom w:w="85" w:type="dxa"/>
            </w:tcMar>
          </w:tcPr>
          <w:p w:rsidR="009F58E5" w:rsidRPr="00C75C7E" w:rsidRDefault="009F58E5" w:rsidP="008F4F69">
            <w:pPr>
              <w:rPr>
                <w:sz w:val="16"/>
                <w:szCs w:val="16"/>
                <w:lang w:val="es-ES_tradnl"/>
              </w:rPr>
            </w:pPr>
            <w:r w:rsidRPr="00C75C7E">
              <w:rPr>
                <w:sz w:val="16"/>
                <w:szCs w:val="16"/>
                <w:lang w:val="es-ES_tradnl"/>
              </w:rPr>
              <w:t>Calidad de las traducciones.</w:t>
            </w:r>
          </w:p>
        </w:tc>
        <w:tc>
          <w:tcPr>
            <w:tcW w:w="1585" w:type="pct"/>
            <w:shd w:val="clear" w:color="auto" w:fill="FFFFFF"/>
            <w:tcMar>
              <w:top w:w="113" w:type="dxa"/>
              <w:bottom w:w="85" w:type="dxa"/>
            </w:tcMar>
          </w:tcPr>
          <w:p w:rsidR="009F58E5" w:rsidRPr="00C75C7E" w:rsidRDefault="009F58E5" w:rsidP="008F4F69">
            <w:pPr>
              <w:ind w:left="679"/>
              <w:rPr>
                <w:lang w:val="es-ES_tradnl"/>
              </w:rPr>
            </w:pPr>
            <w:r w:rsidRPr="00C75C7E">
              <w:rPr>
                <w:sz w:val="16"/>
                <w:szCs w:val="16"/>
                <w:lang w:val="es-ES_tradnl" w:bidi="th-TH"/>
              </w:rPr>
              <w:t>Programa  27</w:t>
            </w:r>
          </w:p>
        </w:tc>
      </w:tr>
      <w:tr w:rsidR="009F58E5" w:rsidRPr="00C75C7E" w:rsidTr="00B57FA6">
        <w:trPr>
          <w:cantSplit/>
          <w:trHeight w:val="372"/>
        </w:trPr>
        <w:tc>
          <w:tcPr>
            <w:tcW w:w="1891" w:type="pct"/>
            <w:shd w:val="clear" w:color="auto" w:fill="auto"/>
            <w:tcMar>
              <w:top w:w="113" w:type="dxa"/>
              <w:bottom w:w="85" w:type="dxa"/>
            </w:tcMar>
          </w:tcPr>
          <w:p w:rsidR="009F58E5" w:rsidRPr="00C75C7E" w:rsidRDefault="009F58E5" w:rsidP="008F4F69">
            <w:pPr>
              <w:rPr>
                <w:sz w:val="16"/>
                <w:szCs w:val="16"/>
                <w:lang w:val="es-ES_tradnl"/>
              </w:rPr>
            </w:pPr>
          </w:p>
        </w:tc>
        <w:tc>
          <w:tcPr>
            <w:tcW w:w="1524" w:type="pct"/>
            <w:shd w:val="clear" w:color="auto" w:fill="auto"/>
            <w:tcMar>
              <w:top w:w="113" w:type="dxa"/>
              <w:bottom w:w="85" w:type="dxa"/>
            </w:tcMar>
          </w:tcPr>
          <w:p w:rsidR="009F58E5" w:rsidRPr="00C75C7E" w:rsidRDefault="009F58E5" w:rsidP="008F4F69">
            <w:pPr>
              <w:rPr>
                <w:sz w:val="16"/>
                <w:szCs w:val="16"/>
                <w:lang w:val="es-ES_tradnl"/>
              </w:rPr>
            </w:pPr>
            <w:r w:rsidRPr="00C75C7E">
              <w:rPr>
                <w:sz w:val="16"/>
                <w:szCs w:val="16"/>
                <w:lang w:val="es-ES_tradnl"/>
              </w:rPr>
              <w:t>Disminución de los costos de impresión (por página).</w:t>
            </w:r>
          </w:p>
        </w:tc>
        <w:tc>
          <w:tcPr>
            <w:tcW w:w="1585" w:type="pct"/>
            <w:shd w:val="clear" w:color="auto" w:fill="FFFFFF"/>
            <w:tcMar>
              <w:top w:w="113" w:type="dxa"/>
              <w:bottom w:w="85" w:type="dxa"/>
            </w:tcMar>
          </w:tcPr>
          <w:p w:rsidR="009F58E5" w:rsidRPr="00C75C7E" w:rsidRDefault="009F58E5" w:rsidP="008F4F69">
            <w:pPr>
              <w:ind w:left="679"/>
              <w:rPr>
                <w:lang w:val="es-ES_tradnl"/>
              </w:rPr>
            </w:pPr>
            <w:r w:rsidRPr="00C75C7E">
              <w:rPr>
                <w:sz w:val="16"/>
                <w:szCs w:val="16"/>
                <w:lang w:val="es-ES_tradnl" w:bidi="th-TH"/>
              </w:rPr>
              <w:t>Programa  27</w:t>
            </w:r>
          </w:p>
        </w:tc>
      </w:tr>
      <w:tr w:rsidR="00B57FA6" w:rsidRPr="00C75C7E" w:rsidTr="00B57FA6">
        <w:trPr>
          <w:cantSplit/>
          <w:trHeight w:val="516"/>
        </w:trPr>
        <w:tc>
          <w:tcPr>
            <w:tcW w:w="1891" w:type="pct"/>
            <w:shd w:val="clear" w:color="auto" w:fill="auto"/>
            <w:tcMar>
              <w:top w:w="113" w:type="dxa"/>
              <w:bottom w:w="85" w:type="dxa"/>
            </w:tcMar>
          </w:tcPr>
          <w:p w:rsidR="00B57FA6" w:rsidRPr="00C75C7E" w:rsidRDefault="00B57FA6" w:rsidP="008F4F69">
            <w:pPr>
              <w:rPr>
                <w:sz w:val="16"/>
                <w:szCs w:val="16"/>
                <w:lang w:val="es-ES_tradnl"/>
              </w:rPr>
            </w:pPr>
          </w:p>
        </w:tc>
        <w:tc>
          <w:tcPr>
            <w:tcW w:w="1524" w:type="pct"/>
            <w:shd w:val="clear" w:color="auto" w:fill="auto"/>
            <w:tcMar>
              <w:top w:w="113" w:type="dxa"/>
              <w:bottom w:w="85" w:type="dxa"/>
            </w:tcMar>
          </w:tcPr>
          <w:p w:rsidR="00B57FA6" w:rsidRPr="00C75C7E" w:rsidRDefault="00B57FA6" w:rsidP="008F4F69">
            <w:pPr>
              <w:rPr>
                <w:sz w:val="16"/>
                <w:szCs w:val="16"/>
                <w:lang w:val="es-ES_tradnl"/>
              </w:rPr>
            </w:pPr>
            <w:r>
              <w:rPr>
                <w:sz w:val="16"/>
                <w:szCs w:val="16"/>
                <w:lang w:val="es-ES_tradnl"/>
              </w:rPr>
              <w:t>Publicación a tiempo de los documentos para los comités y grupos de  trabajo.</w:t>
            </w:r>
          </w:p>
        </w:tc>
        <w:tc>
          <w:tcPr>
            <w:tcW w:w="1585" w:type="pct"/>
            <w:shd w:val="clear" w:color="auto" w:fill="FFFFFF"/>
            <w:tcMar>
              <w:top w:w="113" w:type="dxa"/>
              <w:bottom w:w="85" w:type="dxa"/>
            </w:tcMar>
          </w:tcPr>
          <w:p w:rsidR="00B57FA6" w:rsidRPr="00C75C7E" w:rsidRDefault="00B57FA6" w:rsidP="008F4F69">
            <w:pPr>
              <w:ind w:left="679"/>
              <w:rPr>
                <w:sz w:val="16"/>
                <w:szCs w:val="16"/>
                <w:lang w:val="es-ES_tradnl" w:bidi="th-TH"/>
              </w:rPr>
            </w:pPr>
            <w:r>
              <w:rPr>
                <w:sz w:val="16"/>
                <w:szCs w:val="16"/>
                <w:lang w:val="es-ES_tradnl" w:bidi="th-TH"/>
              </w:rPr>
              <w:t>Programa  27</w:t>
            </w:r>
          </w:p>
        </w:tc>
      </w:tr>
      <w:tr w:rsidR="009F58E5" w:rsidRPr="00C75C7E" w:rsidTr="008F4F69">
        <w:trPr>
          <w:cantSplit/>
          <w:trHeight w:val="516"/>
        </w:trPr>
        <w:tc>
          <w:tcPr>
            <w:tcW w:w="1891" w:type="pct"/>
            <w:shd w:val="clear" w:color="auto" w:fill="auto"/>
            <w:tcMar>
              <w:top w:w="113" w:type="dxa"/>
              <w:bottom w:w="85" w:type="dxa"/>
            </w:tcMar>
          </w:tcPr>
          <w:p w:rsidR="009F58E5" w:rsidRPr="00C75C7E" w:rsidRDefault="009F58E5" w:rsidP="008F4F69">
            <w:pPr>
              <w:rPr>
                <w:sz w:val="16"/>
                <w:szCs w:val="16"/>
                <w:lang w:val="es-ES_tradnl"/>
              </w:rPr>
            </w:pPr>
            <w:r w:rsidRPr="00C75C7E">
              <w:rPr>
                <w:sz w:val="16"/>
                <w:szCs w:val="16"/>
                <w:lang w:val="es-ES_tradnl"/>
              </w:rPr>
              <w:t>IX.2 Funcionamiento sin contratiempos de la Secretaría, provista de un personal bien dirigido, dotado de las competencias adecuadas</w:t>
            </w:r>
            <w:r w:rsidR="00D86F03">
              <w:rPr>
                <w:sz w:val="16"/>
                <w:szCs w:val="16"/>
                <w:lang w:val="es-ES_tradnl"/>
              </w:rPr>
              <w:t>,</w:t>
            </w:r>
            <w:r w:rsidRPr="00C75C7E">
              <w:rPr>
                <w:sz w:val="16"/>
                <w:szCs w:val="16"/>
                <w:lang w:val="es-ES_tradnl"/>
              </w:rPr>
              <w:t xml:space="preserve"> y capaz de conseguir resultados.</w:t>
            </w:r>
          </w:p>
        </w:tc>
        <w:tc>
          <w:tcPr>
            <w:tcW w:w="1524" w:type="pct"/>
            <w:shd w:val="clear" w:color="auto" w:fill="auto"/>
            <w:tcMar>
              <w:top w:w="113" w:type="dxa"/>
              <w:bottom w:w="85" w:type="dxa"/>
            </w:tcMar>
          </w:tcPr>
          <w:p w:rsidR="009F58E5" w:rsidRPr="00C75C7E" w:rsidRDefault="009F58E5" w:rsidP="008F4F69">
            <w:pPr>
              <w:rPr>
                <w:sz w:val="16"/>
                <w:szCs w:val="16"/>
                <w:lang w:val="es-ES_tradnl"/>
              </w:rPr>
            </w:pPr>
            <w:r w:rsidRPr="00C75C7E">
              <w:rPr>
                <w:sz w:val="16"/>
                <w:szCs w:val="16"/>
                <w:lang w:val="es-ES_tradnl"/>
              </w:rPr>
              <w:t>Porcentaje de peticiones de asesoramiento y servicios jurídicos que reciben respuestas rápidas, independientes y fiables de la Oficina del Consejero Jurídico.</w:t>
            </w:r>
          </w:p>
        </w:tc>
        <w:tc>
          <w:tcPr>
            <w:tcW w:w="1585" w:type="pct"/>
            <w:shd w:val="clear" w:color="auto" w:fill="FFFFFF"/>
            <w:tcMar>
              <w:top w:w="113" w:type="dxa"/>
              <w:bottom w:w="85" w:type="dxa"/>
            </w:tcMar>
          </w:tcPr>
          <w:p w:rsidR="009F58E5" w:rsidRPr="00C75C7E" w:rsidRDefault="009F58E5" w:rsidP="008F4F69">
            <w:pPr>
              <w:ind w:left="679"/>
              <w:rPr>
                <w:sz w:val="16"/>
                <w:szCs w:val="16"/>
                <w:lang w:val="es-ES_tradnl" w:bidi="th-TH"/>
              </w:rPr>
            </w:pPr>
            <w:r w:rsidRPr="00C75C7E">
              <w:rPr>
                <w:sz w:val="16"/>
                <w:szCs w:val="16"/>
                <w:lang w:val="es-ES_tradnl" w:bidi="th-TH"/>
              </w:rPr>
              <w:t>Programa  21</w:t>
            </w:r>
          </w:p>
        </w:tc>
      </w:tr>
      <w:tr w:rsidR="009F58E5" w:rsidRPr="00C75C7E" w:rsidTr="008F4F69">
        <w:trPr>
          <w:cantSplit/>
          <w:trHeight w:val="335"/>
        </w:trPr>
        <w:tc>
          <w:tcPr>
            <w:tcW w:w="1891" w:type="pct"/>
            <w:shd w:val="clear" w:color="auto" w:fill="auto"/>
            <w:tcMar>
              <w:top w:w="113" w:type="dxa"/>
              <w:bottom w:w="85" w:type="dxa"/>
            </w:tcMar>
          </w:tcPr>
          <w:p w:rsidR="009F58E5" w:rsidRPr="00C75C7E" w:rsidRDefault="009F58E5" w:rsidP="008F4F69">
            <w:pPr>
              <w:rPr>
                <w:sz w:val="16"/>
                <w:szCs w:val="16"/>
                <w:lang w:val="es-ES_tradnl"/>
              </w:rPr>
            </w:pPr>
          </w:p>
        </w:tc>
        <w:tc>
          <w:tcPr>
            <w:tcW w:w="1524" w:type="pct"/>
            <w:shd w:val="clear" w:color="auto" w:fill="auto"/>
            <w:tcMar>
              <w:top w:w="113" w:type="dxa"/>
              <w:bottom w:w="85" w:type="dxa"/>
            </w:tcMar>
          </w:tcPr>
          <w:p w:rsidR="009F58E5" w:rsidRPr="00C75C7E" w:rsidRDefault="009F58E5" w:rsidP="00B57FA6">
            <w:pPr>
              <w:rPr>
                <w:sz w:val="16"/>
                <w:szCs w:val="16"/>
                <w:lang w:val="es-ES_tradnl"/>
              </w:rPr>
            </w:pPr>
            <w:r w:rsidRPr="00C75C7E">
              <w:rPr>
                <w:sz w:val="16"/>
                <w:szCs w:val="16"/>
                <w:lang w:val="es-ES_tradnl"/>
              </w:rPr>
              <w:t>Informe financiero satisfactorio de los auditores externos que confirma la conformidad de las operaciones contables con los convenios y tratados aplicables de la OMPI, el Reglamento Financiero y la Reglamentación Financiera de la OMPI y las IPSAS.</w:t>
            </w:r>
          </w:p>
        </w:tc>
        <w:tc>
          <w:tcPr>
            <w:tcW w:w="1585" w:type="pct"/>
            <w:shd w:val="clear" w:color="auto" w:fill="FFFFFF"/>
            <w:tcMar>
              <w:top w:w="113" w:type="dxa"/>
              <w:bottom w:w="85" w:type="dxa"/>
            </w:tcMar>
          </w:tcPr>
          <w:p w:rsidR="009F58E5" w:rsidRPr="00C75C7E" w:rsidRDefault="009F58E5" w:rsidP="008F4F69">
            <w:pPr>
              <w:ind w:left="679"/>
              <w:rPr>
                <w:sz w:val="16"/>
                <w:szCs w:val="16"/>
                <w:lang w:val="es-ES_tradnl" w:bidi="th-TH"/>
              </w:rPr>
            </w:pPr>
            <w:r w:rsidRPr="00C75C7E">
              <w:rPr>
                <w:sz w:val="16"/>
                <w:szCs w:val="16"/>
                <w:lang w:val="es-ES_tradnl"/>
              </w:rPr>
              <w:t>Programa  22</w:t>
            </w:r>
          </w:p>
        </w:tc>
      </w:tr>
      <w:tr w:rsidR="009F58E5" w:rsidRPr="00C75C7E" w:rsidTr="008F4F69">
        <w:trPr>
          <w:cantSplit/>
          <w:trHeight w:val="335"/>
        </w:trPr>
        <w:tc>
          <w:tcPr>
            <w:tcW w:w="1891" w:type="pct"/>
            <w:shd w:val="clear" w:color="auto" w:fill="auto"/>
            <w:tcMar>
              <w:top w:w="113" w:type="dxa"/>
              <w:bottom w:w="85" w:type="dxa"/>
            </w:tcMar>
          </w:tcPr>
          <w:p w:rsidR="009F58E5" w:rsidRPr="00C75C7E" w:rsidRDefault="009F58E5" w:rsidP="008F4F69">
            <w:pPr>
              <w:rPr>
                <w:sz w:val="16"/>
                <w:szCs w:val="16"/>
                <w:lang w:val="es-ES_tradnl"/>
              </w:rPr>
            </w:pPr>
          </w:p>
        </w:tc>
        <w:tc>
          <w:tcPr>
            <w:tcW w:w="1524" w:type="pct"/>
            <w:shd w:val="clear" w:color="auto" w:fill="auto"/>
            <w:tcMar>
              <w:top w:w="113" w:type="dxa"/>
              <w:bottom w:w="85" w:type="dxa"/>
            </w:tcMar>
          </w:tcPr>
          <w:p w:rsidR="009F58E5" w:rsidRPr="00C75C7E" w:rsidRDefault="009F58E5" w:rsidP="008F4F69">
            <w:pPr>
              <w:rPr>
                <w:sz w:val="16"/>
                <w:szCs w:val="16"/>
                <w:lang w:val="es-ES_tradnl"/>
              </w:rPr>
            </w:pPr>
            <w:r w:rsidRPr="00C75C7E">
              <w:rPr>
                <w:sz w:val="16"/>
                <w:szCs w:val="16"/>
                <w:lang w:val="es-ES_tradnl"/>
              </w:rPr>
              <w:t>Rendimiento del capital invertido en concordancia con los parámetros establecidos por el Comité Asesor en materia de Inversiones.</w:t>
            </w:r>
          </w:p>
        </w:tc>
        <w:tc>
          <w:tcPr>
            <w:tcW w:w="1585" w:type="pct"/>
            <w:shd w:val="clear" w:color="auto" w:fill="FFFFFF"/>
            <w:tcMar>
              <w:top w:w="113" w:type="dxa"/>
              <w:bottom w:w="85" w:type="dxa"/>
            </w:tcMar>
          </w:tcPr>
          <w:p w:rsidR="009F58E5" w:rsidRPr="00C75C7E" w:rsidRDefault="009F58E5" w:rsidP="008F4F69">
            <w:pPr>
              <w:ind w:left="679"/>
              <w:rPr>
                <w:sz w:val="16"/>
                <w:szCs w:val="16"/>
                <w:lang w:val="es-ES_tradnl" w:bidi="th-TH"/>
              </w:rPr>
            </w:pPr>
            <w:r w:rsidRPr="00C75C7E">
              <w:rPr>
                <w:sz w:val="16"/>
                <w:szCs w:val="16"/>
                <w:lang w:val="es-ES_tradnl"/>
              </w:rPr>
              <w:t>Programa  22</w:t>
            </w:r>
          </w:p>
        </w:tc>
      </w:tr>
      <w:tr w:rsidR="009F58E5" w:rsidRPr="00C75C7E" w:rsidTr="008F4F69">
        <w:trPr>
          <w:cantSplit/>
          <w:trHeight w:val="335"/>
        </w:trPr>
        <w:tc>
          <w:tcPr>
            <w:tcW w:w="1891" w:type="pct"/>
            <w:shd w:val="clear" w:color="auto" w:fill="auto"/>
            <w:tcMar>
              <w:top w:w="113" w:type="dxa"/>
              <w:bottom w:w="85" w:type="dxa"/>
            </w:tcMar>
          </w:tcPr>
          <w:p w:rsidR="009F58E5" w:rsidRPr="00C75C7E" w:rsidRDefault="009F58E5" w:rsidP="008F4F69">
            <w:pPr>
              <w:rPr>
                <w:sz w:val="16"/>
                <w:szCs w:val="16"/>
                <w:lang w:val="es-ES_tradnl"/>
              </w:rPr>
            </w:pPr>
          </w:p>
        </w:tc>
        <w:tc>
          <w:tcPr>
            <w:tcW w:w="1524" w:type="pct"/>
            <w:shd w:val="clear" w:color="auto" w:fill="auto"/>
            <w:tcMar>
              <w:top w:w="113" w:type="dxa"/>
              <w:bottom w:w="85" w:type="dxa"/>
            </w:tcMar>
          </w:tcPr>
          <w:p w:rsidR="009F58E5" w:rsidRPr="00C75C7E" w:rsidRDefault="009F58E5" w:rsidP="008F4F69">
            <w:pPr>
              <w:rPr>
                <w:sz w:val="16"/>
                <w:szCs w:val="16"/>
                <w:lang w:val="es-ES_tradnl"/>
              </w:rPr>
            </w:pPr>
            <w:r w:rsidRPr="00C75C7E">
              <w:rPr>
                <w:sz w:val="16"/>
                <w:szCs w:val="16"/>
                <w:lang w:val="es-ES_tradnl"/>
              </w:rPr>
              <w:t>Los pagos (incluidas las tasas correspondientes a los sistemas de Madrid y de La Haya) se efectúan en el plazo estipulado.</w:t>
            </w:r>
          </w:p>
        </w:tc>
        <w:tc>
          <w:tcPr>
            <w:tcW w:w="1585" w:type="pct"/>
            <w:shd w:val="clear" w:color="auto" w:fill="FFFFFF"/>
            <w:tcMar>
              <w:top w:w="113" w:type="dxa"/>
              <w:bottom w:w="85" w:type="dxa"/>
            </w:tcMar>
          </w:tcPr>
          <w:p w:rsidR="009F58E5" w:rsidRPr="00C75C7E" w:rsidRDefault="009F58E5" w:rsidP="008F4F69">
            <w:pPr>
              <w:ind w:left="679"/>
              <w:rPr>
                <w:sz w:val="16"/>
                <w:szCs w:val="16"/>
                <w:lang w:val="es-ES_tradnl" w:bidi="th-TH"/>
              </w:rPr>
            </w:pPr>
            <w:r w:rsidRPr="00C75C7E">
              <w:rPr>
                <w:sz w:val="16"/>
                <w:szCs w:val="16"/>
                <w:lang w:val="es-ES_tradnl"/>
              </w:rPr>
              <w:t>Programa  22</w:t>
            </w:r>
          </w:p>
        </w:tc>
      </w:tr>
      <w:tr w:rsidR="009F58E5" w:rsidRPr="00C75C7E" w:rsidTr="008F4F69">
        <w:trPr>
          <w:cantSplit/>
          <w:trHeight w:val="335"/>
        </w:trPr>
        <w:tc>
          <w:tcPr>
            <w:tcW w:w="1891" w:type="pct"/>
            <w:shd w:val="clear" w:color="auto" w:fill="auto"/>
            <w:tcMar>
              <w:top w:w="113" w:type="dxa"/>
              <w:bottom w:w="85" w:type="dxa"/>
            </w:tcMar>
          </w:tcPr>
          <w:p w:rsidR="009F58E5" w:rsidRPr="00C75C7E" w:rsidRDefault="009F58E5" w:rsidP="008F4F69">
            <w:pPr>
              <w:rPr>
                <w:sz w:val="16"/>
                <w:szCs w:val="16"/>
                <w:lang w:val="es-ES_tradnl"/>
              </w:rPr>
            </w:pPr>
          </w:p>
        </w:tc>
        <w:tc>
          <w:tcPr>
            <w:tcW w:w="1524" w:type="pct"/>
            <w:shd w:val="clear" w:color="auto" w:fill="auto"/>
            <w:tcMar>
              <w:top w:w="113" w:type="dxa"/>
              <w:bottom w:w="85" w:type="dxa"/>
            </w:tcMar>
          </w:tcPr>
          <w:p w:rsidR="009F58E5" w:rsidRPr="00C75C7E" w:rsidRDefault="009F58E5" w:rsidP="008F4F69">
            <w:pPr>
              <w:rPr>
                <w:sz w:val="16"/>
                <w:szCs w:val="16"/>
                <w:lang w:val="es-ES_tradnl"/>
              </w:rPr>
            </w:pPr>
            <w:r w:rsidRPr="00C75C7E">
              <w:rPr>
                <w:sz w:val="16"/>
                <w:szCs w:val="16"/>
                <w:lang w:val="es-ES_tradnl"/>
              </w:rPr>
              <w:t xml:space="preserve">Porcentaje de miembros del personal que expresan satisfacción con la formación recibida (cursos de iniciación, </w:t>
            </w:r>
            <w:r w:rsidR="00842232">
              <w:rPr>
                <w:sz w:val="16"/>
                <w:szCs w:val="16"/>
                <w:lang w:val="es-ES_tradnl"/>
              </w:rPr>
              <w:t>formación sobre el sistema de P</w:t>
            </w:r>
            <w:r w:rsidRPr="00C75C7E">
              <w:rPr>
                <w:sz w:val="16"/>
                <w:szCs w:val="16"/>
                <w:lang w:val="es-ES_tradnl"/>
              </w:rPr>
              <w:t>R</w:t>
            </w:r>
            <w:r w:rsidR="00842232">
              <w:rPr>
                <w:sz w:val="16"/>
                <w:szCs w:val="16"/>
                <w:lang w:val="es-ES_tradnl"/>
              </w:rPr>
              <w:t>I</w:t>
            </w:r>
            <w:r w:rsidRPr="00C75C7E">
              <w:rPr>
                <w:sz w:val="16"/>
                <w:szCs w:val="16"/>
                <w:lang w:val="es-ES_tradnl"/>
              </w:rPr>
              <w:t>, formación relacionada con la gestión por resultados).</w:t>
            </w:r>
          </w:p>
        </w:tc>
        <w:tc>
          <w:tcPr>
            <w:tcW w:w="1585" w:type="pct"/>
            <w:shd w:val="clear" w:color="auto" w:fill="FFFFFF"/>
            <w:tcMar>
              <w:top w:w="113" w:type="dxa"/>
              <w:bottom w:w="85" w:type="dxa"/>
            </w:tcMar>
          </w:tcPr>
          <w:p w:rsidR="009F58E5" w:rsidRPr="00C75C7E" w:rsidRDefault="009F58E5" w:rsidP="008F4F69">
            <w:pPr>
              <w:ind w:left="679"/>
              <w:rPr>
                <w:sz w:val="16"/>
                <w:szCs w:val="16"/>
                <w:lang w:val="es-ES_tradnl" w:bidi="th-TH"/>
              </w:rPr>
            </w:pPr>
            <w:r w:rsidRPr="00C75C7E">
              <w:rPr>
                <w:sz w:val="16"/>
                <w:szCs w:val="16"/>
                <w:lang w:val="es-ES_tradnl"/>
              </w:rPr>
              <w:t>Programa  22</w:t>
            </w:r>
          </w:p>
        </w:tc>
      </w:tr>
      <w:tr w:rsidR="009F58E5" w:rsidRPr="00C75C7E" w:rsidTr="008F4F69">
        <w:trPr>
          <w:cantSplit/>
          <w:trHeight w:val="335"/>
        </w:trPr>
        <w:tc>
          <w:tcPr>
            <w:tcW w:w="1891" w:type="pct"/>
            <w:shd w:val="clear" w:color="auto" w:fill="auto"/>
            <w:tcMar>
              <w:top w:w="113" w:type="dxa"/>
              <w:bottom w:w="85" w:type="dxa"/>
            </w:tcMar>
          </w:tcPr>
          <w:p w:rsidR="009F58E5" w:rsidRPr="00C75C7E" w:rsidRDefault="009F58E5" w:rsidP="008F4F69">
            <w:pPr>
              <w:rPr>
                <w:sz w:val="16"/>
                <w:szCs w:val="16"/>
                <w:lang w:val="es-ES_tradnl"/>
              </w:rPr>
            </w:pPr>
          </w:p>
        </w:tc>
        <w:tc>
          <w:tcPr>
            <w:tcW w:w="1524" w:type="pct"/>
            <w:shd w:val="clear" w:color="auto" w:fill="auto"/>
            <w:tcMar>
              <w:top w:w="113" w:type="dxa"/>
              <w:bottom w:w="85" w:type="dxa"/>
            </w:tcMar>
          </w:tcPr>
          <w:p w:rsidR="009F58E5" w:rsidRPr="00C75C7E" w:rsidRDefault="009F58E5" w:rsidP="008F4F69">
            <w:pPr>
              <w:rPr>
                <w:sz w:val="16"/>
                <w:szCs w:val="16"/>
                <w:lang w:val="es-ES_tradnl"/>
              </w:rPr>
            </w:pPr>
            <w:r w:rsidRPr="00C75C7E">
              <w:rPr>
                <w:sz w:val="16"/>
                <w:szCs w:val="16"/>
                <w:lang w:val="es-ES_tradnl"/>
              </w:rPr>
              <w:t>Porcentaje de encuestados en la OMPI que consideran que la Organización rinde cuentas de sus resultados.</w:t>
            </w:r>
          </w:p>
        </w:tc>
        <w:tc>
          <w:tcPr>
            <w:tcW w:w="1585" w:type="pct"/>
            <w:shd w:val="clear" w:color="auto" w:fill="FFFFFF"/>
            <w:tcMar>
              <w:top w:w="113" w:type="dxa"/>
              <w:bottom w:w="85" w:type="dxa"/>
            </w:tcMar>
          </w:tcPr>
          <w:p w:rsidR="009F58E5" w:rsidRPr="00C75C7E" w:rsidRDefault="009F58E5" w:rsidP="008F4F69">
            <w:pPr>
              <w:ind w:left="679"/>
              <w:rPr>
                <w:sz w:val="16"/>
                <w:szCs w:val="16"/>
                <w:lang w:val="es-ES_tradnl" w:bidi="th-TH"/>
              </w:rPr>
            </w:pPr>
            <w:r w:rsidRPr="00C75C7E">
              <w:rPr>
                <w:sz w:val="16"/>
                <w:szCs w:val="16"/>
                <w:lang w:val="es-ES_tradnl"/>
              </w:rPr>
              <w:t>Programa  22</w:t>
            </w:r>
          </w:p>
        </w:tc>
      </w:tr>
      <w:tr w:rsidR="009F58E5" w:rsidRPr="00C75C7E" w:rsidTr="008F4F69">
        <w:trPr>
          <w:cantSplit/>
          <w:trHeight w:val="335"/>
        </w:trPr>
        <w:tc>
          <w:tcPr>
            <w:tcW w:w="1891" w:type="pct"/>
            <w:shd w:val="clear" w:color="auto" w:fill="auto"/>
            <w:tcMar>
              <w:top w:w="113" w:type="dxa"/>
              <w:bottom w:w="85" w:type="dxa"/>
            </w:tcMar>
          </w:tcPr>
          <w:p w:rsidR="009F58E5" w:rsidRPr="00C75C7E" w:rsidRDefault="009F58E5" w:rsidP="008F4F69">
            <w:pPr>
              <w:rPr>
                <w:sz w:val="16"/>
                <w:szCs w:val="16"/>
                <w:lang w:val="es-ES_tradnl"/>
              </w:rPr>
            </w:pPr>
          </w:p>
        </w:tc>
        <w:tc>
          <w:tcPr>
            <w:tcW w:w="1524" w:type="pct"/>
            <w:shd w:val="clear" w:color="auto" w:fill="auto"/>
            <w:tcMar>
              <w:top w:w="113" w:type="dxa"/>
              <w:bottom w:w="85" w:type="dxa"/>
            </w:tcMar>
          </w:tcPr>
          <w:p w:rsidR="009F58E5" w:rsidRPr="00C75C7E" w:rsidRDefault="009F58E5" w:rsidP="008F4F69">
            <w:pPr>
              <w:rPr>
                <w:sz w:val="16"/>
                <w:szCs w:val="16"/>
                <w:lang w:val="es-ES_tradnl"/>
              </w:rPr>
            </w:pPr>
            <w:r w:rsidRPr="00C75C7E">
              <w:rPr>
                <w:sz w:val="16"/>
                <w:szCs w:val="16"/>
                <w:lang w:val="es-ES_tradnl"/>
              </w:rPr>
              <w:t>Porcentaje de programas de la OMPI que utilizan los datos sobre el rendimiento para gestionar el rendimiento del programa.</w:t>
            </w:r>
          </w:p>
        </w:tc>
        <w:tc>
          <w:tcPr>
            <w:tcW w:w="1585" w:type="pct"/>
            <w:shd w:val="clear" w:color="auto" w:fill="FFFFFF"/>
            <w:tcMar>
              <w:top w:w="113" w:type="dxa"/>
              <w:bottom w:w="85" w:type="dxa"/>
            </w:tcMar>
          </w:tcPr>
          <w:p w:rsidR="009F58E5" w:rsidRPr="00C75C7E" w:rsidRDefault="009F58E5" w:rsidP="008F4F69">
            <w:pPr>
              <w:ind w:left="679"/>
              <w:rPr>
                <w:sz w:val="16"/>
                <w:szCs w:val="16"/>
                <w:lang w:val="es-ES_tradnl" w:bidi="th-TH"/>
              </w:rPr>
            </w:pPr>
            <w:r w:rsidRPr="00C75C7E">
              <w:rPr>
                <w:sz w:val="16"/>
                <w:szCs w:val="16"/>
                <w:lang w:val="es-ES_tradnl"/>
              </w:rPr>
              <w:t>Programa  22</w:t>
            </w:r>
          </w:p>
        </w:tc>
      </w:tr>
      <w:tr w:rsidR="009F58E5" w:rsidRPr="00C75C7E" w:rsidTr="008F4F69">
        <w:trPr>
          <w:cantSplit/>
          <w:trHeight w:val="335"/>
        </w:trPr>
        <w:tc>
          <w:tcPr>
            <w:tcW w:w="1891" w:type="pct"/>
            <w:shd w:val="clear" w:color="auto" w:fill="auto"/>
            <w:tcMar>
              <w:top w:w="113" w:type="dxa"/>
              <w:bottom w:w="85" w:type="dxa"/>
            </w:tcMar>
          </w:tcPr>
          <w:p w:rsidR="009F58E5" w:rsidRPr="00C75C7E" w:rsidRDefault="009F58E5" w:rsidP="008F4F69">
            <w:pPr>
              <w:rPr>
                <w:sz w:val="16"/>
                <w:szCs w:val="16"/>
                <w:lang w:val="es-ES_tradnl"/>
              </w:rPr>
            </w:pPr>
          </w:p>
        </w:tc>
        <w:tc>
          <w:tcPr>
            <w:tcW w:w="1524" w:type="pct"/>
            <w:shd w:val="clear" w:color="auto" w:fill="auto"/>
            <w:tcMar>
              <w:top w:w="113" w:type="dxa"/>
              <w:bottom w:w="85" w:type="dxa"/>
            </w:tcMar>
          </w:tcPr>
          <w:p w:rsidR="009F58E5" w:rsidRPr="00C75C7E" w:rsidRDefault="009F58E5" w:rsidP="008F4F69">
            <w:pPr>
              <w:rPr>
                <w:sz w:val="16"/>
                <w:szCs w:val="16"/>
                <w:lang w:val="es-ES_tradnl"/>
              </w:rPr>
            </w:pPr>
            <w:r w:rsidRPr="00C75C7E">
              <w:rPr>
                <w:sz w:val="16"/>
                <w:szCs w:val="16"/>
                <w:lang w:val="es-ES_tradnl"/>
              </w:rPr>
              <w:t>Duración del proceso de contratación.</w:t>
            </w:r>
          </w:p>
        </w:tc>
        <w:tc>
          <w:tcPr>
            <w:tcW w:w="1585" w:type="pct"/>
            <w:shd w:val="clear" w:color="auto" w:fill="FFFFFF"/>
            <w:tcMar>
              <w:top w:w="113" w:type="dxa"/>
              <w:bottom w:w="85" w:type="dxa"/>
            </w:tcMar>
          </w:tcPr>
          <w:p w:rsidR="009F58E5" w:rsidRPr="00C75C7E" w:rsidRDefault="009F58E5" w:rsidP="008F4F69">
            <w:pPr>
              <w:ind w:left="679"/>
              <w:rPr>
                <w:sz w:val="16"/>
                <w:szCs w:val="16"/>
                <w:lang w:val="es-ES_tradnl" w:bidi="th-TH"/>
              </w:rPr>
            </w:pPr>
            <w:r w:rsidRPr="00C75C7E">
              <w:rPr>
                <w:sz w:val="16"/>
                <w:szCs w:val="16"/>
                <w:lang w:val="es-ES_tradnl"/>
              </w:rPr>
              <w:t>Programa  23</w:t>
            </w:r>
          </w:p>
        </w:tc>
      </w:tr>
      <w:tr w:rsidR="009F58E5" w:rsidRPr="00C75C7E" w:rsidTr="008F4F69">
        <w:trPr>
          <w:cantSplit/>
          <w:trHeight w:val="335"/>
        </w:trPr>
        <w:tc>
          <w:tcPr>
            <w:tcW w:w="1891" w:type="pct"/>
            <w:shd w:val="clear" w:color="auto" w:fill="auto"/>
            <w:tcMar>
              <w:top w:w="113" w:type="dxa"/>
              <w:bottom w:w="85" w:type="dxa"/>
            </w:tcMar>
          </w:tcPr>
          <w:p w:rsidR="009F58E5" w:rsidRPr="00C75C7E" w:rsidRDefault="009F58E5" w:rsidP="008F4F69">
            <w:pPr>
              <w:rPr>
                <w:sz w:val="16"/>
                <w:szCs w:val="16"/>
                <w:lang w:val="es-ES_tradnl"/>
              </w:rPr>
            </w:pPr>
          </w:p>
        </w:tc>
        <w:tc>
          <w:tcPr>
            <w:tcW w:w="1524" w:type="pct"/>
            <w:shd w:val="clear" w:color="auto" w:fill="auto"/>
            <w:tcMar>
              <w:top w:w="113" w:type="dxa"/>
              <w:bottom w:w="85" w:type="dxa"/>
            </w:tcMar>
          </w:tcPr>
          <w:p w:rsidR="009F58E5" w:rsidRPr="00C75C7E" w:rsidRDefault="009F58E5" w:rsidP="008F4F69">
            <w:pPr>
              <w:rPr>
                <w:sz w:val="16"/>
                <w:szCs w:val="16"/>
                <w:lang w:val="es-ES_tradnl"/>
              </w:rPr>
            </w:pPr>
            <w:r w:rsidRPr="00C75C7E">
              <w:rPr>
                <w:sz w:val="16"/>
                <w:szCs w:val="16"/>
                <w:lang w:val="es-ES_tradnl"/>
              </w:rPr>
              <w:t>Porcentaje de dependencias de la Organización cuyos planes de recursos humanos están vinculados a los planes de trabajo anuales.</w:t>
            </w:r>
          </w:p>
        </w:tc>
        <w:tc>
          <w:tcPr>
            <w:tcW w:w="1585" w:type="pct"/>
            <w:shd w:val="clear" w:color="auto" w:fill="FFFFFF"/>
            <w:tcMar>
              <w:top w:w="113" w:type="dxa"/>
              <w:bottom w:w="85" w:type="dxa"/>
            </w:tcMar>
          </w:tcPr>
          <w:p w:rsidR="009F58E5" w:rsidRPr="00C75C7E" w:rsidRDefault="009F58E5" w:rsidP="008F4F69">
            <w:pPr>
              <w:ind w:left="679"/>
              <w:rPr>
                <w:lang w:val="es-ES_tradnl"/>
              </w:rPr>
            </w:pPr>
            <w:r w:rsidRPr="00C75C7E">
              <w:rPr>
                <w:sz w:val="16"/>
                <w:szCs w:val="16"/>
                <w:lang w:val="es-ES_tradnl"/>
              </w:rPr>
              <w:t>Programa  23</w:t>
            </w:r>
          </w:p>
        </w:tc>
      </w:tr>
      <w:tr w:rsidR="009F58E5" w:rsidRPr="00C75C7E" w:rsidTr="008F4F69">
        <w:trPr>
          <w:cantSplit/>
          <w:trHeight w:val="335"/>
        </w:trPr>
        <w:tc>
          <w:tcPr>
            <w:tcW w:w="1891" w:type="pct"/>
            <w:shd w:val="clear" w:color="auto" w:fill="auto"/>
            <w:tcMar>
              <w:top w:w="113" w:type="dxa"/>
              <w:bottom w:w="85" w:type="dxa"/>
            </w:tcMar>
          </w:tcPr>
          <w:p w:rsidR="009F58E5" w:rsidRPr="00C75C7E" w:rsidRDefault="009F58E5" w:rsidP="008F4F69">
            <w:pPr>
              <w:rPr>
                <w:sz w:val="16"/>
                <w:szCs w:val="16"/>
                <w:lang w:val="es-ES_tradnl"/>
              </w:rPr>
            </w:pPr>
          </w:p>
        </w:tc>
        <w:tc>
          <w:tcPr>
            <w:tcW w:w="1524" w:type="pct"/>
            <w:shd w:val="clear" w:color="auto" w:fill="auto"/>
            <w:tcMar>
              <w:top w:w="113" w:type="dxa"/>
              <w:bottom w:w="85" w:type="dxa"/>
            </w:tcMar>
          </w:tcPr>
          <w:p w:rsidR="009F58E5" w:rsidRPr="00C75C7E" w:rsidRDefault="009F58E5" w:rsidP="008F4F69">
            <w:pPr>
              <w:rPr>
                <w:sz w:val="16"/>
                <w:szCs w:val="16"/>
                <w:lang w:val="es-ES_tradnl"/>
              </w:rPr>
            </w:pPr>
            <w:r w:rsidRPr="00C75C7E">
              <w:rPr>
                <w:sz w:val="16"/>
                <w:szCs w:val="16"/>
                <w:lang w:val="es-ES_tradnl"/>
              </w:rPr>
              <w:t>Porcentaje de miembros del personal recién contratados que satisfacen las necesidades de la Organización.</w:t>
            </w:r>
          </w:p>
        </w:tc>
        <w:tc>
          <w:tcPr>
            <w:tcW w:w="1585" w:type="pct"/>
            <w:shd w:val="clear" w:color="auto" w:fill="FFFFFF"/>
            <w:tcMar>
              <w:top w:w="113" w:type="dxa"/>
              <w:bottom w:w="85" w:type="dxa"/>
            </w:tcMar>
          </w:tcPr>
          <w:p w:rsidR="009F58E5" w:rsidRPr="00C75C7E" w:rsidRDefault="009F58E5" w:rsidP="008F4F69">
            <w:pPr>
              <w:ind w:left="679"/>
              <w:rPr>
                <w:lang w:val="es-ES_tradnl"/>
              </w:rPr>
            </w:pPr>
            <w:r w:rsidRPr="00C75C7E">
              <w:rPr>
                <w:sz w:val="16"/>
                <w:szCs w:val="16"/>
                <w:lang w:val="es-ES_tradnl"/>
              </w:rPr>
              <w:t>Programa  23</w:t>
            </w:r>
          </w:p>
        </w:tc>
      </w:tr>
      <w:tr w:rsidR="009F58E5" w:rsidRPr="00C75C7E" w:rsidTr="008F4F69">
        <w:trPr>
          <w:cantSplit/>
          <w:trHeight w:val="335"/>
        </w:trPr>
        <w:tc>
          <w:tcPr>
            <w:tcW w:w="1891" w:type="pct"/>
            <w:shd w:val="clear" w:color="auto" w:fill="auto"/>
            <w:tcMar>
              <w:top w:w="113" w:type="dxa"/>
              <w:bottom w:w="85" w:type="dxa"/>
            </w:tcMar>
          </w:tcPr>
          <w:p w:rsidR="009F58E5" w:rsidRPr="00C75C7E" w:rsidRDefault="009F58E5" w:rsidP="008F4F69">
            <w:pPr>
              <w:rPr>
                <w:sz w:val="16"/>
                <w:szCs w:val="16"/>
                <w:lang w:val="es-ES_tradnl"/>
              </w:rPr>
            </w:pPr>
          </w:p>
        </w:tc>
        <w:tc>
          <w:tcPr>
            <w:tcW w:w="1524" w:type="pct"/>
            <w:shd w:val="clear" w:color="auto" w:fill="auto"/>
            <w:tcMar>
              <w:top w:w="113" w:type="dxa"/>
              <w:bottom w:w="85" w:type="dxa"/>
            </w:tcMar>
          </w:tcPr>
          <w:p w:rsidR="009F58E5" w:rsidRPr="00C75C7E" w:rsidRDefault="009F58E5" w:rsidP="008F4F69">
            <w:pPr>
              <w:rPr>
                <w:sz w:val="16"/>
                <w:szCs w:val="16"/>
                <w:lang w:val="es-ES_tradnl"/>
              </w:rPr>
            </w:pPr>
            <w:r w:rsidRPr="00C75C7E">
              <w:rPr>
                <w:sz w:val="16"/>
                <w:szCs w:val="16"/>
                <w:lang w:val="es-ES_tradnl"/>
              </w:rPr>
              <w:t>Porcentaje de miembros del personal cuyo desempeño se evalúa en función de objetivos y competencias específicos.</w:t>
            </w:r>
          </w:p>
        </w:tc>
        <w:tc>
          <w:tcPr>
            <w:tcW w:w="1585" w:type="pct"/>
            <w:shd w:val="clear" w:color="auto" w:fill="FFFFFF"/>
            <w:tcMar>
              <w:top w:w="113" w:type="dxa"/>
              <w:bottom w:w="85" w:type="dxa"/>
            </w:tcMar>
          </w:tcPr>
          <w:p w:rsidR="009F58E5" w:rsidRPr="00C75C7E" w:rsidRDefault="009F58E5" w:rsidP="008F4F69">
            <w:pPr>
              <w:ind w:left="679"/>
              <w:rPr>
                <w:lang w:val="es-ES_tradnl"/>
              </w:rPr>
            </w:pPr>
            <w:r w:rsidRPr="00C75C7E">
              <w:rPr>
                <w:sz w:val="16"/>
                <w:szCs w:val="16"/>
                <w:lang w:val="es-ES_tradnl"/>
              </w:rPr>
              <w:t>Programa  23</w:t>
            </w:r>
          </w:p>
        </w:tc>
      </w:tr>
      <w:tr w:rsidR="009F58E5" w:rsidRPr="00C75C7E" w:rsidTr="008F4F69">
        <w:trPr>
          <w:cantSplit/>
          <w:trHeight w:val="335"/>
        </w:trPr>
        <w:tc>
          <w:tcPr>
            <w:tcW w:w="1891" w:type="pct"/>
            <w:shd w:val="clear" w:color="auto" w:fill="auto"/>
            <w:tcMar>
              <w:top w:w="113" w:type="dxa"/>
              <w:bottom w:w="85" w:type="dxa"/>
            </w:tcMar>
          </w:tcPr>
          <w:p w:rsidR="009F58E5" w:rsidRPr="00C75C7E" w:rsidRDefault="009F58E5" w:rsidP="008F4F69">
            <w:pPr>
              <w:rPr>
                <w:sz w:val="16"/>
                <w:szCs w:val="16"/>
                <w:lang w:val="es-ES_tradnl"/>
              </w:rPr>
            </w:pPr>
          </w:p>
        </w:tc>
        <w:tc>
          <w:tcPr>
            <w:tcW w:w="1524" w:type="pct"/>
            <w:shd w:val="clear" w:color="auto" w:fill="auto"/>
            <w:tcMar>
              <w:top w:w="113" w:type="dxa"/>
              <w:bottom w:w="85" w:type="dxa"/>
            </w:tcMar>
          </w:tcPr>
          <w:p w:rsidR="009F58E5" w:rsidRPr="00C75C7E" w:rsidRDefault="009F58E5" w:rsidP="008F4F69">
            <w:pPr>
              <w:rPr>
                <w:sz w:val="16"/>
                <w:szCs w:val="16"/>
                <w:lang w:val="es-ES_tradnl"/>
              </w:rPr>
            </w:pPr>
            <w:r w:rsidRPr="00C75C7E">
              <w:rPr>
                <w:sz w:val="16"/>
                <w:szCs w:val="16"/>
                <w:lang w:val="es-ES_tradnl"/>
              </w:rPr>
              <w:t>Porcentaje de necesidades de formación esenciales que se han satisfecho a nivel individual y colectivo.</w:t>
            </w:r>
          </w:p>
        </w:tc>
        <w:tc>
          <w:tcPr>
            <w:tcW w:w="1585" w:type="pct"/>
            <w:shd w:val="clear" w:color="auto" w:fill="FFFFFF"/>
            <w:tcMar>
              <w:top w:w="113" w:type="dxa"/>
              <w:bottom w:w="85" w:type="dxa"/>
            </w:tcMar>
          </w:tcPr>
          <w:p w:rsidR="009F58E5" w:rsidRPr="00C75C7E" w:rsidRDefault="009F58E5" w:rsidP="008F4F69">
            <w:pPr>
              <w:ind w:left="679"/>
              <w:rPr>
                <w:sz w:val="16"/>
                <w:szCs w:val="16"/>
                <w:lang w:val="es-ES_tradnl" w:bidi="th-TH"/>
              </w:rPr>
            </w:pPr>
            <w:r w:rsidRPr="00C75C7E">
              <w:rPr>
                <w:sz w:val="16"/>
                <w:szCs w:val="16"/>
                <w:lang w:val="es-ES_tradnl"/>
              </w:rPr>
              <w:t>Programa  23</w:t>
            </w:r>
          </w:p>
        </w:tc>
      </w:tr>
      <w:tr w:rsidR="00B57FA6" w:rsidRPr="00C75C7E" w:rsidTr="008F4F69">
        <w:trPr>
          <w:cantSplit/>
          <w:trHeight w:val="335"/>
        </w:trPr>
        <w:tc>
          <w:tcPr>
            <w:tcW w:w="1891" w:type="pct"/>
            <w:shd w:val="clear" w:color="auto" w:fill="auto"/>
            <w:tcMar>
              <w:top w:w="113" w:type="dxa"/>
              <w:bottom w:w="85" w:type="dxa"/>
            </w:tcMar>
          </w:tcPr>
          <w:p w:rsidR="00B57FA6" w:rsidRPr="00C75C7E" w:rsidRDefault="00B57FA6" w:rsidP="008F4F69">
            <w:pPr>
              <w:rPr>
                <w:sz w:val="16"/>
                <w:szCs w:val="16"/>
                <w:lang w:val="es-ES_tradnl"/>
              </w:rPr>
            </w:pPr>
          </w:p>
        </w:tc>
        <w:tc>
          <w:tcPr>
            <w:tcW w:w="1524" w:type="pct"/>
            <w:shd w:val="clear" w:color="auto" w:fill="auto"/>
            <w:tcMar>
              <w:top w:w="113" w:type="dxa"/>
              <w:bottom w:w="85" w:type="dxa"/>
            </w:tcMar>
          </w:tcPr>
          <w:p w:rsidR="00B57FA6" w:rsidRPr="00C75C7E" w:rsidRDefault="0012598D" w:rsidP="008F4F69">
            <w:pPr>
              <w:rPr>
                <w:sz w:val="16"/>
                <w:szCs w:val="16"/>
                <w:lang w:val="es-ES_tradnl"/>
              </w:rPr>
            </w:pPr>
            <w:r>
              <w:rPr>
                <w:sz w:val="16"/>
                <w:szCs w:val="16"/>
                <w:lang w:val="es-ES_tradnl"/>
              </w:rPr>
              <w:t>Número promedio de días de ausencia por enfermedad por empleado (ausentismo)</w:t>
            </w:r>
          </w:p>
        </w:tc>
        <w:tc>
          <w:tcPr>
            <w:tcW w:w="1585" w:type="pct"/>
            <w:shd w:val="clear" w:color="auto" w:fill="FFFFFF"/>
            <w:tcMar>
              <w:top w:w="113" w:type="dxa"/>
              <w:bottom w:w="85" w:type="dxa"/>
            </w:tcMar>
          </w:tcPr>
          <w:p w:rsidR="00B57FA6" w:rsidRPr="00C75C7E" w:rsidRDefault="0012598D" w:rsidP="008F4F69">
            <w:pPr>
              <w:ind w:left="679"/>
              <w:rPr>
                <w:sz w:val="16"/>
                <w:szCs w:val="16"/>
                <w:lang w:val="es-ES_tradnl"/>
              </w:rPr>
            </w:pPr>
            <w:r>
              <w:rPr>
                <w:sz w:val="16"/>
                <w:szCs w:val="16"/>
                <w:lang w:val="es-ES_tradnl"/>
              </w:rPr>
              <w:t>Programa  23</w:t>
            </w:r>
          </w:p>
        </w:tc>
      </w:tr>
      <w:tr w:rsidR="00B57FA6" w:rsidRPr="00C75C7E" w:rsidTr="008F4F69">
        <w:trPr>
          <w:cantSplit/>
          <w:trHeight w:val="335"/>
        </w:trPr>
        <w:tc>
          <w:tcPr>
            <w:tcW w:w="1891" w:type="pct"/>
            <w:shd w:val="clear" w:color="auto" w:fill="auto"/>
            <w:tcMar>
              <w:top w:w="113" w:type="dxa"/>
              <w:bottom w:w="85" w:type="dxa"/>
            </w:tcMar>
          </w:tcPr>
          <w:p w:rsidR="00B57FA6" w:rsidRPr="00C75C7E" w:rsidRDefault="00B57FA6" w:rsidP="008F4F69">
            <w:pPr>
              <w:rPr>
                <w:sz w:val="16"/>
                <w:szCs w:val="16"/>
                <w:lang w:val="es-ES_tradnl"/>
              </w:rPr>
            </w:pPr>
          </w:p>
        </w:tc>
        <w:tc>
          <w:tcPr>
            <w:tcW w:w="1524" w:type="pct"/>
            <w:shd w:val="clear" w:color="auto" w:fill="auto"/>
            <w:tcMar>
              <w:top w:w="113" w:type="dxa"/>
              <w:bottom w:w="85" w:type="dxa"/>
            </w:tcMar>
          </w:tcPr>
          <w:p w:rsidR="00B57FA6" w:rsidRPr="00C75C7E" w:rsidRDefault="0012598D" w:rsidP="008F4F69">
            <w:pPr>
              <w:rPr>
                <w:sz w:val="16"/>
                <w:szCs w:val="16"/>
                <w:lang w:val="es-ES_tradnl"/>
              </w:rPr>
            </w:pPr>
            <w:r>
              <w:rPr>
                <w:sz w:val="16"/>
                <w:szCs w:val="16"/>
                <w:lang w:val="es-ES_tradnl"/>
              </w:rPr>
              <w:t>Porcentaje de mujeres en puestos profesionales y altos</w:t>
            </w:r>
          </w:p>
        </w:tc>
        <w:tc>
          <w:tcPr>
            <w:tcW w:w="1585" w:type="pct"/>
            <w:shd w:val="clear" w:color="auto" w:fill="FFFFFF"/>
            <w:tcMar>
              <w:top w:w="113" w:type="dxa"/>
              <w:bottom w:w="85" w:type="dxa"/>
            </w:tcMar>
          </w:tcPr>
          <w:p w:rsidR="00B57FA6" w:rsidRPr="00C75C7E" w:rsidRDefault="0012598D" w:rsidP="008F4F69">
            <w:pPr>
              <w:ind w:left="679"/>
              <w:rPr>
                <w:sz w:val="16"/>
                <w:szCs w:val="16"/>
                <w:lang w:val="es-ES_tradnl"/>
              </w:rPr>
            </w:pPr>
            <w:r>
              <w:rPr>
                <w:sz w:val="16"/>
                <w:szCs w:val="16"/>
                <w:lang w:val="es-ES_tradnl"/>
              </w:rPr>
              <w:t>Programa  23</w:t>
            </w:r>
          </w:p>
        </w:tc>
      </w:tr>
      <w:tr w:rsidR="00B57FA6" w:rsidRPr="00C75C7E" w:rsidTr="008F4F69">
        <w:trPr>
          <w:cantSplit/>
          <w:trHeight w:val="335"/>
        </w:trPr>
        <w:tc>
          <w:tcPr>
            <w:tcW w:w="1891" w:type="pct"/>
            <w:shd w:val="clear" w:color="auto" w:fill="auto"/>
            <w:tcMar>
              <w:top w:w="113" w:type="dxa"/>
              <w:bottom w:w="85" w:type="dxa"/>
            </w:tcMar>
          </w:tcPr>
          <w:p w:rsidR="00B57FA6" w:rsidRPr="00C75C7E" w:rsidRDefault="00B57FA6" w:rsidP="008F4F69">
            <w:pPr>
              <w:rPr>
                <w:sz w:val="16"/>
                <w:szCs w:val="16"/>
                <w:lang w:val="es-ES_tradnl"/>
              </w:rPr>
            </w:pPr>
          </w:p>
        </w:tc>
        <w:tc>
          <w:tcPr>
            <w:tcW w:w="1524" w:type="pct"/>
            <w:shd w:val="clear" w:color="auto" w:fill="auto"/>
            <w:tcMar>
              <w:top w:w="113" w:type="dxa"/>
              <w:bottom w:w="85" w:type="dxa"/>
            </w:tcMar>
          </w:tcPr>
          <w:p w:rsidR="00B57FA6" w:rsidRPr="00C75C7E" w:rsidRDefault="0012598D" w:rsidP="008F4F69">
            <w:pPr>
              <w:rPr>
                <w:sz w:val="16"/>
                <w:szCs w:val="16"/>
                <w:lang w:val="es-ES_tradnl"/>
              </w:rPr>
            </w:pPr>
            <w:r>
              <w:rPr>
                <w:sz w:val="16"/>
                <w:szCs w:val="16"/>
                <w:lang w:val="es-ES_tradnl"/>
              </w:rPr>
              <w:t>Diversidad geográfica – porcentaje de Estados miembros representados.</w:t>
            </w:r>
          </w:p>
        </w:tc>
        <w:tc>
          <w:tcPr>
            <w:tcW w:w="1585" w:type="pct"/>
            <w:shd w:val="clear" w:color="auto" w:fill="FFFFFF"/>
            <w:tcMar>
              <w:top w:w="113" w:type="dxa"/>
              <w:bottom w:w="85" w:type="dxa"/>
            </w:tcMar>
          </w:tcPr>
          <w:p w:rsidR="00B57FA6" w:rsidRPr="00C75C7E" w:rsidRDefault="0012598D" w:rsidP="008F4F69">
            <w:pPr>
              <w:ind w:left="679"/>
              <w:rPr>
                <w:sz w:val="16"/>
                <w:szCs w:val="16"/>
                <w:lang w:val="es-ES_tradnl"/>
              </w:rPr>
            </w:pPr>
            <w:r>
              <w:rPr>
                <w:sz w:val="16"/>
                <w:szCs w:val="16"/>
                <w:lang w:val="es-ES_tradnl"/>
              </w:rPr>
              <w:t>Programa  23</w:t>
            </w:r>
          </w:p>
        </w:tc>
      </w:tr>
      <w:tr w:rsidR="009F58E5" w:rsidRPr="00C75C7E" w:rsidTr="008F4F69">
        <w:trPr>
          <w:cantSplit/>
          <w:trHeight w:val="335"/>
        </w:trPr>
        <w:tc>
          <w:tcPr>
            <w:tcW w:w="1891" w:type="pct"/>
            <w:shd w:val="clear" w:color="auto" w:fill="auto"/>
            <w:tcMar>
              <w:top w:w="113" w:type="dxa"/>
              <w:bottom w:w="85" w:type="dxa"/>
            </w:tcMar>
          </w:tcPr>
          <w:p w:rsidR="009F58E5" w:rsidRPr="00C75C7E" w:rsidRDefault="009F58E5" w:rsidP="008F4F69">
            <w:pPr>
              <w:rPr>
                <w:sz w:val="16"/>
                <w:szCs w:val="16"/>
                <w:lang w:val="es-ES_tradnl"/>
              </w:rPr>
            </w:pPr>
            <w:r w:rsidRPr="00C75C7E">
              <w:rPr>
                <w:sz w:val="16"/>
                <w:szCs w:val="16"/>
                <w:lang w:val="es-ES_tradnl"/>
              </w:rPr>
              <w:t>IX.3. Entorno de trabajo propicio basado en un marco reglamentario eficaz y medios adecuados para atender los temas de interés del personal.</w:t>
            </w:r>
          </w:p>
        </w:tc>
        <w:tc>
          <w:tcPr>
            <w:tcW w:w="1524" w:type="pct"/>
            <w:shd w:val="clear" w:color="auto" w:fill="auto"/>
            <w:tcMar>
              <w:top w:w="113" w:type="dxa"/>
              <w:bottom w:w="85" w:type="dxa"/>
            </w:tcMar>
          </w:tcPr>
          <w:p w:rsidR="009F58E5" w:rsidRPr="00C75C7E" w:rsidRDefault="009F58E5" w:rsidP="008F4F69">
            <w:pPr>
              <w:rPr>
                <w:sz w:val="16"/>
                <w:szCs w:val="16"/>
                <w:lang w:val="es-ES_tradnl"/>
              </w:rPr>
            </w:pPr>
            <w:r w:rsidRPr="00C75C7E">
              <w:rPr>
                <w:sz w:val="16"/>
                <w:szCs w:val="16"/>
                <w:lang w:val="es-ES_tradnl"/>
              </w:rPr>
              <w:t>Porcentaje de miembros del personal de la OMPI conscientes de los servicios disponibles en la Oficina del Mediador y del mecanismo informal de solución de conflictos.</w:t>
            </w:r>
          </w:p>
        </w:tc>
        <w:tc>
          <w:tcPr>
            <w:tcW w:w="1585" w:type="pct"/>
            <w:shd w:val="clear" w:color="auto" w:fill="FFFFFF"/>
            <w:tcMar>
              <w:top w:w="113" w:type="dxa"/>
              <w:bottom w:w="85" w:type="dxa"/>
            </w:tcMar>
          </w:tcPr>
          <w:p w:rsidR="009F58E5" w:rsidRPr="00C75C7E" w:rsidRDefault="009F58E5" w:rsidP="008F4F69">
            <w:pPr>
              <w:ind w:left="679"/>
              <w:rPr>
                <w:sz w:val="16"/>
                <w:szCs w:val="16"/>
                <w:lang w:val="es-ES_tradnl" w:bidi="th-TH"/>
              </w:rPr>
            </w:pPr>
            <w:r w:rsidRPr="00C75C7E">
              <w:rPr>
                <w:sz w:val="16"/>
                <w:szCs w:val="16"/>
                <w:lang w:val="es-ES_tradnl" w:bidi="th-TH"/>
              </w:rPr>
              <w:t>Programa  21</w:t>
            </w:r>
          </w:p>
        </w:tc>
      </w:tr>
      <w:tr w:rsidR="009F58E5" w:rsidRPr="00C75C7E" w:rsidTr="008F4F69">
        <w:trPr>
          <w:cantSplit/>
          <w:trHeight w:val="335"/>
        </w:trPr>
        <w:tc>
          <w:tcPr>
            <w:tcW w:w="1891" w:type="pct"/>
            <w:shd w:val="clear" w:color="auto" w:fill="auto"/>
            <w:tcMar>
              <w:top w:w="113" w:type="dxa"/>
              <w:bottom w:w="85" w:type="dxa"/>
            </w:tcMar>
          </w:tcPr>
          <w:p w:rsidR="009F58E5" w:rsidRPr="00C75C7E" w:rsidRDefault="009F58E5" w:rsidP="008F4F69">
            <w:pPr>
              <w:rPr>
                <w:sz w:val="16"/>
                <w:szCs w:val="16"/>
                <w:lang w:val="es-ES_tradnl"/>
              </w:rPr>
            </w:pPr>
          </w:p>
        </w:tc>
        <w:tc>
          <w:tcPr>
            <w:tcW w:w="1524" w:type="pct"/>
            <w:shd w:val="clear" w:color="auto" w:fill="auto"/>
            <w:tcMar>
              <w:top w:w="113" w:type="dxa"/>
              <w:bottom w:w="85" w:type="dxa"/>
            </w:tcMar>
          </w:tcPr>
          <w:p w:rsidR="009F58E5" w:rsidRPr="00C75C7E" w:rsidRDefault="009F58E5" w:rsidP="008F4F69">
            <w:pPr>
              <w:rPr>
                <w:sz w:val="16"/>
                <w:szCs w:val="16"/>
                <w:lang w:val="es-ES_tradnl"/>
              </w:rPr>
            </w:pPr>
            <w:r w:rsidRPr="00C75C7E">
              <w:rPr>
                <w:sz w:val="16"/>
                <w:szCs w:val="16"/>
                <w:lang w:val="es-ES_tradnl"/>
              </w:rPr>
              <w:t>Porcentaje de encuestados que afirman ser conscientes de los principios y políticas de la OMPI en material de ética profesional.</w:t>
            </w:r>
          </w:p>
        </w:tc>
        <w:tc>
          <w:tcPr>
            <w:tcW w:w="1585" w:type="pct"/>
            <w:shd w:val="clear" w:color="auto" w:fill="FFFFFF"/>
            <w:tcMar>
              <w:top w:w="113" w:type="dxa"/>
              <w:bottom w:w="85" w:type="dxa"/>
            </w:tcMar>
          </w:tcPr>
          <w:p w:rsidR="009F58E5" w:rsidRPr="00C75C7E" w:rsidRDefault="009F58E5" w:rsidP="008F4F69">
            <w:pPr>
              <w:ind w:left="679"/>
              <w:rPr>
                <w:sz w:val="16"/>
                <w:szCs w:val="16"/>
                <w:lang w:val="es-ES_tradnl" w:bidi="th-TH"/>
              </w:rPr>
            </w:pPr>
            <w:r w:rsidRPr="00C75C7E">
              <w:rPr>
                <w:sz w:val="16"/>
                <w:szCs w:val="16"/>
                <w:lang w:val="es-ES_tradnl" w:bidi="th-TH"/>
              </w:rPr>
              <w:t>Programa  21</w:t>
            </w:r>
          </w:p>
        </w:tc>
      </w:tr>
      <w:tr w:rsidR="009F58E5" w:rsidRPr="00C75C7E" w:rsidTr="008F4F69">
        <w:trPr>
          <w:cantSplit/>
          <w:trHeight w:val="335"/>
        </w:trPr>
        <w:tc>
          <w:tcPr>
            <w:tcW w:w="1891" w:type="pct"/>
            <w:shd w:val="clear" w:color="auto" w:fill="auto"/>
            <w:tcMar>
              <w:top w:w="113" w:type="dxa"/>
              <w:bottom w:w="85" w:type="dxa"/>
            </w:tcMar>
          </w:tcPr>
          <w:p w:rsidR="009F58E5" w:rsidRPr="00C75C7E" w:rsidRDefault="009F58E5" w:rsidP="008F4F69">
            <w:pPr>
              <w:rPr>
                <w:sz w:val="16"/>
                <w:szCs w:val="16"/>
                <w:lang w:val="es-ES_tradnl"/>
              </w:rPr>
            </w:pPr>
          </w:p>
        </w:tc>
        <w:tc>
          <w:tcPr>
            <w:tcW w:w="1524" w:type="pct"/>
            <w:shd w:val="clear" w:color="auto" w:fill="auto"/>
            <w:tcMar>
              <w:top w:w="113" w:type="dxa"/>
              <w:bottom w:w="85" w:type="dxa"/>
            </w:tcMar>
          </w:tcPr>
          <w:p w:rsidR="009F58E5" w:rsidRPr="00C75C7E" w:rsidRDefault="009F58E5" w:rsidP="008F4F69">
            <w:pPr>
              <w:rPr>
                <w:sz w:val="16"/>
                <w:szCs w:val="16"/>
                <w:lang w:val="es-ES_tradnl"/>
              </w:rPr>
            </w:pPr>
            <w:r w:rsidRPr="00C75C7E">
              <w:rPr>
                <w:sz w:val="16"/>
                <w:szCs w:val="16"/>
                <w:lang w:val="es-ES_tradnl"/>
              </w:rPr>
              <w:t>El Reglamento Financiero y la Reglamentación Financiera y las órdenes de servicio pertinentes están actualizados.</w:t>
            </w:r>
          </w:p>
        </w:tc>
        <w:tc>
          <w:tcPr>
            <w:tcW w:w="1585" w:type="pct"/>
            <w:shd w:val="clear" w:color="auto" w:fill="FFFFFF"/>
            <w:tcMar>
              <w:top w:w="113" w:type="dxa"/>
              <w:bottom w:w="85" w:type="dxa"/>
            </w:tcMar>
          </w:tcPr>
          <w:p w:rsidR="009F58E5" w:rsidRPr="00C75C7E" w:rsidRDefault="009F58E5" w:rsidP="008F4F69">
            <w:pPr>
              <w:ind w:left="679"/>
              <w:rPr>
                <w:sz w:val="16"/>
                <w:szCs w:val="16"/>
                <w:lang w:val="es-ES_tradnl" w:bidi="th-TH"/>
              </w:rPr>
            </w:pPr>
            <w:r w:rsidRPr="00C75C7E">
              <w:rPr>
                <w:sz w:val="16"/>
                <w:szCs w:val="16"/>
                <w:lang w:val="es-ES_tradnl"/>
              </w:rPr>
              <w:t>Programa  22</w:t>
            </w:r>
          </w:p>
        </w:tc>
      </w:tr>
      <w:tr w:rsidR="009F58E5" w:rsidRPr="00C75C7E" w:rsidTr="008F4F69">
        <w:trPr>
          <w:cantSplit/>
          <w:trHeight w:val="692"/>
        </w:trPr>
        <w:tc>
          <w:tcPr>
            <w:tcW w:w="1891" w:type="pct"/>
            <w:shd w:val="clear" w:color="auto" w:fill="auto"/>
            <w:tcMar>
              <w:top w:w="113" w:type="dxa"/>
              <w:bottom w:w="85" w:type="dxa"/>
            </w:tcMar>
          </w:tcPr>
          <w:p w:rsidR="009F58E5" w:rsidRPr="00C75C7E" w:rsidRDefault="009F58E5" w:rsidP="008F4F69">
            <w:pPr>
              <w:rPr>
                <w:sz w:val="16"/>
                <w:szCs w:val="16"/>
                <w:lang w:val="es-ES_tradnl"/>
              </w:rPr>
            </w:pPr>
            <w:r w:rsidRPr="00C75C7E">
              <w:rPr>
                <w:sz w:val="16"/>
                <w:szCs w:val="16"/>
                <w:lang w:val="es-ES_tradnl"/>
              </w:rPr>
              <w:lastRenderedPageBreak/>
              <w:t>IX.4. Una Organización responsable con el medio ambiente y la sociedad en la que se garantiza la seguridad del personal de la OMPI, los delegados, los visitantes, la información y los activos físicos.</w:t>
            </w:r>
          </w:p>
        </w:tc>
        <w:tc>
          <w:tcPr>
            <w:tcW w:w="1524" w:type="pct"/>
            <w:shd w:val="clear" w:color="auto" w:fill="auto"/>
            <w:tcMar>
              <w:top w:w="113" w:type="dxa"/>
              <w:bottom w:w="85" w:type="dxa"/>
            </w:tcMar>
          </w:tcPr>
          <w:p w:rsidR="009F58E5" w:rsidRPr="00C75C7E" w:rsidRDefault="009F58E5" w:rsidP="008F4F69">
            <w:pPr>
              <w:rPr>
                <w:sz w:val="16"/>
                <w:szCs w:val="16"/>
                <w:lang w:val="es-ES_tradnl"/>
              </w:rPr>
            </w:pPr>
            <w:r w:rsidRPr="00C75C7E">
              <w:rPr>
                <w:sz w:val="16"/>
                <w:szCs w:val="16"/>
                <w:lang w:val="es-ES_tradnl"/>
              </w:rPr>
              <w:t>Mejora de la accesibilidad al recinto de la OMPI.</w:t>
            </w:r>
          </w:p>
        </w:tc>
        <w:tc>
          <w:tcPr>
            <w:tcW w:w="1585" w:type="pct"/>
            <w:shd w:val="clear" w:color="auto" w:fill="FFFFFF"/>
            <w:tcMar>
              <w:top w:w="113" w:type="dxa"/>
              <w:bottom w:w="85" w:type="dxa"/>
            </w:tcMar>
          </w:tcPr>
          <w:p w:rsidR="009F58E5" w:rsidRPr="00C75C7E" w:rsidRDefault="009F58E5" w:rsidP="008F4F69">
            <w:pPr>
              <w:ind w:left="679"/>
              <w:rPr>
                <w:sz w:val="16"/>
                <w:szCs w:val="16"/>
                <w:lang w:val="es-ES_tradnl" w:bidi="th-TH"/>
              </w:rPr>
            </w:pPr>
            <w:r w:rsidRPr="00C75C7E">
              <w:rPr>
                <w:sz w:val="16"/>
                <w:szCs w:val="16"/>
                <w:lang w:val="es-ES_tradnl" w:bidi="th-TH"/>
              </w:rPr>
              <w:t>Programa  24</w:t>
            </w:r>
          </w:p>
        </w:tc>
      </w:tr>
      <w:tr w:rsidR="009F58E5" w:rsidRPr="00C75C7E" w:rsidTr="008F4F69">
        <w:trPr>
          <w:cantSplit/>
          <w:trHeight w:val="335"/>
        </w:trPr>
        <w:tc>
          <w:tcPr>
            <w:tcW w:w="1891" w:type="pct"/>
            <w:shd w:val="clear" w:color="auto" w:fill="auto"/>
            <w:tcMar>
              <w:top w:w="113" w:type="dxa"/>
              <w:bottom w:w="85" w:type="dxa"/>
            </w:tcMar>
          </w:tcPr>
          <w:p w:rsidR="009F58E5" w:rsidRPr="00C75C7E" w:rsidRDefault="009F58E5" w:rsidP="008F4F69">
            <w:pPr>
              <w:rPr>
                <w:sz w:val="16"/>
                <w:szCs w:val="16"/>
                <w:lang w:val="es-ES_tradnl"/>
              </w:rPr>
            </w:pPr>
          </w:p>
        </w:tc>
        <w:tc>
          <w:tcPr>
            <w:tcW w:w="1524" w:type="pct"/>
            <w:shd w:val="clear" w:color="auto" w:fill="auto"/>
            <w:tcMar>
              <w:top w:w="113" w:type="dxa"/>
              <w:bottom w:w="85" w:type="dxa"/>
            </w:tcMar>
          </w:tcPr>
          <w:p w:rsidR="009F58E5" w:rsidRPr="00C75C7E" w:rsidRDefault="009F58E5" w:rsidP="008F4F69">
            <w:pPr>
              <w:rPr>
                <w:sz w:val="16"/>
                <w:szCs w:val="16"/>
                <w:lang w:val="es-ES_tradnl"/>
              </w:rPr>
            </w:pPr>
            <w:r w:rsidRPr="00C75C7E">
              <w:rPr>
                <w:sz w:val="16"/>
                <w:szCs w:val="16"/>
                <w:lang w:val="es-ES_tradnl"/>
              </w:rPr>
              <w:t xml:space="preserve">Menor repercusión de los edificios de la OMPI en el medio ambiente. </w:t>
            </w:r>
          </w:p>
        </w:tc>
        <w:tc>
          <w:tcPr>
            <w:tcW w:w="1585" w:type="pct"/>
            <w:shd w:val="clear" w:color="auto" w:fill="FFFFFF"/>
            <w:tcMar>
              <w:top w:w="113" w:type="dxa"/>
              <w:bottom w:w="85" w:type="dxa"/>
            </w:tcMar>
          </w:tcPr>
          <w:p w:rsidR="009F58E5" w:rsidRPr="00C75C7E" w:rsidRDefault="009F58E5" w:rsidP="008F4F69">
            <w:pPr>
              <w:ind w:left="679"/>
              <w:rPr>
                <w:sz w:val="16"/>
                <w:szCs w:val="16"/>
                <w:lang w:val="es-ES_tradnl"/>
              </w:rPr>
            </w:pPr>
            <w:r w:rsidRPr="00C75C7E">
              <w:rPr>
                <w:sz w:val="16"/>
                <w:szCs w:val="16"/>
                <w:lang w:val="es-ES_tradnl"/>
              </w:rPr>
              <w:t>Programa  24</w:t>
            </w:r>
          </w:p>
        </w:tc>
      </w:tr>
      <w:tr w:rsidR="009F58E5" w:rsidRPr="00C75C7E" w:rsidTr="008F4F69">
        <w:trPr>
          <w:cantSplit/>
          <w:trHeight w:val="335"/>
        </w:trPr>
        <w:tc>
          <w:tcPr>
            <w:tcW w:w="1891" w:type="pct"/>
            <w:shd w:val="clear" w:color="auto" w:fill="auto"/>
            <w:tcMar>
              <w:top w:w="113" w:type="dxa"/>
              <w:bottom w:w="85" w:type="dxa"/>
            </w:tcMar>
          </w:tcPr>
          <w:p w:rsidR="009F58E5" w:rsidRPr="00C75C7E" w:rsidRDefault="009F58E5" w:rsidP="008F4F69">
            <w:pPr>
              <w:rPr>
                <w:sz w:val="16"/>
                <w:szCs w:val="16"/>
                <w:lang w:val="es-ES_tradnl"/>
              </w:rPr>
            </w:pPr>
          </w:p>
        </w:tc>
        <w:tc>
          <w:tcPr>
            <w:tcW w:w="1524" w:type="pct"/>
            <w:shd w:val="clear" w:color="auto" w:fill="auto"/>
            <w:tcMar>
              <w:top w:w="113" w:type="dxa"/>
              <w:bottom w:w="85" w:type="dxa"/>
            </w:tcMar>
          </w:tcPr>
          <w:p w:rsidR="009F58E5" w:rsidRPr="00C75C7E" w:rsidRDefault="009F58E5" w:rsidP="008F4F69">
            <w:pPr>
              <w:rPr>
                <w:sz w:val="16"/>
                <w:szCs w:val="16"/>
                <w:lang w:val="es-ES_tradnl"/>
              </w:rPr>
            </w:pPr>
            <w:r w:rsidRPr="00C75C7E">
              <w:rPr>
                <w:sz w:val="16"/>
                <w:szCs w:val="16"/>
                <w:lang w:val="es-ES_tradnl"/>
              </w:rPr>
              <w:t>Los locales de la OMPI satisfacen las recomendaciones efectuadas en 2009 por el Instituto de Seguridad (Neuchatel) y las medidas de seguridad del perímetro con arreglo a las normas mínimas operativas de seguridad para las sedes de NN.UU.</w:t>
            </w:r>
          </w:p>
        </w:tc>
        <w:tc>
          <w:tcPr>
            <w:tcW w:w="1585" w:type="pct"/>
            <w:shd w:val="clear" w:color="auto" w:fill="FFFFFF"/>
            <w:tcMar>
              <w:top w:w="113" w:type="dxa"/>
              <w:bottom w:w="85" w:type="dxa"/>
            </w:tcMar>
          </w:tcPr>
          <w:p w:rsidR="009F58E5" w:rsidRPr="00C75C7E" w:rsidRDefault="009F58E5" w:rsidP="008F4F69">
            <w:pPr>
              <w:ind w:left="679"/>
              <w:rPr>
                <w:sz w:val="16"/>
                <w:szCs w:val="16"/>
                <w:lang w:val="es-ES_tradnl"/>
              </w:rPr>
            </w:pPr>
            <w:r w:rsidRPr="00C75C7E">
              <w:rPr>
                <w:sz w:val="16"/>
                <w:szCs w:val="16"/>
                <w:lang w:val="es-ES_tradnl"/>
              </w:rPr>
              <w:t>Programa  24</w:t>
            </w:r>
          </w:p>
        </w:tc>
      </w:tr>
      <w:tr w:rsidR="009F58E5" w:rsidRPr="00C75C7E" w:rsidTr="008F4F69">
        <w:trPr>
          <w:cantSplit/>
          <w:trHeight w:val="335"/>
        </w:trPr>
        <w:tc>
          <w:tcPr>
            <w:tcW w:w="1891" w:type="pct"/>
            <w:shd w:val="clear" w:color="auto" w:fill="auto"/>
            <w:tcMar>
              <w:top w:w="113" w:type="dxa"/>
              <w:bottom w:w="85" w:type="dxa"/>
            </w:tcMar>
          </w:tcPr>
          <w:p w:rsidR="009F58E5" w:rsidRPr="00C75C7E" w:rsidRDefault="009F58E5" w:rsidP="008F4F69">
            <w:pPr>
              <w:rPr>
                <w:sz w:val="16"/>
                <w:szCs w:val="16"/>
                <w:lang w:val="es-ES_tradnl"/>
              </w:rPr>
            </w:pPr>
          </w:p>
        </w:tc>
        <w:tc>
          <w:tcPr>
            <w:tcW w:w="1524" w:type="pct"/>
            <w:shd w:val="clear" w:color="auto" w:fill="auto"/>
            <w:tcMar>
              <w:top w:w="113" w:type="dxa"/>
              <w:bottom w:w="85" w:type="dxa"/>
            </w:tcMar>
          </w:tcPr>
          <w:p w:rsidR="009F58E5" w:rsidRPr="00C75C7E" w:rsidRDefault="009F58E5" w:rsidP="008F4F69">
            <w:pPr>
              <w:rPr>
                <w:sz w:val="16"/>
                <w:szCs w:val="16"/>
                <w:lang w:val="es-ES_tradnl"/>
              </w:rPr>
            </w:pPr>
            <w:r w:rsidRPr="00C75C7E">
              <w:rPr>
                <w:sz w:val="16"/>
                <w:szCs w:val="16"/>
                <w:lang w:val="es-ES_tradnl"/>
              </w:rPr>
              <w:t>Se refuerza la seguridad de la información para protegerse contra los ataques cada vez más frecuentes en Internet.</w:t>
            </w:r>
          </w:p>
        </w:tc>
        <w:tc>
          <w:tcPr>
            <w:tcW w:w="1585" w:type="pct"/>
            <w:shd w:val="clear" w:color="auto" w:fill="FFFFFF"/>
            <w:tcMar>
              <w:top w:w="113" w:type="dxa"/>
              <w:bottom w:w="85" w:type="dxa"/>
            </w:tcMar>
          </w:tcPr>
          <w:p w:rsidR="009F58E5" w:rsidRPr="00C75C7E" w:rsidRDefault="009F58E5" w:rsidP="008F4F69">
            <w:pPr>
              <w:ind w:left="679"/>
              <w:rPr>
                <w:lang w:val="es-ES_tradnl"/>
              </w:rPr>
            </w:pPr>
            <w:r w:rsidRPr="00C75C7E">
              <w:rPr>
                <w:sz w:val="16"/>
                <w:szCs w:val="16"/>
                <w:lang w:val="es-ES_tradnl"/>
              </w:rPr>
              <w:t>Programa  25</w:t>
            </w:r>
          </w:p>
        </w:tc>
      </w:tr>
      <w:tr w:rsidR="009F58E5" w:rsidRPr="00C75C7E" w:rsidTr="008F4F69">
        <w:trPr>
          <w:cantSplit/>
          <w:trHeight w:val="335"/>
        </w:trPr>
        <w:tc>
          <w:tcPr>
            <w:tcW w:w="1891" w:type="pct"/>
            <w:shd w:val="clear" w:color="auto" w:fill="auto"/>
            <w:tcMar>
              <w:top w:w="113" w:type="dxa"/>
              <w:bottom w:w="85" w:type="dxa"/>
            </w:tcMar>
          </w:tcPr>
          <w:p w:rsidR="009F58E5" w:rsidRPr="00C75C7E" w:rsidRDefault="009F58E5" w:rsidP="008F4F69">
            <w:pPr>
              <w:rPr>
                <w:sz w:val="16"/>
                <w:szCs w:val="16"/>
                <w:lang w:val="es-ES_tradnl"/>
              </w:rPr>
            </w:pPr>
          </w:p>
        </w:tc>
        <w:tc>
          <w:tcPr>
            <w:tcW w:w="1524" w:type="pct"/>
            <w:shd w:val="clear" w:color="auto" w:fill="auto"/>
            <w:tcMar>
              <w:top w:w="113" w:type="dxa"/>
              <w:bottom w:w="85" w:type="dxa"/>
            </w:tcMar>
          </w:tcPr>
          <w:p w:rsidR="009F58E5" w:rsidRPr="00C75C7E" w:rsidRDefault="009F58E5" w:rsidP="008F4F69">
            <w:pPr>
              <w:rPr>
                <w:sz w:val="16"/>
                <w:szCs w:val="16"/>
                <w:lang w:val="es-ES_tradnl"/>
              </w:rPr>
            </w:pPr>
            <w:r w:rsidRPr="00C75C7E">
              <w:rPr>
                <w:sz w:val="16"/>
                <w:szCs w:val="16"/>
                <w:lang w:val="es-ES_tradnl"/>
              </w:rPr>
              <w:t>Situación de la certificación con arreglo a la norma ISO 27001 de los procedimientos de gestión de riesgos para la seguridad de la información.</w:t>
            </w:r>
          </w:p>
        </w:tc>
        <w:tc>
          <w:tcPr>
            <w:tcW w:w="1585" w:type="pct"/>
            <w:shd w:val="clear" w:color="auto" w:fill="FFFFFF"/>
            <w:tcMar>
              <w:top w:w="113" w:type="dxa"/>
              <w:bottom w:w="85" w:type="dxa"/>
            </w:tcMar>
          </w:tcPr>
          <w:p w:rsidR="009F58E5" w:rsidRPr="00C75C7E" w:rsidRDefault="009F58E5" w:rsidP="008F4F69">
            <w:pPr>
              <w:ind w:left="679"/>
              <w:rPr>
                <w:lang w:val="es-ES_tradnl"/>
              </w:rPr>
            </w:pPr>
            <w:r w:rsidRPr="00C75C7E">
              <w:rPr>
                <w:sz w:val="16"/>
                <w:szCs w:val="16"/>
                <w:lang w:val="es-ES_tradnl"/>
              </w:rPr>
              <w:t>Programa  25</w:t>
            </w:r>
          </w:p>
        </w:tc>
      </w:tr>
      <w:tr w:rsidR="009F58E5" w:rsidRPr="00C75C7E" w:rsidTr="008F4F69">
        <w:trPr>
          <w:cantSplit/>
          <w:trHeight w:val="335"/>
        </w:trPr>
        <w:tc>
          <w:tcPr>
            <w:tcW w:w="1891" w:type="pct"/>
            <w:shd w:val="clear" w:color="auto" w:fill="auto"/>
            <w:tcMar>
              <w:top w:w="113" w:type="dxa"/>
              <w:bottom w:w="85" w:type="dxa"/>
            </w:tcMar>
          </w:tcPr>
          <w:p w:rsidR="009F58E5" w:rsidRPr="00C75C7E" w:rsidRDefault="009F58E5" w:rsidP="008F4F69">
            <w:pPr>
              <w:rPr>
                <w:sz w:val="16"/>
                <w:szCs w:val="16"/>
                <w:lang w:val="es-ES_tradnl"/>
              </w:rPr>
            </w:pPr>
          </w:p>
        </w:tc>
        <w:tc>
          <w:tcPr>
            <w:tcW w:w="1524" w:type="pct"/>
            <w:shd w:val="clear" w:color="auto" w:fill="auto"/>
            <w:tcMar>
              <w:top w:w="113" w:type="dxa"/>
              <w:bottom w:w="85" w:type="dxa"/>
            </w:tcMar>
          </w:tcPr>
          <w:p w:rsidR="009F58E5" w:rsidRPr="00C75C7E" w:rsidRDefault="009F58E5" w:rsidP="008F4F69">
            <w:pPr>
              <w:rPr>
                <w:sz w:val="16"/>
                <w:szCs w:val="16"/>
                <w:lang w:val="es-ES_tradnl"/>
              </w:rPr>
            </w:pPr>
            <w:r w:rsidRPr="00C75C7E">
              <w:rPr>
                <w:sz w:val="16"/>
                <w:szCs w:val="16"/>
                <w:lang w:val="es-ES_tradnl"/>
              </w:rPr>
              <w:t>Eficacia de los controles de seguridad de la información (a nivel interno y externo).</w:t>
            </w:r>
          </w:p>
        </w:tc>
        <w:tc>
          <w:tcPr>
            <w:tcW w:w="1585" w:type="pct"/>
            <w:shd w:val="clear" w:color="auto" w:fill="FFFFFF"/>
            <w:tcMar>
              <w:top w:w="113" w:type="dxa"/>
              <w:bottom w:w="85" w:type="dxa"/>
            </w:tcMar>
          </w:tcPr>
          <w:p w:rsidR="009F58E5" w:rsidRPr="00C75C7E" w:rsidRDefault="009F58E5" w:rsidP="008F4F69">
            <w:pPr>
              <w:ind w:left="679"/>
              <w:rPr>
                <w:lang w:val="es-ES_tradnl"/>
              </w:rPr>
            </w:pPr>
            <w:r w:rsidRPr="00C75C7E">
              <w:rPr>
                <w:sz w:val="16"/>
                <w:szCs w:val="16"/>
                <w:lang w:val="es-ES_tradnl"/>
              </w:rPr>
              <w:t>Programa  25</w:t>
            </w:r>
          </w:p>
        </w:tc>
      </w:tr>
      <w:tr w:rsidR="009F58E5" w:rsidRPr="00C75C7E" w:rsidTr="008F4F69">
        <w:trPr>
          <w:cantSplit/>
          <w:trHeight w:val="335"/>
        </w:trPr>
        <w:tc>
          <w:tcPr>
            <w:tcW w:w="1891" w:type="pct"/>
            <w:shd w:val="clear" w:color="auto" w:fill="auto"/>
            <w:tcMar>
              <w:top w:w="113" w:type="dxa"/>
              <w:bottom w:w="85" w:type="dxa"/>
            </w:tcMar>
          </w:tcPr>
          <w:p w:rsidR="009F58E5" w:rsidRPr="00C75C7E" w:rsidRDefault="009F58E5" w:rsidP="008F4F69">
            <w:pPr>
              <w:rPr>
                <w:sz w:val="16"/>
                <w:szCs w:val="16"/>
                <w:lang w:val="es-ES_tradnl"/>
              </w:rPr>
            </w:pPr>
          </w:p>
        </w:tc>
        <w:tc>
          <w:tcPr>
            <w:tcW w:w="1524" w:type="pct"/>
            <w:shd w:val="clear" w:color="auto" w:fill="auto"/>
            <w:tcMar>
              <w:top w:w="113" w:type="dxa"/>
              <w:bottom w:w="85" w:type="dxa"/>
            </w:tcMar>
          </w:tcPr>
          <w:p w:rsidR="009F58E5" w:rsidRPr="00C75C7E" w:rsidRDefault="009F58E5" w:rsidP="008F4F69">
            <w:pPr>
              <w:rPr>
                <w:sz w:val="16"/>
                <w:szCs w:val="16"/>
                <w:lang w:val="es-ES_tradnl"/>
              </w:rPr>
            </w:pPr>
            <w:r w:rsidRPr="00C75C7E">
              <w:rPr>
                <w:sz w:val="16"/>
                <w:szCs w:val="16"/>
                <w:lang w:val="es-ES_tradnl"/>
              </w:rPr>
              <w:t>Porcentaje de miembros del personal, delegados y visitantes que notifican lesiones o incidentes relacionados con el entorno laboral.</w:t>
            </w:r>
          </w:p>
        </w:tc>
        <w:tc>
          <w:tcPr>
            <w:tcW w:w="1585" w:type="pct"/>
            <w:shd w:val="clear" w:color="auto" w:fill="FFFFFF"/>
            <w:tcMar>
              <w:top w:w="113" w:type="dxa"/>
              <w:bottom w:w="85" w:type="dxa"/>
            </w:tcMar>
          </w:tcPr>
          <w:p w:rsidR="009F58E5" w:rsidRPr="00C75C7E" w:rsidRDefault="009F58E5" w:rsidP="008F4F69">
            <w:pPr>
              <w:ind w:left="679"/>
              <w:rPr>
                <w:sz w:val="16"/>
                <w:szCs w:val="16"/>
                <w:lang w:val="es-ES_tradnl" w:bidi="th-TH"/>
              </w:rPr>
            </w:pPr>
            <w:r w:rsidRPr="00C75C7E">
              <w:rPr>
                <w:sz w:val="16"/>
                <w:szCs w:val="16"/>
                <w:lang w:val="es-ES_tradnl"/>
              </w:rPr>
              <w:t>Programa  28</w:t>
            </w:r>
          </w:p>
        </w:tc>
      </w:tr>
      <w:tr w:rsidR="009F58E5" w:rsidRPr="00C75C7E" w:rsidTr="008F4F69">
        <w:trPr>
          <w:cantSplit/>
          <w:trHeight w:val="335"/>
        </w:trPr>
        <w:tc>
          <w:tcPr>
            <w:tcW w:w="1891" w:type="pct"/>
            <w:shd w:val="clear" w:color="auto" w:fill="auto"/>
            <w:tcMar>
              <w:top w:w="113" w:type="dxa"/>
              <w:bottom w:w="85" w:type="dxa"/>
            </w:tcMar>
          </w:tcPr>
          <w:p w:rsidR="009F58E5" w:rsidRPr="00C75C7E" w:rsidRDefault="009F58E5" w:rsidP="008F4F69">
            <w:pPr>
              <w:rPr>
                <w:sz w:val="16"/>
                <w:szCs w:val="16"/>
                <w:lang w:val="es-ES_tradnl"/>
              </w:rPr>
            </w:pPr>
          </w:p>
        </w:tc>
        <w:tc>
          <w:tcPr>
            <w:tcW w:w="1524" w:type="pct"/>
            <w:shd w:val="clear" w:color="auto" w:fill="auto"/>
            <w:tcMar>
              <w:top w:w="113" w:type="dxa"/>
              <w:bottom w:w="85" w:type="dxa"/>
            </w:tcMar>
          </w:tcPr>
          <w:p w:rsidR="009F58E5" w:rsidRPr="00C75C7E" w:rsidRDefault="009F58E5" w:rsidP="008F4F69">
            <w:pPr>
              <w:rPr>
                <w:sz w:val="16"/>
                <w:szCs w:val="16"/>
                <w:lang w:val="es-ES_tradnl"/>
              </w:rPr>
            </w:pPr>
            <w:r w:rsidRPr="00C75C7E">
              <w:rPr>
                <w:sz w:val="16"/>
                <w:szCs w:val="16"/>
                <w:lang w:val="es-ES_tradnl"/>
              </w:rPr>
              <w:t>Porcentaje de peticiones de asistencia relativa a la seguridad atendidas puntualmente en las conferencias o actividades organizadas en Ginebra o en otros lugares.</w:t>
            </w:r>
          </w:p>
        </w:tc>
        <w:tc>
          <w:tcPr>
            <w:tcW w:w="1585" w:type="pct"/>
            <w:shd w:val="clear" w:color="auto" w:fill="FFFFFF"/>
            <w:tcMar>
              <w:top w:w="113" w:type="dxa"/>
              <w:bottom w:w="85" w:type="dxa"/>
            </w:tcMar>
          </w:tcPr>
          <w:p w:rsidR="009F58E5" w:rsidRPr="00C75C7E" w:rsidRDefault="009F58E5" w:rsidP="008F4F69">
            <w:pPr>
              <w:ind w:left="679"/>
              <w:rPr>
                <w:sz w:val="16"/>
                <w:szCs w:val="16"/>
                <w:lang w:val="es-ES_tradnl" w:bidi="th-TH"/>
              </w:rPr>
            </w:pPr>
            <w:r w:rsidRPr="00C75C7E">
              <w:rPr>
                <w:sz w:val="16"/>
                <w:szCs w:val="16"/>
                <w:lang w:val="es-ES_tradnl"/>
              </w:rPr>
              <w:t>Programa  28</w:t>
            </w:r>
          </w:p>
        </w:tc>
      </w:tr>
      <w:tr w:rsidR="009F58E5" w:rsidRPr="00C75C7E" w:rsidTr="008F4F69">
        <w:trPr>
          <w:cantSplit/>
          <w:trHeight w:val="335"/>
        </w:trPr>
        <w:tc>
          <w:tcPr>
            <w:tcW w:w="1891" w:type="pct"/>
            <w:shd w:val="clear" w:color="auto" w:fill="auto"/>
            <w:tcMar>
              <w:top w:w="113" w:type="dxa"/>
              <w:bottom w:w="85" w:type="dxa"/>
            </w:tcMar>
          </w:tcPr>
          <w:p w:rsidR="009F58E5" w:rsidRPr="00C75C7E" w:rsidRDefault="009F58E5" w:rsidP="008F4F69">
            <w:pPr>
              <w:rPr>
                <w:sz w:val="16"/>
                <w:szCs w:val="16"/>
                <w:lang w:val="es-ES_tradnl"/>
              </w:rPr>
            </w:pPr>
          </w:p>
        </w:tc>
        <w:tc>
          <w:tcPr>
            <w:tcW w:w="1524" w:type="pct"/>
            <w:shd w:val="clear" w:color="auto" w:fill="auto"/>
            <w:tcMar>
              <w:top w:w="113" w:type="dxa"/>
              <w:bottom w:w="85" w:type="dxa"/>
            </w:tcMar>
          </w:tcPr>
          <w:p w:rsidR="009F58E5" w:rsidRPr="00C75C7E" w:rsidRDefault="009F58E5" w:rsidP="008F4F69">
            <w:pPr>
              <w:rPr>
                <w:sz w:val="16"/>
                <w:szCs w:val="16"/>
                <w:lang w:val="es-ES_tradnl"/>
              </w:rPr>
            </w:pPr>
            <w:r w:rsidRPr="00C75C7E">
              <w:rPr>
                <w:sz w:val="16"/>
                <w:szCs w:val="16"/>
                <w:lang w:val="es-ES_tradnl"/>
              </w:rPr>
              <w:t>Supervisión de las medidas de acceso físico para velar por que se cumplan plenamente las normas aplicables durante el período de construcción de la nueva sala de conferencias y las instalaciones conexas.</w:t>
            </w:r>
          </w:p>
        </w:tc>
        <w:tc>
          <w:tcPr>
            <w:tcW w:w="1585" w:type="pct"/>
            <w:shd w:val="clear" w:color="auto" w:fill="FFFFFF"/>
            <w:tcMar>
              <w:top w:w="113" w:type="dxa"/>
              <w:bottom w:w="85" w:type="dxa"/>
            </w:tcMar>
          </w:tcPr>
          <w:p w:rsidR="009F58E5" w:rsidRPr="00C75C7E" w:rsidRDefault="009F58E5" w:rsidP="008F4F69">
            <w:pPr>
              <w:ind w:left="679"/>
              <w:rPr>
                <w:sz w:val="16"/>
                <w:szCs w:val="16"/>
                <w:lang w:val="es-ES_tradnl" w:bidi="th-TH"/>
              </w:rPr>
            </w:pPr>
            <w:r w:rsidRPr="00C75C7E">
              <w:rPr>
                <w:sz w:val="16"/>
                <w:szCs w:val="16"/>
                <w:lang w:val="es-ES_tradnl"/>
              </w:rPr>
              <w:t>Programa  29</w:t>
            </w:r>
          </w:p>
        </w:tc>
      </w:tr>
      <w:tr w:rsidR="009F58E5" w:rsidRPr="00C75C7E" w:rsidTr="008F4F69">
        <w:trPr>
          <w:cantSplit/>
          <w:trHeight w:val="335"/>
        </w:trPr>
        <w:tc>
          <w:tcPr>
            <w:tcW w:w="1891" w:type="pct"/>
            <w:shd w:val="clear" w:color="auto" w:fill="auto"/>
            <w:tcMar>
              <w:top w:w="113" w:type="dxa"/>
              <w:bottom w:w="85" w:type="dxa"/>
            </w:tcMar>
          </w:tcPr>
          <w:p w:rsidR="009F58E5" w:rsidRPr="00C75C7E" w:rsidRDefault="009F58E5" w:rsidP="008F4F69">
            <w:pPr>
              <w:rPr>
                <w:sz w:val="16"/>
                <w:szCs w:val="16"/>
                <w:lang w:val="es-ES_tradnl"/>
              </w:rPr>
            </w:pPr>
          </w:p>
        </w:tc>
        <w:tc>
          <w:tcPr>
            <w:tcW w:w="1524" w:type="pct"/>
            <w:shd w:val="clear" w:color="auto" w:fill="auto"/>
            <w:tcMar>
              <w:top w:w="113" w:type="dxa"/>
              <w:bottom w:w="85" w:type="dxa"/>
            </w:tcMar>
          </w:tcPr>
          <w:p w:rsidR="009F58E5" w:rsidRPr="00C75C7E" w:rsidRDefault="009F58E5" w:rsidP="008F4F69">
            <w:pPr>
              <w:rPr>
                <w:sz w:val="16"/>
                <w:szCs w:val="16"/>
                <w:lang w:val="es-ES_tradnl"/>
              </w:rPr>
            </w:pPr>
            <w:r w:rsidRPr="00C75C7E">
              <w:rPr>
                <w:sz w:val="16"/>
                <w:szCs w:val="16"/>
                <w:lang w:val="es-ES_tradnl"/>
              </w:rPr>
              <w:t>Supervisión de las medidas aplicadas durante el período de construcción con el fin de respetar el medio ambiente y reducir el consumo de energía.</w:t>
            </w:r>
          </w:p>
        </w:tc>
        <w:tc>
          <w:tcPr>
            <w:tcW w:w="1585" w:type="pct"/>
            <w:shd w:val="clear" w:color="auto" w:fill="FFFFFF"/>
            <w:tcMar>
              <w:top w:w="113" w:type="dxa"/>
              <w:bottom w:w="85" w:type="dxa"/>
            </w:tcMar>
          </w:tcPr>
          <w:p w:rsidR="009F58E5" w:rsidRPr="00C75C7E" w:rsidRDefault="009F58E5" w:rsidP="008F4F69">
            <w:pPr>
              <w:ind w:left="679"/>
              <w:rPr>
                <w:sz w:val="16"/>
                <w:szCs w:val="16"/>
                <w:lang w:val="es-ES_tradnl" w:bidi="th-TH"/>
              </w:rPr>
            </w:pPr>
            <w:r w:rsidRPr="00C75C7E">
              <w:rPr>
                <w:sz w:val="16"/>
                <w:szCs w:val="16"/>
                <w:lang w:val="es-ES_tradnl"/>
              </w:rPr>
              <w:t>Programa  29</w:t>
            </w:r>
          </w:p>
        </w:tc>
      </w:tr>
      <w:tr w:rsidR="009F58E5" w:rsidRPr="00C75C7E" w:rsidTr="008F4F69">
        <w:trPr>
          <w:cantSplit/>
          <w:trHeight w:val="335"/>
        </w:trPr>
        <w:tc>
          <w:tcPr>
            <w:tcW w:w="1891" w:type="pct"/>
            <w:shd w:val="clear" w:color="auto" w:fill="auto"/>
            <w:tcMar>
              <w:top w:w="113" w:type="dxa"/>
              <w:bottom w:w="85" w:type="dxa"/>
            </w:tcMar>
          </w:tcPr>
          <w:p w:rsidR="009F58E5" w:rsidRPr="00C75C7E" w:rsidRDefault="009F58E5" w:rsidP="008F4F69">
            <w:pPr>
              <w:rPr>
                <w:sz w:val="16"/>
                <w:szCs w:val="16"/>
                <w:lang w:val="es-ES_tradnl"/>
              </w:rPr>
            </w:pPr>
          </w:p>
        </w:tc>
        <w:tc>
          <w:tcPr>
            <w:tcW w:w="1524" w:type="pct"/>
            <w:shd w:val="clear" w:color="auto" w:fill="auto"/>
            <w:tcMar>
              <w:top w:w="113" w:type="dxa"/>
              <w:bottom w:w="85" w:type="dxa"/>
            </w:tcMar>
          </w:tcPr>
          <w:p w:rsidR="009F58E5" w:rsidRPr="00C75C7E" w:rsidRDefault="009F58E5" w:rsidP="008F4F69">
            <w:pPr>
              <w:rPr>
                <w:sz w:val="16"/>
                <w:szCs w:val="16"/>
                <w:lang w:val="es-ES_tradnl"/>
              </w:rPr>
            </w:pPr>
            <w:r w:rsidRPr="00C75C7E">
              <w:rPr>
                <w:sz w:val="16"/>
                <w:szCs w:val="16"/>
                <w:lang w:val="es-ES_tradnl"/>
              </w:rPr>
              <w:t>Finalización de la aplicación de las medidas de seguridad del perímetro de la nueva sala de conferencias con arreglo a las normas mínimas operativas de seguridad para las sedes de NN.UU.</w:t>
            </w:r>
          </w:p>
        </w:tc>
        <w:tc>
          <w:tcPr>
            <w:tcW w:w="1585" w:type="pct"/>
            <w:shd w:val="clear" w:color="auto" w:fill="FFFFFF"/>
            <w:tcMar>
              <w:top w:w="113" w:type="dxa"/>
              <w:bottom w:w="85" w:type="dxa"/>
            </w:tcMar>
          </w:tcPr>
          <w:p w:rsidR="009F58E5" w:rsidRPr="00C75C7E" w:rsidRDefault="009F58E5" w:rsidP="008F4F69">
            <w:pPr>
              <w:ind w:left="679"/>
              <w:rPr>
                <w:sz w:val="16"/>
                <w:szCs w:val="16"/>
                <w:lang w:val="es-ES_tradnl" w:bidi="th-TH"/>
              </w:rPr>
            </w:pPr>
            <w:r w:rsidRPr="00C75C7E">
              <w:rPr>
                <w:sz w:val="16"/>
                <w:szCs w:val="16"/>
                <w:lang w:val="es-ES_tradnl"/>
              </w:rPr>
              <w:t>Programa  29</w:t>
            </w:r>
          </w:p>
        </w:tc>
      </w:tr>
      <w:tr w:rsidR="009F58E5" w:rsidRPr="00C75C7E" w:rsidTr="008F4F69">
        <w:trPr>
          <w:cantSplit/>
          <w:trHeight w:val="335"/>
        </w:trPr>
        <w:tc>
          <w:tcPr>
            <w:tcW w:w="1891" w:type="pct"/>
            <w:shd w:val="clear" w:color="auto" w:fill="auto"/>
            <w:tcMar>
              <w:top w:w="113" w:type="dxa"/>
              <w:bottom w:w="85" w:type="dxa"/>
            </w:tcMar>
          </w:tcPr>
          <w:p w:rsidR="009F58E5" w:rsidRPr="00C75C7E" w:rsidRDefault="009F58E5" w:rsidP="008F4F69">
            <w:pPr>
              <w:rPr>
                <w:sz w:val="16"/>
                <w:szCs w:val="16"/>
                <w:lang w:val="es-ES_tradnl"/>
              </w:rPr>
            </w:pPr>
            <w:r w:rsidRPr="00C75C7E">
              <w:rPr>
                <w:sz w:val="16"/>
                <w:szCs w:val="16"/>
                <w:lang w:val="es-ES_tradnl"/>
              </w:rPr>
              <w:t>IX.8. Mejor rendición de cuentas, aprendizaje institucional, uso óptimo de los recursos, administración, control interno y buen gobierno gracias a la asistencia que proporciona una supervisión eficaz e independiente.</w:t>
            </w:r>
          </w:p>
        </w:tc>
        <w:tc>
          <w:tcPr>
            <w:tcW w:w="1524" w:type="pct"/>
            <w:shd w:val="clear" w:color="auto" w:fill="auto"/>
            <w:tcMar>
              <w:top w:w="113" w:type="dxa"/>
              <w:bottom w:w="85" w:type="dxa"/>
            </w:tcMar>
          </w:tcPr>
          <w:p w:rsidR="009F58E5" w:rsidRPr="00C75C7E" w:rsidRDefault="009F58E5" w:rsidP="008F4F69">
            <w:pPr>
              <w:rPr>
                <w:sz w:val="16"/>
                <w:szCs w:val="16"/>
                <w:lang w:val="es-ES_tradnl"/>
              </w:rPr>
            </w:pPr>
            <w:r w:rsidRPr="00C75C7E">
              <w:rPr>
                <w:sz w:val="16"/>
                <w:szCs w:val="16"/>
                <w:lang w:val="es-ES_tradnl"/>
              </w:rPr>
              <w:t>Número de interferencias y grado de independencia percibido por las principales partes interesadas.</w:t>
            </w:r>
          </w:p>
        </w:tc>
        <w:tc>
          <w:tcPr>
            <w:tcW w:w="1585" w:type="pct"/>
            <w:shd w:val="clear" w:color="auto" w:fill="FFFFFF"/>
            <w:tcMar>
              <w:top w:w="113" w:type="dxa"/>
              <w:bottom w:w="85" w:type="dxa"/>
            </w:tcMar>
          </w:tcPr>
          <w:p w:rsidR="009F58E5" w:rsidRPr="00C75C7E" w:rsidRDefault="009F58E5" w:rsidP="008F4F69">
            <w:pPr>
              <w:ind w:left="679"/>
              <w:rPr>
                <w:sz w:val="16"/>
                <w:szCs w:val="16"/>
                <w:lang w:val="es-ES_tradnl" w:bidi="th-TH"/>
              </w:rPr>
            </w:pPr>
            <w:r w:rsidRPr="00C75C7E">
              <w:rPr>
                <w:sz w:val="16"/>
                <w:szCs w:val="16"/>
                <w:lang w:val="es-ES_tradnl"/>
              </w:rPr>
              <w:t>Programa  26</w:t>
            </w:r>
          </w:p>
        </w:tc>
      </w:tr>
      <w:tr w:rsidR="009F58E5" w:rsidRPr="00C75C7E" w:rsidTr="008F4F69">
        <w:trPr>
          <w:cantSplit/>
          <w:trHeight w:val="335"/>
        </w:trPr>
        <w:tc>
          <w:tcPr>
            <w:tcW w:w="1891" w:type="pct"/>
            <w:shd w:val="clear" w:color="auto" w:fill="auto"/>
            <w:tcMar>
              <w:top w:w="113" w:type="dxa"/>
              <w:bottom w:w="85" w:type="dxa"/>
            </w:tcMar>
          </w:tcPr>
          <w:p w:rsidR="009F58E5" w:rsidRPr="00C75C7E" w:rsidRDefault="009F58E5" w:rsidP="008F4F69">
            <w:pPr>
              <w:rPr>
                <w:sz w:val="16"/>
                <w:szCs w:val="16"/>
                <w:lang w:val="es-ES_tradnl"/>
              </w:rPr>
            </w:pPr>
          </w:p>
        </w:tc>
        <w:tc>
          <w:tcPr>
            <w:tcW w:w="1524" w:type="pct"/>
            <w:shd w:val="clear" w:color="auto" w:fill="auto"/>
            <w:tcMar>
              <w:top w:w="113" w:type="dxa"/>
              <w:bottom w:w="85" w:type="dxa"/>
            </w:tcMar>
          </w:tcPr>
          <w:p w:rsidR="009F58E5" w:rsidRPr="00C75C7E" w:rsidRDefault="009F58E5" w:rsidP="008F4F69">
            <w:pPr>
              <w:rPr>
                <w:sz w:val="16"/>
                <w:szCs w:val="16"/>
                <w:lang w:val="es-ES_tradnl"/>
              </w:rPr>
            </w:pPr>
            <w:r w:rsidRPr="00C75C7E">
              <w:rPr>
                <w:sz w:val="16"/>
                <w:szCs w:val="16"/>
                <w:lang w:val="es-ES_tradnl"/>
              </w:rPr>
              <w:t>Porcentaje de EFICACIA de la labor de la DASI que abarca esferas de alto riesgo y gran pertinencia.</w:t>
            </w:r>
          </w:p>
        </w:tc>
        <w:tc>
          <w:tcPr>
            <w:tcW w:w="1585" w:type="pct"/>
            <w:shd w:val="clear" w:color="auto" w:fill="FFFFFF"/>
            <w:tcMar>
              <w:top w:w="113" w:type="dxa"/>
              <w:bottom w:w="85" w:type="dxa"/>
            </w:tcMar>
          </w:tcPr>
          <w:p w:rsidR="009F58E5" w:rsidRPr="00C75C7E" w:rsidRDefault="009F58E5" w:rsidP="008F4F69">
            <w:pPr>
              <w:ind w:left="679"/>
              <w:rPr>
                <w:sz w:val="16"/>
                <w:szCs w:val="16"/>
                <w:lang w:val="es-ES_tradnl" w:bidi="th-TH"/>
              </w:rPr>
            </w:pPr>
            <w:r w:rsidRPr="00C75C7E">
              <w:rPr>
                <w:sz w:val="16"/>
                <w:szCs w:val="16"/>
                <w:lang w:val="es-ES_tradnl"/>
              </w:rPr>
              <w:t>Programa  26</w:t>
            </w:r>
          </w:p>
        </w:tc>
      </w:tr>
      <w:tr w:rsidR="009F58E5" w:rsidRPr="00C75C7E" w:rsidTr="008F4F69">
        <w:trPr>
          <w:cantSplit/>
          <w:trHeight w:val="335"/>
        </w:trPr>
        <w:tc>
          <w:tcPr>
            <w:tcW w:w="1891" w:type="pct"/>
            <w:shd w:val="clear" w:color="auto" w:fill="auto"/>
            <w:tcMar>
              <w:top w:w="113" w:type="dxa"/>
              <w:bottom w:w="85" w:type="dxa"/>
            </w:tcMar>
          </w:tcPr>
          <w:p w:rsidR="009F58E5" w:rsidRPr="00C75C7E" w:rsidRDefault="009F58E5" w:rsidP="008F4F69">
            <w:pPr>
              <w:rPr>
                <w:sz w:val="16"/>
                <w:szCs w:val="16"/>
                <w:lang w:val="es-ES_tradnl"/>
              </w:rPr>
            </w:pPr>
          </w:p>
        </w:tc>
        <w:tc>
          <w:tcPr>
            <w:tcW w:w="1524" w:type="pct"/>
            <w:shd w:val="clear" w:color="auto" w:fill="auto"/>
            <w:tcMar>
              <w:top w:w="113" w:type="dxa"/>
              <w:bottom w:w="85" w:type="dxa"/>
            </w:tcMar>
          </w:tcPr>
          <w:p w:rsidR="009F58E5" w:rsidRPr="00C75C7E" w:rsidRDefault="009F58E5" w:rsidP="008F4F69">
            <w:pPr>
              <w:rPr>
                <w:sz w:val="16"/>
                <w:szCs w:val="16"/>
                <w:lang w:val="es-ES_tradnl"/>
              </w:rPr>
            </w:pPr>
            <w:r w:rsidRPr="00C75C7E">
              <w:rPr>
                <w:sz w:val="16"/>
                <w:szCs w:val="16"/>
                <w:lang w:val="es-ES_tradnl"/>
              </w:rPr>
              <w:t xml:space="preserve">EFICIENCIA:  a) Finalización puntual y de calidad de los informes de supervisión;  b) Número de auditorías y evaluaciones ejecutadas en relación con el plan de trabajo en materia de supervisión;  c) Número de denuncias/notificaciones de posible conducta indebida que se han tramitado. </w:t>
            </w:r>
          </w:p>
        </w:tc>
        <w:tc>
          <w:tcPr>
            <w:tcW w:w="1585" w:type="pct"/>
            <w:shd w:val="clear" w:color="auto" w:fill="FFFFFF"/>
            <w:tcMar>
              <w:top w:w="113" w:type="dxa"/>
              <w:bottom w:w="85" w:type="dxa"/>
            </w:tcMar>
          </w:tcPr>
          <w:p w:rsidR="009F58E5" w:rsidRPr="00C75C7E" w:rsidRDefault="009F58E5" w:rsidP="008F4F69">
            <w:pPr>
              <w:ind w:left="679"/>
              <w:rPr>
                <w:sz w:val="16"/>
                <w:szCs w:val="16"/>
                <w:lang w:val="es-ES_tradnl" w:bidi="th-TH"/>
              </w:rPr>
            </w:pPr>
            <w:r w:rsidRPr="00C75C7E">
              <w:rPr>
                <w:sz w:val="16"/>
                <w:szCs w:val="16"/>
                <w:lang w:val="es-ES_tradnl"/>
              </w:rPr>
              <w:t>Programa  26</w:t>
            </w:r>
          </w:p>
        </w:tc>
      </w:tr>
      <w:tr w:rsidR="009F58E5" w:rsidRPr="00C75C7E" w:rsidTr="008F4F69">
        <w:trPr>
          <w:cantSplit/>
          <w:trHeight w:val="335"/>
        </w:trPr>
        <w:tc>
          <w:tcPr>
            <w:tcW w:w="1891" w:type="pct"/>
            <w:shd w:val="clear" w:color="auto" w:fill="auto"/>
            <w:tcMar>
              <w:top w:w="113" w:type="dxa"/>
              <w:bottom w:w="85" w:type="dxa"/>
            </w:tcMar>
          </w:tcPr>
          <w:p w:rsidR="009F58E5" w:rsidRPr="00C75C7E" w:rsidRDefault="009F58E5" w:rsidP="008F4F69">
            <w:pPr>
              <w:rPr>
                <w:sz w:val="16"/>
                <w:szCs w:val="16"/>
                <w:lang w:val="es-ES_tradnl"/>
              </w:rPr>
            </w:pPr>
          </w:p>
        </w:tc>
        <w:tc>
          <w:tcPr>
            <w:tcW w:w="1524" w:type="pct"/>
            <w:shd w:val="clear" w:color="auto" w:fill="auto"/>
            <w:tcMar>
              <w:top w:w="113" w:type="dxa"/>
              <w:bottom w:w="85" w:type="dxa"/>
            </w:tcMar>
          </w:tcPr>
          <w:p w:rsidR="009F58E5" w:rsidRPr="00C75C7E" w:rsidRDefault="009F58E5" w:rsidP="008F4F69">
            <w:pPr>
              <w:rPr>
                <w:sz w:val="16"/>
                <w:szCs w:val="16"/>
                <w:lang w:val="es-ES_tradnl"/>
              </w:rPr>
            </w:pPr>
            <w:r w:rsidRPr="00C75C7E">
              <w:rPr>
                <w:sz w:val="16"/>
                <w:szCs w:val="16"/>
                <w:lang w:val="es-ES_tradnl"/>
              </w:rPr>
              <w:t>PERTINENCIA, VALOR AÑADIDO Y ADMINISTRACIÓN:  Ahorros o mejoras tangibles en los procedimientos y sistemas.</w:t>
            </w:r>
          </w:p>
          <w:p w:rsidR="009F58E5" w:rsidRPr="00C75C7E" w:rsidRDefault="009F58E5" w:rsidP="008F4F69">
            <w:pPr>
              <w:rPr>
                <w:sz w:val="16"/>
                <w:szCs w:val="16"/>
                <w:lang w:val="es-ES_tradnl"/>
              </w:rPr>
            </w:pPr>
          </w:p>
        </w:tc>
        <w:tc>
          <w:tcPr>
            <w:tcW w:w="1585" w:type="pct"/>
            <w:shd w:val="clear" w:color="auto" w:fill="FFFFFF"/>
            <w:tcMar>
              <w:top w:w="113" w:type="dxa"/>
              <w:bottom w:w="85" w:type="dxa"/>
            </w:tcMar>
          </w:tcPr>
          <w:p w:rsidR="009F58E5" w:rsidRPr="00C75C7E" w:rsidRDefault="009F58E5" w:rsidP="008F4F69">
            <w:pPr>
              <w:ind w:left="679"/>
              <w:rPr>
                <w:sz w:val="16"/>
                <w:szCs w:val="16"/>
                <w:lang w:val="es-ES_tradnl" w:bidi="th-TH"/>
              </w:rPr>
            </w:pPr>
            <w:r w:rsidRPr="00C75C7E">
              <w:rPr>
                <w:sz w:val="16"/>
                <w:szCs w:val="16"/>
                <w:lang w:val="es-ES_tradnl"/>
              </w:rPr>
              <w:t>Programa  26</w:t>
            </w:r>
          </w:p>
        </w:tc>
      </w:tr>
      <w:tr w:rsidR="009F58E5" w:rsidRPr="00C75C7E" w:rsidTr="008F4F69">
        <w:trPr>
          <w:cantSplit/>
          <w:trHeight w:val="335"/>
        </w:trPr>
        <w:tc>
          <w:tcPr>
            <w:tcW w:w="1891" w:type="pct"/>
            <w:shd w:val="clear" w:color="auto" w:fill="auto"/>
            <w:tcMar>
              <w:top w:w="113" w:type="dxa"/>
              <w:bottom w:w="85" w:type="dxa"/>
            </w:tcMar>
          </w:tcPr>
          <w:p w:rsidR="009F58E5" w:rsidRPr="00C75C7E" w:rsidRDefault="009F58E5" w:rsidP="008F4F69">
            <w:pPr>
              <w:rPr>
                <w:sz w:val="16"/>
                <w:szCs w:val="16"/>
                <w:lang w:val="es-ES_tradnl"/>
              </w:rPr>
            </w:pPr>
          </w:p>
        </w:tc>
        <w:tc>
          <w:tcPr>
            <w:tcW w:w="1524" w:type="pct"/>
            <w:shd w:val="clear" w:color="auto" w:fill="auto"/>
            <w:tcMar>
              <w:top w:w="113" w:type="dxa"/>
              <w:bottom w:w="85" w:type="dxa"/>
            </w:tcMar>
          </w:tcPr>
          <w:p w:rsidR="009F58E5" w:rsidRPr="00C75C7E" w:rsidRDefault="009F58E5" w:rsidP="008F4F69">
            <w:pPr>
              <w:rPr>
                <w:sz w:val="16"/>
                <w:szCs w:val="16"/>
                <w:lang w:val="es-ES_tradnl"/>
              </w:rPr>
            </w:pPr>
            <w:r w:rsidRPr="00C75C7E">
              <w:rPr>
                <w:sz w:val="16"/>
                <w:szCs w:val="16"/>
                <w:lang w:val="es-ES_tradnl"/>
              </w:rPr>
              <w:t>APRENDIZAJE INSTITUCIONAL:   Adopción de enseñanzas y recomendaciones extraídas de los procesos de supervisión.</w:t>
            </w:r>
          </w:p>
        </w:tc>
        <w:tc>
          <w:tcPr>
            <w:tcW w:w="1585" w:type="pct"/>
            <w:shd w:val="clear" w:color="auto" w:fill="FFFFFF"/>
            <w:tcMar>
              <w:top w:w="113" w:type="dxa"/>
              <w:bottom w:w="85" w:type="dxa"/>
            </w:tcMar>
          </w:tcPr>
          <w:p w:rsidR="009F58E5" w:rsidRPr="00C75C7E" w:rsidRDefault="009F58E5" w:rsidP="008F4F69">
            <w:pPr>
              <w:ind w:left="679"/>
              <w:rPr>
                <w:sz w:val="16"/>
                <w:szCs w:val="16"/>
                <w:lang w:val="es-ES_tradnl" w:bidi="th-TH"/>
              </w:rPr>
            </w:pPr>
            <w:r w:rsidRPr="00C75C7E">
              <w:rPr>
                <w:sz w:val="16"/>
                <w:szCs w:val="16"/>
                <w:lang w:val="es-ES_tradnl"/>
              </w:rPr>
              <w:t>Programa  26</w:t>
            </w:r>
          </w:p>
        </w:tc>
      </w:tr>
    </w:tbl>
    <w:p w:rsidR="009F58E5" w:rsidRPr="00C75C7E" w:rsidRDefault="009F58E5" w:rsidP="009F58E5">
      <w:pPr>
        <w:tabs>
          <w:tab w:val="left" w:pos="1701"/>
        </w:tabs>
        <w:ind w:left="1701" w:hanging="1701"/>
        <w:jc w:val="center"/>
        <w:rPr>
          <w:b/>
          <w:bCs/>
          <w:caps/>
          <w:sz w:val="20"/>
          <w:highlight w:val="yellow"/>
          <w:lang w:val="es-ES_tradnl"/>
        </w:rPr>
      </w:pPr>
    </w:p>
    <w:p w:rsidR="00D73B21" w:rsidRPr="002709AA" w:rsidRDefault="009F58E5" w:rsidP="002709AA">
      <w:pPr>
        <w:pStyle w:val="Heading3"/>
        <w:tabs>
          <w:tab w:val="left" w:pos="1985"/>
        </w:tabs>
        <w:rPr>
          <w:b/>
          <w:u w:val="none"/>
          <w:lang w:val="es-ES_tradnl"/>
        </w:rPr>
      </w:pPr>
      <w:r w:rsidRPr="00C75C7E">
        <w:rPr>
          <w:sz w:val="20"/>
          <w:lang w:val="es-ES_tradnl"/>
        </w:rPr>
        <w:br w:type="page"/>
      </w:r>
      <w:bookmarkStart w:id="75" w:name="_Toc356567776"/>
      <w:bookmarkStart w:id="76" w:name="_Toc358816714"/>
      <w:r w:rsidR="002709AA" w:rsidRPr="002709AA">
        <w:rPr>
          <w:b/>
          <w:u w:val="none"/>
          <w:lang w:val="es-ES_tradnl"/>
        </w:rPr>
        <w:lastRenderedPageBreak/>
        <w:t>PROGRAMA 21</w:t>
      </w:r>
      <w:r w:rsidR="002709AA" w:rsidRPr="002709AA">
        <w:rPr>
          <w:b/>
          <w:u w:val="none"/>
          <w:lang w:val="es-ES_tradnl"/>
        </w:rPr>
        <w:tab/>
      </w:r>
      <w:bookmarkEnd w:id="75"/>
      <w:r w:rsidR="002709AA" w:rsidRPr="002709AA">
        <w:rPr>
          <w:b/>
          <w:u w:val="none"/>
          <w:lang w:val="es-ES_tradnl"/>
        </w:rPr>
        <w:t>GESTIÓN EJECUTIVA</w:t>
      </w:r>
      <w:bookmarkEnd w:id="76"/>
      <w:r w:rsidR="002709AA" w:rsidRPr="002709AA">
        <w:rPr>
          <w:b/>
          <w:u w:val="none"/>
          <w:lang w:val="es-ES_tradnl"/>
        </w:rPr>
        <w:t xml:space="preserve"> </w:t>
      </w:r>
    </w:p>
    <w:p w:rsidR="00D73B21" w:rsidRPr="005A74C3" w:rsidRDefault="00D73B21" w:rsidP="00D73B21">
      <w:pPr>
        <w:tabs>
          <w:tab w:val="left" w:pos="2268"/>
        </w:tabs>
        <w:ind w:left="2268" w:hanging="2268"/>
        <w:rPr>
          <w:sz w:val="20"/>
        </w:rPr>
      </w:pPr>
    </w:p>
    <w:p w:rsidR="00D73B21" w:rsidRPr="005A74C3" w:rsidRDefault="00D73B21" w:rsidP="00D73B21">
      <w:pPr>
        <w:tabs>
          <w:tab w:val="left" w:pos="2268"/>
        </w:tabs>
        <w:ind w:left="2268" w:hanging="2268"/>
        <w:rPr>
          <w:b/>
          <w:sz w:val="20"/>
        </w:rPr>
      </w:pPr>
    </w:p>
    <w:p w:rsidR="00D73B21" w:rsidRPr="005A74C3" w:rsidRDefault="00D73B21" w:rsidP="00D73B21">
      <w:pPr>
        <w:pStyle w:val="BodyTextIndent"/>
        <w:ind w:left="1985" w:hanging="1985"/>
        <w:jc w:val="both"/>
        <w:rPr>
          <w:rFonts w:ascii="Arial" w:hAnsi="Arial" w:cs="Arial"/>
          <w:sz w:val="22"/>
          <w:szCs w:val="22"/>
          <w:lang w:val="es-ES"/>
        </w:rPr>
      </w:pPr>
      <w:r w:rsidRPr="005A74C3">
        <w:rPr>
          <w:rFonts w:ascii="Arial" w:hAnsi="Arial" w:cs="Arial"/>
          <w:sz w:val="22"/>
          <w:szCs w:val="22"/>
          <w:lang w:val="es-ES"/>
        </w:rPr>
        <w:t>CONTEXTO DE PLANIFICACI</w:t>
      </w:r>
      <w:r>
        <w:rPr>
          <w:rFonts w:ascii="Arial" w:hAnsi="Arial" w:cs="Arial"/>
          <w:sz w:val="22"/>
          <w:szCs w:val="22"/>
          <w:lang w:val="es-ES"/>
        </w:rPr>
        <w:t>ÓN</w:t>
      </w:r>
    </w:p>
    <w:p w:rsidR="00D73B21" w:rsidRPr="005A74C3" w:rsidRDefault="00D73B21" w:rsidP="00D73B21">
      <w:pPr>
        <w:rPr>
          <w:sz w:val="20"/>
        </w:rPr>
      </w:pPr>
    </w:p>
    <w:p w:rsidR="00D73B21" w:rsidRPr="00683522" w:rsidRDefault="00D73B21" w:rsidP="00D73B21">
      <w:pPr>
        <w:numPr>
          <w:ilvl w:val="0"/>
          <w:numId w:val="40"/>
        </w:numPr>
        <w:jc w:val="both"/>
        <w:rPr>
          <w:sz w:val="20"/>
        </w:rPr>
      </w:pPr>
      <w:r>
        <w:rPr>
          <w:sz w:val="20"/>
        </w:rPr>
        <w:t>El programa de g</w:t>
      </w:r>
      <w:r w:rsidRPr="00683522">
        <w:rPr>
          <w:sz w:val="20"/>
        </w:rPr>
        <w:t>estión ejecutiva</w:t>
      </w:r>
      <w:r>
        <w:rPr>
          <w:sz w:val="20"/>
        </w:rPr>
        <w:t xml:space="preserve"> proporciona a la Organización una dirección estratégica que le permite progresar para alcanzar sus</w:t>
      </w:r>
      <w:r w:rsidRPr="00683522">
        <w:rPr>
          <w:sz w:val="20"/>
        </w:rPr>
        <w:t xml:space="preserve"> metas</w:t>
      </w:r>
      <w:r>
        <w:rPr>
          <w:sz w:val="20"/>
        </w:rPr>
        <w:t xml:space="preserve"> estratégicas.  Asimismo, se encarga de dirigir el cambio necesario para garantizar que la OMPI cumpla con su mandato de manera eficiente y eficaz en el marco de un entorno externo </w:t>
      </w:r>
      <w:r w:rsidRPr="0085168E">
        <w:rPr>
          <w:sz w:val="20"/>
        </w:rPr>
        <w:t>en rápida evolución</w:t>
      </w:r>
      <w:r>
        <w:rPr>
          <w:sz w:val="20"/>
        </w:rPr>
        <w:t>.</w:t>
      </w:r>
    </w:p>
    <w:p w:rsidR="00D73B21" w:rsidRPr="00683522" w:rsidRDefault="00D73B21" w:rsidP="00D73B21">
      <w:pPr>
        <w:jc w:val="both"/>
        <w:rPr>
          <w:sz w:val="20"/>
        </w:rPr>
      </w:pPr>
    </w:p>
    <w:p w:rsidR="00D73B21" w:rsidRPr="00DA4539" w:rsidRDefault="00D73B21" w:rsidP="00D73B21">
      <w:pPr>
        <w:numPr>
          <w:ilvl w:val="0"/>
          <w:numId w:val="40"/>
        </w:numPr>
        <w:jc w:val="both"/>
        <w:rPr>
          <w:sz w:val="20"/>
        </w:rPr>
      </w:pPr>
      <w:r>
        <w:rPr>
          <w:sz w:val="20"/>
        </w:rPr>
        <w:t xml:space="preserve">El </w:t>
      </w:r>
      <w:r w:rsidR="00AE7D43">
        <w:rPr>
          <w:sz w:val="20"/>
        </w:rPr>
        <w:t>Programa de Alineación Estratégica</w:t>
      </w:r>
      <w:r>
        <w:rPr>
          <w:sz w:val="20"/>
        </w:rPr>
        <w:t xml:space="preserve"> concluirá en 2013.  Por lo tanto, resultará importante para el programa que en el próximo bienio se labore junto a otras unidades de la Organización para garantizar que los beneficios y las mejoras realizadas, gracias a la puesta en práctica del </w:t>
      </w:r>
      <w:r w:rsidR="00AE7D43">
        <w:rPr>
          <w:sz w:val="20"/>
        </w:rPr>
        <w:t>Programa de Alineación Estratégica</w:t>
      </w:r>
      <w:r>
        <w:rPr>
          <w:sz w:val="20"/>
        </w:rPr>
        <w:t xml:space="preserve">, sean constantes y se sustenten en una continua mejora y un alto nivel de participación del personal.  Las prioridades centrales de la Organización seguirán guiando al equipo directivo y al personal en su labor.  La puesta en práctica de la cartera de proyectos del </w:t>
      </w:r>
      <w:r w:rsidRPr="00463CD1">
        <w:rPr>
          <w:sz w:val="20"/>
        </w:rPr>
        <w:t>sistem</w:t>
      </w:r>
      <w:r>
        <w:rPr>
          <w:sz w:val="20"/>
        </w:rPr>
        <w:t>a de planificación</w:t>
      </w:r>
      <w:r w:rsidRPr="00463CD1">
        <w:rPr>
          <w:sz w:val="20"/>
        </w:rPr>
        <w:t xml:space="preserve"> de</w:t>
      </w:r>
      <w:r>
        <w:rPr>
          <w:sz w:val="20"/>
        </w:rPr>
        <w:t xml:space="preserve"> los </w:t>
      </w:r>
      <w:r w:rsidRPr="00463CD1">
        <w:rPr>
          <w:sz w:val="20"/>
        </w:rPr>
        <w:t>recursos</w:t>
      </w:r>
      <w:r>
        <w:rPr>
          <w:sz w:val="20"/>
        </w:rPr>
        <w:t xml:space="preserve"> institucionales, que constituye una de las iniciativas principales del </w:t>
      </w:r>
      <w:r w:rsidR="00AE7D43">
        <w:rPr>
          <w:sz w:val="20"/>
        </w:rPr>
        <w:t>Programa de Alineación Estratégica</w:t>
      </w:r>
      <w:r>
        <w:rPr>
          <w:sz w:val="20"/>
        </w:rPr>
        <w:t>, seguirá siendo una prioridad durante el bienio.</w:t>
      </w:r>
    </w:p>
    <w:p w:rsidR="00D73B21" w:rsidRPr="00DA4539" w:rsidRDefault="00D73B21" w:rsidP="00D73B21">
      <w:pPr>
        <w:jc w:val="both"/>
        <w:rPr>
          <w:sz w:val="20"/>
        </w:rPr>
      </w:pPr>
    </w:p>
    <w:p w:rsidR="00D73B21" w:rsidRPr="00B57849" w:rsidRDefault="00D73B21" w:rsidP="00D73B21">
      <w:pPr>
        <w:numPr>
          <w:ilvl w:val="0"/>
          <w:numId w:val="40"/>
        </w:numPr>
        <w:jc w:val="both"/>
        <w:rPr>
          <w:sz w:val="20"/>
        </w:rPr>
      </w:pPr>
      <w:r w:rsidRPr="007F6B1D">
        <w:rPr>
          <w:sz w:val="20"/>
        </w:rPr>
        <w:t xml:space="preserve">El </w:t>
      </w:r>
      <w:r>
        <w:rPr>
          <w:sz w:val="20"/>
        </w:rPr>
        <w:t>entorno externo en el</w:t>
      </w:r>
      <w:r w:rsidRPr="006517ED">
        <w:rPr>
          <w:sz w:val="20"/>
        </w:rPr>
        <w:t xml:space="preserve"> que </w:t>
      </w:r>
      <w:r>
        <w:rPr>
          <w:sz w:val="20"/>
        </w:rPr>
        <w:t xml:space="preserve">actúa la OMPI sigue siendo difícil y plantea desafíos para la consecución de sus </w:t>
      </w:r>
      <w:r w:rsidRPr="006517ED">
        <w:rPr>
          <w:sz w:val="20"/>
        </w:rPr>
        <w:t>objetivos</w:t>
      </w:r>
      <w:r>
        <w:rPr>
          <w:sz w:val="20"/>
        </w:rPr>
        <w:t xml:space="preserve">.  A pesar de que </w:t>
      </w:r>
      <w:r w:rsidRPr="00B57849">
        <w:rPr>
          <w:sz w:val="20"/>
        </w:rPr>
        <w:t>la</w:t>
      </w:r>
      <w:r>
        <w:rPr>
          <w:sz w:val="20"/>
        </w:rPr>
        <w:t xml:space="preserve"> situación económica mundial sigua</w:t>
      </w:r>
      <w:r w:rsidRPr="00B57849">
        <w:rPr>
          <w:sz w:val="20"/>
        </w:rPr>
        <w:t xml:space="preserve"> siendo frágil</w:t>
      </w:r>
      <w:r>
        <w:rPr>
          <w:sz w:val="20"/>
        </w:rPr>
        <w:t>, la intensa competencia económica ha puesto de relieve la importancia de la P.I. y de la innovación para el éxito económico y el</w:t>
      </w:r>
      <w:r w:rsidRPr="00B57849">
        <w:rPr>
          <w:sz w:val="20"/>
        </w:rPr>
        <w:t xml:space="preserve"> </w:t>
      </w:r>
      <w:r>
        <w:rPr>
          <w:sz w:val="20"/>
        </w:rPr>
        <w:t xml:space="preserve">desarrollo nacional.  </w:t>
      </w:r>
      <w:r w:rsidRPr="000728C6">
        <w:rPr>
          <w:sz w:val="20"/>
        </w:rPr>
        <w:t>La consolidación de muchas cuestiones, prevista en las actividades</w:t>
      </w:r>
      <w:r>
        <w:rPr>
          <w:sz w:val="20"/>
        </w:rPr>
        <w:t xml:space="preserve"> normativas de la OMPI para el próximo bienio, resalta la voluntad de centrarse de forma permanente en la P.I., al tiempo que exige el apoyo y la asistencia los Estados miembros.  Es necesario aportar una pronta respuesta que sea </w:t>
      </w:r>
      <w:r w:rsidRPr="00B87A72">
        <w:rPr>
          <w:sz w:val="20"/>
        </w:rPr>
        <w:t>equitativa y eficaz</w:t>
      </w:r>
      <w:r>
        <w:rPr>
          <w:sz w:val="20"/>
        </w:rPr>
        <w:t xml:space="preserve"> que al mismo tiempo garantice </w:t>
      </w:r>
      <w:r w:rsidRPr="00C4428F">
        <w:rPr>
          <w:sz w:val="20"/>
        </w:rPr>
        <w:t>que los servicios generadores de ingresos de la OMPI cuenten con los recursos adecuados</w:t>
      </w:r>
      <w:r>
        <w:rPr>
          <w:sz w:val="20"/>
        </w:rPr>
        <w:t>, sean reformados y sigan siendo competitivos</w:t>
      </w:r>
      <w:r w:rsidRPr="00C4428F">
        <w:rPr>
          <w:sz w:val="20"/>
        </w:rPr>
        <w:t>.</w:t>
      </w:r>
    </w:p>
    <w:p w:rsidR="00D73B21" w:rsidRPr="00B57849" w:rsidRDefault="00D73B21" w:rsidP="00D73B21">
      <w:pPr>
        <w:jc w:val="both"/>
        <w:rPr>
          <w:sz w:val="20"/>
        </w:rPr>
      </w:pPr>
    </w:p>
    <w:p w:rsidR="00D73B21" w:rsidRPr="002709AA" w:rsidRDefault="00D73B21" w:rsidP="00D73B21">
      <w:pPr>
        <w:tabs>
          <w:tab w:val="num" w:pos="709"/>
        </w:tabs>
        <w:rPr>
          <w:bCs/>
          <w:sz w:val="20"/>
          <w:lang w:val="es-ES_tradnl"/>
        </w:rPr>
      </w:pPr>
    </w:p>
    <w:p w:rsidR="00D73B21" w:rsidRPr="002709AA" w:rsidRDefault="00D73B21" w:rsidP="00D73B21">
      <w:pPr>
        <w:jc w:val="both"/>
        <w:rPr>
          <w:iCs/>
          <w:sz w:val="20"/>
          <w:lang w:val="es-ES_tradnl"/>
        </w:rPr>
      </w:pPr>
      <w:r w:rsidRPr="002709AA">
        <w:rPr>
          <w:iCs/>
          <w:szCs w:val="22"/>
          <w:lang w:val="es-ES_tradnl"/>
        </w:rPr>
        <w:t>ESTRATEGIAS DE EJECUCIÓN</w:t>
      </w:r>
    </w:p>
    <w:p w:rsidR="00D73B21" w:rsidRPr="00B57849" w:rsidRDefault="00D73B21" w:rsidP="00D73B21">
      <w:pPr>
        <w:tabs>
          <w:tab w:val="num" w:pos="709"/>
        </w:tabs>
        <w:jc w:val="both"/>
        <w:rPr>
          <w:bCs/>
          <w:sz w:val="20"/>
          <w:lang w:val="en-GB"/>
        </w:rPr>
      </w:pPr>
    </w:p>
    <w:p w:rsidR="00D73B21" w:rsidRPr="00AA3EFE" w:rsidRDefault="00D73B21" w:rsidP="00D73B21">
      <w:pPr>
        <w:numPr>
          <w:ilvl w:val="0"/>
          <w:numId w:val="40"/>
        </w:numPr>
        <w:jc w:val="both"/>
        <w:rPr>
          <w:sz w:val="20"/>
        </w:rPr>
      </w:pPr>
      <w:r>
        <w:rPr>
          <w:sz w:val="20"/>
        </w:rPr>
        <w:t>Para mantener un</w:t>
      </w:r>
      <w:r w:rsidR="00425E19">
        <w:rPr>
          <w:sz w:val="20"/>
        </w:rPr>
        <w:t>a</w:t>
      </w:r>
      <w:r w:rsidRPr="00AA3EFE">
        <w:rPr>
          <w:sz w:val="20"/>
        </w:rPr>
        <w:t xml:space="preserve"> atención permanente en la P.I.</w:t>
      </w:r>
      <w:r>
        <w:rPr>
          <w:sz w:val="20"/>
        </w:rPr>
        <w:t xml:space="preserve"> y el equilibrio entre los distintos intereses, en el contexto actual, será necesario que el programa insista considerablemente en liderar</w:t>
      </w:r>
      <w:r w:rsidRPr="00143ED4">
        <w:rPr>
          <w:sz w:val="20"/>
        </w:rPr>
        <w:t xml:space="preserve"> los esfuerzos para fortalecer una comunicación fiable y transparente con los Estados miembros y otras partes interesadas</w:t>
      </w:r>
      <w:r>
        <w:rPr>
          <w:sz w:val="20"/>
        </w:rPr>
        <w:t>,</w:t>
      </w:r>
      <w:r w:rsidRPr="00143ED4">
        <w:rPr>
          <w:sz w:val="20"/>
        </w:rPr>
        <w:t xml:space="preserve"> con el f</w:t>
      </w:r>
      <w:r>
        <w:rPr>
          <w:sz w:val="20"/>
        </w:rPr>
        <w:t xml:space="preserve">in de facilitar </w:t>
      </w:r>
      <w:r w:rsidRPr="00143ED4">
        <w:rPr>
          <w:sz w:val="20"/>
        </w:rPr>
        <w:t xml:space="preserve">el logro </w:t>
      </w:r>
      <w:r>
        <w:rPr>
          <w:sz w:val="20"/>
        </w:rPr>
        <w:t>de un consenso en torno al cumplimiento de las metas estratégicas</w:t>
      </w:r>
      <w:r w:rsidRPr="00143ED4">
        <w:rPr>
          <w:sz w:val="20"/>
        </w:rPr>
        <w:t>.</w:t>
      </w:r>
    </w:p>
    <w:p w:rsidR="00D73B21" w:rsidRPr="00AA3EFE" w:rsidRDefault="00D73B21" w:rsidP="00D73B21">
      <w:pPr>
        <w:jc w:val="both"/>
        <w:rPr>
          <w:sz w:val="20"/>
        </w:rPr>
      </w:pPr>
    </w:p>
    <w:p w:rsidR="00D73B21" w:rsidRPr="0028313C" w:rsidRDefault="00D73B21" w:rsidP="00D73B21">
      <w:pPr>
        <w:numPr>
          <w:ilvl w:val="0"/>
          <w:numId w:val="40"/>
        </w:numPr>
        <w:jc w:val="both"/>
        <w:rPr>
          <w:sz w:val="20"/>
        </w:rPr>
      </w:pPr>
      <w:r w:rsidRPr="00F741AA">
        <w:rPr>
          <w:sz w:val="20"/>
        </w:rPr>
        <w:t>El programa promoverá y apoyará la aplicación de estrategias e iniciativas tendientes a</w:t>
      </w:r>
      <w:r>
        <w:rPr>
          <w:sz w:val="20"/>
        </w:rPr>
        <w:t xml:space="preserve"> </w:t>
      </w:r>
      <w:r w:rsidRPr="00F741AA">
        <w:rPr>
          <w:sz w:val="20"/>
        </w:rPr>
        <w:t>consolidar una administración orientada a la ejecución e integrada, así como a reforzar la rendición de</w:t>
      </w:r>
      <w:r>
        <w:rPr>
          <w:sz w:val="20"/>
        </w:rPr>
        <w:t xml:space="preserve"> </w:t>
      </w:r>
      <w:r w:rsidRPr="00F741AA">
        <w:rPr>
          <w:sz w:val="20"/>
        </w:rPr>
        <w:t>cuentas</w:t>
      </w:r>
      <w:r w:rsidRPr="0028313C">
        <w:rPr>
          <w:sz w:val="20"/>
        </w:rPr>
        <w:t>, fomentar la conducta ética y el buen gobierno, y mejorar el rendimiento en consonancia con el marco de gestión por resultados de la OMPI y el plan estratégico a mediano plazo, y que tengan en cuenta la Agenda para el Desarrollo.</w:t>
      </w:r>
      <w:r>
        <w:rPr>
          <w:sz w:val="20"/>
        </w:rPr>
        <w:t xml:space="preserve">  </w:t>
      </w:r>
      <w:r w:rsidRPr="0028313C">
        <w:rPr>
          <w:sz w:val="20"/>
        </w:rPr>
        <w:t>Las actividades del programa estarán encaminadas a lograr un entorno de trabajo productivo, que refleje las prioridades de la Organiz</w:t>
      </w:r>
      <w:r>
        <w:rPr>
          <w:sz w:val="20"/>
        </w:rPr>
        <w:t xml:space="preserve">ación, y esté respaldado por un </w:t>
      </w:r>
      <w:r w:rsidR="00425E19">
        <w:rPr>
          <w:sz w:val="20"/>
        </w:rPr>
        <w:t>marco reglamentario</w:t>
      </w:r>
      <w:r w:rsidRPr="0028313C">
        <w:rPr>
          <w:sz w:val="20"/>
        </w:rPr>
        <w:t xml:space="preserve"> justo y equitativo, políticas que propicien un entorno laboral respetuoso y medios de comunicación eficaces para abordar las preocupaciones del personal.</w:t>
      </w:r>
    </w:p>
    <w:p w:rsidR="00D73B21" w:rsidRPr="0028313C" w:rsidRDefault="00D73B21" w:rsidP="00D73B21">
      <w:pPr>
        <w:jc w:val="both"/>
        <w:rPr>
          <w:sz w:val="20"/>
        </w:rPr>
      </w:pPr>
    </w:p>
    <w:p w:rsidR="00D73B21" w:rsidRPr="003B6030" w:rsidRDefault="00D73B21" w:rsidP="00D73B21">
      <w:pPr>
        <w:numPr>
          <w:ilvl w:val="0"/>
          <w:numId w:val="40"/>
        </w:numPr>
        <w:jc w:val="both"/>
        <w:rPr>
          <w:sz w:val="20"/>
        </w:rPr>
      </w:pPr>
      <w:r>
        <w:rPr>
          <w:sz w:val="20"/>
        </w:rPr>
        <w:t>En 2014/15</w:t>
      </w:r>
      <w:r w:rsidRPr="003B6030">
        <w:rPr>
          <w:sz w:val="20"/>
        </w:rPr>
        <w:t>, se seguirán aplicando las siguientes estrategias</w:t>
      </w:r>
      <w:r>
        <w:rPr>
          <w:sz w:val="20"/>
        </w:rPr>
        <w:t>:</w:t>
      </w:r>
    </w:p>
    <w:p w:rsidR="00D73B21" w:rsidRPr="003B6030" w:rsidRDefault="00D73B21" w:rsidP="00D73B21">
      <w:pPr>
        <w:jc w:val="both"/>
        <w:rPr>
          <w:sz w:val="20"/>
        </w:rPr>
      </w:pPr>
    </w:p>
    <w:p w:rsidR="00D73B21" w:rsidRPr="003B6030" w:rsidRDefault="002709AA" w:rsidP="002709AA">
      <w:pPr>
        <w:ind w:left="567"/>
        <w:jc w:val="both"/>
        <w:rPr>
          <w:sz w:val="20"/>
        </w:rPr>
      </w:pPr>
      <w:r w:rsidRPr="002709AA">
        <w:rPr>
          <w:sz w:val="20"/>
        </w:rPr>
        <w:t>i)</w:t>
      </w:r>
      <w:r w:rsidRPr="002709AA">
        <w:rPr>
          <w:sz w:val="20"/>
        </w:rPr>
        <w:tab/>
      </w:r>
      <w:r w:rsidR="00D73B21" w:rsidRPr="00DC7E11">
        <w:rPr>
          <w:i/>
          <w:sz w:val="20"/>
        </w:rPr>
        <w:t>Fortalecer la comunicación con los Estados miembros</w:t>
      </w:r>
      <w:r w:rsidR="00D73B21" w:rsidRPr="003B6030">
        <w:rPr>
          <w:sz w:val="20"/>
        </w:rPr>
        <w:t xml:space="preserve">: La </w:t>
      </w:r>
      <w:r w:rsidR="00D73B21">
        <w:rPr>
          <w:sz w:val="20"/>
        </w:rPr>
        <w:t xml:space="preserve">continuidad, periodicidad y </w:t>
      </w:r>
      <w:r w:rsidR="00D73B21" w:rsidRPr="003B6030">
        <w:rPr>
          <w:sz w:val="20"/>
        </w:rPr>
        <w:t>eficacia de la comunicación, las consultas y el diálogo con</w:t>
      </w:r>
      <w:r w:rsidR="00D73B21">
        <w:rPr>
          <w:sz w:val="20"/>
        </w:rPr>
        <w:t xml:space="preserve"> los Estados miembros garantizarán la difusión de la </w:t>
      </w:r>
      <w:r w:rsidR="00D73B21" w:rsidRPr="003B6030">
        <w:rPr>
          <w:sz w:val="20"/>
        </w:rPr>
        <w:t xml:space="preserve">información a todos los niveles y </w:t>
      </w:r>
      <w:r w:rsidR="00D73B21">
        <w:rPr>
          <w:sz w:val="20"/>
        </w:rPr>
        <w:t xml:space="preserve">continuarán mejorando </w:t>
      </w:r>
      <w:r w:rsidR="00D73B21" w:rsidRPr="003B6030">
        <w:rPr>
          <w:sz w:val="20"/>
        </w:rPr>
        <w:t>la transparencia respecto de las actividades de los programas.</w:t>
      </w:r>
    </w:p>
    <w:p w:rsidR="00D73B21" w:rsidRPr="003B6030" w:rsidRDefault="00D73B21" w:rsidP="00D73B21">
      <w:pPr>
        <w:ind w:left="550"/>
        <w:jc w:val="both"/>
        <w:rPr>
          <w:sz w:val="20"/>
        </w:rPr>
      </w:pPr>
    </w:p>
    <w:p w:rsidR="00D73B21" w:rsidRPr="00DC7E11" w:rsidRDefault="002709AA" w:rsidP="002709AA">
      <w:pPr>
        <w:ind w:left="567"/>
        <w:jc w:val="both"/>
        <w:rPr>
          <w:sz w:val="20"/>
        </w:rPr>
      </w:pPr>
      <w:r w:rsidRPr="002709AA">
        <w:rPr>
          <w:sz w:val="20"/>
        </w:rPr>
        <w:t>ii)</w:t>
      </w:r>
      <w:r w:rsidRPr="002709AA">
        <w:rPr>
          <w:sz w:val="20"/>
        </w:rPr>
        <w:tab/>
      </w:r>
      <w:r w:rsidR="00D73B21" w:rsidRPr="00DC7E11">
        <w:rPr>
          <w:i/>
          <w:sz w:val="20"/>
        </w:rPr>
        <w:t>Mejorar la coherencia y eficacia internas</w:t>
      </w:r>
      <w:r w:rsidR="00D73B21" w:rsidRPr="00DC7E11">
        <w:rPr>
          <w:sz w:val="20"/>
        </w:rPr>
        <w:t>: Se seguirá obrando en ese sentido por medio de procesos de coordinación a</w:t>
      </w:r>
      <w:r w:rsidR="00D73B21">
        <w:rPr>
          <w:sz w:val="20"/>
        </w:rPr>
        <w:t xml:space="preserve"> nivel directivo</w:t>
      </w:r>
      <w:r w:rsidR="00D73B21" w:rsidRPr="00DC7E11">
        <w:rPr>
          <w:sz w:val="20"/>
        </w:rPr>
        <w:t>, mecanismos de pres</w:t>
      </w:r>
      <w:r w:rsidR="00D73B21">
        <w:rPr>
          <w:sz w:val="20"/>
        </w:rPr>
        <w:t>entación de informes de gestión y el seguimiento de las iniciativas</w:t>
      </w:r>
      <w:r w:rsidR="00D73B21" w:rsidRPr="00DC7E11">
        <w:rPr>
          <w:sz w:val="20"/>
        </w:rPr>
        <w:t xml:space="preserve"> del </w:t>
      </w:r>
      <w:r w:rsidR="00AE7D43">
        <w:rPr>
          <w:sz w:val="20"/>
        </w:rPr>
        <w:t>Programa de Alineación Estratégica</w:t>
      </w:r>
      <w:r w:rsidR="00D73B21">
        <w:rPr>
          <w:sz w:val="20"/>
        </w:rPr>
        <w:t xml:space="preserve"> que hayan sido ejecutadas</w:t>
      </w:r>
      <w:r w:rsidR="00D73B21" w:rsidRPr="00DC7E11">
        <w:rPr>
          <w:sz w:val="20"/>
        </w:rPr>
        <w:t>.</w:t>
      </w:r>
    </w:p>
    <w:p w:rsidR="00D73B21" w:rsidRPr="00DC7E11" w:rsidRDefault="00D73B21" w:rsidP="00D73B21">
      <w:pPr>
        <w:ind w:left="550"/>
        <w:jc w:val="both"/>
        <w:rPr>
          <w:sz w:val="20"/>
        </w:rPr>
      </w:pPr>
    </w:p>
    <w:p w:rsidR="00D73B21" w:rsidRPr="00B320C8" w:rsidRDefault="002709AA" w:rsidP="002709AA">
      <w:pPr>
        <w:ind w:left="567"/>
        <w:jc w:val="both"/>
        <w:rPr>
          <w:sz w:val="20"/>
        </w:rPr>
      </w:pPr>
      <w:r w:rsidRPr="002709AA">
        <w:rPr>
          <w:sz w:val="20"/>
        </w:rPr>
        <w:t>iii)</w:t>
      </w:r>
      <w:r w:rsidRPr="002709AA">
        <w:rPr>
          <w:sz w:val="20"/>
        </w:rPr>
        <w:tab/>
      </w:r>
      <w:r w:rsidR="00D73B21" w:rsidRPr="005F68B8">
        <w:rPr>
          <w:i/>
          <w:sz w:val="20"/>
        </w:rPr>
        <w:t>Prestar servicios jurídicos de forma rápida, independiente y eficaz</w:t>
      </w:r>
      <w:r w:rsidR="00D73B21" w:rsidRPr="00B320C8">
        <w:rPr>
          <w:sz w:val="20"/>
        </w:rPr>
        <w:t xml:space="preserve">, en armonía con las obligaciones reglamentarias y la legislación aplicable, con el fin de contribuir al buen </w:t>
      </w:r>
      <w:r w:rsidR="00D73B21" w:rsidRPr="00B320C8">
        <w:rPr>
          <w:sz w:val="20"/>
        </w:rPr>
        <w:lastRenderedPageBreak/>
        <w:t>funcionamiento de la Secretaría y de los órganos constituyentes de la Organización.</w:t>
      </w:r>
      <w:r>
        <w:rPr>
          <w:sz w:val="20"/>
        </w:rPr>
        <w:t xml:space="preserve">  </w:t>
      </w:r>
      <w:r w:rsidR="00D73B21" w:rsidRPr="00B320C8">
        <w:rPr>
          <w:sz w:val="20"/>
        </w:rPr>
        <w:t xml:space="preserve">Asimismo, se seguirá enriqueciendo </w:t>
      </w:r>
      <w:r w:rsidR="00D73B21">
        <w:rPr>
          <w:sz w:val="20"/>
        </w:rPr>
        <w:t>y mantenien</w:t>
      </w:r>
      <w:r w:rsidR="00425E19">
        <w:rPr>
          <w:sz w:val="20"/>
        </w:rPr>
        <w:t>d</w:t>
      </w:r>
      <w:r w:rsidR="00D73B21">
        <w:rPr>
          <w:sz w:val="20"/>
        </w:rPr>
        <w:t>o</w:t>
      </w:r>
      <w:r w:rsidR="00425E19">
        <w:rPr>
          <w:sz w:val="20"/>
        </w:rPr>
        <w:t xml:space="preserve"> activa</w:t>
      </w:r>
      <w:r w:rsidR="00D73B21">
        <w:rPr>
          <w:sz w:val="20"/>
        </w:rPr>
        <w:t xml:space="preserve"> </w:t>
      </w:r>
      <w:r w:rsidR="00D73B21" w:rsidRPr="00B320C8">
        <w:rPr>
          <w:sz w:val="20"/>
        </w:rPr>
        <w:t>la base de datos WIPO Lex que contiene una colección de leyes y tratados en materia de P.I. en función de un análisis fundamentado de la demanda y la utilización.</w:t>
      </w:r>
    </w:p>
    <w:p w:rsidR="00D73B21" w:rsidRPr="00B320C8" w:rsidRDefault="00D73B21" w:rsidP="002709AA">
      <w:pPr>
        <w:ind w:left="567"/>
        <w:jc w:val="both"/>
        <w:rPr>
          <w:szCs w:val="22"/>
        </w:rPr>
      </w:pPr>
    </w:p>
    <w:p w:rsidR="00D73B21" w:rsidRPr="00AF5C4F" w:rsidRDefault="002709AA" w:rsidP="002709AA">
      <w:pPr>
        <w:ind w:left="567"/>
        <w:jc w:val="both"/>
        <w:rPr>
          <w:sz w:val="20"/>
        </w:rPr>
      </w:pPr>
      <w:r w:rsidRPr="002709AA">
        <w:rPr>
          <w:sz w:val="20"/>
        </w:rPr>
        <w:t>iv)</w:t>
      </w:r>
      <w:r w:rsidRPr="002709AA">
        <w:rPr>
          <w:sz w:val="20"/>
        </w:rPr>
        <w:tab/>
      </w:r>
      <w:r w:rsidR="00D73B21" w:rsidRPr="00AF5C4F">
        <w:rPr>
          <w:i/>
          <w:sz w:val="20"/>
        </w:rPr>
        <w:t>Consolidar la aportación de la OMPI a la Junta de los Jefes Ejecutivos del sistema de las NN.UU. para la Coordinación</w:t>
      </w:r>
      <w:r w:rsidR="00D73B21" w:rsidRPr="00AF5C4F">
        <w:rPr>
          <w:sz w:val="20"/>
        </w:rPr>
        <w:t xml:space="preserve">: la OMPI seguirá </w:t>
      </w:r>
      <w:r w:rsidR="00D73B21">
        <w:rPr>
          <w:sz w:val="20"/>
        </w:rPr>
        <w:t>ampliando su participación</w:t>
      </w:r>
      <w:r w:rsidR="00D73B21" w:rsidRPr="00AF5C4F">
        <w:rPr>
          <w:sz w:val="20"/>
        </w:rPr>
        <w:t xml:space="preserve"> activa en el seno del sistema de las NN.UU., en particular</w:t>
      </w:r>
      <w:r w:rsidR="00D73B21">
        <w:rPr>
          <w:sz w:val="20"/>
        </w:rPr>
        <w:t xml:space="preserve"> mediante sus aportaciones a la Junta, a su</w:t>
      </w:r>
      <w:r w:rsidR="00D73B21" w:rsidRPr="00AF5C4F">
        <w:rPr>
          <w:sz w:val="20"/>
        </w:rPr>
        <w:t xml:space="preserve"> Comité de Alto Nivel sobre Gestión</w:t>
      </w:r>
      <w:r w:rsidR="00D73B21">
        <w:rPr>
          <w:sz w:val="20"/>
        </w:rPr>
        <w:t xml:space="preserve"> y a su </w:t>
      </w:r>
      <w:r w:rsidR="00D73B21" w:rsidRPr="00AF5C4F">
        <w:rPr>
          <w:sz w:val="20"/>
        </w:rPr>
        <w:t>Comité de Alto Nivel sobre Programas</w:t>
      </w:r>
      <w:r w:rsidR="00D73B21">
        <w:rPr>
          <w:sz w:val="20"/>
        </w:rPr>
        <w:t xml:space="preserve">.  A través de su partición activa y sus actividades de liderazgo en dichos organismos, la OMPI seguirá fortaleciendo las iniciativas de las </w:t>
      </w:r>
      <w:r w:rsidR="00D73B21" w:rsidRPr="00AF5C4F">
        <w:rPr>
          <w:sz w:val="20"/>
        </w:rPr>
        <w:t>NN.UU</w:t>
      </w:r>
      <w:r w:rsidR="00D73B21">
        <w:rPr>
          <w:sz w:val="20"/>
        </w:rPr>
        <w:t xml:space="preserve"> que sean de importancia para la </w:t>
      </w:r>
      <w:r w:rsidR="00D73B21" w:rsidRPr="0094082C">
        <w:rPr>
          <w:sz w:val="20"/>
        </w:rPr>
        <w:t>promoción de la innovación y la creatividad</w:t>
      </w:r>
      <w:r w:rsidR="00D73B21">
        <w:rPr>
          <w:sz w:val="20"/>
        </w:rPr>
        <w:t xml:space="preserve">, y que destaquen sus </w:t>
      </w:r>
      <w:r w:rsidR="00D73B21" w:rsidRPr="0094082C">
        <w:rPr>
          <w:sz w:val="20"/>
        </w:rPr>
        <w:t>prácticas de buena gestión</w:t>
      </w:r>
      <w:r w:rsidR="00D73B21">
        <w:rPr>
          <w:sz w:val="20"/>
        </w:rPr>
        <w:t>.</w:t>
      </w:r>
    </w:p>
    <w:p w:rsidR="00D73B21" w:rsidRPr="00AF5C4F" w:rsidRDefault="00D73B21" w:rsidP="00D73B21">
      <w:pPr>
        <w:ind w:left="550"/>
        <w:jc w:val="both"/>
        <w:rPr>
          <w:sz w:val="20"/>
        </w:rPr>
      </w:pPr>
    </w:p>
    <w:p w:rsidR="00D73B21" w:rsidRPr="00B671B2" w:rsidRDefault="002709AA" w:rsidP="002709AA">
      <w:pPr>
        <w:ind w:left="567"/>
        <w:jc w:val="both"/>
        <w:rPr>
          <w:sz w:val="20"/>
        </w:rPr>
      </w:pPr>
      <w:r w:rsidRPr="002709AA">
        <w:rPr>
          <w:sz w:val="20"/>
        </w:rPr>
        <w:t>v)</w:t>
      </w:r>
      <w:r w:rsidRPr="002709AA">
        <w:rPr>
          <w:sz w:val="20"/>
        </w:rPr>
        <w:tab/>
      </w:r>
      <w:r w:rsidR="00D73B21" w:rsidRPr="00B671B2">
        <w:rPr>
          <w:i/>
          <w:sz w:val="20"/>
        </w:rPr>
        <w:t>Establecer un sistema global de ética e integridad:</w:t>
      </w:r>
      <w:r w:rsidR="00D73B21">
        <w:rPr>
          <w:sz w:val="20"/>
        </w:rPr>
        <w:t xml:space="preserve">  Con el fin de cumplir con el compromiso de la Organización de establecer </w:t>
      </w:r>
      <w:r w:rsidR="00D73B21" w:rsidRPr="001C2E97">
        <w:rPr>
          <w:sz w:val="20"/>
        </w:rPr>
        <w:t>un sistema global de ética e integridad</w:t>
      </w:r>
      <w:r w:rsidR="00D73B21">
        <w:rPr>
          <w:sz w:val="20"/>
        </w:rPr>
        <w:t xml:space="preserve"> en el seno de la OMPI, </w:t>
      </w:r>
      <w:r w:rsidR="00D73B21" w:rsidRPr="00B671B2">
        <w:rPr>
          <w:sz w:val="20"/>
        </w:rPr>
        <w:t xml:space="preserve">la Oficina de Ética profesional </w:t>
      </w:r>
      <w:r w:rsidR="00D73B21">
        <w:rPr>
          <w:sz w:val="20"/>
        </w:rPr>
        <w:t xml:space="preserve">partirá </w:t>
      </w:r>
      <w:r w:rsidR="00D73B21" w:rsidRPr="005B09D3">
        <w:rPr>
          <w:sz w:val="20"/>
        </w:rPr>
        <w:t>de las bases sentadas por la labor realizada durante el bienio anterior (incluidos el código de ética, la política de lucha contra las represalias y la formación del personal) para incorporar dicho sistema en la OMPI mediante actividades normativas, prestación de asesoramiento claro y fidedigno</w:t>
      </w:r>
      <w:r w:rsidR="00D73B21">
        <w:rPr>
          <w:sz w:val="20"/>
        </w:rPr>
        <w:t xml:space="preserve"> para los</w:t>
      </w:r>
      <w:r w:rsidR="00D73B21" w:rsidRPr="005B09D3">
        <w:rPr>
          <w:sz w:val="20"/>
        </w:rPr>
        <w:t xml:space="preserve"> directivo</w:t>
      </w:r>
      <w:r w:rsidR="00D73B21">
        <w:rPr>
          <w:sz w:val="20"/>
        </w:rPr>
        <w:t>s</w:t>
      </w:r>
      <w:r w:rsidR="00D73B21" w:rsidRPr="005B09D3">
        <w:rPr>
          <w:sz w:val="20"/>
        </w:rPr>
        <w:t xml:space="preserve"> y el personal de todos los niveles, así como actividades de sensibilización y promoción.</w:t>
      </w:r>
    </w:p>
    <w:p w:rsidR="00D73B21" w:rsidRPr="00B671B2" w:rsidRDefault="00D73B21" w:rsidP="00D73B21">
      <w:pPr>
        <w:ind w:left="550"/>
        <w:rPr>
          <w:szCs w:val="22"/>
        </w:rPr>
      </w:pPr>
    </w:p>
    <w:p w:rsidR="00D73B21" w:rsidRPr="008F485F" w:rsidRDefault="002709AA" w:rsidP="002709AA">
      <w:pPr>
        <w:ind w:left="567"/>
        <w:jc w:val="both"/>
        <w:rPr>
          <w:sz w:val="20"/>
        </w:rPr>
      </w:pPr>
      <w:r w:rsidRPr="002709AA">
        <w:rPr>
          <w:sz w:val="20"/>
        </w:rPr>
        <w:t>vi)</w:t>
      </w:r>
      <w:r w:rsidRPr="002709AA">
        <w:rPr>
          <w:sz w:val="20"/>
        </w:rPr>
        <w:tab/>
      </w:r>
      <w:r w:rsidR="00D73B21" w:rsidRPr="008F485F">
        <w:rPr>
          <w:i/>
          <w:sz w:val="20"/>
        </w:rPr>
        <w:t>Mejorar el funcionamiento de las Asambleas</w:t>
      </w:r>
      <w:r w:rsidR="00425E19">
        <w:rPr>
          <w:i/>
          <w:sz w:val="20"/>
        </w:rPr>
        <w:t xml:space="preserve"> de los Estados miembros</w:t>
      </w:r>
      <w:r w:rsidR="00D73B21" w:rsidRPr="008F485F">
        <w:rPr>
          <w:i/>
          <w:sz w:val="20"/>
        </w:rPr>
        <w:t xml:space="preserve"> de la OMPI:</w:t>
      </w:r>
      <w:r w:rsidR="00D73B21">
        <w:rPr>
          <w:sz w:val="20"/>
        </w:rPr>
        <w:t xml:space="preserve">  </w:t>
      </w:r>
      <w:r w:rsidR="00D73B21" w:rsidRPr="008F485F">
        <w:rPr>
          <w:sz w:val="20"/>
        </w:rPr>
        <w:t>La racionalización de la coordinación interna y la planificación contribuirán a una preparación minuciosa de las Asambleas en los plazos previstos, facilitando así la labor de los Estados miembros en el marco del órgano rector más importante de la OMPI.</w:t>
      </w:r>
    </w:p>
    <w:p w:rsidR="00D73B21" w:rsidRPr="008F485F" w:rsidRDefault="00D73B21" w:rsidP="00D73B21">
      <w:pPr>
        <w:ind w:left="550"/>
        <w:jc w:val="both"/>
        <w:rPr>
          <w:sz w:val="20"/>
        </w:rPr>
      </w:pPr>
    </w:p>
    <w:p w:rsidR="00D73B21" w:rsidRPr="00160E5B" w:rsidRDefault="002709AA" w:rsidP="002709AA">
      <w:pPr>
        <w:ind w:left="567"/>
        <w:jc w:val="both"/>
        <w:rPr>
          <w:bCs/>
          <w:sz w:val="20"/>
        </w:rPr>
      </w:pPr>
      <w:r w:rsidRPr="002709AA">
        <w:rPr>
          <w:bCs/>
          <w:sz w:val="20"/>
        </w:rPr>
        <w:t>vii)</w:t>
      </w:r>
      <w:r w:rsidRPr="002709AA">
        <w:rPr>
          <w:bCs/>
          <w:sz w:val="20"/>
        </w:rPr>
        <w:tab/>
      </w:r>
      <w:r w:rsidR="00D73B21" w:rsidRPr="00160E5B">
        <w:rPr>
          <w:bCs/>
          <w:i/>
          <w:sz w:val="20"/>
        </w:rPr>
        <w:t>Mejorar la gestión de las reclamaciones y conflictos</w:t>
      </w:r>
      <w:r w:rsidR="00D73B21" w:rsidRPr="008701EE">
        <w:rPr>
          <w:bCs/>
          <w:i/>
          <w:sz w:val="20"/>
        </w:rPr>
        <w:t>:</w:t>
      </w:r>
      <w:r w:rsidR="00D73B21">
        <w:rPr>
          <w:bCs/>
          <w:i/>
          <w:sz w:val="20"/>
        </w:rPr>
        <w:t xml:space="preserve">  </w:t>
      </w:r>
      <w:r w:rsidR="00D73B21" w:rsidRPr="008701EE">
        <w:rPr>
          <w:bCs/>
          <w:sz w:val="20"/>
        </w:rPr>
        <w:t xml:space="preserve">La Organización seguirá fomentando el uso de mecanismos informales, en la medida de lo posible, para </w:t>
      </w:r>
      <w:r w:rsidR="00D73B21" w:rsidRPr="002709AA">
        <w:rPr>
          <w:sz w:val="20"/>
        </w:rPr>
        <w:t>lograr</w:t>
      </w:r>
      <w:r w:rsidR="00D73B21" w:rsidRPr="008701EE">
        <w:rPr>
          <w:bCs/>
          <w:sz w:val="20"/>
        </w:rPr>
        <w:t xml:space="preserve"> que la resolución de los conflictos aporte resultados positivos.  Con tal fin, la organización seguirá desarrollando y fortaleciendo políticas, mecanismos y procedimientos relativos al entorno laboral, ofreciendo así al personal un conjunto de posibilidades para resolver los </w:t>
      </w:r>
      <w:r w:rsidR="00D73B21" w:rsidRPr="002709AA">
        <w:rPr>
          <w:sz w:val="20"/>
        </w:rPr>
        <w:t>conflictos</w:t>
      </w:r>
      <w:r w:rsidR="00D73B21" w:rsidRPr="008701EE">
        <w:rPr>
          <w:bCs/>
          <w:sz w:val="20"/>
        </w:rPr>
        <w:t xml:space="preserve"> de manera formal o informal.</w:t>
      </w:r>
    </w:p>
    <w:p w:rsidR="00D73B21" w:rsidRPr="00160E5B" w:rsidRDefault="00D73B21" w:rsidP="00D73B21">
      <w:pPr>
        <w:tabs>
          <w:tab w:val="num" w:pos="709"/>
        </w:tabs>
        <w:rPr>
          <w:i/>
          <w:sz w:val="20"/>
        </w:rPr>
      </w:pPr>
    </w:p>
    <w:p w:rsidR="00D73B21" w:rsidRPr="00160E5B" w:rsidRDefault="00D73B21" w:rsidP="00D73B21">
      <w:pPr>
        <w:tabs>
          <w:tab w:val="num" w:pos="709"/>
        </w:tabs>
        <w:rPr>
          <w:i/>
          <w:sz w:val="20"/>
        </w:rPr>
      </w:pPr>
    </w:p>
    <w:p w:rsidR="009F58E5" w:rsidRPr="00994766" w:rsidRDefault="009F58E5" w:rsidP="009F58E5">
      <w:pPr>
        <w:tabs>
          <w:tab w:val="num" w:pos="709"/>
        </w:tabs>
        <w:rPr>
          <w:szCs w:val="22"/>
          <w:lang w:val="es-ES_tradnl"/>
        </w:rPr>
      </w:pPr>
      <w:r w:rsidRPr="00994766">
        <w:rPr>
          <w:iCs/>
          <w:szCs w:val="22"/>
          <w:lang w:val="es-ES_tradnl"/>
        </w:rPr>
        <w:t>PRINCIPALES RIESGOS Y ESTRATEGIAS DE MITIGACIÓN</w:t>
      </w:r>
    </w:p>
    <w:p w:rsidR="009F58E5" w:rsidRPr="00994766" w:rsidRDefault="009F58E5" w:rsidP="009F58E5">
      <w:pPr>
        <w:rPr>
          <w:sz w:val="20"/>
          <w:lang w:val="es-ES_tradnl"/>
        </w:rPr>
      </w:pPr>
    </w:p>
    <w:tbl>
      <w:tblPr>
        <w:tblW w:w="0" w:type="auto"/>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542"/>
        <w:gridCol w:w="4814"/>
      </w:tblGrid>
      <w:tr w:rsidR="009F58E5" w:rsidRPr="005742FF" w:rsidTr="0012598D">
        <w:trPr>
          <w:trHeight w:val="438"/>
        </w:trPr>
        <w:tc>
          <w:tcPr>
            <w:tcW w:w="4542" w:type="dxa"/>
            <w:tcBorders>
              <w:top w:val="single" w:sz="4" w:space="0" w:color="auto"/>
              <w:bottom w:val="single" w:sz="4" w:space="0" w:color="auto"/>
            </w:tcBorders>
            <w:shd w:val="clear" w:color="auto" w:fill="CCFFFF"/>
            <w:tcMar>
              <w:top w:w="113" w:type="dxa"/>
              <w:bottom w:w="85" w:type="dxa"/>
            </w:tcMar>
            <w:vAlign w:val="center"/>
          </w:tcPr>
          <w:p w:rsidR="009F58E5" w:rsidRPr="005742FF" w:rsidRDefault="009F58E5" w:rsidP="008F4F69">
            <w:pPr>
              <w:jc w:val="center"/>
              <w:rPr>
                <w:sz w:val="20"/>
                <w:lang w:val="es-ES_tradnl"/>
              </w:rPr>
            </w:pPr>
            <w:r w:rsidRPr="005742FF">
              <w:rPr>
                <w:b/>
                <w:bCs/>
                <w:iCs/>
                <w:sz w:val="18"/>
                <w:szCs w:val="18"/>
                <w:lang w:val="es-ES_tradnl"/>
              </w:rPr>
              <w:t>Riesgos en el logro de los resultados del programa</w:t>
            </w:r>
          </w:p>
        </w:tc>
        <w:tc>
          <w:tcPr>
            <w:tcW w:w="4814" w:type="dxa"/>
            <w:tcBorders>
              <w:top w:val="single" w:sz="4" w:space="0" w:color="auto"/>
              <w:bottom w:val="single" w:sz="4" w:space="0" w:color="auto"/>
            </w:tcBorders>
            <w:shd w:val="clear" w:color="auto" w:fill="CCFFFF"/>
            <w:tcMar>
              <w:top w:w="113" w:type="dxa"/>
              <w:bottom w:w="85" w:type="dxa"/>
            </w:tcMar>
            <w:vAlign w:val="center"/>
          </w:tcPr>
          <w:p w:rsidR="009F58E5" w:rsidRPr="005742FF" w:rsidRDefault="009F58E5" w:rsidP="0012598D">
            <w:pPr>
              <w:rPr>
                <w:sz w:val="20"/>
                <w:lang w:val="es-ES_tradnl"/>
              </w:rPr>
            </w:pPr>
            <w:r w:rsidRPr="005742FF">
              <w:rPr>
                <w:b/>
                <w:bCs/>
                <w:iCs/>
                <w:sz w:val="18"/>
                <w:szCs w:val="18"/>
                <w:lang w:val="es-ES_tradnl"/>
              </w:rPr>
              <w:t>Planes de mitigación ejecutados o en ejecución</w:t>
            </w:r>
          </w:p>
        </w:tc>
      </w:tr>
      <w:tr w:rsidR="009F58E5" w:rsidRPr="00994766" w:rsidTr="0012598D">
        <w:tc>
          <w:tcPr>
            <w:tcW w:w="4542" w:type="dxa"/>
            <w:tcBorders>
              <w:top w:val="single" w:sz="4" w:space="0" w:color="auto"/>
            </w:tcBorders>
            <w:shd w:val="clear" w:color="auto" w:fill="auto"/>
            <w:tcMar>
              <w:top w:w="113" w:type="dxa"/>
              <w:bottom w:w="85" w:type="dxa"/>
            </w:tcMar>
          </w:tcPr>
          <w:p w:rsidR="009F58E5" w:rsidRPr="00994766" w:rsidRDefault="009F58E5" w:rsidP="008F4F69">
            <w:pPr>
              <w:rPr>
                <w:sz w:val="16"/>
                <w:szCs w:val="16"/>
                <w:lang w:val="es-ES_tradnl"/>
              </w:rPr>
            </w:pPr>
            <w:r w:rsidRPr="00994766">
              <w:rPr>
                <w:sz w:val="16"/>
                <w:szCs w:val="16"/>
                <w:lang w:val="es-ES_tradnl"/>
              </w:rPr>
              <w:t xml:space="preserve">La OMPI ha efectuado importantes inversiones en el </w:t>
            </w:r>
            <w:r w:rsidR="008D17F8">
              <w:rPr>
                <w:sz w:val="16"/>
                <w:szCs w:val="16"/>
                <w:lang w:val="es-ES_tradnl"/>
              </w:rPr>
              <w:t>Programa de Alineación Estratégica</w:t>
            </w:r>
            <w:r w:rsidRPr="00994766">
              <w:rPr>
                <w:sz w:val="16"/>
                <w:szCs w:val="16"/>
                <w:lang w:val="es-ES_tradnl"/>
              </w:rPr>
              <w:t xml:space="preserve">, que concluyó a principios de 2013, y </w:t>
            </w:r>
            <w:r w:rsidR="002058AB">
              <w:rPr>
                <w:sz w:val="16"/>
                <w:szCs w:val="16"/>
                <w:lang w:val="es-ES_tradnl"/>
              </w:rPr>
              <w:t xml:space="preserve">gracias a ello </w:t>
            </w:r>
            <w:r w:rsidRPr="00994766">
              <w:rPr>
                <w:sz w:val="16"/>
                <w:szCs w:val="16"/>
                <w:lang w:val="es-ES_tradnl"/>
              </w:rPr>
              <w:t xml:space="preserve">ha obtenido rápidos avances y mejoras en la eficiencia.  Si el personal directivo superior, el resto del personal y los Estados miembros no siguen </w:t>
            </w:r>
            <w:r w:rsidR="002058AB">
              <w:rPr>
                <w:sz w:val="16"/>
                <w:szCs w:val="16"/>
                <w:lang w:val="es-ES_tradnl"/>
              </w:rPr>
              <w:t>centrados en mejorar los resultados</w:t>
            </w:r>
            <w:r w:rsidRPr="00994766">
              <w:rPr>
                <w:sz w:val="16"/>
                <w:szCs w:val="16"/>
                <w:lang w:val="es-ES_tradnl"/>
              </w:rPr>
              <w:t xml:space="preserve">, la </w:t>
            </w:r>
            <w:r w:rsidRPr="00994766">
              <w:rPr>
                <w:sz w:val="16"/>
                <w:szCs w:val="16"/>
                <w:lang w:val="es-ES_tradnl" w:eastAsia="fr-FR"/>
              </w:rPr>
              <w:t>Organización</w:t>
            </w:r>
            <w:r w:rsidRPr="00994766">
              <w:rPr>
                <w:sz w:val="16"/>
                <w:szCs w:val="16"/>
                <w:lang w:val="es-ES_tradnl"/>
              </w:rPr>
              <w:t xml:space="preserve"> corre el riesgo de ver atenuadas las mejoras adquiridas gracias al </w:t>
            </w:r>
            <w:r w:rsidR="008D17F8">
              <w:rPr>
                <w:sz w:val="16"/>
                <w:szCs w:val="16"/>
                <w:lang w:val="es-ES_tradnl"/>
              </w:rPr>
              <w:t>Programa de Alineación Estratégica</w:t>
            </w:r>
            <w:r w:rsidRPr="00994766">
              <w:rPr>
                <w:sz w:val="16"/>
                <w:szCs w:val="16"/>
                <w:lang w:val="es-ES_tradnl"/>
              </w:rPr>
              <w:t>.  Están en riesgo especialmente las iniciativas que comprenden nuevos procedimientos (</w:t>
            </w:r>
            <w:r w:rsidRPr="00994766">
              <w:rPr>
                <w:bCs/>
                <w:snapToGrid w:val="0"/>
                <w:color w:val="000000"/>
                <w:sz w:val="16"/>
                <w:szCs w:val="16"/>
                <w:lang w:val="es-ES_tradnl"/>
              </w:rPr>
              <w:t>por ejemplo,</w:t>
            </w:r>
            <w:r w:rsidRPr="00994766">
              <w:rPr>
                <w:sz w:val="16"/>
                <w:szCs w:val="16"/>
                <w:lang w:val="es-ES_tradnl"/>
              </w:rPr>
              <w:t xml:space="preserve"> la administración de la continuidad de las actividades y la gestión de riesgos). </w:t>
            </w:r>
          </w:p>
          <w:p w:rsidR="009F58E5" w:rsidRPr="00994766" w:rsidRDefault="009F58E5" w:rsidP="008F4F69">
            <w:pPr>
              <w:rPr>
                <w:sz w:val="16"/>
                <w:szCs w:val="16"/>
                <w:lang w:val="es-ES_tradnl"/>
              </w:rPr>
            </w:pPr>
            <w:r w:rsidRPr="00994766">
              <w:rPr>
                <w:sz w:val="16"/>
                <w:szCs w:val="16"/>
                <w:lang w:val="es-ES_tradnl"/>
              </w:rPr>
              <w:t xml:space="preserve"> </w:t>
            </w:r>
          </w:p>
        </w:tc>
        <w:tc>
          <w:tcPr>
            <w:tcW w:w="4814" w:type="dxa"/>
            <w:tcBorders>
              <w:top w:val="single" w:sz="4" w:space="0" w:color="auto"/>
            </w:tcBorders>
            <w:shd w:val="clear" w:color="auto" w:fill="auto"/>
            <w:tcMar>
              <w:top w:w="113" w:type="dxa"/>
              <w:bottom w:w="85" w:type="dxa"/>
            </w:tcMar>
          </w:tcPr>
          <w:p w:rsidR="009F58E5" w:rsidRPr="00994766" w:rsidRDefault="009F58E5" w:rsidP="008F4F69">
            <w:pPr>
              <w:rPr>
                <w:sz w:val="16"/>
                <w:szCs w:val="16"/>
                <w:lang w:val="es-ES_tradnl"/>
              </w:rPr>
            </w:pPr>
            <w:r w:rsidRPr="00994766">
              <w:rPr>
                <w:sz w:val="16"/>
                <w:szCs w:val="16"/>
                <w:lang w:val="es-ES_tradnl"/>
              </w:rPr>
              <w:t xml:space="preserve">Desde el comienzo, la estructura de gobierno del </w:t>
            </w:r>
            <w:r w:rsidR="008D17F8">
              <w:rPr>
                <w:sz w:val="16"/>
                <w:szCs w:val="16"/>
                <w:lang w:val="es-ES_tradnl"/>
              </w:rPr>
              <w:t>Programa de Alineación Estratégica</w:t>
            </w:r>
            <w:r w:rsidRPr="00994766">
              <w:rPr>
                <w:sz w:val="16"/>
                <w:szCs w:val="16"/>
                <w:lang w:val="es-ES_tradnl"/>
              </w:rPr>
              <w:t xml:space="preserve"> ha incluido la supervisión del personal directivo superior y la presentación de informes periódicos de la CCIS que han contribuido a afianzar la responsabilidad de aplicar el </w:t>
            </w:r>
            <w:r w:rsidR="008D17F8">
              <w:rPr>
                <w:sz w:val="16"/>
                <w:szCs w:val="16"/>
                <w:lang w:val="es-ES_tradnl"/>
              </w:rPr>
              <w:t>Programa de Alineación Estratégica</w:t>
            </w:r>
            <w:r w:rsidRPr="00994766">
              <w:rPr>
                <w:sz w:val="16"/>
                <w:szCs w:val="16"/>
                <w:lang w:val="es-ES_tradnl"/>
              </w:rPr>
              <w:t xml:space="preserve"> a lo largo de la </w:t>
            </w:r>
            <w:r w:rsidRPr="00994766">
              <w:rPr>
                <w:sz w:val="16"/>
                <w:szCs w:val="16"/>
                <w:lang w:val="es-ES_tradnl" w:eastAsia="fr-FR"/>
              </w:rPr>
              <w:t>Organización</w:t>
            </w:r>
            <w:r w:rsidRPr="00994766">
              <w:rPr>
                <w:sz w:val="16"/>
                <w:szCs w:val="16"/>
                <w:lang w:val="es-ES_tradnl"/>
              </w:rPr>
              <w:t>.</w:t>
            </w:r>
          </w:p>
          <w:p w:rsidR="009F58E5" w:rsidRPr="00994766" w:rsidRDefault="009F58E5" w:rsidP="008F4F69">
            <w:pPr>
              <w:rPr>
                <w:sz w:val="16"/>
                <w:szCs w:val="16"/>
                <w:lang w:val="es-ES_tradnl"/>
              </w:rPr>
            </w:pPr>
          </w:p>
          <w:p w:rsidR="009F58E5" w:rsidRPr="00994766" w:rsidRDefault="009F58E5" w:rsidP="008F4F69">
            <w:pPr>
              <w:rPr>
                <w:sz w:val="16"/>
                <w:szCs w:val="16"/>
                <w:lang w:val="es-ES_tradnl"/>
              </w:rPr>
            </w:pPr>
            <w:r w:rsidRPr="00994766">
              <w:rPr>
                <w:sz w:val="16"/>
                <w:szCs w:val="16"/>
                <w:lang w:val="es-ES_tradnl"/>
              </w:rPr>
              <w:t xml:space="preserve">A medida que la </w:t>
            </w:r>
            <w:r w:rsidRPr="00994766">
              <w:rPr>
                <w:sz w:val="16"/>
                <w:szCs w:val="16"/>
                <w:lang w:val="es-ES_tradnl" w:eastAsia="fr-FR"/>
              </w:rPr>
              <w:t>Organización</w:t>
            </w:r>
            <w:r w:rsidRPr="00994766">
              <w:rPr>
                <w:sz w:val="16"/>
                <w:szCs w:val="16"/>
                <w:lang w:val="es-ES_tradnl"/>
              </w:rPr>
              <w:t xml:space="preserve"> entra en el período posterior a la ejecución del plan de alineación estratégica, la constante atención especial que presta el personal directivo superior garantizará que se mantengan y se consoliden los valores esenciales y los resultados de cada iniciativa en beneficio de la OMPI y sus partes interesadas. </w:t>
            </w:r>
          </w:p>
          <w:p w:rsidR="009F58E5" w:rsidRPr="00994766" w:rsidRDefault="009F58E5" w:rsidP="008F4F69">
            <w:pPr>
              <w:rPr>
                <w:sz w:val="16"/>
                <w:szCs w:val="16"/>
                <w:lang w:val="es-ES_tradnl"/>
              </w:rPr>
            </w:pPr>
            <w:r w:rsidRPr="00994766">
              <w:rPr>
                <w:sz w:val="16"/>
                <w:szCs w:val="16"/>
                <w:lang w:val="es-ES_tradnl"/>
              </w:rPr>
              <w:t xml:space="preserve"> </w:t>
            </w:r>
          </w:p>
        </w:tc>
      </w:tr>
      <w:tr w:rsidR="009F58E5" w:rsidRPr="00994766" w:rsidTr="0012598D">
        <w:trPr>
          <w:trHeight w:val="1349"/>
        </w:trPr>
        <w:tc>
          <w:tcPr>
            <w:tcW w:w="4542" w:type="dxa"/>
            <w:shd w:val="clear" w:color="auto" w:fill="auto"/>
            <w:tcMar>
              <w:top w:w="113" w:type="dxa"/>
              <w:bottom w:w="85" w:type="dxa"/>
            </w:tcMar>
          </w:tcPr>
          <w:p w:rsidR="009F58E5" w:rsidRPr="00994766" w:rsidRDefault="009F58E5" w:rsidP="008F4F69">
            <w:pPr>
              <w:rPr>
                <w:sz w:val="16"/>
                <w:szCs w:val="16"/>
                <w:lang w:val="es-ES_tradnl"/>
              </w:rPr>
            </w:pPr>
            <w:r w:rsidRPr="00994766">
              <w:rPr>
                <w:sz w:val="16"/>
                <w:szCs w:val="16"/>
                <w:lang w:val="es-ES_tradnl"/>
              </w:rPr>
              <w:t xml:space="preserve">La colaboración eficaz de la OMPI con los Estados miembros tiene una importancia primordial para lograr resultados puntuales.  Existe el riesgo de que se atenúen los avances en los procesos intergubernamentales de la OMPI, como </w:t>
            </w:r>
            <w:r w:rsidRPr="00994766">
              <w:rPr>
                <w:bCs/>
                <w:snapToGrid w:val="0"/>
                <w:color w:val="000000"/>
                <w:sz w:val="16"/>
                <w:szCs w:val="16"/>
                <w:lang w:val="es-ES_tradnl"/>
              </w:rPr>
              <w:t xml:space="preserve">por ejemplo </w:t>
            </w:r>
            <w:r w:rsidRPr="00994766">
              <w:rPr>
                <w:sz w:val="16"/>
                <w:szCs w:val="16"/>
                <w:lang w:val="es-ES_tradnl"/>
              </w:rPr>
              <w:t>los debates normativos</w:t>
            </w:r>
            <w:r w:rsidR="002058AB">
              <w:rPr>
                <w:sz w:val="16"/>
                <w:szCs w:val="16"/>
                <w:lang w:val="es-ES_tradnl"/>
              </w:rPr>
              <w:t>,</w:t>
            </w:r>
            <w:r w:rsidRPr="00994766">
              <w:rPr>
                <w:sz w:val="16"/>
                <w:szCs w:val="16"/>
                <w:lang w:val="es-ES_tradnl"/>
              </w:rPr>
              <w:t xml:space="preserve"> y aumenten los costos o se amplíen los calendarios de ejecución de los programas aprobados.  En tanto que organismo internacional dedicado al establecimiento de normas de P.I., esa situación repercutiría negativamente en la credibilidad de la OMPI.</w:t>
            </w:r>
          </w:p>
          <w:p w:rsidR="009F58E5" w:rsidRPr="00994766" w:rsidRDefault="009F58E5" w:rsidP="008F4F69">
            <w:pPr>
              <w:rPr>
                <w:sz w:val="16"/>
                <w:szCs w:val="16"/>
                <w:lang w:val="es-ES_tradnl"/>
              </w:rPr>
            </w:pPr>
          </w:p>
        </w:tc>
        <w:tc>
          <w:tcPr>
            <w:tcW w:w="4814" w:type="dxa"/>
            <w:shd w:val="clear" w:color="auto" w:fill="auto"/>
            <w:tcMar>
              <w:top w:w="113" w:type="dxa"/>
              <w:bottom w:w="85" w:type="dxa"/>
            </w:tcMar>
          </w:tcPr>
          <w:p w:rsidR="009F58E5" w:rsidRPr="00994766" w:rsidRDefault="009F58E5" w:rsidP="008F4F69">
            <w:pPr>
              <w:rPr>
                <w:sz w:val="16"/>
                <w:szCs w:val="16"/>
                <w:lang w:val="es-ES_tradnl"/>
              </w:rPr>
            </w:pPr>
            <w:r w:rsidRPr="00994766">
              <w:rPr>
                <w:sz w:val="16"/>
                <w:szCs w:val="16"/>
                <w:lang w:val="es-ES_tradnl"/>
              </w:rPr>
              <w:t>Seguir manteniendo una coordinación estrecha, transparente y basada en la confianza entre la Secretaría y los Estados miembros.</w:t>
            </w:r>
          </w:p>
        </w:tc>
      </w:tr>
    </w:tbl>
    <w:p w:rsidR="009F58E5" w:rsidRPr="00994766" w:rsidRDefault="009F58E5" w:rsidP="009F58E5">
      <w:pPr>
        <w:tabs>
          <w:tab w:val="left" w:pos="567"/>
          <w:tab w:val="left" w:pos="1985"/>
        </w:tabs>
        <w:jc w:val="both"/>
        <w:rPr>
          <w:bCs/>
          <w:szCs w:val="22"/>
          <w:lang w:val="es-ES_tradnl"/>
        </w:rPr>
      </w:pPr>
    </w:p>
    <w:p w:rsidR="009F58E5" w:rsidRPr="00C75C7E" w:rsidRDefault="009F58E5" w:rsidP="009F58E5">
      <w:pPr>
        <w:tabs>
          <w:tab w:val="left" w:pos="567"/>
        </w:tabs>
        <w:jc w:val="both"/>
        <w:rPr>
          <w:bCs/>
          <w:szCs w:val="22"/>
          <w:lang w:val="es-ES_tradnl"/>
        </w:rPr>
      </w:pPr>
    </w:p>
    <w:p w:rsidR="009F58E5" w:rsidRPr="00C75C7E" w:rsidRDefault="009F58E5" w:rsidP="000B01FE">
      <w:pPr>
        <w:keepNext/>
        <w:tabs>
          <w:tab w:val="left" w:pos="567"/>
        </w:tabs>
        <w:jc w:val="both"/>
        <w:rPr>
          <w:bCs/>
          <w:sz w:val="20"/>
          <w:lang w:val="es-ES_tradnl"/>
        </w:rPr>
      </w:pPr>
      <w:r w:rsidRPr="00C75C7E">
        <w:rPr>
          <w:bCs/>
          <w:szCs w:val="22"/>
          <w:lang w:val="es-ES_tradnl"/>
        </w:rPr>
        <w:lastRenderedPageBreak/>
        <w:t>MARCO DE RESULTADOS</w:t>
      </w:r>
    </w:p>
    <w:p w:rsidR="009F58E5" w:rsidRPr="00C75C7E" w:rsidRDefault="009F58E5" w:rsidP="000B01FE">
      <w:pPr>
        <w:keepNext/>
        <w:tabs>
          <w:tab w:val="left" w:pos="567"/>
          <w:tab w:val="left" w:pos="1985"/>
        </w:tabs>
        <w:jc w:val="both"/>
        <w:rPr>
          <w:bCs/>
          <w:sz w:val="20"/>
          <w:lang w:val="es-ES_tradnl"/>
        </w:rPr>
      </w:pPr>
    </w:p>
    <w:tbl>
      <w:tblPr>
        <w:tblW w:w="4915"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348"/>
        <w:gridCol w:w="2849"/>
        <w:gridCol w:w="2175"/>
        <w:gridCol w:w="2036"/>
      </w:tblGrid>
      <w:tr w:rsidR="009F58E5" w:rsidRPr="00C75C7E" w:rsidTr="008F4F69">
        <w:trPr>
          <w:cantSplit/>
          <w:trHeight w:val="425"/>
          <w:tblHeader/>
        </w:trPr>
        <w:tc>
          <w:tcPr>
            <w:tcW w:w="1248" w:type="pct"/>
            <w:tcBorders>
              <w:top w:val="single" w:sz="4" w:space="0" w:color="auto"/>
              <w:bottom w:val="single" w:sz="4" w:space="0" w:color="auto"/>
            </w:tcBorders>
            <w:shd w:val="clear" w:color="auto" w:fill="CCFFFF"/>
            <w:tcMar>
              <w:top w:w="113" w:type="dxa"/>
            </w:tcMar>
            <w:vAlign w:val="center"/>
          </w:tcPr>
          <w:p w:rsidR="009F58E5" w:rsidRPr="00C75C7E" w:rsidRDefault="009F58E5" w:rsidP="008F4F69">
            <w:pPr>
              <w:spacing w:after="120"/>
              <w:jc w:val="center"/>
              <w:rPr>
                <w:b/>
                <w:bCs/>
                <w:sz w:val="18"/>
                <w:szCs w:val="18"/>
                <w:lang w:val="es-ES_tradnl"/>
              </w:rPr>
            </w:pPr>
            <w:r w:rsidRPr="00C75C7E">
              <w:rPr>
                <w:b/>
                <w:bCs/>
                <w:sz w:val="18"/>
                <w:szCs w:val="18"/>
                <w:lang w:val="es-ES_tradnl"/>
              </w:rPr>
              <w:t>Resultados previstos</w:t>
            </w:r>
          </w:p>
        </w:tc>
        <w:tc>
          <w:tcPr>
            <w:tcW w:w="1514" w:type="pct"/>
            <w:tcBorders>
              <w:top w:val="single" w:sz="4" w:space="0" w:color="auto"/>
              <w:bottom w:val="single" w:sz="4" w:space="0" w:color="auto"/>
            </w:tcBorders>
            <w:shd w:val="clear" w:color="auto" w:fill="CCFFFF"/>
            <w:tcMar>
              <w:top w:w="113" w:type="dxa"/>
            </w:tcMar>
            <w:vAlign w:val="center"/>
          </w:tcPr>
          <w:p w:rsidR="009F58E5" w:rsidRPr="00C75C7E" w:rsidRDefault="009F58E5" w:rsidP="008F4F69">
            <w:pPr>
              <w:spacing w:after="120"/>
              <w:jc w:val="center"/>
              <w:rPr>
                <w:b/>
                <w:sz w:val="18"/>
                <w:szCs w:val="18"/>
                <w:lang w:val="es-ES_tradnl"/>
              </w:rPr>
            </w:pPr>
            <w:r w:rsidRPr="00C75C7E">
              <w:rPr>
                <w:b/>
                <w:sz w:val="18"/>
                <w:szCs w:val="18"/>
                <w:lang w:val="es-ES_tradnl"/>
              </w:rPr>
              <w:t>Indicadores de rendimiento</w:t>
            </w:r>
          </w:p>
        </w:tc>
        <w:tc>
          <w:tcPr>
            <w:tcW w:w="1156" w:type="pct"/>
            <w:tcBorders>
              <w:top w:val="single" w:sz="4" w:space="0" w:color="auto"/>
              <w:bottom w:val="single" w:sz="4" w:space="0" w:color="auto"/>
            </w:tcBorders>
            <w:shd w:val="clear" w:color="auto" w:fill="CCFFFF"/>
            <w:tcMar>
              <w:top w:w="113" w:type="dxa"/>
            </w:tcMar>
            <w:vAlign w:val="center"/>
          </w:tcPr>
          <w:p w:rsidR="009F58E5" w:rsidRPr="00C75C7E" w:rsidRDefault="009F58E5" w:rsidP="008F4F69">
            <w:pPr>
              <w:spacing w:after="120"/>
              <w:ind w:left="85"/>
              <w:jc w:val="center"/>
              <w:rPr>
                <w:sz w:val="18"/>
                <w:szCs w:val="18"/>
                <w:lang w:val="es-ES_tradnl"/>
              </w:rPr>
            </w:pPr>
            <w:r w:rsidRPr="00C75C7E">
              <w:rPr>
                <w:b/>
                <w:bCs/>
                <w:sz w:val="18"/>
                <w:szCs w:val="18"/>
                <w:lang w:val="es-ES_tradnl"/>
              </w:rPr>
              <w:t>Referencia</w:t>
            </w:r>
          </w:p>
        </w:tc>
        <w:tc>
          <w:tcPr>
            <w:tcW w:w="1083" w:type="pct"/>
            <w:tcBorders>
              <w:top w:val="single" w:sz="4" w:space="0" w:color="auto"/>
              <w:bottom w:val="single" w:sz="4" w:space="0" w:color="auto"/>
            </w:tcBorders>
            <w:shd w:val="clear" w:color="auto" w:fill="CCFFFF"/>
            <w:tcMar>
              <w:top w:w="113" w:type="dxa"/>
            </w:tcMar>
            <w:vAlign w:val="center"/>
          </w:tcPr>
          <w:p w:rsidR="009F58E5" w:rsidRPr="00C75C7E" w:rsidRDefault="009F58E5" w:rsidP="008F4F69">
            <w:pPr>
              <w:keepNext/>
              <w:keepLines/>
              <w:spacing w:after="120"/>
              <w:ind w:right="221"/>
              <w:jc w:val="center"/>
              <w:rPr>
                <w:b/>
                <w:bCs/>
                <w:sz w:val="18"/>
                <w:szCs w:val="18"/>
                <w:lang w:val="es-ES_tradnl"/>
              </w:rPr>
            </w:pPr>
            <w:r w:rsidRPr="00C75C7E">
              <w:rPr>
                <w:b/>
                <w:bCs/>
                <w:sz w:val="18"/>
                <w:szCs w:val="18"/>
                <w:lang w:val="es-ES_tradnl"/>
              </w:rPr>
              <w:t>Objetivos</w:t>
            </w:r>
          </w:p>
        </w:tc>
      </w:tr>
      <w:tr w:rsidR="009F58E5" w:rsidRPr="00C75C7E" w:rsidTr="008F4F69">
        <w:trPr>
          <w:cantSplit/>
          <w:trHeight w:val="942"/>
        </w:trPr>
        <w:tc>
          <w:tcPr>
            <w:tcW w:w="1248" w:type="pct"/>
            <w:tcBorders>
              <w:top w:val="single" w:sz="4" w:space="0" w:color="auto"/>
            </w:tcBorders>
            <w:shd w:val="clear" w:color="auto" w:fill="auto"/>
            <w:tcMar>
              <w:top w:w="113" w:type="dxa"/>
            </w:tcMar>
          </w:tcPr>
          <w:p w:rsidR="009F58E5" w:rsidRPr="00C75C7E" w:rsidRDefault="009F58E5" w:rsidP="008F4F69">
            <w:pPr>
              <w:rPr>
                <w:sz w:val="16"/>
                <w:szCs w:val="16"/>
                <w:lang w:val="es-ES_tradnl"/>
              </w:rPr>
            </w:pPr>
            <w:r w:rsidRPr="00C75C7E">
              <w:rPr>
                <w:sz w:val="16"/>
                <w:szCs w:val="16"/>
                <w:lang w:val="es-ES_tradnl"/>
              </w:rPr>
              <w:t>IV.2. Mejora del acceso y uso de información y conocimientos de P.I. por parte de instituciones de P.I. y el público para fomentar la innovación y la creatividad.</w:t>
            </w:r>
          </w:p>
        </w:tc>
        <w:tc>
          <w:tcPr>
            <w:tcW w:w="1514" w:type="pct"/>
            <w:tcBorders>
              <w:top w:val="single" w:sz="4" w:space="0" w:color="auto"/>
            </w:tcBorders>
            <w:shd w:val="clear" w:color="auto" w:fill="auto"/>
            <w:tcMar>
              <w:top w:w="113" w:type="dxa"/>
            </w:tcMar>
          </w:tcPr>
          <w:p w:rsidR="009F58E5" w:rsidRPr="00C75C7E" w:rsidRDefault="009F58E5" w:rsidP="008F4F69">
            <w:pPr>
              <w:rPr>
                <w:sz w:val="16"/>
                <w:szCs w:val="16"/>
                <w:lang w:val="es-ES_tradnl"/>
              </w:rPr>
            </w:pPr>
            <w:r w:rsidRPr="00C75C7E">
              <w:rPr>
                <w:sz w:val="16"/>
                <w:szCs w:val="16"/>
                <w:lang w:val="es-ES_tradnl"/>
              </w:rPr>
              <w:t xml:space="preserve">Aumento del número de usuarios de WIPO Lex. </w:t>
            </w:r>
          </w:p>
        </w:tc>
        <w:tc>
          <w:tcPr>
            <w:tcW w:w="1156" w:type="pct"/>
            <w:tcBorders>
              <w:top w:val="single" w:sz="4" w:space="0" w:color="auto"/>
            </w:tcBorders>
            <w:shd w:val="clear" w:color="auto" w:fill="FFFFFF"/>
            <w:tcMar>
              <w:top w:w="113" w:type="dxa"/>
            </w:tcMar>
          </w:tcPr>
          <w:p w:rsidR="009F58E5" w:rsidRPr="00C75C7E" w:rsidRDefault="00C715FF" w:rsidP="00C715FF">
            <w:pPr>
              <w:rPr>
                <w:sz w:val="16"/>
                <w:szCs w:val="16"/>
                <w:lang w:val="es-ES_tradnl"/>
              </w:rPr>
            </w:pPr>
            <w:r>
              <w:rPr>
                <w:sz w:val="16"/>
                <w:szCs w:val="16"/>
                <w:lang w:val="es-ES_tradnl" w:bidi="th-TH"/>
              </w:rPr>
              <w:t>1.</w:t>
            </w:r>
            <w:r w:rsidR="009F58E5" w:rsidRPr="00C75C7E">
              <w:rPr>
                <w:sz w:val="16"/>
                <w:szCs w:val="16"/>
                <w:lang w:val="es-ES_tradnl" w:bidi="th-TH"/>
              </w:rPr>
              <w:t>123</w:t>
            </w:r>
            <w:r>
              <w:rPr>
                <w:sz w:val="16"/>
                <w:szCs w:val="16"/>
                <w:lang w:val="es-ES_tradnl" w:bidi="th-TH"/>
              </w:rPr>
              <w:t>.</w:t>
            </w:r>
            <w:r w:rsidR="009F58E5" w:rsidRPr="00C75C7E">
              <w:rPr>
                <w:sz w:val="16"/>
                <w:szCs w:val="16"/>
                <w:lang w:val="es-ES_tradnl" w:bidi="th-TH"/>
              </w:rPr>
              <w:t>930</w:t>
            </w:r>
          </w:p>
        </w:tc>
        <w:tc>
          <w:tcPr>
            <w:tcW w:w="1083" w:type="pct"/>
            <w:tcBorders>
              <w:top w:val="single" w:sz="4" w:space="0" w:color="auto"/>
            </w:tcBorders>
            <w:shd w:val="clear" w:color="auto" w:fill="auto"/>
            <w:tcMar>
              <w:top w:w="113" w:type="dxa"/>
            </w:tcMar>
          </w:tcPr>
          <w:p w:rsidR="009F58E5" w:rsidRPr="00C75C7E" w:rsidRDefault="009F58E5" w:rsidP="008F4F69">
            <w:pPr>
              <w:keepNext/>
              <w:keepLines/>
              <w:ind w:right="51"/>
              <w:rPr>
                <w:bCs/>
                <w:sz w:val="16"/>
                <w:szCs w:val="16"/>
                <w:lang w:val="es-ES_tradnl"/>
              </w:rPr>
            </w:pPr>
            <w:r w:rsidRPr="00C75C7E">
              <w:rPr>
                <w:bCs/>
                <w:sz w:val="16"/>
                <w:szCs w:val="16"/>
                <w:lang w:val="es-ES_tradnl"/>
              </w:rPr>
              <w:t>20%</w:t>
            </w:r>
          </w:p>
        </w:tc>
      </w:tr>
      <w:tr w:rsidR="009F58E5" w:rsidRPr="00C75C7E" w:rsidTr="008F4F69">
        <w:trPr>
          <w:cantSplit/>
        </w:trPr>
        <w:tc>
          <w:tcPr>
            <w:tcW w:w="1248" w:type="pct"/>
            <w:vMerge w:val="restart"/>
            <w:tcBorders>
              <w:top w:val="nil"/>
            </w:tcBorders>
            <w:shd w:val="clear" w:color="auto" w:fill="auto"/>
            <w:tcMar>
              <w:top w:w="113" w:type="dxa"/>
            </w:tcMar>
          </w:tcPr>
          <w:p w:rsidR="009F58E5" w:rsidRPr="00C75C7E" w:rsidRDefault="009F58E5" w:rsidP="008F4F69">
            <w:pPr>
              <w:rPr>
                <w:sz w:val="16"/>
                <w:szCs w:val="16"/>
                <w:lang w:val="es-ES_tradnl"/>
              </w:rPr>
            </w:pPr>
            <w:r w:rsidRPr="00C75C7E">
              <w:rPr>
                <w:sz w:val="16"/>
                <w:szCs w:val="16"/>
                <w:lang w:val="es-ES_tradnl"/>
              </w:rPr>
              <w:t>VIII.3  Atención eficaz a los Estados miembros.</w:t>
            </w:r>
          </w:p>
        </w:tc>
        <w:tc>
          <w:tcPr>
            <w:tcW w:w="1514" w:type="pct"/>
            <w:tcBorders>
              <w:top w:val="nil"/>
            </w:tcBorders>
            <w:shd w:val="clear" w:color="auto" w:fill="auto"/>
            <w:tcMar>
              <w:top w:w="113" w:type="dxa"/>
            </w:tcMar>
          </w:tcPr>
          <w:p w:rsidR="009F58E5" w:rsidRPr="00C75C7E" w:rsidRDefault="009F58E5" w:rsidP="008F4F69">
            <w:pPr>
              <w:rPr>
                <w:sz w:val="16"/>
                <w:szCs w:val="16"/>
                <w:lang w:val="es-ES_tradnl"/>
              </w:rPr>
            </w:pPr>
            <w:r w:rsidRPr="00C75C7E">
              <w:rPr>
                <w:sz w:val="16"/>
                <w:szCs w:val="16"/>
                <w:lang w:val="es-ES_tradnl"/>
              </w:rPr>
              <w:t>Porcentaje de sesiones de Comités precedidas de reuniones informativas para los Estados miembros.</w:t>
            </w:r>
          </w:p>
        </w:tc>
        <w:tc>
          <w:tcPr>
            <w:tcW w:w="1156" w:type="pct"/>
            <w:tcBorders>
              <w:top w:val="nil"/>
            </w:tcBorders>
            <w:shd w:val="clear" w:color="auto" w:fill="FFFFFF"/>
            <w:tcMar>
              <w:top w:w="113" w:type="dxa"/>
            </w:tcMar>
          </w:tcPr>
          <w:p w:rsidR="009F58E5" w:rsidRPr="00C75C7E" w:rsidRDefault="009F58E5" w:rsidP="008F4F69">
            <w:pPr>
              <w:rPr>
                <w:sz w:val="16"/>
                <w:szCs w:val="16"/>
                <w:lang w:val="es-ES_tradnl"/>
              </w:rPr>
            </w:pPr>
            <w:r w:rsidRPr="00C75C7E">
              <w:rPr>
                <w:sz w:val="16"/>
                <w:szCs w:val="16"/>
                <w:lang w:val="es-ES_tradnl" w:bidi="th-TH"/>
              </w:rPr>
              <w:t>80%</w:t>
            </w:r>
          </w:p>
        </w:tc>
        <w:tc>
          <w:tcPr>
            <w:tcW w:w="1083" w:type="pct"/>
            <w:tcBorders>
              <w:top w:val="nil"/>
            </w:tcBorders>
            <w:shd w:val="clear" w:color="auto" w:fill="auto"/>
            <w:tcMar>
              <w:top w:w="113" w:type="dxa"/>
            </w:tcMar>
          </w:tcPr>
          <w:p w:rsidR="009F58E5" w:rsidRPr="00C75C7E" w:rsidRDefault="009F58E5" w:rsidP="008F4F69">
            <w:pPr>
              <w:keepNext/>
              <w:keepLines/>
              <w:ind w:right="381"/>
              <w:rPr>
                <w:bCs/>
                <w:sz w:val="16"/>
                <w:szCs w:val="16"/>
                <w:lang w:val="es-ES_tradnl"/>
              </w:rPr>
            </w:pPr>
            <w:r w:rsidRPr="00C75C7E">
              <w:rPr>
                <w:bCs/>
                <w:sz w:val="16"/>
                <w:szCs w:val="16"/>
                <w:lang w:val="es-ES_tradnl"/>
              </w:rPr>
              <w:t>90%</w:t>
            </w:r>
          </w:p>
        </w:tc>
      </w:tr>
      <w:tr w:rsidR="009F58E5" w:rsidRPr="00C75C7E" w:rsidTr="008F4F69">
        <w:trPr>
          <w:cantSplit/>
          <w:trHeight w:val="756"/>
        </w:trPr>
        <w:tc>
          <w:tcPr>
            <w:tcW w:w="1248" w:type="pct"/>
            <w:vMerge/>
            <w:shd w:val="clear" w:color="auto" w:fill="auto"/>
            <w:tcMar>
              <w:top w:w="113" w:type="dxa"/>
            </w:tcMar>
          </w:tcPr>
          <w:p w:rsidR="009F58E5" w:rsidRPr="00C75C7E" w:rsidRDefault="009F58E5" w:rsidP="008F4F69">
            <w:pPr>
              <w:rPr>
                <w:sz w:val="16"/>
                <w:szCs w:val="16"/>
                <w:lang w:val="es-ES_tradnl"/>
              </w:rPr>
            </w:pPr>
          </w:p>
        </w:tc>
        <w:tc>
          <w:tcPr>
            <w:tcW w:w="1514" w:type="pct"/>
            <w:shd w:val="clear" w:color="auto" w:fill="auto"/>
            <w:tcMar>
              <w:top w:w="113" w:type="dxa"/>
            </w:tcMar>
          </w:tcPr>
          <w:p w:rsidR="009F58E5" w:rsidRPr="00C75C7E" w:rsidRDefault="009F58E5" w:rsidP="008F4F69">
            <w:pPr>
              <w:rPr>
                <w:sz w:val="16"/>
                <w:szCs w:val="16"/>
                <w:lang w:val="es-ES_tradnl"/>
              </w:rPr>
            </w:pPr>
            <w:r w:rsidRPr="00C75C7E">
              <w:rPr>
                <w:sz w:val="16"/>
                <w:szCs w:val="16"/>
                <w:lang w:val="es-ES_tradnl"/>
              </w:rPr>
              <w:t>Porcentaje de cartas dirigidas al Director General por los Estados miembros a las que se da respuesta en un plazo de dos semanas.</w:t>
            </w:r>
          </w:p>
        </w:tc>
        <w:tc>
          <w:tcPr>
            <w:tcW w:w="1156" w:type="pct"/>
            <w:shd w:val="clear" w:color="auto" w:fill="FFFFFF"/>
            <w:tcMar>
              <w:top w:w="113" w:type="dxa"/>
            </w:tcMar>
          </w:tcPr>
          <w:p w:rsidR="009F58E5" w:rsidRPr="00C75C7E" w:rsidRDefault="009F58E5" w:rsidP="008F4F69">
            <w:pPr>
              <w:rPr>
                <w:sz w:val="16"/>
                <w:szCs w:val="16"/>
                <w:lang w:val="es-ES_tradnl" w:bidi="th-TH"/>
              </w:rPr>
            </w:pPr>
            <w:r w:rsidRPr="00C75C7E">
              <w:rPr>
                <w:sz w:val="16"/>
                <w:szCs w:val="16"/>
                <w:lang w:val="es-ES_tradnl" w:bidi="th-TH"/>
              </w:rPr>
              <w:t>80%</w:t>
            </w:r>
          </w:p>
          <w:p w:rsidR="009F58E5" w:rsidRPr="00C75C7E" w:rsidRDefault="009F58E5" w:rsidP="008F4F69">
            <w:pPr>
              <w:rPr>
                <w:sz w:val="16"/>
                <w:szCs w:val="16"/>
                <w:lang w:val="es-ES_tradnl"/>
              </w:rPr>
            </w:pPr>
          </w:p>
        </w:tc>
        <w:tc>
          <w:tcPr>
            <w:tcW w:w="1083" w:type="pct"/>
            <w:shd w:val="clear" w:color="auto" w:fill="auto"/>
            <w:tcMar>
              <w:top w:w="113" w:type="dxa"/>
            </w:tcMar>
          </w:tcPr>
          <w:p w:rsidR="009F58E5" w:rsidRPr="00C75C7E" w:rsidRDefault="009F58E5" w:rsidP="008F4F69">
            <w:pPr>
              <w:keepNext/>
              <w:keepLines/>
              <w:tabs>
                <w:tab w:val="left" w:pos="2051"/>
              </w:tabs>
              <w:ind w:right="381"/>
              <w:rPr>
                <w:bCs/>
                <w:sz w:val="16"/>
                <w:szCs w:val="16"/>
                <w:lang w:val="es-ES_tradnl"/>
              </w:rPr>
            </w:pPr>
            <w:r w:rsidRPr="00C75C7E">
              <w:rPr>
                <w:bCs/>
                <w:sz w:val="16"/>
                <w:szCs w:val="16"/>
                <w:lang w:val="es-ES_tradnl"/>
              </w:rPr>
              <w:t>80%</w:t>
            </w:r>
          </w:p>
        </w:tc>
      </w:tr>
      <w:tr w:rsidR="009F58E5" w:rsidRPr="00C75C7E" w:rsidTr="008F4F69">
        <w:trPr>
          <w:cantSplit/>
        </w:trPr>
        <w:tc>
          <w:tcPr>
            <w:tcW w:w="1248" w:type="pct"/>
            <w:vMerge/>
            <w:shd w:val="clear" w:color="auto" w:fill="auto"/>
            <w:tcMar>
              <w:top w:w="113" w:type="dxa"/>
            </w:tcMar>
          </w:tcPr>
          <w:p w:rsidR="009F58E5" w:rsidRPr="00C75C7E" w:rsidRDefault="009F58E5" w:rsidP="008F4F69">
            <w:pPr>
              <w:rPr>
                <w:sz w:val="16"/>
                <w:szCs w:val="16"/>
                <w:lang w:val="es-ES_tradnl"/>
              </w:rPr>
            </w:pPr>
          </w:p>
        </w:tc>
        <w:tc>
          <w:tcPr>
            <w:tcW w:w="1514" w:type="pct"/>
            <w:shd w:val="clear" w:color="auto" w:fill="auto"/>
            <w:tcMar>
              <w:top w:w="113" w:type="dxa"/>
            </w:tcMar>
          </w:tcPr>
          <w:p w:rsidR="009F58E5" w:rsidRPr="00C75C7E" w:rsidRDefault="009F58E5" w:rsidP="008F4F69">
            <w:pPr>
              <w:rPr>
                <w:sz w:val="16"/>
                <w:szCs w:val="16"/>
                <w:lang w:val="es-ES_tradnl"/>
              </w:rPr>
            </w:pPr>
            <w:r w:rsidRPr="00C75C7E">
              <w:rPr>
                <w:sz w:val="16"/>
                <w:szCs w:val="16"/>
                <w:lang w:val="es-ES_tradnl"/>
              </w:rPr>
              <w:t>Porcentaje de notificaciones de adhesión y otras medidas relacionadas con los tratados tramitadas de manera puntual.</w:t>
            </w:r>
          </w:p>
        </w:tc>
        <w:tc>
          <w:tcPr>
            <w:tcW w:w="1156" w:type="pct"/>
            <w:shd w:val="clear" w:color="auto" w:fill="FFFFFF"/>
            <w:tcMar>
              <w:top w:w="113" w:type="dxa"/>
            </w:tcMar>
          </w:tcPr>
          <w:p w:rsidR="009F58E5" w:rsidRPr="00C75C7E" w:rsidRDefault="009F58E5" w:rsidP="008F4F69">
            <w:pPr>
              <w:rPr>
                <w:sz w:val="16"/>
                <w:szCs w:val="16"/>
                <w:lang w:val="es-ES_tradnl"/>
              </w:rPr>
            </w:pPr>
            <w:r w:rsidRPr="00C75C7E">
              <w:rPr>
                <w:sz w:val="16"/>
                <w:szCs w:val="16"/>
                <w:lang w:val="es-ES_tradnl" w:bidi="th-TH"/>
              </w:rPr>
              <w:t>95% tramitadas en un plazo de tres días (al final de 2012).</w:t>
            </w:r>
          </w:p>
        </w:tc>
        <w:tc>
          <w:tcPr>
            <w:tcW w:w="1083" w:type="pct"/>
            <w:shd w:val="clear" w:color="auto" w:fill="auto"/>
            <w:tcMar>
              <w:top w:w="113" w:type="dxa"/>
            </w:tcMar>
          </w:tcPr>
          <w:p w:rsidR="009F58E5" w:rsidRPr="00C75C7E" w:rsidRDefault="009F58E5" w:rsidP="008F4F69">
            <w:pPr>
              <w:keepNext/>
              <w:keepLines/>
              <w:ind w:right="51"/>
              <w:rPr>
                <w:bCs/>
                <w:sz w:val="16"/>
                <w:szCs w:val="16"/>
                <w:lang w:val="es-ES_tradnl"/>
              </w:rPr>
            </w:pPr>
            <w:r w:rsidRPr="00C75C7E">
              <w:rPr>
                <w:bCs/>
                <w:sz w:val="16"/>
                <w:szCs w:val="16"/>
                <w:lang w:val="es-ES_tradnl"/>
              </w:rPr>
              <w:t>90 % tramitadas en un plazo de tres días.</w:t>
            </w:r>
          </w:p>
        </w:tc>
      </w:tr>
      <w:tr w:rsidR="009F58E5" w:rsidRPr="00C75C7E" w:rsidTr="008F4F69">
        <w:trPr>
          <w:cantSplit/>
          <w:trHeight w:val="582"/>
        </w:trPr>
        <w:tc>
          <w:tcPr>
            <w:tcW w:w="1248" w:type="pct"/>
            <w:vMerge/>
            <w:shd w:val="clear" w:color="auto" w:fill="auto"/>
            <w:tcMar>
              <w:top w:w="113" w:type="dxa"/>
            </w:tcMar>
          </w:tcPr>
          <w:p w:rsidR="009F58E5" w:rsidRPr="00C75C7E" w:rsidRDefault="009F58E5" w:rsidP="008F4F69">
            <w:pPr>
              <w:rPr>
                <w:sz w:val="16"/>
                <w:szCs w:val="16"/>
                <w:lang w:val="es-ES_tradnl"/>
              </w:rPr>
            </w:pPr>
          </w:p>
        </w:tc>
        <w:tc>
          <w:tcPr>
            <w:tcW w:w="1514" w:type="pct"/>
            <w:shd w:val="clear" w:color="auto" w:fill="auto"/>
            <w:tcMar>
              <w:top w:w="113" w:type="dxa"/>
            </w:tcMar>
          </w:tcPr>
          <w:p w:rsidR="009F58E5" w:rsidRPr="00C75C7E" w:rsidRDefault="009F58E5" w:rsidP="008F4F69">
            <w:pPr>
              <w:rPr>
                <w:sz w:val="16"/>
                <w:szCs w:val="16"/>
                <w:lang w:val="es-ES_tradnl"/>
              </w:rPr>
            </w:pPr>
            <w:r w:rsidRPr="00C75C7E">
              <w:rPr>
                <w:sz w:val="16"/>
                <w:szCs w:val="16"/>
                <w:lang w:val="es-ES_tradnl"/>
              </w:rPr>
              <w:t>Índice de satisfacción de los Estados miembros respecto de la preparación y funcionamiento de las Asambleas.</w:t>
            </w:r>
          </w:p>
        </w:tc>
        <w:tc>
          <w:tcPr>
            <w:tcW w:w="1156" w:type="pct"/>
            <w:shd w:val="clear" w:color="auto" w:fill="FFFFFF"/>
            <w:tcMar>
              <w:top w:w="113" w:type="dxa"/>
            </w:tcMar>
          </w:tcPr>
          <w:p w:rsidR="009F58E5" w:rsidRPr="00C75C7E" w:rsidRDefault="009F58E5" w:rsidP="008F4F69">
            <w:pPr>
              <w:rPr>
                <w:sz w:val="16"/>
                <w:szCs w:val="16"/>
                <w:lang w:val="es-ES_tradnl"/>
              </w:rPr>
            </w:pPr>
            <w:r w:rsidRPr="00C75C7E">
              <w:rPr>
                <w:sz w:val="16"/>
                <w:szCs w:val="16"/>
                <w:lang w:val="es-ES_tradnl" w:bidi="th-TH"/>
              </w:rPr>
              <w:t>88% satisfecho con las disposiciones adoptadas.</w:t>
            </w:r>
          </w:p>
        </w:tc>
        <w:tc>
          <w:tcPr>
            <w:tcW w:w="1083" w:type="pct"/>
            <w:shd w:val="clear" w:color="auto" w:fill="auto"/>
            <w:tcMar>
              <w:top w:w="113" w:type="dxa"/>
            </w:tcMar>
          </w:tcPr>
          <w:p w:rsidR="009F58E5" w:rsidRPr="00C75C7E" w:rsidRDefault="009F58E5" w:rsidP="008F4F69">
            <w:pPr>
              <w:keepNext/>
              <w:keepLines/>
              <w:ind w:right="161"/>
              <w:rPr>
                <w:bCs/>
                <w:sz w:val="16"/>
                <w:szCs w:val="16"/>
                <w:lang w:val="es-ES_tradnl"/>
              </w:rPr>
            </w:pPr>
            <w:r w:rsidRPr="00C75C7E">
              <w:rPr>
                <w:bCs/>
                <w:sz w:val="16"/>
                <w:szCs w:val="16"/>
                <w:lang w:val="es-ES_tradnl"/>
              </w:rPr>
              <w:t>85% satisfecho con las disposiciones adoptadas.</w:t>
            </w:r>
          </w:p>
        </w:tc>
      </w:tr>
      <w:tr w:rsidR="009F58E5" w:rsidRPr="00C75C7E" w:rsidTr="008F4F69">
        <w:trPr>
          <w:cantSplit/>
          <w:trHeight w:val="796"/>
        </w:trPr>
        <w:tc>
          <w:tcPr>
            <w:tcW w:w="1248" w:type="pct"/>
            <w:vMerge/>
            <w:shd w:val="clear" w:color="auto" w:fill="auto"/>
            <w:tcMar>
              <w:top w:w="113" w:type="dxa"/>
            </w:tcMar>
          </w:tcPr>
          <w:p w:rsidR="009F58E5" w:rsidRPr="00C75C7E" w:rsidRDefault="009F58E5" w:rsidP="008F4F69">
            <w:pPr>
              <w:rPr>
                <w:sz w:val="16"/>
                <w:szCs w:val="16"/>
                <w:lang w:val="es-ES_tradnl"/>
              </w:rPr>
            </w:pPr>
          </w:p>
        </w:tc>
        <w:tc>
          <w:tcPr>
            <w:tcW w:w="1514" w:type="pct"/>
            <w:shd w:val="clear" w:color="auto" w:fill="auto"/>
            <w:tcMar>
              <w:top w:w="113" w:type="dxa"/>
            </w:tcMar>
          </w:tcPr>
          <w:p w:rsidR="009F58E5" w:rsidRPr="00C75C7E" w:rsidRDefault="009F58E5" w:rsidP="008F4F69">
            <w:pPr>
              <w:rPr>
                <w:sz w:val="16"/>
                <w:szCs w:val="16"/>
                <w:lang w:val="es-ES_tradnl"/>
              </w:rPr>
            </w:pPr>
            <w:r w:rsidRPr="00C75C7E">
              <w:rPr>
                <w:sz w:val="16"/>
                <w:szCs w:val="16"/>
                <w:lang w:val="es-ES_tradnl"/>
              </w:rPr>
              <w:t>Publicación puntual de los documentos de las Asambleas.</w:t>
            </w:r>
          </w:p>
        </w:tc>
        <w:tc>
          <w:tcPr>
            <w:tcW w:w="1156" w:type="pct"/>
            <w:shd w:val="clear" w:color="auto" w:fill="FFFFFF"/>
            <w:tcMar>
              <w:top w:w="113" w:type="dxa"/>
            </w:tcMar>
          </w:tcPr>
          <w:p w:rsidR="009F58E5" w:rsidRPr="00C75C7E" w:rsidRDefault="009F58E5" w:rsidP="008F4F69">
            <w:pPr>
              <w:rPr>
                <w:sz w:val="16"/>
                <w:szCs w:val="16"/>
                <w:lang w:val="es-ES_tradnl" w:bidi="th-TH"/>
              </w:rPr>
            </w:pPr>
            <w:r w:rsidRPr="00C75C7E">
              <w:rPr>
                <w:sz w:val="16"/>
                <w:szCs w:val="16"/>
                <w:lang w:val="es-ES_tradnl" w:bidi="th-TH"/>
              </w:rPr>
              <w:t>100% de los documentos pertinentes publicados al menos dos meses antes de las Asambleas.</w:t>
            </w:r>
          </w:p>
        </w:tc>
        <w:tc>
          <w:tcPr>
            <w:tcW w:w="1083" w:type="pct"/>
            <w:shd w:val="clear" w:color="auto" w:fill="auto"/>
            <w:tcMar>
              <w:top w:w="113" w:type="dxa"/>
            </w:tcMar>
          </w:tcPr>
          <w:p w:rsidR="009F58E5" w:rsidRPr="00C75C7E" w:rsidRDefault="009F58E5" w:rsidP="008F4F69">
            <w:pPr>
              <w:keepNext/>
              <w:keepLines/>
              <w:ind w:right="161"/>
              <w:rPr>
                <w:bCs/>
                <w:sz w:val="16"/>
                <w:szCs w:val="16"/>
                <w:lang w:val="es-ES_tradnl"/>
              </w:rPr>
            </w:pPr>
            <w:r w:rsidRPr="00C75C7E">
              <w:rPr>
                <w:bCs/>
                <w:sz w:val="16"/>
                <w:szCs w:val="16"/>
                <w:lang w:val="es-ES_tradnl"/>
              </w:rPr>
              <w:t>100% de los documentos pertinentes publicados al menos dos meses antes de las Asambleas.</w:t>
            </w:r>
          </w:p>
        </w:tc>
      </w:tr>
      <w:tr w:rsidR="009F58E5" w:rsidRPr="00C75C7E" w:rsidTr="008F4F69">
        <w:trPr>
          <w:cantSplit/>
        </w:trPr>
        <w:tc>
          <w:tcPr>
            <w:tcW w:w="1248" w:type="pct"/>
            <w:vMerge w:val="restart"/>
            <w:shd w:val="clear" w:color="auto" w:fill="auto"/>
            <w:tcMar>
              <w:top w:w="113" w:type="dxa"/>
            </w:tcMar>
          </w:tcPr>
          <w:p w:rsidR="009F58E5" w:rsidRPr="00C75C7E" w:rsidRDefault="009F58E5" w:rsidP="008F4F69">
            <w:pPr>
              <w:rPr>
                <w:sz w:val="16"/>
                <w:szCs w:val="16"/>
                <w:lang w:val="es-ES_tradnl"/>
              </w:rPr>
            </w:pPr>
            <w:r w:rsidRPr="00C75C7E">
              <w:rPr>
                <w:sz w:val="16"/>
                <w:szCs w:val="16"/>
                <w:lang w:val="es-ES_tradnl"/>
              </w:rPr>
              <w:t>VIII.5. La OMPI participa y colabora eficazmente en los procesos y negociaciones de las NN.UU. y otras OIG.</w:t>
            </w:r>
          </w:p>
        </w:tc>
        <w:tc>
          <w:tcPr>
            <w:tcW w:w="1514" w:type="pct"/>
            <w:shd w:val="clear" w:color="auto" w:fill="auto"/>
            <w:tcMar>
              <w:top w:w="113" w:type="dxa"/>
            </w:tcMar>
          </w:tcPr>
          <w:p w:rsidR="009F58E5" w:rsidRPr="00C75C7E" w:rsidRDefault="009F58E5" w:rsidP="008F4F69">
            <w:pPr>
              <w:rPr>
                <w:sz w:val="16"/>
                <w:szCs w:val="16"/>
                <w:lang w:val="es-ES_tradnl"/>
              </w:rPr>
            </w:pPr>
            <w:r w:rsidRPr="00C75C7E">
              <w:rPr>
                <w:sz w:val="16"/>
                <w:szCs w:val="16"/>
                <w:lang w:val="es-ES_tradnl"/>
              </w:rPr>
              <w:t>Nuevas iniciativas conjuntas con otros organismos de NN.UU.</w:t>
            </w:r>
          </w:p>
        </w:tc>
        <w:tc>
          <w:tcPr>
            <w:tcW w:w="1156" w:type="pct"/>
            <w:shd w:val="clear" w:color="auto" w:fill="FFFFFF"/>
            <w:tcMar>
              <w:top w:w="113" w:type="dxa"/>
            </w:tcMar>
          </w:tcPr>
          <w:p w:rsidR="009F58E5" w:rsidRPr="00C75C7E" w:rsidRDefault="009F58E5" w:rsidP="008F4F69">
            <w:pPr>
              <w:rPr>
                <w:sz w:val="16"/>
                <w:szCs w:val="16"/>
                <w:lang w:val="es-ES_tradnl"/>
              </w:rPr>
            </w:pPr>
            <w:r w:rsidRPr="00C75C7E">
              <w:rPr>
                <w:sz w:val="16"/>
                <w:szCs w:val="16"/>
                <w:lang w:val="es-ES_tradnl" w:bidi="th-TH"/>
              </w:rPr>
              <w:t>Dos.</w:t>
            </w:r>
          </w:p>
        </w:tc>
        <w:tc>
          <w:tcPr>
            <w:tcW w:w="1083" w:type="pct"/>
            <w:shd w:val="clear" w:color="auto" w:fill="auto"/>
            <w:tcMar>
              <w:top w:w="113" w:type="dxa"/>
            </w:tcMar>
          </w:tcPr>
          <w:p w:rsidR="009F58E5" w:rsidRPr="00C75C7E" w:rsidRDefault="009F58E5" w:rsidP="008F4F69">
            <w:pPr>
              <w:keepNext/>
              <w:keepLines/>
              <w:tabs>
                <w:tab w:val="left" w:pos="2051"/>
              </w:tabs>
              <w:ind w:right="381"/>
              <w:rPr>
                <w:bCs/>
                <w:sz w:val="16"/>
                <w:szCs w:val="16"/>
                <w:lang w:val="es-ES_tradnl"/>
              </w:rPr>
            </w:pPr>
            <w:r w:rsidRPr="00C75C7E">
              <w:rPr>
                <w:bCs/>
                <w:sz w:val="16"/>
                <w:szCs w:val="16"/>
                <w:lang w:val="es-ES_tradnl"/>
              </w:rPr>
              <w:t>Dos.</w:t>
            </w:r>
          </w:p>
        </w:tc>
      </w:tr>
      <w:tr w:rsidR="009F58E5" w:rsidRPr="00C75C7E" w:rsidTr="008F4F69">
        <w:trPr>
          <w:cantSplit/>
        </w:trPr>
        <w:tc>
          <w:tcPr>
            <w:tcW w:w="1248" w:type="pct"/>
            <w:vMerge/>
            <w:shd w:val="clear" w:color="auto" w:fill="auto"/>
            <w:tcMar>
              <w:top w:w="113" w:type="dxa"/>
            </w:tcMar>
          </w:tcPr>
          <w:p w:rsidR="009F58E5" w:rsidRPr="00C75C7E" w:rsidRDefault="009F58E5" w:rsidP="008F4F69">
            <w:pPr>
              <w:rPr>
                <w:sz w:val="16"/>
                <w:szCs w:val="16"/>
                <w:lang w:val="es-ES_tradnl"/>
              </w:rPr>
            </w:pPr>
          </w:p>
        </w:tc>
        <w:tc>
          <w:tcPr>
            <w:tcW w:w="1514" w:type="pct"/>
            <w:shd w:val="clear" w:color="auto" w:fill="auto"/>
            <w:tcMar>
              <w:top w:w="113" w:type="dxa"/>
            </w:tcMar>
          </w:tcPr>
          <w:p w:rsidR="009F58E5" w:rsidRPr="00C75C7E" w:rsidRDefault="009F58E5" w:rsidP="008F4F69">
            <w:pPr>
              <w:rPr>
                <w:sz w:val="16"/>
                <w:szCs w:val="16"/>
                <w:lang w:val="es-ES_tradnl"/>
              </w:rPr>
            </w:pPr>
            <w:r w:rsidRPr="00C75C7E">
              <w:rPr>
                <w:sz w:val="16"/>
                <w:szCs w:val="16"/>
                <w:lang w:val="es-ES_tradnl"/>
              </w:rPr>
              <w:t>Porcentaje de peticiones de asesoramiento y servicios jurídicos que reciben respuestas rápidas, independientes y fiables de la Oficina del Consejero Jurídico.</w:t>
            </w:r>
          </w:p>
        </w:tc>
        <w:tc>
          <w:tcPr>
            <w:tcW w:w="1156" w:type="pct"/>
            <w:shd w:val="clear" w:color="auto" w:fill="FFFFFF"/>
            <w:tcMar>
              <w:top w:w="113" w:type="dxa"/>
            </w:tcMar>
          </w:tcPr>
          <w:p w:rsidR="009F58E5" w:rsidRPr="00C75C7E" w:rsidRDefault="009F58E5" w:rsidP="008F4F69">
            <w:pPr>
              <w:rPr>
                <w:sz w:val="16"/>
                <w:szCs w:val="16"/>
                <w:lang w:val="es-ES_tradnl"/>
              </w:rPr>
            </w:pPr>
            <w:r w:rsidRPr="00C75C7E">
              <w:rPr>
                <w:sz w:val="16"/>
                <w:szCs w:val="16"/>
                <w:lang w:val="es-ES_tradnl" w:bidi="th-TH"/>
              </w:rPr>
              <w:t>100%</w:t>
            </w:r>
          </w:p>
        </w:tc>
        <w:tc>
          <w:tcPr>
            <w:tcW w:w="1083" w:type="pct"/>
            <w:shd w:val="clear" w:color="auto" w:fill="auto"/>
            <w:tcMar>
              <w:top w:w="113" w:type="dxa"/>
            </w:tcMar>
          </w:tcPr>
          <w:p w:rsidR="009F58E5" w:rsidRPr="00C75C7E" w:rsidRDefault="009F58E5" w:rsidP="008F4F69">
            <w:pPr>
              <w:keepNext/>
              <w:keepLines/>
              <w:ind w:right="51"/>
              <w:rPr>
                <w:bCs/>
                <w:sz w:val="16"/>
                <w:szCs w:val="16"/>
                <w:lang w:val="es-ES_tradnl"/>
              </w:rPr>
            </w:pPr>
            <w:r w:rsidRPr="00C75C7E">
              <w:rPr>
                <w:bCs/>
                <w:sz w:val="16"/>
                <w:szCs w:val="16"/>
                <w:lang w:val="es-ES_tradnl"/>
              </w:rPr>
              <w:t>95%</w:t>
            </w:r>
          </w:p>
        </w:tc>
      </w:tr>
      <w:tr w:rsidR="009F58E5" w:rsidRPr="00C75C7E" w:rsidTr="008F4F69">
        <w:trPr>
          <w:cantSplit/>
          <w:trHeight w:val="879"/>
        </w:trPr>
        <w:tc>
          <w:tcPr>
            <w:tcW w:w="1248" w:type="pct"/>
            <w:shd w:val="clear" w:color="auto" w:fill="auto"/>
            <w:tcMar>
              <w:top w:w="113" w:type="dxa"/>
            </w:tcMar>
          </w:tcPr>
          <w:p w:rsidR="009F58E5" w:rsidRPr="00C75C7E" w:rsidRDefault="009F58E5" w:rsidP="008F4F69">
            <w:pPr>
              <w:rPr>
                <w:sz w:val="16"/>
                <w:szCs w:val="16"/>
                <w:lang w:val="es-ES_tradnl"/>
              </w:rPr>
            </w:pPr>
            <w:r w:rsidRPr="00C75C7E">
              <w:rPr>
                <w:sz w:val="16"/>
                <w:szCs w:val="16"/>
                <w:lang w:val="es-ES_tradnl"/>
              </w:rPr>
              <w:t>IX.2 Funcionamiento sin contratiempos de la Secretaría, provista de un personal bien dirigido, dotado de las competencias adecuadas y capaz de conseguir resultados.</w:t>
            </w:r>
          </w:p>
        </w:tc>
        <w:tc>
          <w:tcPr>
            <w:tcW w:w="1514" w:type="pct"/>
            <w:shd w:val="clear" w:color="auto" w:fill="auto"/>
            <w:tcMar>
              <w:top w:w="113" w:type="dxa"/>
            </w:tcMar>
          </w:tcPr>
          <w:p w:rsidR="009F58E5" w:rsidRPr="00C75C7E" w:rsidRDefault="009F58E5" w:rsidP="008F4F69">
            <w:pPr>
              <w:rPr>
                <w:sz w:val="16"/>
                <w:szCs w:val="16"/>
                <w:lang w:val="es-ES_tradnl"/>
              </w:rPr>
            </w:pPr>
            <w:r w:rsidRPr="00C75C7E">
              <w:rPr>
                <w:sz w:val="16"/>
                <w:szCs w:val="16"/>
                <w:lang w:val="es-ES_tradnl"/>
              </w:rPr>
              <w:t>Porcentaje de peticiones de asesoramiento y servicios jurídicos que reciben respuestas rápidas, independientes y fiables de la Oficina del Consejero Jurídico.</w:t>
            </w:r>
          </w:p>
        </w:tc>
        <w:tc>
          <w:tcPr>
            <w:tcW w:w="1156" w:type="pct"/>
            <w:shd w:val="clear" w:color="auto" w:fill="FFFFFF"/>
            <w:tcMar>
              <w:top w:w="113" w:type="dxa"/>
            </w:tcMar>
          </w:tcPr>
          <w:p w:rsidR="009F58E5" w:rsidRPr="00C75C7E" w:rsidRDefault="009F58E5" w:rsidP="008F4F69">
            <w:pPr>
              <w:rPr>
                <w:sz w:val="16"/>
                <w:szCs w:val="16"/>
                <w:lang w:val="es-ES_tradnl" w:bidi="th-TH"/>
              </w:rPr>
            </w:pPr>
            <w:r w:rsidRPr="00C75C7E">
              <w:rPr>
                <w:sz w:val="16"/>
                <w:szCs w:val="16"/>
                <w:lang w:val="es-ES_tradnl" w:bidi="th-TH"/>
              </w:rPr>
              <w:t>100%</w:t>
            </w:r>
          </w:p>
        </w:tc>
        <w:tc>
          <w:tcPr>
            <w:tcW w:w="1083" w:type="pct"/>
            <w:shd w:val="clear" w:color="auto" w:fill="auto"/>
            <w:tcMar>
              <w:top w:w="113" w:type="dxa"/>
            </w:tcMar>
          </w:tcPr>
          <w:p w:rsidR="009F58E5" w:rsidRPr="00C75C7E" w:rsidRDefault="009F58E5" w:rsidP="008F4F69">
            <w:pPr>
              <w:keepNext/>
              <w:keepLines/>
              <w:ind w:right="161"/>
              <w:rPr>
                <w:bCs/>
                <w:sz w:val="16"/>
                <w:szCs w:val="16"/>
                <w:lang w:val="es-ES_tradnl"/>
              </w:rPr>
            </w:pPr>
            <w:r w:rsidRPr="00C75C7E">
              <w:rPr>
                <w:bCs/>
                <w:sz w:val="16"/>
                <w:szCs w:val="16"/>
                <w:lang w:val="es-ES_tradnl"/>
              </w:rPr>
              <w:t>90%</w:t>
            </w:r>
          </w:p>
        </w:tc>
      </w:tr>
      <w:tr w:rsidR="009F58E5" w:rsidRPr="00C75C7E" w:rsidTr="008F4F69">
        <w:trPr>
          <w:cantSplit/>
          <w:trHeight w:val="1089"/>
        </w:trPr>
        <w:tc>
          <w:tcPr>
            <w:tcW w:w="1248" w:type="pct"/>
            <w:shd w:val="clear" w:color="auto" w:fill="auto"/>
            <w:tcMar>
              <w:top w:w="113" w:type="dxa"/>
            </w:tcMar>
          </w:tcPr>
          <w:p w:rsidR="009F58E5" w:rsidRPr="00C75C7E" w:rsidRDefault="009F58E5" w:rsidP="008F4F69">
            <w:pPr>
              <w:rPr>
                <w:sz w:val="16"/>
                <w:szCs w:val="16"/>
                <w:lang w:val="es-ES_tradnl"/>
              </w:rPr>
            </w:pPr>
            <w:r w:rsidRPr="00C75C7E">
              <w:rPr>
                <w:sz w:val="16"/>
                <w:szCs w:val="16"/>
                <w:lang w:val="es-ES_tradnl"/>
              </w:rPr>
              <w:t>IX.3. Entorno de trabajo propicio basado en un marco reglamentario eficaz y medios adecuados para atender las preocupaciones del personal.</w:t>
            </w:r>
          </w:p>
        </w:tc>
        <w:tc>
          <w:tcPr>
            <w:tcW w:w="1514" w:type="pct"/>
            <w:shd w:val="clear" w:color="auto" w:fill="auto"/>
            <w:tcMar>
              <w:top w:w="113" w:type="dxa"/>
            </w:tcMar>
          </w:tcPr>
          <w:p w:rsidR="009F58E5" w:rsidRPr="00C75C7E" w:rsidRDefault="009F58E5" w:rsidP="008F4F69">
            <w:pPr>
              <w:rPr>
                <w:sz w:val="16"/>
                <w:szCs w:val="16"/>
                <w:lang w:val="es-ES_tradnl"/>
              </w:rPr>
            </w:pPr>
            <w:r w:rsidRPr="00C75C7E">
              <w:rPr>
                <w:sz w:val="16"/>
                <w:szCs w:val="16"/>
                <w:lang w:val="es-ES_tradnl"/>
              </w:rPr>
              <w:t>Porcentaje de miembros del personal de la OMPI conscientes de los servicios disponibles en la Oficina del Mediador y del mecanismo informal de solución de conflictos.</w:t>
            </w:r>
          </w:p>
        </w:tc>
        <w:tc>
          <w:tcPr>
            <w:tcW w:w="1156" w:type="pct"/>
            <w:shd w:val="clear" w:color="auto" w:fill="FFFFFF"/>
            <w:tcMar>
              <w:top w:w="113" w:type="dxa"/>
            </w:tcMar>
          </w:tcPr>
          <w:p w:rsidR="009F58E5" w:rsidRPr="00C75C7E" w:rsidRDefault="009F58E5" w:rsidP="008F4F69">
            <w:pPr>
              <w:rPr>
                <w:sz w:val="16"/>
                <w:szCs w:val="16"/>
                <w:lang w:val="es-ES_tradnl" w:bidi="th-TH"/>
              </w:rPr>
            </w:pPr>
            <w:r w:rsidRPr="00C75C7E">
              <w:rPr>
                <w:sz w:val="16"/>
                <w:szCs w:val="16"/>
                <w:lang w:val="es-ES_tradnl" w:bidi="th-TH"/>
              </w:rPr>
              <w:t xml:space="preserve">Encuesta y comentarios del personal en 2011:  el 44% del personal está familiarizado con la función del Mediador y el </w:t>
            </w:r>
          </w:p>
          <w:p w:rsidR="009F58E5" w:rsidRPr="00C75C7E" w:rsidRDefault="009F58E5" w:rsidP="008F4F69">
            <w:pPr>
              <w:rPr>
                <w:sz w:val="16"/>
                <w:szCs w:val="16"/>
                <w:lang w:val="es-ES_tradnl" w:bidi="th-TH"/>
              </w:rPr>
            </w:pPr>
            <w:r w:rsidRPr="00C75C7E">
              <w:rPr>
                <w:sz w:val="16"/>
                <w:szCs w:val="16"/>
                <w:lang w:val="es-ES_tradnl" w:bidi="th-TH"/>
              </w:rPr>
              <w:t>49% está más o menos familiarizado con ella.</w:t>
            </w:r>
          </w:p>
        </w:tc>
        <w:tc>
          <w:tcPr>
            <w:tcW w:w="1083" w:type="pct"/>
            <w:shd w:val="clear" w:color="auto" w:fill="auto"/>
            <w:tcMar>
              <w:top w:w="113" w:type="dxa"/>
            </w:tcMar>
          </w:tcPr>
          <w:p w:rsidR="009F58E5" w:rsidRPr="00C75C7E" w:rsidRDefault="009F58E5" w:rsidP="008F4F69">
            <w:pPr>
              <w:keepNext/>
              <w:keepLines/>
              <w:ind w:right="161"/>
              <w:rPr>
                <w:bCs/>
                <w:sz w:val="16"/>
                <w:szCs w:val="16"/>
                <w:lang w:val="es-ES_tradnl"/>
              </w:rPr>
            </w:pPr>
            <w:r w:rsidRPr="00C75C7E">
              <w:rPr>
                <w:bCs/>
                <w:sz w:val="16"/>
                <w:szCs w:val="16"/>
                <w:lang w:val="es-ES_tradnl"/>
              </w:rPr>
              <w:t>Aumento del porcentaje de miembros del personal familiarizados con esa función hasta llegar al 60%.</w:t>
            </w:r>
          </w:p>
        </w:tc>
      </w:tr>
      <w:tr w:rsidR="009F58E5" w:rsidRPr="00C75C7E" w:rsidTr="008F4F69">
        <w:trPr>
          <w:cantSplit/>
          <w:trHeight w:val="606"/>
        </w:trPr>
        <w:tc>
          <w:tcPr>
            <w:tcW w:w="1248" w:type="pct"/>
            <w:shd w:val="clear" w:color="auto" w:fill="auto"/>
            <w:tcMar>
              <w:top w:w="113" w:type="dxa"/>
            </w:tcMar>
          </w:tcPr>
          <w:p w:rsidR="009F58E5" w:rsidRPr="00C75C7E" w:rsidRDefault="009F58E5" w:rsidP="008F4F69">
            <w:pPr>
              <w:rPr>
                <w:sz w:val="16"/>
                <w:szCs w:val="16"/>
                <w:lang w:val="es-ES_tradnl"/>
              </w:rPr>
            </w:pPr>
          </w:p>
        </w:tc>
        <w:tc>
          <w:tcPr>
            <w:tcW w:w="1514" w:type="pct"/>
            <w:shd w:val="clear" w:color="auto" w:fill="auto"/>
            <w:tcMar>
              <w:top w:w="113" w:type="dxa"/>
            </w:tcMar>
          </w:tcPr>
          <w:p w:rsidR="009F58E5" w:rsidRPr="00C75C7E" w:rsidRDefault="009F58E5" w:rsidP="008F4F69">
            <w:pPr>
              <w:rPr>
                <w:sz w:val="16"/>
                <w:szCs w:val="16"/>
                <w:lang w:val="es-ES_tradnl"/>
              </w:rPr>
            </w:pPr>
            <w:r w:rsidRPr="00C75C7E">
              <w:rPr>
                <w:sz w:val="16"/>
                <w:szCs w:val="16"/>
                <w:lang w:val="es-ES_tradnl"/>
              </w:rPr>
              <w:t>Porcentaje de encuestados que afirman ser conscientes de los principios y políticas de la OMPI en material de ética profesional.</w:t>
            </w:r>
          </w:p>
        </w:tc>
        <w:tc>
          <w:tcPr>
            <w:tcW w:w="1156" w:type="pct"/>
            <w:shd w:val="clear" w:color="auto" w:fill="FFFFFF"/>
            <w:tcMar>
              <w:top w:w="113" w:type="dxa"/>
            </w:tcMar>
          </w:tcPr>
          <w:p w:rsidR="009F58E5" w:rsidRPr="00C75C7E" w:rsidRDefault="009F58E5" w:rsidP="008F4F69">
            <w:pPr>
              <w:rPr>
                <w:sz w:val="16"/>
                <w:szCs w:val="16"/>
                <w:lang w:val="es-ES_tradnl" w:bidi="th-TH"/>
              </w:rPr>
            </w:pPr>
            <w:r w:rsidRPr="00C75C7E">
              <w:rPr>
                <w:sz w:val="16"/>
                <w:szCs w:val="16"/>
                <w:lang w:val="es-ES_tradnl" w:bidi="th-TH"/>
              </w:rPr>
              <w:t>70%</w:t>
            </w:r>
          </w:p>
        </w:tc>
        <w:tc>
          <w:tcPr>
            <w:tcW w:w="1083" w:type="pct"/>
            <w:shd w:val="clear" w:color="auto" w:fill="auto"/>
            <w:tcMar>
              <w:top w:w="113" w:type="dxa"/>
            </w:tcMar>
          </w:tcPr>
          <w:p w:rsidR="009F58E5" w:rsidRPr="00C75C7E" w:rsidRDefault="009F58E5" w:rsidP="008F4F69">
            <w:pPr>
              <w:keepNext/>
              <w:keepLines/>
              <w:ind w:right="161"/>
              <w:rPr>
                <w:bCs/>
                <w:sz w:val="16"/>
                <w:szCs w:val="16"/>
                <w:lang w:val="es-ES_tradnl"/>
              </w:rPr>
            </w:pPr>
            <w:r w:rsidRPr="00C75C7E">
              <w:rPr>
                <w:bCs/>
                <w:sz w:val="16"/>
                <w:szCs w:val="16"/>
                <w:lang w:val="es-ES_tradnl"/>
              </w:rPr>
              <w:t>75%</w:t>
            </w:r>
          </w:p>
        </w:tc>
      </w:tr>
    </w:tbl>
    <w:p w:rsidR="009F58E5" w:rsidRPr="00C75C7E" w:rsidRDefault="009F58E5" w:rsidP="000B01FE">
      <w:pPr>
        <w:widowControl w:val="0"/>
        <w:rPr>
          <w:sz w:val="20"/>
          <w:lang w:val="es-ES_tradnl"/>
        </w:rPr>
      </w:pPr>
    </w:p>
    <w:p w:rsidR="00D73B21" w:rsidRPr="004C03C1" w:rsidRDefault="00D73B21" w:rsidP="000B01FE">
      <w:pPr>
        <w:widowControl w:val="0"/>
        <w:rPr>
          <w:sz w:val="20"/>
        </w:rPr>
      </w:pPr>
    </w:p>
    <w:p w:rsidR="00D73B21" w:rsidRPr="004C03C1" w:rsidRDefault="00D73B21" w:rsidP="000B01FE">
      <w:pPr>
        <w:widowControl w:val="0"/>
        <w:autoSpaceDE w:val="0"/>
        <w:autoSpaceDN w:val="0"/>
        <w:adjustRightInd w:val="0"/>
        <w:jc w:val="both"/>
        <w:rPr>
          <w:szCs w:val="22"/>
        </w:rPr>
      </w:pPr>
      <w:r w:rsidRPr="004C03C1">
        <w:rPr>
          <w:szCs w:val="22"/>
        </w:rPr>
        <w:t>RECURSOS PARA EL PROGRAMA 21</w:t>
      </w:r>
    </w:p>
    <w:p w:rsidR="00D73B21" w:rsidRPr="004C03C1" w:rsidRDefault="00D73B21" w:rsidP="000B01FE">
      <w:pPr>
        <w:widowControl w:val="0"/>
        <w:autoSpaceDE w:val="0"/>
        <w:autoSpaceDN w:val="0"/>
        <w:adjustRightInd w:val="0"/>
        <w:jc w:val="both"/>
        <w:rPr>
          <w:sz w:val="20"/>
        </w:rPr>
      </w:pPr>
    </w:p>
    <w:p w:rsidR="00D73B21" w:rsidRPr="00D62913" w:rsidRDefault="00D73B21" w:rsidP="000B01FE">
      <w:pPr>
        <w:widowControl w:val="0"/>
        <w:numPr>
          <w:ilvl w:val="0"/>
          <w:numId w:val="40"/>
        </w:numPr>
        <w:jc w:val="both"/>
        <w:rPr>
          <w:sz w:val="20"/>
        </w:rPr>
      </w:pPr>
      <w:r w:rsidRPr="00816F67">
        <w:rPr>
          <w:sz w:val="20"/>
        </w:rPr>
        <w:t>Los recursos asignados a</w:t>
      </w:r>
      <w:r>
        <w:rPr>
          <w:sz w:val="20"/>
        </w:rPr>
        <w:t>l r</w:t>
      </w:r>
      <w:r w:rsidR="0012598D">
        <w:rPr>
          <w:sz w:val="20"/>
        </w:rPr>
        <w:t>esultado</w:t>
      </w:r>
      <w:r w:rsidRPr="00816F67">
        <w:rPr>
          <w:sz w:val="20"/>
        </w:rPr>
        <w:t xml:space="preserve"> IV.2 (</w:t>
      </w:r>
      <w:r w:rsidRPr="0087645A">
        <w:rPr>
          <w:sz w:val="20"/>
        </w:rPr>
        <w:t>Mejora del acceso y uso de información y conocimientos de P.I</w:t>
      </w:r>
      <w:r>
        <w:rPr>
          <w:sz w:val="20"/>
        </w:rPr>
        <w:t>) se relacionan con el continuo</w:t>
      </w:r>
      <w:r w:rsidRPr="00816F67">
        <w:rPr>
          <w:sz w:val="20"/>
        </w:rPr>
        <w:t xml:space="preserve"> enriquecimiento y mantenimiento de la base datos WIPO Lex</w:t>
      </w:r>
      <w:r>
        <w:rPr>
          <w:sz w:val="20"/>
        </w:rPr>
        <w:t>.  E</w:t>
      </w:r>
      <w:r w:rsidRPr="00816F67">
        <w:rPr>
          <w:sz w:val="20"/>
        </w:rPr>
        <w:t>n 2014/15 se mantienen</w:t>
      </w:r>
      <w:r>
        <w:rPr>
          <w:sz w:val="20"/>
        </w:rPr>
        <w:t>, por lo general,</w:t>
      </w:r>
      <w:r w:rsidRPr="00816F67">
        <w:rPr>
          <w:sz w:val="20"/>
        </w:rPr>
        <w:t xml:space="preserve"> en un nivel similar al del presupuesto de 2012/13 después de las transferencias.</w:t>
      </w:r>
    </w:p>
    <w:p w:rsidR="00D73B21" w:rsidRPr="00D92BEC" w:rsidRDefault="00D73B21" w:rsidP="00D73B21">
      <w:pPr>
        <w:jc w:val="both"/>
        <w:rPr>
          <w:sz w:val="20"/>
        </w:rPr>
      </w:pPr>
    </w:p>
    <w:p w:rsidR="00D73B21" w:rsidRPr="00E5426D" w:rsidRDefault="00D73B21" w:rsidP="00D73B21">
      <w:pPr>
        <w:numPr>
          <w:ilvl w:val="0"/>
          <w:numId w:val="40"/>
        </w:numPr>
        <w:jc w:val="both"/>
        <w:rPr>
          <w:sz w:val="20"/>
        </w:rPr>
      </w:pPr>
      <w:r>
        <w:rPr>
          <w:sz w:val="20"/>
        </w:rPr>
        <w:lastRenderedPageBreak/>
        <w:t>El aumento de</w:t>
      </w:r>
      <w:r w:rsidRPr="00403536">
        <w:rPr>
          <w:sz w:val="20"/>
        </w:rPr>
        <w:t xml:space="preserve"> los recursos asignados al resultado VII. </w:t>
      </w:r>
      <w:r>
        <w:rPr>
          <w:sz w:val="20"/>
        </w:rPr>
        <w:t>3 (</w:t>
      </w:r>
      <w:r w:rsidRPr="00D9305F">
        <w:rPr>
          <w:sz w:val="20"/>
        </w:rPr>
        <w:t>Atención eficaz a los</w:t>
      </w:r>
      <w:r>
        <w:rPr>
          <w:sz w:val="20"/>
        </w:rPr>
        <w:t xml:space="preserve"> Estados miembros) y al resultado VII. 5 (</w:t>
      </w:r>
      <w:r w:rsidRPr="00BD0CA5">
        <w:rPr>
          <w:sz w:val="20"/>
        </w:rPr>
        <w:t>La OMPI participa y colabora eficazmente en los procesos y negociac</w:t>
      </w:r>
      <w:r>
        <w:rPr>
          <w:sz w:val="20"/>
        </w:rPr>
        <w:t xml:space="preserve">iones de las NN.UU. y otras OIG) </w:t>
      </w:r>
      <w:r w:rsidRPr="00E5426D">
        <w:rPr>
          <w:sz w:val="20"/>
        </w:rPr>
        <w:t>refleja fundamentalmente</w:t>
      </w:r>
      <w:r>
        <w:rPr>
          <w:sz w:val="20"/>
        </w:rPr>
        <w:t xml:space="preserve"> la importancia que se le presta a estos resultados mediante la asignación más elevada de </w:t>
      </w:r>
      <w:r w:rsidRPr="00832DB2">
        <w:rPr>
          <w:sz w:val="20"/>
        </w:rPr>
        <w:t>recursos de personal</w:t>
      </w:r>
      <w:r>
        <w:rPr>
          <w:sz w:val="20"/>
        </w:rPr>
        <w:t>.</w:t>
      </w:r>
    </w:p>
    <w:p w:rsidR="00D73B21" w:rsidRPr="00403536" w:rsidRDefault="00D73B21" w:rsidP="00D73B21">
      <w:pPr>
        <w:jc w:val="both"/>
        <w:rPr>
          <w:sz w:val="20"/>
        </w:rPr>
      </w:pPr>
    </w:p>
    <w:p w:rsidR="00D73B21" w:rsidRPr="00B91143" w:rsidRDefault="00D73B21" w:rsidP="00D73B21">
      <w:pPr>
        <w:numPr>
          <w:ilvl w:val="0"/>
          <w:numId w:val="40"/>
        </w:numPr>
        <w:jc w:val="both"/>
        <w:rPr>
          <w:sz w:val="20"/>
        </w:rPr>
      </w:pPr>
      <w:r>
        <w:rPr>
          <w:sz w:val="20"/>
        </w:rPr>
        <w:t>La disminución de</w:t>
      </w:r>
      <w:r w:rsidRPr="004F47F4">
        <w:rPr>
          <w:sz w:val="20"/>
        </w:rPr>
        <w:t xml:space="preserve"> los r</w:t>
      </w:r>
      <w:r>
        <w:rPr>
          <w:sz w:val="20"/>
        </w:rPr>
        <w:t>ecursos asignados a</w:t>
      </w:r>
      <w:r w:rsidRPr="004F47F4">
        <w:rPr>
          <w:sz w:val="20"/>
        </w:rPr>
        <w:t>l resultado IX.2 (</w:t>
      </w:r>
      <w:r w:rsidRPr="00406C66">
        <w:rPr>
          <w:sz w:val="20"/>
        </w:rPr>
        <w:t>Funcionamiento ágil y sin</w:t>
      </w:r>
      <w:r>
        <w:rPr>
          <w:sz w:val="20"/>
        </w:rPr>
        <w:t xml:space="preserve"> contratiempos de la Secretaría) se debe fundamentalmente a la conclusión prevista del </w:t>
      </w:r>
      <w:r w:rsidR="00AE7D43">
        <w:rPr>
          <w:sz w:val="20"/>
        </w:rPr>
        <w:t>Programa de Alineación Estratégica</w:t>
      </w:r>
      <w:r>
        <w:rPr>
          <w:sz w:val="20"/>
        </w:rPr>
        <w:t xml:space="preserve"> en el bienio actual que se refleja en una disminución de 1,2 millones </w:t>
      </w:r>
      <w:r w:rsidRPr="00B91143">
        <w:rPr>
          <w:sz w:val="20"/>
        </w:rPr>
        <w:t>de francos suizos</w:t>
      </w:r>
      <w:r>
        <w:rPr>
          <w:sz w:val="20"/>
        </w:rPr>
        <w:t xml:space="preserve"> en la línea “Otros servicios contractuales” </w:t>
      </w:r>
    </w:p>
    <w:p w:rsidR="00D73B21" w:rsidRPr="004F47F4" w:rsidRDefault="00D73B21" w:rsidP="00D73B21">
      <w:pPr>
        <w:jc w:val="both"/>
        <w:rPr>
          <w:sz w:val="20"/>
        </w:rPr>
      </w:pPr>
    </w:p>
    <w:p w:rsidR="009F58E5" w:rsidRPr="00D73B21" w:rsidRDefault="009F58E5" w:rsidP="009F58E5">
      <w:pPr>
        <w:rPr>
          <w:sz w:val="20"/>
          <w:highlight w:val="yellow"/>
        </w:rPr>
      </w:pPr>
    </w:p>
    <w:p w:rsidR="009F58E5" w:rsidRPr="00C75C7E" w:rsidRDefault="00B258CE" w:rsidP="001B6350">
      <w:pPr>
        <w:autoSpaceDE w:val="0"/>
        <w:autoSpaceDN w:val="0"/>
        <w:adjustRightInd w:val="0"/>
        <w:jc w:val="center"/>
        <w:rPr>
          <w:b/>
          <w:bCs/>
          <w:iCs/>
          <w:sz w:val="20"/>
          <w:lang w:val="es-ES_tradnl"/>
        </w:rPr>
      </w:pPr>
      <w:r>
        <w:rPr>
          <w:b/>
          <w:bCs/>
          <w:iCs/>
          <w:sz w:val="20"/>
          <w:lang w:val="es-ES_tradnl"/>
        </w:rPr>
        <w:t xml:space="preserve">Programa 21:  </w:t>
      </w:r>
      <w:r w:rsidR="009F58E5" w:rsidRPr="00C75C7E">
        <w:rPr>
          <w:b/>
          <w:bCs/>
          <w:iCs/>
          <w:sz w:val="20"/>
          <w:lang w:val="es-ES_tradnl"/>
        </w:rPr>
        <w:t>Recursos por resultado</w:t>
      </w:r>
    </w:p>
    <w:p w:rsidR="009F58E5" w:rsidRPr="00C75C7E" w:rsidRDefault="009F58E5" w:rsidP="001B6350">
      <w:pPr>
        <w:autoSpaceDE w:val="0"/>
        <w:autoSpaceDN w:val="0"/>
        <w:adjustRightInd w:val="0"/>
        <w:jc w:val="center"/>
        <w:rPr>
          <w:bCs/>
          <w:i/>
          <w:sz w:val="20"/>
          <w:lang w:val="es-ES_tradnl"/>
        </w:rPr>
      </w:pPr>
      <w:r w:rsidRPr="00C75C7E">
        <w:rPr>
          <w:bCs/>
          <w:i/>
          <w:sz w:val="20"/>
          <w:lang w:val="es-ES_tradnl"/>
        </w:rPr>
        <w:t>(en miles de francos suizos)</w:t>
      </w:r>
    </w:p>
    <w:p w:rsidR="009F58E5" w:rsidRPr="00C75C7E" w:rsidRDefault="009F58E5" w:rsidP="001B6350">
      <w:pPr>
        <w:autoSpaceDE w:val="0"/>
        <w:autoSpaceDN w:val="0"/>
        <w:adjustRightInd w:val="0"/>
        <w:jc w:val="center"/>
        <w:rPr>
          <w:sz w:val="18"/>
          <w:szCs w:val="18"/>
          <w:lang w:val="es-ES_tradnl"/>
        </w:rPr>
      </w:pPr>
    </w:p>
    <w:p w:rsidR="009F58E5" w:rsidRPr="00C75C7E" w:rsidRDefault="00B258CE" w:rsidP="001B6350">
      <w:pPr>
        <w:jc w:val="center"/>
        <w:rPr>
          <w:sz w:val="18"/>
          <w:szCs w:val="18"/>
          <w:lang w:val="es-ES_tradnl"/>
        </w:rPr>
      </w:pPr>
      <w:r w:rsidRPr="00B258CE">
        <w:rPr>
          <w:noProof/>
          <w:lang w:val="en-US" w:eastAsia="en-US"/>
        </w:rPr>
        <w:drawing>
          <wp:inline distT="0" distB="0" distL="0" distR="0">
            <wp:extent cx="5867400" cy="306705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5867400" cy="3067050"/>
                    </a:xfrm>
                    <a:prstGeom prst="rect">
                      <a:avLst/>
                    </a:prstGeom>
                    <a:noFill/>
                    <a:ln>
                      <a:noFill/>
                    </a:ln>
                  </pic:spPr>
                </pic:pic>
              </a:graphicData>
            </a:graphic>
          </wp:inline>
        </w:drawing>
      </w:r>
    </w:p>
    <w:p w:rsidR="009F58E5" w:rsidRPr="00C75C7E" w:rsidRDefault="009F58E5" w:rsidP="001B6350">
      <w:pPr>
        <w:widowControl w:val="0"/>
        <w:jc w:val="both"/>
        <w:rPr>
          <w:sz w:val="20"/>
          <w:lang w:val="es-ES_tradnl"/>
        </w:rPr>
      </w:pPr>
    </w:p>
    <w:p w:rsidR="009F58E5" w:rsidRPr="00C75C7E" w:rsidRDefault="009F58E5" w:rsidP="001B6350">
      <w:pPr>
        <w:autoSpaceDE w:val="0"/>
        <w:autoSpaceDN w:val="0"/>
        <w:adjustRightInd w:val="0"/>
        <w:rPr>
          <w:sz w:val="20"/>
          <w:lang w:val="es-ES_tradnl"/>
        </w:rPr>
      </w:pPr>
      <w:r w:rsidRPr="00C75C7E">
        <w:rPr>
          <w:sz w:val="16"/>
          <w:szCs w:val="16"/>
          <w:lang w:val="es-ES_tradnl"/>
        </w:rPr>
        <w:t>Nota:</w:t>
      </w:r>
      <w:r>
        <w:rPr>
          <w:sz w:val="16"/>
          <w:szCs w:val="16"/>
          <w:lang w:val="es-ES_tradnl"/>
        </w:rPr>
        <w:t xml:space="preserve"> </w:t>
      </w:r>
      <w:r w:rsidRPr="00C75C7E">
        <w:rPr>
          <w:sz w:val="16"/>
          <w:szCs w:val="16"/>
          <w:lang w:val="es-ES_tradnl"/>
        </w:rPr>
        <w:t xml:space="preserve"> Se ha reexpresado el presupuesto aprobado de 2012/13 y el presupuesto de dicho bienio después de las transferencias, por resultado previsto, para reflejar el marco de resultados de la Organización propuesto para 2014/15.</w:t>
      </w:r>
    </w:p>
    <w:p w:rsidR="009F58E5" w:rsidRPr="00C75C7E" w:rsidRDefault="009F58E5" w:rsidP="009F58E5">
      <w:pPr>
        <w:jc w:val="both"/>
        <w:rPr>
          <w:sz w:val="20"/>
          <w:lang w:val="es-ES_tradnl"/>
        </w:rPr>
      </w:pPr>
    </w:p>
    <w:p w:rsidR="009F58E5" w:rsidRPr="00C75C7E" w:rsidRDefault="00B258CE" w:rsidP="00D73B21">
      <w:pPr>
        <w:keepNext/>
        <w:autoSpaceDE w:val="0"/>
        <w:autoSpaceDN w:val="0"/>
        <w:adjustRightInd w:val="0"/>
        <w:jc w:val="center"/>
        <w:rPr>
          <w:b/>
          <w:bCs/>
          <w:iCs/>
          <w:sz w:val="20"/>
          <w:lang w:val="es-ES_tradnl"/>
        </w:rPr>
      </w:pPr>
      <w:r>
        <w:rPr>
          <w:b/>
          <w:bCs/>
          <w:iCs/>
          <w:sz w:val="20"/>
          <w:lang w:val="es-ES_tradnl"/>
        </w:rPr>
        <w:lastRenderedPageBreak/>
        <w:t xml:space="preserve">Programa 21:  </w:t>
      </w:r>
      <w:r w:rsidR="009F58E5" w:rsidRPr="00C75C7E">
        <w:rPr>
          <w:b/>
          <w:bCs/>
          <w:iCs/>
          <w:sz w:val="20"/>
          <w:lang w:val="es-ES_tradnl"/>
        </w:rPr>
        <w:t>Recursos por objeto de gasto</w:t>
      </w:r>
    </w:p>
    <w:p w:rsidR="009F58E5" w:rsidRPr="00C75C7E" w:rsidRDefault="009F58E5" w:rsidP="00D73B21">
      <w:pPr>
        <w:keepNext/>
        <w:autoSpaceDE w:val="0"/>
        <w:autoSpaceDN w:val="0"/>
        <w:adjustRightInd w:val="0"/>
        <w:jc w:val="center"/>
        <w:rPr>
          <w:bCs/>
          <w:i/>
          <w:sz w:val="20"/>
          <w:lang w:val="es-ES_tradnl"/>
        </w:rPr>
      </w:pPr>
      <w:r w:rsidRPr="00C75C7E">
        <w:rPr>
          <w:bCs/>
          <w:i/>
          <w:sz w:val="20"/>
          <w:lang w:val="es-ES_tradnl"/>
        </w:rPr>
        <w:t>(en miles de francos suizos)</w:t>
      </w:r>
    </w:p>
    <w:p w:rsidR="009F58E5" w:rsidRDefault="009F58E5" w:rsidP="00D73B21">
      <w:pPr>
        <w:keepNext/>
        <w:jc w:val="center"/>
        <w:rPr>
          <w:i/>
          <w:sz w:val="18"/>
          <w:szCs w:val="18"/>
          <w:lang w:val="es-ES_tradnl"/>
        </w:rPr>
      </w:pPr>
    </w:p>
    <w:p w:rsidR="00EA4CD8" w:rsidRPr="00C75C7E" w:rsidRDefault="00C40A11" w:rsidP="00D73B21">
      <w:pPr>
        <w:keepNext/>
        <w:jc w:val="center"/>
        <w:rPr>
          <w:i/>
          <w:sz w:val="18"/>
          <w:szCs w:val="18"/>
          <w:lang w:val="es-ES_tradnl"/>
        </w:rPr>
      </w:pPr>
      <w:r>
        <w:rPr>
          <w:noProof/>
          <w:lang w:val="en-US" w:eastAsia="en-US"/>
        </w:rPr>
        <w:drawing>
          <wp:inline distT="0" distB="0" distL="0" distR="0" wp14:anchorId="190B5ED4" wp14:editId="6441B352">
            <wp:extent cx="5936615" cy="5739130"/>
            <wp:effectExtent l="0" t="0" r="6985"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5936615" cy="5739130"/>
                    </a:xfrm>
                    <a:prstGeom prst="rect">
                      <a:avLst/>
                    </a:prstGeom>
                    <a:noFill/>
                    <a:ln>
                      <a:noFill/>
                    </a:ln>
                  </pic:spPr>
                </pic:pic>
              </a:graphicData>
            </a:graphic>
          </wp:inline>
        </w:drawing>
      </w:r>
    </w:p>
    <w:p w:rsidR="00EA4CD8" w:rsidRDefault="00EA4CD8" w:rsidP="00064129">
      <w:pPr>
        <w:rPr>
          <w:sz w:val="16"/>
          <w:szCs w:val="16"/>
          <w:lang w:val="es-ES_tradnl"/>
        </w:rPr>
      </w:pPr>
    </w:p>
    <w:p w:rsidR="009F58E5" w:rsidRPr="00C75C7E" w:rsidRDefault="009F58E5" w:rsidP="00064129">
      <w:pPr>
        <w:rPr>
          <w:sz w:val="16"/>
          <w:szCs w:val="16"/>
          <w:lang w:val="es-ES_tradnl"/>
        </w:rPr>
      </w:pPr>
      <w:r w:rsidRPr="00C75C7E">
        <w:rPr>
          <w:sz w:val="16"/>
          <w:szCs w:val="16"/>
          <w:lang w:val="es-ES_tradnl"/>
        </w:rPr>
        <w:t>Notas:</w:t>
      </w:r>
    </w:p>
    <w:p w:rsidR="009F58E5" w:rsidRPr="00C75C7E" w:rsidRDefault="009F58E5" w:rsidP="00064129">
      <w:pPr>
        <w:rPr>
          <w:sz w:val="16"/>
          <w:szCs w:val="16"/>
          <w:u w:val="single"/>
          <w:lang w:val="es-ES_tradnl"/>
        </w:rPr>
      </w:pPr>
    </w:p>
    <w:p w:rsidR="009F58E5" w:rsidRPr="00C75C7E" w:rsidRDefault="006951B9" w:rsidP="00064129">
      <w:pPr>
        <w:spacing w:after="120"/>
        <w:rPr>
          <w:sz w:val="16"/>
          <w:szCs w:val="16"/>
          <w:lang w:val="es-ES_tradnl"/>
        </w:rPr>
      </w:pPr>
      <w:r>
        <w:rPr>
          <w:sz w:val="16"/>
          <w:szCs w:val="16"/>
          <w:lang w:val="es-ES_tradnl"/>
        </w:rPr>
        <w:t xml:space="preserve">1)  </w:t>
      </w:r>
      <w:r w:rsidR="009F58E5" w:rsidRPr="00C75C7E">
        <w:rPr>
          <w:sz w:val="16"/>
          <w:szCs w:val="16"/>
          <w:lang w:val="es-ES_tradnl"/>
        </w:rPr>
        <w:t>El presupuesto aprobado de 2012/13 y el presupuesto de dicho bienio después de las transferencias se reexpresan sobre la base de la estructura de categorías de costos propuesta para 2014/15.</w:t>
      </w:r>
    </w:p>
    <w:p w:rsidR="009F58E5" w:rsidRPr="00C75C7E" w:rsidRDefault="009F58E5" w:rsidP="00064129">
      <w:pPr>
        <w:spacing w:after="120"/>
        <w:rPr>
          <w:sz w:val="16"/>
          <w:szCs w:val="16"/>
          <w:lang w:val="es-ES_tradnl"/>
        </w:rPr>
      </w:pPr>
      <w:r>
        <w:rPr>
          <w:sz w:val="16"/>
          <w:szCs w:val="16"/>
          <w:lang w:val="es-ES_tradnl"/>
        </w:rPr>
        <w:t>2)</w:t>
      </w:r>
      <w:r w:rsidR="006951B9">
        <w:rPr>
          <w:sz w:val="16"/>
          <w:szCs w:val="16"/>
          <w:lang w:val="es-ES_tradnl"/>
        </w:rPr>
        <w:t xml:space="preserve">  </w:t>
      </w:r>
      <w:r w:rsidRPr="00C75C7E">
        <w:rPr>
          <w:sz w:val="16"/>
          <w:szCs w:val="16"/>
          <w:lang w:val="es-ES_tradnl"/>
        </w:rPr>
        <w:t>El presupuesto después de las transferencias refleja el presupuesto de los programas ajustado tras las transferencias efectuadas en 2012/13 en virtud del artículo 5.5 del Reglamento Financiero. Para más info</w:t>
      </w:r>
      <w:r w:rsidR="00D86F03">
        <w:rPr>
          <w:sz w:val="16"/>
          <w:szCs w:val="16"/>
          <w:lang w:val="es-ES_tradnl"/>
        </w:rPr>
        <w:t>rmación sobre el presupuesto de </w:t>
      </w:r>
      <w:r w:rsidRPr="00C75C7E">
        <w:rPr>
          <w:sz w:val="16"/>
          <w:szCs w:val="16"/>
          <w:lang w:val="es-ES_tradnl"/>
        </w:rPr>
        <w:t xml:space="preserve">2012/13 después de las transferencias, cabe remitirse al cuadro que figura en el Anexo I (Presupuesto después de las transferencias, por programa) del presente documento y al documento WO/PBC/20/2 (Informe sobre el rendimiento de los programas en 2012).  </w:t>
      </w:r>
      <w:r w:rsidRPr="00C75C7E">
        <w:rPr>
          <w:rFonts w:cs="ArialMT"/>
          <w:sz w:val="16"/>
          <w:szCs w:val="16"/>
          <w:lang w:val="es-ES_tradnl"/>
        </w:rPr>
        <w:t xml:space="preserve">Los costos de personal del presupuesto de 2012/13 después de las transferencias representan los gastos reales efectuados hasta el 31 de marzo de 2013 y los importes presupuestados para los nueve meses restantes de 2013, sobre la base de costos estándar. </w:t>
      </w:r>
    </w:p>
    <w:p w:rsidR="009F58E5" w:rsidRPr="00C75C7E" w:rsidRDefault="009F58E5" w:rsidP="00064129">
      <w:pPr>
        <w:spacing w:after="120"/>
        <w:rPr>
          <w:sz w:val="16"/>
          <w:szCs w:val="16"/>
          <w:lang w:val="es-ES_tradnl"/>
        </w:rPr>
      </w:pPr>
      <w:r>
        <w:rPr>
          <w:sz w:val="16"/>
          <w:szCs w:val="16"/>
          <w:lang w:val="es-ES_tradnl"/>
        </w:rPr>
        <w:t>3)</w:t>
      </w:r>
      <w:r w:rsidR="006951B9">
        <w:rPr>
          <w:sz w:val="16"/>
          <w:szCs w:val="16"/>
          <w:lang w:val="es-ES_tradnl"/>
        </w:rPr>
        <w:t xml:space="preserve">  </w:t>
      </w:r>
      <w:r w:rsidRPr="00C75C7E">
        <w:rPr>
          <w:sz w:val="16"/>
          <w:szCs w:val="16"/>
          <w:lang w:val="es-ES_tradnl"/>
        </w:rPr>
        <w:t>Para más información sobre los puestos del programa cabe remitirse al cuadro que figura en el Anexo II.</w:t>
      </w:r>
    </w:p>
    <w:p w:rsidR="009F58E5" w:rsidRDefault="009F58E5" w:rsidP="00D73B21">
      <w:pPr>
        <w:keepNext/>
        <w:jc w:val="center"/>
        <w:rPr>
          <w:i/>
          <w:sz w:val="18"/>
          <w:szCs w:val="18"/>
          <w:highlight w:val="yellow"/>
          <w:lang w:val="es-ES_tradnl"/>
        </w:rPr>
      </w:pPr>
    </w:p>
    <w:p w:rsidR="009F58E5" w:rsidRPr="00C75C7E" w:rsidRDefault="009F58E5" w:rsidP="00D73B21">
      <w:pPr>
        <w:keepNext/>
        <w:jc w:val="center"/>
        <w:rPr>
          <w:i/>
          <w:sz w:val="18"/>
          <w:szCs w:val="18"/>
          <w:highlight w:val="yellow"/>
          <w:lang w:val="es-ES_tradnl"/>
        </w:rPr>
      </w:pPr>
    </w:p>
    <w:p w:rsidR="009F58E5" w:rsidRPr="00C75C7E" w:rsidRDefault="009F58E5" w:rsidP="00D73B21">
      <w:pPr>
        <w:keepNext/>
        <w:widowControl w:val="0"/>
        <w:jc w:val="center"/>
        <w:rPr>
          <w:sz w:val="16"/>
          <w:szCs w:val="16"/>
          <w:lang w:val="es-ES_tradnl"/>
        </w:rPr>
      </w:pPr>
      <w:r w:rsidRPr="00C75C7E">
        <w:rPr>
          <w:sz w:val="18"/>
          <w:szCs w:val="18"/>
          <w:lang w:val="es-ES_tradnl"/>
        </w:rPr>
        <w:t>Fondos fiduciarios disponibles potencialmente para su utilización en 2014/15*</w:t>
      </w:r>
    </w:p>
    <w:p w:rsidR="009F58E5" w:rsidRPr="00C75C7E" w:rsidRDefault="009F58E5" w:rsidP="00D73B21">
      <w:pPr>
        <w:keepNext/>
        <w:widowControl w:val="0"/>
        <w:jc w:val="center"/>
        <w:rPr>
          <w:sz w:val="18"/>
          <w:szCs w:val="18"/>
          <w:lang w:val="es-ES_tradnl"/>
        </w:rPr>
      </w:pPr>
      <w:r w:rsidRPr="00C75C7E">
        <w:rPr>
          <w:iCs/>
          <w:sz w:val="18"/>
          <w:szCs w:val="18"/>
          <w:lang w:val="es-ES_tradnl"/>
        </w:rPr>
        <w:t>(en miles de francos suizos)</w:t>
      </w:r>
    </w:p>
    <w:p w:rsidR="009F58E5" w:rsidRPr="00C75C7E" w:rsidRDefault="009F58E5" w:rsidP="00D73B21">
      <w:pPr>
        <w:keepNext/>
        <w:jc w:val="center"/>
        <w:rPr>
          <w:i/>
          <w:sz w:val="18"/>
          <w:szCs w:val="18"/>
          <w:lang w:val="es-ES_tradnl"/>
        </w:rPr>
      </w:pPr>
    </w:p>
    <w:p w:rsidR="009F58E5" w:rsidRPr="00C75C7E" w:rsidRDefault="00C40A11" w:rsidP="00D73B21">
      <w:pPr>
        <w:keepNext/>
        <w:jc w:val="center"/>
        <w:rPr>
          <w:lang w:val="es-ES_tradnl"/>
        </w:rPr>
      </w:pPr>
      <w:r>
        <w:rPr>
          <w:noProof/>
          <w:lang w:val="en-US" w:eastAsia="en-US"/>
        </w:rPr>
        <w:drawing>
          <wp:inline distT="0" distB="0" distL="0" distR="0" wp14:anchorId="4789357E" wp14:editId="75D60168">
            <wp:extent cx="4217035" cy="743585"/>
            <wp:effectExtent l="0" t="0" r="0" b="0"/>
            <wp:docPr id="69"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4217035" cy="743585"/>
                    </a:xfrm>
                    <a:prstGeom prst="rect">
                      <a:avLst/>
                    </a:prstGeom>
                    <a:noFill/>
                    <a:ln>
                      <a:noFill/>
                    </a:ln>
                  </pic:spPr>
                </pic:pic>
              </a:graphicData>
            </a:graphic>
          </wp:inline>
        </w:drawing>
      </w:r>
    </w:p>
    <w:p w:rsidR="009F58E5" w:rsidRPr="00C75C7E" w:rsidRDefault="009F58E5" w:rsidP="00064129">
      <w:pPr>
        <w:widowControl w:val="0"/>
        <w:jc w:val="both"/>
        <w:rPr>
          <w:sz w:val="16"/>
          <w:szCs w:val="16"/>
          <w:lang w:val="es-ES_tradnl"/>
        </w:rPr>
      </w:pPr>
    </w:p>
    <w:p w:rsidR="009F58E5" w:rsidRPr="00C75C7E" w:rsidRDefault="009F58E5" w:rsidP="00064129">
      <w:pPr>
        <w:ind w:left="1134"/>
        <w:jc w:val="both"/>
        <w:rPr>
          <w:sz w:val="16"/>
          <w:szCs w:val="16"/>
          <w:lang w:val="es-ES_tradnl"/>
        </w:rPr>
      </w:pPr>
      <w:r w:rsidRPr="00C75C7E">
        <w:rPr>
          <w:sz w:val="16"/>
          <w:szCs w:val="16"/>
          <w:lang w:val="es-ES_tradnl"/>
        </w:rPr>
        <w:t>*  A título informativo únicamente.  Para más información cabe remitirse al Anexo VIII.</w:t>
      </w:r>
    </w:p>
    <w:p w:rsidR="009F58E5" w:rsidRPr="00C75C7E" w:rsidRDefault="009F58E5" w:rsidP="00064129">
      <w:pPr>
        <w:ind w:left="1134"/>
        <w:jc w:val="both"/>
        <w:rPr>
          <w:sz w:val="16"/>
          <w:szCs w:val="16"/>
          <w:lang w:val="es-ES_tradnl"/>
        </w:rPr>
      </w:pPr>
    </w:p>
    <w:p w:rsidR="009F58E5" w:rsidRPr="00C75C7E" w:rsidRDefault="009F58E5" w:rsidP="00064129">
      <w:pPr>
        <w:ind w:left="1134"/>
        <w:jc w:val="both"/>
        <w:rPr>
          <w:sz w:val="16"/>
          <w:szCs w:val="16"/>
          <w:lang w:val="es-ES_tradnl"/>
        </w:rPr>
      </w:pPr>
      <w:r w:rsidRPr="00C75C7E">
        <w:rPr>
          <w:sz w:val="16"/>
          <w:szCs w:val="16"/>
          <w:lang w:val="es-ES_tradnl"/>
        </w:rPr>
        <w:t>**  En las cifras no se han incluido los intereses ni los ajustes cambiarios.  Cabe observar asimismo que estos fondos se destinan generalmente a actividades que cubren un período que va más allá de un solo bienio, a medida que se reciben los ingresos y se incurre en gastos.</w:t>
      </w:r>
    </w:p>
    <w:p w:rsidR="009F58E5" w:rsidRPr="00C75C7E" w:rsidRDefault="009F58E5" w:rsidP="00064129">
      <w:pPr>
        <w:ind w:left="1134"/>
        <w:jc w:val="both"/>
        <w:rPr>
          <w:sz w:val="16"/>
          <w:szCs w:val="16"/>
          <w:lang w:val="es-ES_tradnl"/>
        </w:rPr>
      </w:pPr>
    </w:p>
    <w:p w:rsidR="009F58E5" w:rsidRPr="00C75C7E" w:rsidRDefault="009F58E5" w:rsidP="00064129">
      <w:pPr>
        <w:ind w:left="1134"/>
        <w:jc w:val="both"/>
        <w:rPr>
          <w:sz w:val="16"/>
          <w:szCs w:val="16"/>
          <w:lang w:val="es-ES_tradnl"/>
        </w:rPr>
      </w:pPr>
      <w:r w:rsidRPr="00C75C7E">
        <w:rPr>
          <w:sz w:val="16"/>
          <w:szCs w:val="16"/>
          <w:lang w:val="es-ES_tradnl"/>
        </w:rPr>
        <w:t>***  Las contribuciones anuales varían y se han observado fluctuaciones de un año a otro.</w:t>
      </w:r>
    </w:p>
    <w:p w:rsidR="009F58E5" w:rsidRPr="00C75C7E" w:rsidRDefault="009F58E5" w:rsidP="00064129">
      <w:pPr>
        <w:ind w:left="1134"/>
        <w:jc w:val="both"/>
        <w:rPr>
          <w:sz w:val="16"/>
          <w:szCs w:val="16"/>
          <w:lang w:val="es-ES_tradnl"/>
        </w:rPr>
      </w:pPr>
    </w:p>
    <w:p w:rsidR="009F58E5" w:rsidRPr="00C75C7E" w:rsidRDefault="009F58E5" w:rsidP="00064129">
      <w:pPr>
        <w:ind w:left="1134"/>
        <w:jc w:val="both"/>
        <w:rPr>
          <w:i/>
          <w:sz w:val="18"/>
          <w:szCs w:val="18"/>
          <w:lang w:val="es-ES_tradnl"/>
        </w:rPr>
      </w:pPr>
      <w:r w:rsidRPr="00C75C7E">
        <w:rPr>
          <w:sz w:val="16"/>
          <w:szCs w:val="16"/>
          <w:lang w:val="es-ES_tradnl"/>
        </w:rPr>
        <w:t>****  Las cifras expuestas en esta columna son puramente indicativas y se basan en patrones de financiación anteriores.  Además, no representan los compromisos de los Estados miembros salvo cuando quedan incluidos en el acuerdo de fondos fiduciarios.</w:t>
      </w:r>
    </w:p>
    <w:p w:rsidR="00D73B21" w:rsidRPr="000B01FE" w:rsidRDefault="009F58E5" w:rsidP="000B01FE">
      <w:pPr>
        <w:pStyle w:val="Heading3"/>
        <w:keepNext w:val="0"/>
        <w:widowControl w:val="0"/>
        <w:tabs>
          <w:tab w:val="left" w:pos="1985"/>
        </w:tabs>
        <w:rPr>
          <w:b/>
          <w:u w:val="none"/>
          <w:lang w:val="es-ES_tradnl"/>
        </w:rPr>
      </w:pPr>
      <w:r w:rsidRPr="00C75C7E">
        <w:rPr>
          <w:sz w:val="20"/>
          <w:lang w:val="es-ES_tradnl"/>
        </w:rPr>
        <w:br w:type="page"/>
      </w:r>
      <w:bookmarkStart w:id="77" w:name="_Toc356567777"/>
      <w:bookmarkStart w:id="78" w:name="_Toc358816715"/>
      <w:r w:rsidR="000B01FE" w:rsidRPr="000B01FE">
        <w:rPr>
          <w:b/>
          <w:u w:val="none"/>
          <w:lang w:val="es-ES_tradnl"/>
        </w:rPr>
        <w:lastRenderedPageBreak/>
        <w:t>PROGRAMA 22</w:t>
      </w:r>
      <w:r w:rsidR="000B01FE" w:rsidRPr="000B01FE">
        <w:rPr>
          <w:b/>
          <w:u w:val="none"/>
          <w:lang w:val="es-ES_tradnl"/>
        </w:rPr>
        <w:tab/>
        <w:t>GESTIÓN DE PROGRAMAS Y RECURSOS</w:t>
      </w:r>
      <w:bookmarkEnd w:id="77"/>
      <w:bookmarkEnd w:id="78"/>
    </w:p>
    <w:p w:rsidR="00D73B21" w:rsidRPr="00291442" w:rsidRDefault="00D73B21" w:rsidP="006A15F5"/>
    <w:p w:rsidR="00D73B21" w:rsidRPr="00291442" w:rsidRDefault="00D73B21" w:rsidP="006A15F5">
      <w:pPr>
        <w:rPr>
          <w:b/>
        </w:rPr>
      </w:pPr>
    </w:p>
    <w:p w:rsidR="00D73B21" w:rsidRPr="000B01FE" w:rsidRDefault="00D73B21" w:rsidP="000B01FE">
      <w:pPr>
        <w:pStyle w:val="BodyTextIndent"/>
        <w:widowControl w:val="0"/>
        <w:ind w:left="1985" w:hanging="1985"/>
        <w:jc w:val="both"/>
        <w:rPr>
          <w:rFonts w:ascii="Arial" w:hAnsi="Arial" w:cs="Arial"/>
          <w:sz w:val="22"/>
          <w:szCs w:val="22"/>
          <w:lang w:val="es-ES_tradnl"/>
        </w:rPr>
      </w:pPr>
      <w:r w:rsidRPr="000B01FE">
        <w:rPr>
          <w:rFonts w:ascii="Arial" w:hAnsi="Arial" w:cs="Arial"/>
          <w:sz w:val="22"/>
          <w:szCs w:val="22"/>
          <w:lang w:val="es-ES_tradnl"/>
        </w:rPr>
        <w:t>CONTEXTO DE PLANIFICACIÓN</w:t>
      </w:r>
    </w:p>
    <w:p w:rsidR="00D73B21" w:rsidRDefault="00D73B21" w:rsidP="000B01FE">
      <w:pPr>
        <w:widowControl w:val="0"/>
        <w:ind w:left="6"/>
        <w:jc w:val="both"/>
        <w:rPr>
          <w:sz w:val="20"/>
        </w:rPr>
      </w:pPr>
    </w:p>
    <w:p w:rsidR="00D73B21" w:rsidRPr="000E1F1E" w:rsidRDefault="00D73B21" w:rsidP="00D73B21">
      <w:pPr>
        <w:numPr>
          <w:ilvl w:val="0"/>
          <w:numId w:val="41"/>
        </w:numPr>
        <w:jc w:val="both"/>
        <w:rPr>
          <w:sz w:val="20"/>
        </w:rPr>
      </w:pPr>
      <w:r w:rsidRPr="000E1F1E">
        <w:rPr>
          <w:sz w:val="20"/>
        </w:rPr>
        <w:t>El moderado optimismo</w:t>
      </w:r>
      <w:r>
        <w:rPr>
          <w:sz w:val="20"/>
        </w:rPr>
        <w:t xml:space="preserve"> de la economía mundial, el</w:t>
      </w:r>
      <w:r w:rsidRPr="000E1F1E">
        <w:rPr>
          <w:sz w:val="20"/>
        </w:rPr>
        <w:t xml:space="preserve"> </w:t>
      </w:r>
      <w:r>
        <w:rPr>
          <w:sz w:val="20"/>
        </w:rPr>
        <w:t>modesto</w:t>
      </w:r>
      <w:r w:rsidRPr="000E1F1E">
        <w:rPr>
          <w:sz w:val="20"/>
        </w:rPr>
        <w:t xml:space="preserve"> crecimiento de los</w:t>
      </w:r>
      <w:r>
        <w:rPr>
          <w:sz w:val="20"/>
        </w:rPr>
        <w:t xml:space="preserve"> i</w:t>
      </w:r>
      <w:r w:rsidRPr="000E1F1E">
        <w:rPr>
          <w:sz w:val="20"/>
        </w:rPr>
        <w:t>ngresos</w:t>
      </w:r>
      <w:r>
        <w:rPr>
          <w:sz w:val="20"/>
        </w:rPr>
        <w:t xml:space="preserve">, el incremento de los costos de personal </w:t>
      </w:r>
      <w:r w:rsidRPr="000E1F1E">
        <w:rPr>
          <w:sz w:val="20"/>
        </w:rPr>
        <w:t xml:space="preserve">y la creciente demanda de servicios de la OMPI </w:t>
      </w:r>
      <w:r>
        <w:rPr>
          <w:sz w:val="20"/>
        </w:rPr>
        <w:t xml:space="preserve">siguen definiendo </w:t>
      </w:r>
      <w:r w:rsidRPr="000E1F1E">
        <w:rPr>
          <w:sz w:val="20"/>
        </w:rPr>
        <w:t>el contexto de este programa</w:t>
      </w:r>
      <w:r>
        <w:rPr>
          <w:sz w:val="20"/>
        </w:rPr>
        <w:t xml:space="preserve"> en el bienio 2014/15</w:t>
      </w:r>
      <w:r w:rsidRPr="000E1F1E">
        <w:rPr>
          <w:sz w:val="20"/>
        </w:rPr>
        <w:t>. En el</w:t>
      </w:r>
      <w:r>
        <w:rPr>
          <w:sz w:val="20"/>
        </w:rPr>
        <w:t xml:space="preserve"> presente bienio se ha</w:t>
      </w:r>
      <w:r w:rsidRPr="000E1F1E">
        <w:rPr>
          <w:sz w:val="20"/>
        </w:rPr>
        <w:t xml:space="preserve"> constatado</w:t>
      </w:r>
      <w:r>
        <w:rPr>
          <w:sz w:val="20"/>
        </w:rPr>
        <w:t xml:space="preserve"> la incidencia positiva</w:t>
      </w:r>
      <w:r w:rsidRPr="000E1F1E">
        <w:rPr>
          <w:sz w:val="20"/>
        </w:rPr>
        <w:t xml:space="preserve"> del </w:t>
      </w:r>
      <w:r w:rsidR="00AE7D43">
        <w:rPr>
          <w:sz w:val="20"/>
        </w:rPr>
        <w:t>Programa de Alineación Estratégica</w:t>
      </w:r>
      <w:r w:rsidRPr="000E1F1E">
        <w:rPr>
          <w:sz w:val="20"/>
        </w:rPr>
        <w:t xml:space="preserve"> </w:t>
      </w:r>
      <w:r>
        <w:rPr>
          <w:sz w:val="20"/>
        </w:rPr>
        <w:t>en el fortalecimiento de</w:t>
      </w:r>
      <w:r w:rsidRPr="000E1F1E">
        <w:rPr>
          <w:sz w:val="20"/>
        </w:rPr>
        <w:t>: a) el enfoque basado en los resultados para la gestión de las</w:t>
      </w:r>
      <w:r>
        <w:rPr>
          <w:sz w:val="20"/>
        </w:rPr>
        <w:t xml:space="preserve"> </w:t>
      </w:r>
      <w:r w:rsidRPr="000E1F1E">
        <w:rPr>
          <w:sz w:val="20"/>
        </w:rPr>
        <w:t>actividades de la Organización; b) la gest</w:t>
      </w:r>
      <w:r>
        <w:rPr>
          <w:sz w:val="20"/>
        </w:rPr>
        <w:t>ión de los recursos financieros</w:t>
      </w:r>
      <w:r w:rsidRPr="000E1F1E">
        <w:rPr>
          <w:sz w:val="20"/>
        </w:rPr>
        <w:t xml:space="preserve"> y c) los controles internos.</w:t>
      </w:r>
    </w:p>
    <w:p w:rsidR="00D73B21" w:rsidRPr="000E1F1E" w:rsidRDefault="00D73B21" w:rsidP="00D73B21">
      <w:pPr>
        <w:jc w:val="both"/>
        <w:rPr>
          <w:sz w:val="20"/>
        </w:rPr>
      </w:pPr>
    </w:p>
    <w:p w:rsidR="00D73B21" w:rsidRDefault="00D73B21" w:rsidP="00D73B21">
      <w:pPr>
        <w:numPr>
          <w:ilvl w:val="0"/>
          <w:numId w:val="41"/>
        </w:numPr>
        <w:jc w:val="both"/>
        <w:rPr>
          <w:sz w:val="20"/>
        </w:rPr>
      </w:pPr>
      <w:r w:rsidRPr="00CC6768">
        <w:rPr>
          <w:sz w:val="20"/>
        </w:rPr>
        <w:t>El perfeccionamiento</w:t>
      </w:r>
      <w:r>
        <w:rPr>
          <w:sz w:val="20"/>
        </w:rPr>
        <w:t xml:space="preserve"> de</w:t>
      </w:r>
      <w:r w:rsidRPr="00CC6768">
        <w:rPr>
          <w:sz w:val="20"/>
        </w:rPr>
        <w:t xml:space="preserve"> la gestión por resultados</w:t>
      </w:r>
      <w:r>
        <w:rPr>
          <w:sz w:val="20"/>
        </w:rPr>
        <w:t xml:space="preserve"> mejoró los planes de trabajo anuales del bienio</w:t>
      </w:r>
      <w:r w:rsidR="00D86F03">
        <w:rPr>
          <w:sz w:val="20"/>
        </w:rPr>
        <w:t> </w:t>
      </w:r>
      <w:r>
        <w:rPr>
          <w:sz w:val="20"/>
        </w:rPr>
        <w:t xml:space="preserve">2012/13.  El </w:t>
      </w:r>
      <w:r w:rsidRPr="00B81018">
        <w:rPr>
          <w:sz w:val="20"/>
        </w:rPr>
        <w:t>principio de</w:t>
      </w:r>
      <w:r>
        <w:rPr>
          <w:sz w:val="20"/>
        </w:rPr>
        <w:t xml:space="preserve"> la</w:t>
      </w:r>
      <w:r w:rsidRPr="00B81018">
        <w:rPr>
          <w:sz w:val="20"/>
        </w:rPr>
        <w:t xml:space="preserve"> planificación por resultados</w:t>
      </w:r>
      <w:r>
        <w:rPr>
          <w:sz w:val="20"/>
        </w:rPr>
        <w:t xml:space="preserve"> adoptado para la elaboración del</w:t>
      </w:r>
      <w:r w:rsidRPr="00B81018">
        <w:rPr>
          <w:sz w:val="20"/>
        </w:rPr>
        <w:t xml:space="preserve"> presupuesto por programas</w:t>
      </w:r>
      <w:r>
        <w:rPr>
          <w:sz w:val="20"/>
        </w:rPr>
        <w:t xml:space="preserve"> 2014/15 y </w:t>
      </w:r>
      <w:r w:rsidRPr="00B81018">
        <w:rPr>
          <w:sz w:val="20"/>
        </w:rPr>
        <w:t>la gestión</w:t>
      </w:r>
      <w:r>
        <w:rPr>
          <w:sz w:val="20"/>
        </w:rPr>
        <w:t xml:space="preserve"> </w:t>
      </w:r>
      <w:r w:rsidRPr="00B81018">
        <w:rPr>
          <w:sz w:val="20"/>
        </w:rPr>
        <w:t>de los riesgos</w:t>
      </w:r>
      <w:r>
        <w:rPr>
          <w:sz w:val="20"/>
        </w:rPr>
        <w:t xml:space="preserve"> aplicada en toda la Organización han dado como resultado un plan bienal principalmente centrado en la obtención de resultados y la mejora de la ejecución de los programas mediante un marco de resultados consolidado y mejorado; y unos indicadores de rendimiento que muestran claramente la contribución que aportan los programas a los resultados de la Organización.  Gracias a los progresos realizados en la </w:t>
      </w:r>
      <w:r w:rsidRPr="00CC6768">
        <w:rPr>
          <w:sz w:val="20"/>
        </w:rPr>
        <w:t>gestión por resultados</w:t>
      </w:r>
      <w:r>
        <w:rPr>
          <w:sz w:val="20"/>
        </w:rPr>
        <w:t xml:space="preserve"> aplicada en toda la Organización, este programa se encuentra ahora en una fase más adecuada para la puesta en práctica de un enfoque exhaustivo de gestión del rendimiento de la Organización que abarca principios de gestión interna, operativa y financiera.</w:t>
      </w:r>
    </w:p>
    <w:p w:rsidR="00D73B21" w:rsidRDefault="00D73B21" w:rsidP="00D73B21">
      <w:pPr>
        <w:ind w:left="6"/>
        <w:jc w:val="both"/>
        <w:rPr>
          <w:sz w:val="20"/>
        </w:rPr>
      </w:pPr>
    </w:p>
    <w:p w:rsidR="00D73B21" w:rsidRDefault="00D73B21" w:rsidP="00D73B21">
      <w:pPr>
        <w:ind w:left="6"/>
        <w:jc w:val="both"/>
        <w:rPr>
          <w:sz w:val="20"/>
        </w:rPr>
      </w:pPr>
    </w:p>
    <w:p w:rsidR="00D73B21" w:rsidRPr="00CC6768" w:rsidRDefault="00D73B21" w:rsidP="00D73B21">
      <w:pPr>
        <w:tabs>
          <w:tab w:val="left" w:pos="567"/>
          <w:tab w:val="left" w:pos="1985"/>
        </w:tabs>
        <w:jc w:val="both"/>
        <w:rPr>
          <w:bCs/>
          <w:szCs w:val="22"/>
        </w:rPr>
      </w:pPr>
      <w:r>
        <w:rPr>
          <w:bCs/>
          <w:szCs w:val="22"/>
        </w:rPr>
        <w:t xml:space="preserve">ESTRATEGIAS DE </w:t>
      </w:r>
      <w:r w:rsidR="000B01FE">
        <w:rPr>
          <w:bCs/>
          <w:szCs w:val="22"/>
        </w:rPr>
        <w:t>EJECUCIÓN</w:t>
      </w:r>
    </w:p>
    <w:p w:rsidR="00D73B21" w:rsidRDefault="00D73B21" w:rsidP="00D73B21">
      <w:pPr>
        <w:ind w:left="6"/>
        <w:jc w:val="both"/>
        <w:rPr>
          <w:sz w:val="20"/>
        </w:rPr>
      </w:pPr>
    </w:p>
    <w:p w:rsidR="00D73B21" w:rsidRPr="00A460D9" w:rsidRDefault="00D73B21" w:rsidP="00D73B21">
      <w:pPr>
        <w:numPr>
          <w:ilvl w:val="0"/>
          <w:numId w:val="41"/>
        </w:numPr>
        <w:jc w:val="both"/>
        <w:rPr>
          <w:sz w:val="20"/>
        </w:rPr>
      </w:pPr>
      <w:r w:rsidRPr="00363417">
        <w:rPr>
          <w:sz w:val="20"/>
        </w:rPr>
        <w:t xml:space="preserve">Uno de los </w:t>
      </w:r>
      <w:r>
        <w:rPr>
          <w:sz w:val="20"/>
        </w:rPr>
        <w:t>objetivos principales</w:t>
      </w:r>
      <w:r w:rsidRPr="00363417">
        <w:rPr>
          <w:sz w:val="20"/>
        </w:rPr>
        <w:t xml:space="preserve"> </w:t>
      </w:r>
      <w:r>
        <w:rPr>
          <w:sz w:val="20"/>
        </w:rPr>
        <w:t>de las actividades durante el bienio 2014/13 será garantizar el fortalecimiento de los procesos de aplicación, seguimiento y evaluación para brindar mayor visibilidad sobre la situación de las iniciativas en curso.  Esto permitirá que los directores de programas participen par</w:t>
      </w:r>
      <w:r w:rsidR="008C23ED">
        <w:rPr>
          <w:sz w:val="20"/>
        </w:rPr>
        <w:t>a</w:t>
      </w:r>
      <w:r>
        <w:rPr>
          <w:sz w:val="20"/>
        </w:rPr>
        <w:t xml:space="preserve"> continuar mejorando la ejecución de los programas.  La puesta en práctica de las principales funciones del sistema </w:t>
      </w:r>
      <w:r w:rsidRPr="00463CD1">
        <w:rPr>
          <w:rFonts w:ascii="ArialMT" w:hAnsi="ArialMT" w:cs="ArialMT"/>
          <w:sz w:val="20"/>
          <w:lang w:eastAsia="fr-FR"/>
        </w:rPr>
        <w:t>de</w:t>
      </w:r>
      <w:r>
        <w:rPr>
          <w:rFonts w:ascii="ArialMT" w:hAnsi="ArialMT" w:cs="ArialMT"/>
          <w:sz w:val="20"/>
          <w:lang w:eastAsia="fr-FR"/>
        </w:rPr>
        <w:t xml:space="preserve"> planificación de r</w:t>
      </w:r>
      <w:r w:rsidRPr="00463CD1">
        <w:rPr>
          <w:rFonts w:ascii="ArialMT" w:hAnsi="ArialMT" w:cs="ArialMT"/>
          <w:sz w:val="20"/>
          <w:lang w:eastAsia="fr-FR"/>
        </w:rPr>
        <w:t>ecursos</w:t>
      </w:r>
      <w:r>
        <w:rPr>
          <w:rFonts w:ascii="ArialMT" w:hAnsi="ArialMT" w:cs="ArialMT"/>
          <w:sz w:val="20"/>
          <w:lang w:eastAsia="fr-FR"/>
        </w:rPr>
        <w:t xml:space="preserve"> institucionales</w:t>
      </w:r>
      <w:r w:rsidRPr="00463CD1">
        <w:rPr>
          <w:rFonts w:ascii="ArialMT" w:hAnsi="ArialMT" w:cs="ArialMT"/>
          <w:sz w:val="20"/>
          <w:lang w:eastAsia="fr-FR"/>
        </w:rPr>
        <w:t xml:space="preserve"> </w:t>
      </w:r>
      <w:r>
        <w:rPr>
          <w:sz w:val="20"/>
        </w:rPr>
        <w:t xml:space="preserve">y la plena integración de los sistemas de gestión financiera, de recursos humanos y de </w:t>
      </w:r>
      <w:r w:rsidRPr="00AF2C18">
        <w:rPr>
          <w:sz w:val="20"/>
        </w:rPr>
        <w:t>gestión por</w:t>
      </w:r>
      <w:r>
        <w:rPr>
          <w:sz w:val="20"/>
        </w:rPr>
        <w:t xml:space="preserve"> </w:t>
      </w:r>
      <w:r w:rsidRPr="00AF2C18">
        <w:rPr>
          <w:sz w:val="20"/>
        </w:rPr>
        <w:t>resultados</w:t>
      </w:r>
      <w:r>
        <w:rPr>
          <w:sz w:val="20"/>
        </w:rPr>
        <w:t xml:space="preserve"> de la OMPI garantizarán el desarrollo de</w:t>
      </w:r>
      <w:r w:rsidRPr="00E02CD0">
        <w:rPr>
          <w:sz w:val="20"/>
        </w:rPr>
        <w:t xml:space="preserve"> sistemas que sean compatibles y se respalden mutuamente</w:t>
      </w:r>
      <w:r>
        <w:rPr>
          <w:sz w:val="20"/>
        </w:rPr>
        <w:t xml:space="preserve"> </w:t>
      </w:r>
      <w:r w:rsidRPr="00E02CD0">
        <w:rPr>
          <w:sz w:val="20"/>
        </w:rPr>
        <w:t>con el fin de</w:t>
      </w:r>
      <w:r>
        <w:rPr>
          <w:sz w:val="20"/>
        </w:rPr>
        <w:t xml:space="preserve"> incorporar</w:t>
      </w:r>
      <w:r w:rsidRPr="00E02CD0">
        <w:rPr>
          <w:sz w:val="20"/>
        </w:rPr>
        <w:t xml:space="preserve"> la planificación, el seguimiento y la presentación de informes tanto en el ámbito financiero</w:t>
      </w:r>
      <w:r>
        <w:rPr>
          <w:sz w:val="20"/>
        </w:rPr>
        <w:t xml:space="preserve"> </w:t>
      </w:r>
      <w:r w:rsidRPr="00E02CD0">
        <w:rPr>
          <w:sz w:val="20"/>
        </w:rPr>
        <w:t>como programático.</w:t>
      </w:r>
    </w:p>
    <w:p w:rsidR="00D73B21" w:rsidRPr="00363417" w:rsidRDefault="00D73B21" w:rsidP="00D73B21">
      <w:pPr>
        <w:ind w:left="6"/>
        <w:jc w:val="both"/>
        <w:rPr>
          <w:sz w:val="20"/>
        </w:rPr>
      </w:pPr>
    </w:p>
    <w:p w:rsidR="00D73B21" w:rsidRPr="001A790F" w:rsidRDefault="00D73B21" w:rsidP="00D73B21">
      <w:pPr>
        <w:numPr>
          <w:ilvl w:val="0"/>
          <w:numId w:val="41"/>
        </w:numPr>
        <w:jc w:val="both"/>
        <w:rPr>
          <w:sz w:val="20"/>
        </w:rPr>
      </w:pPr>
      <w:r w:rsidRPr="008F1AC7">
        <w:rPr>
          <w:sz w:val="20"/>
        </w:rPr>
        <w:t>Entre otras de las prioridades del programa figuran</w:t>
      </w:r>
      <w:r>
        <w:rPr>
          <w:sz w:val="20"/>
        </w:rPr>
        <w:t xml:space="preserve"> el continuo </w:t>
      </w:r>
      <w:r w:rsidRPr="00F33EDF">
        <w:rPr>
          <w:sz w:val="20"/>
        </w:rPr>
        <w:t xml:space="preserve">perfeccionamiento </w:t>
      </w:r>
      <w:r>
        <w:rPr>
          <w:sz w:val="20"/>
        </w:rPr>
        <w:t xml:space="preserve">tanto </w:t>
      </w:r>
      <w:r w:rsidRPr="00F33EDF">
        <w:rPr>
          <w:sz w:val="20"/>
        </w:rPr>
        <w:t>de los procesos de gestión y previsión de ingresos de la OMPI</w:t>
      </w:r>
      <w:r>
        <w:rPr>
          <w:sz w:val="20"/>
        </w:rPr>
        <w:t xml:space="preserve"> como aquellos que realizan un seguimiento del gasto sobre la base del progreso realizado en el bienio 2012/13. El objetivo es fortalecer </w:t>
      </w:r>
      <w:r w:rsidRPr="009D42EC">
        <w:rPr>
          <w:sz w:val="20"/>
        </w:rPr>
        <w:t>la institucionalización de una cultura del gasto responsable</w:t>
      </w:r>
      <w:r>
        <w:rPr>
          <w:sz w:val="20"/>
        </w:rPr>
        <w:t xml:space="preserve"> y efectuar controles en los ámbitos en los que se hayan identificado </w:t>
      </w:r>
      <w:r w:rsidRPr="009D42EC">
        <w:rPr>
          <w:sz w:val="20"/>
        </w:rPr>
        <w:t>oportunidades para realizar mejoras</w:t>
      </w:r>
      <w:r>
        <w:rPr>
          <w:sz w:val="20"/>
        </w:rPr>
        <w:t xml:space="preserve">.  La puesta en práctica del </w:t>
      </w:r>
      <w:r w:rsidRPr="00463CD1">
        <w:rPr>
          <w:sz w:val="20"/>
        </w:rPr>
        <w:t>sistema de</w:t>
      </w:r>
      <w:r>
        <w:rPr>
          <w:sz w:val="20"/>
        </w:rPr>
        <w:t xml:space="preserve"> planificación </w:t>
      </w:r>
      <w:r w:rsidR="00425E19">
        <w:rPr>
          <w:sz w:val="20"/>
        </w:rPr>
        <w:t>de los</w:t>
      </w:r>
      <w:r>
        <w:rPr>
          <w:sz w:val="20"/>
        </w:rPr>
        <w:t xml:space="preserve"> recursos</w:t>
      </w:r>
      <w:r w:rsidR="00425E19">
        <w:rPr>
          <w:sz w:val="20"/>
        </w:rPr>
        <w:t xml:space="preserve"> institucionales</w:t>
      </w:r>
      <w:r>
        <w:rPr>
          <w:sz w:val="20"/>
        </w:rPr>
        <w:t xml:space="preserve"> y de mejores capacidades </w:t>
      </w:r>
      <w:r w:rsidR="00425E19">
        <w:rPr>
          <w:sz w:val="20"/>
        </w:rPr>
        <w:t xml:space="preserve">para </w:t>
      </w:r>
      <w:r w:rsidRPr="005D518D">
        <w:rPr>
          <w:sz w:val="20"/>
        </w:rPr>
        <w:t>la presentación de informes</w:t>
      </w:r>
      <w:r>
        <w:rPr>
          <w:sz w:val="20"/>
        </w:rPr>
        <w:t xml:space="preserve"> representa una gran oportunidad para utilizar los instrumentos de análisis y la </w:t>
      </w:r>
      <w:r w:rsidRPr="001A790F">
        <w:rPr>
          <w:sz w:val="20"/>
        </w:rPr>
        <w:t>información institucional</w:t>
      </w:r>
      <w:r>
        <w:rPr>
          <w:sz w:val="20"/>
        </w:rPr>
        <w:t xml:space="preserve"> para comunicar acerca de las decisiones en materia de programas y de gestión de recursos.  Un sistema de presentación de informes mejorado también permitirá que en el marco del programa se evalúe y se siga reforzando los controles donde sea necesario.</w:t>
      </w:r>
    </w:p>
    <w:p w:rsidR="00D73B21" w:rsidRPr="008F1AC7" w:rsidRDefault="00D73B21" w:rsidP="00D73B21">
      <w:pPr>
        <w:jc w:val="both"/>
        <w:rPr>
          <w:sz w:val="20"/>
        </w:rPr>
      </w:pPr>
    </w:p>
    <w:p w:rsidR="00D73B21" w:rsidRPr="0083089F" w:rsidRDefault="00D73B21" w:rsidP="00D73B21">
      <w:pPr>
        <w:numPr>
          <w:ilvl w:val="0"/>
          <w:numId w:val="41"/>
        </w:numPr>
        <w:jc w:val="both"/>
        <w:rPr>
          <w:sz w:val="20"/>
        </w:rPr>
      </w:pPr>
      <w:r w:rsidRPr="00B509F3">
        <w:rPr>
          <w:sz w:val="20"/>
        </w:rPr>
        <w:t xml:space="preserve">En el próximo bienio el programa </w:t>
      </w:r>
      <w:r>
        <w:rPr>
          <w:sz w:val="20"/>
        </w:rPr>
        <w:t>ofrecerá un apoyo</w:t>
      </w:r>
      <w:r w:rsidRPr="00B509F3">
        <w:rPr>
          <w:sz w:val="20"/>
        </w:rPr>
        <w:t xml:space="preserve"> activ</w:t>
      </w:r>
      <w:r>
        <w:rPr>
          <w:sz w:val="20"/>
        </w:rPr>
        <w:t xml:space="preserve">o a los directores de programas para el análisis de sus actividades y modelos de ejecución con el fin de identificar oportunidades de mejorar de manera continua el rendimiento y la </w:t>
      </w:r>
      <w:r w:rsidRPr="00796D52">
        <w:rPr>
          <w:sz w:val="20"/>
        </w:rPr>
        <w:t>eficacia en función</w:t>
      </w:r>
      <w:r>
        <w:rPr>
          <w:sz w:val="20"/>
        </w:rPr>
        <w:t xml:space="preserve"> </w:t>
      </w:r>
      <w:r w:rsidRPr="00796D52">
        <w:rPr>
          <w:sz w:val="20"/>
        </w:rPr>
        <w:t>de los costos</w:t>
      </w:r>
      <w:r>
        <w:rPr>
          <w:sz w:val="20"/>
        </w:rPr>
        <w:t>.</w:t>
      </w:r>
    </w:p>
    <w:p w:rsidR="00D73B21" w:rsidRPr="00B509F3" w:rsidRDefault="00D73B21" w:rsidP="00D73B21">
      <w:pPr>
        <w:ind w:left="6"/>
        <w:jc w:val="both"/>
        <w:rPr>
          <w:sz w:val="20"/>
        </w:rPr>
      </w:pPr>
    </w:p>
    <w:p w:rsidR="00D73B21" w:rsidRPr="009F324F" w:rsidRDefault="00D73B21" w:rsidP="00D73B21">
      <w:pPr>
        <w:numPr>
          <w:ilvl w:val="0"/>
          <w:numId w:val="41"/>
        </w:numPr>
        <w:jc w:val="both"/>
        <w:rPr>
          <w:sz w:val="20"/>
        </w:rPr>
      </w:pPr>
      <w:r>
        <w:rPr>
          <w:sz w:val="20"/>
        </w:rPr>
        <w:t>Se seguirá realizando</w:t>
      </w:r>
      <w:r w:rsidRPr="009F324F">
        <w:rPr>
          <w:sz w:val="20"/>
        </w:rPr>
        <w:t xml:space="preserve"> esfuerzos para mejorar</w:t>
      </w:r>
      <w:r>
        <w:rPr>
          <w:sz w:val="20"/>
        </w:rPr>
        <w:t xml:space="preserve"> la gestión financiera y los controles</w:t>
      </w:r>
      <w:r w:rsidR="00425E19">
        <w:rPr>
          <w:sz w:val="20"/>
        </w:rPr>
        <w:t>,</w:t>
      </w:r>
      <w:r>
        <w:rPr>
          <w:sz w:val="20"/>
        </w:rPr>
        <w:t xml:space="preserve"> sobre la base de los resultados de las iniciativas </w:t>
      </w:r>
      <w:r w:rsidR="00D86F03">
        <w:rPr>
          <w:sz w:val="20"/>
        </w:rPr>
        <w:t xml:space="preserve">tendentes </w:t>
      </w:r>
      <w:r>
        <w:rPr>
          <w:sz w:val="20"/>
        </w:rPr>
        <w:t>a fortalecer los recursos financieros, el</w:t>
      </w:r>
      <w:r w:rsidRPr="009F324F">
        <w:rPr>
          <w:sz w:val="20"/>
        </w:rPr>
        <w:t xml:space="preserve"> sistema de control interno</w:t>
      </w:r>
      <w:r>
        <w:rPr>
          <w:sz w:val="20"/>
        </w:rPr>
        <w:t xml:space="preserve"> y la gestión de riesgos establecidas </w:t>
      </w:r>
      <w:r>
        <w:rPr>
          <w:rFonts w:ascii="ArialMT" w:hAnsi="ArialMT" w:cs="ArialMT"/>
          <w:sz w:val="20"/>
        </w:rPr>
        <w:t xml:space="preserve">en 2012/13 </w:t>
      </w:r>
      <w:r>
        <w:rPr>
          <w:sz w:val="20"/>
        </w:rPr>
        <w:t xml:space="preserve">en virtud del </w:t>
      </w:r>
      <w:r w:rsidR="00AE7D43">
        <w:rPr>
          <w:rFonts w:ascii="ArialMT" w:hAnsi="ArialMT" w:cs="ArialMT"/>
          <w:sz w:val="20"/>
        </w:rPr>
        <w:t>Programa de Alineación Estratégica</w:t>
      </w:r>
      <w:r>
        <w:rPr>
          <w:rFonts w:ascii="ArialMT" w:hAnsi="ArialMT" w:cs="ArialMT"/>
          <w:sz w:val="20"/>
        </w:rPr>
        <w:t xml:space="preserve">.  En este ámbito, el diálogo permanente con los organismos de auditoría y supervisión y el seguimiento sistemático de las </w:t>
      </w:r>
      <w:r w:rsidRPr="00260887">
        <w:rPr>
          <w:rFonts w:ascii="ArialMT" w:hAnsi="ArialMT" w:cs="ArialMT"/>
          <w:sz w:val="20"/>
        </w:rPr>
        <w:t>recomendaciones pendientes</w:t>
      </w:r>
      <w:r>
        <w:rPr>
          <w:rFonts w:ascii="ArialMT" w:hAnsi="ArialMT" w:cs="ArialMT"/>
          <w:sz w:val="20"/>
        </w:rPr>
        <w:t xml:space="preserve"> seguirán siendo estrategias clave.</w:t>
      </w:r>
    </w:p>
    <w:p w:rsidR="00D73B21" w:rsidRPr="009F324F" w:rsidRDefault="00D73B21" w:rsidP="00D73B21">
      <w:pPr>
        <w:tabs>
          <w:tab w:val="left" w:pos="1080"/>
        </w:tabs>
        <w:rPr>
          <w:sz w:val="20"/>
        </w:rPr>
      </w:pPr>
    </w:p>
    <w:p w:rsidR="00D73B21" w:rsidRPr="008770EF" w:rsidRDefault="00D73B21" w:rsidP="00D73B21">
      <w:pPr>
        <w:numPr>
          <w:ilvl w:val="0"/>
          <w:numId w:val="41"/>
        </w:numPr>
        <w:jc w:val="both"/>
        <w:rPr>
          <w:sz w:val="20"/>
        </w:rPr>
      </w:pPr>
      <w:r w:rsidRPr="008770EF">
        <w:rPr>
          <w:sz w:val="20"/>
        </w:rPr>
        <w:t>Se seguir</w:t>
      </w:r>
      <w:r>
        <w:rPr>
          <w:sz w:val="20"/>
        </w:rPr>
        <w:t>á adoptando</w:t>
      </w:r>
      <w:r w:rsidRPr="008770EF">
        <w:rPr>
          <w:sz w:val="20"/>
        </w:rPr>
        <w:t xml:space="preserve"> </w:t>
      </w:r>
      <w:r>
        <w:rPr>
          <w:sz w:val="20"/>
        </w:rPr>
        <w:t xml:space="preserve">un </w:t>
      </w:r>
      <w:r w:rsidRPr="008770EF">
        <w:rPr>
          <w:sz w:val="20"/>
        </w:rPr>
        <w:t>enfoque de gestión financiera prudente durante el bienio 2014/15.</w:t>
      </w:r>
      <w:r>
        <w:rPr>
          <w:sz w:val="20"/>
        </w:rPr>
        <w:t xml:space="preserve">  </w:t>
      </w:r>
      <w:r w:rsidRPr="00844171">
        <w:rPr>
          <w:sz w:val="20"/>
        </w:rPr>
        <w:t>En consecuencia, la atenta supervisión de los ingresos y gastos por medio de mecanismos internos como el Grupo de Gestión de Crisis y el Observatorio Financiero que facilita información a los Estados miembros, sigue siendo esencial para la</w:t>
      </w:r>
      <w:r>
        <w:rPr>
          <w:sz w:val="20"/>
        </w:rPr>
        <w:t xml:space="preserve"> OMPI</w:t>
      </w:r>
      <w:r w:rsidRPr="0045199C">
        <w:rPr>
          <w:sz w:val="20"/>
        </w:rPr>
        <w:t>.</w:t>
      </w:r>
    </w:p>
    <w:p w:rsidR="00D73B21" w:rsidRPr="008770EF" w:rsidRDefault="00D73B21" w:rsidP="00D73B21">
      <w:pPr>
        <w:tabs>
          <w:tab w:val="left" w:pos="567"/>
          <w:tab w:val="left" w:pos="1985"/>
        </w:tabs>
        <w:jc w:val="both"/>
        <w:rPr>
          <w:bCs/>
          <w:sz w:val="20"/>
        </w:rPr>
      </w:pPr>
    </w:p>
    <w:p w:rsidR="00801AA0" w:rsidRPr="00D73B21" w:rsidRDefault="00801AA0" w:rsidP="00801AA0">
      <w:pPr>
        <w:tabs>
          <w:tab w:val="num" w:pos="709"/>
        </w:tabs>
        <w:rPr>
          <w:iCs/>
          <w:szCs w:val="22"/>
        </w:rPr>
      </w:pPr>
    </w:p>
    <w:p w:rsidR="009F58E5" w:rsidRPr="00994766" w:rsidRDefault="009F58E5" w:rsidP="00801AA0">
      <w:pPr>
        <w:tabs>
          <w:tab w:val="num" w:pos="709"/>
        </w:tabs>
        <w:rPr>
          <w:sz w:val="28"/>
          <w:szCs w:val="28"/>
          <w:lang w:val="es-ES_tradnl"/>
        </w:rPr>
      </w:pPr>
      <w:r w:rsidRPr="00994766">
        <w:rPr>
          <w:iCs/>
          <w:szCs w:val="22"/>
          <w:lang w:val="es-ES_tradnl"/>
        </w:rPr>
        <w:t>PRINCIPALES RIESGOS Y ESTRATEGIAS DE MITIGACIÓN</w:t>
      </w:r>
      <w:r w:rsidRPr="00994766">
        <w:rPr>
          <w:szCs w:val="22"/>
          <w:lang w:val="es-ES_tradnl"/>
        </w:rPr>
        <w:t xml:space="preserve"> </w:t>
      </w:r>
    </w:p>
    <w:p w:rsidR="009F58E5" w:rsidRPr="00994766" w:rsidRDefault="009F58E5" w:rsidP="00801AA0">
      <w:pPr>
        <w:tabs>
          <w:tab w:val="left" w:pos="567"/>
          <w:tab w:val="left" w:pos="1985"/>
        </w:tabs>
        <w:jc w:val="both"/>
        <w:rPr>
          <w:bCs/>
          <w:sz w:val="20"/>
          <w:lang w:val="es-ES_tradnl"/>
        </w:rPr>
      </w:pPr>
    </w:p>
    <w:tbl>
      <w:tblPr>
        <w:tblW w:w="0" w:type="auto"/>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535"/>
        <w:gridCol w:w="4821"/>
      </w:tblGrid>
      <w:tr w:rsidR="009F58E5" w:rsidRPr="00DD42ED" w:rsidTr="00B258CE">
        <w:trPr>
          <w:trHeight w:val="709"/>
        </w:trPr>
        <w:tc>
          <w:tcPr>
            <w:tcW w:w="4535" w:type="dxa"/>
            <w:tcBorders>
              <w:top w:val="single" w:sz="4" w:space="0" w:color="auto"/>
              <w:bottom w:val="single" w:sz="4" w:space="0" w:color="auto"/>
            </w:tcBorders>
            <w:shd w:val="clear" w:color="auto" w:fill="CCFFFF"/>
            <w:vAlign w:val="center"/>
          </w:tcPr>
          <w:p w:rsidR="009F58E5" w:rsidRPr="00DD42ED" w:rsidRDefault="009F58E5" w:rsidP="00801AA0">
            <w:pPr>
              <w:jc w:val="center"/>
              <w:rPr>
                <w:b/>
                <w:bCs/>
                <w:sz w:val="18"/>
                <w:szCs w:val="18"/>
                <w:lang w:val="es-ES_tradnl"/>
              </w:rPr>
            </w:pPr>
            <w:r w:rsidRPr="00DD42ED">
              <w:rPr>
                <w:b/>
                <w:bCs/>
                <w:sz w:val="18"/>
                <w:szCs w:val="18"/>
                <w:lang w:val="es-ES_tradnl"/>
              </w:rPr>
              <w:t>Riesgos en el logro de los resultados del programa</w:t>
            </w:r>
          </w:p>
        </w:tc>
        <w:tc>
          <w:tcPr>
            <w:tcW w:w="4821" w:type="dxa"/>
            <w:tcBorders>
              <w:top w:val="single" w:sz="4" w:space="0" w:color="auto"/>
              <w:bottom w:val="single" w:sz="4" w:space="0" w:color="auto"/>
            </w:tcBorders>
            <w:shd w:val="clear" w:color="auto" w:fill="CCFFFF"/>
            <w:vAlign w:val="center"/>
          </w:tcPr>
          <w:p w:rsidR="009F58E5" w:rsidRPr="00DD42ED" w:rsidRDefault="009F58E5" w:rsidP="00801AA0">
            <w:pPr>
              <w:jc w:val="center"/>
              <w:rPr>
                <w:b/>
                <w:bCs/>
                <w:sz w:val="18"/>
                <w:szCs w:val="18"/>
                <w:lang w:val="es-ES_tradnl"/>
              </w:rPr>
            </w:pPr>
            <w:r w:rsidRPr="00DD42ED">
              <w:rPr>
                <w:b/>
                <w:bCs/>
                <w:sz w:val="18"/>
                <w:szCs w:val="18"/>
                <w:lang w:val="es-ES_tradnl"/>
              </w:rPr>
              <w:t>Planes de mitigación ejecutados o en ejecución</w:t>
            </w:r>
          </w:p>
        </w:tc>
      </w:tr>
      <w:tr w:rsidR="009F58E5" w:rsidRPr="00994766" w:rsidTr="00B258CE">
        <w:trPr>
          <w:trHeight w:val="1222"/>
        </w:trPr>
        <w:tc>
          <w:tcPr>
            <w:tcW w:w="4535" w:type="dxa"/>
            <w:tcBorders>
              <w:top w:val="single" w:sz="4" w:space="0" w:color="auto"/>
            </w:tcBorders>
            <w:shd w:val="clear" w:color="auto" w:fill="auto"/>
            <w:tcMar>
              <w:top w:w="113" w:type="dxa"/>
              <w:bottom w:w="85" w:type="dxa"/>
            </w:tcMar>
          </w:tcPr>
          <w:p w:rsidR="009F58E5" w:rsidRPr="00994766" w:rsidRDefault="009F58E5" w:rsidP="00801AA0">
            <w:pPr>
              <w:rPr>
                <w:rFonts w:ascii="Tahoma" w:hAnsi="Tahoma" w:cs="Tahoma"/>
                <w:sz w:val="16"/>
                <w:szCs w:val="16"/>
                <w:lang w:val="es-ES_tradnl"/>
              </w:rPr>
            </w:pPr>
            <w:r w:rsidRPr="00994766">
              <w:rPr>
                <w:sz w:val="16"/>
                <w:szCs w:val="16"/>
                <w:lang w:val="es-ES_tradnl"/>
              </w:rPr>
              <w:t>La persistencia de la crisis económica y financiera mundial podría dar lugar a que los niveles de ingresos sean bastante inferiores a los previ</w:t>
            </w:r>
            <w:r w:rsidR="002058AB">
              <w:rPr>
                <w:sz w:val="16"/>
                <w:szCs w:val="16"/>
                <w:lang w:val="es-ES_tradnl"/>
              </w:rPr>
              <w:t>stos.  Esta circunstancia, unida</w:t>
            </w:r>
            <w:r w:rsidRPr="00994766">
              <w:rPr>
                <w:sz w:val="16"/>
                <w:szCs w:val="16"/>
                <w:lang w:val="es-ES_tradnl"/>
              </w:rPr>
              <w:t xml:space="preserve"> a la incapacidad para reaccionar rápidamente a fin de reducir gastos a un nivel adecuado, podría acarrear un déficit y repercutir negativamente en la ejecución del programa.</w:t>
            </w:r>
          </w:p>
        </w:tc>
        <w:tc>
          <w:tcPr>
            <w:tcW w:w="4821" w:type="dxa"/>
            <w:tcBorders>
              <w:top w:val="single" w:sz="4" w:space="0" w:color="auto"/>
            </w:tcBorders>
            <w:shd w:val="clear" w:color="auto" w:fill="auto"/>
            <w:tcMar>
              <w:top w:w="113" w:type="dxa"/>
              <w:bottom w:w="85" w:type="dxa"/>
            </w:tcMar>
            <w:vAlign w:val="bottom"/>
          </w:tcPr>
          <w:p w:rsidR="009F58E5" w:rsidRPr="00994766" w:rsidRDefault="009F58E5" w:rsidP="00801AA0">
            <w:pPr>
              <w:autoSpaceDE w:val="0"/>
              <w:autoSpaceDN w:val="0"/>
              <w:adjustRightInd w:val="0"/>
              <w:ind w:right="-59"/>
              <w:jc w:val="both"/>
              <w:rPr>
                <w:sz w:val="16"/>
                <w:szCs w:val="16"/>
                <w:lang w:val="es-ES_tradnl"/>
              </w:rPr>
            </w:pPr>
            <w:r w:rsidRPr="00994766">
              <w:rPr>
                <w:sz w:val="16"/>
                <w:szCs w:val="16"/>
                <w:lang w:val="es-ES_tradnl"/>
              </w:rPr>
              <w:t xml:space="preserve">La </w:t>
            </w:r>
            <w:r w:rsidRPr="00994766">
              <w:rPr>
                <w:sz w:val="16"/>
                <w:szCs w:val="16"/>
                <w:lang w:val="es-ES_tradnl" w:eastAsia="fr-FR"/>
              </w:rPr>
              <w:t>Organización</w:t>
            </w:r>
            <w:r w:rsidRPr="00994766">
              <w:rPr>
                <w:sz w:val="16"/>
                <w:szCs w:val="16"/>
                <w:lang w:val="es-ES_tradnl"/>
              </w:rPr>
              <w:t xml:space="preserve"> mantiene un nivel de reservas adecuado (alrededor del 18% del importe del presupuesto bienal) para estar en disposición de hacer frente a una posible disminución de los ingresos.</w:t>
            </w:r>
          </w:p>
          <w:p w:rsidR="00B258CE" w:rsidRDefault="00B258CE" w:rsidP="00801AA0">
            <w:pPr>
              <w:autoSpaceDE w:val="0"/>
              <w:autoSpaceDN w:val="0"/>
              <w:adjustRightInd w:val="0"/>
              <w:ind w:right="-59"/>
              <w:jc w:val="both"/>
              <w:rPr>
                <w:sz w:val="16"/>
                <w:szCs w:val="16"/>
                <w:lang w:val="es-ES_tradnl"/>
              </w:rPr>
            </w:pPr>
          </w:p>
          <w:p w:rsidR="009F58E5" w:rsidRPr="00994766" w:rsidRDefault="009F58E5" w:rsidP="00801AA0">
            <w:pPr>
              <w:autoSpaceDE w:val="0"/>
              <w:autoSpaceDN w:val="0"/>
              <w:adjustRightInd w:val="0"/>
              <w:ind w:right="-59"/>
              <w:jc w:val="both"/>
              <w:rPr>
                <w:rFonts w:ascii="Tahoma" w:hAnsi="Tahoma" w:cs="Tahoma"/>
                <w:sz w:val="16"/>
                <w:szCs w:val="16"/>
                <w:lang w:val="es-ES_tradnl"/>
              </w:rPr>
            </w:pPr>
            <w:r w:rsidRPr="00994766">
              <w:rPr>
                <w:sz w:val="16"/>
                <w:szCs w:val="16"/>
                <w:lang w:val="es-ES_tradnl"/>
              </w:rPr>
              <w:t xml:space="preserve">La Secretaría supervisa estrechamente los gastos mediante un procedimiento más sólido de supervisión de ingresos y gastos y por medio del Grupo de Gestión de la Crisis. </w:t>
            </w:r>
          </w:p>
        </w:tc>
      </w:tr>
    </w:tbl>
    <w:p w:rsidR="009F58E5" w:rsidRPr="00994766" w:rsidRDefault="009F58E5" w:rsidP="009F58E5">
      <w:pPr>
        <w:tabs>
          <w:tab w:val="left" w:pos="567"/>
          <w:tab w:val="left" w:pos="1985"/>
        </w:tabs>
        <w:jc w:val="both"/>
        <w:rPr>
          <w:bCs/>
          <w:sz w:val="20"/>
          <w:lang w:val="es-ES_tradnl"/>
        </w:rPr>
      </w:pPr>
    </w:p>
    <w:p w:rsidR="009F58E5" w:rsidRPr="00C75C7E" w:rsidRDefault="009F58E5" w:rsidP="009F58E5">
      <w:pPr>
        <w:widowControl w:val="0"/>
        <w:jc w:val="both"/>
        <w:rPr>
          <w:sz w:val="20"/>
          <w:lang w:val="es-ES_tradnl"/>
        </w:rPr>
      </w:pPr>
    </w:p>
    <w:p w:rsidR="009F58E5" w:rsidRPr="00C75C7E" w:rsidRDefault="009F58E5" w:rsidP="009F58E5">
      <w:pPr>
        <w:tabs>
          <w:tab w:val="left" w:pos="567"/>
          <w:tab w:val="left" w:pos="1985"/>
        </w:tabs>
        <w:jc w:val="both"/>
        <w:rPr>
          <w:bCs/>
          <w:sz w:val="20"/>
          <w:lang w:val="es-ES_tradnl"/>
        </w:rPr>
      </w:pPr>
      <w:r w:rsidRPr="00C75C7E">
        <w:rPr>
          <w:bCs/>
          <w:szCs w:val="22"/>
          <w:lang w:val="es-ES_tradnl"/>
        </w:rPr>
        <w:t>MARCO DE RESULTADOS</w:t>
      </w:r>
    </w:p>
    <w:p w:rsidR="009F58E5" w:rsidRPr="00C75C7E" w:rsidRDefault="009F58E5" w:rsidP="009F58E5">
      <w:pPr>
        <w:tabs>
          <w:tab w:val="left" w:pos="567"/>
          <w:tab w:val="left" w:pos="1985"/>
        </w:tabs>
        <w:jc w:val="both"/>
        <w:rPr>
          <w:bCs/>
          <w:sz w:val="20"/>
          <w:lang w:val="es-ES_tradnl"/>
        </w:rPr>
      </w:pPr>
    </w:p>
    <w:tbl>
      <w:tblPr>
        <w:tblW w:w="4915"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350"/>
        <w:gridCol w:w="2851"/>
        <w:gridCol w:w="2171"/>
        <w:gridCol w:w="2036"/>
      </w:tblGrid>
      <w:tr w:rsidR="009F58E5" w:rsidRPr="00C75C7E" w:rsidTr="008F4F69">
        <w:trPr>
          <w:cantSplit/>
          <w:trHeight w:val="422"/>
          <w:tblHeader/>
        </w:trPr>
        <w:tc>
          <w:tcPr>
            <w:tcW w:w="1249" w:type="pct"/>
            <w:tcBorders>
              <w:top w:val="single" w:sz="4" w:space="0" w:color="auto"/>
              <w:bottom w:val="single" w:sz="4" w:space="0" w:color="auto"/>
            </w:tcBorders>
            <w:shd w:val="clear" w:color="auto" w:fill="CCFFFF"/>
            <w:tcMar>
              <w:top w:w="113" w:type="dxa"/>
            </w:tcMar>
            <w:vAlign w:val="center"/>
          </w:tcPr>
          <w:p w:rsidR="009F58E5" w:rsidRPr="00C75C7E" w:rsidRDefault="009F58E5" w:rsidP="008F4F69">
            <w:pPr>
              <w:spacing w:after="120"/>
              <w:jc w:val="center"/>
              <w:rPr>
                <w:b/>
                <w:bCs/>
                <w:sz w:val="18"/>
                <w:szCs w:val="18"/>
                <w:lang w:val="es-ES_tradnl"/>
              </w:rPr>
            </w:pPr>
            <w:r w:rsidRPr="00C75C7E">
              <w:rPr>
                <w:b/>
                <w:bCs/>
                <w:sz w:val="18"/>
                <w:szCs w:val="18"/>
                <w:lang w:val="es-ES_tradnl"/>
              </w:rPr>
              <w:t>Resultados previstos</w:t>
            </w:r>
          </w:p>
        </w:tc>
        <w:tc>
          <w:tcPr>
            <w:tcW w:w="1515" w:type="pct"/>
            <w:tcBorders>
              <w:top w:val="single" w:sz="4" w:space="0" w:color="auto"/>
              <w:bottom w:val="single" w:sz="4" w:space="0" w:color="auto"/>
            </w:tcBorders>
            <w:shd w:val="clear" w:color="auto" w:fill="CCFFFF"/>
            <w:tcMar>
              <w:top w:w="113" w:type="dxa"/>
            </w:tcMar>
            <w:vAlign w:val="center"/>
          </w:tcPr>
          <w:p w:rsidR="009F58E5" w:rsidRPr="00C75C7E" w:rsidRDefault="009F58E5" w:rsidP="008F4F69">
            <w:pPr>
              <w:spacing w:after="120"/>
              <w:jc w:val="center"/>
              <w:rPr>
                <w:b/>
                <w:sz w:val="18"/>
                <w:szCs w:val="18"/>
                <w:lang w:val="es-ES_tradnl"/>
              </w:rPr>
            </w:pPr>
            <w:r w:rsidRPr="00C75C7E">
              <w:rPr>
                <w:b/>
                <w:sz w:val="18"/>
                <w:szCs w:val="18"/>
                <w:lang w:val="es-ES_tradnl"/>
              </w:rPr>
              <w:t>Indicadores de rendimiento</w:t>
            </w:r>
          </w:p>
        </w:tc>
        <w:tc>
          <w:tcPr>
            <w:tcW w:w="1154" w:type="pct"/>
            <w:tcBorders>
              <w:top w:val="single" w:sz="4" w:space="0" w:color="auto"/>
              <w:bottom w:val="single" w:sz="4" w:space="0" w:color="auto"/>
            </w:tcBorders>
            <w:shd w:val="clear" w:color="auto" w:fill="CCFFFF"/>
            <w:tcMar>
              <w:top w:w="113" w:type="dxa"/>
            </w:tcMar>
            <w:vAlign w:val="center"/>
          </w:tcPr>
          <w:p w:rsidR="009F58E5" w:rsidRPr="00C75C7E" w:rsidRDefault="009F58E5" w:rsidP="008F4F69">
            <w:pPr>
              <w:spacing w:after="120"/>
              <w:ind w:left="85"/>
              <w:jc w:val="center"/>
              <w:rPr>
                <w:sz w:val="18"/>
                <w:szCs w:val="18"/>
                <w:lang w:val="es-ES_tradnl"/>
              </w:rPr>
            </w:pPr>
            <w:r w:rsidRPr="00C75C7E">
              <w:rPr>
                <w:b/>
                <w:bCs/>
                <w:sz w:val="18"/>
                <w:szCs w:val="18"/>
                <w:lang w:val="es-ES_tradnl"/>
              </w:rPr>
              <w:t>Referencia</w:t>
            </w:r>
          </w:p>
        </w:tc>
        <w:tc>
          <w:tcPr>
            <w:tcW w:w="1082" w:type="pct"/>
            <w:tcBorders>
              <w:top w:val="single" w:sz="4" w:space="0" w:color="auto"/>
              <w:bottom w:val="single" w:sz="4" w:space="0" w:color="auto"/>
            </w:tcBorders>
            <w:shd w:val="clear" w:color="auto" w:fill="CCFFFF"/>
            <w:tcMar>
              <w:top w:w="113" w:type="dxa"/>
            </w:tcMar>
            <w:vAlign w:val="center"/>
          </w:tcPr>
          <w:p w:rsidR="009F58E5" w:rsidRPr="00C75C7E" w:rsidRDefault="009F58E5" w:rsidP="008F4F69">
            <w:pPr>
              <w:keepNext/>
              <w:keepLines/>
              <w:spacing w:after="120"/>
              <w:ind w:right="146"/>
              <w:jc w:val="center"/>
              <w:rPr>
                <w:b/>
                <w:bCs/>
                <w:sz w:val="18"/>
                <w:szCs w:val="18"/>
                <w:lang w:val="es-ES_tradnl"/>
              </w:rPr>
            </w:pPr>
            <w:r w:rsidRPr="00C75C7E">
              <w:rPr>
                <w:b/>
                <w:bCs/>
                <w:sz w:val="18"/>
                <w:szCs w:val="18"/>
                <w:lang w:val="es-ES_tradnl"/>
              </w:rPr>
              <w:t>Objetivos</w:t>
            </w:r>
          </w:p>
        </w:tc>
      </w:tr>
      <w:tr w:rsidR="009F58E5" w:rsidRPr="00C75C7E" w:rsidTr="008F4F69">
        <w:trPr>
          <w:cantSplit/>
        </w:trPr>
        <w:tc>
          <w:tcPr>
            <w:tcW w:w="1249" w:type="pct"/>
            <w:vMerge w:val="restart"/>
            <w:tcBorders>
              <w:top w:val="single" w:sz="4" w:space="0" w:color="auto"/>
            </w:tcBorders>
            <w:shd w:val="clear" w:color="auto" w:fill="auto"/>
            <w:tcMar>
              <w:top w:w="113" w:type="dxa"/>
            </w:tcMar>
          </w:tcPr>
          <w:p w:rsidR="009F58E5" w:rsidRPr="00C75C7E" w:rsidRDefault="009F58E5" w:rsidP="008F4F69">
            <w:pPr>
              <w:rPr>
                <w:sz w:val="16"/>
                <w:szCs w:val="16"/>
                <w:lang w:val="es-ES_tradnl"/>
              </w:rPr>
            </w:pPr>
            <w:r w:rsidRPr="00C75C7E">
              <w:rPr>
                <w:sz w:val="16"/>
                <w:szCs w:val="16"/>
                <w:lang w:val="es-ES_tradnl"/>
              </w:rPr>
              <w:t>IX.1   Servicios de apoyo eficaces, eficientes, de calidad y orientados al cliente, tanto a los clientes internos como a las partes interesadas externas.</w:t>
            </w:r>
          </w:p>
        </w:tc>
        <w:tc>
          <w:tcPr>
            <w:tcW w:w="1515" w:type="pct"/>
            <w:vMerge w:val="restart"/>
            <w:tcBorders>
              <w:top w:val="single" w:sz="4" w:space="0" w:color="auto"/>
            </w:tcBorders>
            <w:shd w:val="clear" w:color="auto" w:fill="auto"/>
            <w:tcMar>
              <w:top w:w="113" w:type="dxa"/>
            </w:tcMar>
          </w:tcPr>
          <w:p w:rsidR="009F58E5" w:rsidRPr="00C75C7E" w:rsidRDefault="009F58E5" w:rsidP="008F4F69">
            <w:pPr>
              <w:rPr>
                <w:sz w:val="16"/>
                <w:szCs w:val="16"/>
                <w:lang w:val="es-ES_tradnl"/>
              </w:rPr>
            </w:pPr>
            <w:r w:rsidRPr="00C75C7E">
              <w:rPr>
                <w:sz w:val="16"/>
                <w:szCs w:val="16"/>
                <w:lang w:val="es-ES_tradnl"/>
              </w:rPr>
              <w:t>Suministro de informes y análisis financieros y de gestión solicitados por el personal directivo superior, los directores de programa y los Estados miembros con arreglo a los plazos acordados.</w:t>
            </w:r>
          </w:p>
        </w:tc>
        <w:tc>
          <w:tcPr>
            <w:tcW w:w="1154" w:type="pct"/>
            <w:tcBorders>
              <w:top w:val="single" w:sz="4" w:space="0" w:color="auto"/>
            </w:tcBorders>
            <w:shd w:val="clear" w:color="auto" w:fill="FFFFFF"/>
            <w:tcMar>
              <w:top w:w="113" w:type="dxa"/>
            </w:tcMar>
          </w:tcPr>
          <w:p w:rsidR="009F58E5" w:rsidRPr="00C75C7E" w:rsidRDefault="009F58E5" w:rsidP="008F4F69">
            <w:pPr>
              <w:rPr>
                <w:sz w:val="16"/>
                <w:szCs w:val="16"/>
                <w:lang w:val="es-ES_tradnl" w:bidi="th-TH"/>
              </w:rPr>
            </w:pPr>
            <w:r w:rsidRPr="00C75C7E">
              <w:rPr>
                <w:sz w:val="16"/>
                <w:szCs w:val="16"/>
                <w:lang w:val="es-ES_tradnl" w:bidi="th-TH"/>
              </w:rPr>
              <w:t xml:space="preserve">El cierre mensual finaliza 10 días laborables después del final de mes (salvo en enero, cuando el cierre se determina por los avances en el cierre anual). </w:t>
            </w:r>
          </w:p>
        </w:tc>
        <w:tc>
          <w:tcPr>
            <w:tcW w:w="1082" w:type="pct"/>
            <w:tcBorders>
              <w:top w:val="single" w:sz="4" w:space="0" w:color="auto"/>
            </w:tcBorders>
            <w:shd w:val="clear" w:color="auto" w:fill="auto"/>
            <w:tcMar>
              <w:top w:w="113" w:type="dxa"/>
            </w:tcMar>
          </w:tcPr>
          <w:p w:rsidR="009F58E5" w:rsidRPr="00C75C7E" w:rsidRDefault="009F58E5" w:rsidP="008F4F69">
            <w:pPr>
              <w:keepNext/>
              <w:keepLines/>
              <w:ind w:right="381"/>
              <w:rPr>
                <w:bCs/>
                <w:sz w:val="16"/>
                <w:szCs w:val="16"/>
                <w:lang w:val="es-ES_tradnl"/>
              </w:rPr>
            </w:pPr>
            <w:r w:rsidRPr="00C75C7E">
              <w:rPr>
                <w:bCs/>
                <w:sz w:val="16"/>
                <w:szCs w:val="16"/>
                <w:lang w:val="es-ES_tradnl"/>
              </w:rPr>
              <w:t>Los mismos que en la referencia.</w:t>
            </w:r>
          </w:p>
        </w:tc>
      </w:tr>
      <w:tr w:rsidR="009F58E5" w:rsidRPr="00C75C7E" w:rsidTr="008F4F69">
        <w:trPr>
          <w:cantSplit/>
          <w:trHeight w:val="1887"/>
        </w:trPr>
        <w:tc>
          <w:tcPr>
            <w:tcW w:w="1249" w:type="pct"/>
            <w:vMerge/>
            <w:shd w:val="clear" w:color="auto" w:fill="auto"/>
            <w:tcMar>
              <w:top w:w="113" w:type="dxa"/>
            </w:tcMar>
          </w:tcPr>
          <w:p w:rsidR="009F58E5" w:rsidRPr="00C75C7E" w:rsidRDefault="009F58E5" w:rsidP="008F4F69">
            <w:pPr>
              <w:rPr>
                <w:sz w:val="16"/>
                <w:szCs w:val="16"/>
                <w:lang w:val="es-ES_tradnl"/>
              </w:rPr>
            </w:pPr>
          </w:p>
        </w:tc>
        <w:tc>
          <w:tcPr>
            <w:tcW w:w="1515" w:type="pct"/>
            <w:vMerge/>
            <w:shd w:val="clear" w:color="auto" w:fill="auto"/>
            <w:tcMar>
              <w:top w:w="113" w:type="dxa"/>
            </w:tcMar>
          </w:tcPr>
          <w:p w:rsidR="009F58E5" w:rsidRPr="00C75C7E" w:rsidRDefault="009F58E5" w:rsidP="008F4F69">
            <w:pPr>
              <w:rPr>
                <w:sz w:val="16"/>
                <w:szCs w:val="16"/>
                <w:lang w:val="es-ES_tradnl"/>
              </w:rPr>
            </w:pPr>
          </w:p>
        </w:tc>
        <w:tc>
          <w:tcPr>
            <w:tcW w:w="1154" w:type="pct"/>
            <w:shd w:val="clear" w:color="auto" w:fill="FFFFFF"/>
            <w:tcMar>
              <w:top w:w="113" w:type="dxa"/>
            </w:tcMar>
          </w:tcPr>
          <w:p w:rsidR="009F58E5" w:rsidRPr="00C75C7E" w:rsidRDefault="009F58E5" w:rsidP="008F4F69">
            <w:pPr>
              <w:rPr>
                <w:sz w:val="16"/>
                <w:szCs w:val="16"/>
                <w:lang w:val="es-ES_tradnl" w:bidi="th-TH"/>
              </w:rPr>
            </w:pPr>
            <w:r w:rsidRPr="00C75C7E">
              <w:rPr>
                <w:sz w:val="16"/>
                <w:szCs w:val="16"/>
                <w:lang w:val="es-ES_tradnl" w:bidi="th-TH"/>
              </w:rPr>
              <w:t>Los informes estáticos que se publican en Internet están disponibles de un día para otro; los informes del Observatorio Financiero, en un plazo de 2 semanas a partir del cierre;  los informes oficiales mensuales, en un plazo de una semana después del cierre.</w:t>
            </w:r>
          </w:p>
        </w:tc>
        <w:tc>
          <w:tcPr>
            <w:tcW w:w="1082" w:type="pct"/>
            <w:shd w:val="clear" w:color="auto" w:fill="auto"/>
            <w:tcMar>
              <w:top w:w="113" w:type="dxa"/>
            </w:tcMar>
          </w:tcPr>
          <w:p w:rsidR="009F58E5" w:rsidRPr="00C75C7E" w:rsidRDefault="009F58E5" w:rsidP="00842232">
            <w:pPr>
              <w:rPr>
                <w:bCs/>
                <w:sz w:val="16"/>
                <w:szCs w:val="16"/>
                <w:lang w:val="es-ES_tradnl"/>
              </w:rPr>
            </w:pPr>
            <w:r w:rsidRPr="00C75C7E">
              <w:rPr>
                <w:bCs/>
                <w:sz w:val="16"/>
                <w:szCs w:val="16"/>
                <w:lang w:val="es-ES_tradnl"/>
              </w:rPr>
              <w:t>Se dispone de informes parametrizados interactivos en Internet como consecuencia de la labor de PR</w:t>
            </w:r>
            <w:r w:rsidR="00842232">
              <w:rPr>
                <w:bCs/>
                <w:sz w:val="16"/>
                <w:szCs w:val="16"/>
                <w:lang w:val="es-ES_tradnl"/>
              </w:rPr>
              <w:t>I</w:t>
            </w:r>
            <w:r w:rsidRPr="00C75C7E">
              <w:rPr>
                <w:bCs/>
                <w:sz w:val="16"/>
                <w:szCs w:val="16"/>
                <w:lang w:val="es-ES_tradnl"/>
              </w:rPr>
              <w:t xml:space="preserve"> e información institucional a lo largo de 2014/15;  los informes trimestrales del Observatorio Financiero están disponibles e</w:t>
            </w:r>
            <w:r w:rsidRPr="00C75C7E">
              <w:rPr>
                <w:sz w:val="16"/>
                <w:szCs w:val="16"/>
                <w:lang w:val="es-ES_tradnl" w:bidi="th-TH"/>
              </w:rPr>
              <w:t>n un plazo de dos semanas después del cierre; los informes oficiales mensuales, en un plazo de una semana después del cierre.</w:t>
            </w:r>
          </w:p>
        </w:tc>
      </w:tr>
      <w:tr w:rsidR="009F58E5" w:rsidRPr="00C75C7E" w:rsidTr="008F4F69">
        <w:trPr>
          <w:cantSplit/>
        </w:trPr>
        <w:tc>
          <w:tcPr>
            <w:tcW w:w="1249" w:type="pct"/>
            <w:vMerge/>
            <w:shd w:val="clear" w:color="auto" w:fill="auto"/>
            <w:tcMar>
              <w:top w:w="113" w:type="dxa"/>
            </w:tcMar>
          </w:tcPr>
          <w:p w:rsidR="009F58E5" w:rsidRPr="00C75C7E" w:rsidRDefault="009F58E5" w:rsidP="008F4F69">
            <w:pPr>
              <w:rPr>
                <w:sz w:val="16"/>
                <w:szCs w:val="16"/>
                <w:lang w:val="es-ES_tradnl"/>
              </w:rPr>
            </w:pPr>
          </w:p>
        </w:tc>
        <w:tc>
          <w:tcPr>
            <w:tcW w:w="1515" w:type="pct"/>
            <w:vMerge w:val="restart"/>
            <w:shd w:val="clear" w:color="auto" w:fill="auto"/>
            <w:tcMar>
              <w:top w:w="113" w:type="dxa"/>
            </w:tcMar>
          </w:tcPr>
          <w:p w:rsidR="009F58E5" w:rsidRPr="00C75C7E" w:rsidRDefault="009F58E5" w:rsidP="008F4F69">
            <w:pPr>
              <w:rPr>
                <w:sz w:val="16"/>
                <w:szCs w:val="16"/>
                <w:lang w:val="es-ES_tradnl"/>
              </w:rPr>
            </w:pPr>
            <w:r w:rsidRPr="00C75C7E">
              <w:rPr>
                <w:sz w:val="16"/>
                <w:szCs w:val="16"/>
                <w:lang w:val="es-ES_tradnl"/>
              </w:rPr>
              <w:t>Atención de consultas recibidas a nivel interno y externo con arreglo a los plazos establecidos.</w:t>
            </w:r>
          </w:p>
        </w:tc>
        <w:tc>
          <w:tcPr>
            <w:tcW w:w="1154" w:type="pct"/>
            <w:shd w:val="clear" w:color="auto" w:fill="FFFFFF"/>
            <w:tcMar>
              <w:top w:w="113" w:type="dxa"/>
            </w:tcMar>
          </w:tcPr>
          <w:p w:rsidR="009F58E5" w:rsidRPr="00C75C7E" w:rsidRDefault="009F58E5" w:rsidP="008F4F69">
            <w:pPr>
              <w:rPr>
                <w:sz w:val="16"/>
                <w:szCs w:val="16"/>
                <w:lang w:val="es-ES_tradnl" w:bidi="th-TH"/>
              </w:rPr>
            </w:pPr>
            <w:r w:rsidRPr="00C75C7E">
              <w:rPr>
                <w:sz w:val="16"/>
                <w:szCs w:val="16"/>
                <w:lang w:val="es-ES_tradnl" w:bidi="th-TH"/>
              </w:rPr>
              <w:t>El 75% de las consultas han de darse por (resueltas) en un plazo de tres días a partir de la recepción.</w:t>
            </w:r>
          </w:p>
          <w:p w:rsidR="009F58E5" w:rsidRPr="00C75C7E" w:rsidRDefault="009F58E5" w:rsidP="008F4F69">
            <w:pPr>
              <w:rPr>
                <w:sz w:val="16"/>
                <w:szCs w:val="16"/>
                <w:lang w:val="es-ES_tradnl"/>
              </w:rPr>
            </w:pPr>
          </w:p>
        </w:tc>
        <w:tc>
          <w:tcPr>
            <w:tcW w:w="1082" w:type="pct"/>
            <w:shd w:val="clear" w:color="auto" w:fill="auto"/>
            <w:tcMar>
              <w:top w:w="113" w:type="dxa"/>
            </w:tcMar>
          </w:tcPr>
          <w:p w:rsidR="009F58E5" w:rsidRPr="00C75C7E" w:rsidRDefault="009F58E5" w:rsidP="008F4F69">
            <w:pPr>
              <w:keepNext/>
              <w:keepLines/>
              <w:tabs>
                <w:tab w:val="left" w:pos="2051"/>
              </w:tabs>
              <w:ind w:right="381"/>
              <w:rPr>
                <w:bCs/>
                <w:sz w:val="16"/>
                <w:szCs w:val="16"/>
                <w:lang w:val="es-ES_tradnl"/>
              </w:rPr>
            </w:pPr>
            <w:r w:rsidRPr="00C75C7E">
              <w:rPr>
                <w:bCs/>
                <w:sz w:val="16"/>
                <w:szCs w:val="16"/>
                <w:lang w:val="es-ES_tradnl"/>
              </w:rPr>
              <w:t>Los mismos que en la referencia.</w:t>
            </w:r>
          </w:p>
        </w:tc>
      </w:tr>
      <w:tr w:rsidR="009F58E5" w:rsidRPr="00C75C7E" w:rsidTr="008F4F69">
        <w:trPr>
          <w:cantSplit/>
          <w:trHeight w:val="819"/>
        </w:trPr>
        <w:tc>
          <w:tcPr>
            <w:tcW w:w="1249" w:type="pct"/>
            <w:vMerge/>
            <w:shd w:val="clear" w:color="auto" w:fill="auto"/>
            <w:tcMar>
              <w:top w:w="113" w:type="dxa"/>
            </w:tcMar>
          </w:tcPr>
          <w:p w:rsidR="009F58E5" w:rsidRPr="00C75C7E" w:rsidRDefault="009F58E5" w:rsidP="008F4F69">
            <w:pPr>
              <w:rPr>
                <w:sz w:val="16"/>
                <w:szCs w:val="16"/>
                <w:lang w:val="es-ES_tradnl"/>
              </w:rPr>
            </w:pPr>
          </w:p>
        </w:tc>
        <w:tc>
          <w:tcPr>
            <w:tcW w:w="1515" w:type="pct"/>
            <w:vMerge/>
            <w:shd w:val="clear" w:color="auto" w:fill="auto"/>
            <w:tcMar>
              <w:top w:w="113" w:type="dxa"/>
            </w:tcMar>
          </w:tcPr>
          <w:p w:rsidR="009F58E5" w:rsidRPr="00C75C7E" w:rsidRDefault="009F58E5" w:rsidP="008F4F69">
            <w:pPr>
              <w:rPr>
                <w:sz w:val="16"/>
                <w:szCs w:val="16"/>
                <w:lang w:val="es-ES_tradnl"/>
              </w:rPr>
            </w:pPr>
          </w:p>
        </w:tc>
        <w:tc>
          <w:tcPr>
            <w:tcW w:w="1154" w:type="pct"/>
            <w:shd w:val="clear" w:color="auto" w:fill="FFFFFF"/>
            <w:tcMar>
              <w:top w:w="113" w:type="dxa"/>
            </w:tcMar>
          </w:tcPr>
          <w:p w:rsidR="009F58E5" w:rsidRPr="00C75C7E" w:rsidRDefault="009F58E5" w:rsidP="00AC049F">
            <w:pPr>
              <w:rPr>
                <w:sz w:val="16"/>
                <w:szCs w:val="16"/>
                <w:lang w:val="es-ES_tradnl" w:bidi="th-TH"/>
              </w:rPr>
            </w:pPr>
            <w:r w:rsidRPr="00C75C7E">
              <w:rPr>
                <w:sz w:val="16"/>
                <w:szCs w:val="16"/>
                <w:lang w:val="es-ES_tradnl" w:bidi="th-TH"/>
              </w:rPr>
              <w:t xml:space="preserve">Proporcionar asesoramiento o responder a consultas en relación con </w:t>
            </w:r>
            <w:r w:rsidR="00AC049F">
              <w:rPr>
                <w:sz w:val="16"/>
                <w:szCs w:val="16"/>
                <w:lang w:val="es-ES_tradnl" w:bidi="th-TH"/>
              </w:rPr>
              <w:t>expedientes</w:t>
            </w:r>
            <w:r w:rsidRPr="00C75C7E">
              <w:rPr>
                <w:sz w:val="16"/>
                <w:szCs w:val="16"/>
                <w:lang w:val="es-ES_tradnl" w:bidi="th-TH"/>
              </w:rPr>
              <w:t xml:space="preserve"> presupuestarios en un plazo de 72 horas.</w:t>
            </w:r>
          </w:p>
        </w:tc>
        <w:tc>
          <w:tcPr>
            <w:tcW w:w="1082" w:type="pct"/>
            <w:shd w:val="clear" w:color="auto" w:fill="auto"/>
            <w:tcMar>
              <w:top w:w="113" w:type="dxa"/>
            </w:tcMar>
          </w:tcPr>
          <w:p w:rsidR="009F58E5" w:rsidRPr="00C75C7E" w:rsidRDefault="009F58E5" w:rsidP="008F4F69">
            <w:pPr>
              <w:keepNext/>
              <w:keepLines/>
              <w:ind w:right="51"/>
              <w:rPr>
                <w:bCs/>
                <w:sz w:val="16"/>
                <w:szCs w:val="16"/>
                <w:lang w:val="es-ES_tradnl"/>
              </w:rPr>
            </w:pPr>
            <w:r w:rsidRPr="00C75C7E">
              <w:rPr>
                <w:bCs/>
                <w:sz w:val="16"/>
                <w:szCs w:val="16"/>
                <w:lang w:val="es-ES_tradnl"/>
              </w:rPr>
              <w:t xml:space="preserve">Proporcionar asesoramiento o responder a consultas en relación con </w:t>
            </w:r>
            <w:r w:rsidR="00AC049F">
              <w:rPr>
                <w:bCs/>
                <w:sz w:val="16"/>
                <w:szCs w:val="16"/>
                <w:lang w:val="es-ES_tradnl"/>
              </w:rPr>
              <w:t>expedientes</w:t>
            </w:r>
            <w:r w:rsidRPr="00C75C7E">
              <w:rPr>
                <w:bCs/>
                <w:sz w:val="16"/>
                <w:szCs w:val="16"/>
                <w:lang w:val="es-ES_tradnl"/>
              </w:rPr>
              <w:t xml:space="preserve"> presupuestarios en un plazo de 48 horas.</w:t>
            </w:r>
          </w:p>
          <w:p w:rsidR="009F58E5" w:rsidRPr="00C75C7E" w:rsidRDefault="009F58E5" w:rsidP="008F4F69">
            <w:pPr>
              <w:keepNext/>
              <w:keepLines/>
              <w:ind w:right="51"/>
              <w:rPr>
                <w:bCs/>
                <w:sz w:val="16"/>
                <w:szCs w:val="16"/>
                <w:lang w:val="es-ES_tradnl"/>
              </w:rPr>
            </w:pPr>
          </w:p>
        </w:tc>
      </w:tr>
      <w:tr w:rsidR="009F58E5" w:rsidRPr="00C75C7E" w:rsidTr="008F4F69">
        <w:trPr>
          <w:cantSplit/>
          <w:trHeight w:val="1356"/>
        </w:trPr>
        <w:tc>
          <w:tcPr>
            <w:tcW w:w="1249" w:type="pct"/>
            <w:vMerge w:val="restart"/>
            <w:shd w:val="clear" w:color="auto" w:fill="auto"/>
            <w:tcMar>
              <w:top w:w="113" w:type="dxa"/>
            </w:tcMar>
          </w:tcPr>
          <w:p w:rsidR="009F58E5" w:rsidRPr="00C75C7E" w:rsidRDefault="009F58E5" w:rsidP="008F4F69">
            <w:pPr>
              <w:rPr>
                <w:sz w:val="16"/>
                <w:szCs w:val="16"/>
                <w:lang w:val="es-ES_tradnl"/>
              </w:rPr>
            </w:pPr>
            <w:r w:rsidRPr="00C75C7E">
              <w:rPr>
                <w:sz w:val="16"/>
                <w:szCs w:val="16"/>
                <w:lang w:val="es-ES_tradnl"/>
              </w:rPr>
              <w:t>IX.2 Funcionamiento sin contratiempos de la Secretaría, provista de un personal bien dirigido, dotado de las competencias adecuadas y capaz de conseguir resultados.</w:t>
            </w:r>
          </w:p>
        </w:tc>
        <w:tc>
          <w:tcPr>
            <w:tcW w:w="1515" w:type="pct"/>
            <w:shd w:val="clear" w:color="auto" w:fill="auto"/>
            <w:tcMar>
              <w:top w:w="113" w:type="dxa"/>
            </w:tcMar>
          </w:tcPr>
          <w:p w:rsidR="009F58E5" w:rsidRPr="00C75C7E" w:rsidRDefault="009F58E5" w:rsidP="008F4F69">
            <w:pPr>
              <w:rPr>
                <w:sz w:val="16"/>
                <w:szCs w:val="16"/>
                <w:lang w:val="es-ES_tradnl"/>
              </w:rPr>
            </w:pPr>
            <w:r w:rsidRPr="00C75C7E">
              <w:rPr>
                <w:sz w:val="16"/>
                <w:szCs w:val="16"/>
                <w:lang w:val="es-ES_tradnl"/>
              </w:rPr>
              <w:t>Informe financiero satisfactorio de los auditores externos que confirma la conformidad de las operaciones contables con los convenios y tratados aplicables de la OMPI,  el Reglamento Financiero y la Reglamentación Financiera de la OMPI y las IPSAS.</w:t>
            </w:r>
          </w:p>
        </w:tc>
        <w:tc>
          <w:tcPr>
            <w:tcW w:w="1154" w:type="pct"/>
            <w:shd w:val="clear" w:color="auto" w:fill="FFFFFF"/>
            <w:tcMar>
              <w:top w:w="113" w:type="dxa"/>
            </w:tcMar>
          </w:tcPr>
          <w:p w:rsidR="009F58E5" w:rsidRPr="00C75C7E" w:rsidRDefault="009F58E5" w:rsidP="008F4F69">
            <w:pPr>
              <w:rPr>
                <w:sz w:val="16"/>
                <w:szCs w:val="16"/>
                <w:lang w:val="es-ES_tradnl" w:bidi="th-TH"/>
              </w:rPr>
            </w:pPr>
            <w:r w:rsidRPr="00C75C7E">
              <w:rPr>
                <w:sz w:val="16"/>
                <w:szCs w:val="16"/>
                <w:lang w:val="es-ES_tradnl" w:bidi="th-TH"/>
              </w:rPr>
              <w:t>Informe de auditoría satisfactorio en 2012 y 2013 y respuestas proporcionadas en relación con todas las recomendaciones de auditoría.</w:t>
            </w:r>
          </w:p>
          <w:p w:rsidR="009F58E5" w:rsidRPr="00C75C7E" w:rsidRDefault="009F58E5" w:rsidP="008F4F69">
            <w:pPr>
              <w:rPr>
                <w:sz w:val="16"/>
                <w:szCs w:val="16"/>
                <w:lang w:val="es-ES_tradnl" w:bidi="th-TH"/>
              </w:rPr>
            </w:pPr>
          </w:p>
          <w:p w:rsidR="009F58E5" w:rsidRPr="00C75C7E" w:rsidRDefault="009F58E5" w:rsidP="008F4F69">
            <w:pPr>
              <w:rPr>
                <w:sz w:val="16"/>
                <w:szCs w:val="16"/>
                <w:lang w:val="es-ES_tradnl" w:bidi="th-TH"/>
              </w:rPr>
            </w:pPr>
          </w:p>
        </w:tc>
        <w:tc>
          <w:tcPr>
            <w:tcW w:w="1082" w:type="pct"/>
            <w:shd w:val="clear" w:color="auto" w:fill="auto"/>
            <w:tcMar>
              <w:top w:w="113" w:type="dxa"/>
            </w:tcMar>
          </w:tcPr>
          <w:p w:rsidR="009F58E5" w:rsidRPr="00C75C7E" w:rsidRDefault="009F58E5" w:rsidP="008F4F69">
            <w:pPr>
              <w:keepNext/>
              <w:keepLines/>
              <w:ind w:right="161"/>
              <w:rPr>
                <w:bCs/>
                <w:sz w:val="16"/>
                <w:szCs w:val="16"/>
                <w:lang w:val="es-ES_tradnl"/>
              </w:rPr>
            </w:pPr>
            <w:r w:rsidRPr="00C75C7E">
              <w:rPr>
                <w:bCs/>
                <w:sz w:val="16"/>
                <w:szCs w:val="16"/>
                <w:lang w:val="es-ES_tradnl"/>
              </w:rPr>
              <w:t>Informes de auditoría satisfactorios respecto de los dos años del bienio.</w:t>
            </w:r>
          </w:p>
        </w:tc>
      </w:tr>
      <w:tr w:rsidR="009F58E5" w:rsidRPr="00C75C7E" w:rsidTr="008F4F69">
        <w:trPr>
          <w:cantSplit/>
          <w:trHeight w:val="1133"/>
        </w:trPr>
        <w:tc>
          <w:tcPr>
            <w:tcW w:w="1249" w:type="pct"/>
            <w:vMerge/>
            <w:shd w:val="clear" w:color="auto" w:fill="auto"/>
            <w:tcMar>
              <w:top w:w="113" w:type="dxa"/>
            </w:tcMar>
          </w:tcPr>
          <w:p w:rsidR="009F58E5" w:rsidRPr="00C75C7E" w:rsidRDefault="009F58E5" w:rsidP="008F4F69">
            <w:pPr>
              <w:rPr>
                <w:sz w:val="16"/>
                <w:szCs w:val="16"/>
                <w:lang w:val="es-ES_tradnl"/>
              </w:rPr>
            </w:pPr>
          </w:p>
        </w:tc>
        <w:tc>
          <w:tcPr>
            <w:tcW w:w="1515" w:type="pct"/>
            <w:shd w:val="clear" w:color="auto" w:fill="auto"/>
            <w:tcMar>
              <w:top w:w="113" w:type="dxa"/>
            </w:tcMar>
          </w:tcPr>
          <w:p w:rsidR="009F58E5" w:rsidRPr="00C75C7E" w:rsidRDefault="009F58E5" w:rsidP="008F4F69">
            <w:pPr>
              <w:rPr>
                <w:sz w:val="16"/>
                <w:szCs w:val="16"/>
                <w:lang w:val="es-ES_tradnl"/>
              </w:rPr>
            </w:pPr>
            <w:r w:rsidRPr="00C75C7E">
              <w:rPr>
                <w:sz w:val="16"/>
                <w:szCs w:val="16"/>
                <w:lang w:val="es-ES_tradnl"/>
              </w:rPr>
              <w:t>Rendimiento del capital invertido en concordancia con los parámetros establecidos por el Comité Asesor en materia de Inversiones.</w:t>
            </w:r>
          </w:p>
        </w:tc>
        <w:tc>
          <w:tcPr>
            <w:tcW w:w="1154" w:type="pct"/>
            <w:shd w:val="clear" w:color="auto" w:fill="FFFFFF"/>
            <w:tcMar>
              <w:top w:w="113" w:type="dxa"/>
            </w:tcMar>
          </w:tcPr>
          <w:p w:rsidR="009F58E5" w:rsidRPr="00C75C7E" w:rsidRDefault="009F58E5" w:rsidP="008F4F69">
            <w:pPr>
              <w:rPr>
                <w:sz w:val="16"/>
                <w:szCs w:val="16"/>
                <w:lang w:val="es-ES_tradnl" w:bidi="th-TH"/>
              </w:rPr>
            </w:pPr>
            <w:r w:rsidRPr="00C75C7E">
              <w:rPr>
                <w:sz w:val="16"/>
                <w:szCs w:val="16"/>
                <w:lang w:val="es-ES_tradnl" w:bidi="th-TH"/>
              </w:rPr>
              <w:t>Rendimiento del capital invertido en concordancia con los parámetros establecidos por el Comité Asesor en materia de Inversiones en 2012/13.</w:t>
            </w:r>
          </w:p>
          <w:p w:rsidR="009F58E5" w:rsidRPr="00C75C7E" w:rsidRDefault="009F58E5" w:rsidP="008F4F69">
            <w:pPr>
              <w:rPr>
                <w:sz w:val="16"/>
                <w:szCs w:val="16"/>
                <w:lang w:val="es-ES_tradnl" w:bidi="th-TH"/>
              </w:rPr>
            </w:pPr>
          </w:p>
          <w:p w:rsidR="009F58E5" w:rsidRPr="00C75C7E" w:rsidRDefault="009F58E5" w:rsidP="008F4F69">
            <w:pPr>
              <w:rPr>
                <w:sz w:val="16"/>
                <w:szCs w:val="16"/>
                <w:lang w:val="es-ES_tradnl" w:bidi="th-TH"/>
              </w:rPr>
            </w:pPr>
          </w:p>
        </w:tc>
        <w:tc>
          <w:tcPr>
            <w:tcW w:w="1082" w:type="pct"/>
            <w:shd w:val="clear" w:color="auto" w:fill="auto"/>
            <w:tcMar>
              <w:top w:w="113" w:type="dxa"/>
            </w:tcMar>
          </w:tcPr>
          <w:p w:rsidR="009F58E5" w:rsidRPr="00C75C7E" w:rsidRDefault="009F58E5" w:rsidP="008F4F69">
            <w:pPr>
              <w:keepNext/>
              <w:keepLines/>
              <w:ind w:right="161"/>
              <w:rPr>
                <w:bCs/>
                <w:sz w:val="16"/>
                <w:szCs w:val="16"/>
                <w:lang w:val="es-ES_tradnl"/>
              </w:rPr>
            </w:pPr>
            <w:r w:rsidRPr="00C75C7E">
              <w:rPr>
                <w:bCs/>
                <w:sz w:val="16"/>
                <w:szCs w:val="16"/>
                <w:lang w:val="es-ES_tradnl"/>
              </w:rPr>
              <w:t>Rendimiento del capital invertido en concordancia con los parámetros establecidos por el Comité Asesor en materia de Inversiones en 2014/15.</w:t>
            </w:r>
          </w:p>
        </w:tc>
      </w:tr>
      <w:tr w:rsidR="009F58E5" w:rsidRPr="00C75C7E" w:rsidTr="008F4F69">
        <w:trPr>
          <w:cantSplit/>
          <w:trHeight w:val="1726"/>
        </w:trPr>
        <w:tc>
          <w:tcPr>
            <w:tcW w:w="1249" w:type="pct"/>
            <w:vMerge/>
            <w:shd w:val="clear" w:color="auto" w:fill="auto"/>
            <w:tcMar>
              <w:top w:w="113" w:type="dxa"/>
            </w:tcMar>
          </w:tcPr>
          <w:p w:rsidR="009F58E5" w:rsidRPr="00C75C7E" w:rsidRDefault="009F58E5" w:rsidP="008F4F69">
            <w:pPr>
              <w:rPr>
                <w:sz w:val="16"/>
                <w:szCs w:val="16"/>
                <w:lang w:val="es-ES_tradnl"/>
              </w:rPr>
            </w:pPr>
          </w:p>
        </w:tc>
        <w:tc>
          <w:tcPr>
            <w:tcW w:w="1515" w:type="pct"/>
            <w:shd w:val="clear" w:color="auto" w:fill="auto"/>
            <w:tcMar>
              <w:top w:w="113" w:type="dxa"/>
            </w:tcMar>
          </w:tcPr>
          <w:p w:rsidR="009F58E5" w:rsidRPr="00C75C7E" w:rsidRDefault="009F58E5" w:rsidP="008F4F69">
            <w:pPr>
              <w:rPr>
                <w:sz w:val="16"/>
                <w:szCs w:val="16"/>
                <w:lang w:val="es-ES_tradnl"/>
              </w:rPr>
            </w:pPr>
            <w:r w:rsidRPr="00C75C7E">
              <w:rPr>
                <w:sz w:val="16"/>
                <w:szCs w:val="16"/>
                <w:lang w:val="es-ES_tradnl"/>
              </w:rPr>
              <w:t>Los pagos (incluidas las tasas correspondientes a los sistemas de Madrid y de La Haya) se efectúan en el plazo estipulado.</w:t>
            </w:r>
          </w:p>
        </w:tc>
        <w:tc>
          <w:tcPr>
            <w:tcW w:w="1154" w:type="pct"/>
            <w:shd w:val="clear" w:color="auto" w:fill="FFFFFF"/>
            <w:tcMar>
              <w:top w:w="113" w:type="dxa"/>
            </w:tcMar>
          </w:tcPr>
          <w:p w:rsidR="009F58E5" w:rsidRPr="00C75C7E" w:rsidRDefault="009F58E5" w:rsidP="008F4F69">
            <w:pPr>
              <w:rPr>
                <w:sz w:val="16"/>
                <w:szCs w:val="16"/>
                <w:lang w:val="es-ES_tradnl" w:bidi="th-TH"/>
              </w:rPr>
            </w:pPr>
            <w:r w:rsidRPr="00C75C7E">
              <w:rPr>
                <w:sz w:val="16"/>
                <w:szCs w:val="16"/>
                <w:lang w:val="es-ES_tradnl" w:bidi="th-TH"/>
              </w:rPr>
              <w:t>90% de los pagos efectuados en un plazo de siete días con arreglo a las condiciones de pago o la fecha de recepción (en caso de recepción tardía)  cuando no haya otros problemas de flujo de trabajo (por ejemplo, la no entrega de la orden de compra, etc…).</w:t>
            </w:r>
          </w:p>
          <w:p w:rsidR="009F58E5" w:rsidRPr="00C75C7E" w:rsidRDefault="009F58E5" w:rsidP="008F4F69">
            <w:pPr>
              <w:rPr>
                <w:sz w:val="16"/>
                <w:szCs w:val="16"/>
                <w:lang w:val="es-ES_tradnl" w:bidi="th-TH"/>
              </w:rPr>
            </w:pPr>
          </w:p>
        </w:tc>
        <w:tc>
          <w:tcPr>
            <w:tcW w:w="1082" w:type="pct"/>
            <w:shd w:val="clear" w:color="auto" w:fill="auto"/>
            <w:tcMar>
              <w:top w:w="113" w:type="dxa"/>
            </w:tcMar>
          </w:tcPr>
          <w:p w:rsidR="009F58E5" w:rsidRPr="00C75C7E" w:rsidRDefault="009F58E5" w:rsidP="008F4F69">
            <w:pPr>
              <w:keepNext/>
              <w:keepLines/>
              <w:ind w:right="161"/>
              <w:rPr>
                <w:bCs/>
                <w:sz w:val="16"/>
                <w:szCs w:val="16"/>
                <w:lang w:val="es-ES_tradnl"/>
              </w:rPr>
            </w:pPr>
            <w:r w:rsidRPr="00C75C7E">
              <w:rPr>
                <w:bCs/>
                <w:sz w:val="16"/>
                <w:szCs w:val="16"/>
                <w:lang w:val="es-ES_tradnl"/>
              </w:rPr>
              <w:t>90% de los pagos efectuados en un plazo de dos a tres días a partir de la recepción de la factura.</w:t>
            </w:r>
          </w:p>
        </w:tc>
      </w:tr>
      <w:tr w:rsidR="009F58E5" w:rsidRPr="00C75C7E" w:rsidTr="008F4F69">
        <w:trPr>
          <w:cantSplit/>
          <w:trHeight w:val="779"/>
        </w:trPr>
        <w:tc>
          <w:tcPr>
            <w:tcW w:w="1249" w:type="pct"/>
            <w:vMerge/>
            <w:shd w:val="clear" w:color="auto" w:fill="auto"/>
            <w:tcMar>
              <w:top w:w="113" w:type="dxa"/>
            </w:tcMar>
          </w:tcPr>
          <w:p w:rsidR="009F58E5" w:rsidRPr="00C75C7E" w:rsidRDefault="009F58E5" w:rsidP="008F4F69">
            <w:pPr>
              <w:rPr>
                <w:sz w:val="16"/>
                <w:szCs w:val="16"/>
                <w:lang w:val="es-ES_tradnl"/>
              </w:rPr>
            </w:pPr>
          </w:p>
        </w:tc>
        <w:tc>
          <w:tcPr>
            <w:tcW w:w="1515" w:type="pct"/>
            <w:shd w:val="clear" w:color="auto" w:fill="auto"/>
            <w:tcMar>
              <w:top w:w="113" w:type="dxa"/>
            </w:tcMar>
          </w:tcPr>
          <w:p w:rsidR="009F58E5" w:rsidRPr="00C75C7E" w:rsidRDefault="009F58E5" w:rsidP="008F4F69">
            <w:pPr>
              <w:rPr>
                <w:sz w:val="16"/>
                <w:szCs w:val="16"/>
                <w:lang w:val="es-ES_tradnl"/>
              </w:rPr>
            </w:pPr>
            <w:r w:rsidRPr="00C75C7E">
              <w:rPr>
                <w:sz w:val="16"/>
                <w:szCs w:val="16"/>
                <w:lang w:val="es-ES_tradnl"/>
              </w:rPr>
              <w:t xml:space="preserve">Porcentaje de miembros del personal que expresan satisfacción con la formación recibida (cursos de iniciación, </w:t>
            </w:r>
            <w:r w:rsidR="00AC049F">
              <w:rPr>
                <w:sz w:val="16"/>
                <w:szCs w:val="16"/>
                <w:lang w:val="es-ES_tradnl"/>
              </w:rPr>
              <w:t>formación sobre el sistema de P</w:t>
            </w:r>
            <w:r w:rsidRPr="00C75C7E">
              <w:rPr>
                <w:sz w:val="16"/>
                <w:szCs w:val="16"/>
                <w:lang w:val="es-ES_tradnl"/>
              </w:rPr>
              <w:t>R</w:t>
            </w:r>
            <w:r w:rsidR="00AC049F">
              <w:rPr>
                <w:sz w:val="16"/>
                <w:szCs w:val="16"/>
                <w:lang w:val="es-ES_tradnl"/>
              </w:rPr>
              <w:t>I</w:t>
            </w:r>
            <w:r w:rsidRPr="00C75C7E">
              <w:rPr>
                <w:sz w:val="16"/>
                <w:szCs w:val="16"/>
                <w:lang w:val="es-ES_tradnl"/>
              </w:rPr>
              <w:t>, formación relacionada con la gestión por resultados).</w:t>
            </w:r>
          </w:p>
        </w:tc>
        <w:tc>
          <w:tcPr>
            <w:tcW w:w="1154" w:type="pct"/>
            <w:shd w:val="clear" w:color="auto" w:fill="FFFFFF"/>
            <w:tcMar>
              <w:top w:w="113" w:type="dxa"/>
            </w:tcMar>
          </w:tcPr>
          <w:p w:rsidR="009F58E5" w:rsidRPr="00C75C7E" w:rsidRDefault="009F58E5" w:rsidP="008F4F69">
            <w:pPr>
              <w:rPr>
                <w:sz w:val="16"/>
                <w:szCs w:val="16"/>
                <w:lang w:val="es-ES_tradnl" w:bidi="th-TH"/>
              </w:rPr>
            </w:pPr>
            <w:r w:rsidRPr="00C75C7E">
              <w:rPr>
                <w:sz w:val="16"/>
                <w:szCs w:val="16"/>
                <w:lang w:val="es-ES_tradnl" w:bidi="th-TH"/>
              </w:rPr>
              <w:t>Por determinar.</w:t>
            </w:r>
          </w:p>
          <w:p w:rsidR="009F58E5" w:rsidRPr="00C75C7E" w:rsidRDefault="009F58E5" w:rsidP="008F4F69">
            <w:pPr>
              <w:rPr>
                <w:sz w:val="16"/>
                <w:szCs w:val="16"/>
                <w:lang w:val="es-ES_tradnl" w:bidi="th-TH"/>
              </w:rPr>
            </w:pPr>
          </w:p>
          <w:p w:rsidR="009F58E5" w:rsidRPr="00C75C7E" w:rsidRDefault="009F58E5" w:rsidP="008F4F69">
            <w:pPr>
              <w:rPr>
                <w:sz w:val="16"/>
                <w:szCs w:val="16"/>
                <w:lang w:val="es-ES_tradnl" w:bidi="th-TH"/>
              </w:rPr>
            </w:pPr>
          </w:p>
          <w:p w:rsidR="009F58E5" w:rsidRPr="00C75C7E" w:rsidRDefault="009F58E5" w:rsidP="008F4F69">
            <w:pPr>
              <w:rPr>
                <w:sz w:val="16"/>
                <w:szCs w:val="16"/>
                <w:lang w:val="es-ES_tradnl" w:bidi="th-TH"/>
              </w:rPr>
            </w:pPr>
          </w:p>
        </w:tc>
        <w:tc>
          <w:tcPr>
            <w:tcW w:w="1082" w:type="pct"/>
            <w:shd w:val="clear" w:color="auto" w:fill="auto"/>
            <w:tcMar>
              <w:top w:w="113" w:type="dxa"/>
            </w:tcMar>
          </w:tcPr>
          <w:p w:rsidR="009F58E5" w:rsidRPr="00C75C7E" w:rsidRDefault="009F58E5" w:rsidP="008F4F69">
            <w:pPr>
              <w:keepNext/>
              <w:keepLines/>
              <w:ind w:right="161"/>
              <w:rPr>
                <w:bCs/>
                <w:sz w:val="16"/>
                <w:szCs w:val="16"/>
                <w:lang w:val="es-ES_tradnl"/>
              </w:rPr>
            </w:pPr>
            <w:r w:rsidRPr="00C75C7E">
              <w:rPr>
                <w:bCs/>
                <w:sz w:val="16"/>
                <w:szCs w:val="16"/>
                <w:lang w:val="es-ES_tradnl"/>
              </w:rPr>
              <w:t>85%</w:t>
            </w:r>
          </w:p>
        </w:tc>
      </w:tr>
      <w:tr w:rsidR="009F58E5" w:rsidRPr="00C75C7E" w:rsidTr="008F4F69">
        <w:trPr>
          <w:cantSplit/>
          <w:trHeight w:val="590"/>
        </w:trPr>
        <w:tc>
          <w:tcPr>
            <w:tcW w:w="1249" w:type="pct"/>
            <w:vMerge/>
            <w:shd w:val="clear" w:color="auto" w:fill="auto"/>
            <w:tcMar>
              <w:top w:w="113" w:type="dxa"/>
            </w:tcMar>
          </w:tcPr>
          <w:p w:rsidR="009F58E5" w:rsidRPr="00C75C7E" w:rsidRDefault="009F58E5" w:rsidP="008F4F69">
            <w:pPr>
              <w:rPr>
                <w:sz w:val="16"/>
                <w:szCs w:val="16"/>
                <w:lang w:val="es-ES_tradnl"/>
              </w:rPr>
            </w:pPr>
          </w:p>
        </w:tc>
        <w:tc>
          <w:tcPr>
            <w:tcW w:w="1515" w:type="pct"/>
            <w:shd w:val="clear" w:color="auto" w:fill="auto"/>
            <w:tcMar>
              <w:top w:w="113" w:type="dxa"/>
            </w:tcMar>
          </w:tcPr>
          <w:p w:rsidR="009F58E5" w:rsidRPr="00C75C7E" w:rsidRDefault="009F58E5" w:rsidP="008F4F69">
            <w:pPr>
              <w:rPr>
                <w:sz w:val="16"/>
                <w:szCs w:val="16"/>
                <w:lang w:val="es-ES_tradnl"/>
              </w:rPr>
            </w:pPr>
            <w:r w:rsidRPr="00C75C7E">
              <w:rPr>
                <w:sz w:val="16"/>
                <w:szCs w:val="16"/>
                <w:lang w:val="es-ES_tradnl"/>
              </w:rPr>
              <w:t>Porcentaje de encuestados en la OMPI que consideran que la Organización rinde cuentas de sus resultados.</w:t>
            </w:r>
          </w:p>
        </w:tc>
        <w:tc>
          <w:tcPr>
            <w:tcW w:w="1154" w:type="pct"/>
            <w:shd w:val="clear" w:color="auto" w:fill="FFFFFF"/>
            <w:tcMar>
              <w:top w:w="113" w:type="dxa"/>
            </w:tcMar>
          </w:tcPr>
          <w:p w:rsidR="009F58E5" w:rsidRPr="00C75C7E" w:rsidRDefault="009F58E5" w:rsidP="008F4F69">
            <w:pPr>
              <w:rPr>
                <w:sz w:val="16"/>
                <w:szCs w:val="16"/>
                <w:lang w:val="es-ES_tradnl" w:bidi="th-TH"/>
              </w:rPr>
            </w:pPr>
            <w:r w:rsidRPr="00C75C7E">
              <w:rPr>
                <w:sz w:val="16"/>
                <w:szCs w:val="16"/>
                <w:lang w:val="es-ES_tradnl" w:bidi="th-TH"/>
              </w:rPr>
              <w:t>75%</w:t>
            </w:r>
          </w:p>
          <w:p w:rsidR="009F58E5" w:rsidRPr="00C75C7E" w:rsidRDefault="009F58E5" w:rsidP="008F4F69">
            <w:pPr>
              <w:rPr>
                <w:sz w:val="16"/>
                <w:szCs w:val="16"/>
                <w:lang w:val="es-ES_tradnl" w:bidi="th-TH"/>
              </w:rPr>
            </w:pPr>
          </w:p>
          <w:p w:rsidR="009F58E5" w:rsidRPr="00C75C7E" w:rsidRDefault="009F58E5" w:rsidP="008F4F69">
            <w:pPr>
              <w:rPr>
                <w:sz w:val="16"/>
                <w:szCs w:val="16"/>
                <w:lang w:val="es-ES_tradnl" w:bidi="th-TH"/>
              </w:rPr>
            </w:pPr>
          </w:p>
          <w:p w:rsidR="009F58E5" w:rsidRPr="00C75C7E" w:rsidRDefault="009F58E5" w:rsidP="008F4F69">
            <w:pPr>
              <w:rPr>
                <w:sz w:val="16"/>
                <w:szCs w:val="16"/>
                <w:lang w:val="es-ES_tradnl" w:bidi="th-TH"/>
              </w:rPr>
            </w:pPr>
          </w:p>
        </w:tc>
        <w:tc>
          <w:tcPr>
            <w:tcW w:w="1082" w:type="pct"/>
            <w:tcBorders>
              <w:right w:val="single" w:sz="4" w:space="0" w:color="auto"/>
            </w:tcBorders>
            <w:shd w:val="clear" w:color="auto" w:fill="auto"/>
            <w:tcMar>
              <w:top w:w="113" w:type="dxa"/>
            </w:tcMar>
          </w:tcPr>
          <w:p w:rsidR="009F58E5" w:rsidRPr="00C75C7E" w:rsidRDefault="009F58E5" w:rsidP="008F4F69">
            <w:pPr>
              <w:keepNext/>
              <w:keepLines/>
              <w:ind w:right="161"/>
              <w:rPr>
                <w:bCs/>
                <w:sz w:val="16"/>
                <w:szCs w:val="16"/>
                <w:lang w:val="es-ES_tradnl"/>
              </w:rPr>
            </w:pPr>
            <w:r w:rsidRPr="00C75C7E">
              <w:rPr>
                <w:bCs/>
                <w:sz w:val="16"/>
                <w:szCs w:val="16"/>
                <w:lang w:val="es-ES_tradnl"/>
              </w:rPr>
              <w:t>80%</w:t>
            </w:r>
          </w:p>
        </w:tc>
      </w:tr>
      <w:tr w:rsidR="009F58E5" w:rsidRPr="00C75C7E" w:rsidTr="008F4F69">
        <w:trPr>
          <w:cantSplit/>
          <w:trHeight w:val="676"/>
        </w:trPr>
        <w:tc>
          <w:tcPr>
            <w:tcW w:w="1249" w:type="pct"/>
            <w:tcBorders>
              <w:left w:val="single" w:sz="4" w:space="0" w:color="auto"/>
            </w:tcBorders>
            <w:shd w:val="clear" w:color="auto" w:fill="auto"/>
            <w:tcMar>
              <w:top w:w="113" w:type="dxa"/>
            </w:tcMar>
          </w:tcPr>
          <w:p w:rsidR="009F58E5" w:rsidRPr="00C75C7E" w:rsidRDefault="009F58E5" w:rsidP="008F4F69">
            <w:pPr>
              <w:rPr>
                <w:sz w:val="16"/>
                <w:szCs w:val="16"/>
                <w:lang w:val="es-ES_tradnl"/>
              </w:rPr>
            </w:pPr>
          </w:p>
        </w:tc>
        <w:tc>
          <w:tcPr>
            <w:tcW w:w="1515" w:type="pct"/>
            <w:shd w:val="clear" w:color="auto" w:fill="auto"/>
            <w:tcMar>
              <w:top w:w="113" w:type="dxa"/>
            </w:tcMar>
          </w:tcPr>
          <w:p w:rsidR="009F58E5" w:rsidRPr="00C75C7E" w:rsidRDefault="009F58E5" w:rsidP="008F4F69">
            <w:pPr>
              <w:rPr>
                <w:sz w:val="16"/>
                <w:szCs w:val="16"/>
                <w:lang w:val="es-ES_tradnl"/>
              </w:rPr>
            </w:pPr>
            <w:r w:rsidRPr="00C75C7E">
              <w:rPr>
                <w:sz w:val="16"/>
                <w:szCs w:val="16"/>
                <w:lang w:val="es-ES_tradnl"/>
              </w:rPr>
              <w:t>Porcentaje de programas de la OMPI que utilizan los datos sobre el rendimiento para gestionar el rendimiento del programa.</w:t>
            </w:r>
          </w:p>
        </w:tc>
        <w:tc>
          <w:tcPr>
            <w:tcW w:w="1154" w:type="pct"/>
            <w:shd w:val="clear" w:color="auto" w:fill="FFFFFF"/>
            <w:tcMar>
              <w:top w:w="113" w:type="dxa"/>
            </w:tcMar>
          </w:tcPr>
          <w:p w:rsidR="009F58E5" w:rsidRPr="00C75C7E" w:rsidRDefault="009F58E5" w:rsidP="008F4F69">
            <w:pPr>
              <w:rPr>
                <w:sz w:val="16"/>
                <w:szCs w:val="16"/>
                <w:lang w:val="es-ES_tradnl" w:bidi="th-TH"/>
              </w:rPr>
            </w:pPr>
            <w:r w:rsidRPr="00C75C7E">
              <w:rPr>
                <w:sz w:val="16"/>
                <w:szCs w:val="16"/>
                <w:lang w:val="es-ES_tradnl" w:bidi="th-TH"/>
              </w:rPr>
              <w:t>50</w:t>
            </w:r>
          </w:p>
          <w:p w:rsidR="009F58E5" w:rsidRPr="00C75C7E" w:rsidRDefault="009F58E5" w:rsidP="008F4F69">
            <w:pPr>
              <w:rPr>
                <w:sz w:val="16"/>
                <w:szCs w:val="16"/>
                <w:lang w:val="es-ES_tradnl" w:bidi="th-TH"/>
              </w:rPr>
            </w:pPr>
          </w:p>
          <w:p w:rsidR="009F58E5" w:rsidRPr="00C75C7E" w:rsidRDefault="009F58E5" w:rsidP="008F4F69">
            <w:pPr>
              <w:rPr>
                <w:sz w:val="16"/>
                <w:szCs w:val="16"/>
                <w:lang w:val="es-ES_tradnl" w:bidi="th-TH"/>
              </w:rPr>
            </w:pPr>
          </w:p>
        </w:tc>
        <w:tc>
          <w:tcPr>
            <w:tcW w:w="1082" w:type="pct"/>
            <w:tcBorders>
              <w:right w:val="single" w:sz="4" w:space="0" w:color="auto"/>
            </w:tcBorders>
            <w:shd w:val="clear" w:color="auto" w:fill="auto"/>
            <w:tcMar>
              <w:top w:w="113" w:type="dxa"/>
            </w:tcMar>
          </w:tcPr>
          <w:p w:rsidR="009F58E5" w:rsidRPr="00C75C7E" w:rsidRDefault="009F58E5" w:rsidP="008F4F69">
            <w:pPr>
              <w:keepNext/>
              <w:keepLines/>
              <w:ind w:right="161"/>
              <w:rPr>
                <w:bCs/>
                <w:sz w:val="16"/>
                <w:szCs w:val="16"/>
                <w:lang w:val="es-ES_tradnl"/>
              </w:rPr>
            </w:pPr>
            <w:r w:rsidRPr="00C75C7E">
              <w:rPr>
                <w:bCs/>
                <w:sz w:val="16"/>
                <w:szCs w:val="16"/>
                <w:lang w:val="es-ES_tradnl"/>
              </w:rPr>
              <w:t>70</w:t>
            </w:r>
          </w:p>
        </w:tc>
      </w:tr>
      <w:tr w:rsidR="009F58E5" w:rsidRPr="00C75C7E" w:rsidTr="008F4F69">
        <w:trPr>
          <w:cantSplit/>
          <w:trHeight w:val="1137"/>
        </w:trPr>
        <w:tc>
          <w:tcPr>
            <w:tcW w:w="1249" w:type="pct"/>
            <w:tcBorders>
              <w:left w:val="single" w:sz="4" w:space="0" w:color="auto"/>
            </w:tcBorders>
            <w:shd w:val="clear" w:color="auto" w:fill="auto"/>
            <w:tcMar>
              <w:top w:w="113" w:type="dxa"/>
            </w:tcMar>
          </w:tcPr>
          <w:p w:rsidR="009F58E5" w:rsidRPr="00C75C7E" w:rsidRDefault="009F58E5" w:rsidP="008F4F69">
            <w:pPr>
              <w:rPr>
                <w:sz w:val="16"/>
                <w:szCs w:val="16"/>
                <w:lang w:val="es-ES_tradnl"/>
              </w:rPr>
            </w:pPr>
            <w:r w:rsidRPr="00C75C7E">
              <w:rPr>
                <w:sz w:val="16"/>
                <w:szCs w:val="16"/>
                <w:lang w:val="es-ES_tradnl"/>
              </w:rPr>
              <w:t>IX.3. Entorno de trabajo propicio basado en un marco reglamentario eficaz y medios adecuados para atender los temas de interés del personal.</w:t>
            </w:r>
          </w:p>
        </w:tc>
        <w:tc>
          <w:tcPr>
            <w:tcW w:w="1515" w:type="pct"/>
            <w:shd w:val="clear" w:color="auto" w:fill="auto"/>
            <w:tcMar>
              <w:top w:w="113" w:type="dxa"/>
            </w:tcMar>
          </w:tcPr>
          <w:p w:rsidR="009F58E5" w:rsidRPr="00C75C7E" w:rsidRDefault="009F58E5" w:rsidP="008F4F69">
            <w:pPr>
              <w:rPr>
                <w:sz w:val="16"/>
                <w:szCs w:val="16"/>
                <w:lang w:val="es-ES_tradnl"/>
              </w:rPr>
            </w:pPr>
            <w:r w:rsidRPr="00C75C7E">
              <w:rPr>
                <w:sz w:val="16"/>
                <w:szCs w:val="16"/>
                <w:lang w:val="es-ES_tradnl"/>
              </w:rPr>
              <w:t>El Reglamento Financiero y la Reglamentación Financiera y las órdenes de servicio pertinentes están actualizados.</w:t>
            </w:r>
          </w:p>
        </w:tc>
        <w:tc>
          <w:tcPr>
            <w:tcW w:w="1154" w:type="pct"/>
            <w:shd w:val="clear" w:color="auto" w:fill="FFFFFF"/>
            <w:tcMar>
              <w:top w:w="113" w:type="dxa"/>
            </w:tcMar>
          </w:tcPr>
          <w:p w:rsidR="009F58E5" w:rsidRPr="00C75C7E" w:rsidRDefault="009F58E5" w:rsidP="008F4F69">
            <w:pPr>
              <w:rPr>
                <w:sz w:val="16"/>
                <w:szCs w:val="16"/>
                <w:lang w:val="es-ES_tradnl" w:bidi="th-TH"/>
              </w:rPr>
            </w:pPr>
            <w:r w:rsidRPr="00C75C7E">
              <w:rPr>
                <w:sz w:val="16"/>
                <w:szCs w:val="16"/>
                <w:lang w:val="es-ES_tradnl" w:bidi="th-TH"/>
              </w:rPr>
              <w:t>Ordenes de servicio emitidas en 2012 y 2013.  Reglamento Financiero y Reglamentación Financiera modificados en 2012 según lo estimado necesario.</w:t>
            </w:r>
          </w:p>
        </w:tc>
        <w:tc>
          <w:tcPr>
            <w:tcW w:w="1082" w:type="pct"/>
            <w:tcBorders>
              <w:right w:val="single" w:sz="4" w:space="0" w:color="auto"/>
            </w:tcBorders>
            <w:shd w:val="clear" w:color="auto" w:fill="auto"/>
            <w:tcMar>
              <w:top w:w="113" w:type="dxa"/>
            </w:tcMar>
          </w:tcPr>
          <w:p w:rsidR="009F58E5" w:rsidRPr="00C75C7E" w:rsidRDefault="009F58E5" w:rsidP="008F4F69">
            <w:pPr>
              <w:keepNext/>
              <w:keepLines/>
              <w:ind w:right="161"/>
              <w:rPr>
                <w:bCs/>
                <w:sz w:val="16"/>
                <w:szCs w:val="16"/>
                <w:lang w:val="es-ES_tradnl"/>
              </w:rPr>
            </w:pPr>
            <w:r w:rsidRPr="00C75C7E">
              <w:rPr>
                <w:bCs/>
                <w:sz w:val="16"/>
                <w:szCs w:val="16"/>
                <w:lang w:val="es-ES_tradnl"/>
              </w:rPr>
              <w:t>Examen y revisión del marco reglamentario cuando se considere apropiado.</w:t>
            </w:r>
          </w:p>
        </w:tc>
      </w:tr>
    </w:tbl>
    <w:p w:rsidR="009F58E5" w:rsidRPr="00C75C7E" w:rsidRDefault="009F58E5" w:rsidP="009F58E5">
      <w:pPr>
        <w:tabs>
          <w:tab w:val="left" w:pos="567"/>
          <w:tab w:val="left" w:pos="1985"/>
        </w:tabs>
        <w:rPr>
          <w:bCs/>
          <w:sz w:val="20"/>
          <w:lang w:val="es-ES_tradnl"/>
        </w:rPr>
      </w:pPr>
    </w:p>
    <w:p w:rsidR="00D73B21" w:rsidRPr="009B2F8B" w:rsidRDefault="00D73B21" w:rsidP="00D73B21">
      <w:pPr>
        <w:rPr>
          <w:sz w:val="20"/>
        </w:rPr>
      </w:pPr>
    </w:p>
    <w:p w:rsidR="00D73B21" w:rsidRPr="009B2F8B" w:rsidRDefault="00D73B21" w:rsidP="00D73B21">
      <w:pPr>
        <w:keepNext/>
        <w:keepLines/>
        <w:autoSpaceDE w:val="0"/>
        <w:autoSpaceDN w:val="0"/>
        <w:adjustRightInd w:val="0"/>
        <w:jc w:val="both"/>
        <w:rPr>
          <w:szCs w:val="22"/>
        </w:rPr>
      </w:pPr>
      <w:r w:rsidRPr="009B2F8B">
        <w:rPr>
          <w:szCs w:val="22"/>
        </w:rPr>
        <w:t>RECURSOS PARA EL PROGRAMA 22</w:t>
      </w:r>
    </w:p>
    <w:p w:rsidR="00D73B21" w:rsidRPr="009B2F8B" w:rsidRDefault="00D73B21" w:rsidP="00D73B21">
      <w:pPr>
        <w:keepNext/>
        <w:keepLines/>
        <w:autoSpaceDE w:val="0"/>
        <w:autoSpaceDN w:val="0"/>
        <w:adjustRightInd w:val="0"/>
        <w:rPr>
          <w:sz w:val="20"/>
        </w:rPr>
      </w:pPr>
    </w:p>
    <w:p w:rsidR="00D73B21" w:rsidRPr="009B2F8B" w:rsidRDefault="00D73B21" w:rsidP="00D73B21">
      <w:pPr>
        <w:numPr>
          <w:ilvl w:val="0"/>
          <w:numId w:val="41"/>
        </w:numPr>
        <w:jc w:val="both"/>
        <w:rPr>
          <w:sz w:val="20"/>
        </w:rPr>
      </w:pPr>
      <w:r w:rsidRPr="009B2F8B">
        <w:rPr>
          <w:sz w:val="20"/>
        </w:rPr>
        <w:t>Los recursos asignados al resultado IX.1 (Servicios de apoyo eficaces,</w:t>
      </w:r>
      <w:r>
        <w:rPr>
          <w:sz w:val="20"/>
        </w:rPr>
        <w:t xml:space="preserve"> </w:t>
      </w:r>
      <w:r w:rsidRPr="009B2F8B">
        <w:rPr>
          <w:sz w:val="20"/>
        </w:rPr>
        <w:t>eficientes, de calidad y</w:t>
      </w:r>
      <w:r>
        <w:rPr>
          <w:sz w:val="20"/>
        </w:rPr>
        <w:t xml:space="preserve"> </w:t>
      </w:r>
      <w:r w:rsidRPr="009B2F8B">
        <w:rPr>
          <w:sz w:val="20"/>
        </w:rPr>
        <w:t>orientados al cliente</w:t>
      </w:r>
      <w:r>
        <w:rPr>
          <w:sz w:val="20"/>
        </w:rPr>
        <w:t xml:space="preserve">) se reflejan principalmente en la asignación de recursos </w:t>
      </w:r>
      <w:r w:rsidRPr="00074BB2">
        <w:rPr>
          <w:sz w:val="20"/>
        </w:rPr>
        <w:t>de</w:t>
      </w:r>
      <w:r>
        <w:rPr>
          <w:sz w:val="20"/>
        </w:rPr>
        <w:t xml:space="preserve"> </w:t>
      </w:r>
      <w:r w:rsidRPr="00074BB2">
        <w:rPr>
          <w:sz w:val="20"/>
        </w:rPr>
        <w:t>personal o no relativos al personal</w:t>
      </w:r>
      <w:r>
        <w:rPr>
          <w:sz w:val="20"/>
        </w:rPr>
        <w:t xml:space="preserve">, en las líneas </w:t>
      </w:r>
      <w:r w:rsidRPr="00074BB2">
        <w:rPr>
          <w:sz w:val="20"/>
        </w:rPr>
        <w:t>“Otros servicios contractuales”</w:t>
      </w:r>
      <w:r>
        <w:rPr>
          <w:sz w:val="20"/>
        </w:rPr>
        <w:t xml:space="preserve"> y “</w:t>
      </w:r>
      <w:r w:rsidRPr="00F57167">
        <w:rPr>
          <w:sz w:val="20"/>
        </w:rPr>
        <w:t>Suministros y material</w:t>
      </w:r>
      <w:r>
        <w:rPr>
          <w:sz w:val="20"/>
        </w:rPr>
        <w:t xml:space="preserve">”; en consonancia con la estrategia para fortalecer las capacidades de la Organización de ejecutar con éxito la cartera de programas del sistema de </w:t>
      </w:r>
      <w:r w:rsidRPr="00463CD1">
        <w:rPr>
          <w:sz w:val="20"/>
        </w:rPr>
        <w:t xml:space="preserve">planificación de </w:t>
      </w:r>
      <w:r>
        <w:rPr>
          <w:sz w:val="20"/>
        </w:rPr>
        <w:t>los recursos institucionales.</w:t>
      </w:r>
    </w:p>
    <w:p w:rsidR="00D73B21" w:rsidRPr="009B2F8B" w:rsidRDefault="00D73B21" w:rsidP="00D73B21">
      <w:pPr>
        <w:jc w:val="both"/>
        <w:rPr>
          <w:sz w:val="20"/>
        </w:rPr>
      </w:pPr>
    </w:p>
    <w:p w:rsidR="00D73B21" w:rsidRPr="00666C2C" w:rsidRDefault="00D73B21" w:rsidP="00D73B21">
      <w:pPr>
        <w:numPr>
          <w:ilvl w:val="0"/>
          <w:numId w:val="41"/>
        </w:numPr>
        <w:jc w:val="both"/>
        <w:rPr>
          <w:sz w:val="20"/>
        </w:rPr>
      </w:pPr>
      <w:r w:rsidRPr="0054548A">
        <w:rPr>
          <w:sz w:val="20"/>
        </w:rPr>
        <w:t xml:space="preserve">Los recursos asignados al resultado IX.2 </w:t>
      </w:r>
      <w:r w:rsidRPr="004C6CBB">
        <w:rPr>
          <w:sz w:val="20"/>
        </w:rPr>
        <w:t>(Funcionamiento ágil y sin</w:t>
      </w:r>
      <w:r>
        <w:rPr>
          <w:sz w:val="20"/>
        </w:rPr>
        <w:t xml:space="preserve"> contratiempos de la Secretaría</w:t>
      </w:r>
      <w:r w:rsidRPr="004C6CBB">
        <w:rPr>
          <w:sz w:val="20"/>
        </w:rPr>
        <w:t>)</w:t>
      </w:r>
      <w:r>
        <w:rPr>
          <w:sz w:val="20"/>
        </w:rPr>
        <w:t xml:space="preserve"> reflejan una disminución de los costos debido: i) a la conclusión prevista, en 2013, del “</w:t>
      </w:r>
      <w:r w:rsidRPr="00666C2C">
        <w:rPr>
          <w:sz w:val="20"/>
        </w:rPr>
        <w:t>Proyecto de mejora del marco de la OMPI de gestión por resultados para respaldar la supervisión y evaluación de las actividades de desarrollo</w:t>
      </w:r>
      <w:r>
        <w:rPr>
          <w:sz w:val="20"/>
        </w:rPr>
        <w:t>” establecido en la A.D</w:t>
      </w:r>
      <w:r w:rsidR="00425E19">
        <w:rPr>
          <w:sz w:val="20"/>
        </w:rPr>
        <w:t>.</w:t>
      </w:r>
      <w:r>
        <w:rPr>
          <w:sz w:val="20"/>
        </w:rPr>
        <w:t xml:space="preserve">; y ii) al menor costo de los </w:t>
      </w:r>
      <w:r w:rsidRPr="00B9012B">
        <w:rPr>
          <w:sz w:val="20"/>
        </w:rPr>
        <w:t>servicios contractuales individuales</w:t>
      </w:r>
      <w:r>
        <w:rPr>
          <w:sz w:val="20"/>
        </w:rPr>
        <w:t xml:space="preserve">, como consecuencia de la aplicación de la </w:t>
      </w:r>
      <w:r w:rsidRPr="002B4A50">
        <w:rPr>
          <w:sz w:val="20"/>
        </w:rPr>
        <w:t>gestión por resultados</w:t>
      </w:r>
      <w:r>
        <w:rPr>
          <w:sz w:val="20"/>
        </w:rPr>
        <w:t xml:space="preserve">.  Esta </w:t>
      </w:r>
      <w:r w:rsidRPr="008117BF">
        <w:rPr>
          <w:sz w:val="20"/>
        </w:rPr>
        <w:t>reducción neta</w:t>
      </w:r>
      <w:r>
        <w:rPr>
          <w:sz w:val="20"/>
        </w:rPr>
        <w:t xml:space="preserve"> también refleja la reasignación de los costos a los tres nuevos resultados previstos del programa, así como un aumento significativo de los </w:t>
      </w:r>
      <w:r w:rsidRPr="00B9012B">
        <w:rPr>
          <w:sz w:val="20"/>
        </w:rPr>
        <w:t>cargos administrativos y bancarios</w:t>
      </w:r>
      <w:r w:rsidR="00FB6F33">
        <w:rPr>
          <w:sz w:val="20"/>
        </w:rPr>
        <w:t xml:space="preserve"> que asciende a </w:t>
      </w:r>
      <w:r>
        <w:rPr>
          <w:sz w:val="20"/>
        </w:rPr>
        <w:t>240.000 francos suizos, debido a una nueva práctica que exige que la Organización pague por servicios que anteriormente eran gratuitos.</w:t>
      </w:r>
    </w:p>
    <w:p w:rsidR="00D73B21" w:rsidRPr="0054548A" w:rsidRDefault="00D73B21" w:rsidP="00D73B21">
      <w:pPr>
        <w:jc w:val="both"/>
        <w:rPr>
          <w:sz w:val="20"/>
        </w:rPr>
      </w:pPr>
    </w:p>
    <w:p w:rsidR="00D73B21" w:rsidRPr="00E004D2" w:rsidRDefault="00D73B21" w:rsidP="00D73B21">
      <w:pPr>
        <w:numPr>
          <w:ilvl w:val="0"/>
          <w:numId w:val="41"/>
        </w:numPr>
        <w:jc w:val="both"/>
        <w:rPr>
          <w:sz w:val="20"/>
        </w:rPr>
      </w:pPr>
      <w:r w:rsidRPr="00E004D2">
        <w:rPr>
          <w:sz w:val="20"/>
        </w:rPr>
        <w:t xml:space="preserve">Los recursos asignados al resultado IX. </w:t>
      </w:r>
      <w:r>
        <w:rPr>
          <w:sz w:val="20"/>
        </w:rPr>
        <w:t>3 (</w:t>
      </w:r>
      <w:r w:rsidRPr="0090590F">
        <w:rPr>
          <w:sz w:val="20"/>
        </w:rPr>
        <w:t>Entorno de trabajo propicio basado en un marco reglamentario eficaz</w:t>
      </w:r>
      <w:r>
        <w:rPr>
          <w:sz w:val="20"/>
        </w:rPr>
        <w:t xml:space="preserve">) reflejan principalmente los costos de personal asignados al examen y mantenimiento del </w:t>
      </w:r>
      <w:r w:rsidRPr="0090590F">
        <w:rPr>
          <w:sz w:val="20"/>
        </w:rPr>
        <w:t>marco reglamentario</w:t>
      </w:r>
      <w:r>
        <w:rPr>
          <w:sz w:val="20"/>
        </w:rPr>
        <w:t xml:space="preserve"> financiero de la Organización y a un pequeña parte </w:t>
      </w:r>
      <w:r>
        <w:rPr>
          <w:sz w:val="20"/>
        </w:rPr>
        <w:lastRenderedPageBreak/>
        <w:t xml:space="preserve">correspondiente a costos </w:t>
      </w:r>
      <w:r w:rsidRPr="00074BB2">
        <w:rPr>
          <w:sz w:val="20"/>
        </w:rPr>
        <w:t>no relativos al personal</w:t>
      </w:r>
      <w:r>
        <w:rPr>
          <w:sz w:val="20"/>
        </w:rPr>
        <w:t xml:space="preserve"> relativa a la contribución de la OMPI a actividades de las NN.UU. que son financiadas en conjunto.</w:t>
      </w:r>
    </w:p>
    <w:p w:rsidR="00D73B21" w:rsidRPr="00E004D2" w:rsidRDefault="00D73B21" w:rsidP="00D73B21">
      <w:pPr>
        <w:jc w:val="both"/>
        <w:rPr>
          <w:sz w:val="20"/>
        </w:rPr>
      </w:pPr>
    </w:p>
    <w:p w:rsidR="00D73B21" w:rsidRPr="00CA6321" w:rsidRDefault="00D73B21" w:rsidP="00D73B21">
      <w:pPr>
        <w:numPr>
          <w:ilvl w:val="0"/>
          <w:numId w:val="41"/>
        </w:numPr>
        <w:jc w:val="both"/>
        <w:rPr>
          <w:sz w:val="20"/>
        </w:rPr>
      </w:pPr>
      <w:r w:rsidRPr="00CA6321">
        <w:rPr>
          <w:sz w:val="20"/>
        </w:rPr>
        <w:t xml:space="preserve">Los recursos asignados al resultado IX.8 </w:t>
      </w:r>
      <w:r w:rsidRPr="00885344">
        <w:rPr>
          <w:sz w:val="20"/>
        </w:rPr>
        <w:t>(Mejor rendición de cuentas, control interno y buen gobierno)</w:t>
      </w:r>
      <w:r>
        <w:rPr>
          <w:sz w:val="20"/>
        </w:rPr>
        <w:t xml:space="preserve"> representan la propuesta de presupuesto asignada a la </w:t>
      </w:r>
      <w:r w:rsidRPr="00236778">
        <w:rPr>
          <w:sz w:val="20"/>
        </w:rPr>
        <w:t>Comisión Consultiva Independiente de Supervisión (CCIS)</w:t>
      </w:r>
      <w:r>
        <w:rPr>
          <w:sz w:val="20"/>
        </w:rPr>
        <w:t xml:space="preserve"> de 391.000 francos suizos para el bienio, y </w:t>
      </w:r>
      <w:r w:rsidRPr="00236778">
        <w:rPr>
          <w:sz w:val="20"/>
        </w:rPr>
        <w:t>la estimación de los costos</w:t>
      </w:r>
      <w:r>
        <w:rPr>
          <w:sz w:val="20"/>
        </w:rPr>
        <w:t xml:space="preserve"> para la auditoría externa (honorarios del auditor y costos asignados a los recursos humanos).  Los ahorros en los viajes se reflejan en la reducción de la categoría “</w:t>
      </w:r>
      <w:r w:rsidRPr="00C564B5">
        <w:rPr>
          <w:sz w:val="20"/>
        </w:rPr>
        <w:t>Viajes de</w:t>
      </w:r>
      <w:r>
        <w:rPr>
          <w:sz w:val="20"/>
        </w:rPr>
        <w:t xml:space="preserve"> </w:t>
      </w:r>
      <w:r w:rsidRPr="00C564B5">
        <w:rPr>
          <w:sz w:val="20"/>
        </w:rPr>
        <w:t>terceros”</w:t>
      </w:r>
      <w:r>
        <w:rPr>
          <w:sz w:val="20"/>
        </w:rPr>
        <w:t xml:space="preserve"> que ha contribuido a la reducción del nivel de los recursos asignados a la CCIS en el próximo bienio.</w:t>
      </w:r>
    </w:p>
    <w:p w:rsidR="00D73B21" w:rsidRPr="00CA6321" w:rsidRDefault="00D73B21" w:rsidP="00D73B21">
      <w:pPr>
        <w:jc w:val="both"/>
        <w:rPr>
          <w:sz w:val="20"/>
        </w:rPr>
      </w:pPr>
    </w:p>
    <w:p w:rsidR="009F58E5" w:rsidRPr="00D73B21" w:rsidRDefault="009F58E5" w:rsidP="009F58E5">
      <w:pPr>
        <w:rPr>
          <w:sz w:val="20"/>
          <w:highlight w:val="yellow"/>
        </w:rPr>
      </w:pPr>
    </w:p>
    <w:p w:rsidR="009F58E5" w:rsidRPr="00C75C7E" w:rsidRDefault="00B258CE" w:rsidP="00D73B21">
      <w:pPr>
        <w:keepNext/>
        <w:autoSpaceDE w:val="0"/>
        <w:autoSpaceDN w:val="0"/>
        <w:adjustRightInd w:val="0"/>
        <w:ind w:firstLine="567"/>
        <w:jc w:val="center"/>
        <w:rPr>
          <w:b/>
          <w:bCs/>
          <w:iCs/>
          <w:sz w:val="20"/>
          <w:lang w:val="es-ES_tradnl"/>
        </w:rPr>
      </w:pPr>
      <w:r>
        <w:rPr>
          <w:b/>
          <w:bCs/>
          <w:iCs/>
          <w:sz w:val="20"/>
          <w:lang w:val="es-ES_tradnl"/>
        </w:rPr>
        <w:t xml:space="preserve">Programa 22:  </w:t>
      </w:r>
      <w:r w:rsidR="009F58E5" w:rsidRPr="00C75C7E">
        <w:rPr>
          <w:b/>
          <w:bCs/>
          <w:iCs/>
          <w:sz w:val="20"/>
          <w:lang w:val="es-ES_tradnl"/>
        </w:rPr>
        <w:t>Recursos por resultado</w:t>
      </w:r>
    </w:p>
    <w:p w:rsidR="009F58E5" w:rsidRPr="00C75C7E" w:rsidRDefault="009F58E5" w:rsidP="00D73B21">
      <w:pPr>
        <w:keepNext/>
        <w:autoSpaceDE w:val="0"/>
        <w:autoSpaceDN w:val="0"/>
        <w:adjustRightInd w:val="0"/>
        <w:ind w:firstLine="567"/>
        <w:jc w:val="center"/>
        <w:rPr>
          <w:sz w:val="20"/>
          <w:lang w:val="es-ES_tradnl"/>
        </w:rPr>
      </w:pPr>
      <w:r w:rsidRPr="00C75C7E">
        <w:rPr>
          <w:bCs/>
          <w:i/>
          <w:sz w:val="20"/>
          <w:lang w:val="es-ES_tradnl"/>
        </w:rPr>
        <w:t>(en miles de francos suizos)</w:t>
      </w:r>
    </w:p>
    <w:p w:rsidR="009F58E5" w:rsidRPr="00C75C7E" w:rsidRDefault="009F58E5" w:rsidP="00D73B21">
      <w:pPr>
        <w:keepNext/>
        <w:jc w:val="both"/>
        <w:rPr>
          <w:sz w:val="20"/>
          <w:lang w:val="es-ES_tradnl"/>
        </w:rPr>
      </w:pPr>
    </w:p>
    <w:p w:rsidR="009F58E5" w:rsidRPr="00C75C7E" w:rsidRDefault="00B258CE" w:rsidP="00D73B21">
      <w:pPr>
        <w:keepNext/>
        <w:jc w:val="center"/>
        <w:rPr>
          <w:sz w:val="20"/>
          <w:lang w:val="es-ES_tradnl"/>
        </w:rPr>
      </w:pPr>
      <w:r w:rsidRPr="00B258CE">
        <w:rPr>
          <w:noProof/>
          <w:lang w:val="en-US" w:eastAsia="en-US"/>
        </w:rPr>
        <w:drawing>
          <wp:inline distT="0" distB="0" distL="0" distR="0">
            <wp:extent cx="5762625" cy="2914650"/>
            <wp:effectExtent l="0" t="0" r="9525"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5762625" cy="2914650"/>
                    </a:xfrm>
                    <a:prstGeom prst="rect">
                      <a:avLst/>
                    </a:prstGeom>
                    <a:noFill/>
                    <a:ln>
                      <a:noFill/>
                    </a:ln>
                  </pic:spPr>
                </pic:pic>
              </a:graphicData>
            </a:graphic>
          </wp:inline>
        </w:drawing>
      </w:r>
    </w:p>
    <w:p w:rsidR="009F58E5" w:rsidRPr="00C75C7E" w:rsidRDefault="009F58E5" w:rsidP="00020C40">
      <w:pPr>
        <w:jc w:val="center"/>
        <w:rPr>
          <w:sz w:val="20"/>
          <w:lang w:val="es-ES_tradnl"/>
        </w:rPr>
      </w:pPr>
    </w:p>
    <w:p w:rsidR="009F58E5" w:rsidRPr="00C75C7E" w:rsidRDefault="009F58E5" w:rsidP="00020C40">
      <w:pPr>
        <w:autoSpaceDE w:val="0"/>
        <w:autoSpaceDN w:val="0"/>
        <w:adjustRightInd w:val="0"/>
        <w:rPr>
          <w:sz w:val="20"/>
          <w:lang w:val="es-ES_tradnl"/>
        </w:rPr>
      </w:pPr>
      <w:r w:rsidRPr="00C75C7E">
        <w:rPr>
          <w:sz w:val="16"/>
          <w:szCs w:val="16"/>
          <w:lang w:val="es-ES_tradnl"/>
        </w:rPr>
        <w:t>Nota</w:t>
      </w:r>
      <w:r w:rsidR="00020C40">
        <w:rPr>
          <w:sz w:val="16"/>
          <w:szCs w:val="16"/>
          <w:lang w:val="es-ES_tradnl"/>
        </w:rPr>
        <w:t xml:space="preserve">: </w:t>
      </w:r>
      <w:r w:rsidRPr="00C75C7E">
        <w:rPr>
          <w:sz w:val="16"/>
          <w:szCs w:val="16"/>
          <w:lang w:val="es-ES_tradnl"/>
        </w:rPr>
        <w:t xml:space="preserve"> Se ha reexpresado el presupuesto aprobado de 2012/13 y el presupuesto de dicho bienio después de las transferencias, por resultado previsto, para reflejar el marco de resultados de la Organización propuesto para 2014/15.</w:t>
      </w:r>
    </w:p>
    <w:p w:rsidR="009F58E5" w:rsidRPr="00C75C7E" w:rsidRDefault="009F58E5" w:rsidP="009F58E5">
      <w:pPr>
        <w:widowControl w:val="0"/>
        <w:jc w:val="center"/>
        <w:rPr>
          <w:sz w:val="20"/>
          <w:lang w:val="es-ES_tradnl"/>
        </w:rPr>
      </w:pPr>
    </w:p>
    <w:p w:rsidR="009F58E5" w:rsidRPr="00C75C7E" w:rsidRDefault="00B258CE" w:rsidP="00D73B21">
      <w:pPr>
        <w:keepNext/>
        <w:autoSpaceDE w:val="0"/>
        <w:autoSpaceDN w:val="0"/>
        <w:adjustRightInd w:val="0"/>
        <w:ind w:firstLine="567"/>
        <w:jc w:val="center"/>
        <w:rPr>
          <w:b/>
          <w:bCs/>
          <w:iCs/>
          <w:sz w:val="20"/>
          <w:lang w:val="es-ES_tradnl"/>
        </w:rPr>
      </w:pPr>
      <w:r>
        <w:rPr>
          <w:b/>
          <w:bCs/>
          <w:iCs/>
          <w:sz w:val="20"/>
          <w:lang w:val="es-ES_tradnl"/>
        </w:rPr>
        <w:lastRenderedPageBreak/>
        <w:t xml:space="preserve">Programa 22:  </w:t>
      </w:r>
      <w:r w:rsidR="009F58E5" w:rsidRPr="00C75C7E">
        <w:rPr>
          <w:b/>
          <w:bCs/>
          <w:iCs/>
          <w:sz w:val="20"/>
          <w:lang w:val="es-ES_tradnl"/>
        </w:rPr>
        <w:t>Recursos por objeto de gasto</w:t>
      </w:r>
    </w:p>
    <w:p w:rsidR="009F58E5" w:rsidRPr="00C75C7E" w:rsidRDefault="009F58E5" w:rsidP="00D73B21">
      <w:pPr>
        <w:keepNext/>
        <w:autoSpaceDE w:val="0"/>
        <w:autoSpaceDN w:val="0"/>
        <w:adjustRightInd w:val="0"/>
        <w:ind w:firstLine="567"/>
        <w:jc w:val="center"/>
        <w:rPr>
          <w:bCs/>
          <w:i/>
          <w:sz w:val="20"/>
          <w:lang w:val="es-ES_tradnl"/>
        </w:rPr>
      </w:pPr>
      <w:r w:rsidRPr="00C75C7E">
        <w:rPr>
          <w:bCs/>
          <w:i/>
          <w:sz w:val="20"/>
          <w:lang w:val="es-ES_tradnl"/>
        </w:rPr>
        <w:t>(en miles de francos suizos)</w:t>
      </w:r>
    </w:p>
    <w:p w:rsidR="009F58E5" w:rsidRDefault="009F58E5" w:rsidP="00D73B21">
      <w:pPr>
        <w:keepNext/>
        <w:jc w:val="center"/>
        <w:rPr>
          <w:i/>
          <w:sz w:val="18"/>
          <w:szCs w:val="18"/>
          <w:lang w:val="es-ES_tradnl"/>
        </w:rPr>
      </w:pPr>
    </w:p>
    <w:p w:rsidR="00EA4CD8" w:rsidRPr="00C75C7E" w:rsidRDefault="00B258CE" w:rsidP="00D73B21">
      <w:pPr>
        <w:keepNext/>
        <w:jc w:val="center"/>
        <w:rPr>
          <w:i/>
          <w:sz w:val="18"/>
          <w:szCs w:val="18"/>
          <w:lang w:val="es-ES_tradnl"/>
        </w:rPr>
      </w:pPr>
      <w:r w:rsidRPr="00B258CE">
        <w:rPr>
          <w:noProof/>
          <w:lang w:val="en-US" w:eastAsia="en-US"/>
        </w:rPr>
        <w:drawing>
          <wp:inline distT="0" distB="0" distL="0" distR="0" wp14:anchorId="1A27AEC5" wp14:editId="7F687C9A">
            <wp:extent cx="5940425" cy="5728596"/>
            <wp:effectExtent l="0" t="0" r="3175" b="5715"/>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5940425" cy="5728596"/>
                    </a:xfrm>
                    <a:prstGeom prst="rect">
                      <a:avLst/>
                    </a:prstGeom>
                    <a:noFill/>
                    <a:ln>
                      <a:noFill/>
                    </a:ln>
                  </pic:spPr>
                </pic:pic>
              </a:graphicData>
            </a:graphic>
          </wp:inline>
        </w:drawing>
      </w:r>
    </w:p>
    <w:p w:rsidR="00EA4CD8" w:rsidRDefault="00EA4CD8" w:rsidP="00C73E63">
      <w:pPr>
        <w:rPr>
          <w:sz w:val="16"/>
          <w:szCs w:val="16"/>
          <w:lang w:val="es-ES_tradnl"/>
        </w:rPr>
      </w:pPr>
    </w:p>
    <w:p w:rsidR="009F58E5" w:rsidRPr="00C75C7E" w:rsidRDefault="009F58E5" w:rsidP="00C73E63">
      <w:pPr>
        <w:rPr>
          <w:sz w:val="16"/>
          <w:szCs w:val="16"/>
          <w:lang w:val="es-ES_tradnl"/>
        </w:rPr>
      </w:pPr>
      <w:r w:rsidRPr="00C75C7E">
        <w:rPr>
          <w:sz w:val="16"/>
          <w:szCs w:val="16"/>
          <w:lang w:val="es-ES_tradnl"/>
        </w:rPr>
        <w:t>Notas:</w:t>
      </w:r>
    </w:p>
    <w:p w:rsidR="009F58E5" w:rsidRPr="00C75C7E" w:rsidRDefault="009F58E5" w:rsidP="00C73E63">
      <w:pPr>
        <w:rPr>
          <w:sz w:val="16"/>
          <w:szCs w:val="16"/>
          <w:u w:val="single"/>
          <w:lang w:val="es-ES_tradnl"/>
        </w:rPr>
      </w:pPr>
    </w:p>
    <w:p w:rsidR="009F58E5" w:rsidRPr="00C75C7E" w:rsidRDefault="00C73E63" w:rsidP="00C73E63">
      <w:pPr>
        <w:spacing w:after="120"/>
        <w:rPr>
          <w:sz w:val="16"/>
          <w:szCs w:val="16"/>
          <w:lang w:val="es-ES_tradnl"/>
        </w:rPr>
      </w:pPr>
      <w:r>
        <w:rPr>
          <w:sz w:val="16"/>
          <w:szCs w:val="16"/>
          <w:lang w:val="es-ES_tradnl"/>
        </w:rPr>
        <w:t xml:space="preserve">1)  </w:t>
      </w:r>
      <w:r w:rsidR="009F58E5" w:rsidRPr="00C75C7E">
        <w:rPr>
          <w:sz w:val="16"/>
          <w:szCs w:val="16"/>
          <w:lang w:val="es-ES_tradnl"/>
        </w:rPr>
        <w:t>El presupuesto aprobado de 2012/13 y el presupuesto de dicho bienio después de las transferencias se reexpresan sobre la base de la estructura de categorías de costos propuesta para 2014/15.</w:t>
      </w:r>
    </w:p>
    <w:p w:rsidR="009F58E5" w:rsidRPr="00C75C7E" w:rsidRDefault="009F58E5" w:rsidP="00C73E63">
      <w:pPr>
        <w:spacing w:after="120"/>
        <w:rPr>
          <w:sz w:val="16"/>
          <w:szCs w:val="16"/>
          <w:lang w:val="es-ES_tradnl"/>
        </w:rPr>
      </w:pPr>
      <w:r>
        <w:rPr>
          <w:sz w:val="16"/>
          <w:szCs w:val="16"/>
          <w:lang w:val="es-ES_tradnl"/>
        </w:rPr>
        <w:t>2)</w:t>
      </w:r>
      <w:r w:rsidR="00C73E63">
        <w:rPr>
          <w:sz w:val="16"/>
          <w:szCs w:val="16"/>
          <w:lang w:val="es-ES_tradnl"/>
        </w:rPr>
        <w:t xml:space="preserve">  </w:t>
      </w:r>
      <w:r w:rsidRPr="00C75C7E">
        <w:rPr>
          <w:sz w:val="16"/>
          <w:szCs w:val="16"/>
          <w:lang w:val="es-ES_tradnl"/>
        </w:rPr>
        <w:t>El presupuesto después de las transferencias refleja el presupuesto de los programas ajustado tras las transferencias efectuadas en 2012/13 en virtud del artículo 5.5 del Reglamento Financiero. Para más info</w:t>
      </w:r>
      <w:r w:rsidR="00FB6F33">
        <w:rPr>
          <w:sz w:val="16"/>
          <w:szCs w:val="16"/>
          <w:lang w:val="es-ES_tradnl"/>
        </w:rPr>
        <w:t>rmación sobre el presupuesto de </w:t>
      </w:r>
      <w:r w:rsidRPr="00C75C7E">
        <w:rPr>
          <w:sz w:val="16"/>
          <w:szCs w:val="16"/>
          <w:lang w:val="es-ES_tradnl"/>
        </w:rPr>
        <w:t xml:space="preserve">2012/13 después de las transferencias, cabe remitirse al cuadro que figura en el Anexo I (Presupuesto después de las transferencias, por programa) del presente documento y al documento WO/PBC/20/2 (Informe sobre el rendimiento de los programas en 2012).  </w:t>
      </w:r>
      <w:r w:rsidRPr="00C75C7E">
        <w:rPr>
          <w:rFonts w:cs="ArialMT"/>
          <w:sz w:val="16"/>
          <w:szCs w:val="16"/>
          <w:lang w:val="es-ES_tradnl"/>
        </w:rPr>
        <w:t xml:space="preserve">Los costos de personal del presupuesto de 2012/13 después de las transferencias representan los gastos reales efectuados hasta el 31 de marzo de 2013 y los importes presupuestados para los nueve meses restantes de 2013, sobre la base de costos estándar. </w:t>
      </w:r>
    </w:p>
    <w:p w:rsidR="009F58E5" w:rsidRPr="00C75C7E" w:rsidRDefault="009F58E5" w:rsidP="00C73E63">
      <w:pPr>
        <w:spacing w:after="120"/>
        <w:rPr>
          <w:sz w:val="20"/>
          <w:highlight w:val="yellow"/>
          <w:lang w:val="es-ES_tradnl"/>
        </w:rPr>
      </w:pPr>
      <w:r>
        <w:rPr>
          <w:sz w:val="16"/>
          <w:szCs w:val="16"/>
          <w:lang w:val="es-ES_tradnl"/>
        </w:rPr>
        <w:t>3)</w:t>
      </w:r>
      <w:r w:rsidR="00C73E63">
        <w:rPr>
          <w:sz w:val="16"/>
          <w:szCs w:val="16"/>
          <w:lang w:val="es-ES_tradnl"/>
        </w:rPr>
        <w:t xml:space="preserve">  </w:t>
      </w:r>
      <w:r w:rsidRPr="00C75C7E">
        <w:rPr>
          <w:sz w:val="16"/>
          <w:szCs w:val="16"/>
          <w:lang w:val="es-ES_tradnl"/>
        </w:rPr>
        <w:t>Para más información sobre los puestos del programa cabe remitirse al cuadro que figura en el Anexo II.</w:t>
      </w:r>
    </w:p>
    <w:p w:rsidR="00D73B21" w:rsidRPr="000B01FE" w:rsidRDefault="009F58E5" w:rsidP="000B01FE">
      <w:pPr>
        <w:pStyle w:val="Heading3"/>
        <w:tabs>
          <w:tab w:val="left" w:pos="1985"/>
        </w:tabs>
        <w:rPr>
          <w:b/>
          <w:u w:val="none"/>
          <w:lang w:val="es-ES_tradnl"/>
        </w:rPr>
      </w:pPr>
      <w:r w:rsidRPr="00C75C7E">
        <w:rPr>
          <w:sz w:val="20"/>
          <w:lang w:val="es-ES_tradnl"/>
        </w:rPr>
        <w:br w:type="page"/>
      </w:r>
      <w:bookmarkStart w:id="79" w:name="_Toc356567778"/>
      <w:bookmarkStart w:id="80" w:name="_Toc358816716"/>
      <w:r w:rsidR="000B01FE" w:rsidRPr="000B01FE">
        <w:rPr>
          <w:b/>
          <w:u w:val="none"/>
          <w:lang w:val="es-ES_tradnl"/>
        </w:rPr>
        <w:lastRenderedPageBreak/>
        <w:t>PROGRAMA 23</w:t>
      </w:r>
      <w:r w:rsidR="000B01FE" w:rsidRPr="000B01FE">
        <w:rPr>
          <w:b/>
          <w:u w:val="none"/>
          <w:lang w:val="es-ES_tradnl"/>
        </w:rPr>
        <w:tab/>
        <w:t>GESTIÓN Y DESARROLLO DE LOS RECURSOS HUMANOS</w:t>
      </w:r>
      <w:bookmarkEnd w:id="79"/>
      <w:bookmarkEnd w:id="80"/>
    </w:p>
    <w:p w:rsidR="00D73B21" w:rsidRPr="008F443E" w:rsidRDefault="00D73B21" w:rsidP="00D73B21">
      <w:pPr>
        <w:pStyle w:val="BodyTextIndent"/>
        <w:ind w:left="1985" w:hanging="1985"/>
        <w:jc w:val="both"/>
        <w:rPr>
          <w:rFonts w:ascii="Arial" w:hAnsi="Arial" w:cs="Arial"/>
          <w:sz w:val="20"/>
          <w:lang w:val="es-ES"/>
        </w:rPr>
      </w:pPr>
    </w:p>
    <w:p w:rsidR="00D73B21" w:rsidRPr="008F443E" w:rsidRDefault="00D73B21" w:rsidP="00D73B21">
      <w:pPr>
        <w:pStyle w:val="BodyTextIndent"/>
        <w:ind w:left="1985" w:hanging="1985"/>
        <w:jc w:val="both"/>
        <w:rPr>
          <w:rFonts w:ascii="Arial" w:hAnsi="Arial" w:cs="Arial"/>
          <w:b/>
          <w:sz w:val="20"/>
          <w:lang w:val="es-ES"/>
        </w:rPr>
      </w:pPr>
    </w:p>
    <w:p w:rsidR="00D73B21" w:rsidRPr="000B01FE" w:rsidRDefault="00D73B21" w:rsidP="00D73B21">
      <w:pPr>
        <w:pStyle w:val="BodyTextIndent"/>
        <w:ind w:left="1985" w:hanging="1985"/>
        <w:jc w:val="both"/>
        <w:rPr>
          <w:rFonts w:ascii="Arial" w:hAnsi="Arial" w:cs="Arial"/>
          <w:sz w:val="22"/>
          <w:szCs w:val="22"/>
          <w:lang w:val="es-ES_tradnl"/>
        </w:rPr>
      </w:pPr>
      <w:r w:rsidRPr="000B01FE">
        <w:rPr>
          <w:rFonts w:ascii="Arial" w:hAnsi="Arial" w:cs="Arial"/>
          <w:sz w:val="22"/>
          <w:szCs w:val="22"/>
          <w:lang w:val="es-ES_tradnl"/>
        </w:rPr>
        <w:t>CONTEXTO DE PLANIFICACIÓN</w:t>
      </w:r>
    </w:p>
    <w:p w:rsidR="00D73B21" w:rsidRDefault="00D73B21" w:rsidP="000B01FE">
      <w:pPr>
        <w:widowControl w:val="0"/>
        <w:autoSpaceDE w:val="0"/>
        <w:autoSpaceDN w:val="0"/>
        <w:adjustRightInd w:val="0"/>
        <w:jc w:val="both"/>
        <w:rPr>
          <w:szCs w:val="22"/>
        </w:rPr>
      </w:pPr>
    </w:p>
    <w:p w:rsidR="00D73B21" w:rsidRPr="00CA76B5" w:rsidRDefault="00D73B21" w:rsidP="00D41E6A">
      <w:pPr>
        <w:pStyle w:val="ONUME"/>
        <w:widowControl w:val="0"/>
        <w:numPr>
          <w:ilvl w:val="0"/>
          <w:numId w:val="42"/>
        </w:numPr>
        <w:spacing w:after="0"/>
        <w:jc w:val="both"/>
        <w:rPr>
          <w:sz w:val="20"/>
          <w:szCs w:val="16"/>
        </w:rPr>
      </w:pPr>
      <w:r w:rsidRPr="00975028">
        <w:rPr>
          <w:sz w:val="20"/>
        </w:rPr>
        <w:t>Con el fin de lograr sus objetivos fundamentales, la OMPI debe contar con una Secretaría eficaz que disponga de un personal bien dirigido y con las competencias adecuadas que</w:t>
      </w:r>
      <w:r>
        <w:rPr>
          <w:sz w:val="20"/>
        </w:rPr>
        <w:t xml:space="preserve"> produzca</w:t>
      </w:r>
      <w:r w:rsidRPr="00975028">
        <w:rPr>
          <w:sz w:val="20"/>
        </w:rPr>
        <w:t xml:space="preserve"> resultados de manera sostenible.  En este contexto, será</w:t>
      </w:r>
      <w:r>
        <w:rPr>
          <w:sz w:val="20"/>
        </w:rPr>
        <w:t xml:space="preserve"> necesario superar</w:t>
      </w:r>
      <w:r w:rsidRPr="00975028">
        <w:rPr>
          <w:sz w:val="20"/>
        </w:rPr>
        <w:t xml:space="preserve"> muchos desafíos, en particular, la brecha entre las actuales competencias y aptitudes del personal y las competencias necesarias para satisfacer las necesidades futuras de la Organización. La estrategia de recursos humanos que se está elaborando actualmente atenderá estos desafíos, en particular la alineación de las competencias, el equilibrio </w:t>
      </w:r>
      <w:r w:rsidR="00425E19">
        <w:rPr>
          <w:sz w:val="20"/>
        </w:rPr>
        <w:t>de género</w:t>
      </w:r>
      <w:r w:rsidRPr="00975028">
        <w:rPr>
          <w:sz w:val="20"/>
        </w:rPr>
        <w:t xml:space="preserve"> a todos los niveles, la diversidad geográfica, la duración del proceso de contratación, la elaboración de políticas claras que estén conformes con las necesidades y las prácticas óptimas del sistema común de las NN.UU.; y</w:t>
      </w:r>
      <w:r>
        <w:rPr>
          <w:sz w:val="20"/>
        </w:rPr>
        <w:t>,</w:t>
      </w:r>
      <w:r w:rsidRPr="00975028">
        <w:rPr>
          <w:sz w:val="20"/>
        </w:rPr>
        <w:t xml:space="preserve"> sobre todo</w:t>
      </w:r>
      <w:r>
        <w:rPr>
          <w:sz w:val="20"/>
        </w:rPr>
        <w:t>, el refuerzo de la orientación</w:t>
      </w:r>
      <w:r w:rsidRPr="00CA76B5">
        <w:rPr>
          <w:sz w:val="20"/>
        </w:rPr>
        <w:t xml:space="preserve"> al cliente</w:t>
      </w:r>
      <w:r>
        <w:rPr>
          <w:sz w:val="20"/>
        </w:rPr>
        <w:t xml:space="preserve"> de los servicios de recursos humanos</w:t>
      </w:r>
      <w:r w:rsidRPr="00CA76B5">
        <w:rPr>
          <w:sz w:val="20"/>
        </w:rPr>
        <w:t>.</w:t>
      </w:r>
      <w:r>
        <w:rPr>
          <w:sz w:val="20"/>
        </w:rPr>
        <w:t xml:space="preserve">  Otro ámbito de interés será el de la comunicación; en el que se abordará la consulta </w:t>
      </w:r>
      <w:r w:rsidRPr="002130D0">
        <w:rPr>
          <w:sz w:val="20"/>
        </w:rPr>
        <w:t>efectiva y oportuna</w:t>
      </w:r>
      <w:r>
        <w:rPr>
          <w:sz w:val="20"/>
        </w:rPr>
        <w:t xml:space="preserve"> con el personal, los representantes del personal, el personal directivo</w:t>
      </w:r>
      <w:r w:rsidRPr="002E7A15">
        <w:rPr>
          <w:sz w:val="20"/>
        </w:rPr>
        <w:t xml:space="preserve"> de la OMPI</w:t>
      </w:r>
      <w:r>
        <w:rPr>
          <w:sz w:val="20"/>
        </w:rPr>
        <w:t xml:space="preserve"> y los Estados miembros.</w:t>
      </w:r>
    </w:p>
    <w:p w:rsidR="00D73B21" w:rsidRPr="00975028" w:rsidRDefault="00D73B21" w:rsidP="000B01FE">
      <w:pPr>
        <w:pStyle w:val="ONUME"/>
        <w:widowControl w:val="0"/>
        <w:numPr>
          <w:ilvl w:val="0"/>
          <w:numId w:val="0"/>
        </w:numPr>
        <w:spacing w:after="0"/>
        <w:jc w:val="both"/>
        <w:rPr>
          <w:sz w:val="20"/>
        </w:rPr>
      </w:pPr>
    </w:p>
    <w:p w:rsidR="00D73B21" w:rsidRPr="00131336" w:rsidRDefault="00D73B21" w:rsidP="00D41E6A">
      <w:pPr>
        <w:pStyle w:val="ONUME"/>
        <w:widowControl w:val="0"/>
        <w:numPr>
          <w:ilvl w:val="0"/>
          <w:numId w:val="42"/>
        </w:numPr>
        <w:spacing w:after="0"/>
        <w:jc w:val="both"/>
        <w:rPr>
          <w:sz w:val="20"/>
          <w:szCs w:val="18"/>
        </w:rPr>
      </w:pPr>
      <w:r w:rsidRPr="003D35D1">
        <w:rPr>
          <w:sz w:val="20"/>
          <w:szCs w:val="18"/>
        </w:rPr>
        <w:t xml:space="preserve">La incorporación </w:t>
      </w:r>
      <w:r>
        <w:rPr>
          <w:sz w:val="20"/>
          <w:szCs w:val="18"/>
        </w:rPr>
        <w:t xml:space="preserve">del diseño orgánico de </w:t>
      </w:r>
      <w:r w:rsidRPr="00131336">
        <w:rPr>
          <w:sz w:val="20"/>
          <w:szCs w:val="18"/>
        </w:rPr>
        <w:t xml:space="preserve">la iniciativa del </w:t>
      </w:r>
      <w:r w:rsidR="00AE7D43">
        <w:rPr>
          <w:sz w:val="20"/>
          <w:szCs w:val="18"/>
        </w:rPr>
        <w:t>Programa de Alineación Estratégica</w:t>
      </w:r>
      <w:r>
        <w:rPr>
          <w:sz w:val="20"/>
          <w:szCs w:val="18"/>
        </w:rPr>
        <w:t xml:space="preserve">, en consonancia con el marco y los enfoques de </w:t>
      </w:r>
      <w:r w:rsidRPr="00131336">
        <w:rPr>
          <w:sz w:val="20"/>
          <w:szCs w:val="18"/>
        </w:rPr>
        <w:t>gestión del</w:t>
      </w:r>
      <w:r>
        <w:rPr>
          <w:sz w:val="20"/>
          <w:szCs w:val="18"/>
        </w:rPr>
        <w:t xml:space="preserve"> </w:t>
      </w:r>
      <w:r w:rsidRPr="00131336">
        <w:rPr>
          <w:sz w:val="20"/>
          <w:szCs w:val="18"/>
        </w:rPr>
        <w:t>rendimiento</w:t>
      </w:r>
      <w:r>
        <w:rPr>
          <w:sz w:val="20"/>
          <w:szCs w:val="18"/>
        </w:rPr>
        <w:t xml:space="preserve"> de la Organización, fomentará una mayor</w:t>
      </w:r>
      <w:r w:rsidRPr="009C7612">
        <w:rPr>
          <w:sz w:val="20"/>
          <w:szCs w:val="18"/>
        </w:rPr>
        <w:t xml:space="preserve"> rendición de cuentas</w:t>
      </w:r>
      <w:r>
        <w:rPr>
          <w:sz w:val="20"/>
          <w:szCs w:val="18"/>
        </w:rPr>
        <w:t xml:space="preserve"> para el capital humano de la Organización y contribuirá a la producción de mejores resultados mediante una planificación centrada en las necesidades de los recursos humanos con el fin de facilitar las sinergias </w:t>
      </w:r>
      <w:r w:rsidRPr="001E7CEF">
        <w:rPr>
          <w:sz w:val="20"/>
          <w:szCs w:val="18"/>
        </w:rPr>
        <w:t>intersectoriales</w:t>
      </w:r>
      <w:r>
        <w:rPr>
          <w:sz w:val="20"/>
          <w:szCs w:val="18"/>
        </w:rPr>
        <w:t xml:space="preserve"> y reducir la duplicación de actividades.</w:t>
      </w:r>
    </w:p>
    <w:p w:rsidR="00D73B21" w:rsidRPr="003D35D1" w:rsidRDefault="00D73B21" w:rsidP="000B01FE">
      <w:pPr>
        <w:widowControl w:val="0"/>
        <w:jc w:val="both"/>
        <w:rPr>
          <w:sz w:val="20"/>
          <w:szCs w:val="18"/>
        </w:rPr>
      </w:pPr>
    </w:p>
    <w:p w:rsidR="00D73B21" w:rsidRPr="005807B8" w:rsidRDefault="00D73B21" w:rsidP="00D41E6A">
      <w:pPr>
        <w:pStyle w:val="ONUME"/>
        <w:widowControl w:val="0"/>
        <w:numPr>
          <w:ilvl w:val="0"/>
          <w:numId w:val="42"/>
        </w:numPr>
        <w:spacing w:after="0"/>
        <w:jc w:val="both"/>
        <w:rPr>
          <w:sz w:val="20"/>
          <w:szCs w:val="18"/>
        </w:rPr>
      </w:pPr>
      <w:r w:rsidRPr="005807B8">
        <w:rPr>
          <w:sz w:val="20"/>
          <w:szCs w:val="18"/>
        </w:rPr>
        <w:t>La puesta en práctica de</w:t>
      </w:r>
      <w:r>
        <w:rPr>
          <w:sz w:val="20"/>
          <w:szCs w:val="18"/>
        </w:rPr>
        <w:t xml:space="preserve"> la</w:t>
      </w:r>
      <w:r w:rsidRPr="005807B8">
        <w:rPr>
          <w:sz w:val="20"/>
          <w:szCs w:val="18"/>
        </w:rPr>
        <w:t xml:space="preserve"> planificación de los recursos institucionales </w:t>
      </w:r>
      <w:r>
        <w:rPr>
          <w:sz w:val="20"/>
          <w:szCs w:val="18"/>
        </w:rPr>
        <w:t xml:space="preserve">para la gestión de los recursos humanos será una prioridad en 2014/15. El objetivo será aportar procesos y servicios de recursos humanos eficaces y eficientes, así como mejorar las </w:t>
      </w:r>
      <w:r w:rsidRPr="00B1361B">
        <w:rPr>
          <w:sz w:val="20"/>
          <w:szCs w:val="18"/>
        </w:rPr>
        <w:t>funciones de presentación de informes</w:t>
      </w:r>
      <w:r>
        <w:rPr>
          <w:sz w:val="20"/>
          <w:szCs w:val="18"/>
        </w:rPr>
        <w:t xml:space="preserve"> tanto a nivel interno, ante el personal directivo, como a nivel externo, ante los </w:t>
      </w:r>
      <w:r w:rsidR="00425E19">
        <w:rPr>
          <w:sz w:val="20"/>
          <w:szCs w:val="18"/>
        </w:rPr>
        <w:t>órganos</w:t>
      </w:r>
      <w:r>
        <w:rPr>
          <w:sz w:val="20"/>
          <w:szCs w:val="18"/>
        </w:rPr>
        <w:t xml:space="preserve"> rectores y las partes interesadas.</w:t>
      </w:r>
    </w:p>
    <w:p w:rsidR="00D73B21" w:rsidRPr="005807B8" w:rsidRDefault="00D73B21" w:rsidP="000B01FE">
      <w:pPr>
        <w:widowControl w:val="0"/>
        <w:jc w:val="both"/>
        <w:rPr>
          <w:sz w:val="20"/>
          <w:szCs w:val="18"/>
        </w:rPr>
      </w:pPr>
    </w:p>
    <w:p w:rsidR="00D73B21" w:rsidRPr="005807B8" w:rsidRDefault="00D73B21" w:rsidP="000B01FE">
      <w:pPr>
        <w:widowControl w:val="0"/>
        <w:jc w:val="both"/>
        <w:rPr>
          <w:sz w:val="20"/>
          <w:szCs w:val="18"/>
        </w:rPr>
      </w:pPr>
    </w:p>
    <w:p w:rsidR="00D73B21" w:rsidRPr="005807B8" w:rsidRDefault="00D73B21" w:rsidP="000B01FE">
      <w:pPr>
        <w:widowControl w:val="0"/>
        <w:jc w:val="both"/>
        <w:rPr>
          <w:szCs w:val="18"/>
        </w:rPr>
      </w:pPr>
      <w:r>
        <w:rPr>
          <w:szCs w:val="18"/>
        </w:rPr>
        <w:t xml:space="preserve">ESTRATEGIAS DE EJECUCIÓN </w:t>
      </w:r>
    </w:p>
    <w:p w:rsidR="00D73B21" w:rsidRPr="005807B8" w:rsidRDefault="00D73B21" w:rsidP="000B01FE">
      <w:pPr>
        <w:widowControl w:val="0"/>
        <w:jc w:val="both"/>
        <w:rPr>
          <w:sz w:val="20"/>
        </w:rPr>
      </w:pPr>
    </w:p>
    <w:p w:rsidR="00D73B21" w:rsidRPr="00F45F4A" w:rsidRDefault="00D73B21" w:rsidP="00D41E6A">
      <w:pPr>
        <w:pStyle w:val="ONUME"/>
        <w:widowControl w:val="0"/>
        <w:numPr>
          <w:ilvl w:val="0"/>
          <w:numId w:val="42"/>
        </w:numPr>
        <w:spacing w:after="0"/>
        <w:jc w:val="both"/>
        <w:rPr>
          <w:sz w:val="20"/>
        </w:rPr>
      </w:pPr>
      <w:r w:rsidRPr="00F45F4A">
        <w:rPr>
          <w:sz w:val="20"/>
        </w:rPr>
        <w:t>Una de las prioridades del pr</w:t>
      </w:r>
      <w:r>
        <w:rPr>
          <w:sz w:val="20"/>
        </w:rPr>
        <w:t xml:space="preserve">óximo bienio será el desarrollo de planes para </w:t>
      </w:r>
      <w:r w:rsidRPr="00F45F4A">
        <w:rPr>
          <w:sz w:val="20"/>
        </w:rPr>
        <w:t>los miembros del personal</w:t>
      </w:r>
      <w:r>
        <w:rPr>
          <w:sz w:val="20"/>
        </w:rPr>
        <w:t xml:space="preserve"> de todas las unidades de la Organización y el seguimiento de la puesta en práctica de los mismos mediante una </w:t>
      </w:r>
      <w:r w:rsidRPr="00F45F4A">
        <w:rPr>
          <w:sz w:val="20"/>
        </w:rPr>
        <w:t>sólida colaboración</w:t>
      </w:r>
      <w:r>
        <w:rPr>
          <w:sz w:val="20"/>
        </w:rPr>
        <w:t xml:space="preserve"> con el personal directivo.</w:t>
      </w:r>
    </w:p>
    <w:p w:rsidR="00D73B21" w:rsidRPr="00F45F4A" w:rsidRDefault="00D73B21" w:rsidP="000B01FE">
      <w:pPr>
        <w:widowControl w:val="0"/>
        <w:jc w:val="both"/>
        <w:rPr>
          <w:sz w:val="20"/>
        </w:rPr>
      </w:pPr>
    </w:p>
    <w:p w:rsidR="00D73B21" w:rsidRPr="0035169A" w:rsidRDefault="00D73B21" w:rsidP="00D41E6A">
      <w:pPr>
        <w:pStyle w:val="ONUME"/>
        <w:widowControl w:val="0"/>
        <w:numPr>
          <w:ilvl w:val="0"/>
          <w:numId w:val="42"/>
        </w:numPr>
        <w:spacing w:after="0"/>
        <w:jc w:val="both"/>
        <w:rPr>
          <w:sz w:val="20"/>
        </w:rPr>
      </w:pPr>
      <w:r w:rsidRPr="00CE01EB">
        <w:rPr>
          <w:sz w:val="20"/>
        </w:rPr>
        <w:t>A medida que la organización incremente su eficacia para identificar y planificar las estructuras organizativas y los recursos humanos necesarios para satisfacer sus necesidades, se producirá un cambio considerable que se manifestará a través de la capacidad de darle prioridad a los servicios de contratación con el fin de brindar una mejor orientación a los objetivos de desarrollo del personal.  De este modo, el proceso de contratación se centrará más en atender las carencias de aptitudes</w:t>
      </w:r>
      <w:r>
        <w:rPr>
          <w:sz w:val="20"/>
        </w:rPr>
        <w:t xml:space="preserve"> de la Organización.</w:t>
      </w:r>
    </w:p>
    <w:p w:rsidR="00D73B21" w:rsidRPr="0035169A" w:rsidRDefault="00D73B21" w:rsidP="000B01FE">
      <w:pPr>
        <w:widowControl w:val="0"/>
        <w:jc w:val="both"/>
        <w:rPr>
          <w:sz w:val="20"/>
        </w:rPr>
      </w:pPr>
    </w:p>
    <w:p w:rsidR="00D73B21" w:rsidRPr="00463CD1" w:rsidRDefault="00D73B21" w:rsidP="00D41E6A">
      <w:pPr>
        <w:pStyle w:val="ONUME"/>
        <w:widowControl w:val="0"/>
        <w:numPr>
          <w:ilvl w:val="0"/>
          <w:numId w:val="42"/>
        </w:numPr>
        <w:spacing w:after="0"/>
        <w:jc w:val="both"/>
        <w:rPr>
          <w:sz w:val="20"/>
        </w:rPr>
      </w:pPr>
      <w:r w:rsidRPr="00463CD1">
        <w:rPr>
          <w:sz w:val="20"/>
        </w:rPr>
        <w:t xml:space="preserve">El proyecto </w:t>
      </w:r>
      <w:r>
        <w:rPr>
          <w:sz w:val="20"/>
        </w:rPr>
        <w:t xml:space="preserve">de </w:t>
      </w:r>
      <w:r w:rsidRPr="00463CD1">
        <w:rPr>
          <w:sz w:val="20"/>
        </w:rPr>
        <w:t>planificación de los recursos institucionales</w:t>
      </w:r>
      <w:r>
        <w:rPr>
          <w:sz w:val="20"/>
        </w:rPr>
        <w:t xml:space="preserve"> incluirá la puesta en práctica y la integración de un nuevo sistema integrado de contratación, así como un módulo de </w:t>
      </w:r>
      <w:r w:rsidRPr="000C73B6">
        <w:rPr>
          <w:sz w:val="20"/>
        </w:rPr>
        <w:t>autoservicio</w:t>
      </w:r>
      <w:r>
        <w:rPr>
          <w:sz w:val="20"/>
        </w:rPr>
        <w:t xml:space="preserve"> para el personal y el equipo directivo que dará como resultado un aumento de los niveles de eficiencia y de servicio.</w:t>
      </w:r>
    </w:p>
    <w:p w:rsidR="00D73B21" w:rsidRPr="00463CD1" w:rsidRDefault="00D73B21" w:rsidP="000B01FE">
      <w:pPr>
        <w:widowControl w:val="0"/>
        <w:jc w:val="both"/>
        <w:rPr>
          <w:sz w:val="20"/>
        </w:rPr>
      </w:pPr>
    </w:p>
    <w:p w:rsidR="00D73B21" w:rsidRPr="006C0D68" w:rsidRDefault="00D73B21" w:rsidP="00D41E6A">
      <w:pPr>
        <w:pStyle w:val="ONUME"/>
        <w:widowControl w:val="0"/>
        <w:numPr>
          <w:ilvl w:val="0"/>
          <w:numId w:val="42"/>
        </w:numPr>
        <w:spacing w:after="0"/>
        <w:jc w:val="both"/>
        <w:rPr>
          <w:sz w:val="20"/>
        </w:rPr>
      </w:pPr>
      <w:r w:rsidRPr="006C0D68">
        <w:rPr>
          <w:sz w:val="20"/>
        </w:rPr>
        <w:t>Las actividades de los recursos humanos tambi</w:t>
      </w:r>
      <w:r>
        <w:rPr>
          <w:sz w:val="20"/>
        </w:rPr>
        <w:t xml:space="preserve">én serán racionalizadas mediante el </w:t>
      </w:r>
      <w:r w:rsidRPr="006C0D68">
        <w:rPr>
          <w:sz w:val="20"/>
        </w:rPr>
        <w:t xml:space="preserve">sistema de </w:t>
      </w:r>
      <w:r>
        <w:rPr>
          <w:sz w:val="20"/>
        </w:rPr>
        <w:t>planificación de los recursos institucionales.  Los</w:t>
      </w:r>
      <w:r w:rsidRPr="006C0D68">
        <w:rPr>
          <w:sz w:val="20"/>
        </w:rPr>
        <w:t xml:space="preserve"> módulos de recursos humanos y </w:t>
      </w:r>
      <w:r>
        <w:rPr>
          <w:sz w:val="20"/>
        </w:rPr>
        <w:t xml:space="preserve">de </w:t>
      </w:r>
      <w:r w:rsidRPr="006C0D68">
        <w:rPr>
          <w:sz w:val="20"/>
        </w:rPr>
        <w:t>nómina</w:t>
      </w:r>
      <w:r>
        <w:rPr>
          <w:sz w:val="20"/>
        </w:rPr>
        <w:t xml:space="preserve"> más importantes entrarán en servicio en octubre de 2013.  La formación que el personal recibirá acerca del nuevo sistema y sus instrumentos se llevará a cabo durante el transcurso del bienio, a medida que se vayan poniendo en práctica las nuevas funciones y capacidades durante las </w:t>
      </w:r>
      <w:r w:rsidRPr="00725C92">
        <w:rPr>
          <w:sz w:val="20"/>
        </w:rPr>
        <w:t>fases sucesivas</w:t>
      </w:r>
      <w:r>
        <w:rPr>
          <w:sz w:val="20"/>
        </w:rPr>
        <w:t xml:space="preserve"> del </w:t>
      </w:r>
      <w:r w:rsidRPr="00463CD1">
        <w:rPr>
          <w:sz w:val="20"/>
        </w:rPr>
        <w:t xml:space="preserve">proyecto </w:t>
      </w:r>
      <w:r>
        <w:rPr>
          <w:sz w:val="20"/>
        </w:rPr>
        <w:t xml:space="preserve">de </w:t>
      </w:r>
      <w:r w:rsidRPr="00463CD1">
        <w:rPr>
          <w:sz w:val="20"/>
        </w:rPr>
        <w:t>planificación de los recursos institucionales</w:t>
      </w:r>
      <w:r>
        <w:rPr>
          <w:sz w:val="20"/>
        </w:rPr>
        <w:t>.  Se prevé que esta iniciativa se traduzca en servicios</w:t>
      </w:r>
      <w:r w:rsidRPr="0081130A">
        <w:rPr>
          <w:sz w:val="20"/>
        </w:rPr>
        <w:t xml:space="preserve"> eficaces, eficientes, de</w:t>
      </w:r>
      <w:r>
        <w:rPr>
          <w:sz w:val="20"/>
        </w:rPr>
        <w:t xml:space="preserve"> mejor calidad y orientados al cliente.</w:t>
      </w:r>
    </w:p>
    <w:p w:rsidR="00D73B21" w:rsidRPr="006C0D68" w:rsidRDefault="00D73B21" w:rsidP="000B01FE">
      <w:pPr>
        <w:widowControl w:val="0"/>
        <w:jc w:val="both"/>
        <w:rPr>
          <w:sz w:val="20"/>
        </w:rPr>
      </w:pPr>
    </w:p>
    <w:p w:rsidR="00D73B21" w:rsidRPr="00BD416B" w:rsidRDefault="00D73B21" w:rsidP="00D41E6A">
      <w:pPr>
        <w:pStyle w:val="ONUME"/>
        <w:widowControl w:val="0"/>
        <w:numPr>
          <w:ilvl w:val="0"/>
          <w:numId w:val="42"/>
        </w:numPr>
        <w:spacing w:after="0"/>
        <w:jc w:val="both"/>
        <w:rPr>
          <w:sz w:val="20"/>
        </w:rPr>
      </w:pPr>
      <w:r>
        <w:rPr>
          <w:sz w:val="20"/>
        </w:rPr>
        <w:t>A raíz de</w:t>
      </w:r>
      <w:r w:rsidRPr="00BD416B">
        <w:rPr>
          <w:sz w:val="20"/>
        </w:rPr>
        <w:t xml:space="preserve"> una revisión interna realizada en 2013, se decidi</w:t>
      </w:r>
      <w:r>
        <w:rPr>
          <w:sz w:val="20"/>
        </w:rPr>
        <w:t>ó que la prestación de servicios médicos será reorientada para que se centre en la salud profesional.  Asimismo, se creará, en colaboración con las partes interesadas, un comité de pares que abordará la cuestión de la salud y la</w:t>
      </w:r>
      <w:r w:rsidRPr="005D700B">
        <w:rPr>
          <w:sz w:val="20"/>
        </w:rPr>
        <w:t xml:space="preserve"> seguridad</w:t>
      </w:r>
      <w:r>
        <w:rPr>
          <w:sz w:val="20"/>
        </w:rPr>
        <w:t xml:space="preserve"> del personal.  Tratar la cuestión del a</w:t>
      </w:r>
      <w:r w:rsidR="00425E19">
        <w:rPr>
          <w:sz w:val="20"/>
        </w:rPr>
        <w:t>b</w:t>
      </w:r>
      <w:r>
        <w:rPr>
          <w:sz w:val="20"/>
        </w:rPr>
        <w:t>sentismo</w:t>
      </w:r>
      <w:r w:rsidRPr="00080C0A">
        <w:rPr>
          <w:sz w:val="20"/>
        </w:rPr>
        <w:t xml:space="preserve"> laboral</w:t>
      </w:r>
      <w:r>
        <w:rPr>
          <w:sz w:val="20"/>
        </w:rPr>
        <w:t xml:space="preserve"> también será una prioridad en el próximo bienio.</w:t>
      </w:r>
    </w:p>
    <w:p w:rsidR="00D73B21" w:rsidRPr="00BD416B" w:rsidRDefault="00D73B21" w:rsidP="000B01FE">
      <w:pPr>
        <w:widowControl w:val="0"/>
        <w:jc w:val="both"/>
        <w:rPr>
          <w:sz w:val="20"/>
        </w:rPr>
      </w:pPr>
    </w:p>
    <w:p w:rsidR="00D73B21" w:rsidRPr="00797D55" w:rsidRDefault="00D73B21" w:rsidP="00D41E6A">
      <w:pPr>
        <w:pStyle w:val="ONUME"/>
        <w:widowControl w:val="0"/>
        <w:numPr>
          <w:ilvl w:val="0"/>
          <w:numId w:val="42"/>
        </w:numPr>
        <w:spacing w:after="0"/>
        <w:jc w:val="both"/>
        <w:rPr>
          <w:sz w:val="20"/>
        </w:rPr>
      </w:pPr>
      <w:r w:rsidRPr="00797D55">
        <w:rPr>
          <w:sz w:val="20"/>
        </w:rPr>
        <w:t xml:space="preserve">Las pólizas de seguro del personal (seguro </w:t>
      </w:r>
      <w:r w:rsidR="00425E19" w:rsidRPr="00797D55">
        <w:rPr>
          <w:sz w:val="20"/>
        </w:rPr>
        <w:t>médico</w:t>
      </w:r>
      <w:r w:rsidRPr="00797D55">
        <w:rPr>
          <w:sz w:val="20"/>
        </w:rPr>
        <w:t xml:space="preserve">, </w:t>
      </w:r>
      <w:r>
        <w:rPr>
          <w:sz w:val="20"/>
        </w:rPr>
        <w:t>seguro</w:t>
      </w:r>
      <w:r w:rsidRPr="00797D55">
        <w:rPr>
          <w:sz w:val="20"/>
        </w:rPr>
        <w:t xml:space="preserve"> de accidente</w:t>
      </w:r>
      <w:r w:rsidR="00425E19">
        <w:rPr>
          <w:sz w:val="20"/>
        </w:rPr>
        <w:t>s</w:t>
      </w:r>
      <w:r>
        <w:rPr>
          <w:sz w:val="20"/>
        </w:rPr>
        <w:t xml:space="preserve"> y</w:t>
      </w:r>
      <w:r w:rsidRPr="00797D55">
        <w:rPr>
          <w:sz w:val="20"/>
        </w:rPr>
        <w:t xml:space="preserve"> </w:t>
      </w:r>
      <w:r>
        <w:rPr>
          <w:sz w:val="20"/>
        </w:rPr>
        <w:t xml:space="preserve">seguro de vida) están sujetas a renovación en 2014.  A través de un </w:t>
      </w:r>
      <w:r w:rsidRPr="00797D55">
        <w:rPr>
          <w:sz w:val="20"/>
        </w:rPr>
        <w:t xml:space="preserve">proceso </w:t>
      </w:r>
      <w:r>
        <w:rPr>
          <w:sz w:val="20"/>
        </w:rPr>
        <w:t xml:space="preserve">competitivo </w:t>
      </w:r>
      <w:r w:rsidRPr="00797D55">
        <w:rPr>
          <w:sz w:val="20"/>
        </w:rPr>
        <w:t>de licitación</w:t>
      </w:r>
      <w:r>
        <w:rPr>
          <w:sz w:val="20"/>
        </w:rPr>
        <w:t xml:space="preserve">, se seleccionará uno o varios </w:t>
      </w:r>
      <w:r w:rsidRPr="00797D55">
        <w:rPr>
          <w:sz w:val="20"/>
        </w:rPr>
        <w:t>proveedores de servicios</w:t>
      </w:r>
      <w:r>
        <w:rPr>
          <w:sz w:val="20"/>
        </w:rPr>
        <w:t xml:space="preserve">.  Las pólizas nuevas o renovadas </w:t>
      </w:r>
      <w:r w:rsidRPr="001F6F93">
        <w:rPr>
          <w:sz w:val="20"/>
        </w:rPr>
        <w:t>entrarán en vigor</w:t>
      </w:r>
      <w:r>
        <w:rPr>
          <w:sz w:val="20"/>
        </w:rPr>
        <w:t xml:space="preserve"> en enero de 2015.</w:t>
      </w:r>
    </w:p>
    <w:p w:rsidR="00D73B21" w:rsidRPr="00797D55" w:rsidRDefault="00D73B21" w:rsidP="000B01FE">
      <w:pPr>
        <w:widowControl w:val="0"/>
        <w:jc w:val="both"/>
        <w:rPr>
          <w:sz w:val="20"/>
        </w:rPr>
      </w:pPr>
    </w:p>
    <w:p w:rsidR="00D73B21" w:rsidRPr="0079130E" w:rsidRDefault="00D73B21" w:rsidP="00D41E6A">
      <w:pPr>
        <w:pStyle w:val="ONUME"/>
        <w:widowControl w:val="0"/>
        <w:numPr>
          <w:ilvl w:val="0"/>
          <w:numId w:val="42"/>
        </w:numPr>
        <w:spacing w:after="0"/>
        <w:jc w:val="both"/>
        <w:rPr>
          <w:sz w:val="20"/>
        </w:rPr>
      </w:pPr>
      <w:r w:rsidRPr="0079130E">
        <w:rPr>
          <w:sz w:val="20"/>
        </w:rPr>
        <w:t xml:space="preserve">Las actividades de perfeccionamiento del personal </w:t>
      </w:r>
      <w:r>
        <w:rPr>
          <w:sz w:val="20"/>
        </w:rPr>
        <w:t>se centrarán en las necesidades fundamentales colectivas e individuales de capacitación para garantizar el logro de los objetivos individuales del personal y los resultados previstos de la Organización.  Se atribuirá particular importancia a la capacitación del personal directivo con el fin de fortalecer la capacidad de gestión de la Organización.  Dicha capacitación incluirá técnicas fundamentales de gestión (por ejemplo, “gestión de personal” y “gestión de proyectos”) y de comunicación que incluyen la gestión de conflictos y la gestión del tiempo.</w:t>
      </w:r>
    </w:p>
    <w:p w:rsidR="00D73B21" w:rsidRPr="005F0AE4" w:rsidRDefault="00D73B21" w:rsidP="000B01FE">
      <w:pPr>
        <w:pStyle w:val="ONUME"/>
        <w:numPr>
          <w:ilvl w:val="0"/>
          <w:numId w:val="0"/>
        </w:numPr>
        <w:spacing w:after="0"/>
        <w:jc w:val="both"/>
        <w:rPr>
          <w:sz w:val="20"/>
        </w:rPr>
      </w:pPr>
    </w:p>
    <w:p w:rsidR="00D73B21" w:rsidRPr="007645DA" w:rsidRDefault="00D73B21" w:rsidP="00D41E6A">
      <w:pPr>
        <w:pStyle w:val="ONUME"/>
        <w:widowControl w:val="0"/>
        <w:numPr>
          <w:ilvl w:val="0"/>
          <w:numId w:val="42"/>
        </w:numPr>
        <w:spacing w:after="0"/>
        <w:jc w:val="both"/>
        <w:rPr>
          <w:sz w:val="20"/>
        </w:rPr>
      </w:pPr>
      <w:r w:rsidRPr="007645DA">
        <w:rPr>
          <w:sz w:val="20"/>
        </w:rPr>
        <w:t xml:space="preserve">El Sistema de gestión del </w:t>
      </w:r>
      <w:r w:rsidR="00733234">
        <w:rPr>
          <w:sz w:val="20"/>
        </w:rPr>
        <w:t>desempeño</w:t>
      </w:r>
      <w:r w:rsidRPr="007645DA">
        <w:rPr>
          <w:sz w:val="20"/>
        </w:rPr>
        <w:t xml:space="preserve"> y perfeccionamiento del personal (PMSDS)</w:t>
      </w:r>
      <w:r>
        <w:rPr>
          <w:sz w:val="20"/>
        </w:rPr>
        <w:t xml:space="preserve"> fue perfeccionado en 2013.  En el próximo bienio, las actividades se centrarán en seguir integrando el </w:t>
      </w:r>
      <w:r w:rsidRPr="007645DA">
        <w:rPr>
          <w:sz w:val="20"/>
        </w:rPr>
        <w:t>PMSDS</w:t>
      </w:r>
      <w:r>
        <w:rPr>
          <w:sz w:val="20"/>
        </w:rPr>
        <w:t xml:space="preserve"> en los procesos y sistemas de recursos humanos de la OMPI.  Asimismo, se proporcionarán orientaciones adicionales al personal y al equipo directivo para garantizar que el rendimiento individual del personal se administre de manera coherente en toda la Organización.</w:t>
      </w:r>
    </w:p>
    <w:p w:rsidR="00D73B21" w:rsidRPr="007645DA" w:rsidRDefault="00D73B21" w:rsidP="000B01FE">
      <w:pPr>
        <w:jc w:val="both"/>
        <w:rPr>
          <w:sz w:val="20"/>
        </w:rPr>
      </w:pPr>
    </w:p>
    <w:p w:rsidR="00D73B21" w:rsidRPr="005530DD" w:rsidRDefault="00D73B21" w:rsidP="00D41E6A">
      <w:pPr>
        <w:pStyle w:val="ONUME"/>
        <w:numPr>
          <w:ilvl w:val="0"/>
          <w:numId w:val="42"/>
        </w:numPr>
        <w:spacing w:after="0"/>
        <w:jc w:val="both"/>
        <w:rPr>
          <w:sz w:val="20"/>
        </w:rPr>
      </w:pPr>
      <w:r>
        <w:rPr>
          <w:sz w:val="20"/>
        </w:rPr>
        <w:t xml:space="preserve">A raíz de la primera reforma completa del </w:t>
      </w:r>
      <w:r w:rsidRPr="002A1B9C">
        <w:rPr>
          <w:sz w:val="20"/>
        </w:rPr>
        <w:t>Estatuto y Reglamento</w:t>
      </w:r>
      <w:r>
        <w:rPr>
          <w:sz w:val="20"/>
        </w:rPr>
        <w:t xml:space="preserve"> </w:t>
      </w:r>
      <w:r w:rsidRPr="002A1B9C">
        <w:rPr>
          <w:sz w:val="20"/>
        </w:rPr>
        <w:t>del Personal</w:t>
      </w:r>
      <w:r>
        <w:rPr>
          <w:sz w:val="20"/>
        </w:rPr>
        <w:t xml:space="preserve"> en más de 20 años en 2012, se continuará realizando los ajustes necesarios al mismo para garantizar que el marco reglamentario sea claro, moderno, actual y en consonancia con</w:t>
      </w:r>
      <w:r w:rsidRPr="00F738E6">
        <w:rPr>
          <w:sz w:val="20"/>
        </w:rPr>
        <w:t xml:space="preserve"> las prácticas óptimas </w:t>
      </w:r>
      <w:r>
        <w:rPr>
          <w:sz w:val="20"/>
        </w:rPr>
        <w:t>del sistema común de las NN.UU.</w:t>
      </w:r>
    </w:p>
    <w:p w:rsidR="00D73B21" w:rsidRPr="005530DD" w:rsidRDefault="00D73B21" w:rsidP="000B01FE">
      <w:pPr>
        <w:jc w:val="both"/>
        <w:rPr>
          <w:sz w:val="20"/>
        </w:rPr>
      </w:pPr>
    </w:p>
    <w:p w:rsidR="00D73B21" w:rsidRPr="00F05E43" w:rsidRDefault="00D73B21" w:rsidP="00D41E6A">
      <w:pPr>
        <w:pStyle w:val="ONUME"/>
        <w:numPr>
          <w:ilvl w:val="0"/>
          <w:numId w:val="42"/>
        </w:numPr>
        <w:spacing w:after="0"/>
        <w:jc w:val="both"/>
        <w:rPr>
          <w:sz w:val="20"/>
        </w:rPr>
      </w:pPr>
      <w:r>
        <w:rPr>
          <w:sz w:val="20"/>
        </w:rPr>
        <w:t xml:space="preserve">Una vez que el </w:t>
      </w:r>
      <w:r w:rsidRPr="00F05E43">
        <w:rPr>
          <w:sz w:val="20"/>
        </w:rPr>
        <w:t>Comité de Coordinación</w:t>
      </w:r>
      <w:r>
        <w:rPr>
          <w:sz w:val="20"/>
        </w:rPr>
        <w:t xml:space="preserve"> haya procedido a la esperada</w:t>
      </w:r>
      <w:r w:rsidRPr="00F05E43">
        <w:rPr>
          <w:sz w:val="20"/>
        </w:rPr>
        <w:t xml:space="preserve"> aprobación </w:t>
      </w:r>
      <w:r>
        <w:rPr>
          <w:sz w:val="20"/>
        </w:rPr>
        <w:t>de la revisión del</w:t>
      </w:r>
      <w:r w:rsidRPr="00F05E43">
        <w:rPr>
          <w:sz w:val="20"/>
        </w:rPr>
        <w:t xml:space="preserve"> </w:t>
      </w:r>
      <w:r w:rsidRPr="002A1B9C">
        <w:rPr>
          <w:sz w:val="20"/>
        </w:rPr>
        <w:t>Estatuto y Reglamento</w:t>
      </w:r>
      <w:r>
        <w:rPr>
          <w:sz w:val="20"/>
        </w:rPr>
        <w:t xml:space="preserve"> </w:t>
      </w:r>
      <w:r w:rsidRPr="002A1B9C">
        <w:rPr>
          <w:sz w:val="20"/>
        </w:rPr>
        <w:t>del Personal</w:t>
      </w:r>
      <w:r>
        <w:rPr>
          <w:sz w:val="20"/>
        </w:rPr>
        <w:t xml:space="preserve">, en relación con el </w:t>
      </w:r>
      <w:r w:rsidRPr="00F05E43">
        <w:rPr>
          <w:sz w:val="20"/>
        </w:rPr>
        <w:t>sistema interno de justicia</w:t>
      </w:r>
      <w:r>
        <w:rPr>
          <w:sz w:val="20"/>
        </w:rPr>
        <w:t xml:space="preserve">, </w:t>
      </w:r>
      <w:r w:rsidRPr="00F05E43">
        <w:rPr>
          <w:sz w:val="20"/>
        </w:rPr>
        <w:t>en octubre</w:t>
      </w:r>
      <w:r>
        <w:rPr>
          <w:sz w:val="20"/>
        </w:rPr>
        <w:t xml:space="preserve"> de</w:t>
      </w:r>
      <w:r w:rsidR="00425E19">
        <w:rPr>
          <w:sz w:val="20"/>
        </w:rPr>
        <w:t> </w:t>
      </w:r>
      <w:r>
        <w:rPr>
          <w:sz w:val="20"/>
        </w:rPr>
        <w:t>2013, se elaborará y se pondrá en práctica un nuevo marco político, se emprenderán cambios estructurales y se desarrollaran sistemas electrónicos para apoyar su aplicación.  Las revisiones propuestas atribuyen particular importancia a los procedimientos de justicia interna simplificados y al fortalecimiento de los mecanismos de resolución informal de conflictos como la mediación.</w:t>
      </w:r>
    </w:p>
    <w:p w:rsidR="00D73B21" w:rsidRPr="00F05E43" w:rsidRDefault="00D73B21" w:rsidP="000B01FE">
      <w:pPr>
        <w:jc w:val="both"/>
        <w:rPr>
          <w:sz w:val="20"/>
        </w:rPr>
      </w:pPr>
    </w:p>
    <w:p w:rsidR="00D73B21" w:rsidRPr="001F5841" w:rsidRDefault="00D73B21" w:rsidP="00D41E6A">
      <w:pPr>
        <w:pStyle w:val="ONUME"/>
        <w:numPr>
          <w:ilvl w:val="0"/>
          <w:numId w:val="42"/>
        </w:numPr>
        <w:spacing w:after="0"/>
        <w:jc w:val="both"/>
        <w:rPr>
          <w:sz w:val="20"/>
        </w:rPr>
      </w:pPr>
      <w:r w:rsidRPr="00AF4771">
        <w:rPr>
          <w:sz w:val="20"/>
        </w:rPr>
        <w:t>Dura</w:t>
      </w:r>
      <w:r>
        <w:rPr>
          <w:sz w:val="20"/>
        </w:rPr>
        <w:t xml:space="preserve">nte el bienio 2012/13 entró en vigor </w:t>
      </w:r>
      <w:r w:rsidRPr="00AF4771">
        <w:rPr>
          <w:sz w:val="20"/>
        </w:rPr>
        <w:t>el marco contractual</w:t>
      </w:r>
      <w:r>
        <w:rPr>
          <w:sz w:val="20"/>
        </w:rPr>
        <w:t xml:space="preserve"> revisado para los miembros del personal.  En el próximo bienio, s</w:t>
      </w:r>
      <w:r w:rsidRPr="001F5841">
        <w:rPr>
          <w:sz w:val="20"/>
        </w:rPr>
        <w:t>e prestará especial atención</w:t>
      </w:r>
      <w:r>
        <w:rPr>
          <w:sz w:val="20"/>
        </w:rPr>
        <w:t xml:space="preserve"> a la elaboración y puesta en práctica de políticas sobre los contratos externos </w:t>
      </w:r>
      <w:r w:rsidRPr="001F5841">
        <w:rPr>
          <w:sz w:val="20"/>
        </w:rPr>
        <w:t xml:space="preserve">teniendo debidamente </w:t>
      </w:r>
      <w:r>
        <w:rPr>
          <w:sz w:val="20"/>
        </w:rPr>
        <w:t>en cuenta la recomendación</w:t>
      </w:r>
      <w:r w:rsidRPr="001F5841">
        <w:rPr>
          <w:sz w:val="20"/>
        </w:rPr>
        <w:t xml:space="preserve"> 6</w:t>
      </w:r>
      <w:r>
        <w:rPr>
          <w:sz w:val="20"/>
        </w:rPr>
        <w:t xml:space="preserve"> </w:t>
      </w:r>
      <w:r w:rsidRPr="001F5841">
        <w:rPr>
          <w:sz w:val="20"/>
        </w:rPr>
        <w:t>de la Agenda para el Desarrollo</w:t>
      </w:r>
      <w:r>
        <w:rPr>
          <w:sz w:val="20"/>
        </w:rPr>
        <w:t>.</w:t>
      </w:r>
    </w:p>
    <w:p w:rsidR="00D73B21" w:rsidRPr="00AF4771" w:rsidRDefault="00D73B21" w:rsidP="000B01FE">
      <w:pPr>
        <w:jc w:val="both"/>
        <w:rPr>
          <w:sz w:val="20"/>
        </w:rPr>
      </w:pPr>
    </w:p>
    <w:p w:rsidR="00D73B21" w:rsidRPr="00A9735A" w:rsidRDefault="00D73B21" w:rsidP="00D41E6A">
      <w:pPr>
        <w:pStyle w:val="ONUME"/>
        <w:numPr>
          <w:ilvl w:val="0"/>
          <w:numId w:val="42"/>
        </w:numPr>
        <w:spacing w:after="0"/>
        <w:jc w:val="both"/>
        <w:rPr>
          <w:sz w:val="20"/>
        </w:rPr>
      </w:pPr>
      <w:r w:rsidRPr="00A9735A">
        <w:rPr>
          <w:sz w:val="20"/>
        </w:rPr>
        <w:t xml:space="preserve">En 2012 se realizó un examen del marco </w:t>
      </w:r>
      <w:r w:rsidR="00425E19">
        <w:rPr>
          <w:sz w:val="20"/>
        </w:rPr>
        <w:t>reglamentario</w:t>
      </w:r>
      <w:r>
        <w:rPr>
          <w:sz w:val="20"/>
        </w:rPr>
        <w:t xml:space="preserve"> mediante </w:t>
      </w:r>
      <w:r w:rsidRPr="00A9735A">
        <w:rPr>
          <w:sz w:val="20"/>
        </w:rPr>
        <w:t>órdenes de servicio</w:t>
      </w:r>
      <w:r>
        <w:rPr>
          <w:sz w:val="20"/>
        </w:rPr>
        <w:t xml:space="preserve"> que se tradujo en informaciones más accesibles y coherentes sobre los recursos humanos y en directrices para el personal y los directivos.  Esta iniciativa seguirá aplicándose durante el próximo bienio para mejorar la coherencia y la accesibilidad a todos los tipos de información relacionada con los recursos humanos.</w:t>
      </w:r>
    </w:p>
    <w:p w:rsidR="009E2FC0" w:rsidRDefault="009E2FC0" w:rsidP="009F58E5">
      <w:pPr>
        <w:jc w:val="both"/>
      </w:pPr>
    </w:p>
    <w:p w:rsidR="000B01FE" w:rsidRPr="00D73B21" w:rsidRDefault="000B01FE" w:rsidP="009F58E5">
      <w:pPr>
        <w:jc w:val="both"/>
      </w:pPr>
    </w:p>
    <w:p w:rsidR="009F58E5" w:rsidRPr="00994766" w:rsidRDefault="009F58E5" w:rsidP="009F58E5">
      <w:pPr>
        <w:jc w:val="both"/>
        <w:rPr>
          <w:lang w:val="es-ES_tradnl"/>
        </w:rPr>
      </w:pPr>
      <w:r w:rsidRPr="00994766">
        <w:rPr>
          <w:lang w:val="es-ES_tradnl"/>
        </w:rPr>
        <w:t>PRINCIPALES RIESGOS Y ESTRATEGIAS DE MITIGACIÓN</w:t>
      </w:r>
    </w:p>
    <w:p w:rsidR="009F58E5" w:rsidRPr="00994766" w:rsidRDefault="009F58E5" w:rsidP="009F58E5">
      <w:pPr>
        <w:rPr>
          <w:szCs w:val="22"/>
          <w:lang w:val="es-ES_tradnl"/>
        </w:rPr>
      </w:pPr>
    </w:p>
    <w:tbl>
      <w:tblPr>
        <w:tblW w:w="0" w:type="auto"/>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653"/>
        <w:gridCol w:w="4615"/>
      </w:tblGrid>
      <w:tr w:rsidR="009F58E5" w:rsidRPr="00D41E6A" w:rsidTr="00B258CE">
        <w:trPr>
          <w:trHeight w:val="638"/>
          <w:jc w:val="center"/>
        </w:trPr>
        <w:tc>
          <w:tcPr>
            <w:tcW w:w="4653" w:type="dxa"/>
            <w:tcBorders>
              <w:top w:val="single" w:sz="4" w:space="0" w:color="auto"/>
              <w:bottom w:val="single" w:sz="4" w:space="0" w:color="auto"/>
            </w:tcBorders>
            <w:shd w:val="clear" w:color="auto" w:fill="CCFFFF"/>
            <w:vAlign w:val="center"/>
          </w:tcPr>
          <w:p w:rsidR="009F58E5" w:rsidRPr="00D41E6A" w:rsidRDefault="009F58E5" w:rsidP="008F4F69">
            <w:pPr>
              <w:autoSpaceDE w:val="0"/>
              <w:autoSpaceDN w:val="0"/>
              <w:adjustRightInd w:val="0"/>
              <w:ind w:right="-59"/>
              <w:jc w:val="center"/>
              <w:rPr>
                <w:b/>
                <w:bCs/>
                <w:iCs/>
                <w:color w:val="000000"/>
                <w:sz w:val="18"/>
                <w:szCs w:val="18"/>
                <w:lang w:val="es-ES_tradnl"/>
              </w:rPr>
            </w:pPr>
            <w:r w:rsidRPr="00D41E6A">
              <w:rPr>
                <w:b/>
                <w:bCs/>
                <w:iCs/>
                <w:color w:val="000000"/>
                <w:sz w:val="18"/>
                <w:szCs w:val="18"/>
                <w:lang w:val="es-ES_tradnl"/>
              </w:rPr>
              <w:t>Riesgos en el logro de los resultados del programa</w:t>
            </w:r>
          </w:p>
        </w:tc>
        <w:tc>
          <w:tcPr>
            <w:tcW w:w="4615" w:type="dxa"/>
            <w:tcBorders>
              <w:top w:val="single" w:sz="4" w:space="0" w:color="auto"/>
              <w:bottom w:val="single" w:sz="4" w:space="0" w:color="auto"/>
            </w:tcBorders>
            <w:shd w:val="clear" w:color="auto" w:fill="CCFFFF"/>
            <w:vAlign w:val="center"/>
          </w:tcPr>
          <w:p w:rsidR="009F58E5" w:rsidRPr="00D41E6A" w:rsidRDefault="009F58E5" w:rsidP="008F4F69">
            <w:pPr>
              <w:autoSpaceDE w:val="0"/>
              <w:autoSpaceDN w:val="0"/>
              <w:adjustRightInd w:val="0"/>
              <w:ind w:right="-59"/>
              <w:jc w:val="center"/>
              <w:rPr>
                <w:b/>
                <w:bCs/>
                <w:iCs/>
                <w:color w:val="000000"/>
                <w:sz w:val="18"/>
                <w:szCs w:val="18"/>
                <w:lang w:val="es-ES_tradnl"/>
              </w:rPr>
            </w:pPr>
            <w:r w:rsidRPr="00D41E6A">
              <w:rPr>
                <w:b/>
                <w:bCs/>
                <w:iCs/>
                <w:color w:val="000000"/>
                <w:sz w:val="18"/>
                <w:szCs w:val="18"/>
                <w:lang w:val="es-ES_tradnl"/>
              </w:rPr>
              <w:t xml:space="preserve">Planes de mitigación ejecutados o en ejecución </w:t>
            </w:r>
          </w:p>
        </w:tc>
      </w:tr>
      <w:tr w:rsidR="009F58E5" w:rsidRPr="00994766" w:rsidTr="00B258CE">
        <w:trPr>
          <w:trHeight w:val="1320"/>
          <w:jc w:val="center"/>
        </w:trPr>
        <w:tc>
          <w:tcPr>
            <w:tcW w:w="4653" w:type="dxa"/>
            <w:tcBorders>
              <w:top w:val="single" w:sz="4" w:space="0" w:color="auto"/>
            </w:tcBorders>
            <w:shd w:val="clear" w:color="auto" w:fill="auto"/>
            <w:tcMar>
              <w:top w:w="113" w:type="dxa"/>
              <w:bottom w:w="85" w:type="dxa"/>
            </w:tcMar>
          </w:tcPr>
          <w:p w:rsidR="009F58E5" w:rsidRPr="00994766" w:rsidRDefault="009F58E5" w:rsidP="008F4F69">
            <w:pPr>
              <w:autoSpaceDE w:val="0"/>
              <w:autoSpaceDN w:val="0"/>
              <w:adjustRightInd w:val="0"/>
              <w:ind w:right="-59"/>
              <w:rPr>
                <w:sz w:val="16"/>
                <w:szCs w:val="16"/>
                <w:lang w:val="es-ES_tradnl"/>
              </w:rPr>
            </w:pPr>
            <w:r w:rsidRPr="00994766">
              <w:rPr>
                <w:sz w:val="16"/>
                <w:szCs w:val="16"/>
                <w:lang w:val="es-ES_tradnl"/>
              </w:rPr>
              <w:t>La rápida evolución del entorno externo que exige nuevos procedimientos, capacidades y soluciones de T.I. podría dar lugar a desajustes de plantilla en sectores esenciales de la OMPI.  Esto podría acarrear costos elevados de contratación de personal temporero, deficiencias en los procedimientos, retrasos en sectores esenciales y el menoscabo de la reputación de la OMPI.</w:t>
            </w:r>
          </w:p>
        </w:tc>
        <w:tc>
          <w:tcPr>
            <w:tcW w:w="4615" w:type="dxa"/>
            <w:tcBorders>
              <w:top w:val="single" w:sz="4" w:space="0" w:color="auto"/>
            </w:tcBorders>
            <w:shd w:val="clear" w:color="auto" w:fill="auto"/>
            <w:tcMar>
              <w:top w:w="113" w:type="dxa"/>
              <w:bottom w:w="85" w:type="dxa"/>
            </w:tcMar>
          </w:tcPr>
          <w:p w:rsidR="009F58E5" w:rsidRPr="00994766" w:rsidRDefault="009F58E5" w:rsidP="002058AB">
            <w:pPr>
              <w:autoSpaceDE w:val="0"/>
              <w:autoSpaceDN w:val="0"/>
              <w:adjustRightInd w:val="0"/>
              <w:ind w:right="-59"/>
              <w:rPr>
                <w:sz w:val="16"/>
                <w:szCs w:val="16"/>
                <w:lang w:val="es-ES_tradnl"/>
              </w:rPr>
            </w:pPr>
            <w:r w:rsidRPr="00994766">
              <w:rPr>
                <w:sz w:val="16"/>
                <w:szCs w:val="16"/>
                <w:lang w:val="es-ES_tradnl"/>
              </w:rPr>
              <w:t xml:space="preserve">Desarrollo gradual de una plantilla flexible que responda más adecuadamente a las necesidades, dotada de una estructura capaz de responder a las fluctuaciones en la demanda;  labor detallada de análisis y evaluación de las necesidades en cuanto a las capacidades y la solidez de la plantilla, acompañada de planes de ejecución entre los que figuren la reasignación </w:t>
            </w:r>
            <w:r w:rsidR="002058AB">
              <w:rPr>
                <w:sz w:val="16"/>
                <w:szCs w:val="16"/>
                <w:lang w:val="es-ES_tradnl"/>
              </w:rPr>
              <w:t>y</w:t>
            </w:r>
            <w:r w:rsidRPr="00994766">
              <w:rPr>
                <w:sz w:val="16"/>
                <w:szCs w:val="16"/>
                <w:lang w:val="es-ES_tradnl"/>
              </w:rPr>
              <w:t xml:space="preserve"> la formación adecuada del personal, la contratación de personal especializado para desempeñar labores esenciales y la subcontratación.</w:t>
            </w:r>
          </w:p>
        </w:tc>
      </w:tr>
      <w:tr w:rsidR="009F58E5" w:rsidRPr="00994766" w:rsidTr="00B258CE">
        <w:trPr>
          <w:trHeight w:val="1049"/>
          <w:jc w:val="center"/>
        </w:trPr>
        <w:tc>
          <w:tcPr>
            <w:tcW w:w="4653" w:type="dxa"/>
            <w:shd w:val="clear" w:color="auto" w:fill="auto"/>
            <w:tcMar>
              <w:top w:w="113" w:type="dxa"/>
              <w:bottom w:w="85" w:type="dxa"/>
            </w:tcMar>
          </w:tcPr>
          <w:p w:rsidR="009F58E5" w:rsidRPr="00994766" w:rsidRDefault="009F58E5" w:rsidP="008F4F69">
            <w:pPr>
              <w:autoSpaceDE w:val="0"/>
              <w:autoSpaceDN w:val="0"/>
              <w:adjustRightInd w:val="0"/>
              <w:ind w:right="-59"/>
              <w:rPr>
                <w:sz w:val="16"/>
                <w:szCs w:val="16"/>
                <w:lang w:val="es-ES_tradnl"/>
              </w:rPr>
            </w:pPr>
            <w:r w:rsidRPr="00994766">
              <w:rPr>
                <w:sz w:val="16"/>
                <w:szCs w:val="16"/>
                <w:lang w:val="es-ES_tradnl"/>
              </w:rPr>
              <w:t xml:space="preserve">Las nuevas funciones ejecutadas durante la aplicación del PRI podrían ocasionar trastornos en los servicios a medida que el personal se familiariza con los nuevos procedimientos.  Si en la ejecución no se lleva a cabo una labor suficiente de examen y reestructuración de los procedimientos, el </w:t>
            </w:r>
            <w:r w:rsidRPr="00994766">
              <w:rPr>
                <w:snapToGrid w:val="0"/>
                <w:sz w:val="16"/>
                <w:szCs w:val="16"/>
                <w:lang w:val="es-ES_tradnl"/>
              </w:rPr>
              <w:t>proyecto podría reducirse fundamentalmente a la sustitución de las antiguas aplicaciones de los sistemas.</w:t>
            </w:r>
          </w:p>
        </w:tc>
        <w:tc>
          <w:tcPr>
            <w:tcW w:w="4615" w:type="dxa"/>
            <w:shd w:val="clear" w:color="auto" w:fill="auto"/>
            <w:tcMar>
              <w:top w:w="113" w:type="dxa"/>
              <w:bottom w:w="85" w:type="dxa"/>
            </w:tcMar>
          </w:tcPr>
          <w:p w:rsidR="009F58E5" w:rsidRPr="00994766" w:rsidRDefault="009F58E5" w:rsidP="008F4F69">
            <w:pPr>
              <w:autoSpaceDE w:val="0"/>
              <w:autoSpaceDN w:val="0"/>
              <w:adjustRightInd w:val="0"/>
              <w:ind w:right="-59"/>
              <w:rPr>
                <w:sz w:val="16"/>
                <w:szCs w:val="16"/>
                <w:lang w:val="es-ES_tradnl"/>
              </w:rPr>
            </w:pPr>
            <w:r w:rsidRPr="00994766">
              <w:rPr>
                <w:sz w:val="16"/>
                <w:szCs w:val="16"/>
                <w:lang w:val="es-ES_tradnl"/>
              </w:rPr>
              <w:t xml:space="preserve">Formación minuciosa del personal y de los usuarios de los servicios de recursos humanos, planes de comunicación periódicos, estrecha supervisión de los avances del equipo del </w:t>
            </w:r>
            <w:r w:rsidRPr="00994766">
              <w:rPr>
                <w:snapToGrid w:val="0"/>
                <w:sz w:val="16"/>
                <w:szCs w:val="16"/>
                <w:lang w:val="es-ES_tradnl"/>
              </w:rPr>
              <w:t>proyecto de PRI y alerta rápida de las esferas problemáticas que han de gestionarse.  Mejora constante de los procedimientos como parte de la configuración y el desarrollo de la solución técnica</w:t>
            </w:r>
            <w:r w:rsidRPr="00994766">
              <w:rPr>
                <w:sz w:val="16"/>
                <w:szCs w:val="16"/>
                <w:lang w:val="es-ES_tradnl"/>
              </w:rPr>
              <w:t xml:space="preserve">. </w:t>
            </w:r>
          </w:p>
        </w:tc>
      </w:tr>
    </w:tbl>
    <w:p w:rsidR="009F58E5" w:rsidRPr="00994766" w:rsidRDefault="009F58E5" w:rsidP="009F58E5">
      <w:pPr>
        <w:autoSpaceDE w:val="0"/>
        <w:autoSpaceDN w:val="0"/>
        <w:adjustRightInd w:val="0"/>
        <w:jc w:val="both"/>
        <w:rPr>
          <w:szCs w:val="22"/>
          <w:lang w:val="es-ES_tradnl"/>
        </w:rPr>
      </w:pPr>
    </w:p>
    <w:p w:rsidR="009F58E5" w:rsidRPr="00C75C7E" w:rsidRDefault="009F58E5" w:rsidP="009F58E5">
      <w:pPr>
        <w:autoSpaceDE w:val="0"/>
        <w:autoSpaceDN w:val="0"/>
        <w:adjustRightInd w:val="0"/>
        <w:jc w:val="both"/>
        <w:rPr>
          <w:szCs w:val="22"/>
          <w:highlight w:val="yellow"/>
          <w:lang w:val="es-ES_tradnl"/>
        </w:rPr>
      </w:pPr>
    </w:p>
    <w:p w:rsidR="009F58E5" w:rsidRPr="00C75C7E" w:rsidRDefault="009F58E5" w:rsidP="009F58E5">
      <w:pPr>
        <w:autoSpaceDE w:val="0"/>
        <w:autoSpaceDN w:val="0"/>
        <w:adjustRightInd w:val="0"/>
        <w:jc w:val="both"/>
        <w:rPr>
          <w:szCs w:val="22"/>
          <w:lang w:val="es-ES_tradnl"/>
        </w:rPr>
      </w:pPr>
      <w:r w:rsidRPr="00C75C7E">
        <w:rPr>
          <w:szCs w:val="22"/>
          <w:lang w:val="es-ES_tradnl"/>
        </w:rPr>
        <w:t xml:space="preserve">MARCO DE RESULTADOS </w:t>
      </w:r>
    </w:p>
    <w:p w:rsidR="009F58E5" w:rsidRPr="00C75C7E" w:rsidRDefault="009F58E5" w:rsidP="009F58E5">
      <w:pPr>
        <w:autoSpaceDE w:val="0"/>
        <w:autoSpaceDN w:val="0"/>
        <w:adjustRightInd w:val="0"/>
        <w:jc w:val="both"/>
        <w:rPr>
          <w:szCs w:val="22"/>
          <w:lang w:val="es-ES_tradnl"/>
        </w:rPr>
      </w:pPr>
    </w:p>
    <w:tbl>
      <w:tblPr>
        <w:tblW w:w="4914"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50"/>
        <w:gridCol w:w="2750"/>
        <w:gridCol w:w="2154"/>
        <w:gridCol w:w="2152"/>
      </w:tblGrid>
      <w:tr w:rsidR="009F58E5" w:rsidRPr="00C75C7E" w:rsidTr="008F4F69">
        <w:trPr>
          <w:cantSplit/>
          <w:trHeight w:val="425"/>
          <w:tblHeader/>
        </w:trPr>
        <w:tc>
          <w:tcPr>
            <w:tcW w:w="1249" w:type="pct"/>
            <w:tcBorders>
              <w:top w:val="single" w:sz="4" w:space="0" w:color="auto"/>
              <w:bottom w:val="single" w:sz="4" w:space="0" w:color="auto"/>
            </w:tcBorders>
            <w:shd w:val="clear" w:color="auto" w:fill="CCFFFF"/>
            <w:tcMar>
              <w:top w:w="113" w:type="dxa"/>
            </w:tcMar>
            <w:vAlign w:val="center"/>
          </w:tcPr>
          <w:p w:rsidR="009F58E5" w:rsidRPr="00C75C7E" w:rsidRDefault="009F58E5" w:rsidP="008F4F69">
            <w:pPr>
              <w:spacing w:after="120"/>
              <w:jc w:val="center"/>
              <w:rPr>
                <w:b/>
                <w:bCs/>
                <w:sz w:val="18"/>
                <w:szCs w:val="18"/>
                <w:lang w:val="es-ES_tradnl"/>
              </w:rPr>
            </w:pPr>
            <w:r w:rsidRPr="00C75C7E">
              <w:rPr>
                <w:b/>
                <w:bCs/>
                <w:sz w:val="18"/>
                <w:szCs w:val="18"/>
                <w:lang w:val="es-ES_tradnl"/>
              </w:rPr>
              <w:t>Resultados previstos</w:t>
            </w:r>
          </w:p>
        </w:tc>
        <w:tc>
          <w:tcPr>
            <w:tcW w:w="1462" w:type="pct"/>
            <w:tcBorders>
              <w:top w:val="single" w:sz="4" w:space="0" w:color="auto"/>
              <w:bottom w:val="single" w:sz="4" w:space="0" w:color="auto"/>
            </w:tcBorders>
            <w:shd w:val="clear" w:color="auto" w:fill="CCFFFF"/>
            <w:tcMar>
              <w:top w:w="113" w:type="dxa"/>
            </w:tcMar>
            <w:vAlign w:val="center"/>
          </w:tcPr>
          <w:p w:rsidR="009F58E5" w:rsidRPr="00C75C7E" w:rsidRDefault="009F58E5" w:rsidP="008F4F69">
            <w:pPr>
              <w:spacing w:after="120"/>
              <w:jc w:val="center"/>
              <w:rPr>
                <w:b/>
                <w:bCs/>
                <w:sz w:val="18"/>
                <w:szCs w:val="18"/>
                <w:lang w:val="es-ES_tradnl"/>
              </w:rPr>
            </w:pPr>
            <w:r w:rsidRPr="00C75C7E">
              <w:rPr>
                <w:b/>
                <w:bCs/>
                <w:sz w:val="18"/>
                <w:szCs w:val="18"/>
                <w:lang w:val="es-ES_tradnl"/>
              </w:rPr>
              <w:t>Indicadores de rendimiento</w:t>
            </w:r>
          </w:p>
        </w:tc>
        <w:tc>
          <w:tcPr>
            <w:tcW w:w="1145" w:type="pct"/>
            <w:tcBorders>
              <w:top w:val="single" w:sz="4" w:space="0" w:color="auto"/>
              <w:bottom w:val="single" w:sz="4" w:space="0" w:color="auto"/>
            </w:tcBorders>
            <w:shd w:val="clear" w:color="auto" w:fill="CCFFFF"/>
            <w:tcMar>
              <w:top w:w="113" w:type="dxa"/>
            </w:tcMar>
            <w:vAlign w:val="center"/>
          </w:tcPr>
          <w:p w:rsidR="009F58E5" w:rsidRPr="00C75C7E" w:rsidRDefault="009F58E5" w:rsidP="008F4F69">
            <w:pPr>
              <w:spacing w:after="120"/>
              <w:ind w:left="85"/>
              <w:jc w:val="center"/>
              <w:rPr>
                <w:b/>
                <w:bCs/>
                <w:sz w:val="18"/>
                <w:szCs w:val="18"/>
                <w:lang w:val="es-ES_tradnl"/>
              </w:rPr>
            </w:pPr>
            <w:r w:rsidRPr="00C75C7E">
              <w:rPr>
                <w:b/>
                <w:bCs/>
                <w:sz w:val="18"/>
                <w:szCs w:val="18"/>
                <w:lang w:val="es-ES_tradnl"/>
              </w:rPr>
              <w:t>Referencia</w:t>
            </w:r>
          </w:p>
        </w:tc>
        <w:tc>
          <w:tcPr>
            <w:tcW w:w="1144" w:type="pct"/>
            <w:tcBorders>
              <w:top w:val="single" w:sz="4" w:space="0" w:color="auto"/>
              <w:bottom w:val="single" w:sz="4" w:space="0" w:color="auto"/>
            </w:tcBorders>
            <w:shd w:val="clear" w:color="auto" w:fill="CCFFFF"/>
            <w:tcMar>
              <w:top w:w="113" w:type="dxa"/>
            </w:tcMar>
            <w:vAlign w:val="center"/>
          </w:tcPr>
          <w:p w:rsidR="009F58E5" w:rsidRPr="00C75C7E" w:rsidRDefault="009F58E5" w:rsidP="008F4F69">
            <w:pPr>
              <w:keepNext/>
              <w:keepLines/>
              <w:spacing w:after="120"/>
              <w:ind w:right="111"/>
              <w:jc w:val="center"/>
              <w:rPr>
                <w:b/>
                <w:bCs/>
                <w:sz w:val="18"/>
                <w:szCs w:val="18"/>
                <w:lang w:val="es-ES_tradnl"/>
              </w:rPr>
            </w:pPr>
            <w:r w:rsidRPr="00C75C7E">
              <w:rPr>
                <w:b/>
                <w:bCs/>
                <w:sz w:val="18"/>
                <w:szCs w:val="18"/>
                <w:lang w:val="es-ES_tradnl"/>
              </w:rPr>
              <w:t>Objetivos</w:t>
            </w:r>
          </w:p>
        </w:tc>
      </w:tr>
      <w:tr w:rsidR="009F58E5" w:rsidRPr="00C75C7E" w:rsidTr="008F4F69">
        <w:trPr>
          <w:cantSplit/>
        </w:trPr>
        <w:tc>
          <w:tcPr>
            <w:tcW w:w="1249" w:type="pct"/>
            <w:vMerge w:val="restart"/>
            <w:tcBorders>
              <w:top w:val="single" w:sz="4" w:space="0" w:color="auto"/>
            </w:tcBorders>
            <w:shd w:val="clear" w:color="auto" w:fill="auto"/>
            <w:tcMar>
              <w:top w:w="113" w:type="dxa"/>
            </w:tcMar>
          </w:tcPr>
          <w:p w:rsidR="009F58E5" w:rsidRPr="00C75C7E" w:rsidRDefault="009F58E5" w:rsidP="008F4F69">
            <w:pPr>
              <w:rPr>
                <w:sz w:val="16"/>
                <w:szCs w:val="16"/>
                <w:lang w:val="es-ES_tradnl"/>
              </w:rPr>
            </w:pPr>
            <w:r w:rsidRPr="00C75C7E">
              <w:rPr>
                <w:sz w:val="16"/>
                <w:szCs w:val="16"/>
                <w:lang w:val="es-ES_tradnl"/>
              </w:rPr>
              <w:t>IX.1   Servicios de apoyo eficaces, eficientes, de calidad y orientados al cliente, tanto a los clientes internos como a las partes interesadas externas.</w:t>
            </w:r>
          </w:p>
        </w:tc>
        <w:tc>
          <w:tcPr>
            <w:tcW w:w="1462" w:type="pct"/>
            <w:tcBorders>
              <w:top w:val="single" w:sz="4" w:space="0" w:color="auto"/>
            </w:tcBorders>
            <w:shd w:val="clear" w:color="auto" w:fill="auto"/>
            <w:tcMar>
              <w:top w:w="113" w:type="dxa"/>
            </w:tcMar>
          </w:tcPr>
          <w:p w:rsidR="009F58E5" w:rsidRPr="00C75C7E" w:rsidRDefault="009F58E5" w:rsidP="008F4F69">
            <w:pPr>
              <w:rPr>
                <w:bCs/>
                <w:sz w:val="16"/>
                <w:szCs w:val="16"/>
                <w:lang w:val="es-ES_tradnl"/>
              </w:rPr>
            </w:pPr>
            <w:r w:rsidRPr="00C75C7E">
              <w:rPr>
                <w:bCs/>
                <w:sz w:val="16"/>
                <w:szCs w:val="16"/>
                <w:lang w:val="es-ES_tradnl"/>
              </w:rPr>
              <w:t>Porcentaje de miembros del personal satisfechos de los servicios de recursos humanos.</w:t>
            </w:r>
          </w:p>
        </w:tc>
        <w:tc>
          <w:tcPr>
            <w:tcW w:w="1145" w:type="pct"/>
            <w:tcBorders>
              <w:top w:val="single" w:sz="4" w:space="0" w:color="auto"/>
            </w:tcBorders>
            <w:shd w:val="clear" w:color="auto" w:fill="FFFFFF"/>
            <w:tcMar>
              <w:top w:w="113" w:type="dxa"/>
            </w:tcMar>
          </w:tcPr>
          <w:p w:rsidR="009F58E5" w:rsidRPr="00C75C7E" w:rsidRDefault="009F58E5" w:rsidP="008F4F69">
            <w:pPr>
              <w:rPr>
                <w:sz w:val="16"/>
                <w:szCs w:val="16"/>
                <w:lang w:val="es-ES_tradnl"/>
              </w:rPr>
            </w:pPr>
            <w:r w:rsidRPr="00C75C7E">
              <w:rPr>
                <w:sz w:val="16"/>
                <w:szCs w:val="16"/>
                <w:lang w:val="es-ES_tradnl"/>
              </w:rPr>
              <w:t>Muy satisfechos: 31.2% Satisfechos: 48.8% Insatisfechos: 17.1% Muy insatisfechos: 2.9%</w:t>
            </w:r>
          </w:p>
        </w:tc>
        <w:tc>
          <w:tcPr>
            <w:tcW w:w="1144" w:type="pct"/>
            <w:tcBorders>
              <w:top w:val="single" w:sz="4" w:space="0" w:color="auto"/>
            </w:tcBorders>
            <w:shd w:val="clear" w:color="auto" w:fill="auto"/>
            <w:tcMar>
              <w:top w:w="113" w:type="dxa"/>
            </w:tcMar>
          </w:tcPr>
          <w:p w:rsidR="009F58E5" w:rsidRPr="00C75C7E" w:rsidRDefault="009F58E5" w:rsidP="008F4F69">
            <w:pPr>
              <w:keepNext/>
              <w:keepLines/>
              <w:ind w:right="221"/>
              <w:rPr>
                <w:bCs/>
                <w:sz w:val="16"/>
                <w:szCs w:val="16"/>
                <w:lang w:val="es-ES_tradnl"/>
              </w:rPr>
            </w:pPr>
            <w:r w:rsidRPr="00C75C7E">
              <w:rPr>
                <w:bCs/>
                <w:sz w:val="16"/>
                <w:szCs w:val="16"/>
                <w:lang w:val="es-ES_tradnl"/>
              </w:rPr>
              <w:t>85 % muy satisfechos o satisfechos.</w:t>
            </w:r>
          </w:p>
        </w:tc>
      </w:tr>
      <w:tr w:rsidR="009F58E5" w:rsidRPr="00C75C7E" w:rsidTr="008F4F69">
        <w:trPr>
          <w:cantSplit/>
          <w:trHeight w:val="623"/>
        </w:trPr>
        <w:tc>
          <w:tcPr>
            <w:tcW w:w="1249" w:type="pct"/>
            <w:vMerge/>
            <w:shd w:val="clear" w:color="auto" w:fill="auto"/>
            <w:tcMar>
              <w:top w:w="113" w:type="dxa"/>
            </w:tcMar>
          </w:tcPr>
          <w:p w:rsidR="009F58E5" w:rsidRPr="00C75C7E" w:rsidRDefault="009F58E5" w:rsidP="008F4F69">
            <w:pPr>
              <w:rPr>
                <w:sz w:val="16"/>
                <w:szCs w:val="16"/>
                <w:lang w:val="es-ES_tradnl"/>
              </w:rPr>
            </w:pPr>
          </w:p>
        </w:tc>
        <w:tc>
          <w:tcPr>
            <w:tcW w:w="1462" w:type="pct"/>
            <w:shd w:val="clear" w:color="auto" w:fill="auto"/>
            <w:tcMar>
              <w:top w:w="113" w:type="dxa"/>
            </w:tcMar>
          </w:tcPr>
          <w:p w:rsidR="009F58E5" w:rsidRPr="00C75C7E" w:rsidRDefault="009F58E5" w:rsidP="008F4F69">
            <w:pPr>
              <w:rPr>
                <w:sz w:val="16"/>
                <w:szCs w:val="16"/>
                <w:lang w:val="es-ES_tradnl"/>
              </w:rPr>
            </w:pPr>
            <w:r w:rsidRPr="00C75C7E">
              <w:rPr>
                <w:sz w:val="16"/>
                <w:szCs w:val="16"/>
                <w:lang w:val="es-ES_tradnl"/>
              </w:rPr>
              <w:t>Prestación puntual, precisa y eficaz de servicios de operaciones en materia de recursos humanos.</w:t>
            </w:r>
          </w:p>
        </w:tc>
        <w:tc>
          <w:tcPr>
            <w:tcW w:w="1145" w:type="pct"/>
            <w:shd w:val="clear" w:color="auto" w:fill="FFFFFF"/>
            <w:tcMar>
              <w:top w:w="113" w:type="dxa"/>
            </w:tcMar>
          </w:tcPr>
          <w:p w:rsidR="009F58E5" w:rsidRPr="00C75C7E" w:rsidRDefault="009F58E5" w:rsidP="008F4F69">
            <w:pPr>
              <w:rPr>
                <w:sz w:val="16"/>
                <w:szCs w:val="16"/>
                <w:lang w:val="es-ES_tradnl"/>
              </w:rPr>
            </w:pPr>
            <w:r w:rsidRPr="00C75C7E">
              <w:rPr>
                <w:sz w:val="16"/>
                <w:szCs w:val="16"/>
                <w:lang w:val="es-ES_tradnl"/>
              </w:rPr>
              <w:t>Siete días laborables.</w:t>
            </w:r>
          </w:p>
        </w:tc>
        <w:tc>
          <w:tcPr>
            <w:tcW w:w="1144" w:type="pct"/>
            <w:shd w:val="clear" w:color="auto" w:fill="auto"/>
            <w:tcMar>
              <w:top w:w="113" w:type="dxa"/>
            </w:tcMar>
          </w:tcPr>
          <w:p w:rsidR="009F58E5" w:rsidRPr="00C75C7E" w:rsidRDefault="009F58E5" w:rsidP="008F4F69">
            <w:pPr>
              <w:keepNext/>
              <w:keepLines/>
              <w:tabs>
                <w:tab w:val="left" w:pos="2051"/>
              </w:tabs>
              <w:ind w:right="221"/>
              <w:rPr>
                <w:bCs/>
                <w:sz w:val="16"/>
                <w:szCs w:val="16"/>
                <w:lang w:val="es-ES_tradnl"/>
              </w:rPr>
            </w:pPr>
            <w:r w:rsidRPr="00C75C7E">
              <w:rPr>
                <w:bCs/>
                <w:sz w:val="16"/>
                <w:szCs w:val="16"/>
                <w:lang w:val="es-ES_tradnl"/>
              </w:rPr>
              <w:t>Cinco días laborables.</w:t>
            </w:r>
          </w:p>
        </w:tc>
      </w:tr>
      <w:tr w:rsidR="009F58E5" w:rsidRPr="00C75C7E" w:rsidTr="008F4F69">
        <w:trPr>
          <w:cantSplit/>
          <w:trHeight w:val="1334"/>
        </w:trPr>
        <w:tc>
          <w:tcPr>
            <w:tcW w:w="1249" w:type="pct"/>
            <w:shd w:val="clear" w:color="auto" w:fill="auto"/>
            <w:tcMar>
              <w:top w:w="113" w:type="dxa"/>
            </w:tcMar>
          </w:tcPr>
          <w:p w:rsidR="009F58E5" w:rsidRPr="00C75C7E" w:rsidRDefault="009F58E5" w:rsidP="008F4F69">
            <w:pPr>
              <w:rPr>
                <w:sz w:val="16"/>
                <w:szCs w:val="16"/>
                <w:lang w:val="es-ES_tradnl"/>
              </w:rPr>
            </w:pPr>
            <w:r w:rsidRPr="00C75C7E">
              <w:rPr>
                <w:sz w:val="16"/>
                <w:szCs w:val="16"/>
                <w:lang w:val="es-ES_tradnl"/>
              </w:rPr>
              <w:t>IX.2 Funcionamiento sin contratiempos de la Secretaría, provista de un personal bien dirigido, dotado de las competencias adecuadas y capaz de conseguir resultados.</w:t>
            </w:r>
          </w:p>
        </w:tc>
        <w:tc>
          <w:tcPr>
            <w:tcW w:w="1462" w:type="pct"/>
            <w:shd w:val="clear" w:color="auto" w:fill="auto"/>
            <w:tcMar>
              <w:top w:w="113" w:type="dxa"/>
            </w:tcMar>
          </w:tcPr>
          <w:p w:rsidR="009F58E5" w:rsidRPr="00C75C7E" w:rsidRDefault="009F58E5" w:rsidP="008F4F69">
            <w:pPr>
              <w:rPr>
                <w:sz w:val="16"/>
                <w:szCs w:val="16"/>
                <w:lang w:val="es-ES_tradnl"/>
              </w:rPr>
            </w:pPr>
            <w:r w:rsidRPr="00C75C7E">
              <w:rPr>
                <w:sz w:val="16"/>
                <w:szCs w:val="16"/>
                <w:lang w:val="es-ES_tradnl"/>
              </w:rPr>
              <w:t>Duración del proceso de contratación.</w:t>
            </w:r>
          </w:p>
        </w:tc>
        <w:tc>
          <w:tcPr>
            <w:tcW w:w="1145" w:type="pct"/>
            <w:shd w:val="clear" w:color="auto" w:fill="FFFFFF"/>
            <w:tcMar>
              <w:top w:w="113" w:type="dxa"/>
            </w:tcMar>
          </w:tcPr>
          <w:p w:rsidR="009F58E5" w:rsidRPr="00C75C7E" w:rsidRDefault="009F58E5" w:rsidP="008F4F69">
            <w:pPr>
              <w:rPr>
                <w:sz w:val="16"/>
                <w:szCs w:val="16"/>
                <w:lang w:val="es-ES_tradnl"/>
              </w:rPr>
            </w:pPr>
            <w:r w:rsidRPr="00C75C7E">
              <w:rPr>
                <w:sz w:val="16"/>
                <w:szCs w:val="16"/>
                <w:lang w:val="es-ES_tradnl"/>
              </w:rPr>
              <w:t>21 semanas.</w:t>
            </w:r>
          </w:p>
        </w:tc>
        <w:tc>
          <w:tcPr>
            <w:tcW w:w="1144" w:type="pct"/>
            <w:shd w:val="clear" w:color="auto" w:fill="auto"/>
            <w:tcMar>
              <w:top w:w="113" w:type="dxa"/>
            </w:tcMar>
          </w:tcPr>
          <w:p w:rsidR="009F58E5" w:rsidRPr="00C75C7E" w:rsidRDefault="009F58E5" w:rsidP="008F4F69">
            <w:pPr>
              <w:keepNext/>
              <w:keepLines/>
              <w:ind w:right="221"/>
              <w:rPr>
                <w:bCs/>
                <w:sz w:val="16"/>
                <w:szCs w:val="16"/>
                <w:lang w:val="es-ES_tradnl"/>
              </w:rPr>
            </w:pPr>
            <w:r w:rsidRPr="00C75C7E">
              <w:rPr>
                <w:bCs/>
                <w:sz w:val="16"/>
                <w:szCs w:val="16"/>
                <w:lang w:val="es-ES_tradnl"/>
              </w:rPr>
              <w:t>19 semanas.</w:t>
            </w:r>
          </w:p>
        </w:tc>
      </w:tr>
      <w:tr w:rsidR="009F58E5" w:rsidRPr="00C75C7E" w:rsidTr="008F4F69">
        <w:trPr>
          <w:cantSplit/>
          <w:trHeight w:val="685"/>
        </w:trPr>
        <w:tc>
          <w:tcPr>
            <w:tcW w:w="1249" w:type="pct"/>
            <w:shd w:val="clear" w:color="auto" w:fill="auto"/>
            <w:tcMar>
              <w:top w:w="113" w:type="dxa"/>
            </w:tcMar>
          </w:tcPr>
          <w:p w:rsidR="009F58E5" w:rsidRPr="00C75C7E" w:rsidRDefault="009F58E5" w:rsidP="008F4F69">
            <w:pPr>
              <w:rPr>
                <w:sz w:val="16"/>
                <w:szCs w:val="16"/>
                <w:lang w:val="es-ES_tradnl"/>
              </w:rPr>
            </w:pPr>
          </w:p>
        </w:tc>
        <w:tc>
          <w:tcPr>
            <w:tcW w:w="1462" w:type="pct"/>
            <w:shd w:val="clear" w:color="auto" w:fill="auto"/>
            <w:tcMar>
              <w:top w:w="113" w:type="dxa"/>
            </w:tcMar>
          </w:tcPr>
          <w:p w:rsidR="009F58E5" w:rsidRPr="00C75C7E" w:rsidRDefault="009F58E5" w:rsidP="008F4F69">
            <w:pPr>
              <w:rPr>
                <w:sz w:val="16"/>
                <w:szCs w:val="16"/>
                <w:lang w:val="es-ES_tradnl"/>
              </w:rPr>
            </w:pPr>
            <w:r w:rsidRPr="00C75C7E">
              <w:rPr>
                <w:sz w:val="16"/>
                <w:szCs w:val="16"/>
                <w:lang w:val="es-ES_tradnl"/>
              </w:rPr>
              <w:t>Porcentaje de dependencias de la Organización cuyos planes de recursos humanos están vinculados a los planes de trabajo anuales.</w:t>
            </w:r>
          </w:p>
        </w:tc>
        <w:tc>
          <w:tcPr>
            <w:tcW w:w="1145" w:type="pct"/>
            <w:shd w:val="clear" w:color="auto" w:fill="FFFFFF"/>
            <w:tcMar>
              <w:top w:w="113" w:type="dxa"/>
            </w:tcMar>
          </w:tcPr>
          <w:p w:rsidR="009F58E5" w:rsidRPr="00C75C7E" w:rsidRDefault="009F58E5" w:rsidP="008F4F69">
            <w:pPr>
              <w:rPr>
                <w:sz w:val="16"/>
                <w:szCs w:val="16"/>
                <w:lang w:val="es-ES_tradnl" w:bidi="th-TH"/>
              </w:rPr>
            </w:pPr>
            <w:r w:rsidRPr="00C75C7E">
              <w:rPr>
                <w:sz w:val="16"/>
                <w:szCs w:val="16"/>
                <w:lang w:val="es-ES_tradnl" w:bidi="th-TH"/>
              </w:rPr>
              <w:t>Por determinar.</w:t>
            </w:r>
          </w:p>
        </w:tc>
        <w:tc>
          <w:tcPr>
            <w:tcW w:w="1144" w:type="pct"/>
            <w:shd w:val="clear" w:color="auto" w:fill="auto"/>
            <w:tcMar>
              <w:top w:w="113" w:type="dxa"/>
            </w:tcMar>
          </w:tcPr>
          <w:p w:rsidR="009F58E5" w:rsidRPr="00C75C7E" w:rsidRDefault="009F58E5" w:rsidP="008F4F69">
            <w:pPr>
              <w:keepNext/>
              <w:keepLines/>
              <w:ind w:right="221"/>
              <w:rPr>
                <w:bCs/>
                <w:sz w:val="16"/>
                <w:szCs w:val="16"/>
                <w:lang w:val="es-ES_tradnl"/>
              </w:rPr>
            </w:pPr>
            <w:r w:rsidRPr="00C75C7E">
              <w:rPr>
                <w:bCs/>
                <w:sz w:val="16"/>
                <w:szCs w:val="16"/>
                <w:lang w:val="es-ES_tradnl"/>
              </w:rPr>
              <w:t>70%</w:t>
            </w:r>
          </w:p>
        </w:tc>
      </w:tr>
      <w:tr w:rsidR="009F58E5" w:rsidRPr="00C75C7E" w:rsidTr="008F4F69">
        <w:trPr>
          <w:cantSplit/>
          <w:trHeight w:val="606"/>
        </w:trPr>
        <w:tc>
          <w:tcPr>
            <w:tcW w:w="1249" w:type="pct"/>
            <w:shd w:val="clear" w:color="auto" w:fill="auto"/>
            <w:tcMar>
              <w:top w:w="113" w:type="dxa"/>
            </w:tcMar>
          </w:tcPr>
          <w:p w:rsidR="009F58E5" w:rsidRPr="00C75C7E" w:rsidRDefault="009F58E5" w:rsidP="008F4F69">
            <w:pPr>
              <w:rPr>
                <w:sz w:val="16"/>
                <w:szCs w:val="16"/>
                <w:lang w:val="es-ES_tradnl"/>
              </w:rPr>
            </w:pPr>
          </w:p>
        </w:tc>
        <w:tc>
          <w:tcPr>
            <w:tcW w:w="1462" w:type="pct"/>
            <w:shd w:val="clear" w:color="auto" w:fill="auto"/>
            <w:tcMar>
              <w:top w:w="113" w:type="dxa"/>
            </w:tcMar>
          </w:tcPr>
          <w:p w:rsidR="009F58E5" w:rsidRPr="00C75C7E" w:rsidRDefault="009F58E5" w:rsidP="008F4F69">
            <w:pPr>
              <w:rPr>
                <w:sz w:val="16"/>
                <w:szCs w:val="16"/>
                <w:lang w:val="es-ES_tradnl"/>
              </w:rPr>
            </w:pPr>
            <w:r w:rsidRPr="00C75C7E">
              <w:rPr>
                <w:sz w:val="16"/>
                <w:szCs w:val="16"/>
                <w:lang w:val="es-ES_tradnl"/>
              </w:rPr>
              <w:t>Porcentaje de miembros del personal recién contratados que satisfacen las necesidades de la Organización.</w:t>
            </w:r>
          </w:p>
        </w:tc>
        <w:tc>
          <w:tcPr>
            <w:tcW w:w="1145" w:type="pct"/>
            <w:shd w:val="clear" w:color="auto" w:fill="FFFFFF"/>
            <w:tcMar>
              <w:top w:w="113" w:type="dxa"/>
            </w:tcMar>
          </w:tcPr>
          <w:p w:rsidR="009F58E5" w:rsidRPr="00C75C7E" w:rsidRDefault="009F58E5" w:rsidP="008F4F69">
            <w:pPr>
              <w:rPr>
                <w:sz w:val="16"/>
                <w:szCs w:val="16"/>
                <w:lang w:val="es-ES_tradnl" w:bidi="th-TH"/>
              </w:rPr>
            </w:pPr>
            <w:r w:rsidRPr="00C75C7E">
              <w:rPr>
                <w:sz w:val="16"/>
                <w:szCs w:val="16"/>
                <w:lang w:val="es-ES_tradnl" w:bidi="th-TH"/>
              </w:rPr>
              <w:t>Por determinar.</w:t>
            </w:r>
          </w:p>
        </w:tc>
        <w:tc>
          <w:tcPr>
            <w:tcW w:w="1144" w:type="pct"/>
            <w:shd w:val="clear" w:color="auto" w:fill="auto"/>
            <w:tcMar>
              <w:top w:w="113" w:type="dxa"/>
            </w:tcMar>
          </w:tcPr>
          <w:p w:rsidR="009F58E5" w:rsidRPr="00C75C7E" w:rsidRDefault="009F58E5" w:rsidP="008F4F69">
            <w:pPr>
              <w:keepNext/>
              <w:keepLines/>
              <w:ind w:right="221"/>
              <w:rPr>
                <w:bCs/>
                <w:sz w:val="16"/>
                <w:szCs w:val="16"/>
                <w:lang w:val="es-ES_tradnl"/>
              </w:rPr>
            </w:pPr>
            <w:r w:rsidRPr="00C75C7E">
              <w:rPr>
                <w:bCs/>
                <w:sz w:val="16"/>
                <w:szCs w:val="16"/>
                <w:lang w:val="es-ES_tradnl"/>
              </w:rPr>
              <w:t>80% de rendimiento satisfactorio después del período de prueba.</w:t>
            </w:r>
          </w:p>
        </w:tc>
      </w:tr>
      <w:tr w:rsidR="009F58E5" w:rsidRPr="00C75C7E" w:rsidTr="008F4F69">
        <w:trPr>
          <w:cantSplit/>
          <w:trHeight w:val="778"/>
        </w:trPr>
        <w:tc>
          <w:tcPr>
            <w:tcW w:w="1249" w:type="pct"/>
            <w:shd w:val="clear" w:color="auto" w:fill="auto"/>
            <w:tcMar>
              <w:top w:w="113" w:type="dxa"/>
            </w:tcMar>
          </w:tcPr>
          <w:p w:rsidR="009F58E5" w:rsidRPr="00C75C7E" w:rsidRDefault="009F58E5" w:rsidP="008F4F69">
            <w:pPr>
              <w:rPr>
                <w:sz w:val="16"/>
                <w:szCs w:val="16"/>
                <w:lang w:val="es-ES_tradnl"/>
              </w:rPr>
            </w:pPr>
          </w:p>
        </w:tc>
        <w:tc>
          <w:tcPr>
            <w:tcW w:w="1462" w:type="pct"/>
            <w:shd w:val="clear" w:color="auto" w:fill="auto"/>
            <w:tcMar>
              <w:top w:w="113" w:type="dxa"/>
            </w:tcMar>
          </w:tcPr>
          <w:p w:rsidR="009F58E5" w:rsidRPr="00C75C7E" w:rsidRDefault="009F58E5" w:rsidP="008F4F69">
            <w:pPr>
              <w:rPr>
                <w:sz w:val="16"/>
                <w:szCs w:val="16"/>
                <w:lang w:val="es-ES_tradnl"/>
              </w:rPr>
            </w:pPr>
            <w:r w:rsidRPr="00C75C7E">
              <w:rPr>
                <w:sz w:val="16"/>
                <w:szCs w:val="16"/>
                <w:lang w:val="es-ES_tradnl"/>
              </w:rPr>
              <w:t>Porcentaje de miembros del personal cuyo desempeño se evalúa en función de objetivos y competencias específicos.</w:t>
            </w:r>
          </w:p>
        </w:tc>
        <w:tc>
          <w:tcPr>
            <w:tcW w:w="1145" w:type="pct"/>
            <w:shd w:val="clear" w:color="auto" w:fill="FFFFFF"/>
            <w:tcMar>
              <w:top w:w="113" w:type="dxa"/>
            </w:tcMar>
          </w:tcPr>
          <w:p w:rsidR="009F58E5" w:rsidRPr="00C75C7E" w:rsidRDefault="009F58E5" w:rsidP="008F4F69">
            <w:pPr>
              <w:rPr>
                <w:sz w:val="16"/>
                <w:szCs w:val="16"/>
                <w:lang w:val="es-ES_tradnl" w:bidi="th-TH"/>
              </w:rPr>
            </w:pPr>
            <w:r w:rsidRPr="00C75C7E">
              <w:rPr>
                <w:sz w:val="16"/>
                <w:szCs w:val="16"/>
                <w:lang w:val="es-ES_tradnl" w:bidi="th-TH"/>
              </w:rPr>
              <w:t>81% (2012).</w:t>
            </w:r>
          </w:p>
        </w:tc>
        <w:tc>
          <w:tcPr>
            <w:tcW w:w="1144" w:type="pct"/>
            <w:shd w:val="clear" w:color="auto" w:fill="auto"/>
            <w:tcMar>
              <w:top w:w="113" w:type="dxa"/>
            </w:tcMar>
          </w:tcPr>
          <w:p w:rsidR="009F58E5" w:rsidRPr="00C75C7E" w:rsidRDefault="009F58E5" w:rsidP="008F4F69">
            <w:pPr>
              <w:keepNext/>
              <w:keepLines/>
              <w:ind w:right="221"/>
              <w:rPr>
                <w:bCs/>
                <w:sz w:val="16"/>
                <w:szCs w:val="16"/>
                <w:lang w:val="es-ES_tradnl"/>
              </w:rPr>
            </w:pPr>
            <w:r w:rsidRPr="00C75C7E">
              <w:rPr>
                <w:bCs/>
                <w:sz w:val="16"/>
                <w:szCs w:val="16"/>
                <w:lang w:val="es-ES_tradnl"/>
              </w:rPr>
              <w:t>90%</w:t>
            </w:r>
          </w:p>
        </w:tc>
      </w:tr>
      <w:tr w:rsidR="009F58E5" w:rsidRPr="00C75C7E" w:rsidTr="008F4F69">
        <w:trPr>
          <w:cantSplit/>
          <w:trHeight w:val="1512"/>
        </w:trPr>
        <w:tc>
          <w:tcPr>
            <w:tcW w:w="1249" w:type="pct"/>
            <w:shd w:val="clear" w:color="auto" w:fill="auto"/>
            <w:tcMar>
              <w:top w:w="113" w:type="dxa"/>
            </w:tcMar>
          </w:tcPr>
          <w:p w:rsidR="009F58E5" w:rsidRPr="00C75C7E" w:rsidRDefault="009F58E5" w:rsidP="008F4F69">
            <w:pPr>
              <w:rPr>
                <w:sz w:val="16"/>
                <w:szCs w:val="16"/>
                <w:lang w:val="es-ES_tradnl"/>
              </w:rPr>
            </w:pPr>
          </w:p>
        </w:tc>
        <w:tc>
          <w:tcPr>
            <w:tcW w:w="1462" w:type="pct"/>
            <w:shd w:val="clear" w:color="auto" w:fill="auto"/>
            <w:tcMar>
              <w:top w:w="113" w:type="dxa"/>
            </w:tcMar>
          </w:tcPr>
          <w:p w:rsidR="009F58E5" w:rsidRPr="00C75C7E" w:rsidRDefault="009F58E5" w:rsidP="008F4F69">
            <w:pPr>
              <w:rPr>
                <w:sz w:val="16"/>
                <w:szCs w:val="16"/>
                <w:lang w:val="es-ES_tradnl"/>
              </w:rPr>
            </w:pPr>
            <w:r w:rsidRPr="00C75C7E">
              <w:rPr>
                <w:sz w:val="16"/>
                <w:szCs w:val="16"/>
                <w:lang w:val="es-ES_tradnl"/>
              </w:rPr>
              <w:t>Porcentaje de necesidades de formación esenciales que se han satisfecho a nivel individual y colectivo.</w:t>
            </w:r>
          </w:p>
        </w:tc>
        <w:tc>
          <w:tcPr>
            <w:tcW w:w="1145" w:type="pct"/>
            <w:shd w:val="clear" w:color="auto" w:fill="FFFFFF"/>
            <w:tcMar>
              <w:top w:w="113" w:type="dxa"/>
            </w:tcMar>
          </w:tcPr>
          <w:p w:rsidR="009F58E5" w:rsidRPr="00C75C7E" w:rsidRDefault="009F58E5" w:rsidP="008F4F69">
            <w:pPr>
              <w:rPr>
                <w:sz w:val="16"/>
                <w:szCs w:val="16"/>
                <w:lang w:val="es-ES_tradnl" w:bidi="th-TH"/>
              </w:rPr>
            </w:pPr>
            <w:r w:rsidRPr="00C75C7E">
              <w:rPr>
                <w:sz w:val="16"/>
                <w:szCs w:val="16"/>
                <w:lang w:val="es-ES_tradnl"/>
              </w:rPr>
              <w:t>No hay ninguna evaluación (disponible a finales de 2013).</w:t>
            </w:r>
          </w:p>
        </w:tc>
        <w:tc>
          <w:tcPr>
            <w:tcW w:w="1144" w:type="pct"/>
            <w:shd w:val="clear" w:color="auto" w:fill="auto"/>
            <w:tcMar>
              <w:top w:w="113" w:type="dxa"/>
            </w:tcMar>
          </w:tcPr>
          <w:p w:rsidR="00B258CE" w:rsidRDefault="009F58E5" w:rsidP="00B258CE">
            <w:pPr>
              <w:keepNext/>
              <w:keepLines/>
              <w:ind w:right="221"/>
              <w:rPr>
                <w:sz w:val="16"/>
                <w:szCs w:val="16"/>
                <w:lang w:val="es-ES_tradnl"/>
              </w:rPr>
            </w:pPr>
            <w:r w:rsidRPr="00C75C7E">
              <w:rPr>
                <w:sz w:val="16"/>
                <w:szCs w:val="16"/>
                <w:lang w:val="es-ES_tradnl"/>
              </w:rPr>
              <w:t>Necesidades de formación esenciales satisfechas a nivel individual:  80 %.</w:t>
            </w:r>
          </w:p>
          <w:p w:rsidR="00B258CE" w:rsidRDefault="00B258CE" w:rsidP="00B258CE">
            <w:pPr>
              <w:keepNext/>
              <w:keepLines/>
              <w:ind w:right="221"/>
              <w:rPr>
                <w:sz w:val="16"/>
                <w:szCs w:val="16"/>
                <w:lang w:val="es-ES_tradnl"/>
              </w:rPr>
            </w:pPr>
          </w:p>
          <w:p w:rsidR="009F58E5" w:rsidRPr="00C75C7E" w:rsidRDefault="009F58E5" w:rsidP="00B258CE">
            <w:pPr>
              <w:keepNext/>
              <w:keepLines/>
              <w:ind w:right="221"/>
              <w:rPr>
                <w:bCs/>
                <w:sz w:val="16"/>
                <w:szCs w:val="16"/>
                <w:lang w:val="es-ES_tradnl"/>
              </w:rPr>
            </w:pPr>
            <w:r w:rsidRPr="00C75C7E">
              <w:rPr>
                <w:sz w:val="16"/>
                <w:szCs w:val="16"/>
                <w:lang w:val="es-ES_tradnl"/>
              </w:rPr>
              <w:t>Necesidades de formación esenciales satisfechas a nivel colectivo: 80 % de las necesidades se satisfacen mediante un programa de formación.</w:t>
            </w:r>
          </w:p>
        </w:tc>
      </w:tr>
      <w:tr w:rsidR="00B258CE" w:rsidRPr="00C75C7E" w:rsidTr="003C7CC7">
        <w:trPr>
          <w:cantSplit/>
          <w:trHeight w:val="647"/>
        </w:trPr>
        <w:tc>
          <w:tcPr>
            <w:tcW w:w="1249" w:type="pct"/>
            <w:shd w:val="clear" w:color="auto" w:fill="auto"/>
            <w:tcMar>
              <w:top w:w="113" w:type="dxa"/>
            </w:tcMar>
          </w:tcPr>
          <w:p w:rsidR="00B258CE" w:rsidRPr="00C75C7E" w:rsidRDefault="00B258CE" w:rsidP="008F4F69">
            <w:pPr>
              <w:rPr>
                <w:sz w:val="16"/>
                <w:szCs w:val="16"/>
                <w:lang w:val="es-ES_tradnl"/>
              </w:rPr>
            </w:pPr>
          </w:p>
        </w:tc>
        <w:tc>
          <w:tcPr>
            <w:tcW w:w="1462" w:type="pct"/>
            <w:shd w:val="clear" w:color="auto" w:fill="auto"/>
            <w:tcMar>
              <w:top w:w="113" w:type="dxa"/>
            </w:tcMar>
          </w:tcPr>
          <w:p w:rsidR="00B258CE" w:rsidRPr="00C75C7E" w:rsidRDefault="00B258CE" w:rsidP="008F4F69">
            <w:pPr>
              <w:rPr>
                <w:sz w:val="16"/>
                <w:szCs w:val="16"/>
                <w:lang w:val="es-ES_tradnl"/>
              </w:rPr>
            </w:pPr>
            <w:r>
              <w:rPr>
                <w:sz w:val="16"/>
                <w:szCs w:val="16"/>
                <w:lang w:val="es-ES_tradnl"/>
              </w:rPr>
              <w:t>Número promedio de días de ausencia por enfermedad por empleado (ausentismo)</w:t>
            </w:r>
            <w:r w:rsidR="003C7CC7">
              <w:rPr>
                <w:sz w:val="16"/>
                <w:szCs w:val="16"/>
                <w:lang w:val="es-ES_tradnl"/>
              </w:rPr>
              <w:t>.</w:t>
            </w:r>
          </w:p>
        </w:tc>
        <w:tc>
          <w:tcPr>
            <w:tcW w:w="1145" w:type="pct"/>
            <w:shd w:val="clear" w:color="auto" w:fill="FFFFFF"/>
            <w:tcMar>
              <w:top w:w="113" w:type="dxa"/>
            </w:tcMar>
          </w:tcPr>
          <w:p w:rsidR="00B258CE" w:rsidRPr="00C75C7E" w:rsidRDefault="00B258CE" w:rsidP="008F4F69">
            <w:pPr>
              <w:rPr>
                <w:sz w:val="16"/>
                <w:szCs w:val="16"/>
                <w:lang w:val="es-ES_tradnl"/>
              </w:rPr>
            </w:pPr>
            <w:r>
              <w:rPr>
                <w:sz w:val="16"/>
                <w:szCs w:val="16"/>
                <w:lang w:val="es-ES_tradnl"/>
              </w:rPr>
              <w:t>9,07 (dic. de 2012)</w:t>
            </w:r>
          </w:p>
        </w:tc>
        <w:tc>
          <w:tcPr>
            <w:tcW w:w="1144" w:type="pct"/>
            <w:shd w:val="clear" w:color="auto" w:fill="auto"/>
            <w:tcMar>
              <w:top w:w="113" w:type="dxa"/>
            </w:tcMar>
          </w:tcPr>
          <w:p w:rsidR="00B258CE" w:rsidRPr="00C75C7E" w:rsidRDefault="00B258CE" w:rsidP="00B258CE">
            <w:pPr>
              <w:keepNext/>
              <w:keepLines/>
              <w:ind w:right="221"/>
              <w:rPr>
                <w:sz w:val="16"/>
                <w:szCs w:val="16"/>
                <w:lang w:val="es-ES_tradnl"/>
              </w:rPr>
            </w:pPr>
            <w:r>
              <w:rPr>
                <w:sz w:val="16"/>
                <w:szCs w:val="16"/>
                <w:lang w:val="es-ES_tradnl"/>
              </w:rPr>
              <w:t>¿?</w:t>
            </w:r>
          </w:p>
        </w:tc>
      </w:tr>
      <w:tr w:rsidR="00B258CE" w:rsidRPr="00C75C7E" w:rsidTr="003C7CC7">
        <w:trPr>
          <w:cantSplit/>
          <w:trHeight w:val="997"/>
        </w:trPr>
        <w:tc>
          <w:tcPr>
            <w:tcW w:w="1249" w:type="pct"/>
            <w:shd w:val="clear" w:color="auto" w:fill="auto"/>
            <w:tcMar>
              <w:top w:w="113" w:type="dxa"/>
            </w:tcMar>
          </w:tcPr>
          <w:p w:rsidR="00B258CE" w:rsidRPr="00C75C7E" w:rsidRDefault="00B258CE" w:rsidP="008F4F69">
            <w:pPr>
              <w:rPr>
                <w:sz w:val="16"/>
                <w:szCs w:val="16"/>
                <w:lang w:val="es-ES_tradnl"/>
              </w:rPr>
            </w:pPr>
          </w:p>
        </w:tc>
        <w:tc>
          <w:tcPr>
            <w:tcW w:w="1462" w:type="pct"/>
            <w:shd w:val="clear" w:color="auto" w:fill="auto"/>
            <w:tcMar>
              <w:top w:w="113" w:type="dxa"/>
            </w:tcMar>
          </w:tcPr>
          <w:p w:rsidR="00B258CE" w:rsidRPr="00C75C7E" w:rsidRDefault="00B258CE" w:rsidP="008F4F69">
            <w:pPr>
              <w:rPr>
                <w:sz w:val="16"/>
                <w:szCs w:val="16"/>
                <w:lang w:val="es-ES_tradnl"/>
              </w:rPr>
            </w:pPr>
            <w:r>
              <w:rPr>
                <w:sz w:val="16"/>
                <w:szCs w:val="16"/>
                <w:lang w:val="es-ES_tradnl"/>
              </w:rPr>
              <w:t>Porcentaje de mujeres en puestos profesionales y altos</w:t>
            </w:r>
            <w:r w:rsidR="003C7CC7">
              <w:rPr>
                <w:sz w:val="16"/>
                <w:szCs w:val="16"/>
                <w:lang w:val="es-ES_tradnl"/>
              </w:rPr>
              <w:t>.</w:t>
            </w:r>
          </w:p>
        </w:tc>
        <w:tc>
          <w:tcPr>
            <w:tcW w:w="1145" w:type="pct"/>
            <w:shd w:val="clear" w:color="auto" w:fill="FFFFFF"/>
            <w:tcMar>
              <w:top w:w="113" w:type="dxa"/>
            </w:tcMar>
          </w:tcPr>
          <w:p w:rsidR="00B258CE" w:rsidRDefault="00B258CE" w:rsidP="008F4F69">
            <w:pPr>
              <w:rPr>
                <w:sz w:val="16"/>
                <w:szCs w:val="16"/>
                <w:lang w:val="es-ES_tradnl"/>
              </w:rPr>
            </w:pPr>
            <w:r>
              <w:rPr>
                <w:sz w:val="16"/>
                <w:szCs w:val="16"/>
                <w:lang w:val="es-ES_tradnl"/>
              </w:rPr>
              <w:t>P4 – 44,4%</w:t>
            </w:r>
          </w:p>
          <w:p w:rsidR="00B258CE" w:rsidRDefault="00B258CE" w:rsidP="008F4F69">
            <w:pPr>
              <w:rPr>
                <w:sz w:val="16"/>
                <w:szCs w:val="16"/>
                <w:lang w:val="es-ES_tradnl"/>
              </w:rPr>
            </w:pPr>
            <w:r>
              <w:rPr>
                <w:sz w:val="16"/>
                <w:szCs w:val="16"/>
                <w:lang w:val="es-ES_tradnl"/>
              </w:rPr>
              <w:t>P5 – 30,3%</w:t>
            </w:r>
          </w:p>
          <w:p w:rsidR="00B258CE" w:rsidRDefault="00B258CE" w:rsidP="008F4F69">
            <w:pPr>
              <w:rPr>
                <w:sz w:val="16"/>
                <w:szCs w:val="16"/>
                <w:lang w:val="es-ES_tradnl"/>
              </w:rPr>
            </w:pPr>
            <w:r>
              <w:rPr>
                <w:sz w:val="16"/>
                <w:szCs w:val="16"/>
                <w:lang w:val="es-ES_tradnl"/>
              </w:rPr>
              <w:t>D1 – 24,4%</w:t>
            </w:r>
          </w:p>
          <w:p w:rsidR="00B258CE" w:rsidRDefault="00B258CE" w:rsidP="008F4F69">
            <w:pPr>
              <w:rPr>
                <w:sz w:val="16"/>
                <w:szCs w:val="16"/>
                <w:lang w:val="es-ES_tradnl"/>
              </w:rPr>
            </w:pPr>
            <w:r>
              <w:rPr>
                <w:sz w:val="16"/>
                <w:szCs w:val="16"/>
                <w:lang w:val="es-ES_tradnl"/>
              </w:rPr>
              <w:t xml:space="preserve">D2 – 23,1% </w:t>
            </w:r>
          </w:p>
          <w:p w:rsidR="00B258CE" w:rsidRPr="00C75C7E" w:rsidRDefault="00B258CE" w:rsidP="008F4F69">
            <w:pPr>
              <w:rPr>
                <w:sz w:val="16"/>
                <w:szCs w:val="16"/>
                <w:lang w:val="es-ES_tradnl"/>
              </w:rPr>
            </w:pPr>
            <w:r>
              <w:rPr>
                <w:sz w:val="16"/>
                <w:szCs w:val="16"/>
                <w:lang w:val="es-ES_tradnl"/>
              </w:rPr>
              <w:t>(dic. de 2012)</w:t>
            </w:r>
          </w:p>
        </w:tc>
        <w:tc>
          <w:tcPr>
            <w:tcW w:w="1144" w:type="pct"/>
            <w:shd w:val="clear" w:color="auto" w:fill="auto"/>
            <w:tcMar>
              <w:top w:w="113" w:type="dxa"/>
            </w:tcMar>
          </w:tcPr>
          <w:p w:rsidR="00B258CE" w:rsidRPr="00C75C7E" w:rsidRDefault="003C7CC7" w:rsidP="00B258CE">
            <w:pPr>
              <w:keepNext/>
              <w:keepLines/>
              <w:ind w:right="221"/>
              <w:rPr>
                <w:sz w:val="16"/>
                <w:szCs w:val="16"/>
                <w:lang w:val="es-ES_tradnl"/>
              </w:rPr>
            </w:pPr>
            <w:r>
              <w:rPr>
                <w:sz w:val="16"/>
                <w:szCs w:val="16"/>
                <w:lang w:val="es-ES_tradnl"/>
              </w:rPr>
              <w:t>¿?</w:t>
            </w:r>
          </w:p>
        </w:tc>
      </w:tr>
      <w:tr w:rsidR="00B258CE" w:rsidRPr="00C75C7E" w:rsidTr="003C7CC7">
        <w:trPr>
          <w:cantSplit/>
          <w:trHeight w:val="662"/>
        </w:trPr>
        <w:tc>
          <w:tcPr>
            <w:tcW w:w="1249" w:type="pct"/>
            <w:shd w:val="clear" w:color="auto" w:fill="auto"/>
            <w:tcMar>
              <w:top w:w="113" w:type="dxa"/>
            </w:tcMar>
          </w:tcPr>
          <w:p w:rsidR="00B258CE" w:rsidRPr="00C75C7E" w:rsidRDefault="00B258CE" w:rsidP="008F4F69">
            <w:pPr>
              <w:rPr>
                <w:sz w:val="16"/>
                <w:szCs w:val="16"/>
                <w:lang w:val="es-ES_tradnl"/>
              </w:rPr>
            </w:pPr>
          </w:p>
        </w:tc>
        <w:tc>
          <w:tcPr>
            <w:tcW w:w="1462" w:type="pct"/>
            <w:shd w:val="clear" w:color="auto" w:fill="auto"/>
            <w:tcMar>
              <w:top w:w="113" w:type="dxa"/>
            </w:tcMar>
          </w:tcPr>
          <w:p w:rsidR="00B258CE" w:rsidRPr="00C75C7E" w:rsidRDefault="003C7CC7" w:rsidP="008F4F69">
            <w:pPr>
              <w:rPr>
                <w:sz w:val="16"/>
                <w:szCs w:val="16"/>
                <w:lang w:val="es-ES_tradnl"/>
              </w:rPr>
            </w:pPr>
            <w:r>
              <w:rPr>
                <w:sz w:val="16"/>
                <w:szCs w:val="16"/>
                <w:lang w:val="es-ES_tradnl"/>
              </w:rPr>
              <w:t>Diversidad geográfica – porcentaje de Estados miembros representados.</w:t>
            </w:r>
          </w:p>
        </w:tc>
        <w:tc>
          <w:tcPr>
            <w:tcW w:w="1145" w:type="pct"/>
            <w:shd w:val="clear" w:color="auto" w:fill="FFFFFF"/>
            <w:tcMar>
              <w:top w:w="113" w:type="dxa"/>
            </w:tcMar>
          </w:tcPr>
          <w:p w:rsidR="00B258CE" w:rsidRPr="00C75C7E" w:rsidRDefault="003C7CC7" w:rsidP="008F4F69">
            <w:pPr>
              <w:rPr>
                <w:sz w:val="16"/>
                <w:szCs w:val="16"/>
                <w:lang w:val="es-ES_tradnl"/>
              </w:rPr>
            </w:pPr>
            <w:r>
              <w:rPr>
                <w:sz w:val="16"/>
                <w:szCs w:val="16"/>
                <w:lang w:val="es-ES_tradnl"/>
              </w:rPr>
              <w:t>58,4%</w:t>
            </w:r>
          </w:p>
        </w:tc>
        <w:tc>
          <w:tcPr>
            <w:tcW w:w="1144" w:type="pct"/>
            <w:shd w:val="clear" w:color="auto" w:fill="auto"/>
            <w:tcMar>
              <w:top w:w="113" w:type="dxa"/>
            </w:tcMar>
          </w:tcPr>
          <w:p w:rsidR="00B258CE" w:rsidRPr="00C75C7E" w:rsidRDefault="003C7CC7" w:rsidP="00B258CE">
            <w:pPr>
              <w:keepNext/>
              <w:keepLines/>
              <w:ind w:right="221"/>
              <w:rPr>
                <w:sz w:val="16"/>
                <w:szCs w:val="16"/>
                <w:lang w:val="es-ES_tradnl"/>
              </w:rPr>
            </w:pPr>
            <w:r>
              <w:rPr>
                <w:sz w:val="16"/>
                <w:szCs w:val="16"/>
                <w:lang w:val="es-ES_tradnl"/>
              </w:rPr>
              <w:t>¿?</w:t>
            </w:r>
          </w:p>
        </w:tc>
      </w:tr>
    </w:tbl>
    <w:p w:rsidR="009F58E5" w:rsidRDefault="009F58E5" w:rsidP="00E6603F">
      <w:pPr>
        <w:autoSpaceDE w:val="0"/>
        <w:autoSpaceDN w:val="0"/>
        <w:adjustRightInd w:val="0"/>
        <w:jc w:val="both"/>
        <w:rPr>
          <w:szCs w:val="22"/>
          <w:lang w:val="es-ES_tradnl"/>
        </w:rPr>
      </w:pPr>
    </w:p>
    <w:p w:rsidR="00E6603F" w:rsidRPr="00C75C7E" w:rsidRDefault="00E6603F" w:rsidP="00E6603F">
      <w:pPr>
        <w:autoSpaceDE w:val="0"/>
        <w:autoSpaceDN w:val="0"/>
        <w:adjustRightInd w:val="0"/>
        <w:jc w:val="both"/>
        <w:rPr>
          <w:szCs w:val="22"/>
          <w:lang w:val="es-ES_tradnl"/>
        </w:rPr>
      </w:pPr>
    </w:p>
    <w:p w:rsidR="00B1649B" w:rsidRPr="00ED24BB" w:rsidRDefault="00B1649B" w:rsidP="00E6603F">
      <w:pPr>
        <w:keepNext/>
        <w:keepLines/>
        <w:autoSpaceDE w:val="0"/>
        <w:autoSpaceDN w:val="0"/>
        <w:adjustRightInd w:val="0"/>
        <w:jc w:val="both"/>
        <w:rPr>
          <w:szCs w:val="22"/>
        </w:rPr>
      </w:pPr>
      <w:r w:rsidRPr="00ED24BB">
        <w:rPr>
          <w:szCs w:val="22"/>
        </w:rPr>
        <w:t>RECURSOS PARA EL PROGRAMA 23</w:t>
      </w:r>
    </w:p>
    <w:p w:rsidR="00B1649B" w:rsidRPr="00ED24BB" w:rsidRDefault="00B1649B" w:rsidP="00E6603F">
      <w:pPr>
        <w:keepNext/>
        <w:keepLines/>
        <w:autoSpaceDE w:val="0"/>
        <w:autoSpaceDN w:val="0"/>
        <w:adjustRightInd w:val="0"/>
        <w:rPr>
          <w:sz w:val="20"/>
        </w:rPr>
      </w:pPr>
    </w:p>
    <w:p w:rsidR="00B1649B" w:rsidRPr="00005434" w:rsidRDefault="00B1649B" w:rsidP="00D41E6A">
      <w:pPr>
        <w:pStyle w:val="ONUME"/>
        <w:numPr>
          <w:ilvl w:val="0"/>
          <w:numId w:val="42"/>
        </w:numPr>
        <w:spacing w:after="0"/>
        <w:jc w:val="both"/>
        <w:rPr>
          <w:sz w:val="20"/>
        </w:rPr>
      </w:pPr>
      <w:r>
        <w:rPr>
          <w:sz w:val="20"/>
        </w:rPr>
        <w:t>El aumento</w:t>
      </w:r>
      <w:r w:rsidRPr="00EB0F38">
        <w:rPr>
          <w:sz w:val="20"/>
        </w:rPr>
        <w:t xml:space="preserve"> de 2</w:t>
      </w:r>
      <w:r>
        <w:rPr>
          <w:sz w:val="20"/>
        </w:rPr>
        <w:t>,2 millones de francos suizos se debe</w:t>
      </w:r>
      <w:r w:rsidRPr="00EB0F38">
        <w:rPr>
          <w:sz w:val="20"/>
        </w:rPr>
        <w:t xml:space="preserve"> en parte a</w:t>
      </w:r>
      <w:r>
        <w:rPr>
          <w:sz w:val="20"/>
        </w:rPr>
        <w:t xml:space="preserve">: </w:t>
      </w:r>
      <w:r w:rsidRPr="00EB0F38">
        <w:rPr>
          <w:sz w:val="20"/>
        </w:rPr>
        <w:t xml:space="preserve"> i) la asignaci</w:t>
      </w:r>
      <w:r>
        <w:rPr>
          <w:sz w:val="20"/>
        </w:rPr>
        <w:t xml:space="preserve">ón de recursos de personal adicionales para responder al aumento de los costos del acuerdo entre la OMPI y la ONUG sobre la prestación de servicios médicos; ii) al mayor apoyo prestado al equilibrio </w:t>
      </w:r>
      <w:r w:rsidR="00425E19">
        <w:rPr>
          <w:sz w:val="20"/>
        </w:rPr>
        <w:t>de género</w:t>
      </w:r>
      <w:r w:rsidRPr="000F68FB">
        <w:rPr>
          <w:sz w:val="20"/>
        </w:rPr>
        <w:t xml:space="preserve"> y</w:t>
      </w:r>
      <w:r>
        <w:rPr>
          <w:sz w:val="20"/>
        </w:rPr>
        <w:t xml:space="preserve"> a</w:t>
      </w:r>
      <w:r w:rsidRPr="000F68FB">
        <w:rPr>
          <w:sz w:val="20"/>
        </w:rPr>
        <w:t xml:space="preserve"> la </w:t>
      </w:r>
      <w:r>
        <w:rPr>
          <w:sz w:val="20"/>
        </w:rPr>
        <w:t xml:space="preserve">diversidad de la </w:t>
      </w:r>
      <w:r w:rsidRPr="000F68FB">
        <w:rPr>
          <w:sz w:val="20"/>
        </w:rPr>
        <w:t>representación geográfica</w:t>
      </w:r>
      <w:r>
        <w:rPr>
          <w:sz w:val="20"/>
        </w:rPr>
        <w:t xml:space="preserve"> en la Organización;  y iii) a la reasignación de los recursos de personal dedicados en 2012/13 a las actividades relacionadas con la puesta en práctica de la </w:t>
      </w:r>
      <w:r w:rsidR="00425E19">
        <w:rPr>
          <w:sz w:val="20"/>
        </w:rPr>
        <w:t>planificación de los recursos institucionales</w:t>
      </w:r>
      <w:r w:rsidRPr="00005434">
        <w:rPr>
          <w:sz w:val="20"/>
        </w:rPr>
        <w:t xml:space="preserve"> </w:t>
      </w:r>
      <w:r>
        <w:rPr>
          <w:sz w:val="20"/>
        </w:rPr>
        <w:t>en el resultado IX</w:t>
      </w:r>
      <w:r w:rsidR="00425E19">
        <w:rPr>
          <w:sz w:val="20"/>
        </w:rPr>
        <w:t>.3</w:t>
      </w:r>
      <w:r>
        <w:rPr>
          <w:sz w:val="20"/>
        </w:rPr>
        <w:t>. relativo a la línea “</w:t>
      </w:r>
      <w:r w:rsidRPr="00B644C3">
        <w:rPr>
          <w:sz w:val="20"/>
        </w:rPr>
        <w:t xml:space="preserve">Personal profesional </w:t>
      </w:r>
      <w:r w:rsidRPr="00B644C3">
        <w:rPr>
          <w:sz w:val="20"/>
        </w:rPr>
        <w:lastRenderedPageBreak/>
        <w:t>bien dirigido, diversificado, motivado y</w:t>
      </w:r>
      <w:r>
        <w:rPr>
          <w:sz w:val="20"/>
        </w:rPr>
        <w:t xml:space="preserve"> </w:t>
      </w:r>
      <w:r w:rsidRPr="00B644C3">
        <w:rPr>
          <w:sz w:val="20"/>
        </w:rPr>
        <w:t>con las competencias adecuadas</w:t>
      </w:r>
      <w:r>
        <w:rPr>
          <w:sz w:val="20"/>
        </w:rPr>
        <w:t>”, al resultado IX.1 (</w:t>
      </w:r>
      <w:r w:rsidRPr="00363336">
        <w:rPr>
          <w:sz w:val="20"/>
        </w:rPr>
        <w:t>Servicios de apoyo eficaces, eficientes, de calidad y</w:t>
      </w:r>
      <w:r>
        <w:rPr>
          <w:sz w:val="20"/>
        </w:rPr>
        <w:t xml:space="preserve"> </w:t>
      </w:r>
      <w:r w:rsidRPr="00363336">
        <w:rPr>
          <w:sz w:val="20"/>
        </w:rPr>
        <w:t>orientados al cliente</w:t>
      </w:r>
      <w:r>
        <w:rPr>
          <w:sz w:val="20"/>
        </w:rPr>
        <w:t>) en 2014/15</w:t>
      </w:r>
      <w:r w:rsidRPr="00B644C3">
        <w:rPr>
          <w:sz w:val="20"/>
        </w:rPr>
        <w:t>.</w:t>
      </w:r>
    </w:p>
    <w:p w:rsidR="00B1649B" w:rsidRPr="00EB0F38" w:rsidRDefault="00B1649B" w:rsidP="00E6603F">
      <w:pPr>
        <w:pStyle w:val="ONUME"/>
        <w:numPr>
          <w:ilvl w:val="0"/>
          <w:numId w:val="0"/>
        </w:numPr>
        <w:spacing w:after="0"/>
        <w:jc w:val="both"/>
        <w:rPr>
          <w:sz w:val="20"/>
        </w:rPr>
      </w:pPr>
    </w:p>
    <w:p w:rsidR="00B1649B" w:rsidRPr="00185393" w:rsidRDefault="00B1649B" w:rsidP="00D41E6A">
      <w:pPr>
        <w:pStyle w:val="ONUME"/>
        <w:numPr>
          <w:ilvl w:val="0"/>
          <w:numId w:val="42"/>
        </w:numPr>
        <w:spacing w:after="0"/>
        <w:jc w:val="both"/>
        <w:rPr>
          <w:sz w:val="20"/>
        </w:rPr>
      </w:pPr>
      <w:r w:rsidRPr="00185393">
        <w:rPr>
          <w:sz w:val="20"/>
        </w:rPr>
        <w:t xml:space="preserve">Los recursos asignados al </w:t>
      </w:r>
      <w:r>
        <w:rPr>
          <w:sz w:val="20"/>
        </w:rPr>
        <w:t xml:space="preserve">resultado IX.2 </w:t>
      </w:r>
      <w:r w:rsidRPr="004F47F4">
        <w:rPr>
          <w:sz w:val="20"/>
        </w:rPr>
        <w:t>(</w:t>
      </w:r>
      <w:r>
        <w:rPr>
          <w:sz w:val="20"/>
        </w:rPr>
        <w:t xml:space="preserve">Funcionamiento ágil y sin contratiempos de la Secretaría) corresponden a una disminución de 0,5 millones de francos suizos.  La misma, se debe a la combinación de:  i) una disminución de los resultados comparados con el presupuesto después de las transferencias, debido a la reasignación de recursos de personal mencionada en el punto anterior, y ii) a un aumento de 0,5 millones de francos suizos en los recursos asignados a las actividades de capacitación que se refleja en el aumento de la línea </w:t>
      </w:r>
      <w:r w:rsidRPr="00436BBD">
        <w:rPr>
          <w:sz w:val="20"/>
        </w:rPr>
        <w:t>“Otros servicios contractuales”</w:t>
      </w:r>
      <w:r>
        <w:rPr>
          <w:sz w:val="20"/>
        </w:rPr>
        <w:t>.</w:t>
      </w:r>
    </w:p>
    <w:p w:rsidR="00B1649B" w:rsidRPr="00185393" w:rsidRDefault="00B1649B" w:rsidP="00E6603F">
      <w:pPr>
        <w:pStyle w:val="ONUME"/>
        <w:numPr>
          <w:ilvl w:val="0"/>
          <w:numId w:val="0"/>
        </w:numPr>
        <w:spacing w:after="0"/>
        <w:jc w:val="both"/>
        <w:rPr>
          <w:sz w:val="20"/>
        </w:rPr>
      </w:pPr>
    </w:p>
    <w:p w:rsidR="009F58E5" w:rsidRPr="00B1649B" w:rsidRDefault="009F58E5" w:rsidP="00E6603F">
      <w:pPr>
        <w:keepNext/>
        <w:keepLines/>
        <w:autoSpaceDE w:val="0"/>
        <w:autoSpaceDN w:val="0"/>
        <w:adjustRightInd w:val="0"/>
        <w:jc w:val="both"/>
        <w:rPr>
          <w:szCs w:val="22"/>
          <w:highlight w:val="yellow"/>
        </w:rPr>
      </w:pPr>
    </w:p>
    <w:p w:rsidR="009F58E5" w:rsidRPr="00C75C7E" w:rsidRDefault="003C7CC7" w:rsidP="009F58E5">
      <w:pPr>
        <w:keepNext/>
        <w:keepLines/>
        <w:autoSpaceDE w:val="0"/>
        <w:autoSpaceDN w:val="0"/>
        <w:adjustRightInd w:val="0"/>
        <w:ind w:firstLine="567"/>
        <w:jc w:val="center"/>
        <w:rPr>
          <w:b/>
          <w:bCs/>
          <w:iCs/>
          <w:sz w:val="20"/>
          <w:lang w:val="es-ES_tradnl"/>
        </w:rPr>
      </w:pPr>
      <w:r>
        <w:rPr>
          <w:b/>
          <w:bCs/>
          <w:iCs/>
          <w:sz w:val="20"/>
          <w:lang w:val="es-ES_tradnl"/>
        </w:rPr>
        <w:t xml:space="preserve">Programa 23:  </w:t>
      </w:r>
      <w:r w:rsidR="009F58E5" w:rsidRPr="00C75C7E">
        <w:rPr>
          <w:b/>
          <w:bCs/>
          <w:iCs/>
          <w:sz w:val="20"/>
          <w:lang w:val="es-ES_tradnl"/>
        </w:rPr>
        <w:t>Recursos por resultado</w:t>
      </w:r>
    </w:p>
    <w:p w:rsidR="009F58E5" w:rsidRPr="00C75C7E" w:rsidRDefault="009F58E5" w:rsidP="009F58E5">
      <w:pPr>
        <w:keepNext/>
        <w:keepLines/>
        <w:autoSpaceDE w:val="0"/>
        <w:autoSpaceDN w:val="0"/>
        <w:adjustRightInd w:val="0"/>
        <w:ind w:firstLine="567"/>
        <w:jc w:val="center"/>
        <w:rPr>
          <w:bCs/>
          <w:i/>
          <w:sz w:val="20"/>
          <w:lang w:val="es-ES_tradnl"/>
        </w:rPr>
      </w:pPr>
      <w:r w:rsidRPr="00C75C7E">
        <w:rPr>
          <w:bCs/>
          <w:i/>
          <w:sz w:val="20"/>
          <w:lang w:val="es-ES_tradnl"/>
        </w:rPr>
        <w:t>(en miles de francos suizos)</w:t>
      </w:r>
    </w:p>
    <w:p w:rsidR="009F58E5" w:rsidRPr="00C75C7E" w:rsidRDefault="009F58E5" w:rsidP="009F58E5">
      <w:pPr>
        <w:keepNext/>
        <w:keepLines/>
        <w:rPr>
          <w:sz w:val="20"/>
          <w:lang w:val="es-ES_tradnl"/>
        </w:rPr>
      </w:pPr>
    </w:p>
    <w:p w:rsidR="009F58E5" w:rsidRPr="00C75C7E" w:rsidRDefault="00C40A11" w:rsidP="009F58E5">
      <w:pPr>
        <w:keepNext/>
        <w:keepLines/>
        <w:jc w:val="center"/>
        <w:rPr>
          <w:lang w:val="es-ES_tradnl"/>
        </w:rPr>
      </w:pPr>
      <w:r>
        <w:rPr>
          <w:noProof/>
          <w:lang w:val="en-US" w:eastAsia="en-US"/>
        </w:rPr>
        <w:drawing>
          <wp:inline distT="0" distB="0" distL="0" distR="0" wp14:anchorId="4340D85D" wp14:editId="29B94D77">
            <wp:extent cx="5752465" cy="1883410"/>
            <wp:effectExtent l="0" t="0" r="635" b="2540"/>
            <wp:docPr id="72"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5752465" cy="1883410"/>
                    </a:xfrm>
                    <a:prstGeom prst="rect">
                      <a:avLst/>
                    </a:prstGeom>
                    <a:noFill/>
                    <a:ln>
                      <a:noFill/>
                    </a:ln>
                  </pic:spPr>
                </pic:pic>
              </a:graphicData>
            </a:graphic>
          </wp:inline>
        </w:drawing>
      </w:r>
    </w:p>
    <w:p w:rsidR="009F58E5" w:rsidRPr="00C75C7E" w:rsidRDefault="009F58E5" w:rsidP="009F58E5">
      <w:pPr>
        <w:keepNext/>
        <w:keepLines/>
        <w:jc w:val="center"/>
        <w:rPr>
          <w:sz w:val="20"/>
          <w:lang w:val="es-ES_tradnl"/>
        </w:rPr>
      </w:pPr>
    </w:p>
    <w:p w:rsidR="009F58E5" w:rsidRPr="00C75C7E" w:rsidRDefault="009F58E5" w:rsidP="009F58E5">
      <w:pPr>
        <w:keepNext/>
        <w:keepLines/>
        <w:autoSpaceDE w:val="0"/>
        <w:autoSpaceDN w:val="0"/>
        <w:adjustRightInd w:val="0"/>
        <w:rPr>
          <w:sz w:val="20"/>
          <w:lang w:val="es-ES_tradnl"/>
        </w:rPr>
      </w:pPr>
      <w:r w:rsidRPr="00C75C7E">
        <w:rPr>
          <w:sz w:val="16"/>
          <w:szCs w:val="16"/>
          <w:lang w:val="es-ES_tradnl"/>
        </w:rPr>
        <w:t xml:space="preserve">Nota: </w:t>
      </w:r>
      <w:r w:rsidR="009E2FC0">
        <w:rPr>
          <w:sz w:val="16"/>
          <w:szCs w:val="16"/>
          <w:lang w:val="es-ES_tradnl"/>
        </w:rPr>
        <w:t xml:space="preserve"> </w:t>
      </w:r>
      <w:r w:rsidRPr="00C75C7E">
        <w:rPr>
          <w:sz w:val="16"/>
          <w:szCs w:val="16"/>
          <w:lang w:val="es-ES_tradnl"/>
        </w:rPr>
        <w:t>Se ha reexpresado el presupuesto aprobado de 2012/13 y el presupuesto de dicho bienio después de las transferencias, por resultado previsto, para reflejar el marco de resultados de la Organización propuesto para 2014/15.</w:t>
      </w:r>
    </w:p>
    <w:p w:rsidR="009F58E5" w:rsidRPr="00C75C7E" w:rsidRDefault="009F58E5" w:rsidP="009F58E5">
      <w:pPr>
        <w:rPr>
          <w:sz w:val="20"/>
          <w:highlight w:val="yellow"/>
          <w:lang w:val="es-ES_tradnl"/>
        </w:rPr>
      </w:pPr>
    </w:p>
    <w:p w:rsidR="009F58E5" w:rsidRPr="00C75C7E" w:rsidRDefault="003C7CC7" w:rsidP="009F58E5">
      <w:pPr>
        <w:keepNext/>
        <w:keepLines/>
        <w:autoSpaceDE w:val="0"/>
        <w:autoSpaceDN w:val="0"/>
        <w:adjustRightInd w:val="0"/>
        <w:ind w:firstLine="567"/>
        <w:jc w:val="center"/>
        <w:rPr>
          <w:b/>
          <w:bCs/>
          <w:iCs/>
          <w:sz w:val="20"/>
          <w:lang w:val="es-ES_tradnl"/>
        </w:rPr>
      </w:pPr>
      <w:r>
        <w:rPr>
          <w:b/>
          <w:bCs/>
          <w:iCs/>
          <w:sz w:val="20"/>
          <w:lang w:val="es-ES_tradnl"/>
        </w:rPr>
        <w:lastRenderedPageBreak/>
        <w:t xml:space="preserve">Programa 23:  </w:t>
      </w:r>
      <w:r w:rsidR="009F58E5" w:rsidRPr="00C75C7E">
        <w:rPr>
          <w:b/>
          <w:bCs/>
          <w:iCs/>
          <w:sz w:val="20"/>
          <w:lang w:val="es-ES_tradnl"/>
        </w:rPr>
        <w:t>Recursos por objeto de gasto</w:t>
      </w:r>
    </w:p>
    <w:p w:rsidR="009F58E5" w:rsidRPr="00C75C7E" w:rsidRDefault="009F58E5" w:rsidP="009F58E5">
      <w:pPr>
        <w:keepNext/>
        <w:keepLines/>
        <w:autoSpaceDE w:val="0"/>
        <w:autoSpaceDN w:val="0"/>
        <w:adjustRightInd w:val="0"/>
        <w:ind w:firstLine="567"/>
        <w:jc w:val="center"/>
        <w:rPr>
          <w:bCs/>
          <w:i/>
          <w:sz w:val="20"/>
          <w:lang w:val="es-ES_tradnl"/>
        </w:rPr>
      </w:pPr>
      <w:r w:rsidRPr="00C75C7E">
        <w:rPr>
          <w:bCs/>
          <w:i/>
          <w:sz w:val="20"/>
          <w:lang w:val="es-ES_tradnl"/>
        </w:rPr>
        <w:t>(en miles de francos suizos)</w:t>
      </w:r>
    </w:p>
    <w:p w:rsidR="009F58E5" w:rsidRDefault="009F58E5" w:rsidP="009F58E5">
      <w:pPr>
        <w:keepNext/>
        <w:keepLines/>
        <w:rPr>
          <w:sz w:val="20"/>
          <w:lang w:val="es-ES_tradnl"/>
        </w:rPr>
      </w:pPr>
    </w:p>
    <w:p w:rsidR="00EA4CD8" w:rsidRPr="00C75C7E" w:rsidRDefault="00C40A11" w:rsidP="009F58E5">
      <w:pPr>
        <w:keepNext/>
        <w:keepLines/>
        <w:rPr>
          <w:sz w:val="20"/>
          <w:lang w:val="es-ES_tradnl"/>
        </w:rPr>
      </w:pPr>
      <w:r>
        <w:rPr>
          <w:noProof/>
          <w:lang w:val="en-US" w:eastAsia="en-US"/>
        </w:rPr>
        <w:drawing>
          <wp:inline distT="0" distB="0" distL="0" distR="0" wp14:anchorId="44DD945D" wp14:editId="03918E3A">
            <wp:extent cx="5936615" cy="5739130"/>
            <wp:effectExtent l="0" t="0" r="6985"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5936615" cy="5739130"/>
                    </a:xfrm>
                    <a:prstGeom prst="rect">
                      <a:avLst/>
                    </a:prstGeom>
                    <a:noFill/>
                    <a:ln>
                      <a:noFill/>
                    </a:ln>
                  </pic:spPr>
                </pic:pic>
              </a:graphicData>
            </a:graphic>
          </wp:inline>
        </w:drawing>
      </w:r>
    </w:p>
    <w:p w:rsidR="00EA4CD8" w:rsidRDefault="00EA4CD8" w:rsidP="009F58E5">
      <w:pPr>
        <w:keepNext/>
        <w:keepLines/>
        <w:rPr>
          <w:sz w:val="16"/>
          <w:szCs w:val="16"/>
          <w:lang w:val="es-ES_tradnl"/>
        </w:rPr>
      </w:pPr>
    </w:p>
    <w:p w:rsidR="009F58E5" w:rsidRPr="00C75C7E" w:rsidRDefault="009F58E5" w:rsidP="009F58E5">
      <w:pPr>
        <w:keepNext/>
        <w:keepLines/>
        <w:rPr>
          <w:sz w:val="16"/>
          <w:szCs w:val="16"/>
          <w:lang w:val="es-ES_tradnl"/>
        </w:rPr>
      </w:pPr>
      <w:r w:rsidRPr="00C75C7E">
        <w:rPr>
          <w:sz w:val="16"/>
          <w:szCs w:val="16"/>
          <w:lang w:val="es-ES_tradnl"/>
        </w:rPr>
        <w:t>Notas:</w:t>
      </w:r>
    </w:p>
    <w:p w:rsidR="009F58E5" w:rsidRPr="00C75C7E" w:rsidRDefault="009F58E5" w:rsidP="009F58E5">
      <w:pPr>
        <w:keepNext/>
        <w:keepLines/>
        <w:rPr>
          <w:sz w:val="16"/>
          <w:szCs w:val="16"/>
          <w:u w:val="single"/>
          <w:lang w:val="es-ES_tradnl"/>
        </w:rPr>
      </w:pPr>
    </w:p>
    <w:p w:rsidR="009F58E5" w:rsidRPr="00C75C7E" w:rsidRDefault="009F58E5" w:rsidP="009F58E5">
      <w:pPr>
        <w:keepNext/>
        <w:keepLines/>
        <w:spacing w:after="120"/>
        <w:rPr>
          <w:sz w:val="16"/>
          <w:szCs w:val="16"/>
          <w:lang w:val="es-ES_tradnl"/>
        </w:rPr>
      </w:pPr>
      <w:r>
        <w:rPr>
          <w:sz w:val="16"/>
          <w:szCs w:val="16"/>
          <w:lang w:val="es-ES_tradnl"/>
        </w:rPr>
        <w:t>1</w:t>
      </w:r>
      <w:r w:rsidR="00CD5DEC">
        <w:rPr>
          <w:sz w:val="16"/>
          <w:szCs w:val="16"/>
          <w:lang w:val="es-ES_tradnl"/>
        </w:rPr>
        <w:t xml:space="preserve">)  </w:t>
      </w:r>
      <w:r w:rsidRPr="00C75C7E">
        <w:rPr>
          <w:sz w:val="16"/>
          <w:szCs w:val="16"/>
          <w:lang w:val="es-ES_tradnl"/>
        </w:rPr>
        <w:t>El presupuesto aprobado de 2012/13 y el presupuesto de dicho bienio después de las transferencias se reexpresan sobre la base de la estructura de categorías de costos propuesta para 2014/15.</w:t>
      </w:r>
    </w:p>
    <w:p w:rsidR="009F58E5" w:rsidRPr="00C75C7E" w:rsidRDefault="009F58E5" w:rsidP="009F58E5">
      <w:pPr>
        <w:keepNext/>
        <w:keepLines/>
        <w:spacing w:after="120"/>
        <w:rPr>
          <w:sz w:val="16"/>
          <w:szCs w:val="16"/>
          <w:lang w:val="es-ES_tradnl"/>
        </w:rPr>
      </w:pPr>
      <w:r>
        <w:rPr>
          <w:sz w:val="16"/>
          <w:szCs w:val="16"/>
          <w:lang w:val="es-ES_tradnl"/>
        </w:rPr>
        <w:t>2)</w:t>
      </w:r>
      <w:r w:rsidR="00CD5DEC">
        <w:rPr>
          <w:sz w:val="16"/>
          <w:szCs w:val="16"/>
          <w:lang w:val="es-ES_tradnl"/>
        </w:rPr>
        <w:t xml:space="preserve">  </w:t>
      </w:r>
      <w:r w:rsidRPr="00C75C7E">
        <w:rPr>
          <w:sz w:val="16"/>
          <w:szCs w:val="16"/>
          <w:lang w:val="es-ES_tradnl"/>
        </w:rPr>
        <w:t>El presupuesto después de las transferencias refleja el presupuesto de los programas ajustado tras las transferencias efectuadas en 2012/13 en virtud del artículo 5.5 del Reglamento Financiero. Para más info</w:t>
      </w:r>
      <w:r w:rsidR="00FB6F33">
        <w:rPr>
          <w:sz w:val="16"/>
          <w:szCs w:val="16"/>
          <w:lang w:val="es-ES_tradnl"/>
        </w:rPr>
        <w:t>rmación sobre el presupuesto de </w:t>
      </w:r>
      <w:r w:rsidRPr="00C75C7E">
        <w:rPr>
          <w:sz w:val="16"/>
          <w:szCs w:val="16"/>
          <w:lang w:val="es-ES_tradnl"/>
        </w:rPr>
        <w:t xml:space="preserve">2012/13 después de las transferencias, cabe remitirse al cuadro que figura en el Anexo I (Presupuesto después de las transferencias, por programa) del presente documento y al documento WO/PBC/20/2 (Informe sobre el rendimiento de los programas en 2012).  </w:t>
      </w:r>
      <w:r w:rsidRPr="00C75C7E">
        <w:rPr>
          <w:rFonts w:cs="ArialMT"/>
          <w:sz w:val="16"/>
          <w:szCs w:val="16"/>
          <w:lang w:val="es-ES_tradnl"/>
        </w:rPr>
        <w:t xml:space="preserve">Los costos de personal del presupuesto de 2012/13 después de las transferencias representan los gastos reales efectuados hasta el 31 de marzo de 2013 y los importes presupuestados para los nueve meses restantes de 2013, sobre la base de costos estándar. </w:t>
      </w:r>
    </w:p>
    <w:p w:rsidR="009F58E5" w:rsidRPr="00C75C7E" w:rsidRDefault="009F58E5" w:rsidP="009F58E5">
      <w:pPr>
        <w:keepNext/>
        <w:keepLines/>
        <w:spacing w:after="120"/>
        <w:rPr>
          <w:sz w:val="20"/>
          <w:lang w:val="es-ES_tradnl"/>
        </w:rPr>
      </w:pPr>
      <w:r>
        <w:rPr>
          <w:sz w:val="16"/>
          <w:szCs w:val="16"/>
          <w:lang w:val="es-ES_tradnl"/>
        </w:rPr>
        <w:t>3)</w:t>
      </w:r>
      <w:r w:rsidR="00CD5DEC">
        <w:rPr>
          <w:sz w:val="16"/>
          <w:szCs w:val="16"/>
          <w:lang w:val="es-ES_tradnl"/>
        </w:rPr>
        <w:t xml:space="preserve">  </w:t>
      </w:r>
      <w:r w:rsidRPr="00C75C7E">
        <w:rPr>
          <w:sz w:val="16"/>
          <w:szCs w:val="16"/>
          <w:lang w:val="es-ES_tradnl"/>
        </w:rPr>
        <w:t>Para más información sobre los puestos del programa cabe remitirse al cuadro que figura en el Anexo II.</w:t>
      </w:r>
    </w:p>
    <w:p w:rsidR="00B1649B" w:rsidRPr="00E6603F" w:rsidRDefault="009F58E5" w:rsidP="00E6603F">
      <w:pPr>
        <w:pStyle w:val="Heading3"/>
        <w:tabs>
          <w:tab w:val="left" w:pos="1985"/>
        </w:tabs>
        <w:rPr>
          <w:b/>
          <w:u w:val="none"/>
          <w:lang w:val="es-ES_tradnl"/>
        </w:rPr>
      </w:pPr>
      <w:r w:rsidRPr="00C75C7E">
        <w:rPr>
          <w:sz w:val="20"/>
          <w:lang w:val="es-ES_tradnl"/>
        </w:rPr>
        <w:br w:type="page"/>
      </w:r>
      <w:bookmarkStart w:id="81" w:name="_Toc356567779"/>
      <w:bookmarkStart w:id="82" w:name="_Toc358816717"/>
      <w:r w:rsidR="00E6603F" w:rsidRPr="00E6603F">
        <w:rPr>
          <w:b/>
          <w:u w:val="none"/>
          <w:lang w:val="es-ES_tradnl"/>
        </w:rPr>
        <w:lastRenderedPageBreak/>
        <w:t>PROGRAMA 24</w:t>
      </w:r>
      <w:r w:rsidR="00E6603F" w:rsidRPr="00E6603F">
        <w:rPr>
          <w:b/>
          <w:u w:val="none"/>
          <w:lang w:val="es-ES_tradnl"/>
        </w:rPr>
        <w:tab/>
      </w:r>
      <w:bookmarkEnd w:id="81"/>
      <w:r w:rsidR="00E6603F" w:rsidRPr="00E6603F">
        <w:rPr>
          <w:b/>
          <w:u w:val="none"/>
          <w:lang w:val="es-ES_tradnl"/>
        </w:rPr>
        <w:t>SERVICIOS DE APOYO GENERALES</w:t>
      </w:r>
      <w:bookmarkEnd w:id="82"/>
    </w:p>
    <w:p w:rsidR="00B1649B" w:rsidRPr="00762D10" w:rsidRDefault="00B1649B" w:rsidP="006A15F5"/>
    <w:p w:rsidR="00B1649B" w:rsidRPr="00762D10" w:rsidRDefault="00B1649B" w:rsidP="006A15F5">
      <w:pPr>
        <w:rPr>
          <w:b/>
        </w:rPr>
      </w:pPr>
    </w:p>
    <w:p w:rsidR="00B1649B" w:rsidRPr="00762D10" w:rsidRDefault="00B1649B" w:rsidP="00B1649B">
      <w:pPr>
        <w:pStyle w:val="BodyTextIndent"/>
        <w:ind w:left="1985" w:hanging="1985"/>
        <w:jc w:val="both"/>
        <w:rPr>
          <w:rFonts w:ascii="Arial" w:hAnsi="Arial" w:cs="Arial"/>
          <w:sz w:val="22"/>
          <w:szCs w:val="22"/>
          <w:lang w:val="es-ES"/>
        </w:rPr>
      </w:pPr>
      <w:r w:rsidRPr="00762D10">
        <w:rPr>
          <w:rFonts w:ascii="Arial" w:hAnsi="Arial" w:cs="Arial"/>
          <w:sz w:val="22"/>
          <w:szCs w:val="22"/>
          <w:lang w:val="es-ES"/>
        </w:rPr>
        <w:t>CONTEXTO DE PLANIFICACI</w:t>
      </w:r>
      <w:r>
        <w:rPr>
          <w:rFonts w:ascii="Arial" w:hAnsi="Arial" w:cs="Arial"/>
          <w:sz w:val="22"/>
          <w:szCs w:val="22"/>
          <w:lang w:val="es-ES"/>
        </w:rPr>
        <w:t>ÓN</w:t>
      </w:r>
    </w:p>
    <w:p w:rsidR="00B1649B" w:rsidRPr="00762D10" w:rsidRDefault="00B1649B" w:rsidP="00B1649B">
      <w:pPr>
        <w:tabs>
          <w:tab w:val="left" w:pos="567"/>
          <w:tab w:val="left" w:pos="1985"/>
        </w:tabs>
        <w:jc w:val="both"/>
        <w:rPr>
          <w:bCs/>
          <w:sz w:val="20"/>
        </w:rPr>
      </w:pPr>
    </w:p>
    <w:p w:rsidR="00B1649B" w:rsidRPr="0071158F" w:rsidRDefault="00B1649B" w:rsidP="00D41E6A">
      <w:pPr>
        <w:numPr>
          <w:ilvl w:val="0"/>
          <w:numId w:val="43"/>
        </w:numPr>
        <w:jc w:val="both"/>
        <w:rPr>
          <w:sz w:val="20"/>
        </w:rPr>
      </w:pPr>
      <w:r w:rsidRPr="0071158F">
        <w:rPr>
          <w:sz w:val="20"/>
        </w:rPr>
        <w:t xml:space="preserve">La adquisición de productos y servicios, así como los viajes, </w:t>
      </w:r>
      <w:r>
        <w:rPr>
          <w:sz w:val="20"/>
        </w:rPr>
        <w:t xml:space="preserve">sigue siendo </w:t>
      </w:r>
      <w:r w:rsidRPr="0071158F">
        <w:rPr>
          <w:sz w:val="20"/>
        </w:rPr>
        <w:t>uno de los gastos no</w:t>
      </w:r>
      <w:r>
        <w:rPr>
          <w:sz w:val="20"/>
        </w:rPr>
        <w:t xml:space="preserve"> relativos al </w:t>
      </w:r>
      <w:r w:rsidRPr="0071158F">
        <w:rPr>
          <w:sz w:val="20"/>
        </w:rPr>
        <w:t>personal más importantes y, por tanto, una esfera en la que es posible aumentar de forma</w:t>
      </w:r>
      <w:r>
        <w:rPr>
          <w:sz w:val="20"/>
        </w:rPr>
        <w:t xml:space="preserve"> </w:t>
      </w:r>
      <w:r w:rsidRPr="0071158F">
        <w:rPr>
          <w:sz w:val="20"/>
        </w:rPr>
        <w:t>considerable la eficiencia y reducir los costos en toda la Organización.</w:t>
      </w:r>
      <w:r>
        <w:rPr>
          <w:sz w:val="20"/>
        </w:rPr>
        <w:t xml:space="preserve">  En consecuencia, los servicios </w:t>
      </w:r>
      <w:r w:rsidRPr="0071158F">
        <w:rPr>
          <w:sz w:val="20"/>
        </w:rPr>
        <w:t>de compras y viajes se centrarán en lograr economías por medio</w:t>
      </w:r>
      <w:r>
        <w:rPr>
          <w:sz w:val="20"/>
        </w:rPr>
        <w:t xml:space="preserve"> de la selección estratégica de proveedores y una mayor</w:t>
      </w:r>
      <w:r w:rsidRPr="0071158F">
        <w:rPr>
          <w:sz w:val="20"/>
        </w:rPr>
        <w:t xml:space="preserve"> eficacia en sus actividades garantizando</w:t>
      </w:r>
      <w:r>
        <w:rPr>
          <w:sz w:val="20"/>
        </w:rPr>
        <w:t xml:space="preserve"> al mismo tiempo a los usuarios </w:t>
      </w:r>
      <w:r w:rsidRPr="0071158F">
        <w:rPr>
          <w:sz w:val="20"/>
        </w:rPr>
        <w:t xml:space="preserve">de toda la Organización un apoyo de alta </w:t>
      </w:r>
      <w:r>
        <w:rPr>
          <w:sz w:val="20"/>
        </w:rPr>
        <w:t>calidad y orientado al cliente.</w:t>
      </w:r>
    </w:p>
    <w:p w:rsidR="00B1649B" w:rsidRPr="0071158F" w:rsidRDefault="00B1649B" w:rsidP="00B1649B">
      <w:pPr>
        <w:jc w:val="both"/>
        <w:rPr>
          <w:sz w:val="20"/>
        </w:rPr>
      </w:pPr>
    </w:p>
    <w:p w:rsidR="00B1649B" w:rsidRPr="00B84289" w:rsidRDefault="00B1649B" w:rsidP="00D41E6A">
      <w:pPr>
        <w:numPr>
          <w:ilvl w:val="0"/>
          <w:numId w:val="43"/>
        </w:numPr>
        <w:jc w:val="both"/>
        <w:rPr>
          <w:sz w:val="20"/>
        </w:rPr>
      </w:pPr>
      <w:r w:rsidRPr="00353936">
        <w:rPr>
          <w:sz w:val="20"/>
        </w:rPr>
        <w:t>Uno de los pr</w:t>
      </w:r>
      <w:r>
        <w:rPr>
          <w:sz w:val="20"/>
        </w:rPr>
        <w:t>incipales desafíos relacionados con la gestión de los locales consiste, en primer lugar, en garantizar un uso óptimo de los espacios de trabajo y de los que están destinados a otras funciones en los locales existentes, con el fin de satisfacer las necesidades de espacio adicional para oficinas, sin alquilar locales adicionales, y, en segundo lugar, realizar una revisión sistemática del uso de los locales existentes (no sólo de los espacios de oficinas) con el fin de convertir algunos de ellos en espacios mejor adaptados a las necesidades de la Organización.</w:t>
      </w:r>
    </w:p>
    <w:p w:rsidR="00B1649B" w:rsidRPr="00353936" w:rsidRDefault="00B1649B" w:rsidP="00B1649B">
      <w:pPr>
        <w:jc w:val="both"/>
        <w:rPr>
          <w:sz w:val="20"/>
        </w:rPr>
      </w:pPr>
    </w:p>
    <w:p w:rsidR="00B1649B" w:rsidRPr="00EC2F2D" w:rsidRDefault="00B1649B" w:rsidP="00D41E6A">
      <w:pPr>
        <w:numPr>
          <w:ilvl w:val="0"/>
          <w:numId w:val="43"/>
        </w:numPr>
        <w:jc w:val="both"/>
        <w:rPr>
          <w:sz w:val="20"/>
        </w:rPr>
      </w:pPr>
      <w:r w:rsidRPr="003F2631">
        <w:rPr>
          <w:sz w:val="20"/>
        </w:rPr>
        <w:t>En el pr</w:t>
      </w:r>
      <w:r>
        <w:rPr>
          <w:sz w:val="20"/>
        </w:rPr>
        <w:t>óximo bienio se continuará con</w:t>
      </w:r>
      <w:r w:rsidRPr="00EC2F2D">
        <w:rPr>
          <w:sz w:val="20"/>
        </w:rPr>
        <w:t xml:space="preserve"> labor iniciada en 2012/13 para garantizar</w:t>
      </w:r>
      <w:r>
        <w:rPr>
          <w:sz w:val="20"/>
        </w:rPr>
        <w:t xml:space="preserve"> que todas las instalaciones técnicas cumplan con </w:t>
      </w:r>
      <w:r w:rsidRPr="003F2631">
        <w:rPr>
          <w:sz w:val="20"/>
        </w:rPr>
        <w:t>las normas aplicables</w:t>
      </w:r>
      <w:r>
        <w:rPr>
          <w:sz w:val="20"/>
        </w:rPr>
        <w:t xml:space="preserve">.  </w:t>
      </w:r>
      <w:r w:rsidRPr="003F2631">
        <w:rPr>
          <w:sz w:val="20"/>
        </w:rPr>
        <w:t>Para ello será necesario</w:t>
      </w:r>
      <w:r>
        <w:rPr>
          <w:sz w:val="20"/>
        </w:rPr>
        <w:t xml:space="preserve"> realizar verificaciones y eventuales mejoras o sustituciones de instalaciones esenciales.</w:t>
      </w:r>
    </w:p>
    <w:p w:rsidR="00B1649B" w:rsidRPr="00EC2F2D" w:rsidRDefault="00B1649B" w:rsidP="00B1649B">
      <w:pPr>
        <w:jc w:val="both"/>
        <w:rPr>
          <w:sz w:val="20"/>
        </w:rPr>
      </w:pPr>
    </w:p>
    <w:p w:rsidR="00B1649B" w:rsidRPr="00D52006" w:rsidRDefault="00B1649B" w:rsidP="00D41E6A">
      <w:pPr>
        <w:numPr>
          <w:ilvl w:val="0"/>
          <w:numId w:val="43"/>
        </w:numPr>
        <w:jc w:val="both"/>
        <w:rPr>
          <w:sz w:val="20"/>
        </w:rPr>
      </w:pPr>
      <w:r w:rsidRPr="001D490F">
        <w:rPr>
          <w:sz w:val="20"/>
        </w:rPr>
        <w:t>Muchos de los edificios perten</w:t>
      </w:r>
      <w:r>
        <w:rPr>
          <w:sz w:val="20"/>
        </w:rPr>
        <w:t>e</w:t>
      </w:r>
      <w:r w:rsidRPr="001D490F">
        <w:rPr>
          <w:sz w:val="20"/>
        </w:rPr>
        <w:t xml:space="preserve">cientes a la OMPI necesitan importantes renovaciones, transformaciones </w:t>
      </w:r>
      <w:r>
        <w:rPr>
          <w:sz w:val="20"/>
        </w:rPr>
        <w:t xml:space="preserve">y/o modernizaciones.  </w:t>
      </w:r>
      <w:r w:rsidRPr="00D52006">
        <w:rPr>
          <w:sz w:val="20"/>
        </w:rPr>
        <w:t>Estas obras son de gran envergadura.  Las más significativas también aportarán una disminución del consumo de energía</w:t>
      </w:r>
      <w:r>
        <w:rPr>
          <w:sz w:val="20"/>
        </w:rPr>
        <w:t xml:space="preserve"> y de </w:t>
      </w:r>
      <w:r w:rsidRPr="00D52006">
        <w:rPr>
          <w:sz w:val="20"/>
        </w:rPr>
        <w:t>la huella de</w:t>
      </w:r>
      <w:r>
        <w:rPr>
          <w:sz w:val="20"/>
        </w:rPr>
        <w:t xml:space="preserve"> </w:t>
      </w:r>
      <w:r w:rsidRPr="00D52006">
        <w:rPr>
          <w:sz w:val="20"/>
        </w:rPr>
        <w:t>carbono</w:t>
      </w:r>
      <w:r>
        <w:rPr>
          <w:sz w:val="20"/>
        </w:rPr>
        <w:t xml:space="preserve"> de los locales, mientras que otras aportarán, como beneficio adicional, la mejora del acceso físico a los locales.</w:t>
      </w:r>
    </w:p>
    <w:p w:rsidR="00B1649B" w:rsidRPr="00D52006" w:rsidRDefault="00B1649B" w:rsidP="00B1649B">
      <w:pPr>
        <w:jc w:val="both"/>
        <w:rPr>
          <w:sz w:val="20"/>
        </w:rPr>
      </w:pPr>
    </w:p>
    <w:p w:rsidR="00B1649B" w:rsidRPr="001533B2" w:rsidRDefault="00B1649B" w:rsidP="00D41E6A">
      <w:pPr>
        <w:numPr>
          <w:ilvl w:val="0"/>
          <w:numId w:val="43"/>
        </w:numPr>
        <w:jc w:val="both"/>
        <w:rPr>
          <w:sz w:val="20"/>
        </w:rPr>
      </w:pPr>
      <w:r w:rsidRPr="00606438">
        <w:rPr>
          <w:sz w:val="20"/>
        </w:rPr>
        <w:t>La responsabilidad ambiental y la responsabilidad social (acceso f</w:t>
      </w:r>
      <w:r>
        <w:rPr>
          <w:sz w:val="20"/>
        </w:rPr>
        <w:t xml:space="preserve">ísico a los locales) fueron planteadas en 2009 en el marco de un proyecto que después fue integrado al </w:t>
      </w:r>
      <w:r w:rsidR="00AE7D43">
        <w:rPr>
          <w:sz w:val="20"/>
        </w:rPr>
        <w:t>Programa de Alineación Estratégica</w:t>
      </w:r>
      <w:r>
        <w:rPr>
          <w:sz w:val="20"/>
        </w:rPr>
        <w:t xml:space="preserve">.  Ambas seguirán formando parte de las </w:t>
      </w:r>
      <w:r w:rsidRPr="001533B2">
        <w:rPr>
          <w:sz w:val="20"/>
        </w:rPr>
        <w:t>prioridades centrales de la Organización</w:t>
      </w:r>
      <w:r>
        <w:rPr>
          <w:sz w:val="20"/>
        </w:rPr>
        <w:t xml:space="preserve"> que serán incorporadas, en particular en este programa</w:t>
      </w:r>
      <w:r w:rsidRPr="001533B2">
        <w:rPr>
          <w:sz w:val="20"/>
        </w:rPr>
        <w:t>.</w:t>
      </w:r>
    </w:p>
    <w:p w:rsidR="00B1649B" w:rsidRPr="00606438" w:rsidRDefault="00B1649B" w:rsidP="00B1649B">
      <w:pPr>
        <w:tabs>
          <w:tab w:val="left" w:pos="567"/>
          <w:tab w:val="left" w:pos="1985"/>
        </w:tabs>
        <w:jc w:val="both"/>
        <w:rPr>
          <w:bCs/>
          <w:sz w:val="20"/>
        </w:rPr>
      </w:pPr>
    </w:p>
    <w:p w:rsidR="00B1649B" w:rsidRPr="00606438" w:rsidRDefault="00B1649B" w:rsidP="00B1649B">
      <w:pPr>
        <w:tabs>
          <w:tab w:val="left" w:pos="567"/>
          <w:tab w:val="left" w:pos="1985"/>
        </w:tabs>
        <w:jc w:val="both"/>
        <w:rPr>
          <w:bCs/>
          <w:sz w:val="20"/>
        </w:rPr>
      </w:pPr>
    </w:p>
    <w:p w:rsidR="00B1649B" w:rsidRPr="003418AD" w:rsidRDefault="00B1649B" w:rsidP="00B1649B">
      <w:pPr>
        <w:jc w:val="both"/>
        <w:rPr>
          <w:szCs w:val="18"/>
        </w:rPr>
      </w:pPr>
      <w:r>
        <w:rPr>
          <w:szCs w:val="18"/>
        </w:rPr>
        <w:t>ESTRATEGIAS DE EJECUCIÓN</w:t>
      </w:r>
    </w:p>
    <w:p w:rsidR="00B1649B" w:rsidRPr="003418AD" w:rsidRDefault="00B1649B" w:rsidP="00B1649B">
      <w:pPr>
        <w:tabs>
          <w:tab w:val="left" w:pos="567"/>
          <w:tab w:val="left" w:pos="1985"/>
        </w:tabs>
        <w:jc w:val="both"/>
        <w:rPr>
          <w:bCs/>
          <w:sz w:val="20"/>
        </w:rPr>
      </w:pPr>
    </w:p>
    <w:p w:rsidR="00B1649B" w:rsidRPr="00B755D7" w:rsidRDefault="00B1649B" w:rsidP="00D41E6A">
      <w:pPr>
        <w:numPr>
          <w:ilvl w:val="0"/>
          <w:numId w:val="43"/>
        </w:numPr>
        <w:jc w:val="both"/>
      </w:pPr>
      <w:r w:rsidRPr="00B755D7">
        <w:rPr>
          <w:sz w:val="20"/>
        </w:rPr>
        <w:t xml:space="preserve">Con el fin de seguir optimizando el costo de los productos y servicios adquiridos por la OMPI, </w:t>
      </w:r>
      <w:r>
        <w:rPr>
          <w:sz w:val="20"/>
        </w:rPr>
        <w:t>durante el próximo bienio se prestará especial atención a la mejora del proceso competitivo de licitación y al estudio de estrategias de reducción de costos.  Esto se llevará a cabo mediante una racionalización</w:t>
      </w:r>
      <w:r w:rsidRPr="00B755D7">
        <w:rPr>
          <w:sz w:val="20"/>
        </w:rPr>
        <w:t xml:space="preserve"> </w:t>
      </w:r>
      <w:r>
        <w:rPr>
          <w:sz w:val="20"/>
        </w:rPr>
        <w:t>de los</w:t>
      </w:r>
      <w:r w:rsidRPr="00B755D7">
        <w:rPr>
          <w:sz w:val="20"/>
        </w:rPr>
        <w:t xml:space="preserve"> gasto</w:t>
      </w:r>
      <w:r>
        <w:rPr>
          <w:sz w:val="20"/>
        </w:rPr>
        <w:t>s en toda la Organización y una</w:t>
      </w:r>
      <w:r w:rsidRPr="00B755D7">
        <w:rPr>
          <w:sz w:val="20"/>
        </w:rPr>
        <w:t xml:space="preserve"> </w:t>
      </w:r>
      <w:r>
        <w:rPr>
          <w:sz w:val="20"/>
        </w:rPr>
        <w:t xml:space="preserve">mejor </w:t>
      </w:r>
      <w:r w:rsidRPr="00B755D7">
        <w:rPr>
          <w:sz w:val="20"/>
        </w:rPr>
        <w:t xml:space="preserve">colaboración </w:t>
      </w:r>
      <w:r>
        <w:rPr>
          <w:sz w:val="20"/>
        </w:rPr>
        <w:t>con otras organizaciones</w:t>
      </w:r>
      <w:r w:rsidRPr="00B755D7">
        <w:rPr>
          <w:sz w:val="20"/>
        </w:rPr>
        <w:t xml:space="preserve"> del sistema de las NN.UU.</w:t>
      </w:r>
      <w:r>
        <w:rPr>
          <w:sz w:val="20"/>
        </w:rPr>
        <w:t xml:space="preserve">  </w:t>
      </w:r>
      <w:r w:rsidRPr="0022408E">
        <w:rPr>
          <w:sz w:val="20"/>
        </w:rPr>
        <w:t>Sobre la base de la labor emprendida</w:t>
      </w:r>
      <w:r>
        <w:rPr>
          <w:sz w:val="20"/>
        </w:rPr>
        <w:t xml:space="preserve"> en el bienio 2012/13, se seguirá estudiando la posibilidad de poner en práctica instrumentos que faciliten el trabajo, como una base datos en la que se registren los contratos de los proveedores, al tiempo que se fomentará la mejora de</w:t>
      </w:r>
      <w:r w:rsidRPr="00C645EA">
        <w:rPr>
          <w:sz w:val="20"/>
        </w:rPr>
        <w:t xml:space="preserve"> la planificación de las compras</w:t>
      </w:r>
      <w:r>
        <w:rPr>
          <w:sz w:val="20"/>
        </w:rPr>
        <w:t>.  En paralelo, se seguirán aplicando medidas para</w:t>
      </w:r>
      <w:r w:rsidRPr="0003167F">
        <w:rPr>
          <w:sz w:val="20"/>
        </w:rPr>
        <w:t xml:space="preserve"> aumentar la eficacia de</w:t>
      </w:r>
      <w:r>
        <w:rPr>
          <w:sz w:val="20"/>
        </w:rPr>
        <w:t xml:space="preserve"> los procesos relativos a las</w:t>
      </w:r>
      <w:r w:rsidRPr="0003167F">
        <w:rPr>
          <w:sz w:val="20"/>
        </w:rPr>
        <w:t xml:space="preserve"> compras y </w:t>
      </w:r>
      <w:r>
        <w:rPr>
          <w:sz w:val="20"/>
        </w:rPr>
        <w:t xml:space="preserve">los </w:t>
      </w:r>
      <w:r w:rsidRPr="0003167F">
        <w:rPr>
          <w:sz w:val="20"/>
        </w:rPr>
        <w:t>viajes</w:t>
      </w:r>
      <w:r>
        <w:rPr>
          <w:sz w:val="20"/>
        </w:rPr>
        <w:t>.  Ello incluirá la incorporación de procesos en materia de viajes mediante la disminución del plazo de las reservas, lo que colocará a la Organización en una situación que le permitirá beneficiarse de mejores tarifas y reducir los gastos de</w:t>
      </w:r>
      <w:r w:rsidRPr="00796726">
        <w:rPr>
          <w:sz w:val="20"/>
        </w:rPr>
        <w:t xml:space="preserve"> la agencia de viajes de la OMPI</w:t>
      </w:r>
      <w:r>
        <w:rPr>
          <w:sz w:val="20"/>
        </w:rPr>
        <w:t xml:space="preserve">.  Se prevén ahorros adicionales en las tasas de las </w:t>
      </w:r>
      <w:r w:rsidRPr="00A9545E">
        <w:rPr>
          <w:sz w:val="20"/>
        </w:rPr>
        <w:t>tarifas aéreas</w:t>
      </w:r>
      <w:r>
        <w:rPr>
          <w:sz w:val="20"/>
        </w:rPr>
        <w:t xml:space="preserve"> y en las transacciones de la agencia de viajes después de la puesta en marcha de un instrumento para la reserva de los billetes aéreos en Internet.  Asimismo, el instrumento de </w:t>
      </w:r>
      <w:r w:rsidRPr="00215BA2">
        <w:rPr>
          <w:sz w:val="20"/>
        </w:rPr>
        <w:t>compra al pago</w:t>
      </w:r>
      <w:r>
        <w:rPr>
          <w:sz w:val="20"/>
        </w:rPr>
        <w:t xml:space="preserve"> permitirá reducir costos mediante la eliminación de compras administrativas de poco valor e innecesarias.</w:t>
      </w:r>
    </w:p>
    <w:p w:rsidR="00B1649B" w:rsidRPr="00B755D7" w:rsidRDefault="00B1649B" w:rsidP="00B1649B">
      <w:pPr>
        <w:ind w:left="6"/>
        <w:jc w:val="both"/>
        <w:rPr>
          <w:sz w:val="20"/>
        </w:rPr>
      </w:pPr>
    </w:p>
    <w:p w:rsidR="00B1649B" w:rsidRPr="002A4136" w:rsidRDefault="00B1649B" w:rsidP="00D41E6A">
      <w:pPr>
        <w:numPr>
          <w:ilvl w:val="0"/>
          <w:numId w:val="43"/>
        </w:numPr>
        <w:jc w:val="both"/>
        <w:rPr>
          <w:sz w:val="20"/>
        </w:rPr>
      </w:pPr>
      <w:r w:rsidRPr="004D508F">
        <w:rPr>
          <w:sz w:val="20"/>
        </w:rPr>
        <w:t>En cuanto</w:t>
      </w:r>
      <w:r>
        <w:rPr>
          <w:sz w:val="20"/>
        </w:rPr>
        <w:t xml:space="preserve"> a la gestión de los locales, una</w:t>
      </w:r>
      <w:r w:rsidRPr="004D508F">
        <w:rPr>
          <w:sz w:val="20"/>
        </w:rPr>
        <w:t xml:space="preserve"> asignación óptima </w:t>
      </w:r>
      <w:r w:rsidR="00425E19">
        <w:rPr>
          <w:sz w:val="20"/>
        </w:rPr>
        <w:t>de los</w:t>
      </w:r>
      <w:r w:rsidRPr="004D508F">
        <w:rPr>
          <w:sz w:val="20"/>
        </w:rPr>
        <w:t xml:space="preserve"> espacio</w:t>
      </w:r>
      <w:r w:rsidR="00425E19">
        <w:rPr>
          <w:sz w:val="20"/>
        </w:rPr>
        <w:t>s</w:t>
      </w:r>
      <w:r w:rsidRPr="004D508F">
        <w:rPr>
          <w:sz w:val="20"/>
        </w:rPr>
        <w:t xml:space="preserve"> de trabajo para albergar a todo</w:t>
      </w:r>
      <w:r>
        <w:rPr>
          <w:sz w:val="20"/>
        </w:rPr>
        <w:t xml:space="preserve"> el personal de la OMPI y un examen del uso </w:t>
      </w:r>
      <w:r w:rsidR="00425E19">
        <w:rPr>
          <w:sz w:val="20"/>
        </w:rPr>
        <w:t>óptimo</w:t>
      </w:r>
      <w:r>
        <w:rPr>
          <w:sz w:val="20"/>
        </w:rPr>
        <w:t xml:space="preserve"> y la conversión o la mejora de algunos espacios que no se utilicen como espacios de trabajo, se llevarán a cabo de manera más fácil y sencilla gracias al establecimiento y la administración de un sistema formal de gestión del espacio.  </w:t>
      </w:r>
      <w:r w:rsidRPr="00E573E9">
        <w:rPr>
          <w:sz w:val="20"/>
        </w:rPr>
        <w:t xml:space="preserve">Con el fin de garantizar la mejora permanente y uniforme de las instalaciones técnicas de los locales de la OMPI, se elaborará un plan general de renovación y mejora de las instalaciones técnicas de todo el recinto de la OMPI sobre la base de una serie </w:t>
      </w:r>
      <w:r>
        <w:rPr>
          <w:sz w:val="20"/>
        </w:rPr>
        <w:t>de</w:t>
      </w:r>
      <w:r w:rsidRPr="00E573E9">
        <w:rPr>
          <w:sz w:val="20"/>
        </w:rPr>
        <w:t xml:space="preserve"> normas de instalaciones técnicas.</w:t>
      </w:r>
      <w:r>
        <w:rPr>
          <w:sz w:val="20"/>
        </w:rPr>
        <w:t xml:space="preserve">  En este proceso se dará prioridad a las instalaciones esenciales.  La decisión de renovar o mejorar las instalaciones técnicas se basará, entre otras cosas, en la capacidad de las mismas para reducir la repercusión</w:t>
      </w:r>
      <w:r w:rsidRPr="00AA4FD9">
        <w:rPr>
          <w:sz w:val="20"/>
        </w:rPr>
        <w:t xml:space="preserve"> </w:t>
      </w:r>
      <w:r>
        <w:rPr>
          <w:sz w:val="20"/>
        </w:rPr>
        <w:t xml:space="preserve">en el </w:t>
      </w:r>
      <w:r w:rsidRPr="00AA4FD9">
        <w:rPr>
          <w:sz w:val="20"/>
        </w:rPr>
        <w:t>medio</w:t>
      </w:r>
      <w:r>
        <w:rPr>
          <w:sz w:val="20"/>
        </w:rPr>
        <w:t xml:space="preserve"> ambiente y mejorar la accesibilidad física de </w:t>
      </w:r>
      <w:r w:rsidRPr="00421292">
        <w:rPr>
          <w:sz w:val="20"/>
        </w:rPr>
        <w:t>las personas con</w:t>
      </w:r>
      <w:r>
        <w:rPr>
          <w:sz w:val="20"/>
        </w:rPr>
        <w:t xml:space="preserve"> </w:t>
      </w:r>
      <w:r w:rsidRPr="00421292">
        <w:rPr>
          <w:sz w:val="20"/>
        </w:rPr>
        <w:t>discapacidades</w:t>
      </w:r>
      <w:r>
        <w:rPr>
          <w:sz w:val="20"/>
        </w:rPr>
        <w:t xml:space="preserve">. Por ejemplo, se espera </w:t>
      </w:r>
      <w:r>
        <w:rPr>
          <w:sz w:val="20"/>
        </w:rPr>
        <w:lastRenderedPageBreak/>
        <w:t>que para el final del bieni</w:t>
      </w:r>
      <w:r w:rsidR="00D724E6">
        <w:rPr>
          <w:sz w:val="20"/>
        </w:rPr>
        <w:t>o se podrá reducir un 4 y un 10%</w:t>
      </w:r>
      <w:r>
        <w:rPr>
          <w:sz w:val="20"/>
        </w:rPr>
        <w:t xml:space="preserve"> del consumo de electricidad y de agua respectivamente como resultado de la adopción de una serie de medidas ecológicas.  Las renovaciones, las transformaciones o modernizaciones más importantes de los locales se realizarán y se administrarán de conformidad con las prioridades que figuran en el p</w:t>
      </w:r>
      <w:r w:rsidRPr="00C077D6">
        <w:rPr>
          <w:sz w:val="20"/>
        </w:rPr>
        <w:t>lan maestro de mejoras de infraestructura</w:t>
      </w:r>
      <w:r>
        <w:rPr>
          <w:sz w:val="20"/>
        </w:rPr>
        <w:t>.  En el próximo bienio este plan prevé reparaciones importantes en el edificio del PCT y el edificio AB.  Con respecto a la puesta en práctica de medidas para la mejora del acceso físico a ciertos edificios de la OMPI, se espera que en el próximo bienio se avance en esta materia de conformidad con el plan quinquenal establecido en 2013 tras la auditoría relativa a la accesibilidad física de 2012, teniendo en cuenta que algunas de esas medidas serán incluidas en el p</w:t>
      </w:r>
      <w:r w:rsidRPr="00C077D6">
        <w:rPr>
          <w:sz w:val="20"/>
        </w:rPr>
        <w:t>lan maestro de mejoras de infraestructura</w:t>
      </w:r>
      <w:r>
        <w:rPr>
          <w:sz w:val="20"/>
        </w:rPr>
        <w:t>.</w:t>
      </w:r>
    </w:p>
    <w:p w:rsidR="00B1649B" w:rsidRPr="004D508F" w:rsidRDefault="00B1649B" w:rsidP="00B1649B">
      <w:pPr>
        <w:tabs>
          <w:tab w:val="left" w:pos="567"/>
          <w:tab w:val="left" w:pos="1985"/>
        </w:tabs>
        <w:jc w:val="both"/>
        <w:rPr>
          <w:bCs/>
          <w:sz w:val="20"/>
        </w:rPr>
      </w:pPr>
    </w:p>
    <w:p w:rsidR="00071180" w:rsidRPr="00B1649B" w:rsidRDefault="00071180" w:rsidP="009F58E5">
      <w:pPr>
        <w:tabs>
          <w:tab w:val="left" w:pos="567"/>
          <w:tab w:val="left" w:pos="1985"/>
        </w:tabs>
        <w:jc w:val="both"/>
        <w:rPr>
          <w:bCs/>
          <w:szCs w:val="22"/>
        </w:rPr>
      </w:pPr>
    </w:p>
    <w:p w:rsidR="009F58E5" w:rsidRPr="00994766" w:rsidRDefault="009F58E5" w:rsidP="009F58E5">
      <w:pPr>
        <w:tabs>
          <w:tab w:val="left" w:pos="567"/>
          <w:tab w:val="left" w:pos="1985"/>
        </w:tabs>
        <w:jc w:val="both"/>
        <w:rPr>
          <w:bCs/>
          <w:szCs w:val="22"/>
          <w:lang w:val="es-ES_tradnl"/>
        </w:rPr>
      </w:pPr>
      <w:r w:rsidRPr="00994766">
        <w:rPr>
          <w:bCs/>
          <w:szCs w:val="22"/>
          <w:lang w:val="es-ES_tradnl"/>
        </w:rPr>
        <w:t>PRINCIPALES RIESGOS Y ESTRATEGIAS DE MITIGACIÓN</w:t>
      </w:r>
    </w:p>
    <w:p w:rsidR="009F58E5" w:rsidRPr="00994766" w:rsidRDefault="009F58E5" w:rsidP="009F58E5">
      <w:pPr>
        <w:tabs>
          <w:tab w:val="left" w:pos="567"/>
          <w:tab w:val="left" w:pos="1985"/>
        </w:tabs>
        <w:jc w:val="both"/>
        <w:rPr>
          <w:bCs/>
          <w:sz w:val="20"/>
          <w:lang w:val="es-ES_tradnl"/>
        </w:rPr>
      </w:pPr>
    </w:p>
    <w:tbl>
      <w:tblPr>
        <w:tblW w:w="0" w:type="auto"/>
        <w:jc w:val="center"/>
        <w:tblInd w:w="55"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604"/>
        <w:gridCol w:w="4637"/>
      </w:tblGrid>
      <w:tr w:rsidR="009F58E5" w:rsidRPr="00D41E6A" w:rsidTr="003C7CC7">
        <w:trPr>
          <w:trHeight w:val="556"/>
          <w:jc w:val="center"/>
        </w:trPr>
        <w:tc>
          <w:tcPr>
            <w:tcW w:w="4604" w:type="dxa"/>
            <w:tcBorders>
              <w:top w:val="single" w:sz="4" w:space="0" w:color="auto"/>
              <w:bottom w:val="single" w:sz="4" w:space="0" w:color="auto"/>
            </w:tcBorders>
            <w:shd w:val="clear" w:color="auto" w:fill="CCFFFF"/>
            <w:tcMar>
              <w:top w:w="113" w:type="dxa"/>
              <w:bottom w:w="85" w:type="dxa"/>
            </w:tcMar>
            <w:vAlign w:val="center"/>
          </w:tcPr>
          <w:p w:rsidR="009F58E5" w:rsidRPr="00D41E6A" w:rsidRDefault="009F58E5" w:rsidP="008F4F69">
            <w:pPr>
              <w:autoSpaceDE w:val="0"/>
              <w:autoSpaceDN w:val="0"/>
              <w:adjustRightInd w:val="0"/>
              <w:ind w:right="-59"/>
              <w:rPr>
                <w:b/>
                <w:iCs/>
                <w:color w:val="000000"/>
                <w:sz w:val="18"/>
                <w:szCs w:val="18"/>
                <w:lang w:val="es-ES_tradnl"/>
              </w:rPr>
            </w:pPr>
            <w:r w:rsidRPr="00D41E6A">
              <w:rPr>
                <w:b/>
                <w:iCs/>
                <w:color w:val="000000"/>
                <w:sz w:val="18"/>
                <w:szCs w:val="18"/>
                <w:lang w:val="es-ES_tradnl"/>
              </w:rPr>
              <w:t>Riesgos en el logro de los resultados del programa</w:t>
            </w:r>
          </w:p>
        </w:tc>
        <w:tc>
          <w:tcPr>
            <w:tcW w:w="4637" w:type="dxa"/>
            <w:tcBorders>
              <w:top w:val="single" w:sz="4" w:space="0" w:color="auto"/>
              <w:bottom w:val="single" w:sz="4" w:space="0" w:color="auto"/>
            </w:tcBorders>
            <w:shd w:val="clear" w:color="auto" w:fill="CCFFFF"/>
            <w:tcMar>
              <w:top w:w="113" w:type="dxa"/>
              <w:bottom w:w="85" w:type="dxa"/>
            </w:tcMar>
            <w:vAlign w:val="center"/>
          </w:tcPr>
          <w:p w:rsidR="009F58E5" w:rsidRPr="00D41E6A" w:rsidDel="00C90E42" w:rsidRDefault="009F58E5" w:rsidP="008F4F69">
            <w:pPr>
              <w:autoSpaceDE w:val="0"/>
              <w:autoSpaceDN w:val="0"/>
              <w:adjustRightInd w:val="0"/>
              <w:ind w:right="-59"/>
              <w:rPr>
                <w:b/>
                <w:iCs/>
                <w:color w:val="000000"/>
                <w:sz w:val="18"/>
                <w:szCs w:val="18"/>
                <w:lang w:val="es-ES_tradnl"/>
              </w:rPr>
            </w:pPr>
            <w:r w:rsidRPr="00D41E6A">
              <w:rPr>
                <w:b/>
                <w:iCs/>
                <w:color w:val="000000"/>
                <w:sz w:val="18"/>
                <w:szCs w:val="18"/>
                <w:lang w:val="es-ES_tradnl"/>
              </w:rPr>
              <w:t xml:space="preserve">Planes de mitigación ejecutados o en ejecución </w:t>
            </w:r>
          </w:p>
        </w:tc>
      </w:tr>
      <w:tr w:rsidR="009F58E5" w:rsidRPr="00994766" w:rsidTr="003C7CC7">
        <w:trPr>
          <w:trHeight w:val="609"/>
          <w:jc w:val="center"/>
        </w:trPr>
        <w:tc>
          <w:tcPr>
            <w:tcW w:w="4604" w:type="dxa"/>
            <w:tcBorders>
              <w:top w:val="single" w:sz="4" w:space="0" w:color="auto"/>
            </w:tcBorders>
            <w:shd w:val="clear" w:color="auto" w:fill="auto"/>
            <w:tcMar>
              <w:top w:w="113" w:type="dxa"/>
              <w:bottom w:w="85" w:type="dxa"/>
            </w:tcMar>
          </w:tcPr>
          <w:p w:rsidR="009F58E5" w:rsidRPr="00994766" w:rsidRDefault="009F58E5" w:rsidP="008F4F69">
            <w:pPr>
              <w:rPr>
                <w:sz w:val="16"/>
                <w:szCs w:val="16"/>
                <w:lang w:val="es-ES_tradnl"/>
              </w:rPr>
            </w:pPr>
            <w:r w:rsidRPr="00994766">
              <w:rPr>
                <w:sz w:val="16"/>
                <w:szCs w:val="16"/>
                <w:lang w:val="es-ES_tradnl"/>
              </w:rPr>
              <w:t>Las fallas de los proveedores provocan trastornos en los servicios ofrecidos a los clientes externos.</w:t>
            </w:r>
          </w:p>
        </w:tc>
        <w:tc>
          <w:tcPr>
            <w:tcW w:w="4637" w:type="dxa"/>
            <w:tcBorders>
              <w:top w:val="single" w:sz="4" w:space="0" w:color="auto"/>
            </w:tcBorders>
            <w:shd w:val="clear" w:color="auto" w:fill="auto"/>
            <w:tcMar>
              <w:top w:w="113" w:type="dxa"/>
              <w:bottom w:w="85" w:type="dxa"/>
            </w:tcMar>
          </w:tcPr>
          <w:p w:rsidR="009F58E5" w:rsidRPr="00994766" w:rsidRDefault="009F58E5" w:rsidP="008F4F69">
            <w:pPr>
              <w:autoSpaceDE w:val="0"/>
              <w:autoSpaceDN w:val="0"/>
              <w:adjustRightInd w:val="0"/>
              <w:ind w:right="-59"/>
              <w:rPr>
                <w:sz w:val="16"/>
                <w:szCs w:val="16"/>
                <w:lang w:val="es-ES_tradnl"/>
              </w:rPr>
            </w:pPr>
            <w:r w:rsidRPr="00994766">
              <w:rPr>
                <w:sz w:val="16"/>
                <w:szCs w:val="16"/>
                <w:lang w:val="es-ES_tradnl"/>
              </w:rPr>
              <w:t>La División de Compras y Contratas y los programas de la OMPI deben establecer un plan de urgencia para los contratos considerados de alto riesgo y esenciales para poder seguir llevando a cabo las actividades.</w:t>
            </w:r>
          </w:p>
          <w:p w:rsidR="009F58E5" w:rsidRPr="00994766" w:rsidRDefault="009F58E5" w:rsidP="008F4F69">
            <w:pPr>
              <w:autoSpaceDE w:val="0"/>
              <w:autoSpaceDN w:val="0"/>
              <w:adjustRightInd w:val="0"/>
              <w:ind w:right="-59"/>
              <w:rPr>
                <w:sz w:val="16"/>
                <w:szCs w:val="16"/>
                <w:lang w:val="es-ES_tradnl"/>
              </w:rPr>
            </w:pPr>
          </w:p>
        </w:tc>
      </w:tr>
      <w:tr w:rsidR="009F58E5" w:rsidRPr="00994766" w:rsidTr="003C7CC7">
        <w:trPr>
          <w:trHeight w:val="1139"/>
          <w:jc w:val="center"/>
        </w:trPr>
        <w:tc>
          <w:tcPr>
            <w:tcW w:w="4604" w:type="dxa"/>
            <w:shd w:val="clear" w:color="auto" w:fill="auto"/>
            <w:tcMar>
              <w:top w:w="113" w:type="dxa"/>
              <w:bottom w:w="85" w:type="dxa"/>
            </w:tcMar>
          </w:tcPr>
          <w:p w:rsidR="009F58E5" w:rsidRPr="00994766" w:rsidRDefault="009F58E5" w:rsidP="008F4F69">
            <w:pPr>
              <w:rPr>
                <w:sz w:val="16"/>
                <w:szCs w:val="16"/>
                <w:lang w:val="es-ES_tradnl"/>
              </w:rPr>
            </w:pPr>
            <w:r w:rsidRPr="00994766">
              <w:rPr>
                <w:sz w:val="16"/>
                <w:szCs w:val="16"/>
                <w:lang w:val="es-ES_tradnl"/>
              </w:rPr>
              <w:t>Sucesos o incidentes externos impiden la ocupación de uno o más edificios por un período de tiempo prolongado, lo que podría ocasionar trastornos en los servicios externos y dar lugar al desaprovechamiento de los recursos, lo cual afectaría negativamente a la ejecución del programa.</w:t>
            </w:r>
          </w:p>
        </w:tc>
        <w:tc>
          <w:tcPr>
            <w:tcW w:w="4637" w:type="dxa"/>
            <w:shd w:val="clear" w:color="auto" w:fill="auto"/>
            <w:tcMar>
              <w:top w:w="113" w:type="dxa"/>
              <w:bottom w:w="85" w:type="dxa"/>
            </w:tcMar>
          </w:tcPr>
          <w:p w:rsidR="009F58E5" w:rsidRPr="00994766" w:rsidRDefault="009F58E5" w:rsidP="008F4F69">
            <w:pPr>
              <w:autoSpaceDE w:val="0"/>
              <w:autoSpaceDN w:val="0"/>
              <w:adjustRightInd w:val="0"/>
              <w:ind w:right="-59"/>
              <w:rPr>
                <w:sz w:val="16"/>
                <w:szCs w:val="16"/>
                <w:lang w:val="es-ES_tradnl"/>
              </w:rPr>
            </w:pPr>
            <w:r w:rsidRPr="00994766">
              <w:rPr>
                <w:sz w:val="16"/>
                <w:szCs w:val="16"/>
                <w:lang w:val="es-ES_tradnl"/>
              </w:rPr>
              <w:t>Elaborar un plan de renovación y mantenimiento de gran alcance para todos los edificios y seguir llevando a cabo el mantenimiento periódico de todas las instalaciones técnicas esenciales, o fortalecer dicho mantenimiento según sea necesario.  Examinar y actualizar periódicamente el plan de continuidad de las actividades, y activarlo cuando proceda.  Determinar las posibilidades de disponer de oficinas de apoyo.</w:t>
            </w:r>
          </w:p>
        </w:tc>
      </w:tr>
    </w:tbl>
    <w:p w:rsidR="009F58E5" w:rsidRPr="00994766" w:rsidRDefault="009F58E5" w:rsidP="009F58E5">
      <w:pPr>
        <w:tabs>
          <w:tab w:val="left" w:pos="567"/>
          <w:tab w:val="left" w:pos="1985"/>
        </w:tabs>
        <w:jc w:val="both"/>
        <w:rPr>
          <w:bCs/>
          <w:sz w:val="20"/>
          <w:lang w:val="es-ES_tradnl"/>
        </w:rPr>
      </w:pPr>
    </w:p>
    <w:p w:rsidR="009F58E5" w:rsidRPr="00C75C7E" w:rsidRDefault="009F58E5" w:rsidP="009F58E5">
      <w:pPr>
        <w:tabs>
          <w:tab w:val="left" w:pos="567"/>
          <w:tab w:val="left" w:pos="1985"/>
        </w:tabs>
        <w:jc w:val="both"/>
        <w:rPr>
          <w:bCs/>
          <w:sz w:val="20"/>
          <w:lang w:val="es-ES_tradnl"/>
        </w:rPr>
      </w:pPr>
    </w:p>
    <w:p w:rsidR="009F58E5" w:rsidRPr="00C75C7E" w:rsidRDefault="009F58E5" w:rsidP="009F58E5">
      <w:pPr>
        <w:tabs>
          <w:tab w:val="left" w:pos="567"/>
          <w:tab w:val="left" w:pos="1985"/>
        </w:tabs>
        <w:jc w:val="both"/>
        <w:rPr>
          <w:bCs/>
          <w:sz w:val="20"/>
          <w:lang w:val="es-ES_tradnl"/>
        </w:rPr>
      </w:pPr>
      <w:r w:rsidRPr="00C75C7E">
        <w:rPr>
          <w:bCs/>
          <w:szCs w:val="22"/>
          <w:lang w:val="es-ES_tradnl"/>
        </w:rPr>
        <w:t>MARCO DE RESULTADOS</w:t>
      </w:r>
    </w:p>
    <w:p w:rsidR="009F58E5" w:rsidRPr="00C75C7E" w:rsidRDefault="009F58E5" w:rsidP="009F58E5">
      <w:pPr>
        <w:tabs>
          <w:tab w:val="left" w:pos="567"/>
          <w:tab w:val="left" w:pos="1985"/>
        </w:tabs>
        <w:jc w:val="both"/>
        <w:rPr>
          <w:bCs/>
          <w:sz w:val="20"/>
          <w:lang w:val="es-ES_tradnl"/>
        </w:rPr>
      </w:pPr>
    </w:p>
    <w:tbl>
      <w:tblPr>
        <w:tblW w:w="4914"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50"/>
        <w:gridCol w:w="2750"/>
        <w:gridCol w:w="2154"/>
        <w:gridCol w:w="2152"/>
      </w:tblGrid>
      <w:tr w:rsidR="009F58E5" w:rsidRPr="00C75C7E" w:rsidTr="008F4F69">
        <w:trPr>
          <w:cantSplit/>
          <w:trHeight w:val="605"/>
          <w:tblHeader/>
        </w:trPr>
        <w:tc>
          <w:tcPr>
            <w:tcW w:w="1249" w:type="pct"/>
            <w:tcBorders>
              <w:top w:val="single" w:sz="4" w:space="0" w:color="auto"/>
              <w:bottom w:val="single" w:sz="4" w:space="0" w:color="auto"/>
            </w:tcBorders>
            <w:shd w:val="clear" w:color="auto" w:fill="CCFFFF"/>
            <w:tcMar>
              <w:top w:w="113" w:type="dxa"/>
            </w:tcMar>
            <w:vAlign w:val="center"/>
          </w:tcPr>
          <w:p w:rsidR="009F58E5" w:rsidRPr="00C75C7E" w:rsidRDefault="009F58E5" w:rsidP="008F4F69">
            <w:pPr>
              <w:spacing w:after="120"/>
              <w:jc w:val="center"/>
              <w:rPr>
                <w:b/>
                <w:bCs/>
                <w:sz w:val="18"/>
                <w:szCs w:val="18"/>
                <w:lang w:val="es-ES_tradnl"/>
              </w:rPr>
            </w:pPr>
            <w:r w:rsidRPr="00C75C7E">
              <w:rPr>
                <w:b/>
                <w:bCs/>
                <w:sz w:val="18"/>
                <w:szCs w:val="18"/>
                <w:lang w:val="es-ES_tradnl"/>
              </w:rPr>
              <w:t>Resultados previstos</w:t>
            </w:r>
          </w:p>
        </w:tc>
        <w:tc>
          <w:tcPr>
            <w:tcW w:w="1462" w:type="pct"/>
            <w:tcBorders>
              <w:top w:val="single" w:sz="4" w:space="0" w:color="auto"/>
              <w:bottom w:val="single" w:sz="4" w:space="0" w:color="auto"/>
            </w:tcBorders>
            <w:shd w:val="clear" w:color="auto" w:fill="CCFFFF"/>
            <w:tcMar>
              <w:top w:w="113" w:type="dxa"/>
            </w:tcMar>
            <w:vAlign w:val="center"/>
          </w:tcPr>
          <w:p w:rsidR="009F58E5" w:rsidRPr="00C75C7E" w:rsidRDefault="009F58E5" w:rsidP="008F4F69">
            <w:pPr>
              <w:spacing w:after="120"/>
              <w:jc w:val="center"/>
              <w:rPr>
                <w:b/>
                <w:bCs/>
                <w:sz w:val="18"/>
                <w:szCs w:val="18"/>
                <w:lang w:val="es-ES_tradnl"/>
              </w:rPr>
            </w:pPr>
            <w:r w:rsidRPr="00C75C7E">
              <w:rPr>
                <w:b/>
                <w:bCs/>
                <w:sz w:val="18"/>
                <w:szCs w:val="18"/>
                <w:lang w:val="es-ES_tradnl"/>
              </w:rPr>
              <w:t>Indicadores de rendimiento</w:t>
            </w:r>
          </w:p>
        </w:tc>
        <w:tc>
          <w:tcPr>
            <w:tcW w:w="1145" w:type="pct"/>
            <w:tcBorders>
              <w:top w:val="single" w:sz="4" w:space="0" w:color="auto"/>
              <w:bottom w:val="single" w:sz="4" w:space="0" w:color="auto"/>
            </w:tcBorders>
            <w:shd w:val="clear" w:color="auto" w:fill="CCFFFF"/>
            <w:tcMar>
              <w:top w:w="113" w:type="dxa"/>
            </w:tcMar>
            <w:vAlign w:val="center"/>
          </w:tcPr>
          <w:p w:rsidR="009F58E5" w:rsidRPr="00C75C7E" w:rsidRDefault="009F58E5" w:rsidP="003C7CC7">
            <w:pPr>
              <w:spacing w:after="120"/>
              <w:ind w:left="85"/>
              <w:rPr>
                <w:b/>
                <w:bCs/>
                <w:sz w:val="18"/>
                <w:szCs w:val="18"/>
                <w:lang w:val="es-ES_tradnl"/>
              </w:rPr>
            </w:pPr>
            <w:r w:rsidRPr="00C75C7E">
              <w:rPr>
                <w:b/>
                <w:bCs/>
                <w:sz w:val="18"/>
                <w:szCs w:val="18"/>
                <w:lang w:val="es-ES_tradnl"/>
              </w:rPr>
              <w:t>Referencia</w:t>
            </w:r>
          </w:p>
        </w:tc>
        <w:tc>
          <w:tcPr>
            <w:tcW w:w="1144" w:type="pct"/>
            <w:tcBorders>
              <w:top w:val="single" w:sz="4" w:space="0" w:color="auto"/>
              <w:bottom w:val="single" w:sz="4" w:space="0" w:color="auto"/>
            </w:tcBorders>
            <w:shd w:val="clear" w:color="auto" w:fill="CCFFFF"/>
            <w:tcMar>
              <w:top w:w="113" w:type="dxa"/>
            </w:tcMar>
            <w:vAlign w:val="center"/>
          </w:tcPr>
          <w:p w:rsidR="009F58E5" w:rsidRPr="00C75C7E" w:rsidRDefault="009F58E5" w:rsidP="003C7CC7">
            <w:pPr>
              <w:keepNext/>
              <w:keepLines/>
              <w:spacing w:after="120"/>
              <w:ind w:right="111"/>
              <w:rPr>
                <w:b/>
                <w:bCs/>
                <w:sz w:val="18"/>
                <w:szCs w:val="18"/>
                <w:lang w:val="es-ES_tradnl"/>
              </w:rPr>
            </w:pPr>
            <w:r w:rsidRPr="00C75C7E">
              <w:rPr>
                <w:b/>
                <w:bCs/>
                <w:sz w:val="18"/>
                <w:szCs w:val="18"/>
                <w:lang w:val="es-ES_tradnl"/>
              </w:rPr>
              <w:t>Objetivos</w:t>
            </w:r>
          </w:p>
        </w:tc>
      </w:tr>
      <w:tr w:rsidR="009F58E5" w:rsidRPr="00C75C7E" w:rsidTr="008F4F69">
        <w:trPr>
          <w:cantSplit/>
        </w:trPr>
        <w:tc>
          <w:tcPr>
            <w:tcW w:w="1249" w:type="pct"/>
            <w:tcBorders>
              <w:top w:val="single" w:sz="4" w:space="0" w:color="auto"/>
              <w:bottom w:val="nil"/>
            </w:tcBorders>
            <w:shd w:val="clear" w:color="auto" w:fill="auto"/>
            <w:tcMar>
              <w:top w:w="113" w:type="dxa"/>
            </w:tcMar>
          </w:tcPr>
          <w:p w:rsidR="009F58E5" w:rsidRPr="00C75C7E" w:rsidRDefault="009F58E5" w:rsidP="008F4F69">
            <w:pPr>
              <w:rPr>
                <w:sz w:val="16"/>
                <w:szCs w:val="16"/>
                <w:lang w:val="es-ES_tradnl"/>
              </w:rPr>
            </w:pPr>
            <w:r w:rsidRPr="00C75C7E">
              <w:rPr>
                <w:sz w:val="16"/>
                <w:szCs w:val="16"/>
                <w:lang w:val="es-ES_tradnl"/>
              </w:rPr>
              <w:t>VIII.5. La OMPI participa y colabora eficazmente en los procesos y negociaciones de las NN.UU. y otras OIG.</w:t>
            </w:r>
          </w:p>
        </w:tc>
        <w:tc>
          <w:tcPr>
            <w:tcW w:w="1462" w:type="pct"/>
            <w:tcBorders>
              <w:top w:val="single" w:sz="4" w:space="0" w:color="auto"/>
              <w:bottom w:val="nil"/>
            </w:tcBorders>
            <w:shd w:val="clear" w:color="auto" w:fill="auto"/>
            <w:tcMar>
              <w:top w:w="113" w:type="dxa"/>
            </w:tcMar>
          </w:tcPr>
          <w:p w:rsidR="009F58E5" w:rsidRPr="00C75C7E" w:rsidRDefault="009F58E5" w:rsidP="008F4F69">
            <w:pPr>
              <w:rPr>
                <w:bCs/>
                <w:sz w:val="16"/>
                <w:szCs w:val="16"/>
                <w:lang w:val="es-ES_tradnl"/>
              </w:rPr>
            </w:pPr>
            <w:r w:rsidRPr="00C75C7E">
              <w:rPr>
                <w:bCs/>
                <w:sz w:val="16"/>
                <w:szCs w:val="16"/>
                <w:lang w:val="es-ES_tradnl"/>
              </w:rPr>
              <w:t>Recomendaciones del Comité de Alto Nivel sobre Gestión y de las redes subsidiarias que se han dado por aplicadas.</w:t>
            </w:r>
          </w:p>
        </w:tc>
        <w:tc>
          <w:tcPr>
            <w:tcW w:w="1145" w:type="pct"/>
            <w:tcBorders>
              <w:top w:val="single" w:sz="4" w:space="0" w:color="auto"/>
              <w:bottom w:val="nil"/>
            </w:tcBorders>
            <w:shd w:val="clear" w:color="auto" w:fill="FFFFFF"/>
            <w:tcMar>
              <w:top w:w="113" w:type="dxa"/>
            </w:tcMar>
          </w:tcPr>
          <w:p w:rsidR="009F58E5" w:rsidRPr="00C75C7E" w:rsidRDefault="009F58E5" w:rsidP="008F4F69">
            <w:pPr>
              <w:rPr>
                <w:sz w:val="16"/>
                <w:szCs w:val="16"/>
                <w:lang w:val="es-ES_tradnl"/>
              </w:rPr>
            </w:pPr>
            <w:r w:rsidRPr="00C75C7E">
              <w:rPr>
                <w:sz w:val="16"/>
                <w:szCs w:val="16"/>
                <w:lang w:val="es-ES_tradnl"/>
              </w:rPr>
              <w:t>Porcentaje de recomendaciones dadas por aplicadas al 1 de enero de 2013.</w:t>
            </w:r>
          </w:p>
        </w:tc>
        <w:tc>
          <w:tcPr>
            <w:tcW w:w="1144" w:type="pct"/>
            <w:tcBorders>
              <w:top w:val="single" w:sz="4" w:space="0" w:color="auto"/>
              <w:bottom w:val="nil"/>
            </w:tcBorders>
            <w:shd w:val="clear" w:color="auto" w:fill="auto"/>
            <w:tcMar>
              <w:top w:w="113" w:type="dxa"/>
            </w:tcMar>
          </w:tcPr>
          <w:p w:rsidR="009F58E5" w:rsidRPr="00C75C7E" w:rsidRDefault="009F58E5" w:rsidP="008F4F69">
            <w:pPr>
              <w:keepNext/>
              <w:keepLines/>
              <w:ind w:right="221"/>
              <w:rPr>
                <w:bCs/>
                <w:sz w:val="16"/>
                <w:szCs w:val="16"/>
                <w:lang w:val="es-ES_tradnl"/>
              </w:rPr>
            </w:pPr>
            <w:r w:rsidRPr="00C75C7E">
              <w:rPr>
                <w:bCs/>
                <w:sz w:val="16"/>
                <w:szCs w:val="16"/>
                <w:lang w:val="es-ES_tradnl"/>
              </w:rPr>
              <w:t>Porcentaje de recomendaciones dadas por aplicadas al 31 de  diciembre de 2013.</w:t>
            </w:r>
          </w:p>
        </w:tc>
      </w:tr>
      <w:tr w:rsidR="009F58E5" w:rsidRPr="00C75C7E" w:rsidTr="008F4F69">
        <w:trPr>
          <w:cantSplit/>
          <w:trHeight w:val="638"/>
        </w:trPr>
        <w:tc>
          <w:tcPr>
            <w:tcW w:w="1249" w:type="pct"/>
            <w:tcBorders>
              <w:top w:val="nil"/>
              <w:left w:val="single" w:sz="4" w:space="0" w:color="auto"/>
              <w:bottom w:val="nil"/>
            </w:tcBorders>
            <w:shd w:val="clear" w:color="auto" w:fill="auto"/>
            <w:tcMar>
              <w:top w:w="113" w:type="dxa"/>
            </w:tcMar>
          </w:tcPr>
          <w:p w:rsidR="009F58E5" w:rsidRPr="00C75C7E" w:rsidRDefault="009F58E5" w:rsidP="008F4F69">
            <w:pPr>
              <w:rPr>
                <w:sz w:val="16"/>
                <w:szCs w:val="16"/>
                <w:lang w:val="es-ES_tradnl"/>
              </w:rPr>
            </w:pPr>
          </w:p>
        </w:tc>
        <w:tc>
          <w:tcPr>
            <w:tcW w:w="1462" w:type="pct"/>
            <w:tcBorders>
              <w:top w:val="nil"/>
              <w:bottom w:val="nil"/>
            </w:tcBorders>
            <w:shd w:val="clear" w:color="auto" w:fill="auto"/>
            <w:tcMar>
              <w:top w:w="113" w:type="dxa"/>
            </w:tcMar>
          </w:tcPr>
          <w:p w:rsidR="009F58E5" w:rsidRPr="00C75C7E" w:rsidRDefault="009F58E5" w:rsidP="008F4F69">
            <w:pPr>
              <w:rPr>
                <w:sz w:val="16"/>
                <w:szCs w:val="16"/>
                <w:lang w:val="es-ES_tradnl"/>
              </w:rPr>
            </w:pPr>
            <w:r w:rsidRPr="00C75C7E">
              <w:rPr>
                <w:sz w:val="16"/>
                <w:szCs w:val="16"/>
                <w:lang w:val="es-ES_tradnl"/>
              </w:rPr>
              <w:t>Porcentaje de productos y servicios contratados y adquiridos a nivel local en comparación con el importe total de los adquiridos para actividades de desarrollo.</w:t>
            </w:r>
          </w:p>
        </w:tc>
        <w:tc>
          <w:tcPr>
            <w:tcW w:w="1145" w:type="pct"/>
            <w:tcBorders>
              <w:top w:val="nil"/>
              <w:bottom w:val="nil"/>
            </w:tcBorders>
            <w:shd w:val="clear" w:color="auto" w:fill="FFFFFF"/>
            <w:tcMar>
              <w:top w:w="113" w:type="dxa"/>
            </w:tcMar>
          </w:tcPr>
          <w:p w:rsidR="009F58E5" w:rsidRPr="00C75C7E" w:rsidRDefault="009F58E5" w:rsidP="008F4F69">
            <w:pPr>
              <w:rPr>
                <w:sz w:val="16"/>
                <w:szCs w:val="16"/>
                <w:lang w:val="es-ES_tradnl" w:bidi="th-TH"/>
              </w:rPr>
            </w:pPr>
            <w:r w:rsidRPr="00C75C7E">
              <w:rPr>
                <w:sz w:val="16"/>
                <w:szCs w:val="16"/>
                <w:lang w:val="es-ES_tradnl" w:bidi="th-TH"/>
              </w:rPr>
              <w:t>Resultados de 2013.</w:t>
            </w:r>
          </w:p>
        </w:tc>
        <w:tc>
          <w:tcPr>
            <w:tcW w:w="1144" w:type="pct"/>
            <w:tcBorders>
              <w:top w:val="nil"/>
              <w:bottom w:val="nil"/>
              <w:right w:val="single" w:sz="4" w:space="0" w:color="auto"/>
            </w:tcBorders>
            <w:shd w:val="clear" w:color="auto" w:fill="auto"/>
            <w:tcMar>
              <w:top w:w="113" w:type="dxa"/>
            </w:tcMar>
          </w:tcPr>
          <w:p w:rsidR="009F58E5" w:rsidRPr="00C75C7E" w:rsidRDefault="009F58E5" w:rsidP="008F4F69">
            <w:pPr>
              <w:keepNext/>
              <w:keepLines/>
              <w:ind w:right="221"/>
              <w:rPr>
                <w:bCs/>
                <w:sz w:val="16"/>
                <w:szCs w:val="16"/>
                <w:lang w:val="es-ES_tradnl"/>
              </w:rPr>
            </w:pPr>
            <w:r w:rsidRPr="00C75C7E">
              <w:rPr>
                <w:bCs/>
                <w:sz w:val="16"/>
                <w:szCs w:val="16"/>
                <w:lang w:val="es-ES_tradnl"/>
              </w:rPr>
              <w:t>2013 + 5%</w:t>
            </w:r>
          </w:p>
        </w:tc>
      </w:tr>
      <w:tr w:rsidR="009F58E5" w:rsidRPr="00C75C7E" w:rsidTr="008F4F69">
        <w:trPr>
          <w:cantSplit/>
          <w:trHeight w:val="602"/>
        </w:trPr>
        <w:tc>
          <w:tcPr>
            <w:tcW w:w="1249" w:type="pct"/>
            <w:shd w:val="clear" w:color="auto" w:fill="auto"/>
            <w:tcMar>
              <w:top w:w="113" w:type="dxa"/>
            </w:tcMar>
          </w:tcPr>
          <w:p w:rsidR="009F58E5" w:rsidRPr="00C75C7E" w:rsidRDefault="009F58E5" w:rsidP="008F4F69">
            <w:pPr>
              <w:rPr>
                <w:sz w:val="16"/>
                <w:szCs w:val="16"/>
                <w:lang w:val="es-ES_tradnl"/>
              </w:rPr>
            </w:pPr>
          </w:p>
        </w:tc>
        <w:tc>
          <w:tcPr>
            <w:tcW w:w="1462" w:type="pct"/>
            <w:shd w:val="clear" w:color="auto" w:fill="auto"/>
            <w:tcMar>
              <w:top w:w="113" w:type="dxa"/>
            </w:tcMar>
          </w:tcPr>
          <w:p w:rsidR="009F58E5" w:rsidRPr="00C75C7E" w:rsidRDefault="009F58E5" w:rsidP="008F4F69">
            <w:pPr>
              <w:rPr>
                <w:sz w:val="16"/>
                <w:szCs w:val="16"/>
                <w:lang w:val="es-ES_tradnl"/>
              </w:rPr>
            </w:pPr>
            <w:r w:rsidRPr="00C75C7E">
              <w:rPr>
                <w:sz w:val="16"/>
                <w:szCs w:val="16"/>
                <w:lang w:val="es-ES_tradnl"/>
              </w:rPr>
              <w:t>Porcentaje de gastos efectuados con arreglo a las prácticas vigentes en NN.UU. (licitaciones comunes o aprovechamiento de los contratos).</w:t>
            </w:r>
          </w:p>
        </w:tc>
        <w:tc>
          <w:tcPr>
            <w:tcW w:w="1145" w:type="pct"/>
            <w:shd w:val="clear" w:color="auto" w:fill="FFFFFF"/>
            <w:tcMar>
              <w:top w:w="113" w:type="dxa"/>
            </w:tcMar>
          </w:tcPr>
          <w:p w:rsidR="009F58E5" w:rsidRPr="00C75C7E" w:rsidRDefault="009F58E5" w:rsidP="008F4F69">
            <w:pPr>
              <w:rPr>
                <w:sz w:val="16"/>
                <w:szCs w:val="16"/>
                <w:lang w:val="es-ES_tradnl" w:bidi="th-TH"/>
              </w:rPr>
            </w:pPr>
            <w:r w:rsidRPr="00C75C7E">
              <w:rPr>
                <w:sz w:val="16"/>
                <w:szCs w:val="16"/>
                <w:lang w:val="es-ES_tradnl" w:bidi="th-TH"/>
              </w:rPr>
              <w:t>Resultados de 2013.</w:t>
            </w:r>
          </w:p>
        </w:tc>
        <w:tc>
          <w:tcPr>
            <w:tcW w:w="1144" w:type="pct"/>
            <w:shd w:val="clear" w:color="auto" w:fill="auto"/>
            <w:tcMar>
              <w:top w:w="113" w:type="dxa"/>
            </w:tcMar>
          </w:tcPr>
          <w:p w:rsidR="009F58E5" w:rsidRPr="00C75C7E" w:rsidRDefault="009F58E5" w:rsidP="008F4F69">
            <w:pPr>
              <w:keepNext/>
              <w:keepLines/>
              <w:ind w:right="221"/>
              <w:rPr>
                <w:bCs/>
                <w:sz w:val="16"/>
                <w:szCs w:val="16"/>
                <w:lang w:val="es-ES_tradnl"/>
              </w:rPr>
            </w:pPr>
            <w:r w:rsidRPr="00C75C7E">
              <w:rPr>
                <w:bCs/>
                <w:sz w:val="16"/>
                <w:szCs w:val="16"/>
                <w:lang w:val="es-ES_tradnl"/>
              </w:rPr>
              <w:t>Por determinar.</w:t>
            </w:r>
          </w:p>
        </w:tc>
      </w:tr>
      <w:tr w:rsidR="009F58E5" w:rsidRPr="00C75C7E" w:rsidTr="008F4F69">
        <w:trPr>
          <w:cantSplit/>
        </w:trPr>
        <w:tc>
          <w:tcPr>
            <w:tcW w:w="1249" w:type="pct"/>
            <w:tcBorders>
              <w:top w:val="nil"/>
              <w:left w:val="single" w:sz="4" w:space="0" w:color="auto"/>
              <w:bottom w:val="nil"/>
            </w:tcBorders>
            <w:shd w:val="clear" w:color="auto" w:fill="auto"/>
            <w:tcMar>
              <w:top w:w="113" w:type="dxa"/>
            </w:tcMar>
          </w:tcPr>
          <w:p w:rsidR="009F58E5" w:rsidRPr="00C75C7E" w:rsidRDefault="009F58E5" w:rsidP="008F4F69">
            <w:pPr>
              <w:rPr>
                <w:sz w:val="16"/>
                <w:szCs w:val="16"/>
                <w:lang w:val="es-ES_tradnl"/>
              </w:rPr>
            </w:pPr>
            <w:r w:rsidRPr="00C75C7E">
              <w:rPr>
                <w:sz w:val="16"/>
                <w:szCs w:val="16"/>
                <w:lang w:val="es-ES_tradnl"/>
              </w:rPr>
              <w:t>IX.1   Servicios de apoyo eficaces, eficientes, de calidad y orientados al cliente, tanto a los clientes internos como a las partes interesadas externas.</w:t>
            </w:r>
          </w:p>
        </w:tc>
        <w:tc>
          <w:tcPr>
            <w:tcW w:w="1462" w:type="pct"/>
            <w:tcBorders>
              <w:top w:val="nil"/>
              <w:bottom w:val="nil"/>
            </w:tcBorders>
            <w:shd w:val="clear" w:color="auto" w:fill="auto"/>
            <w:tcMar>
              <w:top w:w="113" w:type="dxa"/>
            </w:tcMar>
          </w:tcPr>
          <w:p w:rsidR="009F58E5" w:rsidRPr="00C75C7E" w:rsidRDefault="009F58E5" w:rsidP="008F4F69">
            <w:pPr>
              <w:rPr>
                <w:bCs/>
                <w:sz w:val="16"/>
                <w:szCs w:val="16"/>
                <w:lang w:val="es-ES_tradnl"/>
              </w:rPr>
            </w:pPr>
            <w:r w:rsidRPr="00C75C7E">
              <w:rPr>
                <w:bCs/>
                <w:sz w:val="16"/>
                <w:szCs w:val="16"/>
                <w:lang w:val="es-ES_tradnl"/>
              </w:rPr>
              <w:t>Disminución de los costos de adquisición de productos y servicios por la OMPI (derivada de solicitudes de ofertas o negociaciones directas).</w:t>
            </w:r>
          </w:p>
        </w:tc>
        <w:tc>
          <w:tcPr>
            <w:tcW w:w="1145" w:type="pct"/>
            <w:tcBorders>
              <w:top w:val="nil"/>
              <w:bottom w:val="nil"/>
            </w:tcBorders>
            <w:shd w:val="clear" w:color="auto" w:fill="FFFFFF"/>
            <w:tcMar>
              <w:top w:w="113" w:type="dxa"/>
            </w:tcMar>
          </w:tcPr>
          <w:p w:rsidR="009F58E5" w:rsidRPr="00C75C7E" w:rsidRDefault="009F58E5" w:rsidP="008F4F69">
            <w:pPr>
              <w:rPr>
                <w:sz w:val="16"/>
                <w:szCs w:val="16"/>
                <w:lang w:val="es-ES_tradnl"/>
              </w:rPr>
            </w:pPr>
            <w:r w:rsidRPr="00C75C7E">
              <w:rPr>
                <w:sz w:val="16"/>
                <w:szCs w:val="16"/>
                <w:lang w:val="es-ES_tradnl"/>
              </w:rPr>
              <w:t>Resultados de 2013.</w:t>
            </w:r>
          </w:p>
        </w:tc>
        <w:tc>
          <w:tcPr>
            <w:tcW w:w="1144" w:type="pct"/>
            <w:tcBorders>
              <w:top w:val="nil"/>
              <w:bottom w:val="nil"/>
              <w:right w:val="single" w:sz="4" w:space="0" w:color="auto"/>
            </w:tcBorders>
            <w:shd w:val="clear" w:color="auto" w:fill="auto"/>
            <w:tcMar>
              <w:top w:w="113" w:type="dxa"/>
            </w:tcMar>
          </w:tcPr>
          <w:p w:rsidR="009F58E5" w:rsidRPr="00C75C7E" w:rsidRDefault="009F58E5" w:rsidP="008F4F69">
            <w:pPr>
              <w:keepNext/>
              <w:keepLines/>
              <w:ind w:right="221"/>
              <w:rPr>
                <w:bCs/>
                <w:sz w:val="16"/>
                <w:szCs w:val="16"/>
                <w:lang w:val="es-ES_tradnl"/>
              </w:rPr>
            </w:pPr>
            <w:r w:rsidRPr="00C75C7E">
              <w:rPr>
                <w:bCs/>
                <w:sz w:val="16"/>
                <w:szCs w:val="16"/>
                <w:lang w:val="es-ES_tradnl"/>
              </w:rPr>
              <w:t>2013 + 5%</w:t>
            </w:r>
          </w:p>
        </w:tc>
      </w:tr>
      <w:tr w:rsidR="009F58E5" w:rsidRPr="00C75C7E" w:rsidTr="008F4F69">
        <w:trPr>
          <w:cantSplit/>
          <w:trHeight w:val="622"/>
        </w:trPr>
        <w:tc>
          <w:tcPr>
            <w:tcW w:w="1249" w:type="pct"/>
            <w:tcBorders>
              <w:top w:val="nil"/>
            </w:tcBorders>
            <w:shd w:val="clear" w:color="auto" w:fill="auto"/>
            <w:tcMar>
              <w:top w:w="113" w:type="dxa"/>
            </w:tcMar>
          </w:tcPr>
          <w:p w:rsidR="009F58E5" w:rsidRPr="00C75C7E" w:rsidRDefault="009F58E5" w:rsidP="008F4F69">
            <w:pPr>
              <w:rPr>
                <w:sz w:val="16"/>
                <w:szCs w:val="16"/>
                <w:lang w:val="es-ES_tradnl"/>
              </w:rPr>
            </w:pPr>
          </w:p>
        </w:tc>
        <w:tc>
          <w:tcPr>
            <w:tcW w:w="1462" w:type="pct"/>
            <w:tcBorders>
              <w:top w:val="nil"/>
            </w:tcBorders>
            <w:shd w:val="clear" w:color="auto" w:fill="auto"/>
            <w:tcMar>
              <w:top w:w="113" w:type="dxa"/>
            </w:tcMar>
          </w:tcPr>
          <w:p w:rsidR="009F58E5" w:rsidRPr="00C75C7E" w:rsidRDefault="009F58E5" w:rsidP="008F4F69">
            <w:pPr>
              <w:rPr>
                <w:sz w:val="16"/>
                <w:szCs w:val="16"/>
                <w:lang w:val="es-ES_tradnl"/>
              </w:rPr>
            </w:pPr>
            <w:r w:rsidRPr="00C75C7E">
              <w:rPr>
                <w:sz w:val="16"/>
                <w:szCs w:val="16"/>
                <w:lang w:val="es-ES_tradnl"/>
              </w:rPr>
              <w:t>Porcentaje de usuarios internos satisfechos con los servicios de adquisiciones.</w:t>
            </w:r>
          </w:p>
        </w:tc>
        <w:tc>
          <w:tcPr>
            <w:tcW w:w="1145" w:type="pct"/>
            <w:tcBorders>
              <w:top w:val="nil"/>
            </w:tcBorders>
            <w:shd w:val="clear" w:color="auto" w:fill="FFFFFF"/>
            <w:tcMar>
              <w:top w:w="113" w:type="dxa"/>
            </w:tcMar>
          </w:tcPr>
          <w:p w:rsidR="009F58E5" w:rsidRPr="00C75C7E" w:rsidRDefault="009F58E5" w:rsidP="008F4F69">
            <w:pPr>
              <w:rPr>
                <w:sz w:val="16"/>
                <w:szCs w:val="16"/>
                <w:lang w:val="es-ES_tradnl"/>
              </w:rPr>
            </w:pPr>
            <w:r w:rsidRPr="00C75C7E">
              <w:rPr>
                <w:sz w:val="16"/>
                <w:szCs w:val="16"/>
                <w:lang w:val="es-ES_tradnl"/>
              </w:rPr>
              <w:t>Resultados de 2012.</w:t>
            </w:r>
          </w:p>
        </w:tc>
        <w:tc>
          <w:tcPr>
            <w:tcW w:w="1144" w:type="pct"/>
            <w:tcBorders>
              <w:top w:val="nil"/>
            </w:tcBorders>
            <w:shd w:val="clear" w:color="auto" w:fill="auto"/>
            <w:tcMar>
              <w:top w:w="113" w:type="dxa"/>
            </w:tcMar>
          </w:tcPr>
          <w:p w:rsidR="009F58E5" w:rsidRPr="00C75C7E" w:rsidRDefault="009F58E5" w:rsidP="008F4F69">
            <w:pPr>
              <w:keepNext/>
              <w:keepLines/>
              <w:ind w:right="221"/>
              <w:rPr>
                <w:bCs/>
                <w:sz w:val="16"/>
                <w:szCs w:val="16"/>
                <w:lang w:val="es-ES_tradnl"/>
              </w:rPr>
            </w:pPr>
            <w:r w:rsidRPr="00C75C7E">
              <w:rPr>
                <w:bCs/>
                <w:sz w:val="16"/>
                <w:szCs w:val="16"/>
                <w:lang w:val="es-ES_tradnl"/>
              </w:rPr>
              <w:t>2012 + 5%</w:t>
            </w:r>
          </w:p>
        </w:tc>
      </w:tr>
      <w:tr w:rsidR="009F58E5" w:rsidRPr="00C75C7E" w:rsidTr="008F4F69">
        <w:trPr>
          <w:cantSplit/>
          <w:trHeight w:val="778"/>
        </w:trPr>
        <w:tc>
          <w:tcPr>
            <w:tcW w:w="1249" w:type="pct"/>
            <w:shd w:val="clear" w:color="auto" w:fill="auto"/>
            <w:tcMar>
              <w:top w:w="113" w:type="dxa"/>
            </w:tcMar>
          </w:tcPr>
          <w:p w:rsidR="009F58E5" w:rsidRPr="00C75C7E" w:rsidRDefault="009F58E5" w:rsidP="008F4F69">
            <w:pPr>
              <w:rPr>
                <w:sz w:val="16"/>
                <w:szCs w:val="16"/>
                <w:lang w:val="es-ES_tradnl"/>
              </w:rPr>
            </w:pPr>
          </w:p>
        </w:tc>
        <w:tc>
          <w:tcPr>
            <w:tcW w:w="1462" w:type="pct"/>
            <w:shd w:val="clear" w:color="auto" w:fill="auto"/>
            <w:tcMar>
              <w:top w:w="113" w:type="dxa"/>
            </w:tcMar>
          </w:tcPr>
          <w:p w:rsidR="009F58E5" w:rsidRPr="00C75C7E" w:rsidRDefault="009F58E5" w:rsidP="008F4F69">
            <w:pPr>
              <w:rPr>
                <w:sz w:val="16"/>
                <w:szCs w:val="16"/>
                <w:lang w:val="es-ES_tradnl"/>
              </w:rPr>
            </w:pPr>
            <w:r w:rsidRPr="00C75C7E">
              <w:rPr>
                <w:sz w:val="16"/>
                <w:szCs w:val="16"/>
                <w:lang w:val="es-ES_tradnl"/>
              </w:rPr>
              <w:t>Tiempo de tramitación de peticiones relativas a los viajes (autorizaciones electrónicas de viaje (e-TA), peticiones electrónicas de actividades (e-ER), visados).</w:t>
            </w:r>
          </w:p>
        </w:tc>
        <w:tc>
          <w:tcPr>
            <w:tcW w:w="1145" w:type="pct"/>
            <w:shd w:val="clear" w:color="auto" w:fill="FFFFFF"/>
            <w:tcMar>
              <w:top w:w="113" w:type="dxa"/>
            </w:tcMar>
          </w:tcPr>
          <w:p w:rsidR="009F58E5" w:rsidRPr="00C75C7E" w:rsidRDefault="009F58E5" w:rsidP="008F4F69">
            <w:pPr>
              <w:rPr>
                <w:sz w:val="16"/>
                <w:szCs w:val="16"/>
                <w:lang w:val="es-ES_tradnl" w:bidi="th-TH"/>
              </w:rPr>
            </w:pPr>
            <w:r w:rsidRPr="00C75C7E">
              <w:rPr>
                <w:sz w:val="16"/>
                <w:szCs w:val="16"/>
                <w:lang w:val="es-ES_tradnl" w:bidi="th-TH"/>
              </w:rPr>
              <w:t xml:space="preserve">Tiempo de tramitación de peticiones relativas a los viajes: </w:t>
            </w:r>
          </w:p>
          <w:p w:rsidR="009F58E5" w:rsidRPr="00C75C7E" w:rsidRDefault="009F58E5" w:rsidP="008F4F69">
            <w:pPr>
              <w:rPr>
                <w:sz w:val="16"/>
                <w:szCs w:val="16"/>
                <w:lang w:val="es-ES_tradnl" w:bidi="th-TH"/>
              </w:rPr>
            </w:pPr>
            <w:r w:rsidRPr="00C75C7E">
              <w:rPr>
                <w:sz w:val="16"/>
                <w:szCs w:val="16"/>
                <w:lang w:val="es-ES_tradnl" w:bidi="th-TH"/>
              </w:rPr>
              <w:t>Autorizaciones electrónicas de viaje = un día</w:t>
            </w:r>
          </w:p>
          <w:p w:rsidR="009F58E5" w:rsidRPr="00C75C7E" w:rsidRDefault="009F58E5" w:rsidP="008F4F69">
            <w:pPr>
              <w:rPr>
                <w:sz w:val="16"/>
                <w:szCs w:val="16"/>
                <w:lang w:val="es-ES_tradnl" w:bidi="th-TH"/>
              </w:rPr>
            </w:pPr>
            <w:r w:rsidRPr="00C75C7E">
              <w:rPr>
                <w:sz w:val="16"/>
                <w:szCs w:val="16"/>
                <w:lang w:val="es-ES_tradnl" w:bidi="th-TH"/>
              </w:rPr>
              <w:t>Peticiones electrónicas de actividades  =  dos horas</w:t>
            </w:r>
          </w:p>
          <w:p w:rsidR="009F58E5" w:rsidRPr="00C75C7E" w:rsidRDefault="009F58E5" w:rsidP="008F4F69">
            <w:pPr>
              <w:rPr>
                <w:sz w:val="16"/>
                <w:szCs w:val="16"/>
                <w:lang w:val="es-ES_tradnl" w:bidi="th-TH"/>
              </w:rPr>
            </w:pPr>
            <w:r w:rsidRPr="00C75C7E">
              <w:rPr>
                <w:sz w:val="16"/>
                <w:szCs w:val="16"/>
                <w:lang w:val="es-ES_tradnl" w:bidi="th-TH"/>
              </w:rPr>
              <w:t>Visados de terceros = dos días (referencia de 2013).</w:t>
            </w:r>
          </w:p>
          <w:p w:rsidR="009F58E5" w:rsidRPr="00C75C7E" w:rsidRDefault="009F58E5" w:rsidP="008F4F69">
            <w:pPr>
              <w:rPr>
                <w:sz w:val="16"/>
                <w:szCs w:val="16"/>
                <w:lang w:val="es-ES_tradnl" w:bidi="th-TH"/>
              </w:rPr>
            </w:pPr>
          </w:p>
        </w:tc>
        <w:tc>
          <w:tcPr>
            <w:tcW w:w="1144" w:type="pct"/>
            <w:shd w:val="clear" w:color="auto" w:fill="auto"/>
            <w:tcMar>
              <w:top w:w="113" w:type="dxa"/>
            </w:tcMar>
          </w:tcPr>
          <w:p w:rsidR="009F58E5" w:rsidRPr="00C75C7E" w:rsidRDefault="009F58E5" w:rsidP="008F4F69">
            <w:pPr>
              <w:keepNext/>
              <w:keepLines/>
              <w:ind w:right="221"/>
              <w:rPr>
                <w:bCs/>
                <w:sz w:val="16"/>
                <w:szCs w:val="16"/>
                <w:lang w:val="es-ES_tradnl"/>
              </w:rPr>
            </w:pPr>
            <w:r w:rsidRPr="00C75C7E">
              <w:rPr>
                <w:bCs/>
                <w:sz w:val="16"/>
                <w:szCs w:val="16"/>
                <w:lang w:val="es-ES_tradnl"/>
              </w:rPr>
              <w:t>Autorizaciones electrónicas de viaje  = medio día</w:t>
            </w:r>
          </w:p>
          <w:p w:rsidR="009F58E5" w:rsidRPr="00C75C7E" w:rsidRDefault="009F58E5" w:rsidP="008F4F69">
            <w:pPr>
              <w:keepNext/>
              <w:keepLines/>
              <w:ind w:right="221"/>
              <w:rPr>
                <w:bCs/>
                <w:sz w:val="16"/>
                <w:szCs w:val="16"/>
                <w:lang w:val="es-ES_tradnl"/>
              </w:rPr>
            </w:pPr>
            <w:r w:rsidRPr="00C75C7E">
              <w:rPr>
                <w:bCs/>
                <w:sz w:val="16"/>
                <w:szCs w:val="16"/>
                <w:lang w:val="es-ES_tradnl"/>
              </w:rPr>
              <w:t>Peticiones electrónicas de actividades = una hora</w:t>
            </w:r>
          </w:p>
          <w:p w:rsidR="009F58E5" w:rsidRPr="00C75C7E" w:rsidRDefault="009F58E5" w:rsidP="008F4F69">
            <w:pPr>
              <w:keepNext/>
              <w:keepLines/>
              <w:ind w:right="221"/>
              <w:rPr>
                <w:bCs/>
                <w:sz w:val="16"/>
                <w:szCs w:val="16"/>
                <w:lang w:val="es-ES_tradnl"/>
              </w:rPr>
            </w:pPr>
            <w:r w:rsidRPr="00C75C7E">
              <w:rPr>
                <w:bCs/>
                <w:sz w:val="16"/>
                <w:szCs w:val="16"/>
                <w:lang w:val="es-ES_tradnl"/>
              </w:rPr>
              <w:t>Visados de terceros = dos días.</w:t>
            </w:r>
          </w:p>
        </w:tc>
      </w:tr>
      <w:tr w:rsidR="009F58E5" w:rsidRPr="00C75C7E" w:rsidTr="008F4F69">
        <w:trPr>
          <w:cantSplit/>
          <w:trHeight w:val="515"/>
        </w:trPr>
        <w:tc>
          <w:tcPr>
            <w:tcW w:w="1249" w:type="pct"/>
            <w:shd w:val="clear" w:color="auto" w:fill="auto"/>
            <w:tcMar>
              <w:top w:w="113" w:type="dxa"/>
            </w:tcMar>
          </w:tcPr>
          <w:p w:rsidR="009F58E5" w:rsidRPr="00C75C7E" w:rsidRDefault="009F58E5" w:rsidP="008F4F69">
            <w:pPr>
              <w:rPr>
                <w:sz w:val="16"/>
                <w:szCs w:val="16"/>
                <w:lang w:val="es-ES_tradnl"/>
              </w:rPr>
            </w:pPr>
          </w:p>
        </w:tc>
        <w:tc>
          <w:tcPr>
            <w:tcW w:w="1462" w:type="pct"/>
            <w:shd w:val="clear" w:color="auto" w:fill="auto"/>
            <w:tcMar>
              <w:top w:w="113" w:type="dxa"/>
            </w:tcMar>
          </w:tcPr>
          <w:p w:rsidR="009F58E5" w:rsidRPr="00C75C7E" w:rsidRDefault="009F58E5" w:rsidP="008F4F69">
            <w:pPr>
              <w:rPr>
                <w:sz w:val="16"/>
                <w:szCs w:val="16"/>
                <w:lang w:val="es-ES_tradnl"/>
              </w:rPr>
            </w:pPr>
            <w:r w:rsidRPr="00C75C7E">
              <w:rPr>
                <w:sz w:val="16"/>
                <w:szCs w:val="16"/>
                <w:lang w:val="es-ES_tradnl"/>
              </w:rPr>
              <w:t>Costo medio de los billetes (billetes de la empresa de gestión de viajes y del PNUD).</w:t>
            </w:r>
          </w:p>
        </w:tc>
        <w:tc>
          <w:tcPr>
            <w:tcW w:w="1145" w:type="pct"/>
            <w:shd w:val="clear" w:color="auto" w:fill="FFFFFF"/>
            <w:tcMar>
              <w:top w:w="113" w:type="dxa"/>
            </w:tcMar>
          </w:tcPr>
          <w:p w:rsidR="009F58E5" w:rsidRPr="00C75C7E" w:rsidRDefault="009F58E5" w:rsidP="008F4F69">
            <w:pPr>
              <w:rPr>
                <w:sz w:val="16"/>
                <w:szCs w:val="16"/>
                <w:lang w:val="es-ES_tradnl" w:bidi="th-TH"/>
              </w:rPr>
            </w:pPr>
            <w:r w:rsidRPr="00C75C7E">
              <w:rPr>
                <w:sz w:val="16"/>
                <w:szCs w:val="16"/>
                <w:lang w:val="es-ES_tradnl" w:bidi="th-TH"/>
              </w:rPr>
              <w:t>Costo (referencia de 2013).</w:t>
            </w:r>
          </w:p>
        </w:tc>
        <w:tc>
          <w:tcPr>
            <w:tcW w:w="1144" w:type="pct"/>
            <w:shd w:val="clear" w:color="auto" w:fill="auto"/>
            <w:tcMar>
              <w:top w:w="113" w:type="dxa"/>
            </w:tcMar>
          </w:tcPr>
          <w:p w:rsidR="009F58E5" w:rsidRPr="00C75C7E" w:rsidRDefault="009F58E5" w:rsidP="008F4F69">
            <w:pPr>
              <w:keepNext/>
              <w:keepLines/>
              <w:ind w:right="221"/>
              <w:rPr>
                <w:bCs/>
                <w:sz w:val="16"/>
                <w:szCs w:val="16"/>
                <w:lang w:val="es-ES_tradnl"/>
              </w:rPr>
            </w:pPr>
            <w:r w:rsidRPr="00C75C7E">
              <w:rPr>
                <w:bCs/>
                <w:sz w:val="16"/>
                <w:szCs w:val="16"/>
                <w:lang w:val="es-ES_tradnl"/>
              </w:rPr>
              <w:t>Reducción del costo medio de los billetes.</w:t>
            </w:r>
          </w:p>
        </w:tc>
      </w:tr>
      <w:tr w:rsidR="009F58E5" w:rsidRPr="00C75C7E" w:rsidTr="008F4F69">
        <w:trPr>
          <w:cantSplit/>
          <w:trHeight w:val="2285"/>
        </w:trPr>
        <w:tc>
          <w:tcPr>
            <w:tcW w:w="1249" w:type="pct"/>
            <w:shd w:val="clear" w:color="auto" w:fill="auto"/>
            <w:tcMar>
              <w:top w:w="113" w:type="dxa"/>
            </w:tcMar>
          </w:tcPr>
          <w:p w:rsidR="009F58E5" w:rsidRPr="00C75C7E" w:rsidRDefault="009F58E5" w:rsidP="008F4F69">
            <w:pPr>
              <w:rPr>
                <w:sz w:val="16"/>
                <w:szCs w:val="16"/>
                <w:lang w:val="es-ES_tradnl"/>
              </w:rPr>
            </w:pPr>
          </w:p>
        </w:tc>
        <w:tc>
          <w:tcPr>
            <w:tcW w:w="1462" w:type="pct"/>
            <w:shd w:val="clear" w:color="auto" w:fill="auto"/>
            <w:tcMar>
              <w:top w:w="113" w:type="dxa"/>
            </w:tcMar>
          </w:tcPr>
          <w:p w:rsidR="009F58E5" w:rsidRPr="00C75C7E" w:rsidRDefault="009F58E5" w:rsidP="008F4F69">
            <w:pPr>
              <w:rPr>
                <w:sz w:val="16"/>
                <w:szCs w:val="16"/>
                <w:lang w:val="es-ES_tradnl"/>
              </w:rPr>
            </w:pPr>
            <w:r w:rsidRPr="00C75C7E">
              <w:rPr>
                <w:sz w:val="16"/>
                <w:szCs w:val="16"/>
                <w:lang w:val="es-ES_tradnl"/>
              </w:rPr>
              <w:t>Se administran eficazmente todos los tipos de espacio del recinto de la OMPI (espacios de  trabajo, almacenamiento y archivo).</w:t>
            </w:r>
          </w:p>
        </w:tc>
        <w:tc>
          <w:tcPr>
            <w:tcW w:w="1145" w:type="pct"/>
            <w:shd w:val="clear" w:color="auto" w:fill="FFFFFF"/>
            <w:tcMar>
              <w:top w:w="113" w:type="dxa"/>
            </w:tcMar>
          </w:tcPr>
          <w:p w:rsidR="009F58E5" w:rsidRPr="00C75C7E" w:rsidRDefault="009F58E5" w:rsidP="008F4F69">
            <w:pPr>
              <w:rPr>
                <w:sz w:val="16"/>
                <w:szCs w:val="16"/>
                <w:lang w:val="es-ES_tradnl" w:bidi="th-TH"/>
              </w:rPr>
            </w:pPr>
            <w:r w:rsidRPr="00C75C7E">
              <w:rPr>
                <w:sz w:val="16"/>
                <w:szCs w:val="16"/>
                <w:lang w:val="es-ES_tradnl" w:bidi="th-TH"/>
              </w:rPr>
              <w:t>Mantenimiento del número de espacios de trabajo en todos los edificios para dar cabida a la ampliación de los servicios y a los cambios en las actividades de la OMPI (número de empleados al final de 2013); máximo de 80 espacios de trabajo alquilados (al final de 2013);  6 áreas de almacenamiento y archivo fuera del recinto (al final de 2013).</w:t>
            </w:r>
          </w:p>
        </w:tc>
        <w:tc>
          <w:tcPr>
            <w:tcW w:w="1144" w:type="pct"/>
            <w:shd w:val="clear" w:color="auto" w:fill="auto"/>
            <w:tcMar>
              <w:top w:w="113" w:type="dxa"/>
            </w:tcMar>
          </w:tcPr>
          <w:p w:rsidR="009F58E5" w:rsidRPr="00C75C7E" w:rsidRDefault="009F58E5" w:rsidP="008F4F69">
            <w:pPr>
              <w:keepNext/>
              <w:keepLines/>
              <w:ind w:right="221"/>
              <w:rPr>
                <w:bCs/>
                <w:sz w:val="16"/>
                <w:szCs w:val="16"/>
                <w:lang w:val="es-ES_tradnl"/>
              </w:rPr>
            </w:pPr>
            <w:r w:rsidRPr="00C75C7E">
              <w:rPr>
                <w:bCs/>
                <w:sz w:val="16"/>
                <w:szCs w:val="16"/>
                <w:lang w:val="es-ES_tradnl"/>
              </w:rPr>
              <w:t xml:space="preserve">Máximo de 80 espacios de trabajo alquilados (de un total de 1.582 espacios de trabajo); </w:t>
            </w:r>
          </w:p>
          <w:p w:rsidR="009F58E5" w:rsidRPr="00C75C7E" w:rsidRDefault="009F58E5" w:rsidP="008F4F69">
            <w:pPr>
              <w:keepNext/>
              <w:keepLines/>
              <w:ind w:right="221"/>
              <w:rPr>
                <w:bCs/>
                <w:sz w:val="16"/>
                <w:szCs w:val="16"/>
                <w:lang w:val="es-ES_tradnl"/>
              </w:rPr>
            </w:pPr>
            <w:r w:rsidRPr="00C75C7E">
              <w:rPr>
                <w:bCs/>
                <w:sz w:val="16"/>
                <w:szCs w:val="16"/>
                <w:lang w:val="es-ES_tradnl"/>
              </w:rPr>
              <w:t>6 áreas de almacenamiento y archivo.</w:t>
            </w:r>
          </w:p>
        </w:tc>
      </w:tr>
      <w:tr w:rsidR="009F58E5" w:rsidRPr="00C75C7E" w:rsidTr="008F4F69">
        <w:trPr>
          <w:cantSplit/>
          <w:trHeight w:val="1512"/>
        </w:trPr>
        <w:tc>
          <w:tcPr>
            <w:tcW w:w="1249" w:type="pct"/>
            <w:shd w:val="clear" w:color="auto" w:fill="auto"/>
            <w:tcMar>
              <w:top w:w="113" w:type="dxa"/>
            </w:tcMar>
          </w:tcPr>
          <w:p w:rsidR="009F58E5" w:rsidRPr="00C75C7E" w:rsidRDefault="009F58E5" w:rsidP="008F4F69">
            <w:pPr>
              <w:rPr>
                <w:sz w:val="16"/>
                <w:szCs w:val="16"/>
                <w:lang w:val="es-ES_tradnl"/>
              </w:rPr>
            </w:pPr>
          </w:p>
        </w:tc>
        <w:tc>
          <w:tcPr>
            <w:tcW w:w="1462" w:type="pct"/>
            <w:shd w:val="clear" w:color="auto" w:fill="auto"/>
            <w:tcMar>
              <w:top w:w="113" w:type="dxa"/>
            </w:tcMar>
          </w:tcPr>
          <w:p w:rsidR="009F58E5" w:rsidRPr="00C75C7E" w:rsidRDefault="009F58E5" w:rsidP="008F4F69">
            <w:pPr>
              <w:rPr>
                <w:sz w:val="16"/>
                <w:szCs w:val="16"/>
                <w:highlight w:val="cyan"/>
                <w:lang w:val="es-ES_tradnl"/>
              </w:rPr>
            </w:pPr>
            <w:r w:rsidRPr="00C75C7E">
              <w:rPr>
                <w:sz w:val="16"/>
                <w:szCs w:val="16"/>
                <w:lang w:val="es-ES_tradnl"/>
              </w:rPr>
              <w:t>Se renuevan, modernizan o transforman los edificios del recinto de la OMPI para que sigan sirviendo a los fines establecidos.</w:t>
            </w:r>
          </w:p>
        </w:tc>
        <w:tc>
          <w:tcPr>
            <w:tcW w:w="1145" w:type="pct"/>
            <w:shd w:val="clear" w:color="auto" w:fill="FFFFFF"/>
            <w:tcMar>
              <w:top w:w="113" w:type="dxa"/>
            </w:tcMar>
          </w:tcPr>
          <w:p w:rsidR="009F58E5" w:rsidRPr="00C75C7E" w:rsidRDefault="009F58E5" w:rsidP="00AC049F">
            <w:pPr>
              <w:rPr>
                <w:sz w:val="16"/>
                <w:szCs w:val="16"/>
                <w:lang w:val="es-ES_tradnl" w:bidi="th-TH"/>
              </w:rPr>
            </w:pPr>
            <w:r w:rsidRPr="00C75C7E">
              <w:rPr>
                <w:sz w:val="16"/>
                <w:szCs w:val="16"/>
                <w:lang w:val="es-ES_tradnl" w:bidi="th-TH"/>
              </w:rPr>
              <w:t xml:space="preserve">Plan sexenal para la primera fase de ejecución de la renovación, transformación y modernización </w:t>
            </w:r>
            <w:r w:rsidR="00AC049F">
              <w:rPr>
                <w:sz w:val="16"/>
                <w:szCs w:val="16"/>
                <w:lang w:val="es-ES_tradnl" w:bidi="th-TH"/>
              </w:rPr>
              <w:t xml:space="preserve">de gran alcance </w:t>
            </w:r>
            <w:r w:rsidRPr="00C75C7E">
              <w:rPr>
                <w:sz w:val="16"/>
                <w:szCs w:val="16"/>
                <w:lang w:val="es-ES_tradnl" w:bidi="th-TH"/>
              </w:rPr>
              <w:t>de los locales del recinto de la OMPI que es necesario llevar a cabo.</w:t>
            </w:r>
          </w:p>
        </w:tc>
        <w:tc>
          <w:tcPr>
            <w:tcW w:w="1144" w:type="pct"/>
            <w:shd w:val="clear" w:color="auto" w:fill="auto"/>
            <w:tcMar>
              <w:top w:w="113" w:type="dxa"/>
            </w:tcMar>
          </w:tcPr>
          <w:p w:rsidR="009F58E5" w:rsidRPr="00C75C7E" w:rsidRDefault="009F58E5" w:rsidP="00AC049F">
            <w:pPr>
              <w:keepNext/>
              <w:keepLines/>
              <w:ind w:right="221"/>
              <w:rPr>
                <w:bCs/>
                <w:sz w:val="16"/>
                <w:szCs w:val="16"/>
                <w:lang w:val="es-ES_tradnl"/>
              </w:rPr>
            </w:pPr>
            <w:r w:rsidRPr="00C75C7E">
              <w:rPr>
                <w:bCs/>
                <w:sz w:val="16"/>
                <w:szCs w:val="16"/>
                <w:lang w:val="es-ES_tradnl"/>
              </w:rPr>
              <w:t xml:space="preserve">Ejecución de proyectos de renovación, transformación y modernización </w:t>
            </w:r>
            <w:r w:rsidR="00AC049F">
              <w:rPr>
                <w:bCs/>
                <w:sz w:val="16"/>
                <w:szCs w:val="16"/>
                <w:lang w:val="es-ES_tradnl"/>
              </w:rPr>
              <w:t xml:space="preserve">de gran alcance </w:t>
            </w:r>
            <w:r w:rsidRPr="00C75C7E">
              <w:rPr>
                <w:bCs/>
                <w:sz w:val="16"/>
                <w:szCs w:val="16"/>
                <w:lang w:val="es-ES_tradnl"/>
              </w:rPr>
              <w:t>con arreglo al plan sexenal.</w:t>
            </w:r>
          </w:p>
        </w:tc>
      </w:tr>
      <w:tr w:rsidR="009F58E5" w:rsidRPr="00C75C7E" w:rsidTr="008F4F69">
        <w:trPr>
          <w:cantSplit/>
          <w:trHeight w:val="1027"/>
        </w:trPr>
        <w:tc>
          <w:tcPr>
            <w:tcW w:w="1249" w:type="pct"/>
            <w:shd w:val="clear" w:color="auto" w:fill="auto"/>
            <w:tcMar>
              <w:top w:w="113" w:type="dxa"/>
            </w:tcMar>
          </w:tcPr>
          <w:p w:rsidR="009F58E5" w:rsidRPr="00C75C7E" w:rsidRDefault="009F58E5" w:rsidP="008F4F69">
            <w:pPr>
              <w:rPr>
                <w:sz w:val="16"/>
                <w:szCs w:val="16"/>
                <w:lang w:val="es-ES_tradnl"/>
              </w:rPr>
            </w:pPr>
          </w:p>
        </w:tc>
        <w:tc>
          <w:tcPr>
            <w:tcW w:w="1462" w:type="pct"/>
            <w:shd w:val="clear" w:color="auto" w:fill="auto"/>
            <w:tcMar>
              <w:top w:w="113" w:type="dxa"/>
            </w:tcMar>
          </w:tcPr>
          <w:p w:rsidR="009F58E5" w:rsidRPr="00C75C7E" w:rsidRDefault="009F58E5" w:rsidP="008F4F69">
            <w:pPr>
              <w:rPr>
                <w:sz w:val="16"/>
                <w:szCs w:val="16"/>
                <w:lang w:val="es-ES_tradnl"/>
              </w:rPr>
            </w:pPr>
            <w:r w:rsidRPr="00C75C7E">
              <w:rPr>
                <w:sz w:val="16"/>
                <w:szCs w:val="16"/>
                <w:lang w:val="es-ES_tradnl"/>
              </w:rPr>
              <w:t xml:space="preserve">Todos los tipos de instalaciones técnicas esenciales cumplen las normas técnicas aplicables. </w:t>
            </w:r>
          </w:p>
        </w:tc>
        <w:tc>
          <w:tcPr>
            <w:tcW w:w="1145" w:type="pct"/>
            <w:shd w:val="clear" w:color="auto" w:fill="FFFFFF"/>
            <w:tcMar>
              <w:top w:w="113" w:type="dxa"/>
            </w:tcMar>
          </w:tcPr>
          <w:p w:rsidR="009F58E5" w:rsidRPr="00C75C7E" w:rsidRDefault="009F58E5" w:rsidP="008F4F69">
            <w:pPr>
              <w:rPr>
                <w:sz w:val="16"/>
                <w:szCs w:val="16"/>
                <w:lang w:val="es-ES_tradnl" w:bidi="th-TH"/>
              </w:rPr>
            </w:pPr>
            <w:r w:rsidRPr="00C75C7E">
              <w:rPr>
                <w:sz w:val="16"/>
                <w:szCs w:val="16"/>
                <w:lang w:val="es-ES_tradnl" w:bidi="th-TH"/>
              </w:rPr>
              <w:t>Las instalaciones técnicas cumplen las normas y definiciones aplicables sobre instalaciones esenciales.</w:t>
            </w:r>
          </w:p>
        </w:tc>
        <w:tc>
          <w:tcPr>
            <w:tcW w:w="1144" w:type="pct"/>
            <w:shd w:val="clear" w:color="auto" w:fill="auto"/>
            <w:tcMar>
              <w:top w:w="113" w:type="dxa"/>
            </w:tcMar>
          </w:tcPr>
          <w:p w:rsidR="009F58E5" w:rsidRPr="00C75C7E" w:rsidRDefault="009F58E5" w:rsidP="008F4F69">
            <w:pPr>
              <w:keepNext/>
              <w:keepLines/>
              <w:ind w:right="221"/>
              <w:rPr>
                <w:bCs/>
                <w:sz w:val="16"/>
                <w:szCs w:val="16"/>
                <w:lang w:val="es-ES_tradnl"/>
              </w:rPr>
            </w:pPr>
            <w:r w:rsidRPr="00C75C7E">
              <w:rPr>
                <w:bCs/>
                <w:sz w:val="16"/>
                <w:szCs w:val="16"/>
                <w:lang w:val="es-ES_tradnl"/>
              </w:rPr>
              <w:t>Verificación o mejora/sustitución (si procede) de instalaciones técnicas esenciales cuando sea necesario.</w:t>
            </w:r>
          </w:p>
          <w:p w:rsidR="009F58E5" w:rsidRPr="00C75C7E" w:rsidRDefault="009F58E5" w:rsidP="008F4F69">
            <w:pPr>
              <w:keepNext/>
              <w:keepLines/>
              <w:ind w:right="221"/>
              <w:rPr>
                <w:bCs/>
                <w:sz w:val="16"/>
                <w:szCs w:val="16"/>
                <w:lang w:val="es-ES_tradnl"/>
              </w:rPr>
            </w:pPr>
          </w:p>
        </w:tc>
      </w:tr>
      <w:tr w:rsidR="009F58E5" w:rsidRPr="00C75C7E" w:rsidTr="008F4F69">
        <w:trPr>
          <w:cantSplit/>
          <w:trHeight w:val="1154"/>
        </w:trPr>
        <w:tc>
          <w:tcPr>
            <w:tcW w:w="1249" w:type="pct"/>
            <w:shd w:val="clear" w:color="auto" w:fill="auto"/>
            <w:tcMar>
              <w:top w:w="113" w:type="dxa"/>
            </w:tcMar>
          </w:tcPr>
          <w:p w:rsidR="009F58E5" w:rsidRPr="00C75C7E" w:rsidRDefault="009F58E5" w:rsidP="008F4F69">
            <w:pPr>
              <w:rPr>
                <w:sz w:val="16"/>
                <w:szCs w:val="16"/>
                <w:lang w:val="es-ES_tradnl"/>
              </w:rPr>
            </w:pPr>
            <w:r w:rsidRPr="00C75C7E">
              <w:rPr>
                <w:sz w:val="16"/>
                <w:szCs w:val="16"/>
                <w:lang w:val="es-ES_tradnl"/>
              </w:rPr>
              <w:t>IX.4. Una Organización responsable con el medio ambiente y la sociedad en la que se garantiza la seguridad del personal de la OMPI, los delegados, los visitantes, la información y los activos físicos.</w:t>
            </w:r>
          </w:p>
        </w:tc>
        <w:tc>
          <w:tcPr>
            <w:tcW w:w="1462" w:type="pct"/>
            <w:shd w:val="clear" w:color="auto" w:fill="auto"/>
            <w:tcMar>
              <w:top w:w="113" w:type="dxa"/>
            </w:tcMar>
          </w:tcPr>
          <w:p w:rsidR="009F58E5" w:rsidRPr="00C75C7E" w:rsidRDefault="009F58E5" w:rsidP="008F4F69">
            <w:pPr>
              <w:rPr>
                <w:sz w:val="16"/>
                <w:szCs w:val="16"/>
                <w:lang w:val="es-ES_tradnl"/>
              </w:rPr>
            </w:pPr>
            <w:r w:rsidRPr="00C75C7E">
              <w:rPr>
                <w:sz w:val="16"/>
                <w:szCs w:val="16"/>
                <w:lang w:val="es-ES_tradnl"/>
              </w:rPr>
              <w:t>Mejora de la accesibilidad al recinto de la OMPI.</w:t>
            </w:r>
          </w:p>
        </w:tc>
        <w:tc>
          <w:tcPr>
            <w:tcW w:w="1145" w:type="pct"/>
            <w:shd w:val="clear" w:color="auto" w:fill="FFFFFF"/>
            <w:tcMar>
              <w:top w:w="113" w:type="dxa"/>
            </w:tcMar>
          </w:tcPr>
          <w:p w:rsidR="009F58E5" w:rsidRPr="00C75C7E" w:rsidRDefault="009F58E5" w:rsidP="008F4F69">
            <w:pPr>
              <w:rPr>
                <w:sz w:val="16"/>
                <w:szCs w:val="16"/>
                <w:lang w:val="es-ES_tradnl" w:bidi="th-TH"/>
              </w:rPr>
            </w:pPr>
            <w:r w:rsidRPr="00C75C7E">
              <w:rPr>
                <w:sz w:val="16"/>
                <w:szCs w:val="16"/>
                <w:lang w:val="es-ES_tradnl" w:bidi="th-TH"/>
              </w:rPr>
              <w:t>Plan quinquenal para la aplicación de las recomendaciones de auditoría en materia de accesibilidad efectuadas en 2012 (plan establecido al final de 2013).</w:t>
            </w:r>
          </w:p>
        </w:tc>
        <w:tc>
          <w:tcPr>
            <w:tcW w:w="1144" w:type="pct"/>
            <w:shd w:val="clear" w:color="auto" w:fill="auto"/>
            <w:tcMar>
              <w:top w:w="113" w:type="dxa"/>
            </w:tcMar>
          </w:tcPr>
          <w:p w:rsidR="009F58E5" w:rsidRPr="00C75C7E" w:rsidRDefault="009F58E5" w:rsidP="008F4F69">
            <w:pPr>
              <w:keepNext/>
              <w:keepLines/>
              <w:ind w:right="221"/>
              <w:rPr>
                <w:bCs/>
                <w:sz w:val="16"/>
                <w:szCs w:val="16"/>
                <w:lang w:val="es-ES_tradnl"/>
              </w:rPr>
            </w:pPr>
            <w:r w:rsidRPr="00C75C7E">
              <w:rPr>
                <w:bCs/>
                <w:sz w:val="16"/>
                <w:szCs w:val="16"/>
                <w:lang w:val="es-ES_tradnl"/>
              </w:rPr>
              <w:t xml:space="preserve">Aplicación de las recomendaciones de auditoría con arreglo al plan quinquenal. </w:t>
            </w:r>
          </w:p>
        </w:tc>
      </w:tr>
      <w:tr w:rsidR="009F58E5" w:rsidRPr="00C75C7E" w:rsidTr="008F4F69">
        <w:trPr>
          <w:cantSplit/>
          <w:trHeight w:val="1126"/>
        </w:trPr>
        <w:tc>
          <w:tcPr>
            <w:tcW w:w="1249" w:type="pct"/>
            <w:shd w:val="clear" w:color="auto" w:fill="auto"/>
            <w:tcMar>
              <w:top w:w="113" w:type="dxa"/>
            </w:tcMar>
          </w:tcPr>
          <w:p w:rsidR="009F58E5" w:rsidRPr="00C75C7E" w:rsidRDefault="009F58E5" w:rsidP="008F4F69">
            <w:pPr>
              <w:rPr>
                <w:sz w:val="16"/>
                <w:szCs w:val="16"/>
                <w:lang w:val="es-ES_tradnl"/>
              </w:rPr>
            </w:pPr>
          </w:p>
        </w:tc>
        <w:tc>
          <w:tcPr>
            <w:tcW w:w="1462" w:type="pct"/>
            <w:shd w:val="clear" w:color="auto" w:fill="auto"/>
            <w:tcMar>
              <w:top w:w="113" w:type="dxa"/>
            </w:tcMar>
          </w:tcPr>
          <w:p w:rsidR="009F58E5" w:rsidRPr="00C75C7E" w:rsidRDefault="009F58E5" w:rsidP="008F4F69">
            <w:pPr>
              <w:rPr>
                <w:sz w:val="16"/>
                <w:szCs w:val="16"/>
                <w:lang w:val="es-ES_tradnl"/>
              </w:rPr>
            </w:pPr>
            <w:r w:rsidRPr="00C75C7E">
              <w:rPr>
                <w:sz w:val="16"/>
                <w:szCs w:val="16"/>
                <w:lang w:val="es-ES_tradnl"/>
              </w:rPr>
              <w:t xml:space="preserve">Menor repercusión de los edificios de la OMPI en el medio ambiente. </w:t>
            </w:r>
          </w:p>
        </w:tc>
        <w:tc>
          <w:tcPr>
            <w:tcW w:w="1145" w:type="pct"/>
            <w:shd w:val="clear" w:color="auto" w:fill="FFFFFF"/>
            <w:tcMar>
              <w:top w:w="113" w:type="dxa"/>
            </w:tcMar>
          </w:tcPr>
          <w:p w:rsidR="009F58E5" w:rsidRPr="00C75C7E" w:rsidRDefault="009F58E5" w:rsidP="008F4F69">
            <w:pPr>
              <w:rPr>
                <w:sz w:val="16"/>
                <w:szCs w:val="16"/>
                <w:lang w:val="es-ES_tradnl" w:bidi="th-TH"/>
              </w:rPr>
            </w:pPr>
            <w:r w:rsidRPr="00C75C7E">
              <w:rPr>
                <w:sz w:val="16"/>
                <w:szCs w:val="16"/>
                <w:lang w:val="es-ES_tradnl" w:bidi="th-TH"/>
              </w:rPr>
              <w:t>Consumo anual de agua y electricidad (al final de 2013)</w:t>
            </w:r>
          </w:p>
        </w:tc>
        <w:tc>
          <w:tcPr>
            <w:tcW w:w="1144" w:type="pct"/>
            <w:shd w:val="clear" w:color="auto" w:fill="auto"/>
            <w:tcMar>
              <w:top w:w="113" w:type="dxa"/>
            </w:tcMar>
          </w:tcPr>
          <w:p w:rsidR="009F58E5" w:rsidRPr="00C75C7E" w:rsidRDefault="009F58E5" w:rsidP="008F4F69">
            <w:pPr>
              <w:keepNext/>
              <w:keepLines/>
              <w:ind w:right="221"/>
              <w:rPr>
                <w:bCs/>
                <w:sz w:val="16"/>
                <w:szCs w:val="16"/>
                <w:lang w:val="es-ES_tradnl"/>
              </w:rPr>
            </w:pPr>
            <w:r w:rsidRPr="00C75C7E">
              <w:rPr>
                <w:bCs/>
                <w:sz w:val="16"/>
                <w:szCs w:val="16"/>
                <w:lang w:val="es-ES_tradnl"/>
              </w:rPr>
              <w:t>Disminución del 4% en el consumo de electricidad y del 10% en el consumo de agua a fines de 2015.</w:t>
            </w:r>
          </w:p>
        </w:tc>
      </w:tr>
      <w:tr w:rsidR="009F58E5" w:rsidRPr="00C75C7E" w:rsidTr="008F4F69">
        <w:trPr>
          <w:cantSplit/>
          <w:trHeight w:val="1512"/>
        </w:trPr>
        <w:tc>
          <w:tcPr>
            <w:tcW w:w="1249" w:type="pct"/>
            <w:shd w:val="clear" w:color="auto" w:fill="auto"/>
            <w:tcMar>
              <w:top w:w="113" w:type="dxa"/>
            </w:tcMar>
          </w:tcPr>
          <w:p w:rsidR="009F58E5" w:rsidRPr="00C75C7E" w:rsidRDefault="009F58E5" w:rsidP="008F4F69">
            <w:pPr>
              <w:rPr>
                <w:sz w:val="16"/>
                <w:szCs w:val="16"/>
                <w:lang w:val="es-ES_tradnl"/>
              </w:rPr>
            </w:pPr>
          </w:p>
        </w:tc>
        <w:tc>
          <w:tcPr>
            <w:tcW w:w="1462" w:type="pct"/>
            <w:shd w:val="clear" w:color="auto" w:fill="auto"/>
            <w:tcMar>
              <w:top w:w="113" w:type="dxa"/>
            </w:tcMar>
          </w:tcPr>
          <w:p w:rsidR="009F58E5" w:rsidRPr="00C75C7E" w:rsidRDefault="009F58E5" w:rsidP="008F4F69">
            <w:pPr>
              <w:rPr>
                <w:sz w:val="16"/>
                <w:szCs w:val="16"/>
                <w:lang w:val="es-ES_tradnl"/>
              </w:rPr>
            </w:pPr>
            <w:r w:rsidRPr="00C75C7E">
              <w:rPr>
                <w:sz w:val="16"/>
                <w:szCs w:val="16"/>
                <w:lang w:val="es-ES_tradnl"/>
              </w:rPr>
              <w:t>Los locales de la OMPI satisfacen las recomendaciones efectuadas en 2009 por el Instituto de Seguridad (Neuchatel) y las medidas de seguridad del perímetro con arreglo a las normas mínimas operativas de seguridad para las sedes de NN.UU.</w:t>
            </w:r>
          </w:p>
        </w:tc>
        <w:tc>
          <w:tcPr>
            <w:tcW w:w="1145" w:type="pct"/>
            <w:shd w:val="clear" w:color="auto" w:fill="FFFFFF"/>
            <w:tcMar>
              <w:top w:w="113" w:type="dxa"/>
            </w:tcMar>
          </w:tcPr>
          <w:p w:rsidR="009F58E5" w:rsidRPr="00C75C7E" w:rsidRDefault="009F58E5" w:rsidP="008F4F69">
            <w:pPr>
              <w:rPr>
                <w:sz w:val="16"/>
                <w:szCs w:val="16"/>
                <w:lang w:val="es-ES_tradnl" w:bidi="th-TH"/>
              </w:rPr>
            </w:pPr>
            <w:r w:rsidRPr="00C75C7E">
              <w:rPr>
                <w:sz w:val="16"/>
                <w:szCs w:val="16"/>
                <w:lang w:val="es-ES_tradnl" w:bidi="th-TH"/>
              </w:rPr>
              <w:t>Plan sexenal para la aplicación de las recomendaciones de auditoría efectuadas en 2009 por el Instituto de Seguridad (Neuchatel</w:t>
            </w:r>
            <w:r w:rsidR="00FE7E73">
              <w:rPr>
                <w:sz w:val="16"/>
                <w:szCs w:val="16"/>
                <w:lang w:val="es-ES_tradnl" w:bidi="th-TH"/>
              </w:rPr>
              <w:t>)</w:t>
            </w:r>
            <w:r w:rsidRPr="00C75C7E">
              <w:rPr>
                <w:sz w:val="16"/>
                <w:szCs w:val="16"/>
                <w:lang w:val="es-ES_tradnl" w:bidi="th-TH"/>
              </w:rPr>
              <w:t>.</w:t>
            </w:r>
          </w:p>
        </w:tc>
        <w:tc>
          <w:tcPr>
            <w:tcW w:w="1144" w:type="pct"/>
            <w:shd w:val="clear" w:color="auto" w:fill="auto"/>
            <w:tcMar>
              <w:top w:w="113" w:type="dxa"/>
            </w:tcMar>
          </w:tcPr>
          <w:p w:rsidR="009F58E5" w:rsidRPr="00C75C7E" w:rsidRDefault="009F58E5" w:rsidP="008F4F69">
            <w:pPr>
              <w:keepNext/>
              <w:keepLines/>
              <w:ind w:right="221"/>
              <w:rPr>
                <w:bCs/>
                <w:sz w:val="16"/>
                <w:szCs w:val="16"/>
                <w:lang w:val="es-ES_tradnl"/>
              </w:rPr>
            </w:pPr>
            <w:r w:rsidRPr="00C75C7E">
              <w:rPr>
                <w:bCs/>
                <w:sz w:val="16"/>
                <w:szCs w:val="16"/>
                <w:lang w:val="es-ES_tradnl"/>
              </w:rPr>
              <w:t>Aplicación de las recomendaciones de auditoría con arreglo a la ejecución del plan sexenal y medidas de seguridad del perímetro a fines de 2015.</w:t>
            </w:r>
          </w:p>
        </w:tc>
      </w:tr>
    </w:tbl>
    <w:p w:rsidR="009F58E5" w:rsidRPr="00C75C7E" w:rsidRDefault="009F58E5" w:rsidP="009F58E5">
      <w:pPr>
        <w:rPr>
          <w:sz w:val="20"/>
          <w:lang w:val="es-ES_tradnl"/>
        </w:rPr>
      </w:pPr>
    </w:p>
    <w:p w:rsidR="009F58E5" w:rsidRDefault="009F58E5" w:rsidP="009F58E5">
      <w:pPr>
        <w:rPr>
          <w:sz w:val="20"/>
          <w:highlight w:val="yellow"/>
          <w:lang w:val="es-ES_tradnl"/>
        </w:rPr>
      </w:pPr>
    </w:p>
    <w:p w:rsidR="00B1649B" w:rsidRPr="003F4AA7" w:rsidRDefault="00B1649B" w:rsidP="00E6603F">
      <w:pPr>
        <w:widowControl w:val="0"/>
        <w:rPr>
          <w:sz w:val="20"/>
        </w:rPr>
      </w:pPr>
    </w:p>
    <w:p w:rsidR="00B1649B" w:rsidRPr="003F4AA7" w:rsidRDefault="00B1649B" w:rsidP="00E6603F">
      <w:pPr>
        <w:widowControl w:val="0"/>
        <w:autoSpaceDE w:val="0"/>
        <w:autoSpaceDN w:val="0"/>
        <w:adjustRightInd w:val="0"/>
        <w:jc w:val="both"/>
        <w:rPr>
          <w:szCs w:val="22"/>
        </w:rPr>
      </w:pPr>
      <w:r w:rsidRPr="00ED24BB">
        <w:rPr>
          <w:szCs w:val="22"/>
        </w:rPr>
        <w:t>RECURSOS PARA EL PROGRAMA</w:t>
      </w:r>
      <w:r w:rsidRPr="003F4AA7">
        <w:rPr>
          <w:szCs w:val="22"/>
        </w:rPr>
        <w:t xml:space="preserve"> 24</w:t>
      </w:r>
    </w:p>
    <w:p w:rsidR="00B1649B" w:rsidRPr="003F4AA7" w:rsidRDefault="00B1649B" w:rsidP="00E6603F">
      <w:pPr>
        <w:widowControl w:val="0"/>
        <w:autoSpaceDE w:val="0"/>
        <w:autoSpaceDN w:val="0"/>
        <w:adjustRightInd w:val="0"/>
        <w:rPr>
          <w:sz w:val="20"/>
        </w:rPr>
      </w:pPr>
    </w:p>
    <w:p w:rsidR="00B1649B" w:rsidRPr="00266CB9" w:rsidRDefault="00B1649B" w:rsidP="00D41E6A">
      <w:pPr>
        <w:widowControl w:val="0"/>
        <w:numPr>
          <w:ilvl w:val="0"/>
          <w:numId w:val="43"/>
        </w:numPr>
        <w:jc w:val="both"/>
        <w:rPr>
          <w:sz w:val="20"/>
        </w:rPr>
      </w:pPr>
      <w:r w:rsidRPr="00266CB9">
        <w:rPr>
          <w:sz w:val="20"/>
        </w:rPr>
        <w:t>Los recursos asignados al resultado VIII.5</w:t>
      </w:r>
      <w:r>
        <w:rPr>
          <w:sz w:val="20"/>
        </w:rPr>
        <w:t xml:space="preserve"> (</w:t>
      </w:r>
      <w:r w:rsidRPr="00DF6F69">
        <w:rPr>
          <w:sz w:val="20"/>
        </w:rPr>
        <w:t>La OMPI participa y</w:t>
      </w:r>
      <w:r>
        <w:rPr>
          <w:sz w:val="20"/>
        </w:rPr>
        <w:t xml:space="preserve"> </w:t>
      </w:r>
      <w:r w:rsidRPr="00DF6F69">
        <w:rPr>
          <w:sz w:val="20"/>
        </w:rPr>
        <w:t>colabora eficazmente en los</w:t>
      </w:r>
      <w:r>
        <w:rPr>
          <w:sz w:val="20"/>
        </w:rPr>
        <w:t xml:space="preserve"> </w:t>
      </w:r>
      <w:r w:rsidRPr="00DF6F69">
        <w:rPr>
          <w:sz w:val="20"/>
        </w:rPr>
        <w:t>procesos y negociaciones de</w:t>
      </w:r>
      <w:r>
        <w:rPr>
          <w:sz w:val="20"/>
        </w:rPr>
        <w:t xml:space="preserve"> las NN.UU. y otras OIG) reflejan una atención particular a la colaboración con otras organizaciones del sistema de</w:t>
      </w:r>
      <w:r w:rsidRPr="00266CB9">
        <w:rPr>
          <w:sz w:val="20"/>
        </w:rPr>
        <w:t xml:space="preserve"> </w:t>
      </w:r>
      <w:r>
        <w:rPr>
          <w:sz w:val="20"/>
        </w:rPr>
        <w:t>las NN.UU</w:t>
      </w:r>
      <w:r w:rsidRPr="00266CB9">
        <w:rPr>
          <w:sz w:val="20"/>
        </w:rPr>
        <w:t xml:space="preserve"> </w:t>
      </w:r>
      <w:r>
        <w:rPr>
          <w:sz w:val="20"/>
        </w:rPr>
        <w:t xml:space="preserve">y un apoyo a la Agenda para el Desarrollo de la OMPI en distintos países del mundo mediante la adquisición, </w:t>
      </w:r>
      <w:r w:rsidRPr="00D433D8">
        <w:rPr>
          <w:sz w:val="20"/>
        </w:rPr>
        <w:t>en la medida de lo posible</w:t>
      </w:r>
      <w:r>
        <w:rPr>
          <w:sz w:val="20"/>
        </w:rPr>
        <w:t>, de bienes y servicios</w:t>
      </w:r>
      <w:r w:rsidRPr="00266CB9">
        <w:rPr>
          <w:sz w:val="20"/>
        </w:rPr>
        <w:t xml:space="preserve"> </w:t>
      </w:r>
      <w:r>
        <w:rPr>
          <w:sz w:val="20"/>
        </w:rPr>
        <w:t>locales o regionales.  El aumento se debe fundamentalmente a la asignación de un porcentaje mayor de recursos de personal para lograr este resultado.</w:t>
      </w:r>
    </w:p>
    <w:p w:rsidR="00B1649B" w:rsidRPr="00266CB9" w:rsidRDefault="00B1649B" w:rsidP="00E6603F">
      <w:pPr>
        <w:widowControl w:val="0"/>
        <w:jc w:val="both"/>
        <w:rPr>
          <w:sz w:val="20"/>
        </w:rPr>
      </w:pPr>
    </w:p>
    <w:p w:rsidR="00B1649B" w:rsidRPr="007F34B6" w:rsidRDefault="00B1649B" w:rsidP="00D41E6A">
      <w:pPr>
        <w:widowControl w:val="0"/>
        <w:numPr>
          <w:ilvl w:val="0"/>
          <w:numId w:val="43"/>
        </w:numPr>
        <w:jc w:val="both"/>
        <w:rPr>
          <w:sz w:val="20"/>
        </w:rPr>
      </w:pPr>
      <w:r w:rsidRPr="001F607C">
        <w:rPr>
          <w:sz w:val="20"/>
        </w:rPr>
        <w:t>Los recu</w:t>
      </w:r>
      <w:r>
        <w:rPr>
          <w:sz w:val="20"/>
        </w:rPr>
        <w:t xml:space="preserve">rsos asignados al resultado IX.1 (Servicios de </w:t>
      </w:r>
      <w:r w:rsidRPr="003B6A11">
        <w:rPr>
          <w:sz w:val="20"/>
        </w:rPr>
        <w:t>apoyo</w:t>
      </w:r>
      <w:r>
        <w:rPr>
          <w:sz w:val="20"/>
        </w:rPr>
        <w:t xml:space="preserve"> </w:t>
      </w:r>
      <w:r w:rsidRPr="003B6A11">
        <w:rPr>
          <w:sz w:val="20"/>
        </w:rPr>
        <w:t>eficaces, eficientes, de</w:t>
      </w:r>
      <w:r>
        <w:rPr>
          <w:sz w:val="20"/>
        </w:rPr>
        <w:t xml:space="preserve"> calidad y </w:t>
      </w:r>
      <w:r w:rsidRPr="003B6A11">
        <w:rPr>
          <w:sz w:val="20"/>
        </w:rPr>
        <w:t>orientados al</w:t>
      </w:r>
      <w:r>
        <w:rPr>
          <w:sz w:val="20"/>
        </w:rPr>
        <w:t xml:space="preserve"> </w:t>
      </w:r>
      <w:r w:rsidRPr="003B6A11">
        <w:rPr>
          <w:sz w:val="20"/>
        </w:rPr>
        <w:t>cliente</w:t>
      </w:r>
      <w:r>
        <w:rPr>
          <w:sz w:val="20"/>
        </w:rPr>
        <w:t xml:space="preserve">) han aumentado </w:t>
      </w:r>
      <w:r w:rsidRPr="00C42F47">
        <w:rPr>
          <w:sz w:val="20"/>
        </w:rPr>
        <w:t>fundamentalmente como consecuencia</w:t>
      </w:r>
      <w:r>
        <w:rPr>
          <w:sz w:val="20"/>
        </w:rPr>
        <w:t xml:space="preserve"> de la transferencia de fondos para el pago de los intereses del préstamo para la financiación de la construcción del nuevo edificio.  Estos costos estaban anteriormente presupuestados para el programa 29 y se reflejaban en el aumento de la línea </w:t>
      </w:r>
      <w:r w:rsidRPr="007F34B6">
        <w:rPr>
          <w:sz w:val="20"/>
        </w:rPr>
        <w:t>“Locales y</w:t>
      </w:r>
      <w:r>
        <w:rPr>
          <w:sz w:val="20"/>
        </w:rPr>
        <w:t xml:space="preserve"> </w:t>
      </w:r>
      <w:r w:rsidRPr="007F34B6">
        <w:rPr>
          <w:sz w:val="20"/>
        </w:rPr>
        <w:t>mantenimiento”</w:t>
      </w:r>
      <w:r>
        <w:rPr>
          <w:sz w:val="20"/>
        </w:rPr>
        <w:t>.</w:t>
      </w:r>
    </w:p>
    <w:p w:rsidR="00B1649B" w:rsidRPr="001F607C" w:rsidRDefault="00B1649B" w:rsidP="00E6603F">
      <w:pPr>
        <w:widowControl w:val="0"/>
        <w:jc w:val="both"/>
        <w:rPr>
          <w:sz w:val="20"/>
        </w:rPr>
      </w:pPr>
    </w:p>
    <w:p w:rsidR="00B1649B" w:rsidRPr="00266CB9" w:rsidRDefault="00B1649B" w:rsidP="00D41E6A">
      <w:pPr>
        <w:widowControl w:val="0"/>
        <w:numPr>
          <w:ilvl w:val="0"/>
          <w:numId w:val="43"/>
        </w:numPr>
        <w:jc w:val="both"/>
        <w:rPr>
          <w:sz w:val="20"/>
        </w:rPr>
      </w:pPr>
      <w:r>
        <w:rPr>
          <w:sz w:val="20"/>
        </w:rPr>
        <w:t>Se propone un aumento de l</w:t>
      </w:r>
      <w:r w:rsidRPr="0038261D">
        <w:rPr>
          <w:sz w:val="20"/>
        </w:rPr>
        <w:t>os recursos asignados al resultado IX.4 (</w:t>
      </w:r>
      <w:r>
        <w:rPr>
          <w:sz w:val="20"/>
        </w:rPr>
        <w:t xml:space="preserve">Una Organización </w:t>
      </w:r>
      <w:r w:rsidRPr="0038261D">
        <w:rPr>
          <w:sz w:val="20"/>
        </w:rPr>
        <w:t>responsable con el medio</w:t>
      </w:r>
      <w:r>
        <w:rPr>
          <w:sz w:val="20"/>
        </w:rPr>
        <w:t xml:space="preserve"> ambiente y la </w:t>
      </w:r>
      <w:r w:rsidRPr="0038261D">
        <w:rPr>
          <w:sz w:val="20"/>
        </w:rPr>
        <w:t>sociedad en la</w:t>
      </w:r>
      <w:r>
        <w:rPr>
          <w:sz w:val="20"/>
        </w:rPr>
        <w:t xml:space="preserve"> </w:t>
      </w:r>
      <w:r w:rsidRPr="0038261D">
        <w:rPr>
          <w:sz w:val="20"/>
        </w:rPr>
        <w:t>que se garantiza la</w:t>
      </w:r>
      <w:r>
        <w:rPr>
          <w:sz w:val="20"/>
        </w:rPr>
        <w:t xml:space="preserve"> </w:t>
      </w:r>
      <w:r w:rsidRPr="0038261D">
        <w:rPr>
          <w:sz w:val="20"/>
        </w:rPr>
        <w:t>seguridad del personal de la</w:t>
      </w:r>
      <w:r>
        <w:rPr>
          <w:sz w:val="20"/>
        </w:rPr>
        <w:t xml:space="preserve"> </w:t>
      </w:r>
      <w:r w:rsidRPr="0038261D">
        <w:rPr>
          <w:sz w:val="20"/>
        </w:rPr>
        <w:t>OMPI, los delegados, los</w:t>
      </w:r>
      <w:r>
        <w:rPr>
          <w:sz w:val="20"/>
        </w:rPr>
        <w:t xml:space="preserve"> visitantes, la </w:t>
      </w:r>
      <w:r w:rsidRPr="0038261D">
        <w:rPr>
          <w:sz w:val="20"/>
        </w:rPr>
        <w:t>información y</w:t>
      </w:r>
      <w:r>
        <w:rPr>
          <w:sz w:val="20"/>
        </w:rPr>
        <w:t xml:space="preserve"> </w:t>
      </w:r>
      <w:r w:rsidRPr="0038261D">
        <w:rPr>
          <w:sz w:val="20"/>
        </w:rPr>
        <w:t>los activos físicos</w:t>
      </w:r>
      <w:r>
        <w:rPr>
          <w:sz w:val="20"/>
        </w:rPr>
        <w:t>) para cumplir con la aplicación de las medidas de mejoramiento de la accesibilidad física a ciertos edificios de la OMPI, en virtud de la auditoría relativa a la accesibilidad física de 2012</w:t>
      </w:r>
      <w:r w:rsidRPr="0038261D">
        <w:rPr>
          <w:sz w:val="20"/>
        </w:rPr>
        <w:t>.</w:t>
      </w:r>
      <w:r>
        <w:rPr>
          <w:sz w:val="20"/>
        </w:rPr>
        <w:t xml:space="preserve">  El aumento se debe fundamentalmente a la asignación de un porcentaje mayor de recursos de personal para lograr este resultado.</w:t>
      </w:r>
    </w:p>
    <w:p w:rsidR="00B1649B" w:rsidRPr="0038261D" w:rsidRDefault="00B1649B" w:rsidP="00E6603F">
      <w:pPr>
        <w:widowControl w:val="0"/>
        <w:rPr>
          <w:sz w:val="20"/>
        </w:rPr>
      </w:pPr>
    </w:p>
    <w:p w:rsidR="00B1649B" w:rsidRPr="00B1649B" w:rsidRDefault="00B1649B" w:rsidP="009F58E5">
      <w:pPr>
        <w:rPr>
          <w:sz w:val="20"/>
          <w:highlight w:val="yellow"/>
        </w:rPr>
      </w:pPr>
    </w:p>
    <w:p w:rsidR="009F58E5" w:rsidRPr="00C75C7E" w:rsidRDefault="003C7CC7" w:rsidP="009F58E5">
      <w:pPr>
        <w:keepNext/>
        <w:keepLines/>
        <w:autoSpaceDE w:val="0"/>
        <w:autoSpaceDN w:val="0"/>
        <w:adjustRightInd w:val="0"/>
        <w:ind w:firstLine="567"/>
        <w:jc w:val="center"/>
        <w:rPr>
          <w:b/>
          <w:bCs/>
          <w:iCs/>
          <w:sz w:val="20"/>
          <w:lang w:val="es-ES_tradnl"/>
        </w:rPr>
      </w:pPr>
      <w:r>
        <w:rPr>
          <w:b/>
          <w:bCs/>
          <w:iCs/>
          <w:sz w:val="20"/>
          <w:lang w:val="es-ES_tradnl"/>
        </w:rPr>
        <w:t xml:space="preserve">Programa 24:  </w:t>
      </w:r>
      <w:r w:rsidR="009F58E5" w:rsidRPr="00C75C7E">
        <w:rPr>
          <w:b/>
          <w:bCs/>
          <w:iCs/>
          <w:sz w:val="20"/>
          <w:lang w:val="es-ES_tradnl"/>
        </w:rPr>
        <w:t>Recursos por resultado</w:t>
      </w:r>
    </w:p>
    <w:p w:rsidR="009F58E5" w:rsidRPr="00C75C7E" w:rsidRDefault="009F58E5" w:rsidP="009F58E5">
      <w:pPr>
        <w:keepNext/>
        <w:keepLines/>
        <w:autoSpaceDE w:val="0"/>
        <w:autoSpaceDN w:val="0"/>
        <w:adjustRightInd w:val="0"/>
        <w:ind w:firstLine="567"/>
        <w:jc w:val="center"/>
        <w:rPr>
          <w:bCs/>
          <w:i/>
          <w:sz w:val="20"/>
          <w:lang w:val="es-ES_tradnl"/>
        </w:rPr>
      </w:pPr>
      <w:r w:rsidRPr="00C75C7E">
        <w:rPr>
          <w:bCs/>
          <w:i/>
          <w:sz w:val="20"/>
          <w:lang w:val="es-ES_tradnl"/>
        </w:rPr>
        <w:t>(en miles de francos suizos)</w:t>
      </w:r>
    </w:p>
    <w:p w:rsidR="009F58E5" w:rsidRPr="00C75C7E" w:rsidRDefault="009F58E5" w:rsidP="009F58E5">
      <w:pPr>
        <w:keepNext/>
        <w:keepLines/>
        <w:autoSpaceDE w:val="0"/>
        <w:autoSpaceDN w:val="0"/>
        <w:adjustRightInd w:val="0"/>
        <w:jc w:val="center"/>
        <w:rPr>
          <w:sz w:val="20"/>
          <w:lang w:val="es-ES_tradnl"/>
        </w:rPr>
      </w:pPr>
    </w:p>
    <w:p w:rsidR="009F58E5" w:rsidRPr="00C75C7E" w:rsidRDefault="00C40A11" w:rsidP="009F58E5">
      <w:pPr>
        <w:keepNext/>
        <w:keepLines/>
        <w:rPr>
          <w:sz w:val="20"/>
          <w:lang w:val="es-ES_tradnl"/>
        </w:rPr>
      </w:pPr>
      <w:r>
        <w:rPr>
          <w:noProof/>
          <w:lang w:val="en-US" w:eastAsia="en-US"/>
        </w:rPr>
        <w:drawing>
          <wp:inline distT="0" distB="0" distL="0" distR="0" wp14:anchorId="020A03C4" wp14:editId="553F2EA0">
            <wp:extent cx="5752465" cy="2313305"/>
            <wp:effectExtent l="0" t="0" r="635" b="0"/>
            <wp:docPr id="74"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5752465" cy="2313305"/>
                    </a:xfrm>
                    <a:prstGeom prst="rect">
                      <a:avLst/>
                    </a:prstGeom>
                    <a:noFill/>
                    <a:ln>
                      <a:noFill/>
                    </a:ln>
                  </pic:spPr>
                </pic:pic>
              </a:graphicData>
            </a:graphic>
          </wp:inline>
        </w:drawing>
      </w:r>
    </w:p>
    <w:p w:rsidR="009F58E5" w:rsidRPr="00C75C7E" w:rsidRDefault="009F58E5" w:rsidP="009F58E5">
      <w:pPr>
        <w:keepNext/>
        <w:keepLines/>
        <w:rPr>
          <w:sz w:val="20"/>
          <w:lang w:val="es-ES_tradnl"/>
        </w:rPr>
      </w:pPr>
    </w:p>
    <w:p w:rsidR="009F58E5" w:rsidRPr="00C75C7E" w:rsidRDefault="009F58E5" w:rsidP="009F58E5">
      <w:pPr>
        <w:keepNext/>
        <w:keepLines/>
        <w:autoSpaceDE w:val="0"/>
        <w:autoSpaceDN w:val="0"/>
        <w:adjustRightInd w:val="0"/>
        <w:rPr>
          <w:sz w:val="20"/>
          <w:lang w:val="es-ES_tradnl"/>
        </w:rPr>
      </w:pPr>
      <w:r w:rsidRPr="00C75C7E">
        <w:rPr>
          <w:sz w:val="16"/>
          <w:szCs w:val="16"/>
          <w:lang w:val="es-ES_tradnl"/>
        </w:rPr>
        <w:t xml:space="preserve">Nota: </w:t>
      </w:r>
      <w:r w:rsidR="00071180">
        <w:rPr>
          <w:sz w:val="16"/>
          <w:szCs w:val="16"/>
          <w:lang w:val="es-ES_tradnl"/>
        </w:rPr>
        <w:t xml:space="preserve"> </w:t>
      </w:r>
      <w:r w:rsidRPr="00C75C7E">
        <w:rPr>
          <w:sz w:val="16"/>
          <w:szCs w:val="16"/>
          <w:lang w:val="es-ES_tradnl"/>
        </w:rPr>
        <w:t>Se ha reexpresado el presupuesto aprobado de 2012/13 y el presupuesto de dicho bienio después de las transferencias, por resultado previsto, para reflejar el marco de resultados de la Organización propuesto para 2014/15.</w:t>
      </w:r>
    </w:p>
    <w:p w:rsidR="009F58E5" w:rsidRPr="00C75C7E" w:rsidRDefault="009F58E5" w:rsidP="009F58E5">
      <w:pPr>
        <w:jc w:val="both"/>
        <w:rPr>
          <w:sz w:val="20"/>
          <w:lang w:val="es-ES_tradnl"/>
        </w:rPr>
      </w:pPr>
    </w:p>
    <w:p w:rsidR="009F58E5" w:rsidRPr="00C75C7E" w:rsidRDefault="008D3D36" w:rsidP="009F58E5">
      <w:pPr>
        <w:keepNext/>
        <w:keepLines/>
        <w:autoSpaceDE w:val="0"/>
        <w:autoSpaceDN w:val="0"/>
        <w:adjustRightInd w:val="0"/>
        <w:ind w:firstLine="567"/>
        <w:jc w:val="center"/>
        <w:rPr>
          <w:b/>
          <w:bCs/>
          <w:iCs/>
          <w:sz w:val="20"/>
          <w:lang w:val="es-ES_tradnl"/>
        </w:rPr>
      </w:pPr>
      <w:r>
        <w:rPr>
          <w:b/>
          <w:bCs/>
          <w:iCs/>
          <w:sz w:val="20"/>
          <w:lang w:val="es-ES_tradnl"/>
        </w:rPr>
        <w:lastRenderedPageBreak/>
        <w:t xml:space="preserve">Programa 24:  </w:t>
      </w:r>
      <w:r w:rsidR="009F58E5" w:rsidRPr="00C75C7E">
        <w:rPr>
          <w:b/>
          <w:bCs/>
          <w:iCs/>
          <w:sz w:val="20"/>
          <w:lang w:val="es-ES_tradnl"/>
        </w:rPr>
        <w:t>Recursos por objeto de gasto</w:t>
      </w:r>
    </w:p>
    <w:p w:rsidR="009F58E5" w:rsidRPr="00C75C7E" w:rsidRDefault="009F58E5" w:rsidP="009F58E5">
      <w:pPr>
        <w:keepNext/>
        <w:keepLines/>
        <w:autoSpaceDE w:val="0"/>
        <w:autoSpaceDN w:val="0"/>
        <w:adjustRightInd w:val="0"/>
        <w:ind w:firstLine="567"/>
        <w:jc w:val="center"/>
        <w:rPr>
          <w:bCs/>
          <w:i/>
          <w:sz w:val="20"/>
          <w:lang w:val="es-ES_tradnl"/>
        </w:rPr>
      </w:pPr>
      <w:r w:rsidRPr="00C75C7E">
        <w:rPr>
          <w:bCs/>
          <w:i/>
          <w:sz w:val="20"/>
          <w:lang w:val="es-ES_tradnl"/>
        </w:rPr>
        <w:t>(en miles de francos suizos)</w:t>
      </w:r>
    </w:p>
    <w:p w:rsidR="009F58E5" w:rsidRDefault="009F58E5" w:rsidP="009F58E5">
      <w:pPr>
        <w:keepNext/>
        <w:keepLines/>
        <w:jc w:val="center"/>
        <w:rPr>
          <w:sz w:val="20"/>
          <w:lang w:val="es-ES_tradnl"/>
        </w:rPr>
      </w:pPr>
    </w:p>
    <w:p w:rsidR="00EA4CD8" w:rsidRPr="00C75C7E" w:rsidRDefault="00C40A11" w:rsidP="009F58E5">
      <w:pPr>
        <w:keepNext/>
        <w:keepLines/>
        <w:jc w:val="center"/>
        <w:rPr>
          <w:sz w:val="20"/>
          <w:lang w:val="es-ES_tradnl"/>
        </w:rPr>
      </w:pPr>
      <w:r>
        <w:rPr>
          <w:noProof/>
          <w:lang w:val="en-US" w:eastAsia="en-US"/>
        </w:rPr>
        <w:drawing>
          <wp:inline distT="0" distB="0" distL="0" distR="0" wp14:anchorId="73EC8159" wp14:editId="532B2047">
            <wp:extent cx="5936615" cy="5739130"/>
            <wp:effectExtent l="0" t="0" r="6985"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5936615" cy="5739130"/>
                    </a:xfrm>
                    <a:prstGeom prst="rect">
                      <a:avLst/>
                    </a:prstGeom>
                    <a:noFill/>
                    <a:ln>
                      <a:noFill/>
                    </a:ln>
                  </pic:spPr>
                </pic:pic>
              </a:graphicData>
            </a:graphic>
          </wp:inline>
        </w:drawing>
      </w:r>
    </w:p>
    <w:p w:rsidR="00EA4CD8" w:rsidRDefault="00EA4CD8" w:rsidP="009F58E5">
      <w:pPr>
        <w:keepNext/>
        <w:keepLines/>
        <w:rPr>
          <w:sz w:val="16"/>
          <w:szCs w:val="16"/>
          <w:lang w:val="es-ES_tradnl"/>
        </w:rPr>
      </w:pPr>
    </w:p>
    <w:p w:rsidR="009F58E5" w:rsidRPr="00C75C7E" w:rsidRDefault="009F58E5" w:rsidP="009F58E5">
      <w:pPr>
        <w:keepNext/>
        <w:keepLines/>
        <w:rPr>
          <w:sz w:val="16"/>
          <w:szCs w:val="16"/>
          <w:lang w:val="es-ES_tradnl"/>
        </w:rPr>
      </w:pPr>
      <w:r w:rsidRPr="00C75C7E">
        <w:rPr>
          <w:sz w:val="16"/>
          <w:szCs w:val="16"/>
          <w:lang w:val="es-ES_tradnl"/>
        </w:rPr>
        <w:t>Notas:</w:t>
      </w:r>
    </w:p>
    <w:p w:rsidR="009F58E5" w:rsidRPr="00C75C7E" w:rsidRDefault="009F58E5" w:rsidP="009F58E5">
      <w:pPr>
        <w:keepNext/>
        <w:keepLines/>
        <w:rPr>
          <w:sz w:val="16"/>
          <w:szCs w:val="16"/>
          <w:u w:val="single"/>
          <w:lang w:val="es-ES_tradnl"/>
        </w:rPr>
      </w:pPr>
    </w:p>
    <w:p w:rsidR="009F58E5" w:rsidRPr="00C75C7E" w:rsidRDefault="009F58E5" w:rsidP="009F58E5">
      <w:pPr>
        <w:keepNext/>
        <w:keepLines/>
        <w:spacing w:after="120"/>
        <w:rPr>
          <w:sz w:val="16"/>
          <w:szCs w:val="16"/>
          <w:lang w:val="es-ES_tradnl"/>
        </w:rPr>
      </w:pPr>
      <w:r w:rsidRPr="00C75C7E">
        <w:rPr>
          <w:sz w:val="16"/>
          <w:szCs w:val="16"/>
          <w:lang w:val="es-ES_tradnl"/>
        </w:rPr>
        <w:t>1)  El presupuesto aprobado de 2012/13 y el presupuesto de dicho bienio después de las transferencias se reexpresan sobre la base de la estructura de categorías de costos propuesta para 2014/15.</w:t>
      </w:r>
    </w:p>
    <w:p w:rsidR="009F58E5" w:rsidRPr="00C75C7E" w:rsidRDefault="009F58E5" w:rsidP="009F58E5">
      <w:pPr>
        <w:keepNext/>
        <w:keepLines/>
        <w:spacing w:after="120"/>
        <w:rPr>
          <w:sz w:val="16"/>
          <w:szCs w:val="16"/>
          <w:lang w:val="es-ES_tradnl"/>
        </w:rPr>
      </w:pPr>
      <w:r w:rsidRPr="00C75C7E">
        <w:rPr>
          <w:sz w:val="16"/>
          <w:szCs w:val="16"/>
          <w:lang w:val="es-ES_tradnl"/>
        </w:rPr>
        <w:t>2)  El presupuesto después de las transferencias refleja el presupuesto de los programas ajustado tras las transferencias efectuadas en 2012/13 en virtud del artículo 5.5 del Reglamento Financiero. Para más info</w:t>
      </w:r>
      <w:r w:rsidR="00FB6F33">
        <w:rPr>
          <w:sz w:val="16"/>
          <w:szCs w:val="16"/>
          <w:lang w:val="es-ES_tradnl"/>
        </w:rPr>
        <w:t>rmación sobre el presupuesto de </w:t>
      </w:r>
      <w:r w:rsidRPr="00C75C7E">
        <w:rPr>
          <w:sz w:val="16"/>
          <w:szCs w:val="16"/>
          <w:lang w:val="es-ES_tradnl"/>
        </w:rPr>
        <w:t xml:space="preserve">2012/13 después de las transferencias, cabe remitirse al cuadro que figura en el Anexo I (Presupuesto después de las transferencias, por programa) del presente documento y al documento WO/PBC/20/2 (Informe sobre el rendimiento de los programas en 2012).  </w:t>
      </w:r>
      <w:r w:rsidRPr="00C75C7E">
        <w:rPr>
          <w:rFonts w:cs="ArialMT"/>
          <w:sz w:val="16"/>
          <w:szCs w:val="16"/>
          <w:lang w:val="es-ES_tradnl"/>
        </w:rPr>
        <w:t xml:space="preserve">Los costos de personal del presupuesto de 2012/13 después de las transferencias representan los gastos reales efectuados hasta el 31 de marzo de 2013 y los importes presupuestados para los nueve meses restantes de 2013, sobre la base de costos estándar. </w:t>
      </w:r>
    </w:p>
    <w:p w:rsidR="009F58E5" w:rsidRPr="00C75C7E" w:rsidRDefault="009F58E5" w:rsidP="00E6603F">
      <w:pPr>
        <w:keepNext/>
        <w:keepLines/>
        <w:spacing w:after="120"/>
        <w:rPr>
          <w:sz w:val="20"/>
          <w:highlight w:val="yellow"/>
          <w:lang w:val="es-ES_tradnl"/>
        </w:rPr>
      </w:pPr>
      <w:r w:rsidRPr="00C75C7E">
        <w:rPr>
          <w:sz w:val="16"/>
          <w:szCs w:val="16"/>
          <w:lang w:val="es-ES_tradnl"/>
        </w:rPr>
        <w:t>3)  Para más información sobre los puestos del programa cabe remitirse al cuadro que figura en el Anexo II.</w:t>
      </w:r>
    </w:p>
    <w:p w:rsidR="00B1649B" w:rsidRPr="00E6603F" w:rsidRDefault="009F58E5" w:rsidP="00E6603F">
      <w:pPr>
        <w:pStyle w:val="Heading3"/>
        <w:tabs>
          <w:tab w:val="left" w:pos="1985"/>
        </w:tabs>
        <w:rPr>
          <w:b/>
          <w:u w:val="none"/>
          <w:lang w:val="es-ES_tradnl"/>
        </w:rPr>
      </w:pPr>
      <w:r w:rsidRPr="00C75C7E">
        <w:rPr>
          <w:sz w:val="20"/>
          <w:lang w:val="es-ES_tradnl"/>
        </w:rPr>
        <w:br w:type="page"/>
      </w:r>
      <w:bookmarkStart w:id="83" w:name="_Toc356567780"/>
      <w:bookmarkStart w:id="84" w:name="_Toc358816718"/>
      <w:r w:rsidR="00E6603F" w:rsidRPr="00E6603F">
        <w:rPr>
          <w:b/>
          <w:u w:val="none"/>
          <w:lang w:val="es-ES_tradnl"/>
        </w:rPr>
        <w:lastRenderedPageBreak/>
        <w:t>PROGRAMA 25</w:t>
      </w:r>
      <w:bookmarkEnd w:id="83"/>
      <w:r w:rsidR="00E6603F" w:rsidRPr="00E6603F">
        <w:rPr>
          <w:b/>
          <w:u w:val="none"/>
          <w:lang w:val="es-ES_tradnl"/>
        </w:rPr>
        <w:t xml:space="preserve"> </w:t>
      </w:r>
      <w:r w:rsidR="00E6603F">
        <w:rPr>
          <w:b/>
          <w:u w:val="none"/>
          <w:lang w:val="es-ES_tradnl"/>
        </w:rPr>
        <w:tab/>
      </w:r>
      <w:r w:rsidR="00E6603F" w:rsidRPr="00E6603F">
        <w:rPr>
          <w:b/>
          <w:u w:val="none"/>
          <w:lang w:val="es-ES_tradnl"/>
        </w:rPr>
        <w:t>TECNOLOGÍAS DE LA INFORMACIÓN Y DE LAS COMUNICACIONES</w:t>
      </w:r>
      <w:bookmarkEnd w:id="84"/>
    </w:p>
    <w:p w:rsidR="00B1649B" w:rsidRPr="003553E6" w:rsidRDefault="00B1649B" w:rsidP="00B1649B">
      <w:pPr>
        <w:rPr>
          <w:sz w:val="20"/>
        </w:rPr>
      </w:pPr>
    </w:p>
    <w:p w:rsidR="00B1649B" w:rsidRPr="003553E6" w:rsidRDefault="00B1649B" w:rsidP="00B1649B">
      <w:pPr>
        <w:rPr>
          <w:sz w:val="20"/>
        </w:rPr>
      </w:pPr>
    </w:p>
    <w:p w:rsidR="00B1649B" w:rsidRPr="00A522FE" w:rsidRDefault="00B1649B" w:rsidP="00B1649B">
      <w:pPr>
        <w:pStyle w:val="BodyTextIndent"/>
        <w:ind w:left="1985" w:hanging="1985"/>
        <w:jc w:val="both"/>
        <w:rPr>
          <w:rFonts w:ascii="Arial" w:hAnsi="Arial" w:cs="Arial"/>
          <w:sz w:val="22"/>
          <w:szCs w:val="22"/>
        </w:rPr>
      </w:pPr>
      <w:r w:rsidRPr="00762D10">
        <w:rPr>
          <w:rFonts w:ascii="Arial" w:hAnsi="Arial" w:cs="Arial"/>
          <w:sz w:val="22"/>
          <w:szCs w:val="22"/>
          <w:lang w:val="es-ES"/>
        </w:rPr>
        <w:t>CONTEXTO DE PLANIFICACI</w:t>
      </w:r>
      <w:r>
        <w:rPr>
          <w:rFonts w:ascii="Arial" w:hAnsi="Arial" w:cs="Arial"/>
          <w:sz w:val="22"/>
          <w:szCs w:val="22"/>
          <w:lang w:val="es-ES"/>
        </w:rPr>
        <w:t>ÓN</w:t>
      </w:r>
    </w:p>
    <w:p w:rsidR="00B1649B" w:rsidRDefault="00B1649B" w:rsidP="00B1649B">
      <w:pPr>
        <w:tabs>
          <w:tab w:val="left" w:pos="567"/>
          <w:tab w:val="left" w:pos="1985"/>
        </w:tabs>
        <w:jc w:val="both"/>
        <w:rPr>
          <w:bCs/>
          <w:sz w:val="20"/>
        </w:rPr>
      </w:pPr>
    </w:p>
    <w:p w:rsidR="00B1649B" w:rsidRPr="003553E6" w:rsidRDefault="00B1649B" w:rsidP="00D41E6A">
      <w:pPr>
        <w:numPr>
          <w:ilvl w:val="0"/>
          <w:numId w:val="44"/>
        </w:numPr>
        <w:jc w:val="both"/>
        <w:rPr>
          <w:bCs/>
          <w:sz w:val="20"/>
        </w:rPr>
      </w:pPr>
      <w:r w:rsidRPr="003553E6">
        <w:rPr>
          <w:bCs/>
          <w:sz w:val="20"/>
        </w:rPr>
        <w:t>Las tecnologías de la información y de las comunicaciones (TIC)</w:t>
      </w:r>
      <w:r>
        <w:rPr>
          <w:bCs/>
          <w:sz w:val="20"/>
        </w:rPr>
        <w:t xml:space="preserve"> siguen desempeñando dos funciones vitales para la OMPI.  Desde el punto de vista externo, se han convertido en el medio de mayor importancia para la prestación de servicios a sus clientes en el mundo entero.  Entre éstos figuran los servicios de registro, los servicios de infraestructura mundial de P.I., el acceso a informaciones y </w:t>
      </w:r>
      <w:r w:rsidRPr="006E3D9E">
        <w:rPr>
          <w:bCs/>
          <w:sz w:val="20"/>
        </w:rPr>
        <w:t>análisis de P.I.</w:t>
      </w:r>
      <w:r>
        <w:rPr>
          <w:bCs/>
          <w:sz w:val="20"/>
        </w:rPr>
        <w:t>, el acceso a plataformas relativas a la P.I. en el contexto de las cuestiones</w:t>
      </w:r>
      <w:r w:rsidRPr="000F46AE">
        <w:rPr>
          <w:bCs/>
          <w:sz w:val="20"/>
        </w:rPr>
        <w:t xml:space="preserve"> mund</w:t>
      </w:r>
      <w:r>
        <w:rPr>
          <w:bCs/>
          <w:sz w:val="20"/>
        </w:rPr>
        <w:t xml:space="preserve">iales de política </w:t>
      </w:r>
      <w:r w:rsidRPr="000F46AE">
        <w:rPr>
          <w:bCs/>
          <w:sz w:val="20"/>
        </w:rPr>
        <w:t>pública</w:t>
      </w:r>
      <w:r>
        <w:rPr>
          <w:bCs/>
          <w:sz w:val="20"/>
        </w:rPr>
        <w:t xml:space="preserve">, las comunicaciones con los Estados miembros y las partes interesadas mediante </w:t>
      </w:r>
      <w:r w:rsidRPr="000F46AE">
        <w:rPr>
          <w:bCs/>
          <w:sz w:val="20"/>
        </w:rPr>
        <w:t>la difusión por Internet</w:t>
      </w:r>
      <w:r>
        <w:rPr>
          <w:bCs/>
          <w:sz w:val="20"/>
        </w:rPr>
        <w:t xml:space="preserve"> de las reuniones de la OMPI, etc.  Desde el punto de vista interno, las TIC permiten que la OMPI realice sus actividades diarias mediante la prestación de servicios, tales como las telecomunicaciones, el correo electrónico y la tramitación de una amplia gama de transacciones administrativas.  Por lo tanto, las nueve metas estratégicas de la OMPI dependen en gran medida de una infraestructura de TIC y de servicios que sean </w:t>
      </w:r>
      <w:r w:rsidRPr="006D574B">
        <w:rPr>
          <w:bCs/>
          <w:sz w:val="20"/>
        </w:rPr>
        <w:t>fiables y eficaces</w:t>
      </w:r>
      <w:r>
        <w:rPr>
          <w:bCs/>
          <w:sz w:val="20"/>
        </w:rPr>
        <w:t xml:space="preserve"> para la ejecución de los programas.</w:t>
      </w:r>
    </w:p>
    <w:p w:rsidR="00B1649B" w:rsidRPr="003553E6" w:rsidRDefault="00B1649B" w:rsidP="00B1649B">
      <w:pPr>
        <w:tabs>
          <w:tab w:val="num" w:pos="0"/>
        </w:tabs>
        <w:jc w:val="both"/>
        <w:rPr>
          <w:bCs/>
          <w:sz w:val="20"/>
        </w:rPr>
      </w:pPr>
    </w:p>
    <w:p w:rsidR="00B1649B" w:rsidRPr="00420923" w:rsidRDefault="00B1649B" w:rsidP="00D41E6A">
      <w:pPr>
        <w:numPr>
          <w:ilvl w:val="0"/>
          <w:numId w:val="44"/>
        </w:numPr>
        <w:jc w:val="both"/>
        <w:rPr>
          <w:bCs/>
          <w:sz w:val="20"/>
        </w:rPr>
      </w:pPr>
      <w:r>
        <w:rPr>
          <w:bCs/>
          <w:sz w:val="20"/>
        </w:rPr>
        <w:t>El aumento de</w:t>
      </w:r>
      <w:r w:rsidRPr="00420923">
        <w:rPr>
          <w:bCs/>
          <w:sz w:val="20"/>
        </w:rPr>
        <w:t xml:space="preserve"> la importancia</w:t>
      </w:r>
      <w:r>
        <w:rPr>
          <w:bCs/>
          <w:sz w:val="20"/>
        </w:rPr>
        <w:t xml:space="preserve"> de un servicio es proporcional al de las expectativas y responsabilidades que se crean en</w:t>
      </w:r>
      <w:r w:rsidR="002C6A72">
        <w:rPr>
          <w:bCs/>
          <w:sz w:val="20"/>
        </w:rPr>
        <w:t xml:space="preserve"> </w:t>
      </w:r>
      <w:r>
        <w:rPr>
          <w:bCs/>
          <w:sz w:val="20"/>
        </w:rPr>
        <w:t>torno al mismo. Por este motivo, los clientes del mundo entero esperan que los servicios de TIC respondan mejor a sus necesidades y sean cada vez más fiables y seguros ante los desastres naturales y los provocados por el ser humano, incluidos los</w:t>
      </w:r>
      <w:r w:rsidRPr="00420923">
        <w:rPr>
          <w:bCs/>
          <w:sz w:val="20"/>
        </w:rPr>
        <w:t xml:space="preserve"> </w:t>
      </w:r>
      <w:r>
        <w:rPr>
          <w:bCs/>
          <w:sz w:val="20"/>
        </w:rPr>
        <w:t>ataques en Internet.</w:t>
      </w:r>
    </w:p>
    <w:p w:rsidR="00B1649B" w:rsidRPr="00420923" w:rsidRDefault="00B1649B" w:rsidP="00B1649B">
      <w:pPr>
        <w:jc w:val="both"/>
        <w:rPr>
          <w:bCs/>
          <w:sz w:val="20"/>
        </w:rPr>
      </w:pPr>
    </w:p>
    <w:p w:rsidR="00B1649B" w:rsidRPr="00B41C8A" w:rsidRDefault="00B1649B" w:rsidP="00D41E6A">
      <w:pPr>
        <w:numPr>
          <w:ilvl w:val="0"/>
          <w:numId w:val="44"/>
        </w:numPr>
        <w:jc w:val="both"/>
        <w:rPr>
          <w:bCs/>
          <w:sz w:val="20"/>
        </w:rPr>
      </w:pPr>
      <w:r w:rsidRPr="000F61C2">
        <w:rPr>
          <w:bCs/>
          <w:sz w:val="20"/>
        </w:rPr>
        <w:t>En resp</w:t>
      </w:r>
      <w:r>
        <w:rPr>
          <w:bCs/>
          <w:sz w:val="20"/>
        </w:rPr>
        <w:t>uesta a estas expectativas, será</w:t>
      </w:r>
      <w:r w:rsidRPr="000F61C2">
        <w:rPr>
          <w:bCs/>
          <w:sz w:val="20"/>
        </w:rPr>
        <w:t xml:space="preserve"> necesario realizar mayores esfuerzos para reforzar</w:t>
      </w:r>
      <w:r>
        <w:rPr>
          <w:bCs/>
          <w:sz w:val="20"/>
        </w:rPr>
        <w:t xml:space="preserve"> la seguridad de la información, mitigar los riesgos y perfeccionar los </w:t>
      </w:r>
      <w:r w:rsidRPr="00B41C8A">
        <w:rPr>
          <w:bCs/>
          <w:sz w:val="20"/>
        </w:rPr>
        <w:t>mecanismos</w:t>
      </w:r>
      <w:r>
        <w:rPr>
          <w:bCs/>
          <w:sz w:val="20"/>
        </w:rPr>
        <w:t xml:space="preserve"> de la Organización para la</w:t>
      </w:r>
      <w:r w:rsidRPr="00B41C8A">
        <w:rPr>
          <w:bCs/>
          <w:sz w:val="20"/>
        </w:rPr>
        <w:t xml:space="preserve"> continuación de</w:t>
      </w:r>
      <w:r>
        <w:rPr>
          <w:bCs/>
          <w:sz w:val="20"/>
        </w:rPr>
        <w:t xml:space="preserve"> las operaciones y la</w:t>
      </w:r>
      <w:r w:rsidRPr="00B41C8A">
        <w:rPr>
          <w:bCs/>
          <w:sz w:val="20"/>
        </w:rPr>
        <w:t xml:space="preserve"> recuperación en caso de desastre.</w:t>
      </w:r>
      <w:r>
        <w:rPr>
          <w:bCs/>
          <w:sz w:val="20"/>
        </w:rPr>
        <w:t xml:space="preserve">  La creciente oferta de productos y servicios de la OMPI seguirá exigiendo mayor capacidad de respuesta, rendimiento y disponibilidad.</w:t>
      </w:r>
    </w:p>
    <w:p w:rsidR="00B1649B" w:rsidRPr="000F61C2" w:rsidRDefault="00B1649B" w:rsidP="00B1649B">
      <w:pPr>
        <w:jc w:val="both"/>
        <w:rPr>
          <w:bCs/>
          <w:sz w:val="20"/>
        </w:rPr>
      </w:pPr>
    </w:p>
    <w:p w:rsidR="00B1649B" w:rsidRPr="00896CA9" w:rsidRDefault="00B1649B" w:rsidP="00D41E6A">
      <w:pPr>
        <w:numPr>
          <w:ilvl w:val="0"/>
          <w:numId w:val="44"/>
        </w:numPr>
        <w:jc w:val="both"/>
        <w:rPr>
          <w:bCs/>
          <w:sz w:val="20"/>
        </w:rPr>
      </w:pPr>
      <w:r>
        <w:rPr>
          <w:bCs/>
          <w:sz w:val="20"/>
        </w:rPr>
        <w:t>La mejora de los mecanismos para la</w:t>
      </w:r>
      <w:r w:rsidRPr="00B41C8A">
        <w:rPr>
          <w:bCs/>
          <w:sz w:val="20"/>
        </w:rPr>
        <w:t xml:space="preserve"> continuación de</w:t>
      </w:r>
      <w:r>
        <w:rPr>
          <w:bCs/>
          <w:sz w:val="20"/>
        </w:rPr>
        <w:t xml:space="preserve"> las operaciones, de la</w:t>
      </w:r>
      <w:r w:rsidRPr="00B41C8A">
        <w:rPr>
          <w:bCs/>
          <w:sz w:val="20"/>
        </w:rPr>
        <w:t xml:space="preserve"> recuperación en caso de desastre</w:t>
      </w:r>
      <w:r>
        <w:rPr>
          <w:bCs/>
          <w:sz w:val="20"/>
        </w:rPr>
        <w:t xml:space="preserve"> y de la capacidad de respuesta requiere reestructurar algunos sistemas operativos esenciales, así como la base de la infraestructura de las TIC.  Por lo tanto, se necesitarán medidas adicionales para mejorar la capacidad de respuesta de la Organización ante el riesgo creciente de ataques en Internet.</w:t>
      </w:r>
    </w:p>
    <w:p w:rsidR="00B1649B" w:rsidRPr="00896CA9" w:rsidRDefault="00B1649B" w:rsidP="00B1649B">
      <w:pPr>
        <w:jc w:val="both"/>
        <w:rPr>
          <w:bCs/>
          <w:sz w:val="20"/>
        </w:rPr>
      </w:pPr>
    </w:p>
    <w:p w:rsidR="00B1649B" w:rsidRPr="00844CC1" w:rsidRDefault="00B1649B" w:rsidP="00D41E6A">
      <w:pPr>
        <w:numPr>
          <w:ilvl w:val="0"/>
          <w:numId w:val="44"/>
        </w:numPr>
        <w:jc w:val="both"/>
        <w:rPr>
          <w:bCs/>
          <w:sz w:val="20"/>
        </w:rPr>
      </w:pPr>
      <w:r w:rsidRPr="00844CC1">
        <w:rPr>
          <w:bCs/>
          <w:sz w:val="20"/>
        </w:rPr>
        <w:t xml:space="preserve">A medida que </w:t>
      </w:r>
      <w:r>
        <w:rPr>
          <w:bCs/>
          <w:sz w:val="20"/>
        </w:rPr>
        <w:t xml:space="preserve">el proyecto de </w:t>
      </w:r>
      <w:r w:rsidRPr="00844CC1">
        <w:rPr>
          <w:bCs/>
          <w:sz w:val="20"/>
        </w:rPr>
        <w:t>planificación de los recursos institucionales</w:t>
      </w:r>
      <w:r>
        <w:rPr>
          <w:bCs/>
          <w:sz w:val="20"/>
        </w:rPr>
        <w:t xml:space="preserve"> vaya aportando soluciones, adquirirá mayor importancia en las operaciones diarias de la Organización.  A medida que los usuarios accedan a una serie de aplicaciones para realizar </w:t>
      </w:r>
      <w:r w:rsidRPr="004A1588">
        <w:rPr>
          <w:bCs/>
          <w:sz w:val="20"/>
        </w:rPr>
        <w:t>sus labores diarias, los métodos de acceso que sean coherentes y seguros adquirirán una importancia</w:t>
      </w:r>
      <w:r>
        <w:rPr>
          <w:bCs/>
          <w:sz w:val="20"/>
        </w:rPr>
        <w:t xml:space="preserve"> fundamental.</w:t>
      </w:r>
    </w:p>
    <w:p w:rsidR="00B1649B" w:rsidRPr="00844CC1" w:rsidRDefault="00B1649B" w:rsidP="00B1649B">
      <w:pPr>
        <w:jc w:val="both"/>
        <w:rPr>
          <w:bCs/>
          <w:sz w:val="20"/>
        </w:rPr>
      </w:pPr>
    </w:p>
    <w:p w:rsidR="00B1649B" w:rsidRPr="00DA47D8" w:rsidRDefault="00B1649B" w:rsidP="00D41E6A">
      <w:pPr>
        <w:numPr>
          <w:ilvl w:val="0"/>
          <w:numId w:val="44"/>
        </w:numPr>
        <w:jc w:val="both"/>
        <w:rPr>
          <w:bCs/>
          <w:szCs w:val="24"/>
        </w:rPr>
      </w:pPr>
      <w:r w:rsidRPr="00DA47D8">
        <w:rPr>
          <w:bCs/>
          <w:sz w:val="20"/>
        </w:rPr>
        <w:t xml:space="preserve">La creación de un ecosistema de TIC </w:t>
      </w:r>
      <w:r>
        <w:rPr>
          <w:bCs/>
          <w:sz w:val="20"/>
        </w:rPr>
        <w:t xml:space="preserve">dinámico y sostenible en el seno de la OMPI requerirá en permanencia los servicios de socios externos y amplias subcontrataciones.  Un desafío particular para el programa será contener los costos y al mismo tiempo mantenerse preparado para atender rápidamente las crecientes demandas.  A corto plazo, la subcontratación no disminuirá los costos de manera significativa.  Por lo tanto, será necesario realizar esfuerzos adicionales para atender las necesidades de inversión de la Organización en las TIC, así como para determinar métodos innovadores para utilizar y aprovechar los servicios económicos de </w:t>
      </w:r>
      <w:r w:rsidRPr="006354FA">
        <w:rPr>
          <w:bCs/>
          <w:sz w:val="20"/>
        </w:rPr>
        <w:t>proveedores</w:t>
      </w:r>
      <w:r>
        <w:rPr>
          <w:bCs/>
          <w:sz w:val="20"/>
        </w:rPr>
        <w:t xml:space="preserve"> externos.</w:t>
      </w:r>
    </w:p>
    <w:p w:rsidR="00B1649B" w:rsidRPr="00DA47D8" w:rsidRDefault="00B1649B" w:rsidP="00B1649B">
      <w:pPr>
        <w:tabs>
          <w:tab w:val="left" w:pos="567"/>
          <w:tab w:val="left" w:pos="1985"/>
        </w:tabs>
        <w:jc w:val="both"/>
        <w:rPr>
          <w:bCs/>
          <w:sz w:val="20"/>
        </w:rPr>
      </w:pPr>
    </w:p>
    <w:p w:rsidR="00B1649B" w:rsidRPr="00DA47D8" w:rsidRDefault="00B1649B" w:rsidP="00B1649B">
      <w:pPr>
        <w:tabs>
          <w:tab w:val="left" w:pos="567"/>
          <w:tab w:val="left" w:pos="1985"/>
        </w:tabs>
        <w:jc w:val="both"/>
        <w:rPr>
          <w:bCs/>
          <w:sz w:val="20"/>
        </w:rPr>
      </w:pPr>
    </w:p>
    <w:p w:rsidR="00B1649B" w:rsidRPr="00CE0201" w:rsidRDefault="00B1649B" w:rsidP="00B1649B">
      <w:pPr>
        <w:tabs>
          <w:tab w:val="left" w:pos="567"/>
          <w:tab w:val="left" w:pos="1985"/>
        </w:tabs>
        <w:jc w:val="both"/>
        <w:rPr>
          <w:bCs/>
          <w:szCs w:val="22"/>
        </w:rPr>
      </w:pPr>
      <w:r>
        <w:rPr>
          <w:szCs w:val="18"/>
        </w:rPr>
        <w:t>ESTRATEGIAS DE EJECUCIÓN</w:t>
      </w:r>
    </w:p>
    <w:p w:rsidR="00B1649B" w:rsidRPr="00CE0201" w:rsidRDefault="00B1649B" w:rsidP="00B1649B">
      <w:pPr>
        <w:tabs>
          <w:tab w:val="left" w:pos="567"/>
          <w:tab w:val="left" w:pos="1985"/>
        </w:tabs>
        <w:jc w:val="both"/>
        <w:rPr>
          <w:bCs/>
          <w:sz w:val="20"/>
        </w:rPr>
      </w:pPr>
    </w:p>
    <w:p w:rsidR="00B1649B" w:rsidRPr="004903AE" w:rsidRDefault="00B1649B" w:rsidP="00D41E6A">
      <w:pPr>
        <w:numPr>
          <w:ilvl w:val="0"/>
          <w:numId w:val="44"/>
        </w:numPr>
        <w:jc w:val="both"/>
        <w:rPr>
          <w:bCs/>
          <w:sz w:val="20"/>
        </w:rPr>
      </w:pPr>
      <w:r w:rsidRPr="0070451F">
        <w:rPr>
          <w:bCs/>
          <w:sz w:val="20"/>
        </w:rPr>
        <w:t xml:space="preserve">La organización interna del </w:t>
      </w:r>
      <w:r>
        <w:rPr>
          <w:bCs/>
          <w:sz w:val="20"/>
        </w:rPr>
        <w:t>departamento de t</w:t>
      </w:r>
      <w:r w:rsidRPr="0070451F">
        <w:rPr>
          <w:bCs/>
          <w:sz w:val="20"/>
        </w:rPr>
        <w:t>ecn</w:t>
      </w:r>
      <w:r>
        <w:rPr>
          <w:bCs/>
          <w:sz w:val="20"/>
        </w:rPr>
        <w:t xml:space="preserve">ologías de la información y de las comunicaciones está en consonancia con las nuevas exigencias.  Se creará una unidad para la </w:t>
      </w:r>
      <w:r w:rsidRPr="004903AE">
        <w:rPr>
          <w:bCs/>
          <w:sz w:val="20"/>
        </w:rPr>
        <w:t>arquitectura organizativa</w:t>
      </w:r>
      <w:r>
        <w:rPr>
          <w:bCs/>
          <w:sz w:val="20"/>
        </w:rPr>
        <w:t xml:space="preserve"> y la gestión de los programas que estará encargada de coordinar las labores de reestructuración y de velar por que todas las decisiones relativas a las soluciones, las tecnologías y los productos correspondan al tipo de arquitectura organizativa seleccionado, a las normas del mismo y a las necesidades operativas.  Se asignarán recursos adicionales para ampliar el alcance de la seguridad de la información y fortalecer su capacidad para proporcionar una </w:t>
      </w:r>
      <w:r w:rsidRPr="009E6F00">
        <w:rPr>
          <w:bCs/>
          <w:sz w:val="20"/>
        </w:rPr>
        <w:t>garantía razonable</w:t>
      </w:r>
      <w:r>
        <w:rPr>
          <w:bCs/>
          <w:sz w:val="20"/>
        </w:rPr>
        <w:t xml:space="preserve"> y control interno.  Las actividades del </w:t>
      </w:r>
      <w:r w:rsidRPr="001E43F5">
        <w:rPr>
          <w:bCs/>
          <w:sz w:val="20"/>
        </w:rPr>
        <w:t>Servicio Técnico de T.I.</w:t>
      </w:r>
      <w:r>
        <w:rPr>
          <w:bCs/>
          <w:sz w:val="20"/>
        </w:rPr>
        <w:t xml:space="preserve"> se centrarán en la cooperación con  socios estratégicos.  Se prevé que la extensión de las alianzas aporte mayor </w:t>
      </w:r>
      <w:r w:rsidRPr="0029503B">
        <w:rPr>
          <w:bCs/>
          <w:sz w:val="20"/>
        </w:rPr>
        <w:t>eficacia en función</w:t>
      </w:r>
      <w:r>
        <w:rPr>
          <w:bCs/>
          <w:sz w:val="20"/>
        </w:rPr>
        <w:t xml:space="preserve"> de </w:t>
      </w:r>
      <w:r w:rsidRPr="0029503B">
        <w:rPr>
          <w:bCs/>
          <w:sz w:val="20"/>
        </w:rPr>
        <w:t>los costos</w:t>
      </w:r>
      <w:r>
        <w:rPr>
          <w:bCs/>
          <w:sz w:val="20"/>
        </w:rPr>
        <w:t xml:space="preserve"> y capacidad de respuesta geográfica. Es necesario fortalecer la seguridad de la información  para ampliar la subcontratación.  Se mejorarán los controles y se pondrán en práctica nuevos instrumentos. La </w:t>
      </w:r>
      <w:r>
        <w:rPr>
          <w:bCs/>
          <w:sz w:val="20"/>
        </w:rPr>
        <w:lastRenderedPageBreak/>
        <w:t xml:space="preserve">Organización adoptará de manera selectiva normas en materia de certificación, como la certificación ISO, con el fin de obtener una </w:t>
      </w:r>
      <w:r w:rsidRPr="001840A3">
        <w:rPr>
          <w:bCs/>
          <w:sz w:val="20"/>
        </w:rPr>
        <w:t>validación independiente</w:t>
      </w:r>
      <w:r>
        <w:rPr>
          <w:bCs/>
          <w:sz w:val="20"/>
        </w:rPr>
        <w:t xml:space="preserve"> de sus marcos regla</w:t>
      </w:r>
      <w:r w:rsidR="002C6A72">
        <w:rPr>
          <w:bCs/>
          <w:sz w:val="20"/>
        </w:rPr>
        <w:t>mentario</w:t>
      </w:r>
      <w:r>
        <w:rPr>
          <w:bCs/>
          <w:sz w:val="20"/>
        </w:rPr>
        <w:t>s, procedimientos e instrumentos.</w:t>
      </w:r>
    </w:p>
    <w:p w:rsidR="00B1649B" w:rsidRPr="0070451F" w:rsidRDefault="00B1649B" w:rsidP="00B1649B">
      <w:pPr>
        <w:tabs>
          <w:tab w:val="num" w:pos="709"/>
        </w:tabs>
        <w:jc w:val="both"/>
        <w:rPr>
          <w:bCs/>
          <w:sz w:val="20"/>
        </w:rPr>
      </w:pPr>
    </w:p>
    <w:p w:rsidR="003B21E7" w:rsidRPr="00691F6D" w:rsidRDefault="003B21E7" w:rsidP="009F58E5">
      <w:pPr>
        <w:keepNext/>
        <w:keepLines/>
        <w:tabs>
          <w:tab w:val="left" w:pos="567"/>
          <w:tab w:val="left" w:pos="1985"/>
        </w:tabs>
        <w:jc w:val="both"/>
        <w:rPr>
          <w:bCs/>
          <w:szCs w:val="22"/>
        </w:rPr>
      </w:pPr>
    </w:p>
    <w:p w:rsidR="009F58E5" w:rsidRPr="003B21E7" w:rsidRDefault="003B21E7" w:rsidP="009F58E5">
      <w:pPr>
        <w:keepNext/>
        <w:keepLines/>
        <w:tabs>
          <w:tab w:val="left" w:pos="567"/>
          <w:tab w:val="left" w:pos="1985"/>
        </w:tabs>
        <w:jc w:val="both"/>
        <w:rPr>
          <w:bCs/>
          <w:szCs w:val="22"/>
        </w:rPr>
      </w:pPr>
      <w:r w:rsidRPr="00994766">
        <w:rPr>
          <w:bCs/>
          <w:szCs w:val="22"/>
          <w:lang w:val="es-ES_tradnl"/>
        </w:rPr>
        <w:t>PRINCIPALES RIESGOS Y ESTRATEGIAS DE MITIGACIÓN</w:t>
      </w:r>
    </w:p>
    <w:p w:rsidR="009F58E5" w:rsidRPr="003B21E7" w:rsidRDefault="009F58E5" w:rsidP="009F58E5">
      <w:pPr>
        <w:keepNext/>
        <w:keepLines/>
        <w:tabs>
          <w:tab w:val="left" w:pos="567"/>
          <w:tab w:val="left" w:pos="1985"/>
        </w:tabs>
        <w:jc w:val="both"/>
        <w:rPr>
          <w:bCs/>
          <w:sz w:val="20"/>
        </w:rPr>
      </w:pPr>
    </w:p>
    <w:tbl>
      <w:tblPr>
        <w:tblW w:w="0" w:type="auto"/>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400"/>
        <w:gridCol w:w="4956"/>
      </w:tblGrid>
      <w:tr w:rsidR="009F58E5" w:rsidRPr="00D41E6A" w:rsidTr="008D3D36">
        <w:trPr>
          <w:trHeight w:val="476"/>
        </w:trPr>
        <w:tc>
          <w:tcPr>
            <w:tcW w:w="4400" w:type="dxa"/>
            <w:tcBorders>
              <w:top w:val="single" w:sz="4" w:space="0" w:color="auto"/>
              <w:bottom w:val="single" w:sz="4" w:space="0" w:color="auto"/>
            </w:tcBorders>
            <w:shd w:val="clear" w:color="auto" w:fill="CCFFFF"/>
            <w:tcMar>
              <w:top w:w="113" w:type="dxa"/>
              <w:bottom w:w="85" w:type="dxa"/>
            </w:tcMar>
            <w:vAlign w:val="center"/>
          </w:tcPr>
          <w:p w:rsidR="009F58E5" w:rsidRPr="00D41E6A" w:rsidRDefault="009F58E5" w:rsidP="008F4F69">
            <w:pPr>
              <w:keepNext/>
              <w:keepLines/>
              <w:autoSpaceDE w:val="0"/>
              <w:autoSpaceDN w:val="0"/>
              <w:adjustRightInd w:val="0"/>
              <w:ind w:right="-59"/>
              <w:jc w:val="center"/>
              <w:rPr>
                <w:b/>
                <w:iCs/>
                <w:color w:val="000000"/>
                <w:sz w:val="18"/>
                <w:szCs w:val="18"/>
                <w:lang w:val="es-ES_tradnl"/>
              </w:rPr>
            </w:pPr>
            <w:r w:rsidRPr="00D41E6A">
              <w:rPr>
                <w:b/>
                <w:iCs/>
                <w:color w:val="000000"/>
                <w:sz w:val="18"/>
                <w:szCs w:val="18"/>
                <w:lang w:val="es-ES_tradnl"/>
              </w:rPr>
              <w:t>Riesgos en el logro de los resultados del programa</w:t>
            </w:r>
          </w:p>
        </w:tc>
        <w:tc>
          <w:tcPr>
            <w:tcW w:w="4956" w:type="dxa"/>
            <w:tcBorders>
              <w:top w:val="single" w:sz="4" w:space="0" w:color="auto"/>
              <w:bottom w:val="single" w:sz="4" w:space="0" w:color="auto"/>
            </w:tcBorders>
            <w:shd w:val="clear" w:color="auto" w:fill="CCFFFF"/>
            <w:tcMar>
              <w:top w:w="113" w:type="dxa"/>
              <w:bottom w:w="85" w:type="dxa"/>
            </w:tcMar>
            <w:vAlign w:val="center"/>
          </w:tcPr>
          <w:p w:rsidR="009F58E5" w:rsidRPr="00D41E6A" w:rsidRDefault="009F58E5" w:rsidP="008D3D36">
            <w:pPr>
              <w:keepNext/>
              <w:keepLines/>
              <w:autoSpaceDE w:val="0"/>
              <w:autoSpaceDN w:val="0"/>
              <w:adjustRightInd w:val="0"/>
              <w:ind w:right="-59"/>
              <w:rPr>
                <w:b/>
                <w:iCs/>
                <w:color w:val="000000"/>
                <w:sz w:val="18"/>
                <w:szCs w:val="18"/>
                <w:lang w:val="es-ES_tradnl"/>
              </w:rPr>
            </w:pPr>
            <w:r w:rsidRPr="00D41E6A">
              <w:rPr>
                <w:b/>
                <w:iCs/>
                <w:color w:val="000000"/>
                <w:sz w:val="18"/>
                <w:szCs w:val="18"/>
                <w:lang w:val="es-ES_tradnl"/>
              </w:rPr>
              <w:t xml:space="preserve">Planes de mitigación ejecutados o en ejecución </w:t>
            </w:r>
          </w:p>
        </w:tc>
      </w:tr>
      <w:tr w:rsidR="009F58E5" w:rsidRPr="00994766" w:rsidTr="008D3D36">
        <w:trPr>
          <w:trHeight w:val="985"/>
        </w:trPr>
        <w:tc>
          <w:tcPr>
            <w:tcW w:w="4400" w:type="dxa"/>
            <w:tcBorders>
              <w:top w:val="single" w:sz="4" w:space="0" w:color="auto"/>
            </w:tcBorders>
            <w:shd w:val="clear" w:color="auto" w:fill="auto"/>
            <w:tcMar>
              <w:top w:w="113" w:type="dxa"/>
              <w:bottom w:w="85" w:type="dxa"/>
            </w:tcMar>
          </w:tcPr>
          <w:p w:rsidR="009F58E5" w:rsidRPr="00994766" w:rsidRDefault="009F58E5" w:rsidP="008F4F69">
            <w:pPr>
              <w:keepNext/>
              <w:autoSpaceDE w:val="0"/>
              <w:autoSpaceDN w:val="0"/>
              <w:adjustRightInd w:val="0"/>
              <w:ind w:right="-59"/>
              <w:rPr>
                <w:sz w:val="16"/>
                <w:szCs w:val="16"/>
                <w:lang w:val="es-ES_tradnl"/>
              </w:rPr>
            </w:pPr>
            <w:r w:rsidRPr="00994766">
              <w:rPr>
                <w:sz w:val="16"/>
                <w:szCs w:val="16"/>
                <w:lang w:val="es-ES_tradnl"/>
              </w:rPr>
              <w:t>Si el sistema del PCT y los sistemas de información conexos experimentan un nivel inaceptable de interrupciones, no se podrían aceptar las solicitudes presentadas y, en consecuencia, se producirían efectos negativos en la tramitación y publicación de las solicitudes PCT.  La reputación se vería afectada negativamente.</w:t>
            </w:r>
          </w:p>
        </w:tc>
        <w:tc>
          <w:tcPr>
            <w:tcW w:w="4956" w:type="dxa"/>
            <w:tcBorders>
              <w:top w:val="single" w:sz="4" w:space="0" w:color="auto"/>
            </w:tcBorders>
            <w:shd w:val="clear" w:color="auto" w:fill="auto"/>
            <w:tcMar>
              <w:top w:w="113" w:type="dxa"/>
              <w:bottom w:w="85" w:type="dxa"/>
            </w:tcMar>
          </w:tcPr>
          <w:p w:rsidR="009F58E5" w:rsidRPr="00994766" w:rsidRDefault="009F58E5" w:rsidP="008F4F69">
            <w:pPr>
              <w:keepNext/>
              <w:autoSpaceDE w:val="0"/>
              <w:autoSpaceDN w:val="0"/>
              <w:adjustRightInd w:val="0"/>
              <w:ind w:right="-59"/>
              <w:rPr>
                <w:sz w:val="16"/>
                <w:szCs w:val="16"/>
                <w:lang w:val="es-ES_tradnl"/>
              </w:rPr>
            </w:pPr>
            <w:r w:rsidRPr="00994766">
              <w:rPr>
                <w:sz w:val="16"/>
                <w:szCs w:val="16"/>
                <w:lang w:val="es-ES_tradnl"/>
              </w:rPr>
              <w:t>Establecer infraestructura complementaria en distintos lugares y seguir desarrollando y perfeccionando el plan de continuidad de las actividades.</w:t>
            </w:r>
          </w:p>
        </w:tc>
      </w:tr>
      <w:tr w:rsidR="009F58E5" w:rsidRPr="00994766" w:rsidTr="008D3D36">
        <w:trPr>
          <w:trHeight w:val="1060"/>
        </w:trPr>
        <w:tc>
          <w:tcPr>
            <w:tcW w:w="4400" w:type="dxa"/>
            <w:shd w:val="clear" w:color="auto" w:fill="auto"/>
            <w:tcMar>
              <w:top w:w="113" w:type="dxa"/>
              <w:bottom w:w="85" w:type="dxa"/>
            </w:tcMar>
          </w:tcPr>
          <w:p w:rsidR="009F58E5" w:rsidRPr="00994766" w:rsidRDefault="009F58E5" w:rsidP="008F4F69">
            <w:pPr>
              <w:autoSpaceDE w:val="0"/>
              <w:autoSpaceDN w:val="0"/>
              <w:adjustRightInd w:val="0"/>
              <w:ind w:right="-59"/>
              <w:rPr>
                <w:sz w:val="16"/>
                <w:szCs w:val="16"/>
                <w:lang w:val="es-ES_tradnl"/>
              </w:rPr>
            </w:pPr>
            <w:r w:rsidRPr="00994766">
              <w:rPr>
                <w:sz w:val="16"/>
                <w:szCs w:val="16"/>
                <w:lang w:val="es-ES_tradnl"/>
              </w:rPr>
              <w:t>Los ciberataques contra los sistemas de información de la OMPI pondrían en peligro la seguridad de dichos sistemas, con el riesgo de que se expusiera información confidencial de manera intencional o accidental.  Se verían seriamente afectadas la reputación y las actividades de la OMPI.</w:t>
            </w:r>
          </w:p>
        </w:tc>
        <w:tc>
          <w:tcPr>
            <w:tcW w:w="4956" w:type="dxa"/>
            <w:shd w:val="clear" w:color="auto" w:fill="auto"/>
            <w:tcMar>
              <w:top w:w="113" w:type="dxa"/>
              <w:bottom w:w="85" w:type="dxa"/>
            </w:tcMar>
          </w:tcPr>
          <w:p w:rsidR="009F58E5" w:rsidRPr="00994766" w:rsidRDefault="009F58E5" w:rsidP="008F4F69">
            <w:pPr>
              <w:autoSpaceDE w:val="0"/>
              <w:autoSpaceDN w:val="0"/>
              <w:adjustRightInd w:val="0"/>
              <w:ind w:right="-59"/>
              <w:rPr>
                <w:sz w:val="16"/>
                <w:szCs w:val="16"/>
                <w:lang w:val="es-ES_tradnl"/>
              </w:rPr>
            </w:pPr>
            <w:r w:rsidRPr="00994766">
              <w:rPr>
                <w:sz w:val="16"/>
                <w:szCs w:val="16"/>
                <w:lang w:val="es-ES_tradnl"/>
              </w:rPr>
              <w:t>Separación del contenido y las aplicaciones informáticas de la OMPI en Internet en función de los requisitos de confidencialidad y los usos previstos;  introducción de una infraestructura de T.I. independiente y las consiguientes medidas de seguridad.  Alto nivel de actividad en el ámbito de la seguridad de las T.I.</w:t>
            </w:r>
          </w:p>
        </w:tc>
      </w:tr>
    </w:tbl>
    <w:p w:rsidR="009F58E5" w:rsidRPr="00994766" w:rsidRDefault="009F58E5" w:rsidP="009F58E5">
      <w:pPr>
        <w:tabs>
          <w:tab w:val="left" w:pos="567"/>
          <w:tab w:val="left" w:pos="1985"/>
        </w:tabs>
        <w:jc w:val="both"/>
        <w:rPr>
          <w:bCs/>
          <w:sz w:val="20"/>
          <w:lang w:val="es-ES_tradnl"/>
        </w:rPr>
      </w:pPr>
    </w:p>
    <w:p w:rsidR="009F58E5" w:rsidRPr="00C75C7E" w:rsidRDefault="009F58E5" w:rsidP="009F58E5">
      <w:pPr>
        <w:tabs>
          <w:tab w:val="left" w:pos="567"/>
          <w:tab w:val="left" w:pos="1985"/>
        </w:tabs>
        <w:jc w:val="both"/>
        <w:rPr>
          <w:bCs/>
          <w:sz w:val="20"/>
          <w:lang w:val="es-ES_tradnl"/>
        </w:rPr>
      </w:pPr>
    </w:p>
    <w:p w:rsidR="009F58E5" w:rsidRPr="00C75C7E" w:rsidRDefault="009F58E5" w:rsidP="009F58E5">
      <w:pPr>
        <w:tabs>
          <w:tab w:val="left" w:pos="567"/>
          <w:tab w:val="left" w:pos="1985"/>
        </w:tabs>
        <w:jc w:val="both"/>
        <w:rPr>
          <w:bCs/>
          <w:sz w:val="20"/>
          <w:lang w:val="es-ES_tradnl"/>
        </w:rPr>
      </w:pPr>
      <w:r w:rsidRPr="00C75C7E">
        <w:rPr>
          <w:bCs/>
          <w:szCs w:val="22"/>
          <w:lang w:val="es-ES_tradnl"/>
        </w:rPr>
        <w:t>MARCO DE RESULTADOS</w:t>
      </w:r>
    </w:p>
    <w:p w:rsidR="009F58E5" w:rsidRPr="00C75C7E" w:rsidRDefault="009F58E5" w:rsidP="009F58E5">
      <w:pPr>
        <w:tabs>
          <w:tab w:val="left" w:pos="567"/>
          <w:tab w:val="left" w:pos="1985"/>
        </w:tabs>
        <w:jc w:val="both"/>
        <w:rPr>
          <w:bCs/>
          <w:sz w:val="20"/>
          <w:lang w:val="es-ES_tradnl"/>
        </w:rPr>
      </w:pPr>
    </w:p>
    <w:tbl>
      <w:tblPr>
        <w:tblW w:w="4914"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50"/>
        <w:gridCol w:w="2750"/>
        <w:gridCol w:w="2154"/>
        <w:gridCol w:w="2152"/>
      </w:tblGrid>
      <w:tr w:rsidR="009F58E5" w:rsidRPr="00C75C7E" w:rsidTr="008F4F69">
        <w:trPr>
          <w:cantSplit/>
          <w:trHeight w:val="605"/>
          <w:tblHeader/>
        </w:trPr>
        <w:tc>
          <w:tcPr>
            <w:tcW w:w="1249" w:type="pct"/>
            <w:tcBorders>
              <w:top w:val="single" w:sz="4" w:space="0" w:color="auto"/>
              <w:bottom w:val="single" w:sz="4" w:space="0" w:color="auto"/>
            </w:tcBorders>
            <w:shd w:val="clear" w:color="auto" w:fill="CCFFFF"/>
            <w:tcMar>
              <w:top w:w="113" w:type="dxa"/>
            </w:tcMar>
            <w:vAlign w:val="center"/>
          </w:tcPr>
          <w:p w:rsidR="009F58E5" w:rsidRPr="00C75C7E" w:rsidRDefault="009F58E5" w:rsidP="008F4F69">
            <w:pPr>
              <w:spacing w:after="120"/>
              <w:jc w:val="center"/>
              <w:rPr>
                <w:b/>
                <w:bCs/>
                <w:sz w:val="18"/>
                <w:szCs w:val="18"/>
                <w:lang w:val="es-ES_tradnl"/>
              </w:rPr>
            </w:pPr>
            <w:r w:rsidRPr="00C75C7E">
              <w:rPr>
                <w:b/>
                <w:bCs/>
                <w:sz w:val="18"/>
                <w:szCs w:val="18"/>
                <w:lang w:val="es-ES_tradnl"/>
              </w:rPr>
              <w:t>Resultados previstos</w:t>
            </w:r>
          </w:p>
        </w:tc>
        <w:tc>
          <w:tcPr>
            <w:tcW w:w="1462" w:type="pct"/>
            <w:tcBorders>
              <w:top w:val="single" w:sz="4" w:space="0" w:color="auto"/>
              <w:bottom w:val="single" w:sz="4" w:space="0" w:color="auto"/>
            </w:tcBorders>
            <w:shd w:val="clear" w:color="auto" w:fill="CCFFFF"/>
            <w:tcMar>
              <w:top w:w="113" w:type="dxa"/>
            </w:tcMar>
            <w:vAlign w:val="center"/>
          </w:tcPr>
          <w:p w:rsidR="009F58E5" w:rsidRPr="00C75C7E" w:rsidRDefault="009F58E5" w:rsidP="008F4F69">
            <w:pPr>
              <w:spacing w:after="120"/>
              <w:jc w:val="center"/>
              <w:rPr>
                <w:b/>
                <w:bCs/>
                <w:sz w:val="18"/>
                <w:szCs w:val="18"/>
                <w:lang w:val="es-ES_tradnl"/>
              </w:rPr>
            </w:pPr>
            <w:r w:rsidRPr="00C75C7E">
              <w:rPr>
                <w:b/>
                <w:bCs/>
                <w:sz w:val="18"/>
                <w:szCs w:val="18"/>
                <w:lang w:val="es-ES_tradnl"/>
              </w:rPr>
              <w:t>Indicadores de rendimiento</w:t>
            </w:r>
          </w:p>
        </w:tc>
        <w:tc>
          <w:tcPr>
            <w:tcW w:w="1145" w:type="pct"/>
            <w:tcBorders>
              <w:top w:val="single" w:sz="4" w:space="0" w:color="auto"/>
              <w:bottom w:val="single" w:sz="4" w:space="0" w:color="auto"/>
            </w:tcBorders>
            <w:shd w:val="clear" w:color="auto" w:fill="CCFFFF"/>
            <w:tcMar>
              <w:top w:w="113" w:type="dxa"/>
            </w:tcMar>
            <w:vAlign w:val="center"/>
          </w:tcPr>
          <w:p w:rsidR="009F58E5" w:rsidRPr="00C75C7E" w:rsidRDefault="009F58E5" w:rsidP="008D3D36">
            <w:pPr>
              <w:spacing w:after="120"/>
              <w:ind w:left="85"/>
              <w:rPr>
                <w:b/>
                <w:bCs/>
                <w:sz w:val="18"/>
                <w:szCs w:val="18"/>
                <w:lang w:val="es-ES_tradnl"/>
              </w:rPr>
            </w:pPr>
            <w:r w:rsidRPr="00C75C7E">
              <w:rPr>
                <w:b/>
                <w:bCs/>
                <w:sz w:val="18"/>
                <w:szCs w:val="18"/>
                <w:lang w:val="es-ES_tradnl"/>
              </w:rPr>
              <w:t>Referencia</w:t>
            </w:r>
          </w:p>
        </w:tc>
        <w:tc>
          <w:tcPr>
            <w:tcW w:w="1144" w:type="pct"/>
            <w:tcBorders>
              <w:top w:val="single" w:sz="4" w:space="0" w:color="auto"/>
              <w:bottom w:val="single" w:sz="4" w:space="0" w:color="auto"/>
            </w:tcBorders>
            <w:shd w:val="clear" w:color="auto" w:fill="CCFFFF"/>
            <w:tcMar>
              <w:top w:w="113" w:type="dxa"/>
            </w:tcMar>
            <w:vAlign w:val="center"/>
          </w:tcPr>
          <w:p w:rsidR="009F58E5" w:rsidRPr="00C75C7E" w:rsidRDefault="009F58E5" w:rsidP="008D3D36">
            <w:pPr>
              <w:keepNext/>
              <w:keepLines/>
              <w:spacing w:after="120"/>
              <w:ind w:right="111"/>
              <w:rPr>
                <w:b/>
                <w:bCs/>
                <w:sz w:val="18"/>
                <w:szCs w:val="18"/>
                <w:lang w:val="es-ES_tradnl"/>
              </w:rPr>
            </w:pPr>
            <w:r w:rsidRPr="00C75C7E">
              <w:rPr>
                <w:b/>
                <w:bCs/>
                <w:sz w:val="18"/>
                <w:szCs w:val="18"/>
                <w:lang w:val="es-ES_tradnl"/>
              </w:rPr>
              <w:t>Objetivos</w:t>
            </w:r>
          </w:p>
        </w:tc>
      </w:tr>
      <w:tr w:rsidR="009F58E5" w:rsidRPr="00C75C7E" w:rsidTr="008F4F69">
        <w:trPr>
          <w:cantSplit/>
        </w:trPr>
        <w:tc>
          <w:tcPr>
            <w:tcW w:w="1249" w:type="pct"/>
            <w:tcBorders>
              <w:top w:val="single" w:sz="4" w:space="0" w:color="auto"/>
            </w:tcBorders>
            <w:shd w:val="clear" w:color="auto" w:fill="auto"/>
            <w:tcMar>
              <w:top w:w="113" w:type="dxa"/>
            </w:tcMar>
          </w:tcPr>
          <w:p w:rsidR="009F58E5" w:rsidRPr="00C75C7E" w:rsidRDefault="009F58E5" w:rsidP="008F4F69">
            <w:pPr>
              <w:rPr>
                <w:sz w:val="16"/>
                <w:szCs w:val="16"/>
                <w:lang w:val="es-ES_tradnl"/>
              </w:rPr>
            </w:pPr>
            <w:r w:rsidRPr="00C75C7E">
              <w:rPr>
                <w:sz w:val="16"/>
                <w:szCs w:val="16"/>
                <w:lang w:val="es-ES_tradnl"/>
              </w:rPr>
              <w:t>IX.1   Servicios de apoyo eficaces, eficientes, de calidad y orientados al cliente, tanto a los clientes internos como a las partes interesadas externas.</w:t>
            </w:r>
          </w:p>
        </w:tc>
        <w:tc>
          <w:tcPr>
            <w:tcW w:w="1462" w:type="pct"/>
            <w:tcBorders>
              <w:top w:val="single" w:sz="4" w:space="0" w:color="auto"/>
            </w:tcBorders>
            <w:shd w:val="clear" w:color="auto" w:fill="auto"/>
            <w:tcMar>
              <w:top w:w="113" w:type="dxa"/>
            </w:tcMar>
          </w:tcPr>
          <w:p w:rsidR="009F58E5" w:rsidRPr="00C75C7E" w:rsidRDefault="009F58E5" w:rsidP="008F4F69">
            <w:pPr>
              <w:rPr>
                <w:sz w:val="16"/>
                <w:szCs w:val="16"/>
                <w:lang w:val="es-ES_tradnl"/>
              </w:rPr>
            </w:pPr>
            <w:r w:rsidRPr="00C75C7E">
              <w:rPr>
                <w:sz w:val="16"/>
                <w:szCs w:val="16"/>
                <w:lang w:val="es-ES_tradnl"/>
              </w:rPr>
              <w:t>Los sistemas de TIC se alojan y se administran económicamente en concordancia con las necesidades operativas.</w:t>
            </w:r>
          </w:p>
          <w:p w:rsidR="009F58E5" w:rsidRPr="00C75C7E" w:rsidRDefault="009F58E5" w:rsidP="008F4F69">
            <w:pPr>
              <w:rPr>
                <w:bCs/>
                <w:sz w:val="16"/>
                <w:szCs w:val="16"/>
                <w:lang w:val="es-ES_tradnl"/>
              </w:rPr>
            </w:pPr>
          </w:p>
        </w:tc>
        <w:tc>
          <w:tcPr>
            <w:tcW w:w="1145" w:type="pct"/>
            <w:tcBorders>
              <w:top w:val="single" w:sz="4" w:space="0" w:color="auto"/>
            </w:tcBorders>
            <w:shd w:val="clear" w:color="auto" w:fill="FFFFFF"/>
            <w:tcMar>
              <w:top w:w="113" w:type="dxa"/>
            </w:tcMar>
          </w:tcPr>
          <w:p w:rsidR="009F58E5" w:rsidRPr="00C75C7E" w:rsidRDefault="009F58E5" w:rsidP="008F4F69">
            <w:pPr>
              <w:rPr>
                <w:sz w:val="16"/>
                <w:szCs w:val="16"/>
                <w:lang w:val="es-ES_tradnl"/>
              </w:rPr>
            </w:pPr>
            <w:r w:rsidRPr="00C75C7E">
              <w:rPr>
                <w:sz w:val="16"/>
                <w:szCs w:val="16"/>
                <w:lang w:val="es-ES_tradnl"/>
              </w:rPr>
              <w:t>Costos unitarios de almacenamiento y copia de seguridad de los servidores virtuales y físicos.</w:t>
            </w:r>
          </w:p>
        </w:tc>
        <w:tc>
          <w:tcPr>
            <w:tcW w:w="1144" w:type="pct"/>
            <w:tcBorders>
              <w:top w:val="single" w:sz="4" w:space="0" w:color="auto"/>
            </w:tcBorders>
            <w:shd w:val="clear" w:color="auto" w:fill="auto"/>
            <w:tcMar>
              <w:top w:w="113" w:type="dxa"/>
            </w:tcMar>
          </w:tcPr>
          <w:p w:rsidR="009F58E5" w:rsidRPr="00C75C7E" w:rsidRDefault="009F58E5" w:rsidP="008F4F69">
            <w:pPr>
              <w:keepNext/>
              <w:keepLines/>
              <w:ind w:right="221"/>
              <w:rPr>
                <w:bCs/>
                <w:sz w:val="16"/>
                <w:szCs w:val="16"/>
                <w:lang w:val="es-ES_tradnl"/>
              </w:rPr>
            </w:pPr>
            <w:r w:rsidRPr="00C75C7E">
              <w:rPr>
                <w:bCs/>
                <w:sz w:val="16"/>
                <w:szCs w:val="16"/>
                <w:lang w:val="es-ES_tradnl"/>
              </w:rPr>
              <w:t>Los costos unitarios de alojamiento de infraestructuras están al nivel de la referencia o por debajo de ella.</w:t>
            </w:r>
          </w:p>
          <w:p w:rsidR="009F58E5" w:rsidRPr="00C75C7E" w:rsidRDefault="009F58E5" w:rsidP="008F4F69">
            <w:pPr>
              <w:keepNext/>
              <w:keepLines/>
              <w:ind w:right="221"/>
              <w:rPr>
                <w:bCs/>
                <w:sz w:val="16"/>
                <w:szCs w:val="16"/>
                <w:lang w:val="es-ES_tradnl"/>
              </w:rPr>
            </w:pPr>
          </w:p>
        </w:tc>
      </w:tr>
      <w:tr w:rsidR="009F58E5" w:rsidRPr="00C75C7E" w:rsidTr="008F4F69">
        <w:trPr>
          <w:cantSplit/>
          <w:trHeight w:val="622"/>
        </w:trPr>
        <w:tc>
          <w:tcPr>
            <w:tcW w:w="1249" w:type="pct"/>
            <w:shd w:val="clear" w:color="auto" w:fill="auto"/>
            <w:tcMar>
              <w:top w:w="113" w:type="dxa"/>
            </w:tcMar>
          </w:tcPr>
          <w:p w:rsidR="009F58E5" w:rsidRPr="00C75C7E" w:rsidRDefault="009F58E5" w:rsidP="008F4F69">
            <w:pPr>
              <w:rPr>
                <w:sz w:val="16"/>
                <w:szCs w:val="16"/>
                <w:lang w:val="es-ES_tradnl"/>
              </w:rPr>
            </w:pPr>
          </w:p>
        </w:tc>
        <w:tc>
          <w:tcPr>
            <w:tcW w:w="1462" w:type="pct"/>
            <w:shd w:val="clear" w:color="auto" w:fill="auto"/>
            <w:tcMar>
              <w:top w:w="113" w:type="dxa"/>
            </w:tcMar>
          </w:tcPr>
          <w:p w:rsidR="009F58E5" w:rsidRPr="00C75C7E" w:rsidRDefault="009F58E5" w:rsidP="008F4F69">
            <w:pPr>
              <w:rPr>
                <w:sz w:val="16"/>
                <w:szCs w:val="16"/>
                <w:lang w:val="es-ES_tradnl"/>
              </w:rPr>
            </w:pPr>
            <w:r w:rsidRPr="00C75C7E">
              <w:rPr>
                <w:sz w:val="16"/>
                <w:szCs w:val="16"/>
                <w:lang w:val="es-ES_tradnl"/>
              </w:rPr>
              <w:t>Número de acuerdos de prestación de servicios para el alojamiento de sistemas y servicios que cumplen con el marco de acuerdos de prestación de servicios para las TIC.</w:t>
            </w:r>
          </w:p>
        </w:tc>
        <w:tc>
          <w:tcPr>
            <w:tcW w:w="1145" w:type="pct"/>
            <w:shd w:val="clear" w:color="auto" w:fill="FFFFFF"/>
            <w:tcMar>
              <w:top w:w="113" w:type="dxa"/>
            </w:tcMar>
          </w:tcPr>
          <w:p w:rsidR="009F58E5" w:rsidRPr="00C75C7E" w:rsidRDefault="009F58E5" w:rsidP="008F4F69">
            <w:pPr>
              <w:rPr>
                <w:sz w:val="16"/>
                <w:szCs w:val="16"/>
                <w:lang w:val="es-ES_tradnl"/>
              </w:rPr>
            </w:pPr>
            <w:r w:rsidRPr="00C75C7E">
              <w:rPr>
                <w:sz w:val="16"/>
                <w:szCs w:val="16"/>
                <w:lang w:val="es-ES_tradnl" w:bidi="th-TH"/>
              </w:rPr>
              <w:t xml:space="preserve">Marco en vigor de acuerdos normalizados de prestación de servicios para las TIC. </w:t>
            </w:r>
          </w:p>
          <w:p w:rsidR="009F58E5" w:rsidRPr="00C75C7E" w:rsidRDefault="009F58E5" w:rsidP="008F4F69">
            <w:pPr>
              <w:rPr>
                <w:sz w:val="16"/>
                <w:szCs w:val="16"/>
                <w:lang w:val="es-ES_tradnl"/>
              </w:rPr>
            </w:pPr>
          </w:p>
        </w:tc>
        <w:tc>
          <w:tcPr>
            <w:tcW w:w="1144" w:type="pct"/>
            <w:shd w:val="clear" w:color="auto" w:fill="auto"/>
            <w:tcMar>
              <w:top w:w="113" w:type="dxa"/>
            </w:tcMar>
          </w:tcPr>
          <w:p w:rsidR="009F58E5" w:rsidRPr="00C75C7E" w:rsidRDefault="009F58E5" w:rsidP="008F4F69">
            <w:pPr>
              <w:keepNext/>
              <w:keepLines/>
              <w:ind w:right="221"/>
              <w:rPr>
                <w:bCs/>
                <w:sz w:val="16"/>
                <w:szCs w:val="16"/>
                <w:lang w:val="es-ES_tradnl"/>
              </w:rPr>
            </w:pPr>
            <w:r w:rsidRPr="00C75C7E">
              <w:rPr>
                <w:bCs/>
                <w:sz w:val="16"/>
                <w:szCs w:val="16"/>
                <w:lang w:val="es-ES_tradnl"/>
              </w:rPr>
              <w:t>Porcentaje de acuerdos de prestación de servicios que cumplen lo dispuesto en el marco de las TIC.</w:t>
            </w:r>
          </w:p>
          <w:p w:rsidR="009F58E5" w:rsidRPr="00C75C7E" w:rsidRDefault="009F58E5" w:rsidP="008F4F69">
            <w:pPr>
              <w:keepNext/>
              <w:keepLines/>
              <w:ind w:right="221"/>
              <w:rPr>
                <w:bCs/>
                <w:sz w:val="16"/>
                <w:szCs w:val="16"/>
                <w:lang w:val="es-ES_tradnl"/>
              </w:rPr>
            </w:pPr>
          </w:p>
        </w:tc>
      </w:tr>
      <w:tr w:rsidR="009F58E5" w:rsidRPr="00C75C7E" w:rsidTr="008F4F69">
        <w:trPr>
          <w:cantSplit/>
          <w:trHeight w:val="622"/>
        </w:trPr>
        <w:tc>
          <w:tcPr>
            <w:tcW w:w="1249" w:type="pct"/>
            <w:shd w:val="clear" w:color="auto" w:fill="auto"/>
            <w:tcMar>
              <w:top w:w="113" w:type="dxa"/>
            </w:tcMar>
          </w:tcPr>
          <w:p w:rsidR="009F58E5" w:rsidRPr="00C75C7E" w:rsidRDefault="009F58E5" w:rsidP="008F4F69">
            <w:pPr>
              <w:rPr>
                <w:sz w:val="16"/>
                <w:szCs w:val="16"/>
                <w:lang w:val="es-ES_tradnl"/>
              </w:rPr>
            </w:pPr>
          </w:p>
        </w:tc>
        <w:tc>
          <w:tcPr>
            <w:tcW w:w="1462" w:type="pct"/>
            <w:shd w:val="clear" w:color="auto" w:fill="auto"/>
            <w:tcMar>
              <w:top w:w="113" w:type="dxa"/>
            </w:tcMar>
          </w:tcPr>
          <w:p w:rsidR="009F58E5" w:rsidRPr="00C75C7E" w:rsidRDefault="009F58E5" w:rsidP="008F4F69">
            <w:pPr>
              <w:rPr>
                <w:sz w:val="16"/>
                <w:szCs w:val="16"/>
                <w:lang w:val="es-ES_tradnl"/>
              </w:rPr>
            </w:pPr>
            <w:r w:rsidRPr="00C75C7E">
              <w:rPr>
                <w:sz w:val="16"/>
                <w:szCs w:val="16"/>
                <w:lang w:val="es-ES_tradnl"/>
              </w:rPr>
              <w:t>Continuidad de los servicios de TIC de los sistemas esenciales.</w:t>
            </w:r>
          </w:p>
        </w:tc>
        <w:tc>
          <w:tcPr>
            <w:tcW w:w="1145" w:type="pct"/>
            <w:shd w:val="clear" w:color="auto" w:fill="FFFFFF"/>
            <w:tcMar>
              <w:top w:w="113" w:type="dxa"/>
            </w:tcMar>
          </w:tcPr>
          <w:p w:rsidR="009F58E5" w:rsidRPr="00C75C7E" w:rsidRDefault="009F58E5" w:rsidP="008F4F69">
            <w:pPr>
              <w:rPr>
                <w:sz w:val="16"/>
                <w:szCs w:val="16"/>
                <w:lang w:val="es-ES_tradnl"/>
              </w:rPr>
            </w:pPr>
            <w:r w:rsidRPr="00C75C7E">
              <w:rPr>
                <w:sz w:val="16"/>
                <w:szCs w:val="16"/>
                <w:lang w:val="es-ES_tradnl"/>
              </w:rPr>
              <w:t xml:space="preserve">Los datos no se almacenan en línea, se necesitan varios días para recuperar los datos. </w:t>
            </w:r>
          </w:p>
        </w:tc>
        <w:tc>
          <w:tcPr>
            <w:tcW w:w="1144" w:type="pct"/>
            <w:shd w:val="clear" w:color="auto" w:fill="auto"/>
            <w:tcMar>
              <w:top w:w="113" w:type="dxa"/>
            </w:tcMar>
          </w:tcPr>
          <w:p w:rsidR="009F58E5" w:rsidRPr="00C75C7E" w:rsidRDefault="009F58E5" w:rsidP="008F4F69">
            <w:pPr>
              <w:keepNext/>
              <w:keepLines/>
              <w:ind w:right="221"/>
              <w:rPr>
                <w:bCs/>
                <w:sz w:val="16"/>
                <w:szCs w:val="16"/>
                <w:lang w:val="es-ES_tradnl"/>
              </w:rPr>
            </w:pPr>
            <w:r w:rsidRPr="00C75C7E">
              <w:rPr>
                <w:bCs/>
                <w:sz w:val="16"/>
                <w:szCs w:val="16"/>
                <w:lang w:val="es-ES_tradnl"/>
              </w:rPr>
              <w:t>Los sistemas esenciales pueden recuperarse puntualmente sin que se pierdan datos en caso de interrupciones localizadas de seriedad.</w:t>
            </w:r>
          </w:p>
        </w:tc>
      </w:tr>
      <w:tr w:rsidR="009F58E5" w:rsidRPr="00C75C7E" w:rsidTr="008F4F69">
        <w:trPr>
          <w:cantSplit/>
          <w:trHeight w:val="782"/>
        </w:trPr>
        <w:tc>
          <w:tcPr>
            <w:tcW w:w="1249" w:type="pct"/>
            <w:shd w:val="clear" w:color="auto" w:fill="auto"/>
            <w:tcMar>
              <w:top w:w="113" w:type="dxa"/>
            </w:tcMar>
          </w:tcPr>
          <w:p w:rsidR="009F58E5" w:rsidRPr="00C75C7E" w:rsidRDefault="009F58E5" w:rsidP="008F4F69">
            <w:pPr>
              <w:rPr>
                <w:sz w:val="16"/>
                <w:szCs w:val="16"/>
                <w:lang w:val="es-ES_tradnl"/>
              </w:rPr>
            </w:pPr>
          </w:p>
        </w:tc>
        <w:tc>
          <w:tcPr>
            <w:tcW w:w="1462" w:type="pct"/>
            <w:shd w:val="clear" w:color="auto" w:fill="auto"/>
            <w:tcMar>
              <w:top w:w="113" w:type="dxa"/>
            </w:tcMar>
          </w:tcPr>
          <w:p w:rsidR="009F58E5" w:rsidRPr="00C75C7E" w:rsidRDefault="009F58E5" w:rsidP="008F4F69">
            <w:pPr>
              <w:rPr>
                <w:sz w:val="16"/>
                <w:szCs w:val="16"/>
                <w:lang w:val="es-ES_tradnl"/>
              </w:rPr>
            </w:pPr>
            <w:r w:rsidRPr="00C75C7E">
              <w:rPr>
                <w:sz w:val="16"/>
                <w:szCs w:val="16"/>
                <w:lang w:val="es-ES_tradnl"/>
              </w:rPr>
              <w:t>Porcentaje de usuarios y sectores de actividades que están satisfechos con los servicios de TIC.</w:t>
            </w:r>
          </w:p>
        </w:tc>
        <w:tc>
          <w:tcPr>
            <w:tcW w:w="1145" w:type="pct"/>
            <w:shd w:val="clear" w:color="auto" w:fill="FFFFFF"/>
            <w:tcMar>
              <w:top w:w="113" w:type="dxa"/>
            </w:tcMar>
          </w:tcPr>
          <w:p w:rsidR="009F58E5" w:rsidRPr="00C75C7E" w:rsidRDefault="009F58E5" w:rsidP="008F4F69">
            <w:pPr>
              <w:rPr>
                <w:sz w:val="16"/>
                <w:szCs w:val="16"/>
                <w:lang w:val="es-ES_tradnl" w:bidi="th-TH"/>
              </w:rPr>
            </w:pPr>
            <w:r w:rsidRPr="00C75C7E">
              <w:rPr>
                <w:sz w:val="16"/>
                <w:szCs w:val="16"/>
                <w:lang w:val="es-ES_tradnl" w:bidi="th-TH"/>
              </w:rPr>
              <w:t>Satisfacción del personal directivo al inicio del bienio.</w:t>
            </w:r>
          </w:p>
        </w:tc>
        <w:tc>
          <w:tcPr>
            <w:tcW w:w="1144" w:type="pct"/>
            <w:shd w:val="clear" w:color="auto" w:fill="auto"/>
            <w:tcMar>
              <w:top w:w="113" w:type="dxa"/>
            </w:tcMar>
          </w:tcPr>
          <w:p w:rsidR="009F58E5" w:rsidRPr="00C75C7E" w:rsidRDefault="009F58E5" w:rsidP="008F4F69">
            <w:pPr>
              <w:keepNext/>
              <w:keepLines/>
              <w:ind w:right="221"/>
              <w:rPr>
                <w:bCs/>
                <w:sz w:val="16"/>
                <w:szCs w:val="16"/>
                <w:lang w:val="es-ES_tradnl"/>
              </w:rPr>
            </w:pPr>
            <w:r w:rsidRPr="00C75C7E">
              <w:rPr>
                <w:bCs/>
                <w:sz w:val="16"/>
                <w:szCs w:val="16"/>
                <w:lang w:val="es-ES_tradnl"/>
              </w:rPr>
              <w:t xml:space="preserve">Mantenimiento o mejora en relación con la referencia. </w:t>
            </w:r>
          </w:p>
        </w:tc>
      </w:tr>
      <w:tr w:rsidR="009F58E5" w:rsidRPr="00C75C7E" w:rsidTr="008F4F69">
        <w:trPr>
          <w:cantSplit/>
          <w:trHeight w:val="515"/>
        </w:trPr>
        <w:tc>
          <w:tcPr>
            <w:tcW w:w="1249" w:type="pct"/>
            <w:shd w:val="clear" w:color="auto" w:fill="auto"/>
            <w:tcMar>
              <w:top w:w="113" w:type="dxa"/>
            </w:tcMar>
          </w:tcPr>
          <w:p w:rsidR="009F58E5" w:rsidRPr="00C75C7E" w:rsidRDefault="009F58E5" w:rsidP="008F4F69">
            <w:pPr>
              <w:rPr>
                <w:sz w:val="16"/>
                <w:szCs w:val="16"/>
                <w:lang w:val="es-ES_tradnl"/>
              </w:rPr>
            </w:pPr>
          </w:p>
        </w:tc>
        <w:tc>
          <w:tcPr>
            <w:tcW w:w="1462" w:type="pct"/>
            <w:shd w:val="clear" w:color="auto" w:fill="auto"/>
            <w:tcMar>
              <w:top w:w="113" w:type="dxa"/>
            </w:tcMar>
          </w:tcPr>
          <w:p w:rsidR="009F58E5" w:rsidRPr="00C75C7E" w:rsidRDefault="009F58E5" w:rsidP="008F4F69">
            <w:pPr>
              <w:rPr>
                <w:sz w:val="16"/>
                <w:szCs w:val="16"/>
                <w:lang w:val="es-ES_tradnl"/>
              </w:rPr>
            </w:pPr>
            <w:r w:rsidRPr="00C75C7E">
              <w:rPr>
                <w:sz w:val="16"/>
                <w:szCs w:val="16"/>
                <w:lang w:val="es-ES_tradnl"/>
              </w:rPr>
              <w:t>El personal tiene fácil acceso a tecnologías de las comunicaciones integradas y de amplio alcance.</w:t>
            </w:r>
          </w:p>
        </w:tc>
        <w:tc>
          <w:tcPr>
            <w:tcW w:w="1145" w:type="pct"/>
            <w:shd w:val="clear" w:color="auto" w:fill="FFFFFF"/>
            <w:tcMar>
              <w:top w:w="113" w:type="dxa"/>
            </w:tcMar>
          </w:tcPr>
          <w:p w:rsidR="009F58E5" w:rsidRPr="00C75C7E" w:rsidRDefault="009F58E5" w:rsidP="008F4F69">
            <w:pPr>
              <w:rPr>
                <w:sz w:val="16"/>
                <w:szCs w:val="16"/>
                <w:lang w:val="es-ES_tradnl" w:bidi="th-TH"/>
              </w:rPr>
            </w:pPr>
            <w:r w:rsidRPr="00C75C7E">
              <w:rPr>
                <w:sz w:val="16"/>
                <w:szCs w:val="16"/>
                <w:lang w:val="es-ES_tradnl" w:bidi="th-TH"/>
              </w:rPr>
              <w:t>Disponibles en las computadoras de escritorio (y en los portátiles).</w:t>
            </w:r>
          </w:p>
        </w:tc>
        <w:tc>
          <w:tcPr>
            <w:tcW w:w="1144" w:type="pct"/>
            <w:shd w:val="clear" w:color="auto" w:fill="auto"/>
            <w:tcMar>
              <w:top w:w="113" w:type="dxa"/>
            </w:tcMar>
          </w:tcPr>
          <w:p w:rsidR="009F58E5" w:rsidRPr="00C75C7E" w:rsidRDefault="009F58E5" w:rsidP="008F4F69">
            <w:pPr>
              <w:keepNext/>
              <w:keepLines/>
              <w:ind w:right="221"/>
              <w:rPr>
                <w:bCs/>
                <w:sz w:val="16"/>
                <w:szCs w:val="16"/>
                <w:lang w:val="es-ES_tradnl"/>
              </w:rPr>
            </w:pPr>
            <w:r w:rsidRPr="00C75C7E">
              <w:rPr>
                <w:bCs/>
                <w:sz w:val="16"/>
                <w:szCs w:val="16"/>
                <w:lang w:val="es-ES_tradnl"/>
              </w:rPr>
              <w:t>Disponibles en otros dispositivos móviles.</w:t>
            </w:r>
          </w:p>
        </w:tc>
      </w:tr>
      <w:tr w:rsidR="009F58E5" w:rsidRPr="00C75C7E" w:rsidTr="008F4F69">
        <w:trPr>
          <w:cantSplit/>
          <w:trHeight w:val="1161"/>
        </w:trPr>
        <w:tc>
          <w:tcPr>
            <w:tcW w:w="1249" w:type="pct"/>
            <w:shd w:val="clear" w:color="auto" w:fill="auto"/>
            <w:tcMar>
              <w:top w:w="113" w:type="dxa"/>
            </w:tcMar>
          </w:tcPr>
          <w:p w:rsidR="009F58E5" w:rsidRPr="00C75C7E" w:rsidRDefault="009F58E5" w:rsidP="008F4F69">
            <w:pPr>
              <w:rPr>
                <w:sz w:val="16"/>
                <w:szCs w:val="16"/>
                <w:lang w:val="es-ES_tradnl"/>
              </w:rPr>
            </w:pPr>
            <w:r w:rsidRPr="00C75C7E">
              <w:rPr>
                <w:sz w:val="16"/>
                <w:szCs w:val="16"/>
                <w:lang w:val="es-ES_tradnl"/>
              </w:rPr>
              <w:t>IX.4. Una Organización responsable con el medio ambiente y la sociedad en la que se garantiza la seguridad del personal de la OMPI, los delegados, los visitantes, la información y los activos físicos.</w:t>
            </w:r>
          </w:p>
        </w:tc>
        <w:tc>
          <w:tcPr>
            <w:tcW w:w="1462" w:type="pct"/>
            <w:shd w:val="clear" w:color="auto" w:fill="auto"/>
            <w:tcMar>
              <w:top w:w="113" w:type="dxa"/>
            </w:tcMar>
          </w:tcPr>
          <w:p w:rsidR="009F58E5" w:rsidRPr="00C75C7E" w:rsidRDefault="009F58E5" w:rsidP="008F4F69">
            <w:pPr>
              <w:rPr>
                <w:sz w:val="16"/>
                <w:szCs w:val="16"/>
                <w:lang w:val="es-ES_tradnl"/>
              </w:rPr>
            </w:pPr>
            <w:r w:rsidRPr="00C75C7E">
              <w:rPr>
                <w:sz w:val="16"/>
                <w:szCs w:val="16"/>
                <w:lang w:val="es-ES_tradnl"/>
              </w:rPr>
              <w:t>Se refuerza la seguridad de la información para protegerse contra los ataques cada vez más frecuentes en Internet.</w:t>
            </w:r>
          </w:p>
        </w:tc>
        <w:tc>
          <w:tcPr>
            <w:tcW w:w="1145" w:type="pct"/>
            <w:shd w:val="clear" w:color="auto" w:fill="FFFFFF"/>
            <w:tcMar>
              <w:top w:w="113" w:type="dxa"/>
            </w:tcMar>
          </w:tcPr>
          <w:p w:rsidR="009F58E5" w:rsidRPr="00C75C7E" w:rsidRDefault="009F58E5" w:rsidP="008F4F69">
            <w:pPr>
              <w:rPr>
                <w:sz w:val="16"/>
                <w:szCs w:val="16"/>
                <w:lang w:val="es-ES_tradnl" w:bidi="th-TH"/>
              </w:rPr>
            </w:pPr>
            <w:r w:rsidRPr="00C75C7E">
              <w:rPr>
                <w:sz w:val="16"/>
                <w:szCs w:val="16"/>
                <w:lang w:val="es-ES_tradnl" w:bidi="th-TH"/>
              </w:rPr>
              <w:t>No se han producido importantes violaciones de la seguridad en los sistemas de información de la OMPI.</w:t>
            </w:r>
          </w:p>
        </w:tc>
        <w:tc>
          <w:tcPr>
            <w:tcW w:w="1144" w:type="pct"/>
            <w:shd w:val="clear" w:color="auto" w:fill="auto"/>
            <w:tcMar>
              <w:top w:w="113" w:type="dxa"/>
            </w:tcMar>
          </w:tcPr>
          <w:p w:rsidR="009F58E5" w:rsidRPr="00C75C7E" w:rsidRDefault="009F58E5" w:rsidP="008F4F69">
            <w:pPr>
              <w:keepNext/>
              <w:keepLines/>
              <w:ind w:right="221"/>
              <w:rPr>
                <w:bCs/>
                <w:sz w:val="16"/>
                <w:szCs w:val="16"/>
                <w:lang w:val="es-ES_tradnl"/>
              </w:rPr>
            </w:pPr>
            <w:r w:rsidRPr="00C75C7E">
              <w:rPr>
                <w:bCs/>
                <w:sz w:val="16"/>
                <w:szCs w:val="16"/>
                <w:lang w:val="es-ES_tradnl"/>
              </w:rPr>
              <w:t>No se han producido importantes violaciones de la seguridad en los sistemas de información de la OMPI.</w:t>
            </w:r>
          </w:p>
        </w:tc>
      </w:tr>
      <w:tr w:rsidR="009F58E5" w:rsidRPr="00C75C7E" w:rsidTr="008F4F69">
        <w:trPr>
          <w:cantSplit/>
          <w:trHeight w:val="1512"/>
        </w:trPr>
        <w:tc>
          <w:tcPr>
            <w:tcW w:w="1249" w:type="pct"/>
            <w:shd w:val="clear" w:color="auto" w:fill="auto"/>
            <w:tcMar>
              <w:top w:w="113" w:type="dxa"/>
            </w:tcMar>
          </w:tcPr>
          <w:p w:rsidR="009F58E5" w:rsidRPr="00C75C7E" w:rsidRDefault="009F58E5" w:rsidP="008F4F69">
            <w:pPr>
              <w:rPr>
                <w:sz w:val="16"/>
                <w:szCs w:val="16"/>
                <w:lang w:val="es-ES_tradnl"/>
              </w:rPr>
            </w:pPr>
          </w:p>
        </w:tc>
        <w:tc>
          <w:tcPr>
            <w:tcW w:w="1462" w:type="pct"/>
            <w:shd w:val="clear" w:color="auto" w:fill="auto"/>
            <w:tcMar>
              <w:top w:w="113" w:type="dxa"/>
            </w:tcMar>
          </w:tcPr>
          <w:p w:rsidR="009F58E5" w:rsidRPr="00C75C7E" w:rsidRDefault="009F58E5" w:rsidP="008F4F69">
            <w:pPr>
              <w:rPr>
                <w:sz w:val="16"/>
                <w:szCs w:val="16"/>
                <w:lang w:val="es-ES_tradnl"/>
              </w:rPr>
            </w:pPr>
            <w:r w:rsidRPr="00C75C7E">
              <w:rPr>
                <w:sz w:val="16"/>
                <w:szCs w:val="16"/>
                <w:lang w:val="es-ES_tradnl"/>
              </w:rPr>
              <w:t>Situación de la certificación con arreglo a la norma ISO 27001 de los procedimientos de gestión de riesgos para la seguridad de la información.</w:t>
            </w:r>
          </w:p>
        </w:tc>
        <w:tc>
          <w:tcPr>
            <w:tcW w:w="1145" w:type="pct"/>
            <w:shd w:val="clear" w:color="auto" w:fill="FFFFFF"/>
            <w:tcMar>
              <w:top w:w="113" w:type="dxa"/>
            </w:tcMar>
          </w:tcPr>
          <w:p w:rsidR="009F58E5" w:rsidRPr="00C75C7E" w:rsidRDefault="009F58E5" w:rsidP="008F4F69">
            <w:pPr>
              <w:rPr>
                <w:sz w:val="16"/>
                <w:szCs w:val="16"/>
                <w:lang w:val="es-ES_tradnl" w:bidi="th-TH"/>
              </w:rPr>
            </w:pPr>
            <w:r w:rsidRPr="00C75C7E">
              <w:rPr>
                <w:sz w:val="16"/>
                <w:szCs w:val="16"/>
                <w:lang w:val="es-ES_tradnl" w:bidi="th-TH"/>
              </w:rPr>
              <w:t>Número de actividades de mitigación de riesgos pendientes al inicio del bienio;  certificación  de la Sección del PCT con arreglo a la norma ISO 27001.</w:t>
            </w:r>
          </w:p>
        </w:tc>
        <w:tc>
          <w:tcPr>
            <w:tcW w:w="1144" w:type="pct"/>
            <w:shd w:val="clear" w:color="auto" w:fill="auto"/>
            <w:tcMar>
              <w:top w:w="113" w:type="dxa"/>
            </w:tcMar>
          </w:tcPr>
          <w:p w:rsidR="009F58E5" w:rsidRPr="00C75C7E" w:rsidRDefault="009F58E5" w:rsidP="008F4F69">
            <w:pPr>
              <w:keepNext/>
              <w:keepLines/>
              <w:ind w:right="221"/>
              <w:rPr>
                <w:bCs/>
                <w:sz w:val="16"/>
                <w:szCs w:val="16"/>
                <w:lang w:val="es-ES_tradnl"/>
              </w:rPr>
            </w:pPr>
            <w:r w:rsidRPr="00C75C7E">
              <w:rPr>
                <w:bCs/>
                <w:sz w:val="16"/>
                <w:szCs w:val="16"/>
                <w:lang w:val="es-ES_tradnl"/>
              </w:rPr>
              <w:t>El 90% de las actividades pendientes se resuelven durante el bienio;  el 60% de nuevos riesgos  se mitigan en un plazo de tres meses a partir del momento en que se señalan;  se obtiene la certificación de las dependencias de la Organización, según sea necesario;  se mantiene la certificación del PCT.</w:t>
            </w:r>
          </w:p>
        </w:tc>
      </w:tr>
      <w:tr w:rsidR="009F58E5" w:rsidRPr="00C75C7E" w:rsidTr="008F4F69">
        <w:trPr>
          <w:cantSplit/>
          <w:trHeight w:val="614"/>
        </w:trPr>
        <w:tc>
          <w:tcPr>
            <w:tcW w:w="1249" w:type="pct"/>
            <w:shd w:val="clear" w:color="auto" w:fill="auto"/>
            <w:tcMar>
              <w:top w:w="113" w:type="dxa"/>
            </w:tcMar>
          </w:tcPr>
          <w:p w:rsidR="009F58E5" w:rsidRPr="00C75C7E" w:rsidRDefault="009F58E5" w:rsidP="008F4F69">
            <w:pPr>
              <w:rPr>
                <w:sz w:val="16"/>
                <w:szCs w:val="16"/>
                <w:lang w:val="es-ES_tradnl"/>
              </w:rPr>
            </w:pPr>
          </w:p>
        </w:tc>
        <w:tc>
          <w:tcPr>
            <w:tcW w:w="1462" w:type="pct"/>
            <w:shd w:val="clear" w:color="auto" w:fill="auto"/>
            <w:tcMar>
              <w:top w:w="113" w:type="dxa"/>
            </w:tcMar>
          </w:tcPr>
          <w:p w:rsidR="009F58E5" w:rsidRPr="00C75C7E" w:rsidRDefault="009F58E5" w:rsidP="008F4F69">
            <w:pPr>
              <w:rPr>
                <w:sz w:val="16"/>
                <w:szCs w:val="16"/>
                <w:lang w:val="es-ES_tradnl"/>
              </w:rPr>
            </w:pPr>
            <w:r w:rsidRPr="00C75C7E">
              <w:rPr>
                <w:sz w:val="16"/>
                <w:szCs w:val="16"/>
                <w:lang w:val="es-ES_tradnl"/>
              </w:rPr>
              <w:t>Eficacia de los controles de seguridad de la información (a nivel interno y externo).</w:t>
            </w:r>
          </w:p>
        </w:tc>
        <w:tc>
          <w:tcPr>
            <w:tcW w:w="1145" w:type="pct"/>
            <w:shd w:val="clear" w:color="auto" w:fill="FFFFFF"/>
            <w:tcMar>
              <w:top w:w="113" w:type="dxa"/>
            </w:tcMar>
          </w:tcPr>
          <w:p w:rsidR="009F58E5" w:rsidRPr="00C75C7E" w:rsidRDefault="009F58E5" w:rsidP="008F4F69">
            <w:pPr>
              <w:rPr>
                <w:sz w:val="16"/>
                <w:szCs w:val="16"/>
                <w:lang w:val="es-ES_tradnl" w:bidi="th-TH"/>
              </w:rPr>
            </w:pPr>
            <w:r w:rsidRPr="00C75C7E">
              <w:rPr>
                <w:sz w:val="16"/>
                <w:szCs w:val="16"/>
                <w:lang w:val="es-ES_tradnl" w:bidi="th-TH"/>
              </w:rPr>
              <w:t>5 incidentes o menos por año.</w:t>
            </w:r>
          </w:p>
        </w:tc>
        <w:tc>
          <w:tcPr>
            <w:tcW w:w="1144" w:type="pct"/>
            <w:shd w:val="clear" w:color="auto" w:fill="auto"/>
            <w:tcMar>
              <w:top w:w="113" w:type="dxa"/>
            </w:tcMar>
          </w:tcPr>
          <w:p w:rsidR="009F58E5" w:rsidRPr="00C75C7E" w:rsidRDefault="009F58E5" w:rsidP="008F4F69">
            <w:pPr>
              <w:keepNext/>
              <w:keepLines/>
              <w:ind w:right="221"/>
              <w:rPr>
                <w:bCs/>
                <w:sz w:val="16"/>
                <w:szCs w:val="16"/>
                <w:lang w:val="es-ES_tradnl"/>
              </w:rPr>
            </w:pPr>
            <w:r w:rsidRPr="00C75C7E">
              <w:rPr>
                <w:bCs/>
                <w:sz w:val="16"/>
                <w:szCs w:val="16"/>
                <w:lang w:val="es-ES_tradnl"/>
              </w:rPr>
              <w:t>2 incidentes o menos por año.</w:t>
            </w:r>
          </w:p>
        </w:tc>
      </w:tr>
    </w:tbl>
    <w:p w:rsidR="009F58E5" w:rsidRDefault="009F58E5" w:rsidP="009F58E5">
      <w:pPr>
        <w:rPr>
          <w:sz w:val="20"/>
          <w:lang w:val="es-ES_tradnl"/>
        </w:rPr>
      </w:pPr>
    </w:p>
    <w:p w:rsidR="00B1649B" w:rsidRPr="00C75C7E" w:rsidRDefault="00B1649B" w:rsidP="009F58E5">
      <w:pPr>
        <w:rPr>
          <w:sz w:val="20"/>
          <w:lang w:val="es-ES_tradnl"/>
        </w:rPr>
      </w:pPr>
    </w:p>
    <w:p w:rsidR="00B1649B" w:rsidRPr="003F4AA7" w:rsidRDefault="00B1649B" w:rsidP="00B1649B">
      <w:pPr>
        <w:rPr>
          <w:szCs w:val="22"/>
        </w:rPr>
      </w:pPr>
      <w:r w:rsidRPr="00ED24BB">
        <w:rPr>
          <w:szCs w:val="22"/>
        </w:rPr>
        <w:t>RECURSOS PARA EL PROGRAMA</w:t>
      </w:r>
      <w:r w:rsidRPr="003F4AA7">
        <w:rPr>
          <w:szCs w:val="22"/>
        </w:rPr>
        <w:t xml:space="preserve"> 25</w:t>
      </w:r>
    </w:p>
    <w:p w:rsidR="00B1649B" w:rsidRPr="003F4AA7" w:rsidRDefault="00B1649B" w:rsidP="00E6603F">
      <w:pPr>
        <w:keepLines/>
        <w:autoSpaceDE w:val="0"/>
        <w:autoSpaceDN w:val="0"/>
        <w:adjustRightInd w:val="0"/>
        <w:rPr>
          <w:sz w:val="20"/>
        </w:rPr>
      </w:pPr>
    </w:p>
    <w:p w:rsidR="00B1649B" w:rsidRPr="00AC5F87" w:rsidRDefault="00B1649B" w:rsidP="00D41E6A">
      <w:pPr>
        <w:numPr>
          <w:ilvl w:val="0"/>
          <w:numId w:val="44"/>
        </w:numPr>
        <w:jc w:val="both"/>
        <w:rPr>
          <w:sz w:val="20"/>
        </w:rPr>
      </w:pPr>
      <w:r w:rsidRPr="005B6321">
        <w:rPr>
          <w:sz w:val="20"/>
        </w:rPr>
        <w:t>En términos generales el nivel de los recursos</w:t>
      </w:r>
      <w:r>
        <w:rPr>
          <w:sz w:val="20"/>
        </w:rPr>
        <w:t xml:space="preserve"> </w:t>
      </w:r>
      <w:r w:rsidRPr="00AC5F87">
        <w:rPr>
          <w:sz w:val="20"/>
        </w:rPr>
        <w:t>asignados</w:t>
      </w:r>
      <w:r>
        <w:rPr>
          <w:sz w:val="20"/>
        </w:rPr>
        <w:t xml:space="preserve"> a</w:t>
      </w:r>
      <w:r w:rsidRPr="00AC5F87">
        <w:rPr>
          <w:sz w:val="20"/>
        </w:rPr>
        <w:t>l resultado IX.1 (</w:t>
      </w:r>
      <w:r>
        <w:rPr>
          <w:sz w:val="20"/>
        </w:rPr>
        <w:t xml:space="preserve">Servicios de apoyo eficaces, </w:t>
      </w:r>
      <w:r w:rsidRPr="00AC5F87">
        <w:rPr>
          <w:sz w:val="20"/>
        </w:rPr>
        <w:t>eficientes, de</w:t>
      </w:r>
      <w:r>
        <w:rPr>
          <w:sz w:val="20"/>
        </w:rPr>
        <w:t xml:space="preserve"> </w:t>
      </w:r>
      <w:r w:rsidRPr="00AC5F87">
        <w:rPr>
          <w:sz w:val="20"/>
        </w:rPr>
        <w:t>calidad y orientados al</w:t>
      </w:r>
      <w:r>
        <w:rPr>
          <w:sz w:val="20"/>
        </w:rPr>
        <w:t xml:space="preserve"> </w:t>
      </w:r>
      <w:r w:rsidRPr="00AC5F87">
        <w:rPr>
          <w:sz w:val="20"/>
        </w:rPr>
        <w:t>cliente</w:t>
      </w:r>
      <w:r>
        <w:rPr>
          <w:sz w:val="20"/>
        </w:rPr>
        <w:t>) se mantendrán estables en comparación con el presupuesto 2012/13 después de las transferencias.  Esta situación se debe a la combinación de dos factores: i) un aumento</w:t>
      </w:r>
      <w:r w:rsidRPr="00B14CCD">
        <w:rPr>
          <w:sz w:val="20"/>
        </w:rPr>
        <w:t xml:space="preserve"> de </w:t>
      </w:r>
      <w:r>
        <w:rPr>
          <w:sz w:val="20"/>
        </w:rPr>
        <w:t xml:space="preserve">los </w:t>
      </w:r>
      <w:r w:rsidRPr="00B14CCD">
        <w:rPr>
          <w:sz w:val="20"/>
        </w:rPr>
        <w:t>gastos no relativos al personal</w:t>
      </w:r>
      <w:r>
        <w:rPr>
          <w:sz w:val="20"/>
        </w:rPr>
        <w:t>, como en la línea “</w:t>
      </w:r>
      <w:r w:rsidRPr="00DC41B1">
        <w:rPr>
          <w:sz w:val="20"/>
        </w:rPr>
        <w:t>Otros servicios contractuales”</w:t>
      </w:r>
      <w:r>
        <w:rPr>
          <w:sz w:val="20"/>
        </w:rPr>
        <w:t xml:space="preserve"> y la línea </w:t>
      </w:r>
      <w:r w:rsidRPr="00DC41B1">
        <w:rPr>
          <w:sz w:val="20"/>
        </w:rPr>
        <w:t>“Locales y</w:t>
      </w:r>
      <w:r>
        <w:rPr>
          <w:sz w:val="20"/>
        </w:rPr>
        <w:t xml:space="preserve"> </w:t>
      </w:r>
      <w:r w:rsidRPr="00DC41B1">
        <w:rPr>
          <w:sz w:val="20"/>
        </w:rPr>
        <w:t>mantenimiento”</w:t>
      </w:r>
      <w:r>
        <w:rPr>
          <w:sz w:val="20"/>
        </w:rPr>
        <w:t xml:space="preserve">, como consecuencia del aumento de los niveles de recursos asignados a iniciativas clave como la </w:t>
      </w:r>
      <w:r w:rsidRPr="00B41C8A">
        <w:rPr>
          <w:bCs/>
          <w:sz w:val="20"/>
        </w:rPr>
        <w:t>continuación de</w:t>
      </w:r>
      <w:r>
        <w:rPr>
          <w:bCs/>
          <w:sz w:val="20"/>
        </w:rPr>
        <w:t xml:space="preserve"> las operaciones, la</w:t>
      </w:r>
      <w:r w:rsidRPr="00B41C8A">
        <w:rPr>
          <w:bCs/>
          <w:sz w:val="20"/>
        </w:rPr>
        <w:t xml:space="preserve"> recuperación en caso de desastre</w:t>
      </w:r>
      <w:r>
        <w:rPr>
          <w:bCs/>
          <w:sz w:val="20"/>
        </w:rPr>
        <w:t xml:space="preserve"> y la capacidad de respuesta en Internet; ii) una disminución de los recursos de personal asignados a este resultado.</w:t>
      </w:r>
    </w:p>
    <w:p w:rsidR="00B1649B" w:rsidRPr="00AC5F87" w:rsidRDefault="00B1649B" w:rsidP="00B1649B">
      <w:pPr>
        <w:jc w:val="both"/>
        <w:rPr>
          <w:sz w:val="20"/>
        </w:rPr>
      </w:pPr>
    </w:p>
    <w:p w:rsidR="00B1649B" w:rsidRPr="000B2B12" w:rsidRDefault="00B1649B" w:rsidP="00D41E6A">
      <w:pPr>
        <w:numPr>
          <w:ilvl w:val="0"/>
          <w:numId w:val="44"/>
        </w:numPr>
        <w:jc w:val="both"/>
        <w:rPr>
          <w:sz w:val="20"/>
        </w:rPr>
      </w:pPr>
      <w:r w:rsidRPr="000B2B12">
        <w:rPr>
          <w:sz w:val="20"/>
        </w:rPr>
        <w:t>La disminución de los recu</w:t>
      </w:r>
      <w:r>
        <w:rPr>
          <w:sz w:val="20"/>
        </w:rPr>
        <w:t>rsos asignados al resultado IX.2 (</w:t>
      </w:r>
      <w:r w:rsidRPr="000B2B12">
        <w:rPr>
          <w:sz w:val="20"/>
        </w:rPr>
        <w:t>Funcionamiento</w:t>
      </w:r>
      <w:r>
        <w:rPr>
          <w:sz w:val="20"/>
        </w:rPr>
        <w:t xml:space="preserve"> ágil y</w:t>
      </w:r>
      <w:r w:rsidRPr="000B2B12">
        <w:rPr>
          <w:sz w:val="20"/>
        </w:rPr>
        <w:t xml:space="preserve"> sin contratiempos de la</w:t>
      </w:r>
      <w:r>
        <w:rPr>
          <w:sz w:val="20"/>
        </w:rPr>
        <w:t xml:space="preserve"> </w:t>
      </w:r>
      <w:r w:rsidRPr="000B2B12">
        <w:rPr>
          <w:sz w:val="20"/>
        </w:rPr>
        <w:t>Secretaría</w:t>
      </w:r>
      <w:r>
        <w:rPr>
          <w:sz w:val="20"/>
        </w:rPr>
        <w:t xml:space="preserve">) refleja la reasignación de los recursos de personal a los respectivos </w:t>
      </w:r>
      <w:r w:rsidRPr="008164DC">
        <w:rPr>
          <w:sz w:val="20"/>
        </w:rPr>
        <w:t>ámbitos de actividad</w:t>
      </w:r>
      <w:r>
        <w:rPr>
          <w:sz w:val="20"/>
        </w:rPr>
        <w:t xml:space="preserve"> que se encargarán de los mismos en el bienio 2014/15.</w:t>
      </w:r>
    </w:p>
    <w:p w:rsidR="00B1649B" w:rsidRPr="000B2B12" w:rsidRDefault="00B1649B" w:rsidP="00B1649B">
      <w:pPr>
        <w:jc w:val="both"/>
        <w:rPr>
          <w:sz w:val="20"/>
        </w:rPr>
      </w:pPr>
    </w:p>
    <w:p w:rsidR="00B1649B" w:rsidRPr="00856679" w:rsidRDefault="00B1649B" w:rsidP="00D41E6A">
      <w:pPr>
        <w:numPr>
          <w:ilvl w:val="0"/>
          <w:numId w:val="44"/>
        </w:numPr>
        <w:jc w:val="both"/>
        <w:rPr>
          <w:sz w:val="20"/>
        </w:rPr>
      </w:pPr>
      <w:r>
        <w:rPr>
          <w:sz w:val="20"/>
        </w:rPr>
        <w:t>Se propone que la totalidad de</w:t>
      </w:r>
      <w:r w:rsidRPr="00EE15C9">
        <w:rPr>
          <w:sz w:val="20"/>
        </w:rPr>
        <w:t xml:space="preserve"> los </w:t>
      </w:r>
      <w:r>
        <w:rPr>
          <w:sz w:val="20"/>
        </w:rPr>
        <w:t>recursos adicionales se dedique</w:t>
      </w:r>
      <w:r w:rsidRPr="00EE15C9">
        <w:rPr>
          <w:sz w:val="20"/>
        </w:rPr>
        <w:t xml:space="preserve"> a la seguridad de la informaci</w:t>
      </w:r>
      <w:r>
        <w:rPr>
          <w:sz w:val="20"/>
        </w:rPr>
        <w:t xml:space="preserve">ón, al fortalecimiento de la </w:t>
      </w:r>
      <w:r>
        <w:rPr>
          <w:bCs/>
          <w:sz w:val="20"/>
        </w:rPr>
        <w:t xml:space="preserve">capacidad de la Organización para proporcionar una </w:t>
      </w:r>
      <w:r w:rsidRPr="009E6F00">
        <w:rPr>
          <w:bCs/>
          <w:sz w:val="20"/>
        </w:rPr>
        <w:t>garantía razonable</w:t>
      </w:r>
      <w:r>
        <w:rPr>
          <w:bCs/>
          <w:sz w:val="20"/>
        </w:rPr>
        <w:t xml:space="preserve"> y control interno, así como a la protección </w:t>
      </w:r>
      <w:r w:rsidRPr="00EE15C9">
        <w:rPr>
          <w:bCs/>
          <w:sz w:val="20"/>
        </w:rPr>
        <w:t>contra los ataques en Internet.</w:t>
      </w:r>
      <w:r>
        <w:rPr>
          <w:sz w:val="20"/>
        </w:rPr>
        <w:t xml:space="preserve">  Los recursos dedicados a estas actividades son asignados, en parte, al resultado IX. 4 (Una Organización responsable con el </w:t>
      </w:r>
      <w:r w:rsidRPr="00856679">
        <w:rPr>
          <w:sz w:val="20"/>
        </w:rPr>
        <w:t>medio</w:t>
      </w:r>
      <w:r>
        <w:rPr>
          <w:sz w:val="20"/>
        </w:rPr>
        <w:t xml:space="preserve"> </w:t>
      </w:r>
      <w:r w:rsidRPr="00856679">
        <w:rPr>
          <w:sz w:val="20"/>
        </w:rPr>
        <w:t>ambiente y la sociedad en la</w:t>
      </w:r>
      <w:r>
        <w:rPr>
          <w:sz w:val="20"/>
        </w:rPr>
        <w:t xml:space="preserve"> </w:t>
      </w:r>
      <w:r w:rsidRPr="00856679">
        <w:rPr>
          <w:sz w:val="20"/>
        </w:rPr>
        <w:t>que se garantiza la</w:t>
      </w:r>
      <w:r>
        <w:rPr>
          <w:sz w:val="20"/>
        </w:rPr>
        <w:t xml:space="preserve"> </w:t>
      </w:r>
      <w:r w:rsidRPr="00856679">
        <w:rPr>
          <w:sz w:val="20"/>
        </w:rPr>
        <w:t>seguridad del personal de la</w:t>
      </w:r>
      <w:r>
        <w:rPr>
          <w:sz w:val="20"/>
        </w:rPr>
        <w:t xml:space="preserve"> OMPI, los </w:t>
      </w:r>
      <w:r w:rsidRPr="00856679">
        <w:rPr>
          <w:sz w:val="20"/>
        </w:rPr>
        <w:t>delegados, los</w:t>
      </w:r>
      <w:r>
        <w:rPr>
          <w:sz w:val="20"/>
        </w:rPr>
        <w:t xml:space="preserve"> </w:t>
      </w:r>
      <w:r w:rsidRPr="00856679">
        <w:rPr>
          <w:sz w:val="20"/>
        </w:rPr>
        <w:t>visitantes, la información y</w:t>
      </w:r>
      <w:r>
        <w:rPr>
          <w:sz w:val="20"/>
        </w:rPr>
        <w:t xml:space="preserve"> </w:t>
      </w:r>
      <w:r w:rsidRPr="00856679">
        <w:rPr>
          <w:sz w:val="20"/>
        </w:rPr>
        <w:t>los activos físicos</w:t>
      </w:r>
      <w:r>
        <w:rPr>
          <w:sz w:val="20"/>
        </w:rPr>
        <w:t>)</w:t>
      </w:r>
      <w:r w:rsidRPr="00856679">
        <w:rPr>
          <w:sz w:val="20"/>
        </w:rPr>
        <w:t>.</w:t>
      </w:r>
    </w:p>
    <w:p w:rsidR="00B1649B" w:rsidRPr="00EE15C9" w:rsidRDefault="00B1649B" w:rsidP="00B1649B">
      <w:pPr>
        <w:jc w:val="both"/>
        <w:rPr>
          <w:sz w:val="20"/>
        </w:rPr>
      </w:pPr>
    </w:p>
    <w:p w:rsidR="009F58E5" w:rsidRPr="00B1649B" w:rsidRDefault="009F58E5" w:rsidP="009F58E5">
      <w:pPr>
        <w:rPr>
          <w:sz w:val="20"/>
          <w:highlight w:val="yellow"/>
        </w:rPr>
      </w:pPr>
    </w:p>
    <w:p w:rsidR="009F58E5" w:rsidRPr="00C75C7E" w:rsidRDefault="008D3D36" w:rsidP="00E6603F">
      <w:pPr>
        <w:keepNext/>
        <w:keepLines/>
        <w:autoSpaceDE w:val="0"/>
        <w:autoSpaceDN w:val="0"/>
        <w:adjustRightInd w:val="0"/>
        <w:jc w:val="center"/>
        <w:rPr>
          <w:b/>
          <w:bCs/>
          <w:iCs/>
          <w:sz w:val="20"/>
          <w:lang w:val="es-ES_tradnl"/>
        </w:rPr>
      </w:pPr>
      <w:r>
        <w:rPr>
          <w:b/>
          <w:bCs/>
          <w:iCs/>
          <w:sz w:val="20"/>
          <w:lang w:val="es-ES_tradnl"/>
        </w:rPr>
        <w:lastRenderedPageBreak/>
        <w:t xml:space="preserve">Programa 25:  </w:t>
      </w:r>
      <w:r w:rsidR="009F58E5" w:rsidRPr="00C75C7E">
        <w:rPr>
          <w:b/>
          <w:bCs/>
          <w:iCs/>
          <w:sz w:val="20"/>
          <w:lang w:val="es-ES_tradnl"/>
        </w:rPr>
        <w:t>Recursos por resultado</w:t>
      </w:r>
    </w:p>
    <w:p w:rsidR="009F58E5" w:rsidRPr="00C75C7E" w:rsidRDefault="009F58E5" w:rsidP="00E6603F">
      <w:pPr>
        <w:keepNext/>
        <w:keepLines/>
        <w:autoSpaceDE w:val="0"/>
        <w:autoSpaceDN w:val="0"/>
        <w:adjustRightInd w:val="0"/>
        <w:jc w:val="center"/>
        <w:rPr>
          <w:b/>
          <w:i/>
          <w:sz w:val="18"/>
          <w:szCs w:val="18"/>
          <w:lang w:val="es-ES_tradnl"/>
        </w:rPr>
      </w:pPr>
      <w:r w:rsidRPr="00C75C7E">
        <w:rPr>
          <w:bCs/>
          <w:i/>
          <w:sz w:val="20"/>
          <w:lang w:val="es-ES_tradnl"/>
        </w:rPr>
        <w:t>(en miles de francos suizos)</w:t>
      </w:r>
      <w:r w:rsidRPr="00C75C7E">
        <w:rPr>
          <w:b/>
          <w:i/>
          <w:sz w:val="18"/>
          <w:szCs w:val="18"/>
          <w:lang w:val="es-ES_tradnl"/>
        </w:rPr>
        <w:t xml:space="preserve"> </w:t>
      </w:r>
    </w:p>
    <w:p w:rsidR="009F58E5" w:rsidRPr="00C75C7E" w:rsidRDefault="009F58E5" w:rsidP="009F58E5">
      <w:pPr>
        <w:keepNext/>
        <w:rPr>
          <w:sz w:val="20"/>
          <w:lang w:val="es-ES_tradnl"/>
        </w:rPr>
      </w:pPr>
    </w:p>
    <w:p w:rsidR="009F58E5" w:rsidRPr="00C75C7E" w:rsidRDefault="00C40A11" w:rsidP="009F58E5">
      <w:pPr>
        <w:keepNext/>
        <w:jc w:val="center"/>
        <w:rPr>
          <w:sz w:val="20"/>
          <w:lang w:val="es-ES_tradnl"/>
        </w:rPr>
      </w:pPr>
      <w:r>
        <w:rPr>
          <w:noProof/>
          <w:lang w:val="en-US" w:eastAsia="en-US"/>
        </w:rPr>
        <w:drawing>
          <wp:inline distT="0" distB="0" distL="0" distR="0" wp14:anchorId="388221AE" wp14:editId="7352DA89">
            <wp:extent cx="5752465" cy="2559050"/>
            <wp:effectExtent l="0" t="0" r="635" b="0"/>
            <wp:docPr id="76"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5752465" cy="2559050"/>
                    </a:xfrm>
                    <a:prstGeom prst="rect">
                      <a:avLst/>
                    </a:prstGeom>
                    <a:noFill/>
                    <a:ln>
                      <a:noFill/>
                    </a:ln>
                  </pic:spPr>
                </pic:pic>
              </a:graphicData>
            </a:graphic>
          </wp:inline>
        </w:drawing>
      </w:r>
    </w:p>
    <w:p w:rsidR="009F58E5" w:rsidRPr="00C75C7E" w:rsidRDefault="009F58E5" w:rsidP="009F58E5">
      <w:pPr>
        <w:keepNext/>
        <w:jc w:val="center"/>
        <w:rPr>
          <w:sz w:val="20"/>
          <w:lang w:val="es-ES_tradnl"/>
        </w:rPr>
      </w:pPr>
    </w:p>
    <w:p w:rsidR="009F58E5" w:rsidRPr="00C75C7E" w:rsidRDefault="009F58E5" w:rsidP="009F58E5">
      <w:pPr>
        <w:keepNext/>
        <w:keepLines/>
        <w:autoSpaceDE w:val="0"/>
        <w:autoSpaceDN w:val="0"/>
        <w:adjustRightInd w:val="0"/>
        <w:rPr>
          <w:sz w:val="20"/>
          <w:lang w:val="es-ES_tradnl"/>
        </w:rPr>
      </w:pPr>
      <w:r w:rsidRPr="00C75C7E">
        <w:rPr>
          <w:sz w:val="16"/>
          <w:szCs w:val="16"/>
          <w:lang w:val="es-ES_tradnl"/>
        </w:rPr>
        <w:t xml:space="preserve">Nota: </w:t>
      </w:r>
      <w:r w:rsidR="00991538">
        <w:rPr>
          <w:sz w:val="16"/>
          <w:szCs w:val="16"/>
          <w:lang w:val="es-ES_tradnl"/>
        </w:rPr>
        <w:t xml:space="preserve"> </w:t>
      </w:r>
      <w:r w:rsidRPr="00C75C7E">
        <w:rPr>
          <w:sz w:val="16"/>
          <w:szCs w:val="16"/>
          <w:lang w:val="es-ES_tradnl"/>
        </w:rPr>
        <w:t>Se ha reexpresado el presupuesto aprobado de 2012/13 y el presupuesto de dicho bienio después de las transferencias, por resultado previsto, para reflejar el marco de resultados de la Organización propuesto para 2014/15.</w:t>
      </w:r>
    </w:p>
    <w:p w:rsidR="009F58E5" w:rsidRPr="00C75C7E" w:rsidRDefault="009F58E5" w:rsidP="009F58E5">
      <w:pPr>
        <w:jc w:val="center"/>
        <w:rPr>
          <w:sz w:val="20"/>
          <w:highlight w:val="yellow"/>
          <w:lang w:val="es-ES_tradnl"/>
        </w:rPr>
      </w:pPr>
    </w:p>
    <w:p w:rsidR="009F58E5" w:rsidRPr="00C75C7E" w:rsidRDefault="008D3D36" w:rsidP="009F58E5">
      <w:pPr>
        <w:keepNext/>
        <w:keepLines/>
        <w:autoSpaceDE w:val="0"/>
        <w:autoSpaceDN w:val="0"/>
        <w:adjustRightInd w:val="0"/>
        <w:ind w:firstLine="567"/>
        <w:jc w:val="center"/>
        <w:rPr>
          <w:b/>
          <w:bCs/>
          <w:iCs/>
          <w:sz w:val="20"/>
          <w:lang w:val="es-ES_tradnl"/>
        </w:rPr>
      </w:pPr>
      <w:r>
        <w:rPr>
          <w:b/>
          <w:bCs/>
          <w:iCs/>
          <w:sz w:val="20"/>
          <w:lang w:val="es-ES_tradnl"/>
        </w:rPr>
        <w:lastRenderedPageBreak/>
        <w:t xml:space="preserve">Programa 25:  </w:t>
      </w:r>
      <w:r w:rsidR="009F58E5" w:rsidRPr="00C75C7E">
        <w:rPr>
          <w:b/>
          <w:bCs/>
          <w:iCs/>
          <w:sz w:val="20"/>
          <w:lang w:val="es-ES_tradnl"/>
        </w:rPr>
        <w:t>Recursos por objeto de gasto</w:t>
      </w:r>
    </w:p>
    <w:p w:rsidR="009F58E5" w:rsidRPr="00C75C7E" w:rsidRDefault="009F58E5" w:rsidP="009F58E5">
      <w:pPr>
        <w:keepNext/>
        <w:keepLines/>
        <w:autoSpaceDE w:val="0"/>
        <w:autoSpaceDN w:val="0"/>
        <w:adjustRightInd w:val="0"/>
        <w:ind w:firstLine="567"/>
        <w:jc w:val="center"/>
        <w:rPr>
          <w:bCs/>
          <w:i/>
          <w:sz w:val="20"/>
          <w:lang w:val="es-ES_tradnl"/>
        </w:rPr>
      </w:pPr>
      <w:r w:rsidRPr="00C75C7E">
        <w:rPr>
          <w:bCs/>
          <w:i/>
          <w:sz w:val="20"/>
          <w:lang w:val="es-ES_tradnl"/>
        </w:rPr>
        <w:t>(en miles de francos suizos)</w:t>
      </w:r>
    </w:p>
    <w:p w:rsidR="009F58E5" w:rsidRDefault="009F58E5" w:rsidP="009F58E5">
      <w:pPr>
        <w:keepNext/>
        <w:keepLines/>
        <w:jc w:val="center"/>
        <w:rPr>
          <w:i/>
          <w:sz w:val="18"/>
          <w:szCs w:val="18"/>
          <w:lang w:val="es-ES_tradnl"/>
        </w:rPr>
      </w:pPr>
    </w:p>
    <w:p w:rsidR="00EA4CD8" w:rsidRPr="00C75C7E" w:rsidRDefault="00C40A11" w:rsidP="009F58E5">
      <w:pPr>
        <w:keepNext/>
        <w:keepLines/>
        <w:jc w:val="center"/>
        <w:rPr>
          <w:i/>
          <w:sz w:val="18"/>
          <w:szCs w:val="18"/>
          <w:lang w:val="es-ES_tradnl"/>
        </w:rPr>
      </w:pPr>
      <w:r>
        <w:rPr>
          <w:noProof/>
          <w:lang w:val="en-US" w:eastAsia="en-US"/>
        </w:rPr>
        <w:drawing>
          <wp:inline distT="0" distB="0" distL="0" distR="0" wp14:anchorId="4C96C12A" wp14:editId="4E7D4ACA">
            <wp:extent cx="5936615" cy="5739130"/>
            <wp:effectExtent l="0" t="0" r="6985"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5936615" cy="5739130"/>
                    </a:xfrm>
                    <a:prstGeom prst="rect">
                      <a:avLst/>
                    </a:prstGeom>
                    <a:noFill/>
                    <a:ln>
                      <a:noFill/>
                    </a:ln>
                  </pic:spPr>
                </pic:pic>
              </a:graphicData>
            </a:graphic>
          </wp:inline>
        </w:drawing>
      </w:r>
    </w:p>
    <w:p w:rsidR="00EA4CD8" w:rsidRDefault="00EA4CD8" w:rsidP="009F58E5">
      <w:pPr>
        <w:keepNext/>
        <w:keepLines/>
        <w:rPr>
          <w:sz w:val="16"/>
          <w:szCs w:val="16"/>
          <w:lang w:val="es-ES_tradnl"/>
        </w:rPr>
      </w:pPr>
    </w:p>
    <w:p w:rsidR="009F58E5" w:rsidRPr="00C75C7E" w:rsidRDefault="009F58E5" w:rsidP="009F58E5">
      <w:pPr>
        <w:keepNext/>
        <w:keepLines/>
        <w:rPr>
          <w:sz w:val="16"/>
          <w:szCs w:val="16"/>
          <w:lang w:val="es-ES_tradnl"/>
        </w:rPr>
      </w:pPr>
      <w:r w:rsidRPr="00C75C7E">
        <w:rPr>
          <w:sz w:val="16"/>
          <w:szCs w:val="16"/>
          <w:lang w:val="es-ES_tradnl"/>
        </w:rPr>
        <w:t>Notas:</w:t>
      </w:r>
    </w:p>
    <w:p w:rsidR="009F58E5" w:rsidRPr="00C75C7E" w:rsidRDefault="009F58E5" w:rsidP="009F58E5">
      <w:pPr>
        <w:keepNext/>
        <w:keepLines/>
        <w:rPr>
          <w:sz w:val="16"/>
          <w:szCs w:val="16"/>
          <w:u w:val="single"/>
          <w:lang w:val="es-ES_tradnl"/>
        </w:rPr>
      </w:pPr>
    </w:p>
    <w:p w:rsidR="009F58E5" w:rsidRPr="00C75C7E" w:rsidRDefault="00991538" w:rsidP="009F58E5">
      <w:pPr>
        <w:keepNext/>
        <w:keepLines/>
        <w:spacing w:after="120"/>
        <w:rPr>
          <w:sz w:val="16"/>
          <w:szCs w:val="16"/>
          <w:lang w:val="es-ES_tradnl"/>
        </w:rPr>
      </w:pPr>
      <w:r>
        <w:rPr>
          <w:sz w:val="16"/>
          <w:szCs w:val="16"/>
          <w:lang w:val="es-ES_tradnl"/>
        </w:rPr>
        <w:t xml:space="preserve">1)  </w:t>
      </w:r>
      <w:r w:rsidR="009F58E5" w:rsidRPr="00C75C7E">
        <w:rPr>
          <w:sz w:val="16"/>
          <w:szCs w:val="16"/>
          <w:lang w:val="es-ES_tradnl"/>
        </w:rPr>
        <w:t>El presupuesto aprobado de 2012/13 y el presupuesto de dicho bienio después de las transferencias se reexpresan sobre la base de la estructura de categorías de costos propuesta para 2014/15.</w:t>
      </w:r>
    </w:p>
    <w:p w:rsidR="009F58E5" w:rsidRPr="00C75C7E" w:rsidRDefault="009F58E5" w:rsidP="009F58E5">
      <w:pPr>
        <w:keepNext/>
        <w:keepLines/>
        <w:spacing w:after="120"/>
        <w:rPr>
          <w:sz w:val="16"/>
          <w:szCs w:val="16"/>
          <w:lang w:val="es-ES_tradnl"/>
        </w:rPr>
      </w:pPr>
      <w:r>
        <w:rPr>
          <w:sz w:val="16"/>
          <w:szCs w:val="16"/>
          <w:lang w:val="es-ES_tradnl"/>
        </w:rPr>
        <w:t>2)</w:t>
      </w:r>
      <w:r w:rsidR="00991538">
        <w:rPr>
          <w:sz w:val="16"/>
          <w:szCs w:val="16"/>
          <w:lang w:val="es-ES_tradnl"/>
        </w:rPr>
        <w:t xml:space="preserve">  </w:t>
      </w:r>
      <w:r w:rsidRPr="00C75C7E">
        <w:rPr>
          <w:sz w:val="16"/>
          <w:szCs w:val="16"/>
          <w:lang w:val="es-ES_tradnl"/>
        </w:rPr>
        <w:t>El presupuesto después de las transferencias refleja el presupuesto de los programas ajustado tras las transferencias efectuadas en 2012/13 en virtud del artículo 5.5 del Reglamento Financiero. Para más info</w:t>
      </w:r>
      <w:r w:rsidR="00D724E6">
        <w:rPr>
          <w:sz w:val="16"/>
          <w:szCs w:val="16"/>
          <w:lang w:val="es-ES_tradnl"/>
        </w:rPr>
        <w:t>rmación sobre el presupuesto de </w:t>
      </w:r>
      <w:r w:rsidRPr="00C75C7E">
        <w:rPr>
          <w:sz w:val="16"/>
          <w:szCs w:val="16"/>
          <w:lang w:val="es-ES_tradnl"/>
        </w:rPr>
        <w:t xml:space="preserve">2012/13 después de las transferencias, cabe remitirse al cuadro que figura en el Anexo I (Presupuesto después de las transferencias, por programa) del presente documento y al documento WO/PBC/20/2 (Informe sobre el rendimiento de los programas en 2012).  </w:t>
      </w:r>
      <w:r w:rsidRPr="00C75C7E">
        <w:rPr>
          <w:rFonts w:cs="ArialMT"/>
          <w:sz w:val="16"/>
          <w:szCs w:val="16"/>
          <w:lang w:val="es-ES_tradnl"/>
        </w:rPr>
        <w:t xml:space="preserve">Los costos de personal del presupuesto de 2012/13 después de las transferencias representan los gastos reales efectuados hasta el 31 de marzo de 2013 y los importes presupuestados para los nueve meses restantes de 2013, sobre la base de costos estándar. </w:t>
      </w:r>
    </w:p>
    <w:p w:rsidR="009F58E5" w:rsidRPr="00C75C7E" w:rsidRDefault="009F58E5" w:rsidP="009F58E5">
      <w:pPr>
        <w:keepNext/>
        <w:keepLines/>
        <w:spacing w:after="120"/>
        <w:rPr>
          <w:sz w:val="16"/>
          <w:szCs w:val="16"/>
          <w:lang w:val="es-ES_tradnl"/>
        </w:rPr>
      </w:pPr>
      <w:r>
        <w:rPr>
          <w:sz w:val="16"/>
          <w:szCs w:val="16"/>
          <w:lang w:val="es-ES_tradnl"/>
        </w:rPr>
        <w:t>3)</w:t>
      </w:r>
      <w:r w:rsidR="00991538">
        <w:rPr>
          <w:sz w:val="16"/>
          <w:szCs w:val="16"/>
          <w:lang w:val="es-ES_tradnl"/>
        </w:rPr>
        <w:t xml:space="preserve">  </w:t>
      </w:r>
      <w:r w:rsidRPr="00C75C7E">
        <w:rPr>
          <w:sz w:val="16"/>
          <w:szCs w:val="16"/>
          <w:lang w:val="es-ES_tradnl"/>
        </w:rPr>
        <w:t>Para más información sobre los puestos del programa cabe remitirse al cuadro que figura en el Anexo II.</w:t>
      </w:r>
    </w:p>
    <w:p w:rsidR="00B1649B" w:rsidRPr="00E6603F" w:rsidRDefault="009F58E5" w:rsidP="00E6603F">
      <w:pPr>
        <w:pStyle w:val="Heading3"/>
        <w:tabs>
          <w:tab w:val="left" w:pos="1985"/>
        </w:tabs>
        <w:rPr>
          <w:b/>
          <w:u w:val="none"/>
          <w:lang w:val="es-ES_tradnl"/>
        </w:rPr>
      </w:pPr>
      <w:r w:rsidRPr="00C75C7E">
        <w:rPr>
          <w:sz w:val="20"/>
          <w:lang w:val="es-ES_tradnl"/>
        </w:rPr>
        <w:br w:type="page"/>
      </w:r>
      <w:bookmarkStart w:id="85" w:name="_Toc356567781"/>
      <w:bookmarkStart w:id="86" w:name="_Toc358816719"/>
      <w:r w:rsidR="00E6603F" w:rsidRPr="00E6603F">
        <w:rPr>
          <w:b/>
          <w:u w:val="none"/>
          <w:lang w:val="es-ES_tradnl"/>
        </w:rPr>
        <w:lastRenderedPageBreak/>
        <w:t>PROGRAMA 26</w:t>
      </w:r>
      <w:r w:rsidR="00E6603F" w:rsidRPr="00E6603F">
        <w:rPr>
          <w:b/>
          <w:u w:val="none"/>
          <w:lang w:val="es-ES_tradnl"/>
        </w:rPr>
        <w:tab/>
      </w:r>
      <w:bookmarkEnd w:id="85"/>
      <w:r w:rsidR="00E6603F" w:rsidRPr="00E6603F">
        <w:rPr>
          <w:b/>
          <w:u w:val="none"/>
          <w:lang w:val="es-ES_tradnl"/>
        </w:rPr>
        <w:t>SUPERVISIÓN INTERNA</w:t>
      </w:r>
      <w:bookmarkEnd w:id="86"/>
      <w:r w:rsidR="00E6603F" w:rsidRPr="00E6603F">
        <w:rPr>
          <w:b/>
          <w:u w:val="none"/>
          <w:lang w:val="es-ES_tradnl"/>
        </w:rPr>
        <w:t xml:space="preserve"> </w:t>
      </w:r>
    </w:p>
    <w:p w:rsidR="00B1649B" w:rsidRPr="00E6603F" w:rsidRDefault="00B1649B" w:rsidP="00E6603F">
      <w:pPr>
        <w:pStyle w:val="BodyTextIndent"/>
        <w:ind w:left="1985" w:hanging="1985"/>
        <w:jc w:val="both"/>
        <w:rPr>
          <w:rFonts w:ascii="Arial" w:hAnsi="Arial" w:cs="Arial"/>
          <w:sz w:val="22"/>
          <w:szCs w:val="22"/>
          <w:lang w:val="es-ES"/>
        </w:rPr>
      </w:pPr>
    </w:p>
    <w:p w:rsidR="00B1649B" w:rsidRPr="00E6603F" w:rsidRDefault="00B1649B" w:rsidP="00E6603F">
      <w:pPr>
        <w:pStyle w:val="BodyTextIndent"/>
        <w:ind w:left="1985" w:hanging="1985"/>
        <w:jc w:val="both"/>
        <w:rPr>
          <w:b/>
          <w:i/>
          <w:sz w:val="22"/>
          <w:lang w:val="es-ES_tradnl"/>
        </w:rPr>
      </w:pPr>
    </w:p>
    <w:p w:rsidR="00B1649B" w:rsidRPr="00B1649B" w:rsidRDefault="00B1649B" w:rsidP="00B1649B">
      <w:pPr>
        <w:pStyle w:val="BodyTextIndent"/>
        <w:ind w:left="1985" w:hanging="1985"/>
        <w:jc w:val="both"/>
        <w:rPr>
          <w:rFonts w:ascii="Arial" w:hAnsi="Arial" w:cs="Arial"/>
          <w:sz w:val="22"/>
          <w:szCs w:val="22"/>
          <w:lang w:val="es-ES"/>
        </w:rPr>
      </w:pPr>
      <w:r w:rsidRPr="00B1649B">
        <w:rPr>
          <w:rFonts w:ascii="Arial" w:hAnsi="Arial" w:cs="Arial"/>
          <w:sz w:val="22"/>
          <w:szCs w:val="22"/>
          <w:lang w:val="es-ES"/>
        </w:rPr>
        <w:t>CONTEXTO DE PLANIFICACIÓN</w:t>
      </w:r>
    </w:p>
    <w:p w:rsidR="00B1649B" w:rsidRPr="00B1649B" w:rsidRDefault="00B1649B" w:rsidP="00B1649B">
      <w:pPr>
        <w:autoSpaceDE w:val="0"/>
        <w:autoSpaceDN w:val="0"/>
        <w:adjustRightInd w:val="0"/>
        <w:jc w:val="both"/>
        <w:rPr>
          <w:sz w:val="20"/>
        </w:rPr>
      </w:pPr>
    </w:p>
    <w:p w:rsidR="00B1649B" w:rsidRPr="00B323DF" w:rsidRDefault="00B1649B" w:rsidP="00D41E6A">
      <w:pPr>
        <w:numPr>
          <w:ilvl w:val="0"/>
          <w:numId w:val="45"/>
        </w:numPr>
        <w:autoSpaceDE w:val="0"/>
        <w:autoSpaceDN w:val="0"/>
        <w:adjustRightInd w:val="0"/>
        <w:jc w:val="both"/>
        <w:rPr>
          <w:sz w:val="20"/>
        </w:rPr>
      </w:pPr>
      <w:r w:rsidRPr="00B323DF">
        <w:rPr>
          <w:sz w:val="20"/>
        </w:rPr>
        <w:t>La División de Auditoría y Supervisión Internas</w:t>
      </w:r>
      <w:r>
        <w:rPr>
          <w:sz w:val="20"/>
        </w:rPr>
        <w:t xml:space="preserve"> (</w:t>
      </w:r>
      <w:r w:rsidRPr="00490652">
        <w:rPr>
          <w:sz w:val="20"/>
        </w:rPr>
        <w:t>DASI</w:t>
      </w:r>
      <w:r>
        <w:rPr>
          <w:sz w:val="20"/>
        </w:rPr>
        <w:t xml:space="preserve">) tiene por misión actuar como un </w:t>
      </w:r>
      <w:r w:rsidRPr="00564369">
        <w:rPr>
          <w:sz w:val="20"/>
        </w:rPr>
        <w:t>examinador</w:t>
      </w:r>
      <w:r>
        <w:rPr>
          <w:sz w:val="20"/>
        </w:rPr>
        <w:t xml:space="preserve"> independiente y objetivo de las operaciones y actividades realizadas por la OMPI.  Examina operaciones y actividades que han sido seleccionadas sobre la base del riesgo o la relevancia que tengan para el personal directivo y los </w:t>
      </w:r>
      <w:r w:rsidRPr="00564369">
        <w:rPr>
          <w:sz w:val="20"/>
        </w:rPr>
        <w:t>distintos sectores</w:t>
      </w:r>
      <w:r>
        <w:rPr>
          <w:sz w:val="20"/>
        </w:rPr>
        <w:t xml:space="preserve"> de la OMPI, con el fin de fomentar el ahorro, la eficiencia, la eficacia y la incidencia de la labor de la Secretaría.  Asimismo, investiga las </w:t>
      </w:r>
      <w:r w:rsidRPr="00564369">
        <w:rPr>
          <w:sz w:val="20"/>
        </w:rPr>
        <w:t>acusaciones de fraude</w:t>
      </w:r>
      <w:r>
        <w:rPr>
          <w:sz w:val="20"/>
        </w:rPr>
        <w:t xml:space="preserve">, de despilfarro, de mala administración y busca tener un efecto disuasivo. Desde el punto de vista administrativo, la DASI depende del Director General y proporciona una garantía razonable y objetiva a los Estados miembros acerca de la efectividad, la eficiencia, la economía y la relevancia de las operaciones, las actividades y los sistemas operativos de la OMPI.  También </w:t>
      </w:r>
      <w:r w:rsidRPr="00D23F7F">
        <w:rPr>
          <w:sz w:val="20"/>
        </w:rPr>
        <w:t>evalúa</w:t>
      </w:r>
      <w:r>
        <w:rPr>
          <w:sz w:val="20"/>
        </w:rPr>
        <w:t xml:space="preserve"> la salvaguarda de los </w:t>
      </w:r>
      <w:r w:rsidRPr="00D23F7F">
        <w:rPr>
          <w:sz w:val="20"/>
        </w:rPr>
        <w:t>activos</w:t>
      </w:r>
      <w:r>
        <w:rPr>
          <w:sz w:val="20"/>
        </w:rPr>
        <w:t xml:space="preserve">  y determina si los fondos confiados a la Organización han sido tomados</w:t>
      </w:r>
      <w:r w:rsidRPr="00852080">
        <w:rPr>
          <w:sz w:val="20"/>
        </w:rPr>
        <w:t xml:space="preserve"> en cuenta</w:t>
      </w:r>
      <w:r>
        <w:rPr>
          <w:sz w:val="20"/>
        </w:rPr>
        <w:t xml:space="preserve"> y si las prácticas de gestión y los controles internos son adecuados y funcionan correctamente.  Las actividades de la DASI han sido diseñadas con el fin de añadir valor a la Organización, </w:t>
      </w:r>
      <w:r w:rsidRPr="00E203BF">
        <w:rPr>
          <w:sz w:val="20"/>
        </w:rPr>
        <w:t xml:space="preserve">de conformidad con la Carta de </w:t>
      </w:r>
      <w:r w:rsidR="002C6A72">
        <w:rPr>
          <w:sz w:val="20"/>
        </w:rPr>
        <w:t>Supervisión</w:t>
      </w:r>
      <w:r w:rsidRPr="00E203BF">
        <w:rPr>
          <w:sz w:val="20"/>
        </w:rPr>
        <w:t xml:space="preserve"> Interna de la OMPI</w:t>
      </w:r>
      <w:r>
        <w:rPr>
          <w:sz w:val="20"/>
        </w:rPr>
        <w:t>.</w:t>
      </w:r>
    </w:p>
    <w:p w:rsidR="00B1649B" w:rsidRPr="00B323DF" w:rsidRDefault="00B1649B" w:rsidP="00B1649B">
      <w:pPr>
        <w:jc w:val="both"/>
        <w:rPr>
          <w:sz w:val="20"/>
        </w:rPr>
      </w:pPr>
    </w:p>
    <w:p w:rsidR="00B1649B" w:rsidRPr="00B323DF" w:rsidRDefault="00B1649B" w:rsidP="00B1649B">
      <w:pPr>
        <w:jc w:val="both"/>
        <w:rPr>
          <w:sz w:val="20"/>
        </w:rPr>
      </w:pPr>
    </w:p>
    <w:p w:rsidR="00B1649B" w:rsidRPr="00B323DF" w:rsidRDefault="00B1649B" w:rsidP="00B1649B">
      <w:pPr>
        <w:jc w:val="both"/>
        <w:rPr>
          <w:szCs w:val="22"/>
        </w:rPr>
      </w:pPr>
      <w:r>
        <w:rPr>
          <w:szCs w:val="18"/>
        </w:rPr>
        <w:t>ESTRATEGIAS DE EJECUCIÓN</w:t>
      </w:r>
      <w:r w:rsidRPr="00B323DF">
        <w:rPr>
          <w:szCs w:val="22"/>
        </w:rPr>
        <w:t xml:space="preserve"> </w:t>
      </w:r>
    </w:p>
    <w:p w:rsidR="00B1649B" w:rsidRPr="00B323DF" w:rsidRDefault="00B1649B" w:rsidP="00B1649B">
      <w:pPr>
        <w:jc w:val="both"/>
        <w:rPr>
          <w:sz w:val="20"/>
        </w:rPr>
      </w:pPr>
    </w:p>
    <w:p w:rsidR="00B1649B" w:rsidRPr="00307261" w:rsidRDefault="00B1649B" w:rsidP="00D41E6A">
      <w:pPr>
        <w:numPr>
          <w:ilvl w:val="0"/>
          <w:numId w:val="45"/>
        </w:numPr>
        <w:autoSpaceDE w:val="0"/>
        <w:autoSpaceDN w:val="0"/>
        <w:adjustRightInd w:val="0"/>
        <w:jc w:val="both"/>
        <w:rPr>
          <w:sz w:val="20"/>
        </w:rPr>
      </w:pPr>
      <w:r>
        <w:rPr>
          <w:sz w:val="20"/>
        </w:rPr>
        <w:t xml:space="preserve">La </w:t>
      </w:r>
      <w:r w:rsidRPr="00B323DF">
        <w:rPr>
          <w:sz w:val="20"/>
        </w:rPr>
        <w:t>División de Auditoría y Supervisión Internas</w:t>
      </w:r>
      <w:r w:rsidRPr="001D1F9F">
        <w:rPr>
          <w:sz w:val="20"/>
        </w:rPr>
        <w:t xml:space="preserve"> llevará a cabo evaluaciones objetivas de los procesos de gesti</w:t>
      </w:r>
      <w:r>
        <w:rPr>
          <w:sz w:val="20"/>
        </w:rPr>
        <w:t xml:space="preserve">ón y garantizará la existencia de una </w:t>
      </w:r>
      <w:r w:rsidRPr="00005549">
        <w:rPr>
          <w:sz w:val="20"/>
        </w:rPr>
        <w:t>administración</w:t>
      </w:r>
      <w:r>
        <w:rPr>
          <w:sz w:val="20"/>
        </w:rPr>
        <w:t xml:space="preserve"> responsable</w:t>
      </w:r>
      <w:r w:rsidRPr="001D1F9F">
        <w:rPr>
          <w:sz w:val="20"/>
        </w:rPr>
        <w:t xml:space="preserve"> </w:t>
      </w:r>
      <w:r>
        <w:rPr>
          <w:sz w:val="20"/>
        </w:rPr>
        <w:t xml:space="preserve">de los </w:t>
      </w:r>
      <w:r w:rsidRPr="00005549">
        <w:rPr>
          <w:sz w:val="20"/>
        </w:rPr>
        <w:t>recursos monetarios</w:t>
      </w:r>
      <w:r>
        <w:rPr>
          <w:sz w:val="20"/>
        </w:rPr>
        <w:t xml:space="preserve"> y físicos de la Organización. Evaluará la </w:t>
      </w:r>
      <w:r w:rsidRPr="009C27FF">
        <w:rPr>
          <w:sz w:val="20"/>
        </w:rPr>
        <w:t>idoneidad</w:t>
      </w:r>
      <w:r>
        <w:rPr>
          <w:sz w:val="20"/>
        </w:rPr>
        <w:t xml:space="preserve"> y la efectividad de los controles internos, de la gestión </w:t>
      </w:r>
      <w:r w:rsidRPr="001D1F9F">
        <w:rPr>
          <w:sz w:val="20"/>
        </w:rPr>
        <w:t>de los riesgos</w:t>
      </w:r>
      <w:r>
        <w:rPr>
          <w:sz w:val="20"/>
        </w:rPr>
        <w:t xml:space="preserve">, de los procesos de gobierno y proporcionará una garantía razonable acerca de la conformidad de las operaciones de la OMPI con respecto a sus reglamentos rectores.  </w:t>
      </w:r>
      <w:r w:rsidRPr="00307261">
        <w:rPr>
          <w:sz w:val="20"/>
        </w:rPr>
        <w:t>Se fomentar</w:t>
      </w:r>
      <w:r>
        <w:rPr>
          <w:sz w:val="20"/>
        </w:rPr>
        <w:t xml:space="preserve">á </w:t>
      </w:r>
      <w:r w:rsidRPr="00307261">
        <w:rPr>
          <w:sz w:val="20"/>
        </w:rPr>
        <w:t>el aprendizaje a escala institucional</w:t>
      </w:r>
      <w:r>
        <w:rPr>
          <w:sz w:val="20"/>
        </w:rPr>
        <w:t xml:space="preserve"> y la rendición de </w:t>
      </w:r>
      <w:r w:rsidRPr="00307261">
        <w:rPr>
          <w:sz w:val="20"/>
        </w:rPr>
        <w:t xml:space="preserve">cuentas mediante </w:t>
      </w:r>
      <w:r>
        <w:rPr>
          <w:sz w:val="20"/>
        </w:rPr>
        <w:t>procesos de supervisión</w:t>
      </w:r>
      <w:r w:rsidRPr="00307261">
        <w:rPr>
          <w:sz w:val="20"/>
        </w:rPr>
        <w:t xml:space="preserve"> transparentes y participativos.</w:t>
      </w:r>
    </w:p>
    <w:p w:rsidR="00B1649B" w:rsidRPr="00307261" w:rsidRDefault="00B1649B" w:rsidP="00B1649B">
      <w:pPr>
        <w:autoSpaceDE w:val="0"/>
        <w:autoSpaceDN w:val="0"/>
        <w:adjustRightInd w:val="0"/>
        <w:jc w:val="both"/>
        <w:rPr>
          <w:sz w:val="20"/>
        </w:rPr>
      </w:pPr>
    </w:p>
    <w:p w:rsidR="00B1649B" w:rsidRPr="00AE4F1E" w:rsidRDefault="00B1649B" w:rsidP="00D41E6A">
      <w:pPr>
        <w:numPr>
          <w:ilvl w:val="0"/>
          <w:numId w:val="45"/>
        </w:numPr>
        <w:autoSpaceDE w:val="0"/>
        <w:autoSpaceDN w:val="0"/>
        <w:adjustRightInd w:val="0"/>
        <w:jc w:val="both"/>
        <w:rPr>
          <w:sz w:val="20"/>
        </w:rPr>
      </w:pPr>
      <w:r>
        <w:rPr>
          <w:sz w:val="20"/>
        </w:rPr>
        <w:t xml:space="preserve">Las auditorías </w:t>
      </w:r>
      <w:r w:rsidRPr="00AE4F1E">
        <w:rPr>
          <w:sz w:val="20"/>
        </w:rPr>
        <w:t>seguir</w:t>
      </w:r>
      <w:r>
        <w:rPr>
          <w:sz w:val="20"/>
        </w:rPr>
        <w:t>án centrá</w:t>
      </w:r>
      <w:r w:rsidRPr="00AE4F1E">
        <w:rPr>
          <w:sz w:val="20"/>
        </w:rPr>
        <w:t>ndo</w:t>
      </w:r>
      <w:r>
        <w:rPr>
          <w:sz w:val="20"/>
        </w:rPr>
        <w:t>se en</w:t>
      </w:r>
      <w:r w:rsidRPr="00AE4F1E">
        <w:rPr>
          <w:sz w:val="20"/>
        </w:rPr>
        <w:t xml:space="preserve"> </w:t>
      </w:r>
      <w:r>
        <w:rPr>
          <w:sz w:val="20"/>
        </w:rPr>
        <w:t xml:space="preserve">las </w:t>
      </w:r>
      <w:r w:rsidRPr="00616E60">
        <w:rPr>
          <w:sz w:val="20"/>
        </w:rPr>
        <w:t>esferas de mayor riesgo</w:t>
      </w:r>
      <w:r>
        <w:rPr>
          <w:sz w:val="20"/>
        </w:rPr>
        <w:t xml:space="preserve">, formulando recomendaciones y proporcionando </w:t>
      </w:r>
      <w:r w:rsidRPr="00616E60">
        <w:rPr>
          <w:sz w:val="20"/>
        </w:rPr>
        <w:t>asesoramiento</w:t>
      </w:r>
      <w:r>
        <w:rPr>
          <w:sz w:val="20"/>
        </w:rPr>
        <w:t xml:space="preserve"> para una eventual mejora de los controles internos, de la seguridad de la información y de la gestión de los riesgos.  Se determinarán </w:t>
      </w:r>
      <w:r w:rsidRPr="00FB3FA6">
        <w:rPr>
          <w:sz w:val="20"/>
        </w:rPr>
        <w:t>las lagunas en el ámbito de los controles internos</w:t>
      </w:r>
      <w:r>
        <w:rPr>
          <w:sz w:val="20"/>
        </w:rPr>
        <w:t xml:space="preserve"> y se comunicarán al personal directivo para que se tomen las medidas apropiadas de manera oportuna.</w:t>
      </w:r>
    </w:p>
    <w:p w:rsidR="00B1649B" w:rsidRPr="00AE4F1E" w:rsidRDefault="00B1649B" w:rsidP="00B1649B">
      <w:pPr>
        <w:autoSpaceDE w:val="0"/>
        <w:autoSpaceDN w:val="0"/>
        <w:adjustRightInd w:val="0"/>
        <w:jc w:val="both"/>
        <w:rPr>
          <w:sz w:val="20"/>
        </w:rPr>
      </w:pPr>
    </w:p>
    <w:p w:rsidR="00B1649B" w:rsidRPr="004E1F4B" w:rsidRDefault="00B1649B" w:rsidP="00D41E6A">
      <w:pPr>
        <w:numPr>
          <w:ilvl w:val="0"/>
          <w:numId w:val="45"/>
        </w:numPr>
        <w:autoSpaceDE w:val="0"/>
        <w:autoSpaceDN w:val="0"/>
        <w:adjustRightInd w:val="0"/>
        <w:jc w:val="both"/>
        <w:rPr>
          <w:sz w:val="20"/>
        </w:rPr>
      </w:pPr>
      <w:r>
        <w:rPr>
          <w:sz w:val="20"/>
        </w:rPr>
        <w:t>La elaboración de informes de evaluación de calidad y oportunos</w:t>
      </w:r>
      <w:r w:rsidRPr="004E1F4B">
        <w:rPr>
          <w:sz w:val="20"/>
        </w:rPr>
        <w:t xml:space="preserve"> se seguirá perfeccionando</w:t>
      </w:r>
      <w:r>
        <w:rPr>
          <w:sz w:val="20"/>
        </w:rPr>
        <w:t xml:space="preserve"> tomando como base la experiencia acumulada en los bienios anteriores.  </w:t>
      </w:r>
      <w:r w:rsidRPr="00FF10D5">
        <w:rPr>
          <w:sz w:val="20"/>
        </w:rPr>
        <w:t>Se llevarán a cabo evaluaciones independientes (que atañen a los programas, los sectores o las metas estratégicas) sobre la base de las prioridades establecidas en coordinación con las principales partes interesadas.</w:t>
      </w:r>
      <w:r>
        <w:rPr>
          <w:sz w:val="20"/>
        </w:rPr>
        <w:t xml:space="preserve">  Las evaluaciones </w:t>
      </w:r>
      <w:r w:rsidRPr="0031346E">
        <w:rPr>
          <w:sz w:val="20"/>
        </w:rPr>
        <w:t>indep</w:t>
      </w:r>
      <w:r>
        <w:rPr>
          <w:sz w:val="20"/>
        </w:rPr>
        <w:t>endientes complementarán</w:t>
      </w:r>
      <w:r w:rsidRPr="0031346E">
        <w:rPr>
          <w:sz w:val="20"/>
        </w:rPr>
        <w:t xml:space="preserve"> los mecanismos de evaluación del rendimie</w:t>
      </w:r>
      <w:r>
        <w:rPr>
          <w:sz w:val="20"/>
        </w:rPr>
        <w:t>nto de la Organización y aportarán</w:t>
      </w:r>
      <w:r w:rsidRPr="0031346E">
        <w:rPr>
          <w:sz w:val="20"/>
        </w:rPr>
        <w:t xml:space="preserve"> la información necesaria</w:t>
      </w:r>
      <w:r>
        <w:rPr>
          <w:sz w:val="20"/>
        </w:rPr>
        <w:t xml:space="preserve"> (como por ejemplo los informes anuales </w:t>
      </w:r>
      <w:r w:rsidRPr="007A521C">
        <w:rPr>
          <w:sz w:val="20"/>
        </w:rPr>
        <w:t>sobre el rendimiento</w:t>
      </w:r>
      <w:r>
        <w:rPr>
          <w:sz w:val="20"/>
        </w:rPr>
        <w:t xml:space="preserve"> de los programas)</w:t>
      </w:r>
      <w:r w:rsidRPr="001F58FD">
        <w:rPr>
          <w:sz w:val="20"/>
        </w:rPr>
        <w:t>.</w:t>
      </w:r>
      <w:r>
        <w:rPr>
          <w:sz w:val="20"/>
        </w:rPr>
        <w:t xml:space="preserve"> La Agenda para el Desarrollo seguirá siendo </w:t>
      </w:r>
      <w:r w:rsidRPr="007A521C">
        <w:rPr>
          <w:sz w:val="20"/>
        </w:rPr>
        <w:t>un objetivo importante</w:t>
      </w:r>
      <w:r>
        <w:rPr>
          <w:sz w:val="20"/>
        </w:rPr>
        <w:t xml:space="preserve"> de la labor de evaluación.</w:t>
      </w:r>
    </w:p>
    <w:p w:rsidR="00B1649B" w:rsidRPr="004E1F4B" w:rsidRDefault="00B1649B" w:rsidP="00B1649B">
      <w:pPr>
        <w:autoSpaceDE w:val="0"/>
        <w:autoSpaceDN w:val="0"/>
        <w:adjustRightInd w:val="0"/>
        <w:jc w:val="both"/>
        <w:rPr>
          <w:sz w:val="20"/>
        </w:rPr>
      </w:pPr>
    </w:p>
    <w:p w:rsidR="00B1649B" w:rsidRPr="00BF5737" w:rsidRDefault="00B1649B" w:rsidP="00D41E6A">
      <w:pPr>
        <w:numPr>
          <w:ilvl w:val="0"/>
          <w:numId w:val="45"/>
        </w:numPr>
        <w:autoSpaceDE w:val="0"/>
        <w:autoSpaceDN w:val="0"/>
        <w:adjustRightInd w:val="0"/>
        <w:jc w:val="both"/>
        <w:rPr>
          <w:sz w:val="20"/>
        </w:rPr>
      </w:pPr>
      <w:r w:rsidRPr="00BF5737">
        <w:rPr>
          <w:sz w:val="20"/>
        </w:rPr>
        <w:t>La División de Auditoría y Supervisión Interna</w:t>
      </w:r>
      <w:r w:rsidR="002C6A72">
        <w:rPr>
          <w:sz w:val="20"/>
        </w:rPr>
        <w:t>s</w:t>
      </w:r>
      <w:r w:rsidRPr="00BF5737">
        <w:rPr>
          <w:sz w:val="20"/>
        </w:rPr>
        <w:t xml:space="preserve"> seguirá prestando apoyo al personal directivo en la elaboración y aplicación de un marco eficaz y efectivo de ética e integridad que defina claramente las obligaciones, funciones, responsabilidades y derechos de todo el personal de la Organización</w:t>
      </w:r>
      <w:r>
        <w:rPr>
          <w:sz w:val="20"/>
        </w:rPr>
        <w:t xml:space="preserve">.  </w:t>
      </w:r>
      <w:r w:rsidRPr="00146AAB">
        <w:rPr>
          <w:sz w:val="20"/>
        </w:rPr>
        <w:t>A esos fines, la OMPI deberá presentar informes de investigación profesionales y puntuales elaborados con arreglo a las normas y prácticas óptimas en materia de investigación de</w:t>
      </w:r>
      <w:r>
        <w:rPr>
          <w:sz w:val="20"/>
        </w:rPr>
        <w:t xml:space="preserve">l </w:t>
      </w:r>
      <w:r w:rsidRPr="00146AAB">
        <w:rPr>
          <w:sz w:val="20"/>
        </w:rPr>
        <w:t xml:space="preserve"> </w:t>
      </w:r>
      <w:r>
        <w:rPr>
          <w:sz w:val="20"/>
        </w:rPr>
        <w:t>sistema</w:t>
      </w:r>
      <w:r w:rsidRPr="00146AAB">
        <w:rPr>
          <w:sz w:val="20"/>
        </w:rPr>
        <w:t xml:space="preserve"> de las NN.UU.</w:t>
      </w:r>
      <w:r>
        <w:rPr>
          <w:sz w:val="20"/>
        </w:rPr>
        <w:t xml:space="preserve">  La DASI continuará poniendo a disposición una </w:t>
      </w:r>
      <w:r w:rsidRPr="00146AAB">
        <w:rPr>
          <w:sz w:val="20"/>
        </w:rPr>
        <w:t>línea telefónica directa</w:t>
      </w:r>
      <w:r>
        <w:rPr>
          <w:sz w:val="20"/>
        </w:rPr>
        <w:t xml:space="preserve"> para denunciar delitos y posibles </w:t>
      </w:r>
      <w:r w:rsidRPr="00146AAB">
        <w:rPr>
          <w:sz w:val="20"/>
        </w:rPr>
        <w:t>faltas de conducta</w:t>
      </w:r>
      <w:r>
        <w:rPr>
          <w:sz w:val="20"/>
        </w:rPr>
        <w:t xml:space="preserve"> en la OMPI.  Se creará un</w:t>
      </w:r>
      <w:r w:rsidRPr="0030660E">
        <w:rPr>
          <w:sz w:val="20"/>
        </w:rPr>
        <w:t xml:space="preserve"> marco de evaluación de riesgos para mitigar las consecuencias de</w:t>
      </w:r>
      <w:r>
        <w:rPr>
          <w:sz w:val="20"/>
        </w:rPr>
        <w:t xml:space="preserve"> </w:t>
      </w:r>
      <w:r w:rsidRPr="0030660E">
        <w:rPr>
          <w:sz w:val="20"/>
        </w:rPr>
        <w:t>delitos, conductas impropias y fraudes</w:t>
      </w:r>
      <w:r>
        <w:rPr>
          <w:sz w:val="20"/>
        </w:rPr>
        <w:t>.</w:t>
      </w:r>
    </w:p>
    <w:p w:rsidR="00B1649B" w:rsidRPr="0030660E" w:rsidRDefault="00B1649B" w:rsidP="00B1649B">
      <w:pPr>
        <w:autoSpaceDE w:val="0"/>
        <w:autoSpaceDN w:val="0"/>
        <w:adjustRightInd w:val="0"/>
        <w:jc w:val="both"/>
        <w:rPr>
          <w:sz w:val="20"/>
        </w:rPr>
      </w:pPr>
    </w:p>
    <w:p w:rsidR="00B1649B" w:rsidRPr="00DB579E" w:rsidRDefault="00B1649B" w:rsidP="00D41E6A">
      <w:pPr>
        <w:numPr>
          <w:ilvl w:val="0"/>
          <w:numId w:val="45"/>
        </w:numPr>
        <w:autoSpaceDE w:val="0"/>
        <w:autoSpaceDN w:val="0"/>
        <w:adjustRightInd w:val="0"/>
        <w:jc w:val="both"/>
        <w:rPr>
          <w:sz w:val="20"/>
        </w:rPr>
      </w:pPr>
      <w:r w:rsidRPr="00A0141C">
        <w:rPr>
          <w:sz w:val="20"/>
        </w:rPr>
        <w:t>La cooperación y coordinación con el Auditor Externo, el Mediador y la Oficina de Ética Profesional seguirán siendo altamente prioritarias</w:t>
      </w:r>
      <w:r>
        <w:rPr>
          <w:sz w:val="20"/>
        </w:rPr>
        <w:t xml:space="preserve">.  </w:t>
      </w:r>
      <w:r w:rsidRPr="00A5369D">
        <w:rPr>
          <w:sz w:val="20"/>
        </w:rPr>
        <w:t xml:space="preserve">Además, se proseguirá con la </w:t>
      </w:r>
      <w:r>
        <w:rPr>
          <w:sz w:val="20"/>
        </w:rPr>
        <w:t xml:space="preserve">elaboración de instrumentos de supervisión </w:t>
      </w:r>
      <w:r w:rsidRPr="00A5369D">
        <w:rPr>
          <w:sz w:val="20"/>
        </w:rPr>
        <w:t>adecuados, tales como ma</w:t>
      </w:r>
      <w:r>
        <w:rPr>
          <w:sz w:val="20"/>
        </w:rPr>
        <w:t>nuales, políticas y directrices</w:t>
      </w:r>
      <w:r w:rsidRPr="00A5369D">
        <w:rPr>
          <w:sz w:val="20"/>
        </w:rPr>
        <w:t xml:space="preserve"> que</w:t>
      </w:r>
      <w:r>
        <w:rPr>
          <w:sz w:val="20"/>
        </w:rPr>
        <w:t xml:space="preserve"> estén </w:t>
      </w:r>
      <w:r w:rsidRPr="006D5C42">
        <w:rPr>
          <w:sz w:val="20"/>
        </w:rPr>
        <w:t>en consonancia con</w:t>
      </w:r>
      <w:r>
        <w:rPr>
          <w:sz w:val="20"/>
        </w:rPr>
        <w:t xml:space="preserve"> </w:t>
      </w:r>
      <w:r w:rsidRPr="00DB579E">
        <w:rPr>
          <w:sz w:val="20"/>
        </w:rPr>
        <w:t>normas profesionales</w:t>
      </w:r>
      <w:r>
        <w:rPr>
          <w:sz w:val="20"/>
        </w:rPr>
        <w:t xml:space="preserve"> </w:t>
      </w:r>
      <w:r w:rsidRPr="00DB579E">
        <w:rPr>
          <w:sz w:val="20"/>
        </w:rPr>
        <w:t>reconocidas en el plano</w:t>
      </w:r>
      <w:r>
        <w:rPr>
          <w:sz w:val="20"/>
        </w:rPr>
        <w:t xml:space="preserve"> </w:t>
      </w:r>
      <w:r w:rsidRPr="00DB579E">
        <w:rPr>
          <w:sz w:val="20"/>
        </w:rPr>
        <w:t>internacional</w:t>
      </w:r>
      <w:r w:rsidRPr="00A5369D">
        <w:rPr>
          <w:sz w:val="20"/>
        </w:rPr>
        <w:t xml:space="preserve"> y</w:t>
      </w:r>
      <w:r>
        <w:rPr>
          <w:sz w:val="20"/>
        </w:rPr>
        <w:t xml:space="preserve"> con</w:t>
      </w:r>
      <w:r w:rsidRPr="00A5369D">
        <w:rPr>
          <w:sz w:val="20"/>
        </w:rPr>
        <w:t xml:space="preserve"> las prácticas óptimas de las NN.UU.</w:t>
      </w:r>
      <w:r>
        <w:rPr>
          <w:sz w:val="20"/>
        </w:rPr>
        <w:t xml:space="preserve"> y de otras organizaciones.</w:t>
      </w:r>
    </w:p>
    <w:p w:rsidR="00B1649B" w:rsidRPr="00DB579E" w:rsidRDefault="00B1649B" w:rsidP="00B1649B">
      <w:pPr>
        <w:autoSpaceDE w:val="0"/>
        <w:autoSpaceDN w:val="0"/>
        <w:adjustRightInd w:val="0"/>
        <w:jc w:val="both"/>
        <w:rPr>
          <w:sz w:val="20"/>
        </w:rPr>
      </w:pPr>
    </w:p>
    <w:p w:rsidR="00B1649B" w:rsidRPr="00FB46B9" w:rsidRDefault="00B1649B" w:rsidP="00D41E6A">
      <w:pPr>
        <w:numPr>
          <w:ilvl w:val="0"/>
          <w:numId w:val="45"/>
        </w:numPr>
        <w:autoSpaceDE w:val="0"/>
        <w:autoSpaceDN w:val="0"/>
        <w:adjustRightInd w:val="0"/>
        <w:jc w:val="both"/>
        <w:rPr>
          <w:sz w:val="20"/>
        </w:rPr>
      </w:pPr>
      <w:r w:rsidRPr="00FB46B9">
        <w:rPr>
          <w:sz w:val="20"/>
        </w:rPr>
        <w:t>Durante el bienio, se proseguirá la cooperación con la comu</w:t>
      </w:r>
      <w:r>
        <w:rPr>
          <w:sz w:val="20"/>
        </w:rPr>
        <w:t xml:space="preserve">nidad de supervisión interna de las </w:t>
      </w:r>
      <w:r w:rsidRPr="00FB46B9">
        <w:rPr>
          <w:sz w:val="20"/>
        </w:rPr>
        <w:t>NN.UU. y las asociaciones internacion</w:t>
      </w:r>
      <w:r>
        <w:rPr>
          <w:sz w:val="20"/>
        </w:rPr>
        <w:t>ales y profesionales</w:t>
      </w:r>
      <w:r w:rsidRPr="00FB46B9">
        <w:rPr>
          <w:sz w:val="20"/>
        </w:rPr>
        <w:t xml:space="preserve"> con el fin de velar por que</w:t>
      </w:r>
      <w:r>
        <w:rPr>
          <w:sz w:val="20"/>
        </w:rPr>
        <w:t xml:space="preserve"> la </w:t>
      </w:r>
      <w:r w:rsidRPr="00FB46B9">
        <w:rPr>
          <w:sz w:val="20"/>
        </w:rPr>
        <w:t xml:space="preserve">supervisión </w:t>
      </w:r>
      <w:r w:rsidRPr="00FB46B9">
        <w:rPr>
          <w:sz w:val="20"/>
        </w:rPr>
        <w:lastRenderedPageBreak/>
        <w:t>interna de la OMPI esté en consonancia con las tendencias internacionales y las</w:t>
      </w:r>
      <w:r>
        <w:rPr>
          <w:sz w:val="20"/>
        </w:rPr>
        <w:t xml:space="preserve"> </w:t>
      </w:r>
      <w:r w:rsidRPr="00FB46B9">
        <w:rPr>
          <w:sz w:val="20"/>
        </w:rPr>
        <w:t>prácticas óptimas de las NN.UU.</w:t>
      </w:r>
    </w:p>
    <w:p w:rsidR="00B1649B" w:rsidRPr="00BF5737" w:rsidRDefault="00B1649B" w:rsidP="00B1649B">
      <w:pPr>
        <w:autoSpaceDE w:val="0"/>
        <w:autoSpaceDN w:val="0"/>
        <w:adjustRightInd w:val="0"/>
        <w:jc w:val="both"/>
        <w:rPr>
          <w:sz w:val="20"/>
        </w:rPr>
      </w:pPr>
    </w:p>
    <w:p w:rsidR="00B1649B" w:rsidRPr="00BF5052" w:rsidRDefault="00B1649B" w:rsidP="00D41E6A">
      <w:pPr>
        <w:numPr>
          <w:ilvl w:val="0"/>
          <w:numId w:val="45"/>
        </w:numPr>
        <w:autoSpaceDE w:val="0"/>
        <w:autoSpaceDN w:val="0"/>
        <w:adjustRightInd w:val="0"/>
        <w:jc w:val="both"/>
        <w:rPr>
          <w:sz w:val="20"/>
        </w:rPr>
      </w:pPr>
      <w:r w:rsidRPr="00BF5052">
        <w:rPr>
          <w:sz w:val="20"/>
        </w:rPr>
        <w:t>El avance en la aplicación de las recomendaciones d</w:t>
      </w:r>
      <w:r>
        <w:rPr>
          <w:sz w:val="20"/>
        </w:rPr>
        <w:t xml:space="preserve">e supervisión será objeto de un seguimiento </w:t>
      </w:r>
      <w:r w:rsidRPr="00BF5052">
        <w:rPr>
          <w:sz w:val="20"/>
        </w:rPr>
        <w:t>periódico y los resultados se presentarán al Director General, a la Comisión Consultiva</w:t>
      </w:r>
      <w:r>
        <w:rPr>
          <w:sz w:val="20"/>
        </w:rPr>
        <w:t xml:space="preserve"> Independiente </w:t>
      </w:r>
      <w:r w:rsidRPr="00BF5052">
        <w:rPr>
          <w:sz w:val="20"/>
        </w:rPr>
        <w:t>de Supervisión (CCIS</w:t>
      </w:r>
      <w:r>
        <w:rPr>
          <w:sz w:val="20"/>
        </w:rPr>
        <w:t xml:space="preserve">) y a las Asambleas de la OMPI.  </w:t>
      </w:r>
      <w:r w:rsidRPr="00BF5052">
        <w:rPr>
          <w:sz w:val="20"/>
        </w:rPr>
        <w:t>Varias aplicaciones informáticas</w:t>
      </w:r>
      <w:r>
        <w:rPr>
          <w:sz w:val="20"/>
        </w:rPr>
        <w:t xml:space="preserve"> que estarán en pleno funcionamiento en 2013</w:t>
      </w:r>
      <w:r w:rsidRPr="00BF5052">
        <w:rPr>
          <w:sz w:val="20"/>
        </w:rPr>
        <w:t xml:space="preserve"> </w:t>
      </w:r>
      <w:r>
        <w:rPr>
          <w:sz w:val="20"/>
        </w:rPr>
        <w:t>mejorarán la eficiencia</w:t>
      </w:r>
      <w:r w:rsidRPr="00BF5052">
        <w:rPr>
          <w:sz w:val="20"/>
        </w:rPr>
        <w:t xml:space="preserve"> de los procesos de </w:t>
      </w:r>
      <w:r>
        <w:rPr>
          <w:sz w:val="20"/>
        </w:rPr>
        <w:t>supervisión en el próximo bienio</w:t>
      </w:r>
      <w:r w:rsidRPr="00BF5052">
        <w:rPr>
          <w:sz w:val="20"/>
        </w:rPr>
        <w:t>.</w:t>
      </w:r>
    </w:p>
    <w:p w:rsidR="00B1649B" w:rsidRPr="00BF5052" w:rsidRDefault="00B1649B" w:rsidP="00B1649B">
      <w:pPr>
        <w:autoSpaceDE w:val="0"/>
        <w:autoSpaceDN w:val="0"/>
        <w:adjustRightInd w:val="0"/>
        <w:jc w:val="both"/>
        <w:rPr>
          <w:sz w:val="20"/>
        </w:rPr>
      </w:pPr>
    </w:p>
    <w:p w:rsidR="00B1649B" w:rsidRPr="00A026C1" w:rsidRDefault="00B1649B" w:rsidP="00D41E6A">
      <w:pPr>
        <w:numPr>
          <w:ilvl w:val="0"/>
          <w:numId w:val="45"/>
        </w:numPr>
        <w:autoSpaceDE w:val="0"/>
        <w:autoSpaceDN w:val="0"/>
        <w:adjustRightInd w:val="0"/>
        <w:jc w:val="both"/>
        <w:rPr>
          <w:sz w:val="20"/>
        </w:rPr>
      </w:pPr>
      <w:r w:rsidRPr="00EB716F">
        <w:rPr>
          <w:sz w:val="20"/>
        </w:rPr>
        <w:t xml:space="preserve">Con el fin </w:t>
      </w:r>
      <w:r>
        <w:rPr>
          <w:sz w:val="20"/>
        </w:rPr>
        <w:t xml:space="preserve">de </w:t>
      </w:r>
      <w:r w:rsidRPr="00EB716F">
        <w:rPr>
          <w:sz w:val="20"/>
        </w:rPr>
        <w:t>compartir experiencias y d</w:t>
      </w:r>
      <w:r>
        <w:rPr>
          <w:sz w:val="20"/>
        </w:rPr>
        <w:t xml:space="preserve">atos sobre las actividades de supervisión con  </w:t>
      </w:r>
      <w:r w:rsidRPr="00A026C1">
        <w:rPr>
          <w:sz w:val="20"/>
        </w:rPr>
        <w:t>sectores interesados</w:t>
      </w:r>
      <w:r>
        <w:rPr>
          <w:sz w:val="20"/>
        </w:rPr>
        <w:t xml:space="preserve"> clave, </w:t>
      </w:r>
      <w:r w:rsidRPr="00A026C1">
        <w:rPr>
          <w:sz w:val="20"/>
        </w:rPr>
        <w:t>dentro y fuera de la OMPI</w:t>
      </w:r>
      <w:r>
        <w:rPr>
          <w:sz w:val="20"/>
        </w:rPr>
        <w:t xml:space="preserve">, los </w:t>
      </w:r>
      <w:r w:rsidRPr="00A026C1">
        <w:rPr>
          <w:sz w:val="20"/>
        </w:rPr>
        <w:t>principales</w:t>
      </w:r>
      <w:r>
        <w:rPr>
          <w:sz w:val="20"/>
        </w:rPr>
        <w:t xml:space="preserve"> resultados y conclusiones de la labor de supervisión se difundirán regularmente a través de presentaciones realizadas durante actividades para la información y la</w:t>
      </w:r>
      <w:r w:rsidRPr="00F5420C">
        <w:rPr>
          <w:sz w:val="20"/>
        </w:rPr>
        <w:t xml:space="preserve"> formación</w:t>
      </w:r>
      <w:r>
        <w:rPr>
          <w:sz w:val="20"/>
        </w:rPr>
        <w:t>.</w:t>
      </w:r>
    </w:p>
    <w:p w:rsidR="00B1649B" w:rsidRPr="00EB716F" w:rsidRDefault="00B1649B" w:rsidP="00B1649B">
      <w:pPr>
        <w:autoSpaceDE w:val="0"/>
        <w:autoSpaceDN w:val="0"/>
        <w:adjustRightInd w:val="0"/>
        <w:jc w:val="both"/>
        <w:rPr>
          <w:sz w:val="18"/>
          <w:szCs w:val="18"/>
        </w:rPr>
      </w:pPr>
    </w:p>
    <w:p w:rsidR="007648D2" w:rsidRPr="00B1649B" w:rsidRDefault="007648D2" w:rsidP="007648D2"/>
    <w:p w:rsidR="009F58E5" w:rsidRPr="00994766" w:rsidRDefault="009F58E5" w:rsidP="007648D2">
      <w:pPr>
        <w:rPr>
          <w:sz w:val="20"/>
          <w:lang w:val="es-ES_tradnl"/>
        </w:rPr>
      </w:pPr>
      <w:r w:rsidRPr="00994766">
        <w:rPr>
          <w:szCs w:val="22"/>
          <w:lang w:val="es-ES_tradnl"/>
        </w:rPr>
        <w:t xml:space="preserve">PRINCIPALES RIESGOS Y ESTRATEGIAS DE MITIGACIÓN  </w:t>
      </w:r>
    </w:p>
    <w:p w:rsidR="009F58E5" w:rsidRPr="00994766" w:rsidRDefault="009F58E5" w:rsidP="007648D2">
      <w:pPr>
        <w:rPr>
          <w:sz w:val="20"/>
          <w:lang w:val="es-ES_tradnl"/>
        </w:rPr>
      </w:pPr>
    </w:p>
    <w:tbl>
      <w:tblPr>
        <w:tblW w:w="0" w:type="auto"/>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395"/>
        <w:gridCol w:w="4961"/>
      </w:tblGrid>
      <w:tr w:rsidR="009F58E5" w:rsidRPr="00D41E6A" w:rsidTr="00C665A4">
        <w:trPr>
          <w:trHeight w:val="463"/>
        </w:trPr>
        <w:tc>
          <w:tcPr>
            <w:tcW w:w="4395" w:type="dxa"/>
            <w:tcBorders>
              <w:top w:val="single" w:sz="4" w:space="0" w:color="auto"/>
              <w:bottom w:val="single" w:sz="4" w:space="0" w:color="auto"/>
            </w:tcBorders>
            <w:shd w:val="clear" w:color="auto" w:fill="CCFFFF"/>
            <w:tcMar>
              <w:top w:w="113" w:type="dxa"/>
              <w:bottom w:w="85" w:type="dxa"/>
            </w:tcMar>
            <w:vAlign w:val="center"/>
          </w:tcPr>
          <w:p w:rsidR="009F58E5" w:rsidRPr="00D41E6A" w:rsidRDefault="009F58E5" w:rsidP="008F4F69">
            <w:pPr>
              <w:jc w:val="center"/>
              <w:rPr>
                <w:b/>
                <w:color w:val="000000"/>
                <w:sz w:val="18"/>
                <w:szCs w:val="18"/>
                <w:lang w:val="es-ES_tradnl"/>
              </w:rPr>
            </w:pPr>
            <w:r w:rsidRPr="00D41E6A">
              <w:rPr>
                <w:b/>
                <w:color w:val="000000"/>
                <w:sz w:val="18"/>
                <w:szCs w:val="18"/>
                <w:lang w:val="es-ES_tradnl"/>
              </w:rPr>
              <w:t>Riesgos en el logro de los resultados del programa</w:t>
            </w:r>
          </w:p>
        </w:tc>
        <w:tc>
          <w:tcPr>
            <w:tcW w:w="4961" w:type="dxa"/>
            <w:tcBorders>
              <w:top w:val="single" w:sz="4" w:space="0" w:color="auto"/>
              <w:bottom w:val="single" w:sz="4" w:space="0" w:color="auto"/>
            </w:tcBorders>
            <w:shd w:val="clear" w:color="auto" w:fill="CCFFFF"/>
            <w:tcMar>
              <w:top w:w="113" w:type="dxa"/>
              <w:bottom w:w="85" w:type="dxa"/>
            </w:tcMar>
            <w:vAlign w:val="center"/>
          </w:tcPr>
          <w:p w:rsidR="009F58E5" w:rsidRPr="00D41E6A" w:rsidRDefault="009F58E5" w:rsidP="008D3D36">
            <w:pPr>
              <w:rPr>
                <w:b/>
                <w:color w:val="000000"/>
                <w:sz w:val="18"/>
                <w:szCs w:val="18"/>
                <w:lang w:val="es-ES_tradnl"/>
              </w:rPr>
            </w:pPr>
            <w:r w:rsidRPr="00D41E6A">
              <w:rPr>
                <w:b/>
                <w:color w:val="000000"/>
                <w:sz w:val="18"/>
                <w:szCs w:val="18"/>
                <w:lang w:val="es-ES_tradnl"/>
              </w:rPr>
              <w:t xml:space="preserve">Planes de mitigación ejecutados o en ejecución </w:t>
            </w:r>
          </w:p>
        </w:tc>
      </w:tr>
      <w:tr w:rsidR="009F58E5" w:rsidRPr="00994766" w:rsidTr="00C665A4">
        <w:trPr>
          <w:trHeight w:val="799"/>
        </w:trPr>
        <w:tc>
          <w:tcPr>
            <w:tcW w:w="4395" w:type="dxa"/>
            <w:tcBorders>
              <w:top w:val="single" w:sz="4" w:space="0" w:color="auto"/>
            </w:tcBorders>
            <w:shd w:val="clear" w:color="auto" w:fill="auto"/>
            <w:tcMar>
              <w:top w:w="113" w:type="dxa"/>
              <w:bottom w:w="85" w:type="dxa"/>
            </w:tcMar>
          </w:tcPr>
          <w:p w:rsidR="009F58E5" w:rsidRPr="00994766" w:rsidRDefault="009F58E5" w:rsidP="008F4F69">
            <w:pPr>
              <w:rPr>
                <w:bCs/>
                <w:i/>
                <w:iCs/>
                <w:sz w:val="16"/>
                <w:szCs w:val="16"/>
                <w:lang w:val="es-ES_tradnl"/>
              </w:rPr>
            </w:pPr>
            <w:r w:rsidRPr="00994766">
              <w:rPr>
                <w:sz w:val="16"/>
                <w:szCs w:val="16"/>
                <w:lang w:val="es-ES_tradnl"/>
              </w:rPr>
              <w:t>La actividad de supervisión interna no es independiente y el personal de la DASI no actúa con objetividad al cumplir con su labor.  Estarían en peligro la imparcialidad y la credibilidad de la labor ejecutada.  Se menoscabaría la confianza en la función de supervisión.</w:t>
            </w:r>
          </w:p>
        </w:tc>
        <w:tc>
          <w:tcPr>
            <w:tcW w:w="4961" w:type="dxa"/>
            <w:tcBorders>
              <w:top w:val="single" w:sz="4" w:space="0" w:color="auto"/>
            </w:tcBorders>
            <w:shd w:val="clear" w:color="auto" w:fill="auto"/>
            <w:tcMar>
              <w:top w:w="113" w:type="dxa"/>
              <w:bottom w:w="85" w:type="dxa"/>
            </w:tcMar>
          </w:tcPr>
          <w:p w:rsidR="009F58E5" w:rsidRPr="00994766" w:rsidRDefault="009F58E5" w:rsidP="008F4F69">
            <w:pPr>
              <w:rPr>
                <w:bCs/>
                <w:i/>
                <w:iCs/>
                <w:sz w:val="16"/>
                <w:szCs w:val="16"/>
                <w:lang w:val="es-ES_tradnl"/>
              </w:rPr>
            </w:pPr>
            <w:r w:rsidRPr="00994766">
              <w:rPr>
                <w:sz w:val="16"/>
                <w:szCs w:val="16"/>
                <w:lang w:val="es-ES_tradnl"/>
              </w:rPr>
              <w:t>La DASI y su personal observarán la Carta de Supervisión Interna, presentarán informes periódicos a la CCIS, e informes anuales sobre su independencia a la Asamblea General de la OMPI.</w:t>
            </w:r>
          </w:p>
        </w:tc>
      </w:tr>
      <w:tr w:rsidR="009F58E5" w:rsidRPr="00994766" w:rsidTr="00C665A4">
        <w:trPr>
          <w:trHeight w:val="937"/>
        </w:trPr>
        <w:tc>
          <w:tcPr>
            <w:tcW w:w="4395" w:type="dxa"/>
            <w:shd w:val="clear" w:color="auto" w:fill="auto"/>
            <w:tcMar>
              <w:top w:w="113" w:type="dxa"/>
              <w:bottom w:w="85" w:type="dxa"/>
            </w:tcMar>
          </w:tcPr>
          <w:p w:rsidR="009F58E5" w:rsidRPr="00994766" w:rsidRDefault="009F58E5" w:rsidP="008F4F69">
            <w:pPr>
              <w:rPr>
                <w:sz w:val="16"/>
                <w:szCs w:val="16"/>
                <w:lang w:val="es-ES_tradnl"/>
              </w:rPr>
            </w:pPr>
            <w:r w:rsidRPr="00994766">
              <w:rPr>
                <w:sz w:val="16"/>
                <w:szCs w:val="16"/>
                <w:lang w:val="es-ES_tradnl"/>
              </w:rPr>
              <w:t>La labor de la DASI no es pertinente y no ayuda a la consecución de los resultados de la Organización.  El plan de supervisión no comprende esferas de interés para la Organización en el logro de sus objetivos.  Las investigaciones no se llevan a cabo de manera puntual.</w:t>
            </w:r>
          </w:p>
        </w:tc>
        <w:tc>
          <w:tcPr>
            <w:tcW w:w="4961" w:type="dxa"/>
            <w:shd w:val="clear" w:color="auto" w:fill="auto"/>
            <w:tcMar>
              <w:top w:w="113" w:type="dxa"/>
              <w:bottom w:w="85" w:type="dxa"/>
            </w:tcMar>
          </w:tcPr>
          <w:p w:rsidR="009F58E5" w:rsidRPr="00994766" w:rsidRDefault="009F58E5" w:rsidP="008F4F69">
            <w:pPr>
              <w:rPr>
                <w:sz w:val="16"/>
                <w:szCs w:val="16"/>
                <w:lang w:val="es-ES_tradnl"/>
              </w:rPr>
            </w:pPr>
            <w:r w:rsidRPr="00994766">
              <w:rPr>
                <w:sz w:val="16"/>
                <w:szCs w:val="16"/>
                <w:lang w:val="es-ES_tradnl"/>
              </w:rPr>
              <w:t>Planificación profesional de las auditorías, evaluaciones e investigaciones;  aportaciones del Director General, el personal directivo superior, y los Estados miembros al plan de supervisión;  coordinación con otros sectores.</w:t>
            </w:r>
          </w:p>
        </w:tc>
      </w:tr>
    </w:tbl>
    <w:p w:rsidR="009F58E5" w:rsidRPr="00994766" w:rsidRDefault="009F58E5" w:rsidP="009F58E5">
      <w:pPr>
        <w:tabs>
          <w:tab w:val="left" w:pos="567"/>
          <w:tab w:val="left" w:pos="1985"/>
        </w:tabs>
        <w:jc w:val="both"/>
        <w:rPr>
          <w:bCs/>
          <w:sz w:val="20"/>
          <w:lang w:val="es-ES_tradnl"/>
        </w:rPr>
      </w:pPr>
    </w:p>
    <w:p w:rsidR="009F58E5" w:rsidRPr="00C75C7E" w:rsidRDefault="009F58E5" w:rsidP="009F58E5">
      <w:pPr>
        <w:rPr>
          <w:sz w:val="20"/>
          <w:lang w:val="es-ES_tradnl"/>
        </w:rPr>
      </w:pPr>
    </w:p>
    <w:p w:rsidR="009F58E5" w:rsidRPr="00C75C7E" w:rsidRDefault="009F58E5" w:rsidP="009F58E5">
      <w:pPr>
        <w:rPr>
          <w:sz w:val="20"/>
          <w:lang w:val="es-ES_tradnl"/>
        </w:rPr>
      </w:pPr>
      <w:r w:rsidRPr="00C75C7E">
        <w:rPr>
          <w:szCs w:val="22"/>
          <w:lang w:val="es-ES_tradnl"/>
        </w:rPr>
        <w:t xml:space="preserve">MARCO DE RESULTADOS </w:t>
      </w:r>
      <w:r w:rsidRPr="00C75C7E">
        <w:rPr>
          <w:sz w:val="20"/>
          <w:lang w:val="es-ES_tradnl"/>
        </w:rPr>
        <w:t xml:space="preserve"> </w:t>
      </w:r>
    </w:p>
    <w:p w:rsidR="009F58E5" w:rsidRPr="00C75C7E" w:rsidRDefault="009F58E5" w:rsidP="009F58E5">
      <w:pPr>
        <w:rPr>
          <w:sz w:val="20"/>
          <w:lang w:val="es-ES_tradnl"/>
        </w:rPr>
      </w:pPr>
    </w:p>
    <w:tbl>
      <w:tblPr>
        <w:tblW w:w="4914"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50"/>
        <w:gridCol w:w="2750"/>
        <w:gridCol w:w="2154"/>
        <w:gridCol w:w="2152"/>
      </w:tblGrid>
      <w:tr w:rsidR="009F58E5" w:rsidRPr="00C75C7E" w:rsidTr="008F4F69">
        <w:trPr>
          <w:cantSplit/>
          <w:trHeight w:val="416"/>
        </w:trPr>
        <w:tc>
          <w:tcPr>
            <w:tcW w:w="1249" w:type="pct"/>
            <w:tcBorders>
              <w:top w:val="single" w:sz="4" w:space="0" w:color="auto"/>
              <w:bottom w:val="single" w:sz="4" w:space="0" w:color="auto"/>
            </w:tcBorders>
            <w:shd w:val="clear" w:color="auto" w:fill="CCFFFF"/>
            <w:tcMar>
              <w:top w:w="113" w:type="dxa"/>
            </w:tcMar>
            <w:vAlign w:val="center"/>
          </w:tcPr>
          <w:p w:rsidR="009F58E5" w:rsidRPr="00C75C7E" w:rsidRDefault="009F58E5" w:rsidP="008F4F69">
            <w:pPr>
              <w:spacing w:after="120"/>
              <w:jc w:val="center"/>
              <w:rPr>
                <w:b/>
                <w:bCs/>
                <w:sz w:val="18"/>
                <w:szCs w:val="18"/>
                <w:lang w:val="es-ES_tradnl"/>
              </w:rPr>
            </w:pPr>
            <w:r w:rsidRPr="00C75C7E">
              <w:rPr>
                <w:b/>
                <w:bCs/>
                <w:sz w:val="18"/>
                <w:szCs w:val="18"/>
                <w:lang w:val="es-ES_tradnl"/>
              </w:rPr>
              <w:t>Resultados previstos</w:t>
            </w:r>
          </w:p>
        </w:tc>
        <w:tc>
          <w:tcPr>
            <w:tcW w:w="1462" w:type="pct"/>
            <w:tcBorders>
              <w:top w:val="single" w:sz="4" w:space="0" w:color="auto"/>
              <w:bottom w:val="single" w:sz="4" w:space="0" w:color="auto"/>
            </w:tcBorders>
            <w:shd w:val="clear" w:color="auto" w:fill="CCFFFF"/>
            <w:tcMar>
              <w:top w:w="113" w:type="dxa"/>
            </w:tcMar>
            <w:vAlign w:val="center"/>
          </w:tcPr>
          <w:p w:rsidR="009F58E5" w:rsidRPr="00C75C7E" w:rsidRDefault="009F58E5" w:rsidP="008F4F69">
            <w:pPr>
              <w:spacing w:after="120"/>
              <w:jc w:val="center"/>
              <w:rPr>
                <w:b/>
                <w:bCs/>
                <w:sz w:val="18"/>
                <w:szCs w:val="18"/>
                <w:lang w:val="es-ES_tradnl"/>
              </w:rPr>
            </w:pPr>
            <w:r w:rsidRPr="00C75C7E">
              <w:rPr>
                <w:b/>
                <w:bCs/>
                <w:sz w:val="18"/>
                <w:szCs w:val="18"/>
                <w:lang w:val="es-ES_tradnl"/>
              </w:rPr>
              <w:t>Indicadores de rendimiento</w:t>
            </w:r>
          </w:p>
        </w:tc>
        <w:tc>
          <w:tcPr>
            <w:tcW w:w="1145" w:type="pct"/>
            <w:tcBorders>
              <w:top w:val="single" w:sz="4" w:space="0" w:color="auto"/>
              <w:bottom w:val="single" w:sz="4" w:space="0" w:color="auto"/>
            </w:tcBorders>
            <w:shd w:val="clear" w:color="auto" w:fill="CCFFFF"/>
            <w:tcMar>
              <w:top w:w="113" w:type="dxa"/>
            </w:tcMar>
            <w:vAlign w:val="center"/>
          </w:tcPr>
          <w:p w:rsidR="009F58E5" w:rsidRPr="00C75C7E" w:rsidRDefault="009F58E5" w:rsidP="008D3D36">
            <w:pPr>
              <w:spacing w:after="120"/>
              <w:ind w:left="85"/>
              <w:rPr>
                <w:b/>
                <w:bCs/>
                <w:sz w:val="18"/>
                <w:szCs w:val="18"/>
                <w:lang w:val="es-ES_tradnl"/>
              </w:rPr>
            </w:pPr>
            <w:r w:rsidRPr="00C75C7E">
              <w:rPr>
                <w:b/>
                <w:bCs/>
                <w:sz w:val="18"/>
                <w:szCs w:val="18"/>
                <w:lang w:val="es-ES_tradnl"/>
              </w:rPr>
              <w:t>Referencia</w:t>
            </w:r>
          </w:p>
        </w:tc>
        <w:tc>
          <w:tcPr>
            <w:tcW w:w="1144" w:type="pct"/>
            <w:tcBorders>
              <w:top w:val="single" w:sz="4" w:space="0" w:color="auto"/>
              <w:bottom w:val="single" w:sz="4" w:space="0" w:color="auto"/>
            </w:tcBorders>
            <w:shd w:val="clear" w:color="auto" w:fill="CCFFFF"/>
            <w:tcMar>
              <w:top w:w="113" w:type="dxa"/>
            </w:tcMar>
            <w:vAlign w:val="center"/>
          </w:tcPr>
          <w:p w:rsidR="009F58E5" w:rsidRPr="00C75C7E" w:rsidRDefault="009F58E5" w:rsidP="008D3D36">
            <w:pPr>
              <w:keepNext/>
              <w:keepLines/>
              <w:spacing w:after="120"/>
              <w:ind w:right="111"/>
              <w:rPr>
                <w:b/>
                <w:bCs/>
                <w:sz w:val="18"/>
                <w:szCs w:val="18"/>
                <w:lang w:val="es-ES_tradnl"/>
              </w:rPr>
            </w:pPr>
            <w:r w:rsidRPr="00C75C7E">
              <w:rPr>
                <w:b/>
                <w:bCs/>
                <w:sz w:val="18"/>
                <w:szCs w:val="18"/>
                <w:lang w:val="es-ES_tradnl"/>
              </w:rPr>
              <w:t>Objetivos</w:t>
            </w:r>
          </w:p>
        </w:tc>
      </w:tr>
      <w:tr w:rsidR="009F58E5" w:rsidRPr="00C75C7E" w:rsidTr="008F4F69">
        <w:trPr>
          <w:cantSplit/>
        </w:trPr>
        <w:tc>
          <w:tcPr>
            <w:tcW w:w="1249" w:type="pct"/>
            <w:vMerge w:val="restart"/>
            <w:tcBorders>
              <w:top w:val="single" w:sz="4" w:space="0" w:color="auto"/>
            </w:tcBorders>
            <w:shd w:val="clear" w:color="auto" w:fill="auto"/>
            <w:tcMar>
              <w:top w:w="113" w:type="dxa"/>
            </w:tcMar>
          </w:tcPr>
          <w:p w:rsidR="009F58E5" w:rsidRPr="00C75C7E" w:rsidRDefault="009F58E5" w:rsidP="008F4F69">
            <w:pPr>
              <w:rPr>
                <w:sz w:val="16"/>
                <w:szCs w:val="16"/>
                <w:lang w:val="es-ES_tradnl"/>
              </w:rPr>
            </w:pPr>
            <w:r w:rsidRPr="00C75C7E">
              <w:rPr>
                <w:sz w:val="16"/>
                <w:szCs w:val="16"/>
                <w:lang w:val="es-ES_tradnl"/>
              </w:rPr>
              <w:t>IX.8. Mejor rendición de cuentas, aprendizaje institucional, uso óptimo de los recursos, administración, control interno y buen gobierno gracias a la asistencia que proporciona una supervisión eficaz e independiente.</w:t>
            </w:r>
          </w:p>
        </w:tc>
        <w:tc>
          <w:tcPr>
            <w:tcW w:w="1462" w:type="pct"/>
            <w:tcBorders>
              <w:top w:val="single" w:sz="4" w:space="0" w:color="auto"/>
            </w:tcBorders>
            <w:shd w:val="clear" w:color="auto" w:fill="auto"/>
            <w:tcMar>
              <w:top w:w="113" w:type="dxa"/>
            </w:tcMar>
          </w:tcPr>
          <w:p w:rsidR="009F58E5" w:rsidRPr="00C75C7E" w:rsidRDefault="009F58E5" w:rsidP="008F4F69">
            <w:pPr>
              <w:rPr>
                <w:b/>
                <w:sz w:val="16"/>
                <w:szCs w:val="16"/>
                <w:lang w:val="es-ES_tradnl"/>
              </w:rPr>
            </w:pPr>
            <w:r w:rsidRPr="00C75C7E">
              <w:rPr>
                <w:sz w:val="16"/>
                <w:szCs w:val="16"/>
                <w:lang w:val="es-ES_tradnl"/>
              </w:rPr>
              <w:t>Número de interferencias y grado de independencia percibido por las principales partes interesadas.</w:t>
            </w:r>
          </w:p>
        </w:tc>
        <w:tc>
          <w:tcPr>
            <w:tcW w:w="1145" w:type="pct"/>
            <w:tcBorders>
              <w:top w:val="single" w:sz="4" w:space="0" w:color="auto"/>
            </w:tcBorders>
            <w:shd w:val="clear" w:color="auto" w:fill="FFFFFF"/>
            <w:tcMar>
              <w:top w:w="113" w:type="dxa"/>
            </w:tcMar>
          </w:tcPr>
          <w:p w:rsidR="009F58E5" w:rsidRPr="00C75C7E" w:rsidRDefault="009F58E5" w:rsidP="008F4F69">
            <w:pPr>
              <w:rPr>
                <w:sz w:val="16"/>
                <w:szCs w:val="16"/>
                <w:lang w:val="es-ES_tradnl" w:bidi="th-TH"/>
              </w:rPr>
            </w:pPr>
            <w:r w:rsidRPr="00C75C7E">
              <w:rPr>
                <w:sz w:val="16"/>
                <w:szCs w:val="16"/>
                <w:lang w:val="es-ES_tradnl" w:bidi="th-TH"/>
              </w:rPr>
              <w:t>No hay interferencias en la labor de la DASI.</w:t>
            </w:r>
          </w:p>
          <w:p w:rsidR="009F58E5" w:rsidRPr="00C75C7E" w:rsidRDefault="009F58E5" w:rsidP="008F4F69">
            <w:pPr>
              <w:rPr>
                <w:sz w:val="16"/>
                <w:szCs w:val="16"/>
                <w:lang w:val="es-ES_tradnl" w:bidi="th-TH"/>
              </w:rPr>
            </w:pPr>
          </w:p>
          <w:p w:rsidR="009F58E5" w:rsidRPr="00C75C7E" w:rsidRDefault="009F58E5" w:rsidP="008F4F69">
            <w:pPr>
              <w:rPr>
                <w:sz w:val="16"/>
                <w:szCs w:val="16"/>
                <w:lang w:val="es-ES_tradnl"/>
              </w:rPr>
            </w:pPr>
          </w:p>
        </w:tc>
        <w:tc>
          <w:tcPr>
            <w:tcW w:w="1144" w:type="pct"/>
            <w:tcBorders>
              <w:top w:val="single" w:sz="4" w:space="0" w:color="auto"/>
            </w:tcBorders>
            <w:shd w:val="clear" w:color="auto" w:fill="auto"/>
            <w:tcMar>
              <w:top w:w="113" w:type="dxa"/>
            </w:tcMar>
          </w:tcPr>
          <w:p w:rsidR="009F58E5" w:rsidRPr="00C75C7E" w:rsidRDefault="009F58E5" w:rsidP="008F4F69">
            <w:pPr>
              <w:keepNext/>
              <w:keepLines/>
              <w:ind w:right="221"/>
              <w:rPr>
                <w:bCs/>
                <w:sz w:val="16"/>
                <w:szCs w:val="16"/>
                <w:lang w:val="es-ES_tradnl"/>
              </w:rPr>
            </w:pPr>
            <w:r w:rsidRPr="00C75C7E">
              <w:rPr>
                <w:bCs/>
                <w:sz w:val="16"/>
                <w:szCs w:val="16"/>
                <w:lang w:val="es-ES_tradnl"/>
              </w:rPr>
              <w:t>Las principales partes interesadas (Clientes/CCIS/Estados miembros) perciben un grado de independencia total.</w:t>
            </w:r>
          </w:p>
        </w:tc>
      </w:tr>
      <w:tr w:rsidR="009F58E5" w:rsidRPr="00C75C7E" w:rsidTr="008F4F69">
        <w:trPr>
          <w:cantSplit/>
        </w:trPr>
        <w:tc>
          <w:tcPr>
            <w:tcW w:w="1249" w:type="pct"/>
            <w:vMerge/>
            <w:shd w:val="clear" w:color="auto" w:fill="auto"/>
            <w:tcMar>
              <w:top w:w="113" w:type="dxa"/>
            </w:tcMar>
          </w:tcPr>
          <w:p w:rsidR="009F58E5" w:rsidRPr="00C75C7E" w:rsidRDefault="009F58E5" w:rsidP="008F4F69">
            <w:pPr>
              <w:rPr>
                <w:sz w:val="16"/>
                <w:szCs w:val="16"/>
                <w:lang w:val="es-ES_tradnl"/>
              </w:rPr>
            </w:pPr>
          </w:p>
        </w:tc>
        <w:tc>
          <w:tcPr>
            <w:tcW w:w="1462" w:type="pct"/>
            <w:shd w:val="clear" w:color="auto" w:fill="auto"/>
            <w:tcMar>
              <w:top w:w="113" w:type="dxa"/>
            </w:tcMar>
          </w:tcPr>
          <w:p w:rsidR="009F58E5" w:rsidRPr="00C75C7E" w:rsidRDefault="009F58E5" w:rsidP="008F4F69">
            <w:pPr>
              <w:rPr>
                <w:sz w:val="16"/>
                <w:szCs w:val="16"/>
                <w:lang w:val="es-ES_tradnl"/>
              </w:rPr>
            </w:pPr>
            <w:r w:rsidRPr="00C75C7E">
              <w:rPr>
                <w:sz w:val="16"/>
                <w:szCs w:val="16"/>
                <w:lang w:val="es-ES_tradnl"/>
              </w:rPr>
              <w:t>Porcentaje de EFICACIA de la labor de la DASI que abarca esferas de alto riesgo y gran pertinencia.</w:t>
            </w:r>
          </w:p>
        </w:tc>
        <w:tc>
          <w:tcPr>
            <w:tcW w:w="1145" w:type="pct"/>
            <w:shd w:val="clear" w:color="auto" w:fill="FFFFFF"/>
            <w:tcMar>
              <w:top w:w="113" w:type="dxa"/>
            </w:tcMar>
          </w:tcPr>
          <w:p w:rsidR="009F58E5" w:rsidRPr="00C75C7E" w:rsidRDefault="009F58E5" w:rsidP="008F4F69">
            <w:pPr>
              <w:rPr>
                <w:sz w:val="16"/>
                <w:szCs w:val="16"/>
                <w:lang w:val="es-ES_tradnl" w:bidi="th-TH"/>
              </w:rPr>
            </w:pPr>
            <w:r w:rsidRPr="00C75C7E">
              <w:rPr>
                <w:sz w:val="16"/>
                <w:szCs w:val="16"/>
                <w:lang w:val="es-ES_tradnl" w:bidi="th-TH"/>
              </w:rPr>
              <w:t>Toda la labor (100%) abarca esferas de alto riesgo y gran pertinencia.</w:t>
            </w:r>
          </w:p>
          <w:p w:rsidR="009F58E5" w:rsidRPr="00C75C7E" w:rsidRDefault="009F58E5" w:rsidP="008F4F69">
            <w:pPr>
              <w:rPr>
                <w:sz w:val="16"/>
                <w:szCs w:val="16"/>
                <w:lang w:val="es-ES_tradnl" w:bidi="th-TH"/>
              </w:rPr>
            </w:pPr>
          </w:p>
          <w:p w:rsidR="009F58E5" w:rsidRPr="00C75C7E" w:rsidRDefault="009F58E5" w:rsidP="008F4F69">
            <w:pPr>
              <w:rPr>
                <w:sz w:val="16"/>
                <w:szCs w:val="16"/>
                <w:lang w:val="es-ES_tradnl"/>
              </w:rPr>
            </w:pPr>
          </w:p>
        </w:tc>
        <w:tc>
          <w:tcPr>
            <w:tcW w:w="1144" w:type="pct"/>
            <w:shd w:val="clear" w:color="auto" w:fill="auto"/>
            <w:tcMar>
              <w:top w:w="113" w:type="dxa"/>
            </w:tcMar>
          </w:tcPr>
          <w:p w:rsidR="009F58E5" w:rsidRPr="00C75C7E" w:rsidRDefault="009F58E5" w:rsidP="008F4F69">
            <w:pPr>
              <w:keepNext/>
              <w:keepLines/>
              <w:tabs>
                <w:tab w:val="left" w:pos="2051"/>
              </w:tabs>
              <w:ind w:right="221"/>
              <w:rPr>
                <w:bCs/>
                <w:sz w:val="16"/>
                <w:szCs w:val="16"/>
                <w:lang w:val="es-ES_tradnl"/>
              </w:rPr>
            </w:pPr>
            <w:r w:rsidRPr="00C75C7E">
              <w:rPr>
                <w:bCs/>
                <w:sz w:val="16"/>
                <w:szCs w:val="16"/>
                <w:lang w:val="es-ES_tradnl"/>
              </w:rPr>
              <w:t>Toda la labor (100%) abarca esferas de alto riesgo y gran pertinencia.</w:t>
            </w:r>
          </w:p>
        </w:tc>
      </w:tr>
      <w:tr w:rsidR="009F58E5" w:rsidRPr="00C75C7E" w:rsidTr="008F4F69">
        <w:trPr>
          <w:cantSplit/>
          <w:trHeight w:val="2440"/>
        </w:trPr>
        <w:tc>
          <w:tcPr>
            <w:tcW w:w="1249" w:type="pct"/>
            <w:vMerge/>
            <w:shd w:val="clear" w:color="auto" w:fill="auto"/>
            <w:tcMar>
              <w:top w:w="113" w:type="dxa"/>
            </w:tcMar>
          </w:tcPr>
          <w:p w:rsidR="009F58E5" w:rsidRPr="00C75C7E" w:rsidRDefault="009F58E5" w:rsidP="008F4F69">
            <w:pPr>
              <w:rPr>
                <w:sz w:val="16"/>
                <w:szCs w:val="16"/>
                <w:lang w:val="es-ES_tradnl"/>
              </w:rPr>
            </w:pPr>
          </w:p>
        </w:tc>
        <w:tc>
          <w:tcPr>
            <w:tcW w:w="1462" w:type="pct"/>
            <w:shd w:val="clear" w:color="auto" w:fill="auto"/>
            <w:tcMar>
              <w:top w:w="113" w:type="dxa"/>
            </w:tcMar>
          </w:tcPr>
          <w:p w:rsidR="009F58E5" w:rsidRPr="00C75C7E" w:rsidRDefault="009F58E5" w:rsidP="008F4F69">
            <w:pPr>
              <w:rPr>
                <w:sz w:val="16"/>
                <w:szCs w:val="16"/>
                <w:lang w:val="es-ES_tradnl"/>
              </w:rPr>
            </w:pPr>
            <w:r w:rsidRPr="00C75C7E">
              <w:rPr>
                <w:sz w:val="16"/>
                <w:szCs w:val="16"/>
                <w:lang w:val="es-ES_tradnl"/>
              </w:rPr>
              <w:t>EFICIENCIA:  a) Finalización puntual y de calidad de los informes de supervisión;  b) Número de auditorías y evaluaciones ejecutadas en relación con el plan de trabajo en materia de supervisión;  c) Número de denuncias/notificaciones de posible conducta indebida que se han tramitado.</w:t>
            </w:r>
          </w:p>
        </w:tc>
        <w:tc>
          <w:tcPr>
            <w:tcW w:w="1145" w:type="pct"/>
            <w:shd w:val="clear" w:color="auto" w:fill="FFFFFF"/>
            <w:tcMar>
              <w:top w:w="113" w:type="dxa"/>
            </w:tcMar>
          </w:tcPr>
          <w:p w:rsidR="009F58E5" w:rsidRPr="00C75C7E" w:rsidRDefault="009F58E5" w:rsidP="008F4F69">
            <w:pPr>
              <w:rPr>
                <w:sz w:val="16"/>
                <w:szCs w:val="16"/>
                <w:lang w:val="es-ES_tradnl" w:bidi="th-TH"/>
              </w:rPr>
            </w:pPr>
            <w:r w:rsidRPr="00C75C7E">
              <w:rPr>
                <w:sz w:val="16"/>
                <w:szCs w:val="16"/>
                <w:lang w:val="es-ES_tradnl" w:bidi="th-TH"/>
              </w:rPr>
              <w:t>a) Las investigaciones, auditorías y evaluaciones se llevan a cabo, por término medio, en 10 y cinco meses en 2012;</w:t>
            </w:r>
          </w:p>
          <w:p w:rsidR="009F58E5" w:rsidRPr="00C75C7E" w:rsidRDefault="009F58E5" w:rsidP="008F4F69">
            <w:pPr>
              <w:rPr>
                <w:sz w:val="16"/>
                <w:szCs w:val="16"/>
                <w:lang w:val="es-ES_tradnl" w:bidi="th-TH"/>
              </w:rPr>
            </w:pPr>
          </w:p>
          <w:p w:rsidR="009F58E5" w:rsidRPr="00C75C7E" w:rsidRDefault="009F58E5" w:rsidP="008F4F69">
            <w:pPr>
              <w:rPr>
                <w:sz w:val="16"/>
                <w:szCs w:val="16"/>
                <w:lang w:val="es-ES_tradnl" w:bidi="th-TH"/>
              </w:rPr>
            </w:pPr>
            <w:r w:rsidRPr="00C75C7E">
              <w:rPr>
                <w:sz w:val="16"/>
                <w:szCs w:val="16"/>
                <w:lang w:val="es-ES_tradnl" w:bidi="th-TH"/>
              </w:rPr>
              <w:t xml:space="preserve">b) tres auditorías y cinco evaluaciones realizadas en 2012; </w:t>
            </w:r>
          </w:p>
          <w:p w:rsidR="009F58E5" w:rsidRPr="00C75C7E" w:rsidRDefault="009F58E5" w:rsidP="008F4F69">
            <w:pPr>
              <w:rPr>
                <w:sz w:val="16"/>
                <w:szCs w:val="16"/>
                <w:lang w:val="es-ES_tradnl" w:bidi="th-TH"/>
              </w:rPr>
            </w:pPr>
          </w:p>
          <w:p w:rsidR="009F58E5" w:rsidRPr="00C75C7E" w:rsidRDefault="009F58E5" w:rsidP="008F4F69">
            <w:pPr>
              <w:rPr>
                <w:sz w:val="16"/>
                <w:szCs w:val="16"/>
                <w:lang w:val="es-ES_tradnl" w:bidi="th-TH"/>
              </w:rPr>
            </w:pPr>
            <w:r w:rsidRPr="00C75C7E">
              <w:rPr>
                <w:sz w:val="16"/>
                <w:szCs w:val="16"/>
                <w:lang w:val="es-ES_tradnl" w:bidi="th-TH"/>
              </w:rPr>
              <w:t>c) 15 investigaciones dadas por concluidas en 2011 y 23 en 2012;</w:t>
            </w:r>
          </w:p>
          <w:p w:rsidR="009F58E5" w:rsidRPr="00C75C7E" w:rsidRDefault="009F58E5" w:rsidP="008F4F69">
            <w:pPr>
              <w:rPr>
                <w:sz w:val="16"/>
                <w:szCs w:val="16"/>
                <w:lang w:val="es-ES_tradnl" w:bidi="th-TH"/>
              </w:rPr>
            </w:pPr>
          </w:p>
          <w:p w:rsidR="009F58E5" w:rsidRPr="00C75C7E" w:rsidRDefault="009F58E5" w:rsidP="008F4F69">
            <w:pPr>
              <w:rPr>
                <w:sz w:val="16"/>
                <w:szCs w:val="16"/>
                <w:lang w:val="es-ES_tradnl" w:bidi="th-TH"/>
              </w:rPr>
            </w:pPr>
            <w:r w:rsidRPr="00C75C7E">
              <w:rPr>
                <w:sz w:val="16"/>
                <w:szCs w:val="16"/>
                <w:lang w:val="es-ES_tradnl" w:bidi="th-TH"/>
              </w:rPr>
              <w:t>d) toda la labor de supervisión se ejecuta conforme a las normas.</w:t>
            </w:r>
          </w:p>
          <w:p w:rsidR="009F58E5" w:rsidRPr="00C75C7E" w:rsidRDefault="009F58E5" w:rsidP="008F4F69">
            <w:pPr>
              <w:rPr>
                <w:sz w:val="16"/>
                <w:szCs w:val="16"/>
                <w:lang w:val="es-ES_tradnl"/>
              </w:rPr>
            </w:pPr>
          </w:p>
        </w:tc>
        <w:tc>
          <w:tcPr>
            <w:tcW w:w="1144" w:type="pct"/>
            <w:shd w:val="clear" w:color="auto" w:fill="auto"/>
            <w:tcMar>
              <w:top w:w="113" w:type="dxa"/>
            </w:tcMar>
          </w:tcPr>
          <w:p w:rsidR="009F58E5" w:rsidRPr="00C75C7E" w:rsidRDefault="009F58E5" w:rsidP="008F4F69">
            <w:pPr>
              <w:keepNext/>
              <w:keepLines/>
              <w:ind w:right="221"/>
              <w:rPr>
                <w:bCs/>
                <w:sz w:val="16"/>
                <w:szCs w:val="16"/>
                <w:lang w:val="es-ES_tradnl"/>
              </w:rPr>
            </w:pPr>
            <w:r w:rsidRPr="00C75C7E">
              <w:rPr>
                <w:bCs/>
                <w:sz w:val="16"/>
                <w:szCs w:val="16"/>
                <w:lang w:val="es-ES_tradnl"/>
              </w:rPr>
              <w:t>a) Las investigaciones se llevan a cabo en seis meses, por término medio;  las auditorías y evaluaciones, en cinco meses;</w:t>
            </w:r>
          </w:p>
          <w:p w:rsidR="009F58E5" w:rsidRPr="00C75C7E" w:rsidRDefault="009F58E5" w:rsidP="008F4F69">
            <w:pPr>
              <w:keepNext/>
              <w:keepLines/>
              <w:ind w:right="221"/>
              <w:rPr>
                <w:bCs/>
                <w:sz w:val="16"/>
                <w:szCs w:val="16"/>
                <w:lang w:val="es-ES_tradnl"/>
              </w:rPr>
            </w:pPr>
          </w:p>
          <w:p w:rsidR="009F58E5" w:rsidRPr="00C75C7E" w:rsidRDefault="009F58E5" w:rsidP="008F4F69">
            <w:pPr>
              <w:keepNext/>
              <w:keepLines/>
              <w:ind w:right="221"/>
              <w:rPr>
                <w:bCs/>
                <w:sz w:val="16"/>
                <w:szCs w:val="16"/>
                <w:lang w:val="es-ES_tradnl"/>
              </w:rPr>
            </w:pPr>
            <w:r w:rsidRPr="00C75C7E">
              <w:rPr>
                <w:bCs/>
                <w:sz w:val="16"/>
                <w:szCs w:val="16"/>
                <w:lang w:val="es-ES_tradnl"/>
              </w:rPr>
              <w:t xml:space="preserve">b) se llevan a cabo 12 auditorías y seis evaluaciones; </w:t>
            </w:r>
          </w:p>
          <w:p w:rsidR="009F58E5" w:rsidRPr="00C75C7E" w:rsidRDefault="009F58E5" w:rsidP="008F4F69">
            <w:pPr>
              <w:keepNext/>
              <w:keepLines/>
              <w:ind w:right="221"/>
              <w:rPr>
                <w:bCs/>
                <w:sz w:val="16"/>
                <w:szCs w:val="16"/>
                <w:lang w:val="es-ES_tradnl"/>
              </w:rPr>
            </w:pPr>
          </w:p>
          <w:p w:rsidR="009F58E5" w:rsidRPr="00C75C7E" w:rsidRDefault="009F58E5" w:rsidP="008F4F69">
            <w:pPr>
              <w:keepNext/>
              <w:keepLines/>
              <w:ind w:right="221"/>
              <w:rPr>
                <w:bCs/>
                <w:sz w:val="16"/>
                <w:szCs w:val="16"/>
                <w:lang w:val="es-ES_tradnl"/>
              </w:rPr>
            </w:pPr>
          </w:p>
          <w:p w:rsidR="009F58E5" w:rsidRPr="00C75C7E" w:rsidRDefault="009F58E5" w:rsidP="008F4F69">
            <w:pPr>
              <w:keepNext/>
              <w:keepLines/>
              <w:ind w:right="221"/>
              <w:rPr>
                <w:bCs/>
                <w:sz w:val="16"/>
                <w:szCs w:val="16"/>
                <w:lang w:val="es-ES_tradnl"/>
              </w:rPr>
            </w:pPr>
            <w:r w:rsidRPr="00C75C7E">
              <w:rPr>
                <w:bCs/>
                <w:sz w:val="16"/>
                <w:szCs w:val="16"/>
                <w:lang w:val="es-ES_tradnl"/>
              </w:rPr>
              <w:t xml:space="preserve">c) Al menos 15 investigaciones dadas por concluidas; </w:t>
            </w:r>
          </w:p>
          <w:p w:rsidR="009F58E5" w:rsidRPr="00C75C7E" w:rsidRDefault="009F58E5" w:rsidP="008F4F69">
            <w:pPr>
              <w:keepNext/>
              <w:keepLines/>
              <w:ind w:right="221"/>
              <w:rPr>
                <w:bCs/>
                <w:sz w:val="16"/>
                <w:szCs w:val="16"/>
                <w:lang w:val="es-ES_tradnl"/>
              </w:rPr>
            </w:pPr>
          </w:p>
          <w:p w:rsidR="009F58E5" w:rsidRPr="00C75C7E" w:rsidRDefault="009F58E5" w:rsidP="008F4F69">
            <w:pPr>
              <w:keepNext/>
              <w:keepLines/>
              <w:ind w:right="221"/>
              <w:rPr>
                <w:bCs/>
                <w:sz w:val="16"/>
                <w:szCs w:val="16"/>
                <w:lang w:val="es-ES_tradnl"/>
              </w:rPr>
            </w:pPr>
          </w:p>
          <w:p w:rsidR="009F58E5" w:rsidRPr="00C75C7E" w:rsidRDefault="009F58E5" w:rsidP="008F4F69">
            <w:pPr>
              <w:keepNext/>
              <w:keepLines/>
              <w:ind w:right="221"/>
              <w:rPr>
                <w:bCs/>
                <w:sz w:val="16"/>
                <w:szCs w:val="16"/>
                <w:lang w:val="es-ES_tradnl"/>
              </w:rPr>
            </w:pPr>
            <w:r w:rsidRPr="00C75C7E">
              <w:rPr>
                <w:bCs/>
                <w:sz w:val="16"/>
                <w:szCs w:val="16"/>
                <w:lang w:val="es-ES_tradnl"/>
              </w:rPr>
              <w:t>d) cumplimiento de las normas.</w:t>
            </w:r>
          </w:p>
        </w:tc>
      </w:tr>
      <w:tr w:rsidR="009F58E5" w:rsidRPr="00C75C7E" w:rsidTr="008F4F69">
        <w:trPr>
          <w:cantSplit/>
          <w:trHeight w:val="852"/>
        </w:trPr>
        <w:tc>
          <w:tcPr>
            <w:tcW w:w="1249" w:type="pct"/>
            <w:vMerge/>
            <w:shd w:val="clear" w:color="auto" w:fill="auto"/>
            <w:tcMar>
              <w:top w:w="113" w:type="dxa"/>
            </w:tcMar>
          </w:tcPr>
          <w:p w:rsidR="009F58E5" w:rsidRPr="00C75C7E" w:rsidRDefault="009F58E5" w:rsidP="008F4F69">
            <w:pPr>
              <w:rPr>
                <w:sz w:val="16"/>
                <w:szCs w:val="16"/>
                <w:lang w:val="es-ES_tradnl"/>
              </w:rPr>
            </w:pPr>
          </w:p>
        </w:tc>
        <w:tc>
          <w:tcPr>
            <w:tcW w:w="1462" w:type="pct"/>
            <w:shd w:val="clear" w:color="auto" w:fill="auto"/>
            <w:tcMar>
              <w:top w:w="113" w:type="dxa"/>
            </w:tcMar>
          </w:tcPr>
          <w:p w:rsidR="009F58E5" w:rsidRPr="00C75C7E" w:rsidRDefault="009F58E5" w:rsidP="008F4F69">
            <w:pPr>
              <w:rPr>
                <w:sz w:val="16"/>
                <w:szCs w:val="16"/>
                <w:lang w:val="es-ES_tradnl"/>
              </w:rPr>
            </w:pPr>
            <w:r w:rsidRPr="00C75C7E">
              <w:rPr>
                <w:sz w:val="16"/>
                <w:szCs w:val="16"/>
                <w:lang w:val="es-ES_tradnl"/>
              </w:rPr>
              <w:t>PERTINENCIA, VALOR AÑADIDO Y ADMINISTRACIÓN:  Ahorros o mejoras tangibles en los procedimientos y sistemas.</w:t>
            </w:r>
          </w:p>
        </w:tc>
        <w:tc>
          <w:tcPr>
            <w:tcW w:w="1145" w:type="pct"/>
            <w:shd w:val="clear" w:color="auto" w:fill="FFFFFF"/>
            <w:tcMar>
              <w:top w:w="113" w:type="dxa"/>
            </w:tcMar>
          </w:tcPr>
          <w:p w:rsidR="009F58E5" w:rsidRPr="00C75C7E" w:rsidRDefault="009F58E5" w:rsidP="008F4F69">
            <w:pPr>
              <w:rPr>
                <w:sz w:val="16"/>
                <w:szCs w:val="16"/>
                <w:lang w:val="es-ES_tradnl" w:bidi="th-TH"/>
              </w:rPr>
            </w:pPr>
            <w:r w:rsidRPr="00C75C7E">
              <w:rPr>
                <w:sz w:val="16"/>
                <w:szCs w:val="16"/>
                <w:lang w:val="es-ES_tradnl" w:bidi="th-TH"/>
              </w:rPr>
              <w:t>No se dispone de datos.</w:t>
            </w:r>
          </w:p>
          <w:p w:rsidR="009F58E5" w:rsidRPr="00C75C7E" w:rsidRDefault="009F58E5" w:rsidP="008F4F69">
            <w:pPr>
              <w:rPr>
                <w:sz w:val="16"/>
                <w:szCs w:val="16"/>
                <w:lang w:val="es-ES_tradnl" w:bidi="th-TH"/>
              </w:rPr>
            </w:pPr>
          </w:p>
          <w:p w:rsidR="009F58E5" w:rsidRPr="00C75C7E" w:rsidRDefault="009F58E5" w:rsidP="008F4F69">
            <w:pPr>
              <w:rPr>
                <w:sz w:val="16"/>
                <w:szCs w:val="16"/>
                <w:lang w:val="es-ES_tradnl" w:bidi="th-TH"/>
              </w:rPr>
            </w:pPr>
          </w:p>
          <w:p w:rsidR="009F58E5" w:rsidRPr="00C75C7E" w:rsidRDefault="009F58E5" w:rsidP="008F4F69">
            <w:pPr>
              <w:rPr>
                <w:sz w:val="16"/>
                <w:szCs w:val="16"/>
                <w:lang w:val="es-ES_tradnl"/>
              </w:rPr>
            </w:pPr>
          </w:p>
        </w:tc>
        <w:tc>
          <w:tcPr>
            <w:tcW w:w="1144" w:type="pct"/>
            <w:shd w:val="clear" w:color="auto" w:fill="auto"/>
            <w:tcMar>
              <w:top w:w="113" w:type="dxa"/>
            </w:tcMar>
          </w:tcPr>
          <w:p w:rsidR="009F58E5" w:rsidRPr="00C75C7E" w:rsidRDefault="009F58E5" w:rsidP="008F4F69">
            <w:pPr>
              <w:keepNext/>
              <w:keepLines/>
              <w:ind w:right="221"/>
              <w:rPr>
                <w:bCs/>
                <w:sz w:val="16"/>
                <w:szCs w:val="16"/>
                <w:lang w:val="es-ES_tradnl"/>
              </w:rPr>
            </w:pPr>
            <w:r w:rsidRPr="00C75C7E">
              <w:rPr>
                <w:bCs/>
                <w:sz w:val="16"/>
                <w:szCs w:val="16"/>
                <w:lang w:val="es-ES_tradnl"/>
              </w:rPr>
              <w:t>Por determinar.</w:t>
            </w:r>
          </w:p>
        </w:tc>
      </w:tr>
      <w:tr w:rsidR="009F58E5" w:rsidRPr="00C75C7E" w:rsidTr="008F4F69">
        <w:trPr>
          <w:cantSplit/>
          <w:trHeight w:val="1209"/>
        </w:trPr>
        <w:tc>
          <w:tcPr>
            <w:tcW w:w="1249" w:type="pct"/>
            <w:vMerge/>
            <w:shd w:val="clear" w:color="auto" w:fill="auto"/>
            <w:tcMar>
              <w:top w:w="113" w:type="dxa"/>
            </w:tcMar>
          </w:tcPr>
          <w:p w:rsidR="009F58E5" w:rsidRPr="00C75C7E" w:rsidRDefault="009F58E5" w:rsidP="008F4F69">
            <w:pPr>
              <w:rPr>
                <w:sz w:val="16"/>
                <w:szCs w:val="16"/>
                <w:lang w:val="es-ES_tradnl"/>
              </w:rPr>
            </w:pPr>
          </w:p>
        </w:tc>
        <w:tc>
          <w:tcPr>
            <w:tcW w:w="1462" w:type="pct"/>
            <w:shd w:val="clear" w:color="auto" w:fill="auto"/>
            <w:tcMar>
              <w:top w:w="113" w:type="dxa"/>
            </w:tcMar>
          </w:tcPr>
          <w:p w:rsidR="009F58E5" w:rsidRPr="00C75C7E" w:rsidRDefault="009F58E5" w:rsidP="008F4F69">
            <w:pPr>
              <w:rPr>
                <w:sz w:val="16"/>
                <w:szCs w:val="16"/>
                <w:lang w:val="es-ES_tradnl"/>
              </w:rPr>
            </w:pPr>
            <w:r w:rsidRPr="00C75C7E">
              <w:rPr>
                <w:sz w:val="16"/>
                <w:szCs w:val="16"/>
                <w:lang w:val="es-ES_tradnl"/>
              </w:rPr>
              <w:t>APRENDIZAJE INSTITUCIONAL:   Adopción de enseñanzas y recomendaciones extraídas de los procesos de supervisión.</w:t>
            </w:r>
          </w:p>
        </w:tc>
        <w:tc>
          <w:tcPr>
            <w:tcW w:w="1145" w:type="pct"/>
            <w:shd w:val="clear" w:color="auto" w:fill="FFFFFF"/>
            <w:tcMar>
              <w:top w:w="113" w:type="dxa"/>
            </w:tcMar>
          </w:tcPr>
          <w:p w:rsidR="009F58E5" w:rsidRPr="00C75C7E" w:rsidRDefault="009F58E5" w:rsidP="008F4F69">
            <w:pPr>
              <w:rPr>
                <w:sz w:val="16"/>
                <w:szCs w:val="16"/>
                <w:lang w:val="es-ES_tradnl" w:bidi="th-TH"/>
              </w:rPr>
            </w:pPr>
            <w:r w:rsidRPr="00C75C7E">
              <w:rPr>
                <w:sz w:val="16"/>
                <w:szCs w:val="16"/>
                <w:lang w:val="es-ES_tradnl" w:bidi="th-TH"/>
              </w:rPr>
              <w:t>90% de las recomendaciones aceptadas y 90% de las recomendaciones aplicadas en un plazo de dos años.</w:t>
            </w:r>
          </w:p>
          <w:p w:rsidR="009F58E5" w:rsidRPr="00C75C7E" w:rsidRDefault="009F58E5" w:rsidP="008F4F69">
            <w:pPr>
              <w:rPr>
                <w:sz w:val="16"/>
                <w:szCs w:val="16"/>
                <w:lang w:val="es-ES_tradnl" w:bidi="th-TH"/>
              </w:rPr>
            </w:pPr>
          </w:p>
        </w:tc>
        <w:tc>
          <w:tcPr>
            <w:tcW w:w="1144" w:type="pct"/>
            <w:shd w:val="clear" w:color="auto" w:fill="auto"/>
            <w:tcMar>
              <w:top w:w="113" w:type="dxa"/>
            </w:tcMar>
          </w:tcPr>
          <w:p w:rsidR="009F58E5" w:rsidRPr="00C75C7E" w:rsidRDefault="009F58E5" w:rsidP="008F4F69">
            <w:pPr>
              <w:keepNext/>
              <w:keepLines/>
              <w:ind w:right="221"/>
              <w:rPr>
                <w:bCs/>
                <w:sz w:val="16"/>
                <w:szCs w:val="16"/>
                <w:lang w:val="es-ES_tradnl"/>
              </w:rPr>
            </w:pPr>
            <w:r w:rsidRPr="00C75C7E">
              <w:rPr>
                <w:bCs/>
                <w:sz w:val="16"/>
                <w:szCs w:val="16"/>
                <w:lang w:val="es-ES_tradnl"/>
              </w:rPr>
              <w:t>90% de las recomendaciones aceptadas y 90% de las recomendaciones aplicadas en un plazo de dos años.</w:t>
            </w:r>
          </w:p>
        </w:tc>
      </w:tr>
    </w:tbl>
    <w:p w:rsidR="009F58E5" w:rsidRPr="00C75C7E" w:rsidRDefault="009F58E5" w:rsidP="00E6603F">
      <w:pPr>
        <w:widowControl w:val="0"/>
        <w:rPr>
          <w:sz w:val="20"/>
          <w:lang w:val="es-ES_tradnl"/>
        </w:rPr>
      </w:pPr>
    </w:p>
    <w:p w:rsidR="009F58E5" w:rsidRDefault="009F58E5" w:rsidP="00E6603F">
      <w:pPr>
        <w:widowControl w:val="0"/>
        <w:rPr>
          <w:sz w:val="20"/>
          <w:highlight w:val="yellow"/>
          <w:lang w:val="es-ES_tradnl"/>
        </w:rPr>
      </w:pPr>
    </w:p>
    <w:p w:rsidR="00B1649B" w:rsidRDefault="00B1649B" w:rsidP="00E6603F">
      <w:pPr>
        <w:widowControl w:val="0"/>
        <w:rPr>
          <w:szCs w:val="22"/>
        </w:rPr>
      </w:pPr>
      <w:r w:rsidRPr="00ED24BB">
        <w:rPr>
          <w:szCs w:val="22"/>
        </w:rPr>
        <w:t>RECURSOS PARA EL PROGRAMA 26</w:t>
      </w:r>
    </w:p>
    <w:p w:rsidR="00B1649B" w:rsidRPr="00ED24BB" w:rsidRDefault="00B1649B" w:rsidP="00E6603F">
      <w:pPr>
        <w:widowControl w:val="0"/>
        <w:rPr>
          <w:szCs w:val="22"/>
        </w:rPr>
      </w:pPr>
    </w:p>
    <w:p w:rsidR="009F58E5" w:rsidRPr="00C75C7E" w:rsidRDefault="00C665A4" w:rsidP="00E6603F">
      <w:pPr>
        <w:widowControl w:val="0"/>
        <w:autoSpaceDE w:val="0"/>
        <w:autoSpaceDN w:val="0"/>
        <w:adjustRightInd w:val="0"/>
        <w:ind w:firstLine="567"/>
        <w:jc w:val="center"/>
        <w:rPr>
          <w:b/>
          <w:bCs/>
          <w:iCs/>
          <w:sz w:val="20"/>
          <w:lang w:val="es-ES_tradnl"/>
        </w:rPr>
      </w:pPr>
      <w:r>
        <w:rPr>
          <w:b/>
          <w:bCs/>
          <w:iCs/>
          <w:sz w:val="20"/>
          <w:lang w:val="es-ES_tradnl"/>
        </w:rPr>
        <w:t xml:space="preserve">Programa 26:  </w:t>
      </w:r>
      <w:r w:rsidR="009F58E5" w:rsidRPr="00C75C7E">
        <w:rPr>
          <w:b/>
          <w:bCs/>
          <w:iCs/>
          <w:sz w:val="20"/>
          <w:lang w:val="es-ES_tradnl"/>
        </w:rPr>
        <w:t>Recursos por resultado</w:t>
      </w:r>
    </w:p>
    <w:p w:rsidR="009F58E5" w:rsidRPr="00C75C7E" w:rsidRDefault="009F58E5" w:rsidP="00E6603F">
      <w:pPr>
        <w:widowControl w:val="0"/>
        <w:autoSpaceDE w:val="0"/>
        <w:autoSpaceDN w:val="0"/>
        <w:adjustRightInd w:val="0"/>
        <w:ind w:firstLine="567"/>
        <w:jc w:val="center"/>
        <w:rPr>
          <w:bCs/>
          <w:i/>
          <w:sz w:val="20"/>
          <w:lang w:val="es-ES_tradnl"/>
        </w:rPr>
      </w:pPr>
      <w:r w:rsidRPr="00C75C7E">
        <w:rPr>
          <w:bCs/>
          <w:i/>
          <w:sz w:val="20"/>
          <w:lang w:val="es-ES_tradnl"/>
        </w:rPr>
        <w:t>(en miles de francos suizos)</w:t>
      </w:r>
    </w:p>
    <w:p w:rsidR="009F58E5" w:rsidRPr="00C75C7E" w:rsidRDefault="009F58E5" w:rsidP="00E6603F">
      <w:pPr>
        <w:widowControl w:val="0"/>
        <w:rPr>
          <w:sz w:val="20"/>
          <w:lang w:val="es-ES_tradnl"/>
        </w:rPr>
      </w:pPr>
    </w:p>
    <w:p w:rsidR="009F58E5" w:rsidRPr="00C75C7E" w:rsidRDefault="00C40A11" w:rsidP="00E6603F">
      <w:pPr>
        <w:widowControl w:val="0"/>
        <w:jc w:val="center"/>
        <w:rPr>
          <w:sz w:val="20"/>
          <w:lang w:val="es-ES_tradnl"/>
        </w:rPr>
      </w:pPr>
      <w:r>
        <w:rPr>
          <w:noProof/>
          <w:lang w:val="en-US" w:eastAsia="en-US"/>
        </w:rPr>
        <w:drawing>
          <wp:inline distT="0" distB="0" distL="0" distR="0" wp14:anchorId="37AAFBC1" wp14:editId="3588E2D2">
            <wp:extent cx="5752465" cy="1269365"/>
            <wp:effectExtent l="0" t="0" r="635" b="6985"/>
            <wp:docPr id="78"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5752465" cy="1269365"/>
                    </a:xfrm>
                    <a:prstGeom prst="rect">
                      <a:avLst/>
                    </a:prstGeom>
                    <a:noFill/>
                    <a:ln>
                      <a:noFill/>
                    </a:ln>
                  </pic:spPr>
                </pic:pic>
              </a:graphicData>
            </a:graphic>
          </wp:inline>
        </w:drawing>
      </w:r>
    </w:p>
    <w:p w:rsidR="009F58E5" w:rsidRPr="00C75C7E" w:rsidRDefault="009F58E5" w:rsidP="00E6603F">
      <w:pPr>
        <w:widowControl w:val="0"/>
        <w:jc w:val="center"/>
        <w:rPr>
          <w:sz w:val="20"/>
          <w:lang w:val="es-ES_tradnl"/>
        </w:rPr>
      </w:pPr>
    </w:p>
    <w:p w:rsidR="009F58E5" w:rsidRPr="00C75C7E" w:rsidRDefault="009F58E5" w:rsidP="00E6603F">
      <w:pPr>
        <w:widowControl w:val="0"/>
        <w:autoSpaceDE w:val="0"/>
        <w:autoSpaceDN w:val="0"/>
        <w:adjustRightInd w:val="0"/>
        <w:rPr>
          <w:sz w:val="20"/>
          <w:lang w:val="es-ES_tradnl"/>
        </w:rPr>
      </w:pPr>
      <w:r w:rsidRPr="00C75C7E">
        <w:rPr>
          <w:sz w:val="16"/>
          <w:szCs w:val="16"/>
          <w:lang w:val="es-ES_tradnl"/>
        </w:rPr>
        <w:t>Nota: Se ha reexpresado el presupuesto aprobado de 2012/13 y el presupuesto de dicho bienio después de las transferencias, por resultado previsto, para reflejar el marco de resultados de la Organización propuesto para 2014/15.</w:t>
      </w:r>
    </w:p>
    <w:p w:rsidR="009F58E5" w:rsidRPr="00C75C7E" w:rsidRDefault="009F58E5" w:rsidP="00E6603F">
      <w:pPr>
        <w:widowControl w:val="0"/>
        <w:autoSpaceDE w:val="0"/>
        <w:autoSpaceDN w:val="0"/>
        <w:adjustRightInd w:val="0"/>
        <w:jc w:val="both"/>
        <w:rPr>
          <w:sz w:val="20"/>
          <w:lang w:val="es-ES_tradnl"/>
        </w:rPr>
      </w:pPr>
    </w:p>
    <w:p w:rsidR="009F58E5" w:rsidRPr="00C75C7E" w:rsidRDefault="00C665A4" w:rsidP="009F58E5">
      <w:pPr>
        <w:keepNext/>
        <w:keepLines/>
        <w:autoSpaceDE w:val="0"/>
        <w:autoSpaceDN w:val="0"/>
        <w:adjustRightInd w:val="0"/>
        <w:ind w:firstLine="567"/>
        <w:jc w:val="center"/>
        <w:rPr>
          <w:b/>
          <w:bCs/>
          <w:iCs/>
          <w:sz w:val="20"/>
          <w:lang w:val="es-ES_tradnl"/>
        </w:rPr>
      </w:pPr>
      <w:r>
        <w:rPr>
          <w:b/>
          <w:bCs/>
          <w:iCs/>
          <w:sz w:val="20"/>
          <w:lang w:val="es-ES_tradnl"/>
        </w:rPr>
        <w:lastRenderedPageBreak/>
        <w:t xml:space="preserve">Programa 26:  </w:t>
      </w:r>
      <w:r w:rsidR="009F58E5" w:rsidRPr="00C75C7E">
        <w:rPr>
          <w:b/>
          <w:bCs/>
          <w:iCs/>
          <w:sz w:val="20"/>
          <w:lang w:val="es-ES_tradnl"/>
        </w:rPr>
        <w:t>Recursos por objeto de gasto</w:t>
      </w:r>
    </w:p>
    <w:p w:rsidR="009F58E5" w:rsidRPr="00C75C7E" w:rsidRDefault="009F58E5" w:rsidP="009F58E5">
      <w:pPr>
        <w:keepNext/>
        <w:keepLines/>
        <w:autoSpaceDE w:val="0"/>
        <w:autoSpaceDN w:val="0"/>
        <w:adjustRightInd w:val="0"/>
        <w:ind w:firstLine="567"/>
        <w:jc w:val="center"/>
        <w:rPr>
          <w:bCs/>
          <w:i/>
          <w:sz w:val="20"/>
          <w:lang w:val="es-ES_tradnl"/>
        </w:rPr>
      </w:pPr>
      <w:r w:rsidRPr="00C75C7E">
        <w:rPr>
          <w:bCs/>
          <w:i/>
          <w:sz w:val="20"/>
          <w:lang w:val="es-ES_tradnl"/>
        </w:rPr>
        <w:t>(en miles de francos suizos)</w:t>
      </w:r>
    </w:p>
    <w:p w:rsidR="009F58E5" w:rsidRDefault="009F58E5" w:rsidP="009F58E5">
      <w:pPr>
        <w:keepNext/>
        <w:keepLines/>
        <w:jc w:val="center"/>
        <w:rPr>
          <w:sz w:val="16"/>
          <w:szCs w:val="16"/>
          <w:lang w:val="es-ES_tradnl"/>
        </w:rPr>
      </w:pPr>
    </w:p>
    <w:p w:rsidR="00EA4CD8" w:rsidRPr="00C75C7E" w:rsidRDefault="00C40A11" w:rsidP="009F58E5">
      <w:pPr>
        <w:keepNext/>
        <w:keepLines/>
        <w:jc w:val="center"/>
        <w:rPr>
          <w:sz w:val="16"/>
          <w:szCs w:val="16"/>
          <w:lang w:val="es-ES_tradnl"/>
        </w:rPr>
      </w:pPr>
      <w:r>
        <w:rPr>
          <w:noProof/>
          <w:lang w:val="en-US" w:eastAsia="en-US"/>
        </w:rPr>
        <w:drawing>
          <wp:inline distT="0" distB="0" distL="0" distR="0" wp14:anchorId="5F72659C" wp14:editId="42B0EAE9">
            <wp:extent cx="5936615" cy="5739130"/>
            <wp:effectExtent l="0" t="0" r="6985"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5936615" cy="5739130"/>
                    </a:xfrm>
                    <a:prstGeom prst="rect">
                      <a:avLst/>
                    </a:prstGeom>
                    <a:noFill/>
                    <a:ln>
                      <a:noFill/>
                    </a:ln>
                  </pic:spPr>
                </pic:pic>
              </a:graphicData>
            </a:graphic>
          </wp:inline>
        </w:drawing>
      </w:r>
    </w:p>
    <w:p w:rsidR="00EA4CD8" w:rsidRDefault="00EA4CD8" w:rsidP="009F58E5">
      <w:pPr>
        <w:keepNext/>
        <w:keepLines/>
        <w:rPr>
          <w:sz w:val="16"/>
          <w:szCs w:val="16"/>
          <w:lang w:val="es-ES_tradnl"/>
        </w:rPr>
      </w:pPr>
    </w:p>
    <w:p w:rsidR="009F58E5" w:rsidRPr="00C75C7E" w:rsidRDefault="009F58E5" w:rsidP="009F58E5">
      <w:pPr>
        <w:keepNext/>
        <w:keepLines/>
        <w:rPr>
          <w:sz w:val="16"/>
          <w:szCs w:val="16"/>
          <w:lang w:val="es-ES_tradnl"/>
        </w:rPr>
      </w:pPr>
      <w:r w:rsidRPr="00C75C7E">
        <w:rPr>
          <w:sz w:val="16"/>
          <w:szCs w:val="16"/>
          <w:lang w:val="es-ES_tradnl"/>
        </w:rPr>
        <w:t>Notas:</w:t>
      </w:r>
    </w:p>
    <w:p w:rsidR="009F58E5" w:rsidRPr="00C75C7E" w:rsidRDefault="009F58E5" w:rsidP="009F58E5">
      <w:pPr>
        <w:keepNext/>
        <w:keepLines/>
        <w:rPr>
          <w:sz w:val="16"/>
          <w:szCs w:val="16"/>
          <w:u w:val="single"/>
          <w:lang w:val="es-ES_tradnl"/>
        </w:rPr>
      </w:pPr>
    </w:p>
    <w:p w:rsidR="009F58E5" w:rsidRPr="00C75C7E" w:rsidRDefault="007648D2" w:rsidP="009F58E5">
      <w:pPr>
        <w:keepNext/>
        <w:keepLines/>
        <w:spacing w:after="120"/>
        <w:rPr>
          <w:sz w:val="16"/>
          <w:szCs w:val="16"/>
          <w:lang w:val="es-ES_tradnl"/>
        </w:rPr>
      </w:pPr>
      <w:r>
        <w:rPr>
          <w:sz w:val="16"/>
          <w:szCs w:val="16"/>
          <w:lang w:val="es-ES_tradnl"/>
        </w:rPr>
        <w:t xml:space="preserve">1)  </w:t>
      </w:r>
      <w:r w:rsidR="009F58E5" w:rsidRPr="00C75C7E">
        <w:rPr>
          <w:sz w:val="16"/>
          <w:szCs w:val="16"/>
          <w:lang w:val="es-ES_tradnl"/>
        </w:rPr>
        <w:t>El presupuesto aprobado de 2012/13 y el presupuesto de dicho bienio después de las transferencias se reexpresan sobre la base de la estructura de categorías de costos propuesta para 2014/15.</w:t>
      </w:r>
    </w:p>
    <w:p w:rsidR="009F58E5" w:rsidRPr="00C75C7E" w:rsidRDefault="009F58E5" w:rsidP="009F58E5">
      <w:pPr>
        <w:keepNext/>
        <w:keepLines/>
        <w:spacing w:after="120"/>
        <w:rPr>
          <w:sz w:val="16"/>
          <w:szCs w:val="16"/>
          <w:lang w:val="es-ES_tradnl"/>
        </w:rPr>
      </w:pPr>
      <w:r>
        <w:rPr>
          <w:sz w:val="16"/>
          <w:szCs w:val="16"/>
          <w:lang w:val="es-ES_tradnl"/>
        </w:rPr>
        <w:t>2)</w:t>
      </w:r>
      <w:r w:rsidR="007648D2">
        <w:rPr>
          <w:sz w:val="16"/>
          <w:szCs w:val="16"/>
          <w:lang w:val="es-ES_tradnl"/>
        </w:rPr>
        <w:t xml:space="preserve">  </w:t>
      </w:r>
      <w:r w:rsidRPr="00C75C7E">
        <w:rPr>
          <w:sz w:val="16"/>
          <w:szCs w:val="16"/>
          <w:lang w:val="es-ES_tradnl"/>
        </w:rPr>
        <w:t>El presupuesto después de las transferencias refleja el presupuesto de los programas ajustado tras las transferencias efectuadas en 2012/13 en virtud del artículo 5.5 del Reglamento Financiero. Para más información sobre el presupuesto de</w:t>
      </w:r>
      <w:r w:rsidR="00D724E6">
        <w:rPr>
          <w:sz w:val="16"/>
          <w:szCs w:val="16"/>
          <w:lang w:val="es-ES_tradnl"/>
        </w:rPr>
        <w:t> </w:t>
      </w:r>
      <w:r w:rsidRPr="00C75C7E">
        <w:rPr>
          <w:sz w:val="16"/>
          <w:szCs w:val="16"/>
          <w:lang w:val="es-ES_tradnl"/>
        </w:rPr>
        <w:t xml:space="preserve">2012/13 después de las transferencias, cabe remitirse al cuadro que figura en el Anexo I (Presupuesto después de las transferencias, por programa) del presente documento y al documento WO/PBC/20/2 (Informe sobre el rendimiento de los programas en 2012).  </w:t>
      </w:r>
      <w:r w:rsidRPr="00C75C7E">
        <w:rPr>
          <w:rFonts w:cs="ArialMT"/>
          <w:sz w:val="16"/>
          <w:szCs w:val="16"/>
          <w:lang w:val="es-ES_tradnl"/>
        </w:rPr>
        <w:t xml:space="preserve">Los costos de personal del presupuesto de 2012/13 después de las transferencias representan los gastos reales efectuados hasta el 31 de marzo de 2013 y los importes presupuestados para los nueve meses restantes de 2013, sobre la base de costos estándar. </w:t>
      </w:r>
    </w:p>
    <w:p w:rsidR="009F58E5" w:rsidRPr="00C75C7E" w:rsidRDefault="009F58E5" w:rsidP="009F58E5">
      <w:pPr>
        <w:keepNext/>
        <w:keepLines/>
        <w:spacing w:after="120"/>
        <w:rPr>
          <w:sz w:val="16"/>
          <w:szCs w:val="16"/>
          <w:lang w:val="es-ES_tradnl"/>
        </w:rPr>
      </w:pPr>
      <w:r>
        <w:rPr>
          <w:sz w:val="16"/>
          <w:szCs w:val="16"/>
          <w:lang w:val="es-ES_tradnl"/>
        </w:rPr>
        <w:t>3)</w:t>
      </w:r>
      <w:r w:rsidR="007648D2">
        <w:rPr>
          <w:sz w:val="16"/>
          <w:szCs w:val="16"/>
          <w:lang w:val="es-ES_tradnl"/>
        </w:rPr>
        <w:t xml:space="preserve">  </w:t>
      </w:r>
      <w:r w:rsidRPr="00C75C7E">
        <w:rPr>
          <w:sz w:val="16"/>
          <w:szCs w:val="16"/>
          <w:lang w:val="es-ES_tradnl"/>
        </w:rPr>
        <w:t>Para más información sobre los puestos del programa cabe remitirse al cuadro que figura en el Anexo II.</w:t>
      </w:r>
    </w:p>
    <w:p w:rsidR="00E10A93" w:rsidRPr="00E6603F" w:rsidRDefault="009F58E5" w:rsidP="00E6603F">
      <w:pPr>
        <w:pStyle w:val="Heading3"/>
        <w:tabs>
          <w:tab w:val="left" w:pos="1985"/>
        </w:tabs>
        <w:rPr>
          <w:b/>
          <w:u w:val="none"/>
          <w:lang w:val="es-ES_tradnl"/>
        </w:rPr>
      </w:pPr>
      <w:r w:rsidRPr="00C75C7E">
        <w:rPr>
          <w:sz w:val="20"/>
          <w:lang w:val="es-ES_tradnl"/>
        </w:rPr>
        <w:br w:type="page"/>
      </w:r>
      <w:bookmarkStart w:id="87" w:name="_Toc356567782"/>
      <w:bookmarkStart w:id="88" w:name="_Toc358816720"/>
      <w:r w:rsidR="00E6603F" w:rsidRPr="00E6603F">
        <w:rPr>
          <w:b/>
          <w:u w:val="none"/>
          <w:lang w:val="es-ES_tradnl"/>
        </w:rPr>
        <w:lastRenderedPageBreak/>
        <w:t>PROGRAMA 27</w:t>
      </w:r>
      <w:r w:rsidR="00E6603F" w:rsidRPr="00E6603F">
        <w:rPr>
          <w:b/>
          <w:u w:val="none"/>
          <w:lang w:val="es-ES_tradnl"/>
        </w:rPr>
        <w:tab/>
      </w:r>
      <w:bookmarkEnd w:id="87"/>
      <w:r w:rsidR="00E6603F" w:rsidRPr="00E6603F">
        <w:rPr>
          <w:b/>
          <w:u w:val="none"/>
          <w:lang w:val="es-ES_tradnl"/>
        </w:rPr>
        <w:t>SERVICIOS DE CONFERENCIAS Y LINGÜÍSTICOS</w:t>
      </w:r>
      <w:bookmarkEnd w:id="88"/>
    </w:p>
    <w:p w:rsidR="00E10A93" w:rsidRDefault="00E10A93" w:rsidP="00E10A93">
      <w:pPr>
        <w:rPr>
          <w:sz w:val="20"/>
        </w:rPr>
      </w:pPr>
    </w:p>
    <w:p w:rsidR="00E6603F" w:rsidRPr="009F54A1" w:rsidRDefault="00E6603F" w:rsidP="00E10A93">
      <w:pPr>
        <w:rPr>
          <w:sz w:val="20"/>
        </w:rPr>
      </w:pPr>
    </w:p>
    <w:p w:rsidR="00E10A93" w:rsidRPr="009F54A1" w:rsidRDefault="00E10A93" w:rsidP="00E10A93">
      <w:pPr>
        <w:pStyle w:val="BodyTextIndent"/>
        <w:ind w:left="0"/>
        <w:jc w:val="both"/>
        <w:rPr>
          <w:rFonts w:ascii="Arial" w:hAnsi="Arial" w:cs="Arial"/>
          <w:sz w:val="22"/>
          <w:szCs w:val="22"/>
          <w:lang w:val="es-ES"/>
        </w:rPr>
      </w:pPr>
      <w:r w:rsidRPr="00762D10">
        <w:rPr>
          <w:rFonts w:ascii="Arial" w:hAnsi="Arial" w:cs="Arial"/>
          <w:sz w:val="22"/>
          <w:szCs w:val="22"/>
          <w:lang w:val="es-ES"/>
        </w:rPr>
        <w:t>CONTEXTO DE PLANIFICACI</w:t>
      </w:r>
      <w:r>
        <w:rPr>
          <w:rFonts w:ascii="Arial" w:hAnsi="Arial" w:cs="Arial"/>
          <w:sz w:val="22"/>
          <w:szCs w:val="22"/>
          <w:lang w:val="es-ES"/>
        </w:rPr>
        <w:t>ÓN</w:t>
      </w:r>
    </w:p>
    <w:p w:rsidR="00E10A93" w:rsidRPr="009F54A1" w:rsidRDefault="00E10A93" w:rsidP="00E10A93">
      <w:pPr>
        <w:rPr>
          <w:sz w:val="20"/>
        </w:rPr>
      </w:pPr>
    </w:p>
    <w:p w:rsidR="00E10A93" w:rsidRPr="008960AF" w:rsidRDefault="00E10A93" w:rsidP="00D41E6A">
      <w:pPr>
        <w:numPr>
          <w:ilvl w:val="0"/>
          <w:numId w:val="46"/>
        </w:numPr>
        <w:autoSpaceDE w:val="0"/>
        <w:autoSpaceDN w:val="0"/>
        <w:adjustRightInd w:val="0"/>
        <w:jc w:val="both"/>
        <w:rPr>
          <w:sz w:val="20"/>
          <w:lang w:bidi="he-IL"/>
        </w:rPr>
      </w:pPr>
      <w:r w:rsidRPr="00593BE0">
        <w:rPr>
          <w:sz w:val="20"/>
          <w:lang w:bidi="he-IL"/>
        </w:rPr>
        <w:t>El programa facilita las actividades de la Organización mediante la prestación de servicios eficientes y eficaces de conferencia, traducción, interpretación, gestión de re</w:t>
      </w:r>
      <w:r>
        <w:rPr>
          <w:sz w:val="20"/>
          <w:lang w:bidi="he-IL"/>
        </w:rPr>
        <w:t xml:space="preserve">gistros y archivos, imprenta y </w:t>
      </w:r>
      <w:r w:rsidRPr="00593BE0">
        <w:rPr>
          <w:sz w:val="20"/>
          <w:lang w:bidi="he-IL"/>
        </w:rPr>
        <w:t>despacho del correo.  Asimismo, se encarga de la formulación, adopción y aplicación de cuestiones de política, así como de la gestión de proyectos de T.I. destinados a racionalizar y mejorar el funcionamiento de estas actividades.</w:t>
      </w:r>
    </w:p>
    <w:p w:rsidR="00E10A93" w:rsidRPr="002A731B" w:rsidRDefault="00E10A93" w:rsidP="00E10A93">
      <w:pPr>
        <w:autoSpaceDE w:val="0"/>
        <w:autoSpaceDN w:val="0"/>
        <w:adjustRightInd w:val="0"/>
        <w:jc w:val="both"/>
        <w:rPr>
          <w:sz w:val="20"/>
          <w:lang w:bidi="he-IL"/>
        </w:rPr>
      </w:pPr>
    </w:p>
    <w:p w:rsidR="00E10A93" w:rsidRPr="00747C4F" w:rsidRDefault="00D724E6" w:rsidP="00D41E6A">
      <w:pPr>
        <w:numPr>
          <w:ilvl w:val="0"/>
          <w:numId w:val="46"/>
        </w:numPr>
        <w:autoSpaceDE w:val="0"/>
        <w:autoSpaceDN w:val="0"/>
        <w:adjustRightInd w:val="0"/>
        <w:jc w:val="both"/>
        <w:rPr>
          <w:sz w:val="20"/>
        </w:rPr>
      </w:pPr>
      <w:r>
        <w:rPr>
          <w:sz w:val="20"/>
        </w:rPr>
        <w:t>Los Estados m</w:t>
      </w:r>
      <w:r w:rsidR="00E10A93" w:rsidRPr="00F93C67">
        <w:rPr>
          <w:sz w:val="20"/>
        </w:rPr>
        <w:t xml:space="preserve">iembros adoptaron la </w:t>
      </w:r>
      <w:r w:rsidR="002C6A72" w:rsidRPr="00F93C67">
        <w:rPr>
          <w:sz w:val="20"/>
        </w:rPr>
        <w:t xml:space="preserve">Política Lingüística </w:t>
      </w:r>
      <w:r w:rsidR="00E10A93" w:rsidRPr="00F93C67">
        <w:rPr>
          <w:sz w:val="20"/>
        </w:rPr>
        <w:t xml:space="preserve">de la OMPI en 2011 con el fin de fomentar el multilingüismo en las actividades de la Organización.  Por consiguiente, la cobertura en seis idiomas se hizo extensiva a toda la documentación de los comités y órganos principales de la OMPI.  Un importante desafío planteado por la </w:t>
      </w:r>
      <w:r w:rsidR="002C6A72" w:rsidRPr="00F93C67">
        <w:rPr>
          <w:sz w:val="20"/>
        </w:rPr>
        <w:t xml:space="preserve">Política Lingüística </w:t>
      </w:r>
      <w:r w:rsidR="00E10A93" w:rsidRPr="00F93C67">
        <w:rPr>
          <w:sz w:val="20"/>
        </w:rPr>
        <w:t>de la OMPI es gestionar el aumento del volumen de trabajo y garantizar un nivel de calidad aceptable de la documentación con los recursos disponibles.  A raíz de la introducción de la nueva política, en 2012, el volu</w:t>
      </w:r>
      <w:r>
        <w:rPr>
          <w:sz w:val="20"/>
        </w:rPr>
        <w:t xml:space="preserve">men de traducción aumentó un 53% </w:t>
      </w:r>
      <w:r w:rsidR="00E10A93" w:rsidRPr="00F93C67">
        <w:rPr>
          <w:sz w:val="20"/>
        </w:rPr>
        <w:t>con respecto al año anterior.</w:t>
      </w:r>
      <w:r w:rsidR="00E10A93">
        <w:rPr>
          <w:sz w:val="20"/>
        </w:rPr>
        <w:t xml:space="preserve">  </w:t>
      </w:r>
      <w:r w:rsidR="00E10A93" w:rsidRPr="00F93C67">
        <w:rPr>
          <w:sz w:val="20"/>
        </w:rPr>
        <w:t>En consecuencia, el servicio lingüístico tradujo 1</w:t>
      </w:r>
      <w:r>
        <w:rPr>
          <w:sz w:val="20"/>
        </w:rPr>
        <w:t>.</w:t>
      </w:r>
      <w:r w:rsidR="00E10A93" w:rsidRPr="00F93C67">
        <w:rPr>
          <w:sz w:val="20"/>
        </w:rPr>
        <w:t>52</w:t>
      </w:r>
      <w:r>
        <w:rPr>
          <w:sz w:val="20"/>
        </w:rPr>
        <w:t>0.000</w:t>
      </w:r>
      <w:r w:rsidR="00E10A93" w:rsidRPr="00F93C67">
        <w:rPr>
          <w:sz w:val="20"/>
        </w:rPr>
        <w:t xml:space="preserve"> palabras al mes en 2012, en comparación </w:t>
      </w:r>
      <w:r>
        <w:rPr>
          <w:sz w:val="20"/>
        </w:rPr>
        <w:t>con</w:t>
      </w:r>
      <w:r w:rsidR="00E10A93" w:rsidRPr="00F93C67">
        <w:rPr>
          <w:sz w:val="20"/>
        </w:rPr>
        <w:t xml:space="preserve"> l</w:t>
      </w:r>
      <w:r w:rsidR="002C6A72">
        <w:rPr>
          <w:sz w:val="20"/>
        </w:rPr>
        <w:t>a</w:t>
      </w:r>
      <w:r w:rsidR="00E10A93" w:rsidRPr="00F93C67">
        <w:rPr>
          <w:sz w:val="20"/>
        </w:rPr>
        <w:t>s 99</w:t>
      </w:r>
      <w:r w:rsidR="002C6A72">
        <w:rPr>
          <w:sz w:val="20"/>
        </w:rPr>
        <w:t>0.000</w:t>
      </w:r>
      <w:r w:rsidR="00E10A93" w:rsidRPr="00F93C67">
        <w:rPr>
          <w:sz w:val="20"/>
        </w:rPr>
        <w:t xml:space="preserve"> palabras al mes en 2011.</w:t>
      </w:r>
    </w:p>
    <w:p w:rsidR="00E10A93" w:rsidRPr="00747C4F" w:rsidRDefault="00E10A93" w:rsidP="00E10A93">
      <w:pPr>
        <w:jc w:val="both"/>
        <w:rPr>
          <w:sz w:val="20"/>
        </w:rPr>
      </w:pPr>
    </w:p>
    <w:p w:rsidR="00E10A93" w:rsidRPr="003C7D63" w:rsidRDefault="00E10A93" w:rsidP="00D41E6A">
      <w:pPr>
        <w:numPr>
          <w:ilvl w:val="0"/>
          <w:numId w:val="46"/>
        </w:numPr>
        <w:autoSpaceDE w:val="0"/>
        <w:autoSpaceDN w:val="0"/>
        <w:adjustRightInd w:val="0"/>
        <w:jc w:val="both"/>
        <w:rPr>
          <w:sz w:val="20"/>
        </w:rPr>
      </w:pPr>
      <w:r w:rsidRPr="003C7D63">
        <w:rPr>
          <w:sz w:val="20"/>
        </w:rPr>
        <w:t>Se adoptó a nivel interno un</w:t>
      </w:r>
      <w:r>
        <w:rPr>
          <w:sz w:val="20"/>
        </w:rPr>
        <w:t>a</w:t>
      </w:r>
      <w:r w:rsidRPr="003C7D63">
        <w:rPr>
          <w:sz w:val="20"/>
        </w:rPr>
        <w:t xml:space="preserve"> política </w:t>
      </w:r>
      <w:r>
        <w:rPr>
          <w:sz w:val="20"/>
        </w:rPr>
        <w:t>de</w:t>
      </w:r>
      <w:r w:rsidRPr="003C7D63">
        <w:rPr>
          <w:sz w:val="20"/>
        </w:rPr>
        <w:t xml:space="preserve"> gestión de los registros y </w:t>
      </w:r>
      <w:r>
        <w:rPr>
          <w:sz w:val="20"/>
        </w:rPr>
        <w:t xml:space="preserve">de </w:t>
      </w:r>
      <w:r w:rsidRPr="003C7D63">
        <w:rPr>
          <w:sz w:val="20"/>
        </w:rPr>
        <w:t>archivo</w:t>
      </w:r>
      <w:r>
        <w:rPr>
          <w:sz w:val="20"/>
        </w:rPr>
        <w:t xml:space="preserve"> para desarrollar y fomentar una cultura de registro digital que pueda adaptarse a </w:t>
      </w:r>
      <w:r w:rsidRPr="005A1D54">
        <w:rPr>
          <w:sz w:val="20"/>
        </w:rPr>
        <w:t>entorno</w:t>
      </w:r>
      <w:r>
        <w:rPr>
          <w:sz w:val="20"/>
        </w:rPr>
        <w:t>s</w:t>
      </w:r>
      <w:r w:rsidRPr="005A1D54">
        <w:rPr>
          <w:sz w:val="20"/>
        </w:rPr>
        <w:t xml:space="preserve"> </w:t>
      </w:r>
      <w:r>
        <w:rPr>
          <w:sz w:val="20"/>
        </w:rPr>
        <w:t>cambiantes.  Esta política también busca garantizar la protección de las actas que son necesarias para reanudar o continuar con las actividades de la OMPI en caso de emergencia o de desastre.</w:t>
      </w:r>
    </w:p>
    <w:p w:rsidR="00E10A93" w:rsidRPr="003C7D63" w:rsidRDefault="00E10A93" w:rsidP="00E10A93">
      <w:pPr>
        <w:autoSpaceDE w:val="0"/>
        <w:autoSpaceDN w:val="0"/>
        <w:adjustRightInd w:val="0"/>
        <w:jc w:val="both"/>
        <w:rPr>
          <w:sz w:val="20"/>
        </w:rPr>
      </w:pPr>
    </w:p>
    <w:p w:rsidR="00E10A93" w:rsidRPr="004778D4" w:rsidRDefault="00E10A93" w:rsidP="00D41E6A">
      <w:pPr>
        <w:numPr>
          <w:ilvl w:val="0"/>
          <w:numId w:val="46"/>
        </w:numPr>
        <w:autoSpaceDE w:val="0"/>
        <w:autoSpaceDN w:val="0"/>
        <w:adjustRightInd w:val="0"/>
        <w:jc w:val="both"/>
        <w:rPr>
          <w:sz w:val="20"/>
        </w:rPr>
      </w:pPr>
      <w:r w:rsidRPr="004778D4">
        <w:rPr>
          <w:sz w:val="20"/>
        </w:rPr>
        <w:t>L</w:t>
      </w:r>
      <w:r w:rsidR="002C6A72">
        <w:rPr>
          <w:sz w:val="20"/>
        </w:rPr>
        <w:t>a</w:t>
      </w:r>
      <w:r w:rsidRPr="004778D4">
        <w:rPr>
          <w:sz w:val="20"/>
        </w:rPr>
        <w:t xml:space="preserve">s </w:t>
      </w:r>
      <w:r w:rsidR="002C6A72">
        <w:rPr>
          <w:sz w:val="20"/>
        </w:rPr>
        <w:t>dependencias</w:t>
      </w:r>
      <w:r w:rsidRPr="004778D4">
        <w:rPr>
          <w:sz w:val="20"/>
        </w:rPr>
        <w:t xml:space="preserve"> de conferencia</w:t>
      </w:r>
      <w:r w:rsidR="002C6A72">
        <w:rPr>
          <w:sz w:val="20"/>
        </w:rPr>
        <w:t>s</w:t>
      </w:r>
      <w:r w:rsidRPr="004778D4">
        <w:rPr>
          <w:sz w:val="20"/>
        </w:rPr>
        <w:t xml:space="preserve"> e interpretación</w:t>
      </w:r>
      <w:r>
        <w:rPr>
          <w:sz w:val="20"/>
        </w:rPr>
        <w:t xml:space="preserve"> p</w:t>
      </w:r>
      <w:r w:rsidRPr="004778D4">
        <w:rPr>
          <w:sz w:val="20"/>
        </w:rPr>
        <w:t>r</w:t>
      </w:r>
      <w:r>
        <w:rPr>
          <w:sz w:val="20"/>
        </w:rPr>
        <w:t>e</w:t>
      </w:r>
      <w:r w:rsidRPr="004778D4">
        <w:rPr>
          <w:sz w:val="20"/>
        </w:rPr>
        <w:t>stan s</w:t>
      </w:r>
      <w:r>
        <w:rPr>
          <w:sz w:val="20"/>
        </w:rPr>
        <w:t xml:space="preserve">ervicios eficientes y de calidad a los Estados miembros y a otras partes interesadas durante las conferencias que se celebran en Ginebra, así como durante las </w:t>
      </w:r>
      <w:r w:rsidR="002C6A72">
        <w:rPr>
          <w:sz w:val="20"/>
        </w:rPr>
        <w:t xml:space="preserve">conferencias diplomáticas </w:t>
      </w:r>
      <w:r>
        <w:rPr>
          <w:sz w:val="20"/>
        </w:rPr>
        <w:t>celebra</w:t>
      </w:r>
      <w:r w:rsidR="002C6A72">
        <w:rPr>
          <w:sz w:val="20"/>
        </w:rPr>
        <w:t>da</w:t>
      </w:r>
      <w:r>
        <w:rPr>
          <w:sz w:val="20"/>
        </w:rPr>
        <w:t xml:space="preserve">s fuera de Ginebra.  Dos importantes desafíos que deben afrontar ambos servicios son, por una parte, el constante aumento del número, la duración y la ampliación de los horarios de las reuniones organizadas en la OMPI y, por otra, prestar sus servicios en la nueva sala de </w:t>
      </w:r>
      <w:r w:rsidRPr="00C60939">
        <w:rPr>
          <w:sz w:val="20"/>
        </w:rPr>
        <w:t>conferencias</w:t>
      </w:r>
      <w:r>
        <w:rPr>
          <w:sz w:val="20"/>
        </w:rPr>
        <w:t xml:space="preserve"> cuya apertura está prevista para 2014.</w:t>
      </w:r>
    </w:p>
    <w:p w:rsidR="00E10A93" w:rsidRPr="004778D4" w:rsidRDefault="00E10A93" w:rsidP="00E10A93">
      <w:pPr>
        <w:jc w:val="both"/>
        <w:rPr>
          <w:sz w:val="20"/>
        </w:rPr>
      </w:pPr>
    </w:p>
    <w:p w:rsidR="00E10A93" w:rsidRPr="00D5474B" w:rsidRDefault="00E10A93" w:rsidP="00D41E6A">
      <w:pPr>
        <w:numPr>
          <w:ilvl w:val="0"/>
          <w:numId w:val="46"/>
        </w:numPr>
        <w:autoSpaceDE w:val="0"/>
        <w:autoSpaceDN w:val="0"/>
        <w:adjustRightInd w:val="0"/>
        <w:jc w:val="both"/>
        <w:rPr>
          <w:sz w:val="20"/>
        </w:rPr>
      </w:pPr>
      <w:r w:rsidRPr="00D5474B">
        <w:rPr>
          <w:sz w:val="20"/>
        </w:rPr>
        <w:t xml:space="preserve">El programa </w:t>
      </w:r>
      <w:r>
        <w:rPr>
          <w:sz w:val="20"/>
        </w:rPr>
        <w:t>ofrece servicios de impren</w:t>
      </w:r>
      <w:r w:rsidR="002C6A72">
        <w:rPr>
          <w:sz w:val="20"/>
        </w:rPr>
        <w:t>ta</w:t>
      </w:r>
      <w:r w:rsidR="00D724E6">
        <w:rPr>
          <w:sz w:val="20"/>
        </w:rPr>
        <w:t>,</w:t>
      </w:r>
      <w:r>
        <w:rPr>
          <w:sz w:val="20"/>
        </w:rPr>
        <w:t xml:space="preserve"> eficientes y puntuales</w:t>
      </w:r>
      <w:r w:rsidR="00D724E6">
        <w:rPr>
          <w:sz w:val="20"/>
        </w:rPr>
        <w:t>,</w:t>
      </w:r>
      <w:r>
        <w:rPr>
          <w:sz w:val="20"/>
        </w:rPr>
        <w:t xml:space="preserve"> con el fin de proporcionar a los Estados miembros y otras partes interesadas los documentos y las publicaciones necesarias para facilitar la labor de los comités y de los demás órganos.  Asimismo, se encarga de difundir información acerca de la P.I. </w:t>
      </w:r>
      <w:r w:rsidR="00D724E6">
        <w:rPr>
          <w:sz w:val="20"/>
        </w:rPr>
        <w:t xml:space="preserve"> </w:t>
      </w:r>
      <w:r>
        <w:rPr>
          <w:sz w:val="20"/>
        </w:rPr>
        <w:t>El servicio de correspondencia ofrece a todas las unidades de la Organización servicios rápidos y eficientes en relación a los costos.</w:t>
      </w:r>
    </w:p>
    <w:p w:rsidR="00E10A93" w:rsidRDefault="00E10A93" w:rsidP="00E10A93">
      <w:pPr>
        <w:autoSpaceDE w:val="0"/>
        <w:autoSpaceDN w:val="0"/>
        <w:adjustRightInd w:val="0"/>
        <w:jc w:val="both"/>
        <w:rPr>
          <w:sz w:val="20"/>
        </w:rPr>
      </w:pPr>
    </w:p>
    <w:p w:rsidR="00E6603F" w:rsidRPr="004B41A5" w:rsidRDefault="00E6603F" w:rsidP="00E10A93">
      <w:pPr>
        <w:autoSpaceDE w:val="0"/>
        <w:autoSpaceDN w:val="0"/>
        <w:adjustRightInd w:val="0"/>
        <w:jc w:val="both"/>
        <w:rPr>
          <w:sz w:val="20"/>
        </w:rPr>
      </w:pPr>
    </w:p>
    <w:p w:rsidR="00E10A93" w:rsidRPr="00D5474B" w:rsidRDefault="00E10A93" w:rsidP="00E10A93">
      <w:pPr>
        <w:rPr>
          <w:szCs w:val="22"/>
        </w:rPr>
      </w:pPr>
      <w:r>
        <w:rPr>
          <w:szCs w:val="18"/>
        </w:rPr>
        <w:t>ESTRATEGIAS DE EJECUCIÓN</w:t>
      </w:r>
    </w:p>
    <w:p w:rsidR="00E10A93" w:rsidRPr="00D5474B" w:rsidRDefault="00E10A93" w:rsidP="00E10A93">
      <w:pPr>
        <w:rPr>
          <w:szCs w:val="22"/>
        </w:rPr>
      </w:pPr>
    </w:p>
    <w:p w:rsidR="00E10A93" w:rsidRPr="00A65627" w:rsidRDefault="00E10A93" w:rsidP="00D41E6A">
      <w:pPr>
        <w:numPr>
          <w:ilvl w:val="0"/>
          <w:numId w:val="46"/>
        </w:numPr>
        <w:autoSpaceDE w:val="0"/>
        <w:autoSpaceDN w:val="0"/>
        <w:adjustRightInd w:val="0"/>
        <w:jc w:val="both"/>
        <w:rPr>
          <w:sz w:val="20"/>
        </w:rPr>
      </w:pPr>
      <w:r w:rsidRPr="00A65627">
        <w:rPr>
          <w:sz w:val="20"/>
        </w:rPr>
        <w:t xml:space="preserve">Para </w:t>
      </w:r>
      <w:r w:rsidRPr="00037D39">
        <w:rPr>
          <w:sz w:val="20"/>
        </w:rPr>
        <w:t>afrontar los desafíos que plantea el volumen</w:t>
      </w:r>
      <w:r>
        <w:rPr>
          <w:sz w:val="20"/>
        </w:rPr>
        <w:t xml:space="preserve"> de trabajo al </w:t>
      </w:r>
      <w:r w:rsidRPr="005965F5">
        <w:rPr>
          <w:sz w:val="20"/>
        </w:rPr>
        <w:t>servicio lingüístico</w:t>
      </w:r>
      <w:r>
        <w:rPr>
          <w:sz w:val="20"/>
        </w:rPr>
        <w:t xml:space="preserve">, será necesario aumentar el nivel de las subcontrataciones y simultáneamente tomar medidas para contener el volumen de trabajo.  La atención se centrará en alcanzar un equilibrio entre la necesidad de responder a las demandas previstas de los Estados miembros y la optimización del uso de los recursos disponibles.  Se realizarán esfuerzos para aplicar rigurosamente las medidas de racionalización y de control para la puesta en práctica de la </w:t>
      </w:r>
      <w:r w:rsidR="002C6A72" w:rsidRPr="00BF0CC1">
        <w:rPr>
          <w:sz w:val="20"/>
        </w:rPr>
        <w:t>Política Lingüística</w:t>
      </w:r>
      <w:r w:rsidR="002C6A72">
        <w:rPr>
          <w:sz w:val="20"/>
        </w:rPr>
        <w:t xml:space="preserve"> </w:t>
      </w:r>
      <w:r>
        <w:rPr>
          <w:sz w:val="20"/>
        </w:rPr>
        <w:t>a nivel interno, en lo concerniente a la extensión de los documentos y los informes de los comités.  Se mantendrá un equipo principal de revisores y traductores experimentados a nivel interno, al tiempo que el aumento del volumen de trabajo se atenderá principalmente mediante la subcontratación de traductores independientes e institucionales.  Teniendo en cuenta que en 2012 el porcentaje de subcontratación aumentó un 56</w:t>
      </w:r>
      <w:r w:rsidR="00D724E6">
        <w:rPr>
          <w:sz w:val="20"/>
        </w:rPr>
        <w:t>%</w:t>
      </w:r>
      <w:r>
        <w:rPr>
          <w:sz w:val="20"/>
        </w:rPr>
        <w:t xml:space="preserve">, la metodología global que se aplicará se regirá por </w:t>
      </w:r>
      <w:r w:rsidRPr="005718D8">
        <w:rPr>
          <w:sz w:val="20"/>
        </w:rPr>
        <w:t>principios de gestión de la calidad</w:t>
      </w:r>
      <w:r>
        <w:rPr>
          <w:sz w:val="20"/>
        </w:rPr>
        <w:t xml:space="preserve"> y </w:t>
      </w:r>
      <w:r w:rsidRPr="005718D8">
        <w:rPr>
          <w:sz w:val="20"/>
        </w:rPr>
        <w:t>normas estrictas</w:t>
      </w:r>
      <w:r>
        <w:rPr>
          <w:sz w:val="20"/>
        </w:rPr>
        <w:t xml:space="preserve"> que se sustentarán en la aplicación del concepto de </w:t>
      </w:r>
      <w:r w:rsidRPr="005718D8">
        <w:rPr>
          <w:sz w:val="20"/>
        </w:rPr>
        <w:t>“calidad en el origen</w:t>
      </w:r>
      <w:r>
        <w:rPr>
          <w:sz w:val="20"/>
        </w:rPr>
        <w:t>”.  Asimismo, se pondrá empeño en seguir desarrollando las</w:t>
      </w:r>
      <w:r w:rsidRPr="001C6864">
        <w:rPr>
          <w:sz w:val="20"/>
        </w:rPr>
        <w:t xml:space="preserve"> herramientas de</w:t>
      </w:r>
      <w:r>
        <w:rPr>
          <w:sz w:val="20"/>
        </w:rPr>
        <w:t xml:space="preserve"> terminología y</w:t>
      </w:r>
      <w:r w:rsidRPr="001C6864">
        <w:rPr>
          <w:sz w:val="20"/>
        </w:rPr>
        <w:t xml:space="preserve"> traducción asistida por computadora</w:t>
      </w:r>
      <w:r>
        <w:rPr>
          <w:sz w:val="20"/>
        </w:rPr>
        <w:t>, utilizadas por el servicio, para mejorar tanto la productividad como la calidad de las traducciones.  La política de</w:t>
      </w:r>
      <w:r w:rsidRPr="00A65080">
        <w:rPr>
          <w:sz w:val="20"/>
        </w:rPr>
        <w:t xml:space="preserve"> gestión de los registros y archivo</w:t>
      </w:r>
      <w:r>
        <w:rPr>
          <w:sz w:val="20"/>
        </w:rPr>
        <w:t>s se aplicará mediante el desarrollo de procedimientos de registro y archivo electrónico para todos los sectores de la OMPI.</w:t>
      </w:r>
    </w:p>
    <w:p w:rsidR="00E10A93" w:rsidRPr="00A65627" w:rsidRDefault="00E10A93" w:rsidP="00E10A93">
      <w:pPr>
        <w:jc w:val="both"/>
        <w:rPr>
          <w:sz w:val="20"/>
        </w:rPr>
      </w:pPr>
    </w:p>
    <w:p w:rsidR="00E10A93" w:rsidRPr="002077E7" w:rsidRDefault="00E10A93" w:rsidP="00D41E6A">
      <w:pPr>
        <w:numPr>
          <w:ilvl w:val="0"/>
          <w:numId w:val="46"/>
        </w:numPr>
        <w:autoSpaceDE w:val="0"/>
        <w:autoSpaceDN w:val="0"/>
        <w:adjustRightInd w:val="0"/>
        <w:jc w:val="both"/>
        <w:rPr>
          <w:bCs/>
          <w:sz w:val="20"/>
        </w:rPr>
      </w:pPr>
      <w:r w:rsidRPr="002077E7">
        <w:rPr>
          <w:sz w:val="20"/>
        </w:rPr>
        <w:t>Los servicios de conferencias procurarán seguir utilizando</w:t>
      </w:r>
      <w:r>
        <w:rPr>
          <w:sz w:val="20"/>
        </w:rPr>
        <w:t xml:space="preserve"> sistemas de T.I. para mejorar el registro en Internet y las herramientas de entrega de documentos a los delegados y a los demás participantes que asistan a las reuniones de la OMPI.  Se continuará desarrollando </w:t>
      </w:r>
      <w:r w:rsidRPr="002077E7">
        <w:rPr>
          <w:sz w:val="20"/>
        </w:rPr>
        <w:t>sistemas de tecnologías</w:t>
      </w:r>
      <w:r>
        <w:rPr>
          <w:sz w:val="20"/>
        </w:rPr>
        <w:t xml:space="preserve"> para las </w:t>
      </w:r>
      <w:r w:rsidRPr="002077E7">
        <w:rPr>
          <w:sz w:val="20"/>
        </w:rPr>
        <w:t>sala</w:t>
      </w:r>
      <w:r>
        <w:rPr>
          <w:sz w:val="20"/>
        </w:rPr>
        <w:t>s</w:t>
      </w:r>
      <w:r w:rsidRPr="002077E7">
        <w:rPr>
          <w:sz w:val="20"/>
        </w:rPr>
        <w:t xml:space="preserve"> de conferencias</w:t>
      </w:r>
      <w:r>
        <w:rPr>
          <w:sz w:val="20"/>
        </w:rPr>
        <w:t xml:space="preserve">, tal </w:t>
      </w:r>
      <w:r w:rsidRPr="00177ECA">
        <w:rPr>
          <w:sz w:val="20"/>
        </w:rPr>
        <w:t xml:space="preserve">como la </w:t>
      </w:r>
      <w:r>
        <w:rPr>
          <w:sz w:val="20"/>
        </w:rPr>
        <w:t xml:space="preserve">grabación electrónica y la </w:t>
      </w:r>
      <w:r w:rsidRPr="00177ECA">
        <w:rPr>
          <w:sz w:val="20"/>
        </w:rPr>
        <w:t>difusión por Internet</w:t>
      </w:r>
      <w:r>
        <w:rPr>
          <w:sz w:val="20"/>
        </w:rPr>
        <w:t xml:space="preserve"> de </w:t>
      </w:r>
      <w:r>
        <w:rPr>
          <w:sz w:val="20"/>
        </w:rPr>
        <w:lastRenderedPageBreak/>
        <w:t xml:space="preserve">los debates, particularmente después de que concluya la </w:t>
      </w:r>
      <w:r w:rsidRPr="00177ECA">
        <w:rPr>
          <w:sz w:val="20"/>
        </w:rPr>
        <w:t>construcción de la nueva sala de conferencias</w:t>
      </w:r>
      <w:r>
        <w:rPr>
          <w:sz w:val="20"/>
        </w:rPr>
        <w:t>.  Las actividades de imprenta se racionalizarán para incorporar operaciones y optimizar recursos.  Los servicios de correspondencia seguirán renegociando los contratos con las empresas más importantes del sector para obtener tarifas competitivas y realizar ahorros.</w:t>
      </w:r>
    </w:p>
    <w:p w:rsidR="00E10A93" w:rsidRPr="002077E7" w:rsidRDefault="00E10A93" w:rsidP="00E10A93">
      <w:pPr>
        <w:rPr>
          <w:szCs w:val="22"/>
        </w:rPr>
      </w:pPr>
    </w:p>
    <w:p w:rsidR="00E10A93" w:rsidRPr="002077E7" w:rsidRDefault="00E10A93" w:rsidP="00E10A93">
      <w:pPr>
        <w:rPr>
          <w:szCs w:val="22"/>
        </w:rPr>
      </w:pPr>
    </w:p>
    <w:p w:rsidR="009F58E5" w:rsidRPr="00994766" w:rsidRDefault="009F58E5" w:rsidP="009F58E5">
      <w:pPr>
        <w:rPr>
          <w:szCs w:val="22"/>
          <w:lang w:val="es-ES_tradnl"/>
        </w:rPr>
      </w:pPr>
      <w:r w:rsidRPr="00994766">
        <w:rPr>
          <w:szCs w:val="22"/>
          <w:lang w:val="es-ES_tradnl"/>
        </w:rPr>
        <w:t>PRINCIPALES RIESGOS Y ESTRATEGIAS DE MITIGACIÓN</w:t>
      </w:r>
    </w:p>
    <w:p w:rsidR="009F58E5" w:rsidRPr="00994766" w:rsidRDefault="009F58E5" w:rsidP="009F58E5">
      <w:pPr>
        <w:rPr>
          <w:sz w:val="20"/>
          <w:lang w:val="es-ES_tradnl"/>
        </w:rPr>
      </w:pPr>
    </w:p>
    <w:tbl>
      <w:tblPr>
        <w:tblW w:w="0" w:type="auto"/>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440"/>
        <w:gridCol w:w="4985"/>
      </w:tblGrid>
      <w:tr w:rsidR="009F58E5" w:rsidRPr="00D41E6A" w:rsidTr="00C665A4">
        <w:trPr>
          <w:trHeight w:val="530"/>
        </w:trPr>
        <w:tc>
          <w:tcPr>
            <w:tcW w:w="4440" w:type="dxa"/>
            <w:tcBorders>
              <w:top w:val="single" w:sz="4" w:space="0" w:color="auto"/>
              <w:bottom w:val="single" w:sz="4" w:space="0" w:color="auto"/>
            </w:tcBorders>
            <w:shd w:val="clear" w:color="auto" w:fill="CCFFFF"/>
            <w:tcMar>
              <w:top w:w="113" w:type="dxa"/>
              <w:bottom w:w="85" w:type="dxa"/>
            </w:tcMar>
            <w:vAlign w:val="center"/>
          </w:tcPr>
          <w:p w:rsidR="009F58E5" w:rsidRPr="00D41E6A" w:rsidRDefault="009F58E5" w:rsidP="008F4F69">
            <w:pPr>
              <w:jc w:val="center"/>
              <w:rPr>
                <w:b/>
                <w:bCs/>
                <w:iCs/>
                <w:color w:val="000000"/>
                <w:sz w:val="18"/>
                <w:szCs w:val="18"/>
                <w:lang w:val="es-ES_tradnl"/>
              </w:rPr>
            </w:pPr>
            <w:r w:rsidRPr="00D41E6A">
              <w:rPr>
                <w:b/>
                <w:bCs/>
                <w:iCs/>
                <w:color w:val="000000"/>
                <w:sz w:val="18"/>
                <w:szCs w:val="18"/>
                <w:lang w:val="es-ES_tradnl"/>
              </w:rPr>
              <w:t>Riesgos en el logro de los resultados del programa</w:t>
            </w:r>
          </w:p>
        </w:tc>
        <w:tc>
          <w:tcPr>
            <w:tcW w:w="4985" w:type="dxa"/>
            <w:tcBorders>
              <w:top w:val="single" w:sz="4" w:space="0" w:color="auto"/>
              <w:bottom w:val="single" w:sz="4" w:space="0" w:color="auto"/>
            </w:tcBorders>
            <w:shd w:val="clear" w:color="auto" w:fill="CCFFFF"/>
            <w:tcMar>
              <w:top w:w="113" w:type="dxa"/>
              <w:bottom w:w="85" w:type="dxa"/>
            </w:tcMar>
            <w:vAlign w:val="center"/>
          </w:tcPr>
          <w:p w:rsidR="009F58E5" w:rsidRPr="00D41E6A" w:rsidRDefault="009F58E5" w:rsidP="00C665A4">
            <w:pPr>
              <w:rPr>
                <w:b/>
                <w:bCs/>
                <w:iCs/>
                <w:color w:val="000000"/>
                <w:sz w:val="18"/>
                <w:szCs w:val="18"/>
                <w:lang w:val="es-ES_tradnl"/>
              </w:rPr>
            </w:pPr>
            <w:r w:rsidRPr="00D41E6A">
              <w:rPr>
                <w:b/>
                <w:bCs/>
                <w:iCs/>
                <w:color w:val="000000"/>
                <w:sz w:val="18"/>
                <w:szCs w:val="18"/>
                <w:lang w:val="es-ES_tradnl"/>
              </w:rPr>
              <w:t xml:space="preserve">Planes de mitigación ejecutados o en ejecución </w:t>
            </w:r>
          </w:p>
        </w:tc>
      </w:tr>
      <w:tr w:rsidR="009F58E5" w:rsidRPr="00994766" w:rsidTr="00C665A4">
        <w:tc>
          <w:tcPr>
            <w:tcW w:w="4440" w:type="dxa"/>
            <w:tcBorders>
              <w:top w:val="single" w:sz="4" w:space="0" w:color="auto"/>
            </w:tcBorders>
            <w:shd w:val="clear" w:color="auto" w:fill="auto"/>
            <w:tcMar>
              <w:top w:w="113" w:type="dxa"/>
              <w:bottom w:w="85" w:type="dxa"/>
            </w:tcMar>
          </w:tcPr>
          <w:p w:rsidR="009F58E5" w:rsidRPr="00994766" w:rsidRDefault="009F58E5" w:rsidP="008F4F69">
            <w:pPr>
              <w:rPr>
                <w:sz w:val="16"/>
                <w:szCs w:val="16"/>
                <w:lang w:val="es-ES_tradnl"/>
              </w:rPr>
            </w:pPr>
            <w:r w:rsidRPr="00994766">
              <w:rPr>
                <w:iCs/>
                <w:sz w:val="16"/>
                <w:szCs w:val="16"/>
                <w:lang w:val="es-ES_tradnl"/>
              </w:rPr>
              <w:t>Aplicación inadecuada de la Política Lingüística.</w:t>
            </w:r>
          </w:p>
          <w:p w:rsidR="009F58E5" w:rsidRPr="00994766" w:rsidRDefault="009F58E5" w:rsidP="008F4F69">
            <w:pPr>
              <w:rPr>
                <w:sz w:val="16"/>
                <w:szCs w:val="16"/>
                <w:lang w:val="es-ES_tradnl"/>
              </w:rPr>
            </w:pPr>
          </w:p>
          <w:p w:rsidR="009F58E5" w:rsidRPr="00994766" w:rsidRDefault="009F58E5" w:rsidP="008F4F69">
            <w:pPr>
              <w:rPr>
                <w:sz w:val="16"/>
                <w:szCs w:val="16"/>
                <w:lang w:val="es-ES_tradnl"/>
              </w:rPr>
            </w:pPr>
            <w:r w:rsidRPr="00994766">
              <w:rPr>
                <w:sz w:val="16"/>
                <w:szCs w:val="16"/>
                <w:lang w:val="es-ES_tradnl"/>
              </w:rPr>
              <w:t>Debido a las peticiones crecientes de traducciones y a que no se respetan los límites prescritos, el volumen de traducción aumenta significativamente, lo que da lugar a desequilibrios presupuestarios.</w:t>
            </w:r>
          </w:p>
        </w:tc>
        <w:tc>
          <w:tcPr>
            <w:tcW w:w="4985" w:type="dxa"/>
            <w:tcBorders>
              <w:top w:val="single" w:sz="4" w:space="0" w:color="auto"/>
            </w:tcBorders>
            <w:shd w:val="clear" w:color="auto" w:fill="auto"/>
            <w:tcMar>
              <w:top w:w="113" w:type="dxa"/>
              <w:bottom w:w="85" w:type="dxa"/>
            </w:tcMar>
          </w:tcPr>
          <w:p w:rsidR="009F58E5" w:rsidRPr="00994766" w:rsidRDefault="009F58E5" w:rsidP="008F4F69">
            <w:pPr>
              <w:rPr>
                <w:sz w:val="16"/>
                <w:szCs w:val="16"/>
                <w:lang w:val="es-ES_tradnl"/>
              </w:rPr>
            </w:pPr>
            <w:r w:rsidRPr="00994766">
              <w:rPr>
                <w:sz w:val="16"/>
                <w:szCs w:val="16"/>
                <w:lang w:val="es-ES_tradnl"/>
              </w:rPr>
              <w:t>Supervisar el número y el tamaño de los documentos;  aplicar estrictamente medidas de racionalización y control;  alentar a los sectores interesados a evitar textos repetitivos en los documentos.</w:t>
            </w:r>
          </w:p>
        </w:tc>
      </w:tr>
    </w:tbl>
    <w:p w:rsidR="009F58E5" w:rsidRPr="00994766" w:rsidRDefault="009F58E5" w:rsidP="009F58E5">
      <w:pPr>
        <w:rPr>
          <w:sz w:val="20"/>
          <w:lang w:val="es-ES_tradnl"/>
        </w:rPr>
      </w:pPr>
    </w:p>
    <w:p w:rsidR="009F58E5" w:rsidRPr="00C75C7E" w:rsidRDefault="009F58E5" w:rsidP="009F58E5">
      <w:pPr>
        <w:rPr>
          <w:sz w:val="20"/>
          <w:lang w:val="es-ES_tradnl"/>
        </w:rPr>
      </w:pPr>
    </w:p>
    <w:p w:rsidR="009F58E5" w:rsidRPr="00C75C7E" w:rsidRDefault="009F58E5" w:rsidP="009F58E5">
      <w:pPr>
        <w:rPr>
          <w:bCs/>
          <w:szCs w:val="22"/>
          <w:lang w:val="es-ES_tradnl"/>
        </w:rPr>
      </w:pPr>
      <w:r w:rsidRPr="00C75C7E">
        <w:rPr>
          <w:bCs/>
          <w:szCs w:val="22"/>
          <w:lang w:val="es-ES_tradnl"/>
        </w:rPr>
        <w:t>MARCO DE RESULTADOS</w:t>
      </w:r>
    </w:p>
    <w:p w:rsidR="009F58E5" w:rsidRPr="00C75C7E" w:rsidRDefault="009F58E5" w:rsidP="009F58E5">
      <w:pPr>
        <w:rPr>
          <w:sz w:val="20"/>
          <w:lang w:val="es-ES_tradnl"/>
        </w:rPr>
      </w:pPr>
    </w:p>
    <w:tbl>
      <w:tblPr>
        <w:tblW w:w="4914"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50"/>
        <w:gridCol w:w="2750"/>
        <w:gridCol w:w="2154"/>
        <w:gridCol w:w="2152"/>
      </w:tblGrid>
      <w:tr w:rsidR="009F58E5" w:rsidRPr="00C75C7E" w:rsidTr="008F4F69">
        <w:trPr>
          <w:cantSplit/>
          <w:trHeight w:val="605"/>
        </w:trPr>
        <w:tc>
          <w:tcPr>
            <w:tcW w:w="1249" w:type="pct"/>
            <w:tcBorders>
              <w:top w:val="single" w:sz="4" w:space="0" w:color="auto"/>
              <w:bottom w:val="single" w:sz="4" w:space="0" w:color="auto"/>
            </w:tcBorders>
            <w:shd w:val="clear" w:color="auto" w:fill="CCFFFF"/>
            <w:tcMar>
              <w:top w:w="113" w:type="dxa"/>
            </w:tcMar>
            <w:vAlign w:val="center"/>
          </w:tcPr>
          <w:p w:rsidR="009F58E5" w:rsidRPr="00C75C7E" w:rsidRDefault="009F58E5" w:rsidP="008F4F69">
            <w:pPr>
              <w:spacing w:after="120"/>
              <w:jc w:val="center"/>
              <w:rPr>
                <w:b/>
                <w:bCs/>
                <w:sz w:val="18"/>
                <w:szCs w:val="18"/>
                <w:lang w:val="es-ES_tradnl"/>
              </w:rPr>
            </w:pPr>
            <w:r w:rsidRPr="00C75C7E">
              <w:rPr>
                <w:b/>
                <w:bCs/>
                <w:sz w:val="18"/>
                <w:szCs w:val="18"/>
                <w:lang w:val="es-ES_tradnl"/>
              </w:rPr>
              <w:t>Resultados previstos</w:t>
            </w:r>
          </w:p>
        </w:tc>
        <w:tc>
          <w:tcPr>
            <w:tcW w:w="1462" w:type="pct"/>
            <w:tcBorders>
              <w:top w:val="single" w:sz="4" w:space="0" w:color="auto"/>
              <w:bottom w:val="single" w:sz="4" w:space="0" w:color="auto"/>
            </w:tcBorders>
            <w:shd w:val="clear" w:color="auto" w:fill="CCFFFF"/>
            <w:tcMar>
              <w:top w:w="113" w:type="dxa"/>
            </w:tcMar>
            <w:vAlign w:val="center"/>
          </w:tcPr>
          <w:p w:rsidR="009F58E5" w:rsidRPr="00C75C7E" w:rsidRDefault="009F58E5" w:rsidP="008F4F69">
            <w:pPr>
              <w:spacing w:after="120"/>
              <w:jc w:val="center"/>
              <w:rPr>
                <w:b/>
                <w:bCs/>
                <w:sz w:val="18"/>
                <w:szCs w:val="18"/>
                <w:lang w:val="es-ES_tradnl"/>
              </w:rPr>
            </w:pPr>
            <w:r w:rsidRPr="00C75C7E">
              <w:rPr>
                <w:b/>
                <w:bCs/>
                <w:sz w:val="18"/>
                <w:szCs w:val="18"/>
                <w:lang w:val="es-ES_tradnl"/>
              </w:rPr>
              <w:t>Indicadores de rendimiento</w:t>
            </w:r>
          </w:p>
        </w:tc>
        <w:tc>
          <w:tcPr>
            <w:tcW w:w="1145" w:type="pct"/>
            <w:tcBorders>
              <w:top w:val="single" w:sz="4" w:space="0" w:color="auto"/>
              <w:bottom w:val="single" w:sz="4" w:space="0" w:color="auto"/>
            </w:tcBorders>
            <w:shd w:val="clear" w:color="auto" w:fill="CCFFFF"/>
            <w:tcMar>
              <w:top w:w="113" w:type="dxa"/>
            </w:tcMar>
            <w:vAlign w:val="center"/>
          </w:tcPr>
          <w:p w:rsidR="009F58E5" w:rsidRPr="00C75C7E" w:rsidRDefault="009F58E5" w:rsidP="008F4F69">
            <w:pPr>
              <w:spacing w:after="120"/>
              <w:ind w:left="85"/>
              <w:jc w:val="center"/>
              <w:rPr>
                <w:b/>
                <w:bCs/>
                <w:sz w:val="18"/>
                <w:szCs w:val="18"/>
                <w:lang w:val="es-ES_tradnl"/>
              </w:rPr>
            </w:pPr>
            <w:r w:rsidRPr="00C75C7E">
              <w:rPr>
                <w:b/>
                <w:bCs/>
                <w:sz w:val="18"/>
                <w:szCs w:val="18"/>
                <w:lang w:val="es-ES_tradnl"/>
              </w:rPr>
              <w:t>Referencia</w:t>
            </w:r>
          </w:p>
        </w:tc>
        <w:tc>
          <w:tcPr>
            <w:tcW w:w="1144" w:type="pct"/>
            <w:tcBorders>
              <w:top w:val="single" w:sz="4" w:space="0" w:color="auto"/>
              <w:bottom w:val="single" w:sz="4" w:space="0" w:color="auto"/>
            </w:tcBorders>
            <w:shd w:val="clear" w:color="auto" w:fill="CCFFFF"/>
            <w:tcMar>
              <w:top w:w="113" w:type="dxa"/>
            </w:tcMar>
            <w:vAlign w:val="center"/>
          </w:tcPr>
          <w:p w:rsidR="009F58E5" w:rsidRPr="00C75C7E" w:rsidRDefault="009F58E5" w:rsidP="008F4F69">
            <w:pPr>
              <w:keepNext/>
              <w:keepLines/>
              <w:spacing w:after="120"/>
              <w:ind w:right="111"/>
              <w:jc w:val="center"/>
              <w:rPr>
                <w:b/>
                <w:bCs/>
                <w:sz w:val="18"/>
                <w:szCs w:val="18"/>
                <w:lang w:val="es-ES_tradnl"/>
              </w:rPr>
            </w:pPr>
            <w:r w:rsidRPr="00C75C7E">
              <w:rPr>
                <w:b/>
                <w:bCs/>
                <w:sz w:val="18"/>
                <w:szCs w:val="18"/>
                <w:lang w:val="es-ES_tradnl"/>
              </w:rPr>
              <w:t>Objetivos</w:t>
            </w:r>
          </w:p>
        </w:tc>
      </w:tr>
      <w:tr w:rsidR="009F58E5" w:rsidRPr="00C75C7E" w:rsidTr="008F4F69">
        <w:trPr>
          <w:cantSplit/>
        </w:trPr>
        <w:tc>
          <w:tcPr>
            <w:tcW w:w="1249" w:type="pct"/>
            <w:tcBorders>
              <w:top w:val="single" w:sz="4" w:space="0" w:color="auto"/>
            </w:tcBorders>
            <w:shd w:val="clear" w:color="auto" w:fill="auto"/>
            <w:tcMar>
              <w:top w:w="113" w:type="dxa"/>
            </w:tcMar>
          </w:tcPr>
          <w:p w:rsidR="009F58E5" w:rsidRPr="00C75C7E" w:rsidRDefault="009F58E5" w:rsidP="008F4F69">
            <w:pPr>
              <w:rPr>
                <w:sz w:val="16"/>
                <w:szCs w:val="16"/>
                <w:lang w:val="es-ES_tradnl"/>
              </w:rPr>
            </w:pPr>
            <w:r w:rsidRPr="00C75C7E">
              <w:rPr>
                <w:sz w:val="16"/>
                <w:szCs w:val="16"/>
                <w:lang w:val="es-ES_tradnl"/>
              </w:rPr>
              <w:t>IX.1   Servicios de apoyo eficaces, eficientes, de calidad y orientados al cliente, tanto a los clientes internos como a las partes interesadas externas.</w:t>
            </w:r>
          </w:p>
        </w:tc>
        <w:tc>
          <w:tcPr>
            <w:tcW w:w="1462" w:type="pct"/>
            <w:tcBorders>
              <w:top w:val="single" w:sz="4" w:space="0" w:color="auto"/>
            </w:tcBorders>
            <w:shd w:val="clear" w:color="auto" w:fill="auto"/>
            <w:tcMar>
              <w:top w:w="113" w:type="dxa"/>
            </w:tcMar>
          </w:tcPr>
          <w:p w:rsidR="009F58E5" w:rsidRPr="00C75C7E" w:rsidRDefault="009F58E5" w:rsidP="008F4F69">
            <w:pPr>
              <w:rPr>
                <w:bCs/>
                <w:sz w:val="16"/>
                <w:szCs w:val="16"/>
                <w:lang w:val="es-ES_tradnl"/>
              </w:rPr>
            </w:pPr>
            <w:r w:rsidRPr="00C75C7E">
              <w:rPr>
                <w:bCs/>
                <w:sz w:val="16"/>
                <w:szCs w:val="16"/>
                <w:lang w:val="es-ES_tradnl"/>
              </w:rPr>
              <w:t>Porcentaje de usuarios internos y externos satisfechos de los Servicios de Conferencias de la OMPI.</w:t>
            </w:r>
          </w:p>
        </w:tc>
        <w:tc>
          <w:tcPr>
            <w:tcW w:w="1145" w:type="pct"/>
            <w:tcBorders>
              <w:top w:val="single" w:sz="4" w:space="0" w:color="auto"/>
            </w:tcBorders>
            <w:shd w:val="clear" w:color="auto" w:fill="FFFFFF"/>
            <w:tcMar>
              <w:top w:w="113" w:type="dxa"/>
            </w:tcMar>
          </w:tcPr>
          <w:p w:rsidR="009F58E5" w:rsidRPr="00C75C7E" w:rsidRDefault="009F58E5" w:rsidP="008F4F69">
            <w:pPr>
              <w:rPr>
                <w:sz w:val="16"/>
                <w:szCs w:val="16"/>
                <w:lang w:val="es-ES_tradnl"/>
              </w:rPr>
            </w:pPr>
            <w:r w:rsidRPr="00C75C7E">
              <w:rPr>
                <w:sz w:val="16"/>
                <w:szCs w:val="16"/>
                <w:lang w:val="es-ES_tradnl"/>
              </w:rPr>
              <w:t>Porcentaje al final de 2013.</w:t>
            </w:r>
          </w:p>
        </w:tc>
        <w:tc>
          <w:tcPr>
            <w:tcW w:w="1144" w:type="pct"/>
            <w:tcBorders>
              <w:top w:val="single" w:sz="4" w:space="0" w:color="auto"/>
            </w:tcBorders>
            <w:shd w:val="clear" w:color="auto" w:fill="auto"/>
            <w:tcMar>
              <w:top w:w="113" w:type="dxa"/>
            </w:tcMar>
          </w:tcPr>
          <w:p w:rsidR="009F58E5" w:rsidRPr="00C75C7E" w:rsidRDefault="009F58E5" w:rsidP="008F4F69">
            <w:pPr>
              <w:keepNext/>
              <w:keepLines/>
              <w:ind w:right="221"/>
              <w:rPr>
                <w:bCs/>
                <w:sz w:val="16"/>
                <w:szCs w:val="16"/>
                <w:lang w:val="es-ES_tradnl"/>
              </w:rPr>
            </w:pPr>
            <w:r w:rsidRPr="00C75C7E">
              <w:rPr>
                <w:bCs/>
                <w:sz w:val="16"/>
                <w:szCs w:val="16"/>
                <w:lang w:val="es-ES_tradnl"/>
              </w:rPr>
              <w:t>Aumento del 10% antes de 2015.</w:t>
            </w:r>
          </w:p>
        </w:tc>
      </w:tr>
      <w:tr w:rsidR="009F58E5" w:rsidRPr="00C75C7E" w:rsidTr="008F4F69">
        <w:trPr>
          <w:cantSplit/>
          <w:trHeight w:val="622"/>
        </w:trPr>
        <w:tc>
          <w:tcPr>
            <w:tcW w:w="1249" w:type="pct"/>
            <w:shd w:val="clear" w:color="auto" w:fill="auto"/>
            <w:tcMar>
              <w:top w:w="113" w:type="dxa"/>
            </w:tcMar>
          </w:tcPr>
          <w:p w:rsidR="009F58E5" w:rsidRPr="00C75C7E" w:rsidRDefault="009F58E5" w:rsidP="008F4F69">
            <w:pPr>
              <w:rPr>
                <w:sz w:val="16"/>
                <w:szCs w:val="16"/>
                <w:lang w:val="es-ES_tradnl"/>
              </w:rPr>
            </w:pPr>
          </w:p>
        </w:tc>
        <w:tc>
          <w:tcPr>
            <w:tcW w:w="1462" w:type="pct"/>
            <w:shd w:val="clear" w:color="auto" w:fill="auto"/>
            <w:tcMar>
              <w:top w:w="113" w:type="dxa"/>
            </w:tcMar>
          </w:tcPr>
          <w:p w:rsidR="009F58E5" w:rsidRPr="00C75C7E" w:rsidRDefault="009F58E5" w:rsidP="008F4F69">
            <w:pPr>
              <w:rPr>
                <w:sz w:val="16"/>
                <w:szCs w:val="16"/>
                <w:lang w:val="es-ES_tradnl"/>
              </w:rPr>
            </w:pPr>
            <w:r w:rsidRPr="00C75C7E">
              <w:rPr>
                <w:sz w:val="16"/>
                <w:szCs w:val="16"/>
                <w:lang w:val="es-ES_tradnl"/>
              </w:rPr>
              <w:t>Aplicación eficaz de la Política Lingüística de la OMPI.</w:t>
            </w:r>
          </w:p>
        </w:tc>
        <w:tc>
          <w:tcPr>
            <w:tcW w:w="1145" w:type="pct"/>
            <w:shd w:val="clear" w:color="auto" w:fill="FFFFFF"/>
            <w:tcMar>
              <w:top w:w="113" w:type="dxa"/>
            </w:tcMar>
          </w:tcPr>
          <w:p w:rsidR="009F58E5" w:rsidRPr="00C75C7E" w:rsidRDefault="009F58E5" w:rsidP="008F4F69">
            <w:pPr>
              <w:rPr>
                <w:sz w:val="16"/>
                <w:szCs w:val="16"/>
                <w:lang w:val="es-ES_tradnl"/>
              </w:rPr>
            </w:pPr>
            <w:r w:rsidRPr="00C75C7E">
              <w:rPr>
                <w:sz w:val="16"/>
                <w:szCs w:val="16"/>
                <w:lang w:val="es-ES_tradnl"/>
              </w:rPr>
              <w:t>Cobertura de idiomas limitada a determinados Comités/órganos principales;</w:t>
            </w:r>
          </w:p>
          <w:p w:rsidR="009F58E5" w:rsidRPr="00C75C7E" w:rsidRDefault="009F58E5" w:rsidP="008F4F69">
            <w:pPr>
              <w:rPr>
                <w:sz w:val="16"/>
                <w:szCs w:val="16"/>
                <w:lang w:val="es-ES_tradnl"/>
              </w:rPr>
            </w:pPr>
            <w:r w:rsidRPr="00C75C7E">
              <w:rPr>
                <w:sz w:val="16"/>
                <w:szCs w:val="16"/>
                <w:lang w:val="es-ES_tradnl"/>
              </w:rPr>
              <w:t>Documentos de longitud variable.</w:t>
            </w:r>
          </w:p>
        </w:tc>
        <w:tc>
          <w:tcPr>
            <w:tcW w:w="1144" w:type="pct"/>
            <w:shd w:val="clear" w:color="auto" w:fill="auto"/>
            <w:tcMar>
              <w:top w:w="113" w:type="dxa"/>
            </w:tcMar>
          </w:tcPr>
          <w:p w:rsidR="009F58E5" w:rsidRPr="00C75C7E" w:rsidRDefault="009F58E5" w:rsidP="008F4F69">
            <w:pPr>
              <w:keepNext/>
              <w:keepLines/>
              <w:ind w:right="221"/>
              <w:rPr>
                <w:bCs/>
                <w:sz w:val="16"/>
                <w:szCs w:val="16"/>
                <w:lang w:val="es-ES_tradnl"/>
              </w:rPr>
            </w:pPr>
            <w:r w:rsidRPr="00C75C7E">
              <w:rPr>
                <w:bCs/>
                <w:sz w:val="16"/>
                <w:szCs w:val="16"/>
                <w:lang w:val="es-ES_tradnl"/>
              </w:rPr>
              <w:t xml:space="preserve">Traducciones de calidad disponibles para todos los Comités/órganos principales;  </w:t>
            </w:r>
          </w:p>
          <w:p w:rsidR="009F58E5" w:rsidRPr="00C75C7E" w:rsidRDefault="009F58E5" w:rsidP="008F4F69">
            <w:pPr>
              <w:keepNext/>
              <w:keepLines/>
              <w:ind w:right="221"/>
              <w:rPr>
                <w:bCs/>
                <w:sz w:val="16"/>
                <w:szCs w:val="16"/>
                <w:lang w:val="es-ES_tradnl"/>
              </w:rPr>
            </w:pPr>
            <w:r w:rsidRPr="00C75C7E">
              <w:rPr>
                <w:bCs/>
                <w:sz w:val="16"/>
                <w:szCs w:val="16"/>
                <w:lang w:val="es-ES_tradnl"/>
              </w:rPr>
              <w:t>La longitud de los documentos de los Comités/órganos rectores se reduce a 3.300 palabras.</w:t>
            </w:r>
          </w:p>
        </w:tc>
      </w:tr>
      <w:tr w:rsidR="009F58E5" w:rsidRPr="00C75C7E" w:rsidTr="008F4F69">
        <w:trPr>
          <w:cantSplit/>
          <w:trHeight w:val="301"/>
        </w:trPr>
        <w:tc>
          <w:tcPr>
            <w:tcW w:w="1249" w:type="pct"/>
            <w:shd w:val="clear" w:color="auto" w:fill="auto"/>
            <w:tcMar>
              <w:top w:w="113" w:type="dxa"/>
            </w:tcMar>
          </w:tcPr>
          <w:p w:rsidR="009F58E5" w:rsidRPr="00C75C7E" w:rsidRDefault="009F58E5" w:rsidP="008F4F69">
            <w:pPr>
              <w:rPr>
                <w:sz w:val="16"/>
                <w:szCs w:val="16"/>
                <w:lang w:val="es-ES_tradnl"/>
              </w:rPr>
            </w:pPr>
          </w:p>
        </w:tc>
        <w:tc>
          <w:tcPr>
            <w:tcW w:w="1462" w:type="pct"/>
            <w:shd w:val="clear" w:color="auto" w:fill="auto"/>
            <w:tcMar>
              <w:top w:w="113" w:type="dxa"/>
            </w:tcMar>
          </w:tcPr>
          <w:p w:rsidR="009F58E5" w:rsidRPr="00C75C7E" w:rsidRDefault="009F58E5" w:rsidP="008F4F69">
            <w:pPr>
              <w:rPr>
                <w:sz w:val="16"/>
                <w:szCs w:val="16"/>
                <w:lang w:val="es-ES_tradnl"/>
              </w:rPr>
            </w:pPr>
            <w:r w:rsidRPr="00C75C7E">
              <w:rPr>
                <w:sz w:val="16"/>
                <w:szCs w:val="16"/>
                <w:lang w:val="es-ES_tradnl"/>
              </w:rPr>
              <w:t>Costo por palabra traducida.</w:t>
            </w:r>
          </w:p>
        </w:tc>
        <w:tc>
          <w:tcPr>
            <w:tcW w:w="1145" w:type="pct"/>
            <w:shd w:val="clear" w:color="auto" w:fill="FFFFFF"/>
            <w:tcMar>
              <w:top w:w="113" w:type="dxa"/>
            </w:tcMar>
          </w:tcPr>
          <w:p w:rsidR="009F58E5" w:rsidRPr="00C75C7E" w:rsidRDefault="009F58E5" w:rsidP="008F4F69">
            <w:pPr>
              <w:rPr>
                <w:sz w:val="16"/>
                <w:szCs w:val="16"/>
                <w:lang w:val="es-ES_tradnl" w:bidi="th-TH"/>
              </w:rPr>
            </w:pPr>
            <w:r w:rsidRPr="00C75C7E">
              <w:rPr>
                <w:sz w:val="16"/>
                <w:szCs w:val="16"/>
                <w:lang w:val="es-ES_tradnl" w:bidi="th-TH"/>
              </w:rPr>
              <w:t>Por determinar.</w:t>
            </w:r>
          </w:p>
        </w:tc>
        <w:tc>
          <w:tcPr>
            <w:tcW w:w="1144" w:type="pct"/>
            <w:shd w:val="clear" w:color="auto" w:fill="auto"/>
            <w:tcMar>
              <w:top w:w="113" w:type="dxa"/>
            </w:tcMar>
          </w:tcPr>
          <w:p w:rsidR="009F58E5" w:rsidRPr="00C75C7E" w:rsidRDefault="009F58E5" w:rsidP="008F4F69">
            <w:pPr>
              <w:keepNext/>
              <w:keepLines/>
              <w:ind w:right="221"/>
              <w:rPr>
                <w:bCs/>
                <w:sz w:val="16"/>
                <w:szCs w:val="16"/>
                <w:lang w:val="es-ES_tradnl"/>
              </w:rPr>
            </w:pPr>
            <w:r w:rsidRPr="00C75C7E">
              <w:rPr>
                <w:bCs/>
                <w:sz w:val="16"/>
                <w:szCs w:val="16"/>
                <w:lang w:val="es-ES_tradnl"/>
              </w:rPr>
              <w:t>Por determinar.</w:t>
            </w:r>
          </w:p>
        </w:tc>
      </w:tr>
      <w:tr w:rsidR="009F58E5" w:rsidRPr="00C75C7E" w:rsidTr="008F4F69">
        <w:trPr>
          <w:cantSplit/>
          <w:trHeight w:val="778"/>
        </w:trPr>
        <w:tc>
          <w:tcPr>
            <w:tcW w:w="1249" w:type="pct"/>
            <w:shd w:val="clear" w:color="auto" w:fill="auto"/>
            <w:tcMar>
              <w:top w:w="113" w:type="dxa"/>
            </w:tcMar>
          </w:tcPr>
          <w:p w:rsidR="009F58E5" w:rsidRPr="00C75C7E" w:rsidRDefault="009F58E5" w:rsidP="008F4F69">
            <w:pPr>
              <w:rPr>
                <w:sz w:val="16"/>
                <w:szCs w:val="16"/>
                <w:lang w:val="es-ES_tradnl"/>
              </w:rPr>
            </w:pPr>
          </w:p>
        </w:tc>
        <w:tc>
          <w:tcPr>
            <w:tcW w:w="1462" w:type="pct"/>
            <w:shd w:val="clear" w:color="auto" w:fill="auto"/>
            <w:tcMar>
              <w:top w:w="113" w:type="dxa"/>
            </w:tcMar>
          </w:tcPr>
          <w:p w:rsidR="009F58E5" w:rsidRPr="00C75C7E" w:rsidRDefault="009F58E5" w:rsidP="008F4F69">
            <w:pPr>
              <w:rPr>
                <w:sz w:val="16"/>
                <w:szCs w:val="16"/>
                <w:lang w:val="es-ES_tradnl"/>
              </w:rPr>
            </w:pPr>
            <w:r w:rsidRPr="00C75C7E">
              <w:rPr>
                <w:sz w:val="16"/>
                <w:szCs w:val="16"/>
                <w:lang w:val="es-ES_tradnl"/>
              </w:rPr>
              <w:t>Calidad de las traducciones.</w:t>
            </w:r>
          </w:p>
        </w:tc>
        <w:tc>
          <w:tcPr>
            <w:tcW w:w="1145" w:type="pct"/>
            <w:shd w:val="clear" w:color="auto" w:fill="FFFFFF"/>
            <w:tcMar>
              <w:top w:w="113" w:type="dxa"/>
            </w:tcMar>
          </w:tcPr>
          <w:p w:rsidR="009F58E5" w:rsidRPr="00C75C7E" w:rsidRDefault="009F58E5" w:rsidP="008F4F69">
            <w:pPr>
              <w:rPr>
                <w:sz w:val="16"/>
                <w:szCs w:val="16"/>
                <w:lang w:val="es-ES_tradnl" w:bidi="th-TH"/>
              </w:rPr>
            </w:pPr>
            <w:r w:rsidRPr="00C75C7E">
              <w:rPr>
                <w:sz w:val="16"/>
                <w:szCs w:val="16"/>
                <w:lang w:val="es-ES_tradnl" w:bidi="th-TH"/>
              </w:rPr>
              <w:t>Porcentaje de documentos que respetan los criterios de calidad.</w:t>
            </w:r>
          </w:p>
        </w:tc>
        <w:tc>
          <w:tcPr>
            <w:tcW w:w="1144" w:type="pct"/>
            <w:shd w:val="clear" w:color="auto" w:fill="auto"/>
            <w:tcMar>
              <w:top w:w="113" w:type="dxa"/>
            </w:tcMar>
          </w:tcPr>
          <w:p w:rsidR="009F58E5" w:rsidRPr="00C75C7E" w:rsidRDefault="009F58E5" w:rsidP="008F4F69">
            <w:pPr>
              <w:keepNext/>
              <w:keepLines/>
              <w:ind w:right="221"/>
              <w:rPr>
                <w:bCs/>
                <w:sz w:val="16"/>
                <w:szCs w:val="16"/>
                <w:lang w:val="es-ES_tradnl"/>
              </w:rPr>
            </w:pPr>
            <w:r w:rsidRPr="00C75C7E">
              <w:rPr>
                <w:bCs/>
                <w:sz w:val="16"/>
                <w:szCs w:val="16"/>
                <w:lang w:val="es-ES_tradnl"/>
              </w:rPr>
              <w:t>Porcentaje de documentos que respetan los criterios de calidad.</w:t>
            </w:r>
          </w:p>
        </w:tc>
      </w:tr>
      <w:tr w:rsidR="009F58E5" w:rsidRPr="00C75C7E" w:rsidTr="008F4F69">
        <w:trPr>
          <w:cantSplit/>
          <w:trHeight w:val="515"/>
        </w:trPr>
        <w:tc>
          <w:tcPr>
            <w:tcW w:w="1249" w:type="pct"/>
            <w:shd w:val="clear" w:color="auto" w:fill="auto"/>
            <w:tcMar>
              <w:top w:w="113" w:type="dxa"/>
            </w:tcMar>
          </w:tcPr>
          <w:p w:rsidR="009F58E5" w:rsidRPr="00C75C7E" w:rsidRDefault="009F58E5" w:rsidP="008F4F69">
            <w:pPr>
              <w:rPr>
                <w:sz w:val="16"/>
                <w:szCs w:val="16"/>
                <w:lang w:val="es-ES_tradnl"/>
              </w:rPr>
            </w:pPr>
          </w:p>
        </w:tc>
        <w:tc>
          <w:tcPr>
            <w:tcW w:w="1462" w:type="pct"/>
            <w:shd w:val="clear" w:color="auto" w:fill="auto"/>
            <w:tcMar>
              <w:top w:w="113" w:type="dxa"/>
            </w:tcMar>
          </w:tcPr>
          <w:p w:rsidR="009F58E5" w:rsidRPr="00C75C7E" w:rsidRDefault="009F58E5" w:rsidP="008F4F69">
            <w:pPr>
              <w:rPr>
                <w:sz w:val="16"/>
                <w:szCs w:val="16"/>
                <w:lang w:val="es-ES_tradnl"/>
              </w:rPr>
            </w:pPr>
            <w:r w:rsidRPr="00C75C7E">
              <w:rPr>
                <w:sz w:val="16"/>
                <w:szCs w:val="16"/>
                <w:lang w:val="es-ES_tradnl"/>
              </w:rPr>
              <w:t>Disminución de los costos de impresión (por página).</w:t>
            </w:r>
          </w:p>
        </w:tc>
        <w:tc>
          <w:tcPr>
            <w:tcW w:w="1145" w:type="pct"/>
            <w:shd w:val="clear" w:color="auto" w:fill="FFFFFF"/>
            <w:tcMar>
              <w:top w:w="113" w:type="dxa"/>
            </w:tcMar>
          </w:tcPr>
          <w:p w:rsidR="009F58E5" w:rsidRPr="00C75C7E" w:rsidRDefault="009F58E5" w:rsidP="008F4F69">
            <w:pPr>
              <w:rPr>
                <w:sz w:val="16"/>
                <w:szCs w:val="16"/>
                <w:lang w:val="es-ES_tradnl" w:bidi="th-TH"/>
              </w:rPr>
            </w:pPr>
            <w:r w:rsidRPr="00C75C7E">
              <w:rPr>
                <w:sz w:val="16"/>
                <w:szCs w:val="16"/>
                <w:lang w:val="es-ES_tradnl" w:bidi="th-TH"/>
              </w:rPr>
              <w:t>Por determinar.</w:t>
            </w:r>
          </w:p>
        </w:tc>
        <w:tc>
          <w:tcPr>
            <w:tcW w:w="1144" w:type="pct"/>
            <w:shd w:val="clear" w:color="auto" w:fill="auto"/>
            <w:tcMar>
              <w:top w:w="113" w:type="dxa"/>
            </w:tcMar>
          </w:tcPr>
          <w:p w:rsidR="009F58E5" w:rsidRPr="00C75C7E" w:rsidRDefault="009F58E5" w:rsidP="008F4F69">
            <w:pPr>
              <w:keepNext/>
              <w:keepLines/>
              <w:ind w:right="221"/>
              <w:rPr>
                <w:bCs/>
                <w:sz w:val="16"/>
                <w:szCs w:val="16"/>
                <w:lang w:val="es-ES_tradnl"/>
              </w:rPr>
            </w:pPr>
            <w:r w:rsidRPr="00C75C7E">
              <w:rPr>
                <w:bCs/>
                <w:sz w:val="16"/>
                <w:szCs w:val="16"/>
                <w:lang w:val="es-ES_tradnl"/>
              </w:rPr>
              <w:t>Por determinar.</w:t>
            </w:r>
          </w:p>
        </w:tc>
      </w:tr>
      <w:tr w:rsidR="00C665A4" w:rsidRPr="00C75C7E" w:rsidTr="008F4F69">
        <w:trPr>
          <w:cantSplit/>
          <w:trHeight w:val="515"/>
        </w:trPr>
        <w:tc>
          <w:tcPr>
            <w:tcW w:w="1249" w:type="pct"/>
            <w:shd w:val="clear" w:color="auto" w:fill="auto"/>
            <w:tcMar>
              <w:top w:w="113" w:type="dxa"/>
            </w:tcMar>
          </w:tcPr>
          <w:p w:rsidR="00C665A4" w:rsidRPr="00C75C7E" w:rsidRDefault="00C665A4" w:rsidP="008F4F69">
            <w:pPr>
              <w:rPr>
                <w:sz w:val="16"/>
                <w:szCs w:val="16"/>
                <w:lang w:val="es-ES_tradnl"/>
              </w:rPr>
            </w:pPr>
          </w:p>
        </w:tc>
        <w:tc>
          <w:tcPr>
            <w:tcW w:w="1462" w:type="pct"/>
            <w:shd w:val="clear" w:color="auto" w:fill="auto"/>
            <w:tcMar>
              <w:top w:w="113" w:type="dxa"/>
            </w:tcMar>
          </w:tcPr>
          <w:p w:rsidR="00C665A4" w:rsidRPr="00C75C7E" w:rsidRDefault="00C665A4" w:rsidP="008F4F69">
            <w:pPr>
              <w:rPr>
                <w:sz w:val="16"/>
                <w:szCs w:val="16"/>
                <w:lang w:val="es-ES_tradnl"/>
              </w:rPr>
            </w:pPr>
            <w:r>
              <w:rPr>
                <w:sz w:val="16"/>
                <w:szCs w:val="16"/>
                <w:lang w:val="es-ES_tradnl"/>
              </w:rPr>
              <w:t>Publicación a tiempo de los documentos para los comités y grupos de trabajo.</w:t>
            </w:r>
          </w:p>
        </w:tc>
        <w:tc>
          <w:tcPr>
            <w:tcW w:w="1145" w:type="pct"/>
            <w:shd w:val="clear" w:color="auto" w:fill="FFFFFF"/>
            <w:tcMar>
              <w:top w:w="113" w:type="dxa"/>
            </w:tcMar>
          </w:tcPr>
          <w:p w:rsidR="00C665A4" w:rsidRPr="00C75C7E" w:rsidRDefault="00C665A4" w:rsidP="008F4F69">
            <w:pPr>
              <w:rPr>
                <w:sz w:val="16"/>
                <w:szCs w:val="16"/>
                <w:lang w:val="es-ES_tradnl" w:bidi="th-TH"/>
              </w:rPr>
            </w:pPr>
            <w:r>
              <w:rPr>
                <w:sz w:val="16"/>
                <w:szCs w:val="16"/>
                <w:lang w:val="es-ES_tradnl" w:bidi="th-TH"/>
              </w:rPr>
              <w:t>Porcentaje de documentos publicados dos meses antes del evento (por determinar).</w:t>
            </w:r>
          </w:p>
        </w:tc>
        <w:tc>
          <w:tcPr>
            <w:tcW w:w="1144" w:type="pct"/>
            <w:shd w:val="clear" w:color="auto" w:fill="auto"/>
            <w:tcMar>
              <w:top w:w="113" w:type="dxa"/>
            </w:tcMar>
          </w:tcPr>
          <w:p w:rsidR="00C665A4" w:rsidRPr="00C75C7E" w:rsidRDefault="00C665A4" w:rsidP="008F4F69">
            <w:pPr>
              <w:keepNext/>
              <w:keepLines/>
              <w:ind w:right="221"/>
              <w:rPr>
                <w:bCs/>
                <w:sz w:val="16"/>
                <w:szCs w:val="16"/>
                <w:lang w:val="es-ES_tradnl"/>
              </w:rPr>
            </w:pPr>
            <w:r>
              <w:rPr>
                <w:bCs/>
                <w:sz w:val="16"/>
                <w:szCs w:val="16"/>
                <w:lang w:val="es-ES_tradnl"/>
              </w:rPr>
              <w:t>65% de los documentos publicados dos meses antes del evento.</w:t>
            </w:r>
          </w:p>
        </w:tc>
      </w:tr>
    </w:tbl>
    <w:p w:rsidR="009F58E5" w:rsidRPr="00C75C7E" w:rsidRDefault="009F58E5" w:rsidP="009F58E5">
      <w:pPr>
        <w:rPr>
          <w:sz w:val="20"/>
          <w:lang w:val="es-ES_tradnl"/>
        </w:rPr>
      </w:pPr>
    </w:p>
    <w:p w:rsidR="00E10A93" w:rsidRPr="003F4AA7" w:rsidRDefault="00E10A93" w:rsidP="00E10A93">
      <w:pPr>
        <w:rPr>
          <w:sz w:val="20"/>
        </w:rPr>
      </w:pPr>
    </w:p>
    <w:p w:rsidR="00E10A93" w:rsidRPr="003F4AA7" w:rsidRDefault="00E10A93" w:rsidP="00E10A93">
      <w:pPr>
        <w:keepNext/>
        <w:keepLines/>
        <w:rPr>
          <w:szCs w:val="22"/>
        </w:rPr>
      </w:pPr>
      <w:r w:rsidRPr="00ED24BB">
        <w:rPr>
          <w:szCs w:val="22"/>
        </w:rPr>
        <w:t>RECURSOS PARA EL PROGRAMA</w:t>
      </w:r>
      <w:r w:rsidRPr="003F4AA7">
        <w:rPr>
          <w:szCs w:val="22"/>
        </w:rPr>
        <w:t xml:space="preserve"> 27</w:t>
      </w:r>
    </w:p>
    <w:p w:rsidR="00E10A93" w:rsidRPr="003F4AA7" w:rsidRDefault="00E10A93" w:rsidP="00E6603F">
      <w:pPr>
        <w:widowControl w:val="0"/>
        <w:autoSpaceDE w:val="0"/>
        <w:autoSpaceDN w:val="0"/>
        <w:adjustRightInd w:val="0"/>
        <w:rPr>
          <w:sz w:val="20"/>
        </w:rPr>
      </w:pPr>
    </w:p>
    <w:p w:rsidR="00E10A93" w:rsidRPr="00107BB5" w:rsidRDefault="00E10A93" w:rsidP="00D41E6A">
      <w:pPr>
        <w:widowControl w:val="0"/>
        <w:numPr>
          <w:ilvl w:val="0"/>
          <w:numId w:val="46"/>
        </w:numPr>
        <w:autoSpaceDE w:val="0"/>
        <w:autoSpaceDN w:val="0"/>
        <w:adjustRightInd w:val="0"/>
        <w:jc w:val="both"/>
        <w:rPr>
          <w:sz w:val="20"/>
        </w:rPr>
      </w:pPr>
      <w:r w:rsidRPr="00107BB5">
        <w:rPr>
          <w:sz w:val="20"/>
        </w:rPr>
        <w:t>El aumento propuesto en los recu</w:t>
      </w:r>
      <w:r>
        <w:rPr>
          <w:sz w:val="20"/>
        </w:rPr>
        <w:t>rsos globales del resultado IX.</w:t>
      </w:r>
      <w:r w:rsidRPr="00107BB5">
        <w:rPr>
          <w:sz w:val="20"/>
        </w:rPr>
        <w:t>1</w:t>
      </w:r>
      <w:r>
        <w:rPr>
          <w:sz w:val="20"/>
        </w:rPr>
        <w:t xml:space="preserve"> (Servicios de apoyo eficaces, </w:t>
      </w:r>
      <w:r w:rsidRPr="00107BB5">
        <w:rPr>
          <w:sz w:val="20"/>
        </w:rPr>
        <w:t>eficientes, de</w:t>
      </w:r>
      <w:r>
        <w:rPr>
          <w:sz w:val="20"/>
        </w:rPr>
        <w:t xml:space="preserve"> </w:t>
      </w:r>
      <w:r w:rsidRPr="00107BB5">
        <w:rPr>
          <w:sz w:val="20"/>
        </w:rPr>
        <w:t>calidad y orientados al</w:t>
      </w:r>
      <w:r>
        <w:rPr>
          <w:sz w:val="20"/>
        </w:rPr>
        <w:t xml:space="preserve"> </w:t>
      </w:r>
      <w:r w:rsidRPr="00107BB5">
        <w:rPr>
          <w:sz w:val="20"/>
        </w:rPr>
        <w:t>cliente</w:t>
      </w:r>
      <w:r>
        <w:rPr>
          <w:sz w:val="20"/>
        </w:rPr>
        <w:t>)</w:t>
      </w:r>
      <w:r w:rsidRPr="00107BB5">
        <w:rPr>
          <w:sz w:val="20"/>
        </w:rPr>
        <w:t xml:space="preserve"> </w:t>
      </w:r>
      <w:r>
        <w:rPr>
          <w:sz w:val="20"/>
        </w:rPr>
        <w:t xml:space="preserve">del programa refleja </w:t>
      </w:r>
      <w:r w:rsidR="00C665A4">
        <w:rPr>
          <w:sz w:val="20"/>
        </w:rPr>
        <w:t>un aumento en los costos de personal.</w:t>
      </w:r>
      <w:r>
        <w:rPr>
          <w:sz w:val="20"/>
        </w:rPr>
        <w:t xml:space="preserve">  Tal como se ha mencionado anteriormente, se realizarán esfuerzos para aplicar rigurosamente las medidas de racionalización y de control en </w:t>
      </w:r>
      <w:r w:rsidR="00C665A4">
        <w:rPr>
          <w:sz w:val="20"/>
        </w:rPr>
        <w:t>los servicios lingüísticos, y para mejorar la calidad de la</w:t>
      </w:r>
      <w:r>
        <w:rPr>
          <w:sz w:val="20"/>
        </w:rPr>
        <w:t xml:space="preserve"> subcontratación.  A raíz de la aplicación de la reforma </w:t>
      </w:r>
      <w:r w:rsidR="00C665A4">
        <w:rPr>
          <w:sz w:val="20"/>
        </w:rPr>
        <w:t>contractual</w:t>
      </w:r>
      <w:r>
        <w:rPr>
          <w:sz w:val="20"/>
        </w:rPr>
        <w:t xml:space="preserve">, los servicios de los profesionales contratados en el marco de la </w:t>
      </w:r>
      <w:r w:rsidRPr="00EC47B8">
        <w:rPr>
          <w:sz w:val="20"/>
        </w:rPr>
        <w:t>Asociación Internacional de Traductores de Conferencias</w:t>
      </w:r>
      <w:r>
        <w:rPr>
          <w:sz w:val="20"/>
        </w:rPr>
        <w:t xml:space="preserve"> (AITC) han quedado reflejados en la línea “Conferencias”</w:t>
      </w:r>
      <w:r w:rsidR="00C665A4">
        <w:rPr>
          <w:sz w:val="20"/>
        </w:rPr>
        <w:t>.  La asignación de esa línea ha sido aumentada en 435.000 francos suizos, mientras que</w:t>
      </w:r>
      <w:r>
        <w:rPr>
          <w:sz w:val="20"/>
        </w:rPr>
        <w:t xml:space="preserve"> la línea</w:t>
      </w:r>
      <w:r w:rsidR="00C665A4">
        <w:rPr>
          <w:sz w:val="20"/>
        </w:rPr>
        <w:t xml:space="preserve"> de</w:t>
      </w:r>
      <w:r>
        <w:rPr>
          <w:sz w:val="20"/>
        </w:rPr>
        <w:t xml:space="preserve"> “Servicios contractuales</w:t>
      </w:r>
      <w:r w:rsidR="00C665A4">
        <w:rPr>
          <w:sz w:val="20"/>
        </w:rPr>
        <w:t xml:space="preserve"> individuales</w:t>
      </w:r>
      <w:r>
        <w:rPr>
          <w:sz w:val="20"/>
        </w:rPr>
        <w:t xml:space="preserve">” (denominada </w:t>
      </w:r>
      <w:r>
        <w:rPr>
          <w:sz w:val="20"/>
        </w:rPr>
        <w:lastRenderedPageBreak/>
        <w:t>anteriormente “</w:t>
      </w:r>
      <w:r w:rsidRPr="00D957FE">
        <w:rPr>
          <w:sz w:val="20"/>
        </w:rPr>
        <w:t>ac</w:t>
      </w:r>
      <w:r>
        <w:rPr>
          <w:sz w:val="20"/>
        </w:rPr>
        <w:t xml:space="preserve">uerdos de servicios especiales”) ha </w:t>
      </w:r>
      <w:r w:rsidR="00C665A4">
        <w:rPr>
          <w:sz w:val="20"/>
        </w:rPr>
        <w:t>s</w:t>
      </w:r>
      <w:r>
        <w:rPr>
          <w:sz w:val="20"/>
        </w:rPr>
        <w:t xml:space="preserve">ido </w:t>
      </w:r>
      <w:r w:rsidR="00C665A4">
        <w:rPr>
          <w:sz w:val="20"/>
        </w:rPr>
        <w:t>reducida en</w:t>
      </w:r>
      <w:r>
        <w:rPr>
          <w:sz w:val="20"/>
        </w:rPr>
        <w:t xml:space="preserve"> 319</w:t>
      </w:r>
      <w:r w:rsidR="002C6A72">
        <w:rPr>
          <w:sz w:val="20"/>
        </w:rPr>
        <w:t>.000</w:t>
      </w:r>
      <w:r>
        <w:rPr>
          <w:sz w:val="20"/>
        </w:rPr>
        <w:t xml:space="preserve"> francos suizos.  </w:t>
      </w:r>
      <w:r w:rsidR="00C665A4">
        <w:rPr>
          <w:sz w:val="20"/>
        </w:rPr>
        <w:t>E</w:t>
      </w:r>
      <w:r>
        <w:rPr>
          <w:sz w:val="20"/>
        </w:rPr>
        <w:t>l aumento neto global de los servicios de traducción se ha limitado</w:t>
      </w:r>
      <w:r w:rsidR="00C665A4">
        <w:rPr>
          <w:sz w:val="20"/>
        </w:rPr>
        <w:t>, por lo tanto,</w:t>
      </w:r>
      <w:r>
        <w:rPr>
          <w:sz w:val="20"/>
        </w:rPr>
        <w:t xml:space="preserve"> a 11</w:t>
      </w:r>
      <w:r w:rsidR="00C665A4">
        <w:rPr>
          <w:sz w:val="20"/>
        </w:rPr>
        <w:t>6</w:t>
      </w:r>
      <w:r w:rsidR="002C6A72">
        <w:rPr>
          <w:sz w:val="20"/>
        </w:rPr>
        <w:t>.000</w:t>
      </w:r>
      <w:r>
        <w:rPr>
          <w:sz w:val="20"/>
        </w:rPr>
        <w:t xml:space="preserve"> francos suizos.</w:t>
      </w:r>
    </w:p>
    <w:p w:rsidR="00E10A93" w:rsidRPr="00107BB5" w:rsidRDefault="00E10A93" w:rsidP="00E6603F">
      <w:pPr>
        <w:widowControl w:val="0"/>
        <w:autoSpaceDE w:val="0"/>
        <w:autoSpaceDN w:val="0"/>
        <w:adjustRightInd w:val="0"/>
        <w:jc w:val="both"/>
        <w:rPr>
          <w:sz w:val="20"/>
        </w:rPr>
      </w:pPr>
    </w:p>
    <w:p w:rsidR="00E10A93" w:rsidRPr="00F14EA5" w:rsidRDefault="00E10A93" w:rsidP="00D41E6A">
      <w:pPr>
        <w:widowControl w:val="0"/>
        <w:numPr>
          <w:ilvl w:val="0"/>
          <w:numId w:val="46"/>
        </w:numPr>
        <w:autoSpaceDE w:val="0"/>
        <w:autoSpaceDN w:val="0"/>
        <w:adjustRightInd w:val="0"/>
        <w:jc w:val="both"/>
        <w:rPr>
          <w:sz w:val="20"/>
        </w:rPr>
      </w:pPr>
      <w:r>
        <w:rPr>
          <w:sz w:val="20"/>
        </w:rPr>
        <w:t>Se espera</w:t>
      </w:r>
      <w:r w:rsidRPr="00F14EA5">
        <w:rPr>
          <w:sz w:val="20"/>
        </w:rPr>
        <w:t xml:space="preserve"> que los costos de los se</w:t>
      </w:r>
      <w:r>
        <w:rPr>
          <w:sz w:val="20"/>
        </w:rPr>
        <w:t>r</w:t>
      </w:r>
      <w:r w:rsidRPr="00F14EA5">
        <w:rPr>
          <w:sz w:val="20"/>
        </w:rPr>
        <w:t>vicios de correspondencia disminu</w:t>
      </w:r>
      <w:r>
        <w:rPr>
          <w:sz w:val="20"/>
        </w:rPr>
        <w:t>yan como consecuencia de la cont</w:t>
      </w:r>
      <w:r w:rsidRPr="00F14EA5">
        <w:rPr>
          <w:sz w:val="20"/>
        </w:rPr>
        <w:t>inua revisi</w:t>
      </w:r>
      <w:r>
        <w:rPr>
          <w:sz w:val="20"/>
        </w:rPr>
        <w:t>ón y renegociación de los contratos con las empresas más importantes del sector para la obtención de tarifas competitivas.  Esto se refleja en una disminución neta de 459</w:t>
      </w:r>
      <w:r w:rsidR="002C6A72">
        <w:rPr>
          <w:sz w:val="20"/>
        </w:rPr>
        <w:t>.000</w:t>
      </w:r>
      <w:r>
        <w:rPr>
          <w:sz w:val="20"/>
        </w:rPr>
        <w:t xml:space="preserve"> francos suizos que es el resultado, por una parte, de una disminución de 1,4 millones de francos suizos en la línea </w:t>
      </w:r>
      <w:r w:rsidRPr="00F14EA5">
        <w:rPr>
          <w:sz w:val="20"/>
        </w:rPr>
        <w:t>“Otros servicios contractuales”</w:t>
      </w:r>
      <w:r>
        <w:rPr>
          <w:sz w:val="20"/>
        </w:rPr>
        <w:t xml:space="preserve"> y, por otra, de un aumento de 900</w:t>
      </w:r>
      <w:r w:rsidR="002C6A72">
        <w:rPr>
          <w:sz w:val="20"/>
        </w:rPr>
        <w:t>.000</w:t>
      </w:r>
      <w:r>
        <w:rPr>
          <w:sz w:val="20"/>
        </w:rPr>
        <w:t xml:space="preserve"> francos suizos que ha </w:t>
      </w:r>
      <w:r w:rsidR="002C6A72">
        <w:rPr>
          <w:sz w:val="20"/>
        </w:rPr>
        <w:t>quedado</w:t>
      </w:r>
      <w:r>
        <w:rPr>
          <w:sz w:val="20"/>
        </w:rPr>
        <w:t xml:space="preserve"> correctamente reflejado en la línea “C</w:t>
      </w:r>
      <w:r w:rsidRPr="003A5075">
        <w:rPr>
          <w:sz w:val="20"/>
        </w:rPr>
        <w:t>ostos de comunicación</w:t>
      </w:r>
      <w:r>
        <w:rPr>
          <w:sz w:val="20"/>
        </w:rPr>
        <w:t>”</w:t>
      </w:r>
      <w:r w:rsidRPr="003A5075">
        <w:rPr>
          <w:sz w:val="20"/>
        </w:rPr>
        <w:t>.</w:t>
      </w:r>
    </w:p>
    <w:p w:rsidR="00E10A93" w:rsidRPr="00F14EA5" w:rsidRDefault="00E10A93" w:rsidP="00E6603F">
      <w:pPr>
        <w:widowControl w:val="0"/>
        <w:autoSpaceDE w:val="0"/>
        <w:autoSpaceDN w:val="0"/>
        <w:adjustRightInd w:val="0"/>
        <w:ind w:firstLine="567"/>
        <w:jc w:val="center"/>
        <w:rPr>
          <w:b/>
          <w:bCs/>
          <w:iCs/>
          <w:sz w:val="20"/>
        </w:rPr>
      </w:pPr>
    </w:p>
    <w:p w:rsidR="00E10A93" w:rsidRPr="00F14EA5" w:rsidRDefault="00E10A93" w:rsidP="00E10A93">
      <w:pPr>
        <w:keepNext/>
        <w:keepLines/>
        <w:autoSpaceDE w:val="0"/>
        <w:autoSpaceDN w:val="0"/>
        <w:adjustRightInd w:val="0"/>
        <w:ind w:firstLine="567"/>
        <w:jc w:val="center"/>
        <w:rPr>
          <w:b/>
          <w:bCs/>
          <w:iCs/>
          <w:sz w:val="20"/>
        </w:rPr>
      </w:pPr>
    </w:p>
    <w:p w:rsidR="009F58E5" w:rsidRPr="00C75C7E" w:rsidRDefault="00C665A4" w:rsidP="009F58E5">
      <w:pPr>
        <w:keepNext/>
        <w:keepLines/>
        <w:autoSpaceDE w:val="0"/>
        <w:autoSpaceDN w:val="0"/>
        <w:adjustRightInd w:val="0"/>
        <w:ind w:firstLine="567"/>
        <w:jc w:val="center"/>
        <w:rPr>
          <w:b/>
          <w:bCs/>
          <w:iCs/>
          <w:sz w:val="20"/>
          <w:lang w:val="es-ES_tradnl"/>
        </w:rPr>
      </w:pPr>
      <w:r>
        <w:rPr>
          <w:b/>
          <w:bCs/>
          <w:iCs/>
          <w:sz w:val="20"/>
          <w:lang w:val="es-ES_tradnl"/>
        </w:rPr>
        <w:t xml:space="preserve">Programa 27:  </w:t>
      </w:r>
      <w:r w:rsidR="009F58E5" w:rsidRPr="00C75C7E">
        <w:rPr>
          <w:b/>
          <w:bCs/>
          <w:iCs/>
          <w:sz w:val="20"/>
          <w:lang w:val="es-ES_tradnl"/>
        </w:rPr>
        <w:t>Recursos por resultado</w:t>
      </w:r>
    </w:p>
    <w:p w:rsidR="009F58E5" w:rsidRPr="00C75C7E" w:rsidRDefault="009F58E5" w:rsidP="009F58E5">
      <w:pPr>
        <w:keepNext/>
        <w:keepLines/>
        <w:autoSpaceDE w:val="0"/>
        <w:autoSpaceDN w:val="0"/>
        <w:adjustRightInd w:val="0"/>
        <w:ind w:firstLine="567"/>
        <w:jc w:val="center"/>
        <w:rPr>
          <w:bCs/>
          <w:i/>
          <w:sz w:val="20"/>
          <w:lang w:val="es-ES_tradnl"/>
        </w:rPr>
      </w:pPr>
      <w:r w:rsidRPr="00C75C7E">
        <w:rPr>
          <w:bCs/>
          <w:i/>
          <w:sz w:val="20"/>
          <w:lang w:val="es-ES_tradnl"/>
        </w:rPr>
        <w:t>(en miles de francos suizos)</w:t>
      </w:r>
    </w:p>
    <w:p w:rsidR="009F58E5" w:rsidRPr="00C75C7E" w:rsidRDefault="009F58E5" w:rsidP="009F58E5">
      <w:pPr>
        <w:keepNext/>
        <w:keepLines/>
        <w:rPr>
          <w:sz w:val="20"/>
          <w:lang w:val="es-ES_tradnl"/>
        </w:rPr>
      </w:pPr>
    </w:p>
    <w:p w:rsidR="009F58E5" w:rsidRPr="00C75C7E" w:rsidRDefault="00C40A11" w:rsidP="009F58E5">
      <w:pPr>
        <w:keepNext/>
        <w:keepLines/>
        <w:jc w:val="center"/>
        <w:rPr>
          <w:sz w:val="20"/>
          <w:lang w:val="es-ES_tradnl"/>
        </w:rPr>
      </w:pPr>
      <w:r>
        <w:rPr>
          <w:noProof/>
          <w:lang w:val="en-US" w:eastAsia="en-US"/>
        </w:rPr>
        <w:drawing>
          <wp:inline distT="0" distB="0" distL="0" distR="0" wp14:anchorId="1830D34D" wp14:editId="2426DE9B">
            <wp:extent cx="5752465" cy="1200785"/>
            <wp:effectExtent l="0" t="0" r="635" b="0"/>
            <wp:docPr id="80"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5752465" cy="1200785"/>
                    </a:xfrm>
                    <a:prstGeom prst="rect">
                      <a:avLst/>
                    </a:prstGeom>
                    <a:noFill/>
                    <a:ln>
                      <a:noFill/>
                    </a:ln>
                  </pic:spPr>
                </pic:pic>
              </a:graphicData>
            </a:graphic>
          </wp:inline>
        </w:drawing>
      </w:r>
    </w:p>
    <w:p w:rsidR="009F58E5" w:rsidRPr="00C75C7E" w:rsidRDefault="009F58E5" w:rsidP="009F58E5">
      <w:pPr>
        <w:keepNext/>
        <w:keepLines/>
        <w:jc w:val="center"/>
        <w:rPr>
          <w:sz w:val="20"/>
          <w:lang w:val="es-ES_tradnl"/>
        </w:rPr>
      </w:pPr>
    </w:p>
    <w:p w:rsidR="009F58E5" w:rsidRPr="00C75C7E" w:rsidRDefault="009F58E5" w:rsidP="009F58E5">
      <w:pPr>
        <w:keepLines/>
        <w:autoSpaceDE w:val="0"/>
        <w:autoSpaceDN w:val="0"/>
        <w:adjustRightInd w:val="0"/>
        <w:rPr>
          <w:sz w:val="20"/>
          <w:lang w:val="es-ES_tradnl"/>
        </w:rPr>
      </w:pPr>
      <w:r w:rsidRPr="00C75C7E">
        <w:rPr>
          <w:sz w:val="16"/>
          <w:szCs w:val="16"/>
          <w:lang w:val="es-ES_tradnl"/>
        </w:rPr>
        <w:t xml:space="preserve">Nota: </w:t>
      </w:r>
      <w:r w:rsidR="00140981">
        <w:rPr>
          <w:sz w:val="16"/>
          <w:szCs w:val="16"/>
          <w:lang w:val="es-ES_tradnl"/>
        </w:rPr>
        <w:t xml:space="preserve"> </w:t>
      </w:r>
      <w:r w:rsidRPr="00C75C7E">
        <w:rPr>
          <w:sz w:val="16"/>
          <w:szCs w:val="16"/>
          <w:lang w:val="es-ES_tradnl"/>
        </w:rPr>
        <w:t>Se ha reexpresado el presupuesto aprobado de 2012/13 y el presupuesto de dicho bienio después de las transferencias, por resultado previsto, para reflejar el marco de resultados de la Organización propuesto para 2014/15.</w:t>
      </w:r>
    </w:p>
    <w:p w:rsidR="009F58E5" w:rsidRPr="00C75C7E" w:rsidRDefault="009F58E5" w:rsidP="009F58E5">
      <w:pPr>
        <w:widowControl w:val="0"/>
        <w:autoSpaceDE w:val="0"/>
        <w:autoSpaceDN w:val="0"/>
        <w:adjustRightInd w:val="0"/>
        <w:jc w:val="both"/>
        <w:rPr>
          <w:sz w:val="20"/>
          <w:highlight w:val="yellow"/>
          <w:lang w:val="es-ES_tradnl"/>
        </w:rPr>
      </w:pPr>
    </w:p>
    <w:p w:rsidR="009F58E5" w:rsidRPr="00C75C7E" w:rsidRDefault="00C665A4" w:rsidP="009F58E5">
      <w:pPr>
        <w:keepNext/>
        <w:keepLines/>
        <w:autoSpaceDE w:val="0"/>
        <w:autoSpaceDN w:val="0"/>
        <w:adjustRightInd w:val="0"/>
        <w:ind w:firstLine="567"/>
        <w:jc w:val="center"/>
        <w:rPr>
          <w:b/>
          <w:bCs/>
          <w:iCs/>
          <w:sz w:val="20"/>
          <w:lang w:val="es-ES_tradnl"/>
        </w:rPr>
      </w:pPr>
      <w:r>
        <w:rPr>
          <w:b/>
          <w:bCs/>
          <w:iCs/>
          <w:sz w:val="20"/>
          <w:lang w:val="es-ES_tradnl"/>
        </w:rPr>
        <w:lastRenderedPageBreak/>
        <w:t xml:space="preserve">Programa 27:  </w:t>
      </w:r>
      <w:r w:rsidR="009F58E5" w:rsidRPr="00C75C7E">
        <w:rPr>
          <w:b/>
          <w:bCs/>
          <w:iCs/>
          <w:sz w:val="20"/>
          <w:lang w:val="es-ES_tradnl"/>
        </w:rPr>
        <w:t>Recursos por objeto de gasto</w:t>
      </w:r>
    </w:p>
    <w:p w:rsidR="009F58E5" w:rsidRPr="00C75C7E" w:rsidRDefault="009F58E5" w:rsidP="009F58E5">
      <w:pPr>
        <w:keepNext/>
        <w:keepLines/>
        <w:autoSpaceDE w:val="0"/>
        <w:autoSpaceDN w:val="0"/>
        <w:adjustRightInd w:val="0"/>
        <w:ind w:firstLine="567"/>
        <w:jc w:val="center"/>
        <w:rPr>
          <w:i/>
          <w:sz w:val="18"/>
          <w:szCs w:val="18"/>
          <w:lang w:val="es-ES_tradnl"/>
        </w:rPr>
      </w:pPr>
      <w:r w:rsidRPr="00C75C7E">
        <w:rPr>
          <w:bCs/>
          <w:i/>
          <w:sz w:val="20"/>
          <w:lang w:val="es-ES_tradnl"/>
        </w:rPr>
        <w:t>(en miles de francos suizos)</w:t>
      </w:r>
    </w:p>
    <w:p w:rsidR="009F58E5" w:rsidRDefault="009F58E5" w:rsidP="009F58E5">
      <w:pPr>
        <w:keepNext/>
        <w:keepLines/>
        <w:autoSpaceDE w:val="0"/>
        <w:autoSpaceDN w:val="0"/>
        <w:adjustRightInd w:val="0"/>
        <w:jc w:val="center"/>
        <w:rPr>
          <w:i/>
          <w:sz w:val="18"/>
          <w:szCs w:val="18"/>
          <w:lang w:val="es-ES_tradnl"/>
        </w:rPr>
      </w:pPr>
    </w:p>
    <w:p w:rsidR="00EA4CD8" w:rsidRPr="00C75C7E" w:rsidRDefault="00C40A11" w:rsidP="009F58E5">
      <w:pPr>
        <w:keepNext/>
        <w:keepLines/>
        <w:autoSpaceDE w:val="0"/>
        <w:autoSpaceDN w:val="0"/>
        <w:adjustRightInd w:val="0"/>
        <w:jc w:val="center"/>
        <w:rPr>
          <w:i/>
          <w:sz w:val="18"/>
          <w:szCs w:val="18"/>
          <w:lang w:val="es-ES_tradnl"/>
        </w:rPr>
      </w:pPr>
      <w:r>
        <w:rPr>
          <w:noProof/>
          <w:lang w:val="en-US" w:eastAsia="en-US"/>
        </w:rPr>
        <w:drawing>
          <wp:inline distT="0" distB="0" distL="0" distR="0" wp14:anchorId="0236AB8A" wp14:editId="065F8EB3">
            <wp:extent cx="5936615" cy="5739130"/>
            <wp:effectExtent l="0" t="0" r="6985"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5936615" cy="5739130"/>
                    </a:xfrm>
                    <a:prstGeom prst="rect">
                      <a:avLst/>
                    </a:prstGeom>
                    <a:noFill/>
                    <a:ln>
                      <a:noFill/>
                    </a:ln>
                  </pic:spPr>
                </pic:pic>
              </a:graphicData>
            </a:graphic>
          </wp:inline>
        </w:drawing>
      </w:r>
    </w:p>
    <w:p w:rsidR="00EA4CD8" w:rsidRDefault="00EA4CD8" w:rsidP="009F58E5">
      <w:pPr>
        <w:keepNext/>
        <w:keepLines/>
        <w:rPr>
          <w:sz w:val="16"/>
          <w:szCs w:val="16"/>
          <w:lang w:val="es-ES_tradnl"/>
        </w:rPr>
      </w:pPr>
    </w:p>
    <w:p w:rsidR="009F58E5" w:rsidRPr="00C75C7E" w:rsidRDefault="009F58E5" w:rsidP="009F58E5">
      <w:pPr>
        <w:keepNext/>
        <w:keepLines/>
        <w:rPr>
          <w:sz w:val="16"/>
          <w:szCs w:val="16"/>
          <w:lang w:val="es-ES_tradnl"/>
        </w:rPr>
      </w:pPr>
      <w:r w:rsidRPr="00C75C7E">
        <w:rPr>
          <w:sz w:val="16"/>
          <w:szCs w:val="16"/>
          <w:lang w:val="es-ES_tradnl"/>
        </w:rPr>
        <w:t>Notas:</w:t>
      </w:r>
    </w:p>
    <w:p w:rsidR="009F58E5" w:rsidRPr="00C75C7E" w:rsidRDefault="009F58E5" w:rsidP="009F58E5">
      <w:pPr>
        <w:keepNext/>
        <w:keepLines/>
        <w:rPr>
          <w:sz w:val="16"/>
          <w:szCs w:val="16"/>
          <w:u w:val="single"/>
          <w:lang w:val="es-ES_tradnl"/>
        </w:rPr>
      </w:pPr>
    </w:p>
    <w:p w:rsidR="009F58E5" w:rsidRPr="00C75C7E" w:rsidRDefault="00140981" w:rsidP="009F58E5">
      <w:pPr>
        <w:keepNext/>
        <w:keepLines/>
        <w:spacing w:after="120"/>
        <w:rPr>
          <w:sz w:val="16"/>
          <w:szCs w:val="16"/>
          <w:lang w:val="es-ES_tradnl"/>
        </w:rPr>
      </w:pPr>
      <w:r>
        <w:rPr>
          <w:sz w:val="16"/>
          <w:szCs w:val="16"/>
          <w:lang w:val="es-ES_tradnl"/>
        </w:rPr>
        <w:t xml:space="preserve">1)  </w:t>
      </w:r>
      <w:r w:rsidR="009F58E5" w:rsidRPr="00C75C7E">
        <w:rPr>
          <w:sz w:val="16"/>
          <w:szCs w:val="16"/>
          <w:lang w:val="es-ES_tradnl"/>
        </w:rPr>
        <w:t>El presupuesto aprobado de 2012/13 y el presupuesto de dicho bienio después de las transferencias se reexpresan sobre la base de la estructura de categorías de costos propuesta para 2014/15.</w:t>
      </w:r>
    </w:p>
    <w:p w:rsidR="009F58E5" w:rsidRPr="00C75C7E" w:rsidRDefault="009F58E5" w:rsidP="009F58E5">
      <w:pPr>
        <w:keepNext/>
        <w:keepLines/>
        <w:spacing w:after="120"/>
        <w:rPr>
          <w:sz w:val="16"/>
          <w:szCs w:val="16"/>
          <w:lang w:val="es-ES_tradnl"/>
        </w:rPr>
      </w:pPr>
      <w:r>
        <w:rPr>
          <w:sz w:val="16"/>
          <w:szCs w:val="16"/>
          <w:lang w:val="es-ES_tradnl"/>
        </w:rPr>
        <w:t>2)</w:t>
      </w:r>
      <w:r w:rsidR="00140981">
        <w:rPr>
          <w:sz w:val="16"/>
          <w:szCs w:val="16"/>
          <w:lang w:val="es-ES_tradnl"/>
        </w:rPr>
        <w:t xml:space="preserve">  </w:t>
      </w:r>
      <w:r w:rsidRPr="00C75C7E">
        <w:rPr>
          <w:sz w:val="16"/>
          <w:szCs w:val="16"/>
          <w:lang w:val="es-ES_tradnl"/>
        </w:rPr>
        <w:t>El presupuesto después de las transferencias refleja el presupuesto de los programas ajustado tras las transferencias efectuadas en 2012/13 en virtud del artículo 5.5 del Reglamento Financiero. Para más información sobre el presupuesto de</w:t>
      </w:r>
      <w:r w:rsidR="00D724E6">
        <w:rPr>
          <w:sz w:val="16"/>
          <w:szCs w:val="16"/>
          <w:lang w:val="es-ES_tradnl"/>
        </w:rPr>
        <w:t> </w:t>
      </w:r>
      <w:r w:rsidRPr="00C75C7E">
        <w:rPr>
          <w:sz w:val="16"/>
          <w:szCs w:val="16"/>
          <w:lang w:val="es-ES_tradnl"/>
        </w:rPr>
        <w:t xml:space="preserve">2012/13 después de las transferencias, cabe remitirse al cuadro que figura en el Anexo I (Presupuesto después de las transferencias, por programa) del presente documento y al documento WO/PBC/20/2 (Informe sobre el rendimiento de los programas en 2012).  </w:t>
      </w:r>
      <w:r w:rsidRPr="00C75C7E">
        <w:rPr>
          <w:rFonts w:cs="ArialMT"/>
          <w:sz w:val="16"/>
          <w:szCs w:val="16"/>
          <w:lang w:val="es-ES_tradnl"/>
        </w:rPr>
        <w:t xml:space="preserve">Los costos de personal del presupuesto de 2012/13 después de las transferencias representan los gastos reales efectuados hasta el 31 de marzo de 2013 y los importes presupuestados para los nueve meses restantes de 2013, sobre la base de costos estándar. </w:t>
      </w:r>
    </w:p>
    <w:p w:rsidR="009F58E5" w:rsidRPr="00C75C7E" w:rsidRDefault="009F58E5" w:rsidP="009F58E5">
      <w:pPr>
        <w:keepNext/>
        <w:keepLines/>
        <w:spacing w:after="120"/>
        <w:rPr>
          <w:sz w:val="16"/>
          <w:szCs w:val="16"/>
          <w:lang w:val="es-ES_tradnl"/>
        </w:rPr>
      </w:pPr>
      <w:r>
        <w:rPr>
          <w:sz w:val="16"/>
          <w:szCs w:val="16"/>
          <w:lang w:val="es-ES_tradnl"/>
        </w:rPr>
        <w:t>3)</w:t>
      </w:r>
      <w:r w:rsidR="00140981">
        <w:rPr>
          <w:sz w:val="16"/>
          <w:szCs w:val="16"/>
          <w:lang w:val="es-ES_tradnl"/>
        </w:rPr>
        <w:t xml:space="preserve">  </w:t>
      </w:r>
      <w:r w:rsidRPr="00C75C7E">
        <w:rPr>
          <w:sz w:val="16"/>
          <w:szCs w:val="16"/>
          <w:lang w:val="es-ES_tradnl"/>
        </w:rPr>
        <w:t>Para más información sobre los puestos del programa cabe remitirse al cuadro que figura en el Anexo II.</w:t>
      </w:r>
    </w:p>
    <w:p w:rsidR="009F58E5" w:rsidRPr="00C75C7E" w:rsidRDefault="009F58E5" w:rsidP="009F58E5">
      <w:pPr>
        <w:rPr>
          <w:sz w:val="20"/>
          <w:highlight w:val="yellow"/>
          <w:lang w:val="es-ES_tradnl"/>
        </w:rPr>
      </w:pPr>
    </w:p>
    <w:p w:rsidR="00E10A93" w:rsidRPr="00E6603F" w:rsidRDefault="009F58E5" w:rsidP="00E6603F">
      <w:pPr>
        <w:pStyle w:val="Heading3"/>
        <w:tabs>
          <w:tab w:val="left" w:pos="1985"/>
        </w:tabs>
        <w:rPr>
          <w:b/>
          <w:u w:val="none"/>
          <w:lang w:val="es-ES_tradnl"/>
        </w:rPr>
      </w:pPr>
      <w:r w:rsidRPr="00C75C7E">
        <w:rPr>
          <w:sz w:val="20"/>
          <w:lang w:val="es-ES_tradnl"/>
        </w:rPr>
        <w:br w:type="page"/>
      </w:r>
      <w:bookmarkStart w:id="89" w:name="_Toc356567783"/>
      <w:bookmarkStart w:id="90" w:name="_Toc358816721"/>
      <w:r w:rsidR="00E6603F" w:rsidRPr="00E6603F">
        <w:rPr>
          <w:b/>
          <w:u w:val="none"/>
          <w:lang w:val="es-ES_tradnl"/>
        </w:rPr>
        <w:lastRenderedPageBreak/>
        <w:t>PROGRAMA 28</w:t>
      </w:r>
      <w:r w:rsidR="00E6603F" w:rsidRPr="00E6603F">
        <w:rPr>
          <w:b/>
          <w:u w:val="none"/>
          <w:lang w:val="es-ES_tradnl"/>
        </w:rPr>
        <w:tab/>
        <w:t>S</w:t>
      </w:r>
      <w:bookmarkEnd w:id="89"/>
      <w:r w:rsidR="00E6603F" w:rsidRPr="00E6603F">
        <w:rPr>
          <w:b/>
          <w:u w:val="none"/>
          <w:lang w:val="es-ES_tradnl"/>
        </w:rPr>
        <w:t>EGURIDAD</w:t>
      </w:r>
      <w:bookmarkEnd w:id="90"/>
    </w:p>
    <w:p w:rsidR="00E10A93" w:rsidRPr="000877E0" w:rsidRDefault="00E10A93" w:rsidP="00E10A93">
      <w:pPr>
        <w:rPr>
          <w:sz w:val="20"/>
        </w:rPr>
      </w:pPr>
    </w:p>
    <w:p w:rsidR="00E10A93" w:rsidRPr="000877E0" w:rsidRDefault="00E10A93" w:rsidP="00E10A93">
      <w:pPr>
        <w:rPr>
          <w:sz w:val="20"/>
        </w:rPr>
      </w:pPr>
    </w:p>
    <w:p w:rsidR="00E10A93" w:rsidRPr="00E10A93" w:rsidRDefault="00E10A93" w:rsidP="00E10A93">
      <w:pPr>
        <w:pStyle w:val="BodyTextIndent"/>
        <w:ind w:left="1985" w:hanging="1985"/>
        <w:jc w:val="both"/>
        <w:rPr>
          <w:rFonts w:ascii="Arial" w:hAnsi="Arial" w:cs="Arial"/>
          <w:sz w:val="22"/>
          <w:szCs w:val="22"/>
          <w:lang w:val="es-ES"/>
        </w:rPr>
      </w:pPr>
      <w:r w:rsidRPr="00762D10">
        <w:rPr>
          <w:rFonts w:ascii="Arial" w:hAnsi="Arial" w:cs="Arial"/>
          <w:sz w:val="22"/>
          <w:szCs w:val="22"/>
          <w:lang w:val="es-ES"/>
        </w:rPr>
        <w:t>CONTEXTO DE PLANIFICACI</w:t>
      </w:r>
      <w:r>
        <w:rPr>
          <w:rFonts w:ascii="Arial" w:hAnsi="Arial" w:cs="Arial"/>
          <w:sz w:val="22"/>
          <w:szCs w:val="22"/>
          <w:lang w:val="es-ES"/>
        </w:rPr>
        <w:t>ÓN</w:t>
      </w:r>
    </w:p>
    <w:p w:rsidR="00E10A93" w:rsidRDefault="00E10A93" w:rsidP="00E10A93">
      <w:pPr>
        <w:tabs>
          <w:tab w:val="left" w:pos="567"/>
          <w:tab w:val="left" w:pos="1985"/>
        </w:tabs>
        <w:jc w:val="both"/>
        <w:rPr>
          <w:bCs/>
          <w:sz w:val="20"/>
        </w:rPr>
      </w:pPr>
    </w:p>
    <w:p w:rsidR="00E10A93" w:rsidRPr="00C0445C" w:rsidRDefault="00E10A93" w:rsidP="00D41E6A">
      <w:pPr>
        <w:numPr>
          <w:ilvl w:val="0"/>
          <w:numId w:val="47"/>
        </w:numPr>
        <w:jc w:val="both"/>
        <w:rPr>
          <w:bCs/>
          <w:sz w:val="20"/>
        </w:rPr>
      </w:pPr>
      <w:r w:rsidRPr="00C0445C">
        <w:rPr>
          <w:bCs/>
          <w:sz w:val="20"/>
        </w:rPr>
        <w:t>Un aumento del nivel de amenaza real o supuesta a escala mundial dirigida contra el sistema de las NN.UU. representa el principal desafío p</w:t>
      </w:r>
      <w:r>
        <w:rPr>
          <w:bCs/>
          <w:sz w:val="20"/>
        </w:rPr>
        <w:t>ermanente para este programa.  Mediante la utilización eficaz y eficiente de sus recursos, este</w:t>
      </w:r>
      <w:r w:rsidRPr="00C0445C">
        <w:rPr>
          <w:bCs/>
          <w:sz w:val="20"/>
        </w:rPr>
        <w:t xml:space="preserve"> programa</w:t>
      </w:r>
      <w:r>
        <w:rPr>
          <w:bCs/>
          <w:sz w:val="20"/>
        </w:rPr>
        <w:t xml:space="preserve"> seguirá velando por la s</w:t>
      </w:r>
      <w:r w:rsidRPr="00C0445C">
        <w:rPr>
          <w:bCs/>
          <w:sz w:val="20"/>
        </w:rPr>
        <w:t>eguridad de las partes interesadas/clientes (personal, visitantes y delegados) en los locales de la OMPI y en las actividades organizadas por la OMPI en el exterior, y la protección general del patrimonio de la OMPI en proporción a las amenazas que pesan sobre la Organización.</w:t>
      </w:r>
    </w:p>
    <w:p w:rsidR="00E10A93" w:rsidRPr="00C0445C" w:rsidRDefault="00E10A93" w:rsidP="00E10A93">
      <w:pPr>
        <w:tabs>
          <w:tab w:val="num" w:pos="709"/>
        </w:tabs>
        <w:jc w:val="both"/>
        <w:rPr>
          <w:bCs/>
          <w:sz w:val="20"/>
        </w:rPr>
      </w:pPr>
    </w:p>
    <w:p w:rsidR="00E10A93" w:rsidRPr="00891EBF" w:rsidRDefault="00E10A93" w:rsidP="00D41E6A">
      <w:pPr>
        <w:numPr>
          <w:ilvl w:val="0"/>
          <w:numId w:val="47"/>
        </w:numPr>
        <w:jc w:val="both"/>
        <w:rPr>
          <w:bCs/>
          <w:sz w:val="20"/>
        </w:rPr>
      </w:pPr>
      <w:r w:rsidRPr="00891EBF">
        <w:rPr>
          <w:bCs/>
          <w:sz w:val="20"/>
        </w:rPr>
        <w:t xml:space="preserve">A partir de los progresos realizados en el bienio 2012/13, como por ejemplo el </w:t>
      </w:r>
      <w:r>
        <w:rPr>
          <w:bCs/>
          <w:sz w:val="20"/>
        </w:rPr>
        <w:t xml:space="preserve">nuevo centro de control, el programa proseguirá con la puesta en práctica del </w:t>
      </w:r>
      <w:r w:rsidRPr="00BF19BA">
        <w:rPr>
          <w:bCs/>
          <w:sz w:val="20"/>
        </w:rPr>
        <w:t>proyecto de mejora de la seguridad en los locales</w:t>
      </w:r>
      <w:r>
        <w:rPr>
          <w:bCs/>
          <w:sz w:val="20"/>
        </w:rPr>
        <w:t xml:space="preserve"> actuales.  Estas mejoras también serán integradas gradualmente en los proyectos del nuevo edificio.</w:t>
      </w:r>
    </w:p>
    <w:p w:rsidR="00E10A93" w:rsidRPr="00891EBF" w:rsidRDefault="00E10A93" w:rsidP="00E10A93">
      <w:pPr>
        <w:tabs>
          <w:tab w:val="num" w:pos="709"/>
        </w:tabs>
        <w:jc w:val="both"/>
        <w:rPr>
          <w:bCs/>
          <w:sz w:val="20"/>
        </w:rPr>
      </w:pPr>
    </w:p>
    <w:p w:rsidR="00E10A93" w:rsidRPr="00BF19BA" w:rsidRDefault="00E10A93" w:rsidP="00D41E6A">
      <w:pPr>
        <w:numPr>
          <w:ilvl w:val="0"/>
          <w:numId w:val="47"/>
        </w:numPr>
        <w:jc w:val="both"/>
        <w:rPr>
          <w:bCs/>
          <w:sz w:val="20"/>
        </w:rPr>
      </w:pPr>
      <w:r w:rsidRPr="00BF19BA">
        <w:rPr>
          <w:bCs/>
          <w:sz w:val="20"/>
        </w:rPr>
        <w:t xml:space="preserve">Los servicios de seguridad de la </w:t>
      </w:r>
      <w:r>
        <w:rPr>
          <w:bCs/>
          <w:sz w:val="20"/>
        </w:rPr>
        <w:t>OMPI seguirán inspirándose</w:t>
      </w:r>
      <w:r w:rsidR="002C6A72">
        <w:rPr>
          <w:bCs/>
          <w:sz w:val="20"/>
        </w:rPr>
        <w:t xml:space="preserve"> en</w:t>
      </w:r>
      <w:r w:rsidRPr="00BF19BA">
        <w:rPr>
          <w:bCs/>
          <w:sz w:val="20"/>
        </w:rPr>
        <w:t xml:space="preserve"> concepto</w:t>
      </w:r>
      <w:r>
        <w:rPr>
          <w:bCs/>
          <w:sz w:val="20"/>
        </w:rPr>
        <w:t>s y</w:t>
      </w:r>
      <w:r w:rsidRPr="00BF19BA">
        <w:rPr>
          <w:bCs/>
          <w:sz w:val="20"/>
        </w:rPr>
        <w:t xml:space="preserve"> estrategia</w:t>
      </w:r>
      <w:r>
        <w:rPr>
          <w:bCs/>
          <w:sz w:val="20"/>
        </w:rPr>
        <w:t>s</w:t>
      </w:r>
      <w:r w:rsidRPr="00BF19BA">
        <w:rPr>
          <w:bCs/>
          <w:sz w:val="20"/>
        </w:rPr>
        <w:t xml:space="preserve"> globales d</w:t>
      </w:r>
      <w:r>
        <w:rPr>
          <w:bCs/>
          <w:sz w:val="20"/>
        </w:rPr>
        <w:t>e seguridad</w:t>
      </w:r>
      <w:r w:rsidRPr="00BF19BA">
        <w:rPr>
          <w:bCs/>
          <w:sz w:val="20"/>
        </w:rPr>
        <w:t xml:space="preserve"> que sean independientes pero conformes a las normas y directrices del sistema de gestión de la seguridad de los organismos de las NN.UU.</w:t>
      </w:r>
    </w:p>
    <w:p w:rsidR="00E10A93" w:rsidRPr="00BF19BA" w:rsidRDefault="00E10A93" w:rsidP="00E10A93">
      <w:pPr>
        <w:tabs>
          <w:tab w:val="left" w:pos="567"/>
          <w:tab w:val="left" w:pos="1985"/>
        </w:tabs>
        <w:jc w:val="both"/>
        <w:rPr>
          <w:bCs/>
          <w:sz w:val="20"/>
        </w:rPr>
      </w:pPr>
    </w:p>
    <w:p w:rsidR="00E10A93" w:rsidRPr="00BF19BA" w:rsidRDefault="00E10A93" w:rsidP="00E10A93">
      <w:pPr>
        <w:tabs>
          <w:tab w:val="left" w:pos="567"/>
          <w:tab w:val="left" w:pos="1985"/>
        </w:tabs>
        <w:jc w:val="both"/>
        <w:rPr>
          <w:bCs/>
          <w:sz w:val="20"/>
        </w:rPr>
      </w:pPr>
    </w:p>
    <w:p w:rsidR="00E10A93" w:rsidRDefault="00E10A93" w:rsidP="00E10A93">
      <w:pPr>
        <w:tabs>
          <w:tab w:val="left" w:pos="567"/>
          <w:tab w:val="left" w:pos="1985"/>
        </w:tabs>
        <w:jc w:val="both"/>
        <w:rPr>
          <w:bCs/>
          <w:szCs w:val="22"/>
        </w:rPr>
      </w:pPr>
      <w:r>
        <w:rPr>
          <w:szCs w:val="18"/>
        </w:rPr>
        <w:t>ESTRATEGIAS DE EJECUCIÓN</w:t>
      </w:r>
    </w:p>
    <w:p w:rsidR="00E10A93" w:rsidRDefault="00E10A93" w:rsidP="00E10A93">
      <w:pPr>
        <w:tabs>
          <w:tab w:val="left" w:pos="567"/>
          <w:tab w:val="left" w:pos="1985"/>
        </w:tabs>
        <w:jc w:val="both"/>
        <w:rPr>
          <w:bCs/>
          <w:sz w:val="20"/>
        </w:rPr>
      </w:pPr>
    </w:p>
    <w:p w:rsidR="00E10A93" w:rsidRPr="00ED7BFC" w:rsidRDefault="00E10A93" w:rsidP="00D41E6A">
      <w:pPr>
        <w:numPr>
          <w:ilvl w:val="0"/>
          <w:numId w:val="47"/>
        </w:numPr>
        <w:jc w:val="both"/>
        <w:rPr>
          <w:bCs/>
          <w:sz w:val="20"/>
        </w:rPr>
      </w:pPr>
      <w:r w:rsidRPr="003A46AB">
        <w:rPr>
          <w:bCs/>
          <w:sz w:val="20"/>
        </w:rPr>
        <w:t>Los resultados previstos se logrará</w:t>
      </w:r>
      <w:r>
        <w:rPr>
          <w:bCs/>
          <w:sz w:val="20"/>
        </w:rPr>
        <w:t>n</w:t>
      </w:r>
      <w:r w:rsidRPr="003A46AB">
        <w:rPr>
          <w:bCs/>
          <w:sz w:val="20"/>
        </w:rPr>
        <w:t xml:space="preserve"> mediante </w:t>
      </w:r>
      <w:r>
        <w:rPr>
          <w:bCs/>
          <w:sz w:val="20"/>
        </w:rPr>
        <w:t>un enfoque de gestión de los riesgos en materia de seguridad que consiste en realizar un seguimiento continuo de</w:t>
      </w:r>
      <w:r w:rsidRPr="003A46AB">
        <w:rPr>
          <w:bCs/>
          <w:sz w:val="20"/>
        </w:rPr>
        <w:t xml:space="preserve"> las amenazas</w:t>
      </w:r>
      <w:r>
        <w:rPr>
          <w:bCs/>
          <w:sz w:val="20"/>
        </w:rPr>
        <w:t xml:space="preserve"> y riesgos directos o indirectos</w:t>
      </w:r>
      <w:r w:rsidRPr="003A46AB">
        <w:rPr>
          <w:bCs/>
          <w:sz w:val="20"/>
        </w:rPr>
        <w:t xml:space="preserve"> con el fin de reducir la probabilidad de que se materialicen en perjuicio del personal o el patrimonio de la Organización.</w:t>
      </w:r>
      <w:r>
        <w:rPr>
          <w:bCs/>
          <w:sz w:val="20"/>
        </w:rPr>
        <w:t xml:space="preserve">  </w:t>
      </w:r>
      <w:r w:rsidRPr="00ED7BFC">
        <w:rPr>
          <w:bCs/>
          <w:sz w:val="20"/>
        </w:rPr>
        <w:t xml:space="preserve">Se tratará en particular de la aplicación </w:t>
      </w:r>
      <w:r>
        <w:rPr>
          <w:bCs/>
          <w:sz w:val="20"/>
        </w:rPr>
        <w:t>y/</w:t>
      </w:r>
      <w:r w:rsidRPr="00ED7BFC">
        <w:rPr>
          <w:bCs/>
          <w:sz w:val="20"/>
        </w:rPr>
        <w:t>o seguimiento de procedimientos y políticas</w:t>
      </w:r>
      <w:r>
        <w:rPr>
          <w:bCs/>
          <w:sz w:val="20"/>
        </w:rPr>
        <w:t xml:space="preserve">, </w:t>
      </w:r>
      <w:r w:rsidRPr="00ED7BFC">
        <w:rPr>
          <w:bCs/>
          <w:sz w:val="20"/>
        </w:rPr>
        <w:t>así como del suministro de formac</w:t>
      </w:r>
      <w:r>
        <w:rPr>
          <w:bCs/>
          <w:sz w:val="20"/>
        </w:rPr>
        <w:t xml:space="preserve">ión con el fin de sensibilizar a </w:t>
      </w:r>
      <w:r w:rsidRPr="00ED7BFC">
        <w:rPr>
          <w:bCs/>
          <w:sz w:val="20"/>
        </w:rPr>
        <w:t>l</w:t>
      </w:r>
      <w:r>
        <w:rPr>
          <w:bCs/>
          <w:sz w:val="20"/>
        </w:rPr>
        <w:t xml:space="preserve">as partes interesadas/clientes </w:t>
      </w:r>
      <w:r w:rsidRPr="00ED7BFC">
        <w:rPr>
          <w:bCs/>
          <w:sz w:val="20"/>
        </w:rPr>
        <w:t>acerca de las cuestiones de seguridad.</w:t>
      </w:r>
      <w:r>
        <w:rPr>
          <w:bCs/>
          <w:sz w:val="20"/>
        </w:rPr>
        <w:t xml:space="preserve">  </w:t>
      </w:r>
      <w:r w:rsidRPr="00041740">
        <w:rPr>
          <w:bCs/>
          <w:sz w:val="20"/>
        </w:rPr>
        <w:t>Además, los sistemas, equipos y servicios de los locales de la OMPI, sean nuevos o actualizados, contribuirán en gran medida a mejorar la seguridad a largo plazo.</w:t>
      </w:r>
    </w:p>
    <w:p w:rsidR="00E10A93" w:rsidRPr="003A46AB" w:rsidRDefault="00E10A93" w:rsidP="00E10A93">
      <w:pPr>
        <w:tabs>
          <w:tab w:val="left" w:pos="567"/>
          <w:tab w:val="left" w:pos="1985"/>
        </w:tabs>
        <w:jc w:val="both"/>
        <w:rPr>
          <w:bCs/>
          <w:sz w:val="20"/>
        </w:rPr>
      </w:pPr>
    </w:p>
    <w:p w:rsidR="00852CE4" w:rsidRPr="00E10A93" w:rsidRDefault="00852CE4" w:rsidP="009F58E5">
      <w:pPr>
        <w:tabs>
          <w:tab w:val="left" w:pos="567"/>
          <w:tab w:val="left" w:pos="1985"/>
        </w:tabs>
        <w:jc w:val="both"/>
        <w:rPr>
          <w:bCs/>
          <w:szCs w:val="22"/>
        </w:rPr>
      </w:pPr>
    </w:p>
    <w:p w:rsidR="009F58E5" w:rsidRPr="00994766" w:rsidRDefault="009F58E5" w:rsidP="009F58E5">
      <w:pPr>
        <w:tabs>
          <w:tab w:val="left" w:pos="567"/>
          <w:tab w:val="left" w:pos="1985"/>
        </w:tabs>
        <w:jc w:val="both"/>
        <w:rPr>
          <w:bCs/>
          <w:szCs w:val="22"/>
          <w:lang w:val="es-ES_tradnl"/>
        </w:rPr>
      </w:pPr>
      <w:r w:rsidRPr="00994766">
        <w:rPr>
          <w:bCs/>
          <w:szCs w:val="22"/>
          <w:lang w:val="es-ES_tradnl"/>
        </w:rPr>
        <w:t>PRINCIPALES RIESGOS Y ESTRATEGIAS DE MITIGACIÓN</w:t>
      </w:r>
    </w:p>
    <w:p w:rsidR="009F58E5" w:rsidRPr="00994766" w:rsidRDefault="009F58E5" w:rsidP="009F58E5">
      <w:pPr>
        <w:tabs>
          <w:tab w:val="left" w:pos="567"/>
          <w:tab w:val="left" w:pos="1985"/>
        </w:tabs>
        <w:jc w:val="both"/>
        <w:rPr>
          <w:bCs/>
          <w:sz w:val="20"/>
          <w:lang w:val="es-ES_tradnl"/>
        </w:rPr>
      </w:pPr>
    </w:p>
    <w:tbl>
      <w:tblPr>
        <w:tblW w:w="0" w:type="auto"/>
        <w:jc w:val="center"/>
        <w:tblInd w:w="-177"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422"/>
        <w:gridCol w:w="4731"/>
      </w:tblGrid>
      <w:tr w:rsidR="009F58E5" w:rsidRPr="00D41E6A" w:rsidTr="00C665A4">
        <w:trPr>
          <w:trHeight w:val="765"/>
          <w:jc w:val="center"/>
        </w:trPr>
        <w:tc>
          <w:tcPr>
            <w:tcW w:w="4422" w:type="dxa"/>
            <w:tcBorders>
              <w:top w:val="single" w:sz="4" w:space="0" w:color="auto"/>
              <w:bottom w:val="single" w:sz="4" w:space="0" w:color="auto"/>
            </w:tcBorders>
            <w:shd w:val="clear" w:color="auto" w:fill="CCFFFF"/>
            <w:vAlign w:val="center"/>
          </w:tcPr>
          <w:p w:rsidR="009F58E5" w:rsidRPr="00D41E6A" w:rsidRDefault="009F58E5" w:rsidP="008F4F69">
            <w:pPr>
              <w:autoSpaceDE w:val="0"/>
              <w:autoSpaceDN w:val="0"/>
              <w:adjustRightInd w:val="0"/>
              <w:ind w:right="-59"/>
              <w:jc w:val="center"/>
              <w:rPr>
                <w:b/>
                <w:color w:val="000000"/>
                <w:sz w:val="18"/>
                <w:szCs w:val="18"/>
                <w:lang w:val="es-ES_tradnl"/>
              </w:rPr>
            </w:pPr>
            <w:r w:rsidRPr="00D41E6A">
              <w:rPr>
                <w:b/>
                <w:color w:val="000000"/>
                <w:sz w:val="18"/>
                <w:szCs w:val="18"/>
                <w:lang w:val="es-ES_tradnl"/>
              </w:rPr>
              <w:t>Riesgos en el logro de los resultados del programa</w:t>
            </w:r>
          </w:p>
        </w:tc>
        <w:tc>
          <w:tcPr>
            <w:tcW w:w="4731" w:type="dxa"/>
            <w:tcBorders>
              <w:top w:val="single" w:sz="4" w:space="0" w:color="auto"/>
              <w:bottom w:val="single" w:sz="4" w:space="0" w:color="auto"/>
            </w:tcBorders>
            <w:shd w:val="clear" w:color="auto" w:fill="CCFFFF"/>
            <w:vAlign w:val="center"/>
          </w:tcPr>
          <w:p w:rsidR="009F58E5" w:rsidRPr="00D41E6A" w:rsidRDefault="009F58E5" w:rsidP="00C665A4">
            <w:pPr>
              <w:autoSpaceDE w:val="0"/>
              <w:autoSpaceDN w:val="0"/>
              <w:adjustRightInd w:val="0"/>
              <w:ind w:right="-59"/>
              <w:rPr>
                <w:b/>
                <w:color w:val="000000"/>
                <w:sz w:val="18"/>
                <w:szCs w:val="18"/>
                <w:lang w:val="es-ES_tradnl"/>
              </w:rPr>
            </w:pPr>
            <w:r w:rsidRPr="00D41E6A">
              <w:rPr>
                <w:b/>
                <w:color w:val="000000"/>
                <w:sz w:val="18"/>
                <w:szCs w:val="18"/>
                <w:lang w:val="es-ES_tradnl"/>
              </w:rPr>
              <w:t xml:space="preserve">Planes de mitigación ejecutados o en ejecución </w:t>
            </w:r>
          </w:p>
        </w:tc>
      </w:tr>
      <w:tr w:rsidR="009F58E5" w:rsidRPr="00994766" w:rsidTr="00C665A4">
        <w:trPr>
          <w:trHeight w:val="859"/>
          <w:jc w:val="center"/>
        </w:trPr>
        <w:tc>
          <w:tcPr>
            <w:tcW w:w="4422" w:type="dxa"/>
            <w:tcBorders>
              <w:top w:val="single" w:sz="4" w:space="0" w:color="auto"/>
            </w:tcBorders>
            <w:shd w:val="clear" w:color="auto" w:fill="auto"/>
            <w:tcMar>
              <w:top w:w="113" w:type="dxa"/>
            </w:tcMar>
          </w:tcPr>
          <w:p w:rsidR="009F58E5" w:rsidRPr="00994766" w:rsidRDefault="009F58E5" w:rsidP="008F4F69">
            <w:pPr>
              <w:rPr>
                <w:sz w:val="16"/>
                <w:szCs w:val="16"/>
                <w:lang w:val="es-ES_tradnl"/>
              </w:rPr>
            </w:pPr>
            <w:r w:rsidRPr="00994766">
              <w:rPr>
                <w:sz w:val="16"/>
                <w:szCs w:val="16"/>
                <w:lang w:val="es-ES_tradnl"/>
              </w:rPr>
              <w:t>Si no se sustituyen los sistemas y equipos de seguridad anticuados u obsoletos que están instalados en los locales existentes, pueden producirse incidentes que afecten a la seguridad.</w:t>
            </w:r>
          </w:p>
        </w:tc>
        <w:tc>
          <w:tcPr>
            <w:tcW w:w="4731" w:type="dxa"/>
            <w:tcBorders>
              <w:top w:val="single" w:sz="4" w:space="0" w:color="auto"/>
            </w:tcBorders>
            <w:shd w:val="clear" w:color="auto" w:fill="auto"/>
            <w:tcMar>
              <w:top w:w="113" w:type="dxa"/>
            </w:tcMar>
          </w:tcPr>
          <w:p w:rsidR="009F58E5" w:rsidRPr="00994766" w:rsidRDefault="009F58E5" w:rsidP="008F4F69">
            <w:pPr>
              <w:autoSpaceDE w:val="0"/>
              <w:autoSpaceDN w:val="0"/>
              <w:adjustRightInd w:val="0"/>
              <w:ind w:right="108"/>
              <w:rPr>
                <w:sz w:val="16"/>
                <w:szCs w:val="16"/>
                <w:lang w:val="es-ES_tradnl"/>
              </w:rPr>
            </w:pPr>
            <w:r w:rsidRPr="00994766">
              <w:rPr>
                <w:sz w:val="16"/>
                <w:szCs w:val="16"/>
                <w:lang w:val="es-ES_tradnl"/>
              </w:rPr>
              <w:t xml:space="preserve">Gracias al </w:t>
            </w:r>
            <w:r w:rsidRPr="00994766">
              <w:rPr>
                <w:snapToGrid w:val="0"/>
                <w:sz w:val="16"/>
                <w:szCs w:val="16"/>
                <w:lang w:val="es-ES_tradnl"/>
              </w:rPr>
              <w:t>proyecto de mejora de los locales que está en curso de ejecución</w:t>
            </w:r>
            <w:r w:rsidRPr="00994766">
              <w:rPr>
                <w:sz w:val="16"/>
                <w:szCs w:val="16"/>
                <w:lang w:val="es-ES_tradnl"/>
              </w:rPr>
              <w:t xml:space="preserve"> (2012/13), los sistemas y equipos actuales se seguirán desactivando lentamente.  Está previsto que se ejecuten labores de actualización a partir de 2014/15.</w:t>
            </w:r>
          </w:p>
        </w:tc>
      </w:tr>
    </w:tbl>
    <w:p w:rsidR="009F58E5" w:rsidRPr="00994766" w:rsidRDefault="009F58E5" w:rsidP="009F58E5">
      <w:pPr>
        <w:tabs>
          <w:tab w:val="left" w:pos="567"/>
          <w:tab w:val="left" w:pos="1985"/>
        </w:tabs>
        <w:jc w:val="both"/>
        <w:rPr>
          <w:bCs/>
          <w:sz w:val="20"/>
          <w:lang w:val="es-ES_tradnl"/>
        </w:rPr>
      </w:pPr>
    </w:p>
    <w:p w:rsidR="009F58E5" w:rsidRPr="00C75C7E" w:rsidRDefault="009F58E5" w:rsidP="009F58E5">
      <w:pPr>
        <w:tabs>
          <w:tab w:val="left" w:pos="567"/>
          <w:tab w:val="left" w:pos="1985"/>
        </w:tabs>
        <w:jc w:val="both"/>
        <w:rPr>
          <w:bCs/>
          <w:sz w:val="20"/>
          <w:lang w:val="es-ES_tradnl"/>
        </w:rPr>
      </w:pPr>
    </w:p>
    <w:p w:rsidR="009F58E5" w:rsidRPr="00C75C7E" w:rsidRDefault="009F58E5" w:rsidP="009F58E5">
      <w:pPr>
        <w:tabs>
          <w:tab w:val="left" w:pos="567"/>
          <w:tab w:val="left" w:pos="1985"/>
        </w:tabs>
        <w:jc w:val="both"/>
        <w:rPr>
          <w:bCs/>
          <w:sz w:val="20"/>
          <w:lang w:val="es-ES_tradnl"/>
        </w:rPr>
      </w:pPr>
      <w:r w:rsidRPr="00C75C7E">
        <w:rPr>
          <w:bCs/>
          <w:szCs w:val="22"/>
          <w:lang w:val="es-ES_tradnl"/>
        </w:rPr>
        <w:t>MARCO DE RESULTADOS</w:t>
      </w:r>
    </w:p>
    <w:p w:rsidR="009F58E5" w:rsidRPr="00C75C7E" w:rsidRDefault="009F58E5" w:rsidP="009F58E5">
      <w:pPr>
        <w:tabs>
          <w:tab w:val="left" w:pos="567"/>
          <w:tab w:val="left" w:pos="1985"/>
        </w:tabs>
        <w:jc w:val="both"/>
        <w:rPr>
          <w:bCs/>
          <w:sz w:val="20"/>
          <w:lang w:val="es-ES_tradnl"/>
        </w:rPr>
      </w:pPr>
    </w:p>
    <w:tbl>
      <w:tblPr>
        <w:tblW w:w="4855"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349"/>
        <w:gridCol w:w="2847"/>
        <w:gridCol w:w="2175"/>
        <w:gridCol w:w="1922"/>
      </w:tblGrid>
      <w:tr w:rsidR="009F58E5" w:rsidRPr="00C75C7E" w:rsidTr="008F43DB">
        <w:trPr>
          <w:cantSplit/>
          <w:trHeight w:val="605"/>
          <w:tblHeader/>
        </w:trPr>
        <w:tc>
          <w:tcPr>
            <w:tcW w:w="1264" w:type="pct"/>
            <w:tcBorders>
              <w:top w:val="single" w:sz="4" w:space="0" w:color="auto"/>
              <w:bottom w:val="single" w:sz="4" w:space="0" w:color="auto"/>
            </w:tcBorders>
            <w:shd w:val="clear" w:color="auto" w:fill="CCFFFF"/>
            <w:tcMar>
              <w:top w:w="113" w:type="dxa"/>
            </w:tcMar>
            <w:vAlign w:val="center"/>
          </w:tcPr>
          <w:p w:rsidR="009F58E5" w:rsidRPr="00C75C7E" w:rsidRDefault="009F58E5" w:rsidP="008F4F69">
            <w:pPr>
              <w:spacing w:after="120"/>
              <w:jc w:val="center"/>
              <w:rPr>
                <w:b/>
                <w:bCs/>
                <w:sz w:val="18"/>
                <w:szCs w:val="18"/>
                <w:lang w:val="es-ES_tradnl"/>
              </w:rPr>
            </w:pPr>
            <w:r w:rsidRPr="00C75C7E">
              <w:rPr>
                <w:b/>
                <w:bCs/>
                <w:sz w:val="18"/>
                <w:szCs w:val="18"/>
                <w:lang w:val="es-ES_tradnl"/>
              </w:rPr>
              <w:t>Resultados previstos</w:t>
            </w:r>
          </w:p>
        </w:tc>
        <w:tc>
          <w:tcPr>
            <w:tcW w:w="1532" w:type="pct"/>
            <w:tcBorders>
              <w:top w:val="single" w:sz="4" w:space="0" w:color="auto"/>
              <w:bottom w:val="single" w:sz="4" w:space="0" w:color="auto"/>
            </w:tcBorders>
            <w:shd w:val="clear" w:color="auto" w:fill="CCFFFF"/>
            <w:tcMar>
              <w:top w:w="113" w:type="dxa"/>
            </w:tcMar>
            <w:vAlign w:val="center"/>
          </w:tcPr>
          <w:p w:rsidR="009F58E5" w:rsidRPr="00C75C7E" w:rsidRDefault="009F58E5" w:rsidP="008F4F69">
            <w:pPr>
              <w:spacing w:after="120"/>
              <w:jc w:val="center"/>
              <w:rPr>
                <w:b/>
                <w:sz w:val="18"/>
                <w:szCs w:val="18"/>
                <w:lang w:val="es-ES_tradnl"/>
              </w:rPr>
            </w:pPr>
            <w:r w:rsidRPr="00C75C7E">
              <w:rPr>
                <w:b/>
                <w:sz w:val="18"/>
                <w:szCs w:val="18"/>
                <w:lang w:val="es-ES_tradnl"/>
              </w:rPr>
              <w:t>Indicadores de rendimiento</w:t>
            </w:r>
          </w:p>
        </w:tc>
        <w:tc>
          <w:tcPr>
            <w:tcW w:w="1170" w:type="pct"/>
            <w:tcBorders>
              <w:top w:val="single" w:sz="4" w:space="0" w:color="auto"/>
              <w:bottom w:val="single" w:sz="4" w:space="0" w:color="auto"/>
            </w:tcBorders>
            <w:shd w:val="clear" w:color="auto" w:fill="CCFFFF"/>
            <w:tcMar>
              <w:top w:w="113" w:type="dxa"/>
            </w:tcMar>
            <w:vAlign w:val="center"/>
          </w:tcPr>
          <w:p w:rsidR="009F58E5" w:rsidRPr="00C75C7E" w:rsidRDefault="009F58E5" w:rsidP="00C665A4">
            <w:pPr>
              <w:spacing w:after="120"/>
              <w:ind w:left="85"/>
              <w:rPr>
                <w:sz w:val="18"/>
                <w:szCs w:val="18"/>
                <w:lang w:val="es-ES_tradnl"/>
              </w:rPr>
            </w:pPr>
            <w:r w:rsidRPr="00C75C7E">
              <w:rPr>
                <w:b/>
                <w:bCs/>
                <w:sz w:val="18"/>
                <w:szCs w:val="18"/>
                <w:lang w:val="es-ES_tradnl"/>
              </w:rPr>
              <w:t>Referencia</w:t>
            </w:r>
          </w:p>
        </w:tc>
        <w:tc>
          <w:tcPr>
            <w:tcW w:w="1034" w:type="pct"/>
            <w:tcBorders>
              <w:top w:val="single" w:sz="4" w:space="0" w:color="auto"/>
              <w:bottom w:val="single" w:sz="4" w:space="0" w:color="auto"/>
            </w:tcBorders>
            <w:shd w:val="clear" w:color="auto" w:fill="CCFFFF"/>
            <w:tcMar>
              <w:top w:w="113" w:type="dxa"/>
            </w:tcMar>
            <w:vAlign w:val="center"/>
          </w:tcPr>
          <w:p w:rsidR="009F58E5" w:rsidRPr="00C75C7E" w:rsidRDefault="009F58E5" w:rsidP="00C665A4">
            <w:pPr>
              <w:keepNext/>
              <w:keepLines/>
              <w:tabs>
                <w:tab w:val="left" w:pos="1648"/>
              </w:tabs>
              <w:spacing w:after="120"/>
              <w:ind w:right="271"/>
              <w:rPr>
                <w:b/>
                <w:bCs/>
                <w:sz w:val="18"/>
                <w:szCs w:val="18"/>
                <w:lang w:val="es-ES_tradnl"/>
              </w:rPr>
            </w:pPr>
            <w:r w:rsidRPr="00C75C7E">
              <w:rPr>
                <w:b/>
                <w:bCs/>
                <w:sz w:val="18"/>
                <w:szCs w:val="18"/>
                <w:lang w:val="es-ES_tradnl"/>
              </w:rPr>
              <w:t>Objetivos</w:t>
            </w:r>
          </w:p>
        </w:tc>
      </w:tr>
      <w:tr w:rsidR="009F58E5" w:rsidRPr="00C75C7E" w:rsidTr="008F4F69">
        <w:trPr>
          <w:cantSplit/>
        </w:trPr>
        <w:tc>
          <w:tcPr>
            <w:tcW w:w="1264" w:type="pct"/>
            <w:vMerge w:val="restart"/>
            <w:tcBorders>
              <w:top w:val="single" w:sz="4" w:space="0" w:color="auto"/>
            </w:tcBorders>
            <w:shd w:val="clear" w:color="auto" w:fill="auto"/>
            <w:tcMar>
              <w:top w:w="113" w:type="dxa"/>
            </w:tcMar>
          </w:tcPr>
          <w:p w:rsidR="009F58E5" w:rsidRPr="00C75C7E" w:rsidRDefault="009F58E5" w:rsidP="008F4F69">
            <w:pPr>
              <w:rPr>
                <w:sz w:val="16"/>
                <w:szCs w:val="16"/>
                <w:lang w:val="es-ES_tradnl"/>
              </w:rPr>
            </w:pPr>
            <w:r w:rsidRPr="00C75C7E">
              <w:rPr>
                <w:sz w:val="16"/>
                <w:szCs w:val="16"/>
                <w:lang w:val="es-ES_tradnl"/>
              </w:rPr>
              <w:t xml:space="preserve">IX.4. Una Organización responsable con el medio ambiente y la sociedad en la que se garantiza la seguridad del personal de la OMPI, los delegados, los visitantes, la </w:t>
            </w:r>
            <w:r w:rsidRPr="00C75C7E">
              <w:rPr>
                <w:sz w:val="16"/>
                <w:szCs w:val="16"/>
                <w:lang w:val="es-ES_tradnl"/>
              </w:rPr>
              <w:lastRenderedPageBreak/>
              <w:t>información y los activos físicos.</w:t>
            </w:r>
          </w:p>
        </w:tc>
        <w:tc>
          <w:tcPr>
            <w:tcW w:w="1532" w:type="pct"/>
            <w:tcBorders>
              <w:top w:val="single" w:sz="4" w:space="0" w:color="auto"/>
            </w:tcBorders>
            <w:shd w:val="clear" w:color="auto" w:fill="auto"/>
            <w:tcMar>
              <w:top w:w="113" w:type="dxa"/>
            </w:tcMar>
          </w:tcPr>
          <w:p w:rsidR="009F58E5" w:rsidRPr="00C75C7E" w:rsidRDefault="009F58E5" w:rsidP="008F4F69">
            <w:pPr>
              <w:rPr>
                <w:sz w:val="16"/>
                <w:szCs w:val="16"/>
                <w:lang w:val="es-ES_tradnl"/>
              </w:rPr>
            </w:pPr>
            <w:r w:rsidRPr="00C75C7E">
              <w:rPr>
                <w:sz w:val="16"/>
                <w:szCs w:val="16"/>
                <w:lang w:val="es-ES_tradnl"/>
              </w:rPr>
              <w:lastRenderedPageBreak/>
              <w:t>Porcentaje de miembros del personal, delegados y visitantes que notifican lesiones o incidentes relacionados con el entorno laboral.</w:t>
            </w:r>
          </w:p>
        </w:tc>
        <w:tc>
          <w:tcPr>
            <w:tcW w:w="1170" w:type="pct"/>
            <w:tcBorders>
              <w:top w:val="single" w:sz="4" w:space="0" w:color="auto"/>
            </w:tcBorders>
            <w:shd w:val="clear" w:color="auto" w:fill="FFFFFF"/>
            <w:tcMar>
              <w:top w:w="113" w:type="dxa"/>
            </w:tcMar>
          </w:tcPr>
          <w:p w:rsidR="009F58E5" w:rsidRPr="00C75C7E" w:rsidRDefault="009F58E5" w:rsidP="008F4F69">
            <w:pPr>
              <w:rPr>
                <w:sz w:val="16"/>
                <w:szCs w:val="16"/>
                <w:lang w:val="es-ES_tradnl"/>
              </w:rPr>
            </w:pPr>
            <w:r w:rsidRPr="00C75C7E">
              <w:rPr>
                <w:sz w:val="16"/>
                <w:szCs w:val="16"/>
                <w:lang w:val="es-ES_tradnl"/>
              </w:rPr>
              <w:t>El 2% o un porcentaje menor del total de partes interesadas / clientes notifican lesiones o incidentes relacionados con el entorno laboral.</w:t>
            </w:r>
          </w:p>
        </w:tc>
        <w:tc>
          <w:tcPr>
            <w:tcW w:w="1034" w:type="pct"/>
            <w:tcBorders>
              <w:top w:val="single" w:sz="4" w:space="0" w:color="auto"/>
            </w:tcBorders>
            <w:shd w:val="clear" w:color="auto" w:fill="auto"/>
            <w:tcMar>
              <w:top w:w="113" w:type="dxa"/>
            </w:tcMar>
          </w:tcPr>
          <w:p w:rsidR="009F58E5" w:rsidRPr="00C75C7E" w:rsidRDefault="009F58E5" w:rsidP="008F4F69">
            <w:pPr>
              <w:keepNext/>
              <w:keepLines/>
              <w:ind w:right="381"/>
              <w:rPr>
                <w:bCs/>
                <w:sz w:val="16"/>
                <w:szCs w:val="16"/>
                <w:lang w:val="es-ES_tradnl"/>
              </w:rPr>
            </w:pPr>
            <w:r w:rsidRPr="00C75C7E">
              <w:rPr>
                <w:bCs/>
                <w:sz w:val="16"/>
                <w:szCs w:val="16"/>
                <w:lang w:val="es-ES_tradnl"/>
              </w:rPr>
              <w:t>2% o menos.</w:t>
            </w:r>
          </w:p>
        </w:tc>
      </w:tr>
      <w:tr w:rsidR="009F58E5" w:rsidRPr="00C75C7E" w:rsidTr="008F4F69">
        <w:trPr>
          <w:cantSplit/>
          <w:trHeight w:val="1377"/>
        </w:trPr>
        <w:tc>
          <w:tcPr>
            <w:tcW w:w="1264" w:type="pct"/>
            <w:vMerge/>
            <w:shd w:val="clear" w:color="auto" w:fill="auto"/>
            <w:tcMar>
              <w:top w:w="113" w:type="dxa"/>
            </w:tcMar>
          </w:tcPr>
          <w:p w:rsidR="009F58E5" w:rsidRPr="00C75C7E" w:rsidRDefault="009F58E5" w:rsidP="008F4F69">
            <w:pPr>
              <w:rPr>
                <w:sz w:val="16"/>
                <w:szCs w:val="16"/>
                <w:lang w:val="es-ES_tradnl"/>
              </w:rPr>
            </w:pPr>
          </w:p>
        </w:tc>
        <w:tc>
          <w:tcPr>
            <w:tcW w:w="1532" w:type="pct"/>
            <w:shd w:val="clear" w:color="auto" w:fill="auto"/>
            <w:tcMar>
              <w:top w:w="113" w:type="dxa"/>
            </w:tcMar>
          </w:tcPr>
          <w:p w:rsidR="009F58E5" w:rsidRPr="00C75C7E" w:rsidRDefault="009F58E5" w:rsidP="008F4F69">
            <w:pPr>
              <w:rPr>
                <w:sz w:val="16"/>
                <w:szCs w:val="16"/>
                <w:lang w:val="es-ES_tradnl"/>
              </w:rPr>
            </w:pPr>
            <w:r w:rsidRPr="00C75C7E">
              <w:rPr>
                <w:sz w:val="16"/>
                <w:szCs w:val="16"/>
                <w:lang w:val="es-ES_tradnl"/>
              </w:rPr>
              <w:t>Porcentaje de peticiones de asistencia relativa a la seguridad atendidas puntualmente en las conferencias o actividades organizadas en Ginebra o en otros lugares.</w:t>
            </w:r>
          </w:p>
        </w:tc>
        <w:tc>
          <w:tcPr>
            <w:tcW w:w="1170" w:type="pct"/>
            <w:shd w:val="clear" w:color="auto" w:fill="FFFFFF"/>
            <w:tcMar>
              <w:top w:w="113" w:type="dxa"/>
            </w:tcMar>
          </w:tcPr>
          <w:p w:rsidR="009F58E5" w:rsidRPr="00C75C7E" w:rsidRDefault="009F58E5" w:rsidP="008F4F69">
            <w:pPr>
              <w:rPr>
                <w:sz w:val="16"/>
                <w:szCs w:val="16"/>
                <w:lang w:val="es-ES_tradnl" w:bidi="th-TH"/>
              </w:rPr>
            </w:pPr>
            <w:r w:rsidRPr="00C75C7E">
              <w:rPr>
                <w:sz w:val="16"/>
                <w:szCs w:val="16"/>
                <w:lang w:val="es-ES_tradnl" w:bidi="th-TH"/>
              </w:rPr>
              <w:t>El 65% o un porcentaje mayor del total de partes interesadas / clientes reciben puntualmente asistencia relativa a la seguridad en las conferencias o actividades organizadas en Ginebra o en otros lugares.</w:t>
            </w:r>
          </w:p>
        </w:tc>
        <w:tc>
          <w:tcPr>
            <w:tcW w:w="1034" w:type="pct"/>
            <w:shd w:val="clear" w:color="auto" w:fill="auto"/>
            <w:tcMar>
              <w:top w:w="113" w:type="dxa"/>
            </w:tcMar>
          </w:tcPr>
          <w:p w:rsidR="009F58E5" w:rsidRPr="00C75C7E" w:rsidRDefault="009F58E5" w:rsidP="008F4F69">
            <w:pPr>
              <w:keepNext/>
              <w:keepLines/>
              <w:tabs>
                <w:tab w:val="left" w:pos="2051"/>
              </w:tabs>
              <w:ind w:right="381"/>
              <w:rPr>
                <w:bCs/>
                <w:sz w:val="16"/>
                <w:szCs w:val="16"/>
                <w:lang w:val="es-ES_tradnl"/>
              </w:rPr>
            </w:pPr>
            <w:r w:rsidRPr="00C75C7E">
              <w:rPr>
                <w:bCs/>
                <w:sz w:val="16"/>
                <w:szCs w:val="16"/>
                <w:lang w:val="es-ES_tradnl"/>
              </w:rPr>
              <w:t>80 % o más.</w:t>
            </w:r>
          </w:p>
        </w:tc>
      </w:tr>
    </w:tbl>
    <w:p w:rsidR="009F58E5" w:rsidRPr="00C75C7E" w:rsidRDefault="009F58E5" w:rsidP="009F58E5">
      <w:pPr>
        <w:rPr>
          <w:sz w:val="20"/>
          <w:lang w:val="es-ES_tradnl"/>
        </w:rPr>
      </w:pPr>
    </w:p>
    <w:p w:rsidR="00E10A93" w:rsidRPr="003F4AA7" w:rsidRDefault="00E10A93" w:rsidP="00E10A93">
      <w:pPr>
        <w:rPr>
          <w:sz w:val="20"/>
        </w:rPr>
      </w:pPr>
    </w:p>
    <w:p w:rsidR="00E10A93" w:rsidRPr="003F4AA7" w:rsidRDefault="00E10A93" w:rsidP="00E10A93">
      <w:pPr>
        <w:keepNext/>
        <w:keepLines/>
        <w:autoSpaceDE w:val="0"/>
        <w:autoSpaceDN w:val="0"/>
        <w:adjustRightInd w:val="0"/>
        <w:jc w:val="both"/>
        <w:rPr>
          <w:szCs w:val="22"/>
        </w:rPr>
      </w:pPr>
      <w:r w:rsidRPr="00ED24BB">
        <w:rPr>
          <w:szCs w:val="22"/>
        </w:rPr>
        <w:t>RECURSOS PARA EL PROGRAMA</w:t>
      </w:r>
      <w:r w:rsidRPr="003F4AA7">
        <w:rPr>
          <w:szCs w:val="22"/>
        </w:rPr>
        <w:t xml:space="preserve"> 28</w:t>
      </w:r>
    </w:p>
    <w:p w:rsidR="00E10A93" w:rsidRPr="003F4AA7" w:rsidRDefault="00E10A93" w:rsidP="00E10A93">
      <w:pPr>
        <w:keepNext/>
        <w:keepLines/>
        <w:autoSpaceDE w:val="0"/>
        <w:autoSpaceDN w:val="0"/>
        <w:adjustRightInd w:val="0"/>
        <w:rPr>
          <w:sz w:val="20"/>
        </w:rPr>
      </w:pPr>
    </w:p>
    <w:p w:rsidR="00E10A93" w:rsidRPr="00184970" w:rsidRDefault="00E10A93" w:rsidP="00D41E6A">
      <w:pPr>
        <w:numPr>
          <w:ilvl w:val="0"/>
          <w:numId w:val="47"/>
        </w:numPr>
        <w:jc w:val="both"/>
        <w:rPr>
          <w:sz w:val="20"/>
        </w:rPr>
      </w:pPr>
      <w:r w:rsidRPr="00505ADE">
        <w:rPr>
          <w:sz w:val="20"/>
        </w:rPr>
        <w:t>Los recurs</w:t>
      </w:r>
      <w:r>
        <w:rPr>
          <w:sz w:val="20"/>
        </w:rPr>
        <w:t xml:space="preserve">os asignados al resultado IX.4 </w:t>
      </w:r>
      <w:r w:rsidRPr="00505ADE">
        <w:rPr>
          <w:sz w:val="20"/>
        </w:rPr>
        <w:t>(</w:t>
      </w:r>
      <w:r>
        <w:rPr>
          <w:sz w:val="20"/>
        </w:rPr>
        <w:t xml:space="preserve">Una Organización </w:t>
      </w:r>
      <w:r w:rsidRPr="00505ADE">
        <w:rPr>
          <w:sz w:val="20"/>
        </w:rPr>
        <w:t>responsable con el medio</w:t>
      </w:r>
      <w:r>
        <w:rPr>
          <w:sz w:val="20"/>
        </w:rPr>
        <w:t xml:space="preserve"> ambiente y la </w:t>
      </w:r>
      <w:r w:rsidRPr="00505ADE">
        <w:rPr>
          <w:sz w:val="20"/>
        </w:rPr>
        <w:t>sociedad en la</w:t>
      </w:r>
      <w:r>
        <w:rPr>
          <w:sz w:val="20"/>
        </w:rPr>
        <w:t xml:space="preserve"> </w:t>
      </w:r>
      <w:r w:rsidRPr="00505ADE">
        <w:rPr>
          <w:sz w:val="20"/>
        </w:rPr>
        <w:t>que se garantiza la</w:t>
      </w:r>
      <w:r>
        <w:rPr>
          <w:sz w:val="20"/>
        </w:rPr>
        <w:t xml:space="preserve"> </w:t>
      </w:r>
      <w:r w:rsidRPr="00505ADE">
        <w:rPr>
          <w:sz w:val="20"/>
        </w:rPr>
        <w:t>seguridad del personal de la</w:t>
      </w:r>
      <w:r>
        <w:rPr>
          <w:sz w:val="20"/>
        </w:rPr>
        <w:t xml:space="preserve"> </w:t>
      </w:r>
      <w:r w:rsidRPr="00505ADE">
        <w:rPr>
          <w:sz w:val="20"/>
        </w:rPr>
        <w:t>OMPI, los delegados, los</w:t>
      </w:r>
      <w:r>
        <w:rPr>
          <w:sz w:val="20"/>
        </w:rPr>
        <w:t xml:space="preserve"> visitantes, la </w:t>
      </w:r>
      <w:r w:rsidRPr="00505ADE">
        <w:rPr>
          <w:sz w:val="20"/>
        </w:rPr>
        <w:t>información y</w:t>
      </w:r>
      <w:r>
        <w:rPr>
          <w:sz w:val="20"/>
        </w:rPr>
        <w:t xml:space="preserve"> </w:t>
      </w:r>
      <w:r w:rsidRPr="00505ADE">
        <w:rPr>
          <w:sz w:val="20"/>
        </w:rPr>
        <w:t>los activos físicos</w:t>
      </w:r>
      <w:r>
        <w:rPr>
          <w:sz w:val="20"/>
        </w:rPr>
        <w:t>) se mantienen en gran parte estables en esta propuesta de presupuesto 2014/15</w:t>
      </w:r>
      <w:r w:rsidRPr="00505ADE">
        <w:rPr>
          <w:sz w:val="20"/>
        </w:rPr>
        <w:t>.</w:t>
      </w:r>
      <w:r>
        <w:rPr>
          <w:sz w:val="20"/>
        </w:rPr>
        <w:t xml:space="preserve">  En concordancia con las medidas </w:t>
      </w:r>
      <w:r w:rsidRPr="00184970">
        <w:rPr>
          <w:sz w:val="20"/>
        </w:rPr>
        <w:t>de</w:t>
      </w:r>
      <w:r>
        <w:rPr>
          <w:sz w:val="20"/>
        </w:rPr>
        <w:t xml:space="preserve">stinadas a fomentar la eficacia </w:t>
      </w:r>
      <w:r w:rsidRPr="00184970">
        <w:rPr>
          <w:sz w:val="20"/>
        </w:rPr>
        <w:t>en</w:t>
      </w:r>
      <w:r>
        <w:rPr>
          <w:sz w:val="20"/>
        </w:rPr>
        <w:t xml:space="preserve"> función de los costos, se han realizado esfuerzos conscientes para contener cualquier aumento en los contratos relativos a la seguridad, lo que se ha traducido en la prestación más</w:t>
      </w:r>
      <w:r w:rsidRPr="00184970">
        <w:rPr>
          <w:sz w:val="20"/>
        </w:rPr>
        <w:t xml:space="preserve"> eficaz en función de los costos</w:t>
      </w:r>
      <w:r>
        <w:rPr>
          <w:sz w:val="20"/>
        </w:rPr>
        <w:t xml:space="preserve"> de servicios de seguridad para la Organización.</w:t>
      </w:r>
    </w:p>
    <w:p w:rsidR="00E10A93" w:rsidRPr="00505ADE" w:rsidRDefault="00E10A93" w:rsidP="00E10A93">
      <w:pPr>
        <w:jc w:val="both"/>
        <w:rPr>
          <w:sz w:val="20"/>
        </w:rPr>
      </w:pPr>
    </w:p>
    <w:p w:rsidR="00E10A93" w:rsidRPr="00E10A93" w:rsidRDefault="00E10A93" w:rsidP="009F58E5">
      <w:pPr>
        <w:rPr>
          <w:sz w:val="20"/>
          <w:highlight w:val="yellow"/>
        </w:rPr>
      </w:pPr>
    </w:p>
    <w:p w:rsidR="009F58E5" w:rsidRPr="00C75C7E" w:rsidRDefault="00C665A4" w:rsidP="009F58E5">
      <w:pPr>
        <w:keepNext/>
        <w:keepLines/>
        <w:autoSpaceDE w:val="0"/>
        <w:autoSpaceDN w:val="0"/>
        <w:adjustRightInd w:val="0"/>
        <w:ind w:firstLine="567"/>
        <w:jc w:val="center"/>
        <w:rPr>
          <w:b/>
          <w:bCs/>
          <w:iCs/>
          <w:sz w:val="20"/>
          <w:lang w:val="es-ES_tradnl"/>
        </w:rPr>
      </w:pPr>
      <w:r>
        <w:rPr>
          <w:b/>
          <w:bCs/>
          <w:iCs/>
          <w:sz w:val="20"/>
          <w:lang w:val="es-ES_tradnl"/>
        </w:rPr>
        <w:t xml:space="preserve">Programa 28:  </w:t>
      </w:r>
      <w:r w:rsidR="009F58E5" w:rsidRPr="00C75C7E">
        <w:rPr>
          <w:b/>
          <w:bCs/>
          <w:iCs/>
          <w:sz w:val="20"/>
          <w:lang w:val="es-ES_tradnl"/>
        </w:rPr>
        <w:t>Recursos por resultado</w:t>
      </w:r>
    </w:p>
    <w:p w:rsidR="009F58E5" w:rsidRPr="00C75C7E" w:rsidRDefault="009F58E5" w:rsidP="009F58E5">
      <w:pPr>
        <w:keepNext/>
        <w:keepLines/>
        <w:autoSpaceDE w:val="0"/>
        <w:autoSpaceDN w:val="0"/>
        <w:adjustRightInd w:val="0"/>
        <w:ind w:firstLine="567"/>
        <w:jc w:val="center"/>
        <w:rPr>
          <w:bCs/>
          <w:i/>
          <w:sz w:val="20"/>
          <w:lang w:val="es-ES_tradnl"/>
        </w:rPr>
      </w:pPr>
      <w:r w:rsidRPr="00C75C7E">
        <w:rPr>
          <w:bCs/>
          <w:i/>
          <w:sz w:val="20"/>
          <w:lang w:val="es-ES_tradnl"/>
        </w:rPr>
        <w:t>(en miles de francos suizos)</w:t>
      </w:r>
    </w:p>
    <w:p w:rsidR="009F58E5" w:rsidRPr="00C75C7E" w:rsidRDefault="009F58E5" w:rsidP="009F58E5">
      <w:pPr>
        <w:keepNext/>
        <w:rPr>
          <w:sz w:val="20"/>
          <w:lang w:val="es-ES_tradnl"/>
        </w:rPr>
      </w:pPr>
    </w:p>
    <w:p w:rsidR="009F58E5" w:rsidRPr="00C75C7E" w:rsidRDefault="00C40A11" w:rsidP="009F58E5">
      <w:pPr>
        <w:keepNext/>
        <w:rPr>
          <w:sz w:val="20"/>
          <w:lang w:val="es-ES_tradnl"/>
        </w:rPr>
      </w:pPr>
      <w:r>
        <w:rPr>
          <w:noProof/>
          <w:lang w:val="en-US" w:eastAsia="en-US"/>
        </w:rPr>
        <w:drawing>
          <wp:inline distT="0" distB="0" distL="0" distR="0" wp14:anchorId="1AF21A09" wp14:editId="54DD8DCD">
            <wp:extent cx="5752465" cy="1330960"/>
            <wp:effectExtent l="0" t="0" r="635" b="2540"/>
            <wp:docPr id="82"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5752465" cy="1330960"/>
                    </a:xfrm>
                    <a:prstGeom prst="rect">
                      <a:avLst/>
                    </a:prstGeom>
                    <a:noFill/>
                    <a:ln>
                      <a:noFill/>
                    </a:ln>
                  </pic:spPr>
                </pic:pic>
              </a:graphicData>
            </a:graphic>
          </wp:inline>
        </w:drawing>
      </w:r>
    </w:p>
    <w:p w:rsidR="009F58E5" w:rsidRPr="00C75C7E" w:rsidRDefault="009F58E5" w:rsidP="009F58E5">
      <w:pPr>
        <w:keepNext/>
        <w:rPr>
          <w:sz w:val="20"/>
          <w:lang w:val="es-ES_tradnl"/>
        </w:rPr>
      </w:pPr>
    </w:p>
    <w:p w:rsidR="009F58E5" w:rsidRPr="00C75C7E" w:rsidRDefault="009F58E5" w:rsidP="009F58E5">
      <w:pPr>
        <w:keepNext/>
        <w:keepLines/>
        <w:autoSpaceDE w:val="0"/>
        <w:autoSpaceDN w:val="0"/>
        <w:adjustRightInd w:val="0"/>
        <w:rPr>
          <w:sz w:val="20"/>
          <w:lang w:val="es-ES_tradnl"/>
        </w:rPr>
      </w:pPr>
      <w:r w:rsidRPr="00C75C7E">
        <w:rPr>
          <w:sz w:val="16"/>
          <w:szCs w:val="16"/>
          <w:lang w:val="es-ES_tradnl"/>
        </w:rPr>
        <w:t xml:space="preserve">Nota: </w:t>
      </w:r>
      <w:r w:rsidR="00CD7492">
        <w:rPr>
          <w:sz w:val="16"/>
          <w:szCs w:val="16"/>
          <w:lang w:val="es-ES_tradnl"/>
        </w:rPr>
        <w:t xml:space="preserve"> </w:t>
      </w:r>
      <w:r w:rsidRPr="00C75C7E">
        <w:rPr>
          <w:sz w:val="16"/>
          <w:szCs w:val="16"/>
          <w:lang w:val="es-ES_tradnl"/>
        </w:rPr>
        <w:t>Se ha reexpresado el presupuesto aprobado de 2012/13 y el presupuesto de dicho bienio después de las transferencias, por resultado previsto, para reflejar el marco de resultados de la Organización propuesto para 2014/15.</w:t>
      </w:r>
    </w:p>
    <w:p w:rsidR="009F58E5" w:rsidRPr="00C75C7E" w:rsidRDefault="009F58E5" w:rsidP="009F58E5">
      <w:pPr>
        <w:rPr>
          <w:sz w:val="20"/>
          <w:lang w:val="es-ES_tradnl"/>
        </w:rPr>
      </w:pPr>
    </w:p>
    <w:p w:rsidR="009F58E5" w:rsidRPr="00C75C7E" w:rsidRDefault="009F58E5" w:rsidP="009F58E5">
      <w:pPr>
        <w:rPr>
          <w:sz w:val="20"/>
          <w:highlight w:val="yellow"/>
          <w:lang w:val="es-ES_tradnl"/>
        </w:rPr>
      </w:pPr>
    </w:p>
    <w:p w:rsidR="009F58E5" w:rsidRPr="00C75C7E" w:rsidRDefault="003F16E0" w:rsidP="009F58E5">
      <w:pPr>
        <w:keepNext/>
        <w:keepLines/>
        <w:autoSpaceDE w:val="0"/>
        <w:autoSpaceDN w:val="0"/>
        <w:adjustRightInd w:val="0"/>
        <w:ind w:firstLine="567"/>
        <w:jc w:val="center"/>
        <w:rPr>
          <w:b/>
          <w:bCs/>
          <w:iCs/>
          <w:sz w:val="20"/>
          <w:lang w:val="es-ES_tradnl"/>
        </w:rPr>
      </w:pPr>
      <w:r>
        <w:rPr>
          <w:b/>
          <w:bCs/>
          <w:iCs/>
          <w:sz w:val="20"/>
          <w:lang w:val="es-ES_tradnl"/>
        </w:rPr>
        <w:lastRenderedPageBreak/>
        <w:t xml:space="preserve">Programa 28:  </w:t>
      </w:r>
      <w:r w:rsidR="009F58E5" w:rsidRPr="00C75C7E">
        <w:rPr>
          <w:b/>
          <w:bCs/>
          <w:iCs/>
          <w:sz w:val="20"/>
          <w:lang w:val="es-ES_tradnl"/>
        </w:rPr>
        <w:t>Recursos por objeto de gasto</w:t>
      </w:r>
    </w:p>
    <w:p w:rsidR="009F58E5" w:rsidRPr="00C75C7E" w:rsidRDefault="009F58E5" w:rsidP="009F58E5">
      <w:pPr>
        <w:keepNext/>
        <w:keepLines/>
        <w:autoSpaceDE w:val="0"/>
        <w:autoSpaceDN w:val="0"/>
        <w:adjustRightInd w:val="0"/>
        <w:ind w:firstLine="567"/>
        <w:jc w:val="center"/>
        <w:rPr>
          <w:bCs/>
          <w:i/>
          <w:sz w:val="20"/>
          <w:lang w:val="es-ES_tradnl"/>
        </w:rPr>
      </w:pPr>
      <w:r w:rsidRPr="00C75C7E">
        <w:rPr>
          <w:bCs/>
          <w:i/>
          <w:sz w:val="20"/>
          <w:lang w:val="es-ES_tradnl"/>
        </w:rPr>
        <w:t>(en miles de francos suizos)</w:t>
      </w:r>
    </w:p>
    <w:p w:rsidR="009F58E5" w:rsidRDefault="009F58E5" w:rsidP="009F58E5">
      <w:pPr>
        <w:keepNext/>
        <w:keepLines/>
        <w:jc w:val="center"/>
        <w:rPr>
          <w:i/>
          <w:sz w:val="18"/>
          <w:szCs w:val="18"/>
          <w:lang w:val="es-ES_tradnl"/>
        </w:rPr>
      </w:pPr>
    </w:p>
    <w:p w:rsidR="00EA4CD8" w:rsidRPr="00C75C7E" w:rsidRDefault="00C40A11" w:rsidP="009F58E5">
      <w:pPr>
        <w:keepNext/>
        <w:keepLines/>
        <w:jc w:val="center"/>
        <w:rPr>
          <w:i/>
          <w:sz w:val="18"/>
          <w:szCs w:val="18"/>
          <w:lang w:val="es-ES_tradnl"/>
        </w:rPr>
      </w:pPr>
      <w:r>
        <w:rPr>
          <w:noProof/>
          <w:lang w:val="en-US" w:eastAsia="en-US"/>
        </w:rPr>
        <w:drawing>
          <wp:inline distT="0" distB="0" distL="0" distR="0" wp14:anchorId="5295CF0F" wp14:editId="58354744">
            <wp:extent cx="5936615" cy="5739130"/>
            <wp:effectExtent l="0" t="0" r="6985"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5936615" cy="5739130"/>
                    </a:xfrm>
                    <a:prstGeom prst="rect">
                      <a:avLst/>
                    </a:prstGeom>
                    <a:noFill/>
                    <a:ln>
                      <a:noFill/>
                    </a:ln>
                  </pic:spPr>
                </pic:pic>
              </a:graphicData>
            </a:graphic>
          </wp:inline>
        </w:drawing>
      </w:r>
    </w:p>
    <w:p w:rsidR="00EA4CD8" w:rsidRDefault="00EA4CD8" w:rsidP="009F58E5">
      <w:pPr>
        <w:keepNext/>
        <w:keepLines/>
        <w:rPr>
          <w:sz w:val="16"/>
          <w:szCs w:val="16"/>
          <w:lang w:val="es-ES_tradnl"/>
        </w:rPr>
      </w:pPr>
    </w:p>
    <w:p w:rsidR="009F58E5" w:rsidRPr="00C75C7E" w:rsidRDefault="009F58E5" w:rsidP="009F58E5">
      <w:pPr>
        <w:keepNext/>
        <w:keepLines/>
        <w:rPr>
          <w:sz w:val="16"/>
          <w:szCs w:val="16"/>
          <w:lang w:val="es-ES_tradnl"/>
        </w:rPr>
      </w:pPr>
      <w:r w:rsidRPr="00C75C7E">
        <w:rPr>
          <w:sz w:val="16"/>
          <w:szCs w:val="16"/>
          <w:lang w:val="es-ES_tradnl"/>
        </w:rPr>
        <w:t>Notas:</w:t>
      </w:r>
    </w:p>
    <w:p w:rsidR="009F58E5" w:rsidRPr="00C75C7E" w:rsidRDefault="009F58E5" w:rsidP="009F58E5">
      <w:pPr>
        <w:keepNext/>
        <w:keepLines/>
        <w:rPr>
          <w:sz w:val="16"/>
          <w:szCs w:val="16"/>
          <w:u w:val="single"/>
          <w:lang w:val="es-ES_tradnl"/>
        </w:rPr>
      </w:pPr>
    </w:p>
    <w:p w:rsidR="009F58E5" w:rsidRPr="00C75C7E" w:rsidRDefault="00CD7492" w:rsidP="009F58E5">
      <w:pPr>
        <w:keepNext/>
        <w:keepLines/>
        <w:spacing w:after="120"/>
        <w:rPr>
          <w:sz w:val="16"/>
          <w:szCs w:val="16"/>
          <w:lang w:val="es-ES_tradnl"/>
        </w:rPr>
      </w:pPr>
      <w:r>
        <w:rPr>
          <w:sz w:val="16"/>
          <w:szCs w:val="16"/>
          <w:lang w:val="es-ES_tradnl"/>
        </w:rPr>
        <w:t xml:space="preserve">1)  </w:t>
      </w:r>
      <w:r w:rsidR="009F58E5" w:rsidRPr="00C75C7E">
        <w:rPr>
          <w:sz w:val="16"/>
          <w:szCs w:val="16"/>
          <w:lang w:val="es-ES_tradnl"/>
        </w:rPr>
        <w:t>El presupuesto aprobado de 2012/13 y el presupuesto de dicho bienio después de las transferencias se reexpresan sobre la base de la estructura de categorías de costos propuesta para 2014/15.</w:t>
      </w:r>
    </w:p>
    <w:p w:rsidR="009F58E5" w:rsidRPr="00C75C7E" w:rsidRDefault="009F58E5" w:rsidP="009F58E5">
      <w:pPr>
        <w:keepNext/>
        <w:keepLines/>
        <w:spacing w:after="120"/>
        <w:rPr>
          <w:sz w:val="16"/>
          <w:szCs w:val="16"/>
          <w:lang w:val="es-ES_tradnl"/>
        </w:rPr>
      </w:pPr>
      <w:r>
        <w:rPr>
          <w:sz w:val="16"/>
          <w:szCs w:val="16"/>
          <w:lang w:val="es-ES_tradnl"/>
        </w:rPr>
        <w:t>2)</w:t>
      </w:r>
      <w:r w:rsidR="00CD7492">
        <w:rPr>
          <w:sz w:val="16"/>
          <w:szCs w:val="16"/>
          <w:lang w:val="es-ES_tradnl"/>
        </w:rPr>
        <w:t xml:space="preserve">  </w:t>
      </w:r>
      <w:r w:rsidRPr="00C75C7E">
        <w:rPr>
          <w:sz w:val="16"/>
          <w:szCs w:val="16"/>
          <w:lang w:val="es-ES_tradnl"/>
        </w:rPr>
        <w:t>El presupuesto después de las transferencias refleja el presupuesto de los programas ajustado tras las transferencias efectuadas en 2012/13 en virtud del artículo 5.5 del Reglamento Financiero. Para más info</w:t>
      </w:r>
      <w:r w:rsidR="00D724E6">
        <w:rPr>
          <w:sz w:val="16"/>
          <w:szCs w:val="16"/>
          <w:lang w:val="es-ES_tradnl"/>
        </w:rPr>
        <w:t>rmación sobre el presupuesto de </w:t>
      </w:r>
      <w:r w:rsidRPr="00C75C7E">
        <w:rPr>
          <w:sz w:val="16"/>
          <w:szCs w:val="16"/>
          <w:lang w:val="es-ES_tradnl"/>
        </w:rPr>
        <w:t xml:space="preserve">2012/13 después de las transferencias, cabe remitirse al cuadro que figura en el Anexo I (Presupuesto después de las transferencias, por programa) del presente documento y al documento WO/PBC/20/2 (Informe sobre el rendimiento de los programas en 2012).  </w:t>
      </w:r>
      <w:r w:rsidRPr="00C75C7E">
        <w:rPr>
          <w:rFonts w:cs="ArialMT"/>
          <w:sz w:val="16"/>
          <w:szCs w:val="16"/>
          <w:lang w:val="es-ES_tradnl"/>
        </w:rPr>
        <w:t xml:space="preserve">Los costos de personal del presupuesto de 2012/13 después de las transferencias representan los gastos reales efectuados hasta el 31 de marzo de 2013 y los importes presupuestados para los nueve meses restantes de 2013, sobre la base de costos estándar. </w:t>
      </w:r>
    </w:p>
    <w:p w:rsidR="009F58E5" w:rsidRPr="00C75C7E" w:rsidRDefault="009F58E5" w:rsidP="009F58E5">
      <w:pPr>
        <w:keepNext/>
        <w:keepLines/>
        <w:spacing w:after="120"/>
        <w:rPr>
          <w:sz w:val="20"/>
          <w:highlight w:val="yellow"/>
          <w:lang w:val="es-ES_tradnl"/>
        </w:rPr>
      </w:pPr>
      <w:r>
        <w:rPr>
          <w:sz w:val="16"/>
          <w:szCs w:val="16"/>
          <w:lang w:val="es-ES_tradnl"/>
        </w:rPr>
        <w:t>3)</w:t>
      </w:r>
      <w:r w:rsidR="00626827">
        <w:rPr>
          <w:sz w:val="16"/>
          <w:szCs w:val="16"/>
          <w:lang w:val="es-ES_tradnl"/>
        </w:rPr>
        <w:t xml:space="preserve">  </w:t>
      </w:r>
      <w:r w:rsidRPr="00C75C7E">
        <w:rPr>
          <w:sz w:val="16"/>
          <w:szCs w:val="16"/>
          <w:lang w:val="es-ES_tradnl"/>
        </w:rPr>
        <w:t>Para más información sobre los puestos del programa cabe remitirse al cuadro que figura en el Anexo II.</w:t>
      </w:r>
    </w:p>
    <w:p w:rsidR="00E10A93" w:rsidRPr="008F43DB" w:rsidRDefault="009F58E5" w:rsidP="008F43DB">
      <w:pPr>
        <w:pStyle w:val="Heading3"/>
        <w:tabs>
          <w:tab w:val="left" w:pos="1985"/>
        </w:tabs>
        <w:rPr>
          <w:b/>
          <w:u w:val="none"/>
          <w:lang w:val="es-ES_tradnl"/>
        </w:rPr>
      </w:pPr>
      <w:r w:rsidRPr="00C75C7E">
        <w:rPr>
          <w:sz w:val="20"/>
          <w:lang w:val="es-ES_tradnl"/>
        </w:rPr>
        <w:br w:type="page"/>
      </w:r>
      <w:bookmarkStart w:id="91" w:name="_Toc356567784"/>
      <w:bookmarkStart w:id="92" w:name="_Toc358816722"/>
      <w:r w:rsidR="008F43DB" w:rsidRPr="008F43DB">
        <w:rPr>
          <w:b/>
          <w:u w:val="none"/>
          <w:lang w:val="es-ES_tradnl"/>
        </w:rPr>
        <w:lastRenderedPageBreak/>
        <w:t>PROGRAMA 29</w:t>
      </w:r>
      <w:r w:rsidR="008F43DB" w:rsidRPr="008F43DB">
        <w:rPr>
          <w:b/>
          <w:u w:val="none"/>
          <w:lang w:val="es-ES_tradnl"/>
        </w:rPr>
        <w:tab/>
      </w:r>
      <w:bookmarkEnd w:id="91"/>
      <w:r w:rsidR="008F43DB" w:rsidRPr="008F43DB">
        <w:rPr>
          <w:b/>
          <w:u w:val="none"/>
          <w:lang w:val="es-ES_tradnl"/>
        </w:rPr>
        <w:t>NUEVA SALA DE CONFERENCIAS</w:t>
      </w:r>
      <w:bookmarkEnd w:id="92"/>
    </w:p>
    <w:p w:rsidR="00E10A93" w:rsidRPr="008F43DB" w:rsidRDefault="00E10A93" w:rsidP="008F43DB">
      <w:pPr>
        <w:pStyle w:val="BodyTextIndent"/>
        <w:ind w:left="1985" w:hanging="1985"/>
        <w:jc w:val="both"/>
        <w:rPr>
          <w:rFonts w:ascii="Arial" w:hAnsi="Arial" w:cs="Arial"/>
          <w:sz w:val="22"/>
          <w:szCs w:val="22"/>
          <w:lang w:val="es-ES"/>
        </w:rPr>
      </w:pPr>
    </w:p>
    <w:p w:rsidR="00E10A93" w:rsidRPr="00F13E91" w:rsidRDefault="00E10A93" w:rsidP="00E10A93">
      <w:pPr>
        <w:rPr>
          <w:sz w:val="20"/>
        </w:rPr>
      </w:pPr>
    </w:p>
    <w:p w:rsidR="00E10A93" w:rsidRPr="00F13E91" w:rsidRDefault="00E10A93" w:rsidP="00E10A93">
      <w:pPr>
        <w:pStyle w:val="BodyTextIndent"/>
        <w:ind w:left="1985" w:hanging="1985"/>
        <w:jc w:val="both"/>
        <w:rPr>
          <w:rFonts w:ascii="Arial" w:hAnsi="Arial" w:cs="Arial"/>
          <w:sz w:val="22"/>
          <w:szCs w:val="22"/>
          <w:lang w:val="es-ES"/>
        </w:rPr>
      </w:pPr>
      <w:r w:rsidRPr="00762D10">
        <w:rPr>
          <w:rFonts w:ascii="Arial" w:hAnsi="Arial" w:cs="Arial"/>
          <w:sz w:val="22"/>
          <w:szCs w:val="22"/>
          <w:lang w:val="es-ES"/>
        </w:rPr>
        <w:t>CONTEXTO DE PLANIFICACI</w:t>
      </w:r>
      <w:r>
        <w:rPr>
          <w:rFonts w:ascii="Arial" w:hAnsi="Arial" w:cs="Arial"/>
          <w:sz w:val="22"/>
          <w:szCs w:val="22"/>
          <w:lang w:val="es-ES"/>
        </w:rPr>
        <w:t>ÓN</w:t>
      </w:r>
    </w:p>
    <w:p w:rsidR="00E10A93" w:rsidRPr="00F13E91" w:rsidRDefault="00E10A93" w:rsidP="00E10A93">
      <w:pPr>
        <w:rPr>
          <w:sz w:val="20"/>
        </w:rPr>
      </w:pPr>
    </w:p>
    <w:p w:rsidR="00E10A93" w:rsidRPr="00F13E91" w:rsidRDefault="00E10A93" w:rsidP="00D41E6A">
      <w:pPr>
        <w:numPr>
          <w:ilvl w:val="0"/>
          <w:numId w:val="48"/>
        </w:numPr>
        <w:jc w:val="both"/>
        <w:rPr>
          <w:sz w:val="20"/>
        </w:rPr>
      </w:pPr>
      <w:r w:rsidRPr="00F13E91">
        <w:rPr>
          <w:sz w:val="20"/>
        </w:rPr>
        <w:t>Durante el bienio 2014/15 se prestará especial atenci</w:t>
      </w:r>
      <w:r>
        <w:rPr>
          <w:sz w:val="20"/>
        </w:rPr>
        <w:t xml:space="preserve">ón a la conclusión de la construcción de la nueva sala de conferencias y del </w:t>
      </w:r>
      <w:r w:rsidRPr="003B2BF9">
        <w:rPr>
          <w:sz w:val="20"/>
        </w:rPr>
        <w:t>vestíbulo de acceso</w:t>
      </w:r>
      <w:r>
        <w:rPr>
          <w:sz w:val="20"/>
        </w:rPr>
        <w:t>, así como a</w:t>
      </w:r>
      <w:r w:rsidRPr="00B633EF">
        <w:rPr>
          <w:sz w:val="20"/>
        </w:rPr>
        <w:t xml:space="preserve"> </w:t>
      </w:r>
      <w:r>
        <w:rPr>
          <w:sz w:val="20"/>
        </w:rPr>
        <w:t xml:space="preserve">las </w:t>
      </w:r>
      <w:r w:rsidRPr="00B633EF">
        <w:rPr>
          <w:sz w:val="20"/>
        </w:rPr>
        <w:t>renovaciones importantes</w:t>
      </w:r>
      <w:r>
        <w:rPr>
          <w:sz w:val="20"/>
        </w:rPr>
        <w:t xml:space="preserve"> que se realizarán</w:t>
      </w:r>
      <w:r w:rsidRPr="00B633EF">
        <w:rPr>
          <w:sz w:val="20"/>
        </w:rPr>
        <w:t xml:space="preserve"> en varios pisos inferiores del edificio AB</w:t>
      </w:r>
      <w:r>
        <w:rPr>
          <w:sz w:val="20"/>
        </w:rPr>
        <w:t xml:space="preserve">, de conformidad con los requisitos de calidad y dentro de </w:t>
      </w:r>
      <w:r w:rsidRPr="00572038">
        <w:rPr>
          <w:sz w:val="20"/>
        </w:rPr>
        <w:t>los límites presupuestarios</w:t>
      </w:r>
      <w:r>
        <w:rPr>
          <w:sz w:val="20"/>
        </w:rPr>
        <w:t>, en virtud del calendario revisado después de que la OMPI retomara el proyecto a raíz de la rescisión amistosa</w:t>
      </w:r>
      <w:r w:rsidRPr="00572038">
        <w:rPr>
          <w:sz w:val="20"/>
        </w:rPr>
        <w:t xml:space="preserve"> </w:t>
      </w:r>
      <w:r>
        <w:rPr>
          <w:sz w:val="20"/>
        </w:rPr>
        <w:t>del</w:t>
      </w:r>
      <w:r w:rsidRPr="00572038">
        <w:rPr>
          <w:sz w:val="20"/>
        </w:rPr>
        <w:t xml:space="preserve"> contrato con el </w:t>
      </w:r>
      <w:r>
        <w:rPr>
          <w:sz w:val="20"/>
        </w:rPr>
        <w:t xml:space="preserve">antiguo </w:t>
      </w:r>
      <w:r w:rsidRPr="00572038">
        <w:rPr>
          <w:sz w:val="20"/>
        </w:rPr>
        <w:t>contratista general</w:t>
      </w:r>
      <w:r>
        <w:rPr>
          <w:sz w:val="20"/>
        </w:rPr>
        <w:t>.</w:t>
      </w:r>
    </w:p>
    <w:p w:rsidR="00E10A93" w:rsidRPr="00F13E91" w:rsidRDefault="00E10A93" w:rsidP="00E10A93">
      <w:pPr>
        <w:ind w:left="6"/>
        <w:jc w:val="both"/>
        <w:rPr>
          <w:sz w:val="20"/>
        </w:rPr>
      </w:pPr>
    </w:p>
    <w:p w:rsidR="00E10A93" w:rsidRPr="003B55B1" w:rsidRDefault="00E10A93" w:rsidP="00D41E6A">
      <w:pPr>
        <w:numPr>
          <w:ilvl w:val="0"/>
          <w:numId w:val="48"/>
        </w:numPr>
        <w:jc w:val="both"/>
        <w:rPr>
          <w:sz w:val="20"/>
        </w:rPr>
      </w:pPr>
      <w:r w:rsidRPr="0004586C">
        <w:rPr>
          <w:sz w:val="20"/>
        </w:rPr>
        <w:t>Se espera</w:t>
      </w:r>
      <w:r w:rsidRPr="003B55B1">
        <w:rPr>
          <w:sz w:val="20"/>
        </w:rPr>
        <w:t xml:space="preserve"> </w:t>
      </w:r>
      <w:r>
        <w:rPr>
          <w:sz w:val="20"/>
        </w:rPr>
        <w:t xml:space="preserve">que </w:t>
      </w:r>
      <w:r w:rsidRPr="003B55B1">
        <w:rPr>
          <w:sz w:val="20"/>
        </w:rPr>
        <w:t>además de</w:t>
      </w:r>
      <w:r>
        <w:rPr>
          <w:sz w:val="20"/>
        </w:rPr>
        <w:t xml:space="preserve"> las</w:t>
      </w:r>
      <w:r w:rsidRPr="003B55B1">
        <w:rPr>
          <w:sz w:val="20"/>
        </w:rPr>
        <w:t xml:space="preserve"> reuniones y actividades organizadas por la OMPI</w:t>
      </w:r>
      <w:r>
        <w:rPr>
          <w:sz w:val="20"/>
        </w:rPr>
        <w:t>, la nueva sala de conferencias pueda acoger, a partir de 2015, otras actividades organizadas por los Estados miembros</w:t>
      </w:r>
      <w:r w:rsidRPr="003B55B1">
        <w:rPr>
          <w:sz w:val="20"/>
        </w:rPr>
        <w:t xml:space="preserve">, </w:t>
      </w:r>
      <w:r>
        <w:rPr>
          <w:sz w:val="20"/>
        </w:rPr>
        <w:t>las OIG y otras entidades.</w:t>
      </w:r>
      <w:r w:rsidRPr="003B55B1">
        <w:rPr>
          <w:sz w:val="20"/>
        </w:rPr>
        <w:t xml:space="preserve"> </w:t>
      </w:r>
    </w:p>
    <w:p w:rsidR="00E10A93" w:rsidRPr="003B55B1" w:rsidRDefault="00E10A93" w:rsidP="00E10A93">
      <w:pPr>
        <w:tabs>
          <w:tab w:val="left" w:pos="567"/>
          <w:tab w:val="left" w:pos="1985"/>
        </w:tabs>
        <w:jc w:val="both"/>
        <w:rPr>
          <w:bCs/>
          <w:sz w:val="20"/>
        </w:rPr>
      </w:pPr>
    </w:p>
    <w:p w:rsidR="00E10A93" w:rsidRPr="003B55B1" w:rsidRDefault="00E10A93" w:rsidP="00E10A93">
      <w:pPr>
        <w:tabs>
          <w:tab w:val="left" w:pos="567"/>
          <w:tab w:val="left" w:pos="1985"/>
        </w:tabs>
        <w:jc w:val="both"/>
        <w:rPr>
          <w:bCs/>
          <w:sz w:val="20"/>
        </w:rPr>
      </w:pPr>
    </w:p>
    <w:p w:rsidR="00E10A93" w:rsidRPr="00902692" w:rsidRDefault="00E10A93" w:rsidP="00E10A93">
      <w:pPr>
        <w:tabs>
          <w:tab w:val="left" w:pos="567"/>
          <w:tab w:val="left" w:pos="1985"/>
        </w:tabs>
        <w:jc w:val="both"/>
        <w:rPr>
          <w:bCs/>
          <w:szCs w:val="22"/>
        </w:rPr>
      </w:pPr>
      <w:r>
        <w:rPr>
          <w:szCs w:val="18"/>
        </w:rPr>
        <w:t>ESTRATEGIAS DE EJECUCIÓN</w:t>
      </w:r>
    </w:p>
    <w:p w:rsidR="00E10A93" w:rsidRDefault="00E10A93" w:rsidP="00E10A93">
      <w:pPr>
        <w:tabs>
          <w:tab w:val="left" w:pos="567"/>
          <w:tab w:val="left" w:pos="1985"/>
        </w:tabs>
        <w:jc w:val="both"/>
        <w:rPr>
          <w:bCs/>
          <w:sz w:val="20"/>
        </w:rPr>
      </w:pPr>
    </w:p>
    <w:p w:rsidR="00E10A93" w:rsidRPr="001B3830" w:rsidRDefault="00E10A93" w:rsidP="00D41E6A">
      <w:pPr>
        <w:numPr>
          <w:ilvl w:val="0"/>
          <w:numId w:val="48"/>
        </w:numPr>
        <w:jc w:val="both"/>
        <w:rPr>
          <w:sz w:val="20"/>
        </w:rPr>
      </w:pPr>
      <w:r w:rsidRPr="001B3830">
        <w:rPr>
          <w:sz w:val="20"/>
        </w:rPr>
        <w:t>El proyecto continuará poniéndose en práctica utilizando el ya establecido método de gestión de proyect</w:t>
      </w:r>
      <w:r>
        <w:rPr>
          <w:sz w:val="20"/>
        </w:rPr>
        <w:t>os y la estructura de gobierno (Comité de Construcción,</w:t>
      </w:r>
      <w:r w:rsidRPr="001B3830">
        <w:rPr>
          <w:sz w:val="20"/>
        </w:rPr>
        <w:t xml:space="preserve"> Equipo Interno de Seguimie</w:t>
      </w:r>
      <w:r>
        <w:rPr>
          <w:sz w:val="20"/>
        </w:rPr>
        <w:t xml:space="preserve">nto del Proyecto y </w:t>
      </w:r>
      <w:r w:rsidR="001B15D7">
        <w:rPr>
          <w:sz w:val="20"/>
        </w:rPr>
        <w:t>Piloto</w:t>
      </w:r>
      <w:r>
        <w:rPr>
          <w:sz w:val="20"/>
        </w:rPr>
        <w:t>), así como la nueva estructura de gestión que depende del Comité de Construcción que fue establecido tras la rescisión</w:t>
      </w:r>
      <w:r w:rsidRPr="00572038">
        <w:rPr>
          <w:sz w:val="20"/>
        </w:rPr>
        <w:t xml:space="preserve"> </w:t>
      </w:r>
      <w:r>
        <w:rPr>
          <w:sz w:val="20"/>
        </w:rPr>
        <w:t>del</w:t>
      </w:r>
      <w:r w:rsidRPr="00572038">
        <w:rPr>
          <w:sz w:val="20"/>
        </w:rPr>
        <w:t xml:space="preserve"> contrato con el</w:t>
      </w:r>
      <w:r>
        <w:rPr>
          <w:sz w:val="20"/>
        </w:rPr>
        <w:t xml:space="preserve"> antiguo</w:t>
      </w:r>
      <w:r w:rsidRPr="00572038">
        <w:rPr>
          <w:sz w:val="20"/>
        </w:rPr>
        <w:t xml:space="preserve"> contratista general</w:t>
      </w:r>
      <w:r>
        <w:rPr>
          <w:sz w:val="20"/>
        </w:rPr>
        <w:t xml:space="preserve"> (por ejemplo, la dirección del proyecto,</w:t>
      </w:r>
      <w:r w:rsidRPr="004C69D2">
        <w:rPr>
          <w:sz w:val="20"/>
        </w:rPr>
        <w:t xml:space="preserve"> el Comité de Coordinación</w:t>
      </w:r>
      <w:r>
        <w:rPr>
          <w:sz w:val="20"/>
        </w:rPr>
        <w:t xml:space="preserve"> y la dirección de obras que incluye al arquitecto y </w:t>
      </w:r>
      <w:r w:rsidRPr="009D6305">
        <w:rPr>
          <w:sz w:val="20"/>
        </w:rPr>
        <w:t>los profesionales contratados por la OMPI</w:t>
      </w:r>
      <w:r>
        <w:rPr>
          <w:sz w:val="20"/>
        </w:rPr>
        <w:t xml:space="preserve">).  La mencionada estructura de gobierno se encargará del seguimiento continuo de los riesgos relativos a la calidad de la construcción, al presupuesto y a los </w:t>
      </w:r>
      <w:r w:rsidRPr="00FE1E05">
        <w:rPr>
          <w:sz w:val="20"/>
        </w:rPr>
        <w:t>calendarios revisados de los proyectos</w:t>
      </w:r>
      <w:r>
        <w:rPr>
          <w:sz w:val="20"/>
        </w:rPr>
        <w:t>.</w:t>
      </w:r>
    </w:p>
    <w:p w:rsidR="00E10A93" w:rsidRPr="001B3830" w:rsidRDefault="00E10A93" w:rsidP="00E10A93">
      <w:pPr>
        <w:tabs>
          <w:tab w:val="left" w:pos="1100"/>
          <w:tab w:val="left" w:pos="1800"/>
        </w:tabs>
        <w:jc w:val="both"/>
        <w:rPr>
          <w:sz w:val="20"/>
        </w:rPr>
      </w:pPr>
    </w:p>
    <w:p w:rsidR="00E10A93" w:rsidRPr="00626ACC" w:rsidRDefault="00E10A93" w:rsidP="00D41E6A">
      <w:pPr>
        <w:numPr>
          <w:ilvl w:val="0"/>
          <w:numId w:val="48"/>
        </w:numPr>
        <w:jc w:val="both"/>
        <w:rPr>
          <w:sz w:val="20"/>
        </w:rPr>
      </w:pPr>
      <w:r w:rsidRPr="00626ACC">
        <w:rPr>
          <w:sz w:val="20"/>
        </w:rPr>
        <w:t xml:space="preserve">El programa intensificará la coordinación con los servicios </w:t>
      </w:r>
      <w:r>
        <w:rPr>
          <w:sz w:val="20"/>
        </w:rPr>
        <w:t xml:space="preserve">pertinentes </w:t>
      </w:r>
      <w:r w:rsidRPr="00626ACC">
        <w:rPr>
          <w:sz w:val="20"/>
        </w:rPr>
        <w:t>de la OMPI</w:t>
      </w:r>
      <w:r>
        <w:rPr>
          <w:sz w:val="20"/>
        </w:rPr>
        <w:t xml:space="preserve"> con el fin de optimizar la utilización de las nuevas instalaciones para conferencias para las reuniones y actividades, incluidas aquellas que hayan sido organizadas por otras entidades de las </w:t>
      </w:r>
      <w:r w:rsidRPr="00BF19BA">
        <w:rPr>
          <w:bCs/>
          <w:sz w:val="20"/>
        </w:rPr>
        <w:t>NN.UU.</w:t>
      </w:r>
    </w:p>
    <w:p w:rsidR="00E10A93" w:rsidRPr="00626ACC" w:rsidRDefault="00E10A93" w:rsidP="00E10A93">
      <w:pPr>
        <w:tabs>
          <w:tab w:val="left" w:pos="567"/>
          <w:tab w:val="left" w:pos="1985"/>
        </w:tabs>
        <w:jc w:val="both"/>
        <w:rPr>
          <w:bCs/>
          <w:sz w:val="20"/>
        </w:rPr>
      </w:pPr>
    </w:p>
    <w:p w:rsidR="007531CA" w:rsidRPr="00E10A93" w:rsidRDefault="007531CA" w:rsidP="009F58E5">
      <w:pPr>
        <w:tabs>
          <w:tab w:val="left" w:pos="567"/>
          <w:tab w:val="left" w:pos="1985"/>
        </w:tabs>
        <w:jc w:val="both"/>
        <w:rPr>
          <w:bCs/>
          <w:szCs w:val="22"/>
        </w:rPr>
      </w:pPr>
    </w:p>
    <w:p w:rsidR="009F58E5" w:rsidRPr="00994766" w:rsidRDefault="009F58E5" w:rsidP="009F58E5">
      <w:pPr>
        <w:tabs>
          <w:tab w:val="left" w:pos="567"/>
          <w:tab w:val="left" w:pos="1985"/>
        </w:tabs>
        <w:jc w:val="both"/>
        <w:rPr>
          <w:bCs/>
          <w:szCs w:val="22"/>
          <w:lang w:val="es-ES_tradnl"/>
        </w:rPr>
      </w:pPr>
      <w:r w:rsidRPr="00994766">
        <w:rPr>
          <w:bCs/>
          <w:szCs w:val="22"/>
          <w:lang w:val="es-ES_tradnl"/>
        </w:rPr>
        <w:t>PRINCIPALES RIESGOS Y ESTRATEGIAS DE MITIGACIÓN</w:t>
      </w:r>
    </w:p>
    <w:p w:rsidR="009F58E5" w:rsidRPr="00994766" w:rsidRDefault="009F58E5" w:rsidP="009F58E5">
      <w:pPr>
        <w:tabs>
          <w:tab w:val="left" w:pos="567"/>
          <w:tab w:val="left" w:pos="1985"/>
        </w:tabs>
        <w:jc w:val="both"/>
        <w:rPr>
          <w:bCs/>
          <w:sz w:val="20"/>
          <w:lang w:val="es-ES_tradnl"/>
        </w:rPr>
      </w:pPr>
    </w:p>
    <w:tbl>
      <w:tblPr>
        <w:tblW w:w="0" w:type="auto"/>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290"/>
        <w:gridCol w:w="4730"/>
      </w:tblGrid>
      <w:tr w:rsidR="009F58E5" w:rsidRPr="00D41E6A" w:rsidTr="008F4F69">
        <w:trPr>
          <w:trHeight w:val="709"/>
        </w:trPr>
        <w:tc>
          <w:tcPr>
            <w:tcW w:w="4290" w:type="dxa"/>
            <w:tcBorders>
              <w:top w:val="single" w:sz="4" w:space="0" w:color="auto"/>
              <w:bottom w:val="single" w:sz="4" w:space="0" w:color="auto"/>
            </w:tcBorders>
            <w:shd w:val="clear" w:color="auto" w:fill="CCFFFF"/>
            <w:tcMar>
              <w:top w:w="113" w:type="dxa"/>
              <w:bottom w:w="85" w:type="dxa"/>
            </w:tcMar>
            <w:vAlign w:val="center"/>
          </w:tcPr>
          <w:p w:rsidR="009F58E5" w:rsidRPr="00D41E6A" w:rsidRDefault="009F58E5" w:rsidP="008F4F69">
            <w:pPr>
              <w:autoSpaceDE w:val="0"/>
              <w:autoSpaceDN w:val="0"/>
              <w:adjustRightInd w:val="0"/>
              <w:ind w:right="-59"/>
              <w:jc w:val="center"/>
              <w:rPr>
                <w:b/>
                <w:color w:val="000000"/>
                <w:sz w:val="18"/>
                <w:szCs w:val="18"/>
                <w:lang w:val="es-ES_tradnl"/>
              </w:rPr>
            </w:pPr>
            <w:r w:rsidRPr="00D41E6A">
              <w:rPr>
                <w:b/>
                <w:color w:val="000000"/>
                <w:sz w:val="18"/>
                <w:szCs w:val="18"/>
                <w:lang w:val="es-ES_tradnl"/>
              </w:rPr>
              <w:t>Riesgos en el logro de los resultados del programa</w:t>
            </w:r>
          </w:p>
        </w:tc>
        <w:tc>
          <w:tcPr>
            <w:tcW w:w="4730" w:type="dxa"/>
            <w:tcBorders>
              <w:top w:val="single" w:sz="4" w:space="0" w:color="auto"/>
              <w:bottom w:val="single" w:sz="4" w:space="0" w:color="auto"/>
            </w:tcBorders>
            <w:shd w:val="clear" w:color="auto" w:fill="CCFFFF"/>
            <w:tcMar>
              <w:top w:w="113" w:type="dxa"/>
              <w:bottom w:w="85" w:type="dxa"/>
            </w:tcMar>
            <w:vAlign w:val="center"/>
          </w:tcPr>
          <w:p w:rsidR="009F58E5" w:rsidRPr="00D41E6A" w:rsidRDefault="009F58E5" w:rsidP="008F4F69">
            <w:pPr>
              <w:autoSpaceDE w:val="0"/>
              <w:autoSpaceDN w:val="0"/>
              <w:adjustRightInd w:val="0"/>
              <w:ind w:right="-59"/>
              <w:jc w:val="center"/>
              <w:rPr>
                <w:b/>
                <w:color w:val="000000"/>
                <w:sz w:val="18"/>
                <w:szCs w:val="18"/>
                <w:lang w:val="es-ES_tradnl"/>
              </w:rPr>
            </w:pPr>
            <w:r w:rsidRPr="00D41E6A">
              <w:rPr>
                <w:b/>
                <w:color w:val="000000"/>
                <w:sz w:val="18"/>
                <w:szCs w:val="18"/>
                <w:lang w:val="es-ES_tradnl"/>
              </w:rPr>
              <w:t xml:space="preserve">Planes de mitigación ejecutados o en ejecución </w:t>
            </w:r>
          </w:p>
        </w:tc>
      </w:tr>
      <w:tr w:rsidR="009F58E5" w:rsidRPr="00994766" w:rsidTr="008F4F69">
        <w:trPr>
          <w:trHeight w:val="957"/>
        </w:trPr>
        <w:tc>
          <w:tcPr>
            <w:tcW w:w="4290" w:type="dxa"/>
            <w:tcBorders>
              <w:top w:val="single" w:sz="4" w:space="0" w:color="auto"/>
            </w:tcBorders>
            <w:shd w:val="clear" w:color="auto" w:fill="auto"/>
            <w:tcMar>
              <w:top w:w="113" w:type="dxa"/>
              <w:bottom w:w="85" w:type="dxa"/>
            </w:tcMar>
          </w:tcPr>
          <w:p w:rsidR="009F58E5" w:rsidRPr="00994766" w:rsidRDefault="009F58E5" w:rsidP="008F4F69">
            <w:pPr>
              <w:autoSpaceDE w:val="0"/>
              <w:autoSpaceDN w:val="0"/>
              <w:adjustRightInd w:val="0"/>
              <w:ind w:right="-59"/>
              <w:rPr>
                <w:sz w:val="16"/>
                <w:szCs w:val="16"/>
                <w:lang w:val="es-ES_tradnl"/>
              </w:rPr>
            </w:pPr>
            <w:r w:rsidRPr="00994766">
              <w:rPr>
                <w:sz w:val="16"/>
                <w:szCs w:val="16"/>
                <w:lang w:val="es-ES_tradnl"/>
              </w:rPr>
              <w:t>Importantes fallos arquitectónicos o de construcción descubiertos durante el período de construcción restante, o posteriormente, impiden o retrasan el uso de la nueva sala de conferencias.</w:t>
            </w:r>
          </w:p>
        </w:tc>
        <w:tc>
          <w:tcPr>
            <w:tcW w:w="4730" w:type="dxa"/>
            <w:tcBorders>
              <w:top w:val="single" w:sz="4" w:space="0" w:color="auto"/>
            </w:tcBorders>
            <w:shd w:val="clear" w:color="auto" w:fill="auto"/>
            <w:tcMar>
              <w:top w:w="113" w:type="dxa"/>
              <w:bottom w:w="85" w:type="dxa"/>
            </w:tcMar>
          </w:tcPr>
          <w:p w:rsidR="009F58E5" w:rsidRPr="00994766" w:rsidRDefault="009F58E5" w:rsidP="008F4F69">
            <w:pPr>
              <w:autoSpaceDE w:val="0"/>
              <w:autoSpaceDN w:val="0"/>
              <w:adjustRightInd w:val="0"/>
              <w:ind w:right="-59"/>
              <w:rPr>
                <w:sz w:val="16"/>
                <w:szCs w:val="16"/>
                <w:lang w:val="es-ES_tradnl"/>
              </w:rPr>
            </w:pPr>
            <w:r w:rsidRPr="00994766">
              <w:rPr>
                <w:sz w:val="16"/>
                <w:szCs w:val="16"/>
                <w:lang w:val="es-ES_tradnl"/>
              </w:rPr>
              <w:t>Se han seleccionado arquitectos y contratistas de alta calidad.  El consorcio de empresas de la madera que cuenta con sus propios ingenieros está compuesto por empresas locales altamente cualificadas y experimentadas.  El jefe de obra ejerce una estrecha supervisión sobre la ejecución del proyecto a intervalos ajustados.</w:t>
            </w:r>
          </w:p>
        </w:tc>
      </w:tr>
    </w:tbl>
    <w:p w:rsidR="009F58E5" w:rsidRPr="00994766" w:rsidRDefault="009F58E5" w:rsidP="009F58E5">
      <w:pPr>
        <w:tabs>
          <w:tab w:val="left" w:pos="567"/>
          <w:tab w:val="left" w:pos="1985"/>
        </w:tabs>
        <w:jc w:val="both"/>
        <w:rPr>
          <w:bCs/>
          <w:sz w:val="20"/>
          <w:lang w:val="es-ES_tradnl"/>
        </w:rPr>
      </w:pPr>
    </w:p>
    <w:p w:rsidR="009F58E5" w:rsidRPr="00C75C7E" w:rsidRDefault="009F58E5" w:rsidP="009F58E5">
      <w:pPr>
        <w:tabs>
          <w:tab w:val="left" w:pos="567"/>
          <w:tab w:val="left" w:pos="1985"/>
        </w:tabs>
        <w:jc w:val="both"/>
        <w:rPr>
          <w:bCs/>
          <w:sz w:val="20"/>
          <w:lang w:val="es-ES_tradnl"/>
        </w:rPr>
      </w:pPr>
    </w:p>
    <w:p w:rsidR="009F58E5" w:rsidRPr="00C75C7E" w:rsidRDefault="009F58E5" w:rsidP="009F58E5">
      <w:pPr>
        <w:tabs>
          <w:tab w:val="left" w:pos="567"/>
          <w:tab w:val="left" w:pos="1985"/>
        </w:tabs>
        <w:jc w:val="both"/>
        <w:rPr>
          <w:bCs/>
          <w:sz w:val="20"/>
          <w:lang w:val="es-ES_tradnl"/>
        </w:rPr>
      </w:pPr>
      <w:r w:rsidRPr="00C75C7E">
        <w:rPr>
          <w:bCs/>
          <w:szCs w:val="22"/>
          <w:lang w:val="es-ES_tradnl"/>
        </w:rPr>
        <w:t>MARCO DE RESULTADOS</w:t>
      </w:r>
    </w:p>
    <w:p w:rsidR="009F58E5" w:rsidRPr="00C75C7E" w:rsidRDefault="009F58E5" w:rsidP="009F58E5">
      <w:pPr>
        <w:tabs>
          <w:tab w:val="left" w:pos="567"/>
          <w:tab w:val="left" w:pos="1985"/>
        </w:tabs>
        <w:jc w:val="both"/>
        <w:rPr>
          <w:bCs/>
          <w:sz w:val="20"/>
          <w:lang w:val="es-ES_tradnl"/>
        </w:rPr>
      </w:pPr>
    </w:p>
    <w:tbl>
      <w:tblPr>
        <w:tblW w:w="4884"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348"/>
        <w:gridCol w:w="2848"/>
        <w:gridCol w:w="2175"/>
        <w:gridCol w:w="1978"/>
      </w:tblGrid>
      <w:tr w:rsidR="009F58E5" w:rsidRPr="00C75C7E" w:rsidTr="008F4F69">
        <w:trPr>
          <w:cantSplit/>
          <w:trHeight w:val="605"/>
          <w:tblHeader/>
        </w:trPr>
        <w:tc>
          <w:tcPr>
            <w:tcW w:w="1256" w:type="pct"/>
            <w:tcBorders>
              <w:top w:val="single" w:sz="4" w:space="0" w:color="auto"/>
              <w:bottom w:val="single" w:sz="4" w:space="0" w:color="auto"/>
            </w:tcBorders>
            <w:shd w:val="clear" w:color="auto" w:fill="CCFFFF"/>
            <w:tcMar>
              <w:top w:w="113" w:type="dxa"/>
            </w:tcMar>
            <w:vAlign w:val="center"/>
          </w:tcPr>
          <w:p w:rsidR="009F58E5" w:rsidRPr="00C75C7E" w:rsidRDefault="009F58E5" w:rsidP="008F4F69">
            <w:pPr>
              <w:spacing w:after="120"/>
              <w:jc w:val="center"/>
              <w:rPr>
                <w:b/>
                <w:bCs/>
                <w:sz w:val="18"/>
                <w:szCs w:val="18"/>
                <w:lang w:val="es-ES_tradnl"/>
              </w:rPr>
            </w:pPr>
            <w:r w:rsidRPr="00C75C7E">
              <w:rPr>
                <w:b/>
                <w:bCs/>
                <w:sz w:val="18"/>
                <w:szCs w:val="18"/>
                <w:lang w:val="es-ES_tradnl"/>
              </w:rPr>
              <w:t>Resultados previstos</w:t>
            </w:r>
          </w:p>
        </w:tc>
        <w:tc>
          <w:tcPr>
            <w:tcW w:w="1523" w:type="pct"/>
            <w:tcBorders>
              <w:top w:val="single" w:sz="4" w:space="0" w:color="auto"/>
              <w:bottom w:val="single" w:sz="4" w:space="0" w:color="auto"/>
            </w:tcBorders>
            <w:shd w:val="clear" w:color="auto" w:fill="CCFFFF"/>
            <w:tcMar>
              <w:top w:w="113" w:type="dxa"/>
            </w:tcMar>
            <w:vAlign w:val="center"/>
          </w:tcPr>
          <w:p w:rsidR="009F58E5" w:rsidRPr="00C75C7E" w:rsidRDefault="009F58E5" w:rsidP="008F4F69">
            <w:pPr>
              <w:spacing w:after="120"/>
              <w:jc w:val="center"/>
              <w:rPr>
                <w:b/>
                <w:sz w:val="18"/>
                <w:szCs w:val="18"/>
                <w:lang w:val="es-ES_tradnl"/>
              </w:rPr>
            </w:pPr>
            <w:r w:rsidRPr="00C75C7E">
              <w:rPr>
                <w:b/>
                <w:sz w:val="18"/>
                <w:szCs w:val="18"/>
                <w:lang w:val="es-ES_tradnl"/>
              </w:rPr>
              <w:t>Indicadores de rendimiento</w:t>
            </w:r>
          </w:p>
        </w:tc>
        <w:tc>
          <w:tcPr>
            <w:tcW w:w="1163" w:type="pct"/>
            <w:tcBorders>
              <w:top w:val="single" w:sz="4" w:space="0" w:color="auto"/>
              <w:bottom w:val="single" w:sz="4" w:space="0" w:color="auto"/>
            </w:tcBorders>
            <w:shd w:val="clear" w:color="auto" w:fill="CCFFFF"/>
            <w:tcMar>
              <w:top w:w="113" w:type="dxa"/>
            </w:tcMar>
            <w:vAlign w:val="center"/>
          </w:tcPr>
          <w:p w:rsidR="009F58E5" w:rsidRPr="00C75C7E" w:rsidRDefault="009F58E5" w:rsidP="008F4F69">
            <w:pPr>
              <w:spacing w:after="120"/>
              <w:ind w:left="85"/>
              <w:jc w:val="center"/>
              <w:rPr>
                <w:sz w:val="18"/>
                <w:szCs w:val="18"/>
                <w:lang w:val="es-ES_tradnl"/>
              </w:rPr>
            </w:pPr>
            <w:r w:rsidRPr="00C75C7E">
              <w:rPr>
                <w:b/>
                <w:bCs/>
                <w:sz w:val="18"/>
                <w:szCs w:val="18"/>
                <w:lang w:val="es-ES_tradnl"/>
              </w:rPr>
              <w:t>Referencia</w:t>
            </w:r>
          </w:p>
        </w:tc>
        <w:tc>
          <w:tcPr>
            <w:tcW w:w="1058" w:type="pct"/>
            <w:tcBorders>
              <w:top w:val="single" w:sz="4" w:space="0" w:color="auto"/>
              <w:bottom w:val="single" w:sz="4" w:space="0" w:color="auto"/>
            </w:tcBorders>
            <w:shd w:val="clear" w:color="auto" w:fill="CCFFFF"/>
            <w:tcMar>
              <w:top w:w="113" w:type="dxa"/>
            </w:tcMar>
            <w:vAlign w:val="center"/>
          </w:tcPr>
          <w:p w:rsidR="009F58E5" w:rsidRPr="00C75C7E" w:rsidRDefault="009F58E5" w:rsidP="008F4F69">
            <w:pPr>
              <w:keepNext/>
              <w:keepLines/>
              <w:tabs>
                <w:tab w:val="left" w:pos="1758"/>
              </w:tabs>
              <w:spacing w:after="120"/>
              <w:ind w:right="161"/>
              <w:jc w:val="center"/>
              <w:rPr>
                <w:b/>
                <w:bCs/>
                <w:sz w:val="18"/>
                <w:szCs w:val="18"/>
                <w:lang w:val="es-ES_tradnl"/>
              </w:rPr>
            </w:pPr>
            <w:r w:rsidRPr="00C75C7E">
              <w:rPr>
                <w:b/>
                <w:bCs/>
                <w:sz w:val="18"/>
                <w:szCs w:val="18"/>
                <w:lang w:val="es-ES_tradnl"/>
              </w:rPr>
              <w:t>Objetivos</w:t>
            </w:r>
          </w:p>
        </w:tc>
      </w:tr>
      <w:tr w:rsidR="009F58E5" w:rsidRPr="00C75C7E" w:rsidTr="008F4F69">
        <w:trPr>
          <w:cantSplit/>
        </w:trPr>
        <w:tc>
          <w:tcPr>
            <w:tcW w:w="1256" w:type="pct"/>
            <w:vMerge w:val="restart"/>
            <w:tcBorders>
              <w:top w:val="single" w:sz="4" w:space="0" w:color="auto"/>
            </w:tcBorders>
            <w:shd w:val="clear" w:color="auto" w:fill="auto"/>
            <w:tcMar>
              <w:top w:w="113" w:type="dxa"/>
            </w:tcMar>
          </w:tcPr>
          <w:p w:rsidR="009F58E5" w:rsidRPr="00C75C7E" w:rsidRDefault="009F58E5" w:rsidP="008F4F69">
            <w:pPr>
              <w:rPr>
                <w:sz w:val="16"/>
                <w:szCs w:val="16"/>
                <w:lang w:val="es-ES_tradnl"/>
              </w:rPr>
            </w:pPr>
            <w:r w:rsidRPr="00C75C7E">
              <w:rPr>
                <w:sz w:val="16"/>
                <w:szCs w:val="16"/>
                <w:lang w:val="es-ES_tradnl"/>
              </w:rPr>
              <w:t>IX.1   Servicios de apoyo eficaces, eficientes, de calidad y orientados al cliente, tanto a los clientes internos como a las partes interesadas externas.</w:t>
            </w:r>
          </w:p>
        </w:tc>
        <w:tc>
          <w:tcPr>
            <w:tcW w:w="1523" w:type="pct"/>
            <w:tcBorders>
              <w:top w:val="single" w:sz="4" w:space="0" w:color="auto"/>
            </w:tcBorders>
            <w:shd w:val="clear" w:color="auto" w:fill="auto"/>
            <w:tcMar>
              <w:top w:w="113" w:type="dxa"/>
            </w:tcMar>
          </w:tcPr>
          <w:p w:rsidR="009F58E5" w:rsidRPr="00C75C7E" w:rsidRDefault="009F58E5" w:rsidP="008F4F69">
            <w:pPr>
              <w:rPr>
                <w:sz w:val="16"/>
                <w:szCs w:val="16"/>
                <w:lang w:val="es-ES_tradnl"/>
              </w:rPr>
            </w:pPr>
            <w:r w:rsidRPr="00C75C7E">
              <w:rPr>
                <w:sz w:val="16"/>
                <w:szCs w:val="16"/>
                <w:lang w:val="es-ES_tradnl"/>
              </w:rPr>
              <w:t>Finalización del proyecto de construcción de la nueva sala de conferencias atendiendo a los requisitos de calidad, de manera puntual y dentro de los límites presupuestarios.</w:t>
            </w:r>
          </w:p>
        </w:tc>
        <w:tc>
          <w:tcPr>
            <w:tcW w:w="1163" w:type="pct"/>
            <w:tcBorders>
              <w:top w:val="single" w:sz="4" w:space="0" w:color="auto"/>
            </w:tcBorders>
            <w:shd w:val="clear" w:color="auto" w:fill="FFFFFF"/>
            <w:tcMar>
              <w:top w:w="113" w:type="dxa"/>
            </w:tcMar>
          </w:tcPr>
          <w:p w:rsidR="009F58E5" w:rsidRPr="00C75C7E" w:rsidRDefault="009F58E5" w:rsidP="008F4F69">
            <w:pPr>
              <w:rPr>
                <w:sz w:val="16"/>
                <w:szCs w:val="16"/>
                <w:lang w:val="es-ES_tradnl"/>
              </w:rPr>
            </w:pPr>
            <w:r w:rsidRPr="00C75C7E">
              <w:rPr>
                <w:sz w:val="16"/>
                <w:szCs w:val="16"/>
                <w:lang w:val="es-ES_tradnl"/>
              </w:rPr>
              <w:t>Se vela por que se haga entrega de la sala de conferencias dentro de lo presupuestado y con arreglo a la fecha de finalización revisada (debido a la cancelación del contrato con el contratista general) para las Asambleas de los Estados miembros de 2014.</w:t>
            </w:r>
          </w:p>
        </w:tc>
        <w:tc>
          <w:tcPr>
            <w:tcW w:w="1058" w:type="pct"/>
            <w:tcBorders>
              <w:top w:val="single" w:sz="4" w:space="0" w:color="auto"/>
            </w:tcBorders>
            <w:shd w:val="clear" w:color="auto" w:fill="auto"/>
            <w:tcMar>
              <w:top w:w="113" w:type="dxa"/>
            </w:tcMar>
          </w:tcPr>
          <w:p w:rsidR="009F58E5" w:rsidRPr="00C75C7E" w:rsidRDefault="009F58E5" w:rsidP="008F4F69">
            <w:pPr>
              <w:keepNext/>
              <w:keepLines/>
              <w:ind w:right="381"/>
              <w:rPr>
                <w:bCs/>
                <w:sz w:val="16"/>
                <w:szCs w:val="16"/>
                <w:lang w:val="es-ES_tradnl"/>
              </w:rPr>
            </w:pPr>
            <w:r w:rsidRPr="00C75C7E">
              <w:rPr>
                <w:bCs/>
                <w:sz w:val="16"/>
                <w:szCs w:val="16"/>
                <w:lang w:val="es-ES_tradnl"/>
              </w:rPr>
              <w:t>Las Asambleas de los Estados miembros de 2014 se celebrarán en la nueva sala de conferencias.</w:t>
            </w:r>
          </w:p>
        </w:tc>
      </w:tr>
      <w:tr w:rsidR="009F58E5" w:rsidRPr="00C75C7E" w:rsidTr="008F4F69">
        <w:trPr>
          <w:cantSplit/>
        </w:trPr>
        <w:tc>
          <w:tcPr>
            <w:tcW w:w="1256" w:type="pct"/>
            <w:vMerge/>
            <w:shd w:val="clear" w:color="auto" w:fill="auto"/>
            <w:tcMar>
              <w:top w:w="113" w:type="dxa"/>
            </w:tcMar>
          </w:tcPr>
          <w:p w:rsidR="009F58E5" w:rsidRPr="00C75C7E" w:rsidRDefault="009F58E5" w:rsidP="008F4F69">
            <w:pPr>
              <w:rPr>
                <w:sz w:val="16"/>
                <w:szCs w:val="16"/>
                <w:lang w:val="es-ES_tradnl"/>
              </w:rPr>
            </w:pPr>
          </w:p>
        </w:tc>
        <w:tc>
          <w:tcPr>
            <w:tcW w:w="1523" w:type="pct"/>
            <w:shd w:val="clear" w:color="auto" w:fill="auto"/>
            <w:tcMar>
              <w:top w:w="113" w:type="dxa"/>
            </w:tcMar>
          </w:tcPr>
          <w:p w:rsidR="009F58E5" w:rsidRPr="00C75C7E" w:rsidRDefault="009F58E5" w:rsidP="008F4F69">
            <w:pPr>
              <w:rPr>
                <w:sz w:val="16"/>
                <w:szCs w:val="16"/>
                <w:lang w:val="es-ES_tradnl"/>
              </w:rPr>
            </w:pPr>
            <w:r w:rsidRPr="00C75C7E">
              <w:rPr>
                <w:sz w:val="16"/>
                <w:szCs w:val="16"/>
                <w:lang w:val="es-ES_tradnl"/>
              </w:rPr>
              <w:t>Uso de la sala de conferencias como lugar preferido para las reuniones y actividades de los Estados miembros.</w:t>
            </w:r>
          </w:p>
        </w:tc>
        <w:tc>
          <w:tcPr>
            <w:tcW w:w="1163" w:type="pct"/>
            <w:shd w:val="clear" w:color="auto" w:fill="FFFFFF"/>
            <w:tcMar>
              <w:top w:w="113" w:type="dxa"/>
            </w:tcMar>
          </w:tcPr>
          <w:p w:rsidR="009F58E5" w:rsidRPr="00C75C7E" w:rsidRDefault="009F58E5" w:rsidP="008F4F69">
            <w:pPr>
              <w:rPr>
                <w:sz w:val="16"/>
                <w:szCs w:val="16"/>
                <w:lang w:val="es-ES_tradnl"/>
              </w:rPr>
            </w:pPr>
            <w:r w:rsidRPr="00C75C7E">
              <w:rPr>
                <w:sz w:val="16"/>
                <w:szCs w:val="16"/>
                <w:lang w:val="es-ES_tradnl"/>
              </w:rPr>
              <w:t>A partir de 2015, peticiones de uso de las instalaciones por los Estados miembros (para reuniones y actividades distintas de las organizadas por la OMPI).</w:t>
            </w:r>
          </w:p>
        </w:tc>
        <w:tc>
          <w:tcPr>
            <w:tcW w:w="1058" w:type="pct"/>
            <w:shd w:val="clear" w:color="auto" w:fill="auto"/>
            <w:tcMar>
              <w:top w:w="113" w:type="dxa"/>
            </w:tcMar>
          </w:tcPr>
          <w:p w:rsidR="009F58E5" w:rsidRPr="00C75C7E" w:rsidRDefault="009F58E5" w:rsidP="008F4F69">
            <w:pPr>
              <w:keepNext/>
              <w:keepLines/>
              <w:tabs>
                <w:tab w:val="left" w:pos="2051"/>
              </w:tabs>
              <w:ind w:right="381"/>
              <w:rPr>
                <w:bCs/>
                <w:sz w:val="16"/>
                <w:szCs w:val="16"/>
                <w:lang w:val="es-ES_tradnl"/>
              </w:rPr>
            </w:pPr>
            <w:r w:rsidRPr="00C75C7E">
              <w:rPr>
                <w:bCs/>
                <w:sz w:val="16"/>
                <w:szCs w:val="16"/>
                <w:lang w:val="es-ES_tradnl"/>
              </w:rPr>
              <w:t>Al menos dos  peticiones anuales de uso de las instalaciones por los Estados miembros u otras organizaciones internacionales  o entidades para la organización de reuniones y actividades (distintas de las organizadas por la OMPI).</w:t>
            </w:r>
          </w:p>
        </w:tc>
      </w:tr>
      <w:tr w:rsidR="009F58E5" w:rsidRPr="00C75C7E" w:rsidTr="008F4F69">
        <w:trPr>
          <w:cantSplit/>
          <w:trHeight w:val="1193"/>
        </w:trPr>
        <w:tc>
          <w:tcPr>
            <w:tcW w:w="1256" w:type="pct"/>
            <w:vMerge w:val="restart"/>
            <w:shd w:val="clear" w:color="auto" w:fill="auto"/>
            <w:tcMar>
              <w:top w:w="113" w:type="dxa"/>
            </w:tcMar>
          </w:tcPr>
          <w:p w:rsidR="009F58E5" w:rsidRPr="00C75C7E" w:rsidRDefault="009F58E5" w:rsidP="008F4F69">
            <w:pPr>
              <w:rPr>
                <w:sz w:val="16"/>
                <w:szCs w:val="16"/>
                <w:lang w:val="es-ES_tradnl"/>
              </w:rPr>
            </w:pPr>
            <w:r w:rsidRPr="00C75C7E">
              <w:rPr>
                <w:sz w:val="16"/>
                <w:szCs w:val="16"/>
                <w:lang w:val="es-ES_tradnl"/>
              </w:rPr>
              <w:t>IX.4. Una Organización responsable con el medio ambiente y la sociedad en la que se garantiza la seguridad del personal de la OMPI, los delegados, los visitantes, la información y los activos físicos.</w:t>
            </w:r>
          </w:p>
        </w:tc>
        <w:tc>
          <w:tcPr>
            <w:tcW w:w="1523" w:type="pct"/>
            <w:shd w:val="clear" w:color="auto" w:fill="auto"/>
            <w:tcMar>
              <w:top w:w="113" w:type="dxa"/>
            </w:tcMar>
          </w:tcPr>
          <w:p w:rsidR="009F58E5" w:rsidRPr="00C75C7E" w:rsidRDefault="009F58E5" w:rsidP="008F4F69">
            <w:pPr>
              <w:rPr>
                <w:sz w:val="16"/>
                <w:szCs w:val="16"/>
                <w:lang w:val="es-ES_tradnl"/>
              </w:rPr>
            </w:pPr>
            <w:r w:rsidRPr="00C75C7E">
              <w:rPr>
                <w:sz w:val="16"/>
                <w:szCs w:val="16"/>
                <w:lang w:val="es-ES_tradnl"/>
              </w:rPr>
              <w:t>Supervisión de las medidas de acceso físico para velar por que se cumplan plenamente las normas aplicables durante el período de construcción de la nueva sala de conferencias y las instalaciones conexas.</w:t>
            </w:r>
          </w:p>
        </w:tc>
        <w:tc>
          <w:tcPr>
            <w:tcW w:w="1163" w:type="pct"/>
            <w:shd w:val="clear" w:color="auto" w:fill="FFFFFF"/>
            <w:tcMar>
              <w:top w:w="113" w:type="dxa"/>
            </w:tcMar>
          </w:tcPr>
          <w:p w:rsidR="009F58E5" w:rsidRPr="00C75C7E" w:rsidRDefault="009F58E5" w:rsidP="008F4F69">
            <w:pPr>
              <w:rPr>
                <w:sz w:val="16"/>
                <w:szCs w:val="16"/>
                <w:lang w:val="es-ES_tradnl"/>
              </w:rPr>
            </w:pPr>
            <w:r w:rsidRPr="00C75C7E">
              <w:rPr>
                <w:sz w:val="16"/>
                <w:szCs w:val="16"/>
                <w:lang w:val="es-ES_tradnl" w:bidi="th-TH"/>
              </w:rPr>
              <w:t>Se establecerá a comienzos de 2014 cuando se haya hecho entrega de la nueva sala de conferencias y sobre la base de la evaluación específica de carácter arquitectónico y técnico realizada en 2013.</w:t>
            </w:r>
          </w:p>
        </w:tc>
        <w:tc>
          <w:tcPr>
            <w:tcW w:w="1058" w:type="pct"/>
            <w:shd w:val="clear" w:color="auto" w:fill="auto"/>
            <w:tcMar>
              <w:top w:w="113" w:type="dxa"/>
            </w:tcMar>
          </w:tcPr>
          <w:p w:rsidR="009F58E5" w:rsidRPr="00C75C7E" w:rsidRDefault="009F58E5" w:rsidP="008F4F69">
            <w:pPr>
              <w:keepNext/>
              <w:keepLines/>
              <w:ind w:right="51"/>
              <w:rPr>
                <w:bCs/>
                <w:sz w:val="16"/>
                <w:szCs w:val="16"/>
                <w:lang w:val="es-ES_tradnl"/>
              </w:rPr>
            </w:pPr>
            <w:r w:rsidRPr="00C75C7E">
              <w:rPr>
                <w:bCs/>
                <w:sz w:val="16"/>
                <w:szCs w:val="16"/>
                <w:lang w:val="es-ES_tradnl"/>
              </w:rPr>
              <w:t>Se establecerá a comienzos de 2014 cuando se haya hecho entrega de la nueva sala de conferencias y sobre la base de la evaluación específica de carácter arquitectónico y técnico realizada en 2013.</w:t>
            </w:r>
          </w:p>
        </w:tc>
      </w:tr>
      <w:tr w:rsidR="009F58E5" w:rsidRPr="00C75C7E" w:rsidTr="008F4F69">
        <w:trPr>
          <w:cantSplit/>
          <w:trHeight w:val="780"/>
        </w:trPr>
        <w:tc>
          <w:tcPr>
            <w:tcW w:w="1256" w:type="pct"/>
            <w:vMerge/>
            <w:shd w:val="clear" w:color="auto" w:fill="auto"/>
            <w:tcMar>
              <w:top w:w="113" w:type="dxa"/>
            </w:tcMar>
          </w:tcPr>
          <w:p w:rsidR="009F58E5" w:rsidRPr="00C75C7E" w:rsidRDefault="009F58E5" w:rsidP="008F4F69">
            <w:pPr>
              <w:rPr>
                <w:sz w:val="16"/>
                <w:szCs w:val="16"/>
                <w:lang w:val="es-ES_tradnl"/>
              </w:rPr>
            </w:pPr>
          </w:p>
        </w:tc>
        <w:tc>
          <w:tcPr>
            <w:tcW w:w="1523" w:type="pct"/>
            <w:shd w:val="clear" w:color="auto" w:fill="auto"/>
            <w:tcMar>
              <w:top w:w="113" w:type="dxa"/>
            </w:tcMar>
          </w:tcPr>
          <w:p w:rsidR="009F58E5" w:rsidRPr="00C75C7E" w:rsidRDefault="009F58E5" w:rsidP="008F4F69">
            <w:pPr>
              <w:rPr>
                <w:sz w:val="16"/>
                <w:szCs w:val="16"/>
                <w:lang w:val="es-ES_tradnl"/>
              </w:rPr>
            </w:pPr>
            <w:r w:rsidRPr="00C75C7E">
              <w:rPr>
                <w:sz w:val="16"/>
                <w:szCs w:val="16"/>
                <w:lang w:val="es-ES_tradnl"/>
              </w:rPr>
              <w:t>Supervisión de las medidas aplicadas durante el período de construcción con el fin de respetar el medio ambiente y reducir el consumo de energía.</w:t>
            </w:r>
          </w:p>
        </w:tc>
        <w:tc>
          <w:tcPr>
            <w:tcW w:w="1163" w:type="pct"/>
            <w:shd w:val="clear" w:color="auto" w:fill="FFFFFF"/>
            <w:tcMar>
              <w:top w:w="113" w:type="dxa"/>
            </w:tcMar>
          </w:tcPr>
          <w:p w:rsidR="009F58E5" w:rsidRPr="00C75C7E" w:rsidRDefault="009F58E5" w:rsidP="008F4F69">
            <w:pPr>
              <w:rPr>
                <w:sz w:val="16"/>
                <w:szCs w:val="16"/>
                <w:lang w:val="es-ES_tradnl"/>
              </w:rPr>
            </w:pPr>
            <w:r w:rsidRPr="00C75C7E">
              <w:rPr>
                <w:sz w:val="16"/>
                <w:szCs w:val="16"/>
                <w:lang w:val="es-ES_tradnl" w:bidi="th-TH"/>
              </w:rPr>
              <w:t>Se establecerá a comienzos de 2014 cuando se haya hecho entrega de la nueva sala de conferencias.</w:t>
            </w:r>
          </w:p>
        </w:tc>
        <w:tc>
          <w:tcPr>
            <w:tcW w:w="1058" w:type="pct"/>
            <w:shd w:val="clear" w:color="auto" w:fill="auto"/>
            <w:tcMar>
              <w:top w:w="113" w:type="dxa"/>
            </w:tcMar>
          </w:tcPr>
          <w:p w:rsidR="009F58E5" w:rsidRPr="00C75C7E" w:rsidRDefault="009F58E5" w:rsidP="008F4F69">
            <w:pPr>
              <w:keepNext/>
              <w:keepLines/>
              <w:ind w:right="161"/>
              <w:rPr>
                <w:bCs/>
                <w:sz w:val="16"/>
                <w:szCs w:val="16"/>
                <w:lang w:val="es-ES_tradnl"/>
              </w:rPr>
            </w:pPr>
            <w:r w:rsidRPr="00C75C7E">
              <w:rPr>
                <w:bCs/>
                <w:sz w:val="16"/>
                <w:szCs w:val="16"/>
                <w:lang w:val="es-ES_tradnl"/>
              </w:rPr>
              <w:t>Se establecerá a comienzos de 2014 cuando se haya hecho entrega de la nueva sala de conferencias.</w:t>
            </w:r>
          </w:p>
        </w:tc>
      </w:tr>
      <w:tr w:rsidR="009F58E5" w:rsidRPr="00C75C7E" w:rsidTr="008F4F69">
        <w:trPr>
          <w:cantSplit/>
          <w:trHeight w:val="640"/>
        </w:trPr>
        <w:tc>
          <w:tcPr>
            <w:tcW w:w="1256" w:type="pct"/>
            <w:vMerge/>
            <w:shd w:val="clear" w:color="auto" w:fill="auto"/>
            <w:tcMar>
              <w:top w:w="113" w:type="dxa"/>
            </w:tcMar>
          </w:tcPr>
          <w:p w:rsidR="009F58E5" w:rsidRPr="00C75C7E" w:rsidRDefault="009F58E5" w:rsidP="008F4F69">
            <w:pPr>
              <w:rPr>
                <w:sz w:val="16"/>
                <w:szCs w:val="16"/>
                <w:lang w:val="es-ES_tradnl"/>
              </w:rPr>
            </w:pPr>
          </w:p>
        </w:tc>
        <w:tc>
          <w:tcPr>
            <w:tcW w:w="1523" w:type="pct"/>
            <w:shd w:val="clear" w:color="auto" w:fill="auto"/>
            <w:tcMar>
              <w:top w:w="113" w:type="dxa"/>
            </w:tcMar>
          </w:tcPr>
          <w:p w:rsidR="009F58E5" w:rsidRPr="00C75C7E" w:rsidRDefault="009F58E5" w:rsidP="008F4F69">
            <w:pPr>
              <w:rPr>
                <w:sz w:val="16"/>
                <w:szCs w:val="16"/>
                <w:lang w:val="es-ES_tradnl"/>
              </w:rPr>
            </w:pPr>
            <w:r w:rsidRPr="00C75C7E">
              <w:rPr>
                <w:sz w:val="16"/>
                <w:szCs w:val="16"/>
                <w:lang w:val="es-ES_tradnl"/>
              </w:rPr>
              <w:t>Finalización de la aplicación de las medidas de seguridad del perímetro de la nueva sala de conferencias con arreglo a las normas mínimas operativas de seguridad para las sedes de NN.UU.</w:t>
            </w:r>
          </w:p>
        </w:tc>
        <w:tc>
          <w:tcPr>
            <w:tcW w:w="1163" w:type="pct"/>
            <w:shd w:val="clear" w:color="auto" w:fill="FFFFFF"/>
            <w:tcMar>
              <w:top w:w="113" w:type="dxa"/>
            </w:tcMar>
          </w:tcPr>
          <w:p w:rsidR="009F58E5" w:rsidRPr="00C75C7E" w:rsidRDefault="005C037B" w:rsidP="008F4F69">
            <w:pPr>
              <w:rPr>
                <w:sz w:val="16"/>
                <w:szCs w:val="16"/>
                <w:lang w:val="es-ES_tradnl" w:bidi="th-TH"/>
              </w:rPr>
            </w:pPr>
            <w:r>
              <w:rPr>
                <w:sz w:val="16"/>
                <w:szCs w:val="16"/>
                <w:lang w:val="es-ES_tradnl" w:bidi="th-TH"/>
              </w:rPr>
              <w:t>N.d.</w:t>
            </w:r>
          </w:p>
        </w:tc>
        <w:tc>
          <w:tcPr>
            <w:tcW w:w="1058" w:type="pct"/>
            <w:shd w:val="clear" w:color="auto" w:fill="auto"/>
            <w:tcMar>
              <w:top w:w="113" w:type="dxa"/>
            </w:tcMar>
          </w:tcPr>
          <w:p w:rsidR="009F58E5" w:rsidRPr="00C75C7E" w:rsidRDefault="009F58E5" w:rsidP="008F4F69">
            <w:pPr>
              <w:keepNext/>
              <w:keepLines/>
              <w:ind w:right="161"/>
              <w:rPr>
                <w:bCs/>
                <w:sz w:val="16"/>
                <w:szCs w:val="16"/>
                <w:lang w:val="es-ES_tradnl"/>
              </w:rPr>
            </w:pPr>
            <w:r w:rsidRPr="00C75C7E">
              <w:rPr>
                <w:bCs/>
                <w:sz w:val="16"/>
                <w:szCs w:val="16"/>
                <w:lang w:val="es-ES_tradnl"/>
              </w:rPr>
              <w:t>Finalización de la aplicación de las medidas de seguridad del perímetro con arreglo a las normas mínimas operativas de seguridad para las sedes de NN.UU. a fines de 2015.</w:t>
            </w:r>
          </w:p>
        </w:tc>
      </w:tr>
    </w:tbl>
    <w:p w:rsidR="009F58E5" w:rsidRPr="00C75C7E" w:rsidRDefault="009F58E5" w:rsidP="009F58E5">
      <w:pPr>
        <w:rPr>
          <w:sz w:val="20"/>
          <w:lang w:val="es-ES_tradnl"/>
        </w:rPr>
      </w:pPr>
      <w:bookmarkStart w:id="93" w:name="a"/>
      <w:bookmarkStart w:id="94" w:name="b"/>
      <w:bookmarkStart w:id="95" w:name="c"/>
      <w:bookmarkStart w:id="96" w:name="d"/>
      <w:bookmarkStart w:id="97" w:name="e"/>
      <w:bookmarkStart w:id="98" w:name="f"/>
      <w:bookmarkEnd w:id="93"/>
      <w:bookmarkEnd w:id="94"/>
      <w:bookmarkEnd w:id="95"/>
      <w:bookmarkEnd w:id="96"/>
      <w:bookmarkEnd w:id="97"/>
      <w:bookmarkEnd w:id="98"/>
    </w:p>
    <w:p w:rsidR="00E10A93" w:rsidRPr="003F4AA7" w:rsidRDefault="00E10A93" w:rsidP="00E10A93">
      <w:pPr>
        <w:rPr>
          <w:sz w:val="20"/>
        </w:rPr>
      </w:pPr>
    </w:p>
    <w:p w:rsidR="00E10A93" w:rsidRPr="003F4AA7" w:rsidRDefault="00E10A93" w:rsidP="00E10A93">
      <w:pPr>
        <w:keepNext/>
        <w:keepLines/>
        <w:autoSpaceDE w:val="0"/>
        <w:autoSpaceDN w:val="0"/>
        <w:adjustRightInd w:val="0"/>
        <w:jc w:val="both"/>
        <w:rPr>
          <w:szCs w:val="22"/>
        </w:rPr>
      </w:pPr>
      <w:r w:rsidRPr="00ED24BB">
        <w:rPr>
          <w:szCs w:val="22"/>
        </w:rPr>
        <w:t>RECURSOS PARA EL PROGRAMA</w:t>
      </w:r>
      <w:r w:rsidRPr="003F4AA7">
        <w:rPr>
          <w:szCs w:val="22"/>
        </w:rPr>
        <w:t xml:space="preserve"> 29</w:t>
      </w:r>
    </w:p>
    <w:p w:rsidR="00E10A93" w:rsidRPr="003F4AA7" w:rsidRDefault="00E10A93" w:rsidP="00E10A93">
      <w:pPr>
        <w:keepNext/>
        <w:keepLines/>
        <w:autoSpaceDE w:val="0"/>
        <w:autoSpaceDN w:val="0"/>
        <w:adjustRightInd w:val="0"/>
        <w:rPr>
          <w:sz w:val="20"/>
        </w:rPr>
      </w:pPr>
    </w:p>
    <w:p w:rsidR="00E10A93" w:rsidRPr="00626ACC" w:rsidRDefault="00E10A93" w:rsidP="00D41E6A">
      <w:pPr>
        <w:numPr>
          <w:ilvl w:val="0"/>
          <w:numId w:val="48"/>
        </w:numPr>
        <w:ind w:left="0"/>
        <w:jc w:val="both"/>
        <w:rPr>
          <w:sz w:val="20"/>
        </w:rPr>
      </w:pPr>
      <w:r w:rsidRPr="00626ACC">
        <w:rPr>
          <w:sz w:val="20"/>
        </w:rPr>
        <w:t>La reducción que figura en el r</w:t>
      </w:r>
      <w:r>
        <w:rPr>
          <w:sz w:val="20"/>
        </w:rPr>
        <w:t>e</w:t>
      </w:r>
      <w:r w:rsidRPr="00626ACC">
        <w:rPr>
          <w:sz w:val="20"/>
        </w:rPr>
        <w:t xml:space="preserve">sultado IX. </w:t>
      </w:r>
      <w:r>
        <w:rPr>
          <w:sz w:val="20"/>
        </w:rPr>
        <w:t xml:space="preserve">(Servicios de apoyo </w:t>
      </w:r>
      <w:r w:rsidRPr="00626ACC">
        <w:rPr>
          <w:sz w:val="20"/>
        </w:rPr>
        <w:t>eficaces, eficientes, de</w:t>
      </w:r>
      <w:r>
        <w:rPr>
          <w:sz w:val="20"/>
        </w:rPr>
        <w:t xml:space="preserve"> calidad y </w:t>
      </w:r>
      <w:r w:rsidRPr="00626ACC">
        <w:rPr>
          <w:sz w:val="20"/>
        </w:rPr>
        <w:t>orientados al</w:t>
      </w:r>
      <w:r>
        <w:rPr>
          <w:sz w:val="20"/>
        </w:rPr>
        <w:t xml:space="preserve"> </w:t>
      </w:r>
      <w:r w:rsidRPr="00626ACC">
        <w:rPr>
          <w:sz w:val="20"/>
        </w:rPr>
        <w:t>cliente</w:t>
      </w:r>
      <w:r>
        <w:rPr>
          <w:sz w:val="20"/>
        </w:rPr>
        <w:t xml:space="preserve">) está relacionada con la transferencia al programa 24 de los fondos para el pago de los intereses del préstamo para la financiación de la construcción de los nuevos edificios, tal como se refleja en la línea “Locales y </w:t>
      </w:r>
      <w:r w:rsidRPr="00E86809">
        <w:rPr>
          <w:sz w:val="20"/>
        </w:rPr>
        <w:t>mantenimiento”</w:t>
      </w:r>
      <w:r w:rsidRPr="00626ACC">
        <w:rPr>
          <w:sz w:val="20"/>
        </w:rPr>
        <w:t>.</w:t>
      </w:r>
    </w:p>
    <w:p w:rsidR="00E10A93" w:rsidRPr="00626ACC" w:rsidRDefault="00E10A93" w:rsidP="00E10A93">
      <w:pPr>
        <w:jc w:val="both"/>
        <w:rPr>
          <w:sz w:val="20"/>
        </w:rPr>
      </w:pPr>
    </w:p>
    <w:p w:rsidR="00E10A93" w:rsidRPr="004A36B4" w:rsidRDefault="00E10A93" w:rsidP="00D41E6A">
      <w:pPr>
        <w:numPr>
          <w:ilvl w:val="0"/>
          <w:numId w:val="48"/>
        </w:numPr>
        <w:ind w:left="0"/>
        <w:jc w:val="both"/>
        <w:rPr>
          <w:sz w:val="20"/>
        </w:rPr>
      </w:pPr>
      <w:r>
        <w:rPr>
          <w:sz w:val="20"/>
        </w:rPr>
        <w:t>Se ha asignado un pequeño aumento a la línea</w:t>
      </w:r>
      <w:r w:rsidRPr="00927E4B">
        <w:rPr>
          <w:sz w:val="20"/>
        </w:rPr>
        <w:t xml:space="preserve"> </w:t>
      </w:r>
      <w:r>
        <w:rPr>
          <w:sz w:val="20"/>
        </w:rPr>
        <w:t>“</w:t>
      </w:r>
      <w:r w:rsidR="001B15D7" w:rsidRPr="00927E4B">
        <w:rPr>
          <w:sz w:val="20"/>
        </w:rPr>
        <w:t xml:space="preserve">Recursos </w:t>
      </w:r>
      <w:r w:rsidRPr="00927E4B">
        <w:rPr>
          <w:sz w:val="20"/>
        </w:rPr>
        <w:t>de personal</w:t>
      </w:r>
      <w:r>
        <w:rPr>
          <w:sz w:val="20"/>
        </w:rPr>
        <w:t>”</w:t>
      </w:r>
      <w:r w:rsidRPr="00927E4B">
        <w:rPr>
          <w:sz w:val="20"/>
        </w:rPr>
        <w:t xml:space="preserve"> en el resultado IX. </w:t>
      </w:r>
      <w:r>
        <w:rPr>
          <w:sz w:val="20"/>
        </w:rPr>
        <w:t xml:space="preserve">4 (Una Organización responsable </w:t>
      </w:r>
      <w:r w:rsidRPr="00927E4B">
        <w:rPr>
          <w:sz w:val="20"/>
        </w:rPr>
        <w:t>con el medio</w:t>
      </w:r>
      <w:r>
        <w:rPr>
          <w:sz w:val="20"/>
        </w:rPr>
        <w:t xml:space="preserve"> </w:t>
      </w:r>
      <w:r w:rsidRPr="00927E4B">
        <w:rPr>
          <w:sz w:val="20"/>
        </w:rPr>
        <w:t>ambiente y la sociedad en la</w:t>
      </w:r>
      <w:r>
        <w:rPr>
          <w:sz w:val="20"/>
        </w:rPr>
        <w:t xml:space="preserve"> </w:t>
      </w:r>
      <w:r w:rsidRPr="00927E4B">
        <w:rPr>
          <w:sz w:val="20"/>
        </w:rPr>
        <w:t>que se garantiza la</w:t>
      </w:r>
      <w:r>
        <w:rPr>
          <w:sz w:val="20"/>
        </w:rPr>
        <w:t xml:space="preserve"> </w:t>
      </w:r>
      <w:r w:rsidRPr="00927E4B">
        <w:rPr>
          <w:sz w:val="20"/>
        </w:rPr>
        <w:t>seguridad del personal de la</w:t>
      </w:r>
      <w:r>
        <w:rPr>
          <w:sz w:val="20"/>
        </w:rPr>
        <w:t xml:space="preserve"> OMPI, los </w:t>
      </w:r>
      <w:r w:rsidRPr="00927E4B">
        <w:rPr>
          <w:sz w:val="20"/>
        </w:rPr>
        <w:t>delegados, los</w:t>
      </w:r>
      <w:r>
        <w:rPr>
          <w:sz w:val="20"/>
        </w:rPr>
        <w:t xml:space="preserve"> </w:t>
      </w:r>
      <w:r w:rsidRPr="00927E4B">
        <w:rPr>
          <w:sz w:val="20"/>
        </w:rPr>
        <w:t>visitantes, la información y</w:t>
      </w:r>
      <w:r>
        <w:rPr>
          <w:sz w:val="20"/>
        </w:rPr>
        <w:t xml:space="preserve"> </w:t>
      </w:r>
      <w:r w:rsidRPr="00927E4B">
        <w:rPr>
          <w:sz w:val="20"/>
        </w:rPr>
        <w:t>los activos físicos</w:t>
      </w:r>
      <w:r>
        <w:rPr>
          <w:sz w:val="20"/>
        </w:rPr>
        <w:t>) para seguir velando por el cumplimiento de las exigencias de accesibilidad física, consumo de energía respetuoso del medio ambiente y seguridad de la nueva sala de conferencias</w:t>
      </w:r>
      <w:r w:rsidRPr="00927E4B">
        <w:rPr>
          <w:sz w:val="20"/>
        </w:rPr>
        <w:t>.</w:t>
      </w:r>
    </w:p>
    <w:p w:rsidR="00E10A93" w:rsidRPr="00927E4B" w:rsidRDefault="00E10A93" w:rsidP="00E10A93">
      <w:pPr>
        <w:keepNext/>
        <w:keepLines/>
        <w:autoSpaceDE w:val="0"/>
        <w:autoSpaceDN w:val="0"/>
        <w:adjustRightInd w:val="0"/>
        <w:rPr>
          <w:sz w:val="20"/>
        </w:rPr>
      </w:pPr>
    </w:p>
    <w:p w:rsidR="009F58E5" w:rsidRPr="00E10A93" w:rsidRDefault="009F58E5" w:rsidP="009F58E5">
      <w:pPr>
        <w:rPr>
          <w:sz w:val="20"/>
          <w:highlight w:val="yellow"/>
        </w:rPr>
      </w:pPr>
    </w:p>
    <w:p w:rsidR="009F58E5" w:rsidRPr="00C75C7E" w:rsidRDefault="003F16E0" w:rsidP="009F58E5">
      <w:pPr>
        <w:keepNext/>
        <w:keepLines/>
        <w:autoSpaceDE w:val="0"/>
        <w:autoSpaceDN w:val="0"/>
        <w:adjustRightInd w:val="0"/>
        <w:ind w:firstLine="567"/>
        <w:jc w:val="center"/>
        <w:rPr>
          <w:b/>
          <w:bCs/>
          <w:iCs/>
          <w:sz w:val="20"/>
          <w:lang w:val="es-ES_tradnl"/>
        </w:rPr>
      </w:pPr>
      <w:r>
        <w:rPr>
          <w:b/>
          <w:bCs/>
          <w:iCs/>
          <w:sz w:val="20"/>
          <w:lang w:val="es-ES_tradnl"/>
        </w:rPr>
        <w:lastRenderedPageBreak/>
        <w:t xml:space="preserve">Programa 29:  </w:t>
      </w:r>
      <w:r w:rsidR="009F58E5" w:rsidRPr="00C75C7E">
        <w:rPr>
          <w:b/>
          <w:bCs/>
          <w:iCs/>
          <w:sz w:val="20"/>
          <w:lang w:val="es-ES_tradnl"/>
        </w:rPr>
        <w:t>Recursos por resultado</w:t>
      </w:r>
    </w:p>
    <w:p w:rsidR="009F58E5" w:rsidRPr="00C75C7E" w:rsidRDefault="009F58E5" w:rsidP="009F58E5">
      <w:pPr>
        <w:keepNext/>
        <w:keepLines/>
        <w:autoSpaceDE w:val="0"/>
        <w:autoSpaceDN w:val="0"/>
        <w:adjustRightInd w:val="0"/>
        <w:ind w:firstLine="567"/>
        <w:jc w:val="center"/>
        <w:rPr>
          <w:bCs/>
          <w:i/>
          <w:sz w:val="20"/>
          <w:lang w:val="es-ES_tradnl"/>
        </w:rPr>
      </w:pPr>
      <w:r w:rsidRPr="00C75C7E">
        <w:rPr>
          <w:bCs/>
          <w:i/>
          <w:sz w:val="20"/>
          <w:lang w:val="es-ES_tradnl"/>
        </w:rPr>
        <w:t>(en miles de francos suizos)</w:t>
      </w:r>
    </w:p>
    <w:p w:rsidR="009F58E5" w:rsidRPr="00C75C7E" w:rsidRDefault="009F58E5" w:rsidP="009F58E5">
      <w:pPr>
        <w:keepNext/>
        <w:rPr>
          <w:sz w:val="20"/>
          <w:lang w:val="es-ES_tradnl"/>
        </w:rPr>
      </w:pPr>
    </w:p>
    <w:p w:rsidR="009F58E5" w:rsidRPr="00C75C7E" w:rsidRDefault="00C40A11" w:rsidP="009F58E5">
      <w:pPr>
        <w:keepNext/>
        <w:ind w:left="6"/>
        <w:jc w:val="center"/>
        <w:rPr>
          <w:lang w:val="es-ES_tradnl"/>
        </w:rPr>
      </w:pPr>
      <w:r>
        <w:rPr>
          <w:noProof/>
          <w:lang w:val="en-US" w:eastAsia="en-US"/>
        </w:rPr>
        <w:drawing>
          <wp:inline distT="0" distB="0" distL="0" distR="0" wp14:anchorId="0EFBED39" wp14:editId="71C85E4C">
            <wp:extent cx="5752465" cy="1883410"/>
            <wp:effectExtent l="0" t="0" r="635" b="2540"/>
            <wp:docPr id="84"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5752465" cy="1883410"/>
                    </a:xfrm>
                    <a:prstGeom prst="rect">
                      <a:avLst/>
                    </a:prstGeom>
                    <a:noFill/>
                    <a:ln>
                      <a:noFill/>
                    </a:ln>
                  </pic:spPr>
                </pic:pic>
              </a:graphicData>
            </a:graphic>
          </wp:inline>
        </w:drawing>
      </w:r>
    </w:p>
    <w:p w:rsidR="009F58E5" w:rsidRPr="00C75C7E" w:rsidRDefault="009F58E5" w:rsidP="009F58E5">
      <w:pPr>
        <w:ind w:left="6"/>
        <w:rPr>
          <w:sz w:val="20"/>
          <w:lang w:val="es-ES_tradnl"/>
        </w:rPr>
      </w:pPr>
    </w:p>
    <w:p w:rsidR="009F58E5" w:rsidRPr="00C75C7E" w:rsidRDefault="009F58E5" w:rsidP="009F58E5">
      <w:pPr>
        <w:keepNext/>
        <w:keepLines/>
        <w:autoSpaceDE w:val="0"/>
        <w:autoSpaceDN w:val="0"/>
        <w:adjustRightInd w:val="0"/>
        <w:rPr>
          <w:sz w:val="20"/>
          <w:lang w:val="es-ES_tradnl"/>
        </w:rPr>
      </w:pPr>
      <w:r w:rsidRPr="00C75C7E">
        <w:rPr>
          <w:sz w:val="16"/>
          <w:szCs w:val="16"/>
          <w:lang w:val="es-ES_tradnl"/>
        </w:rPr>
        <w:t xml:space="preserve">Nota: </w:t>
      </w:r>
      <w:r>
        <w:rPr>
          <w:sz w:val="16"/>
          <w:szCs w:val="16"/>
          <w:lang w:val="es-ES_tradnl"/>
        </w:rPr>
        <w:t xml:space="preserve"> </w:t>
      </w:r>
      <w:r w:rsidRPr="00C75C7E">
        <w:rPr>
          <w:sz w:val="16"/>
          <w:szCs w:val="16"/>
          <w:lang w:val="es-ES_tradnl"/>
        </w:rPr>
        <w:t>Se ha reexpresado el presupuesto aprobado de 2012/13 y el presupuesto de dicho bienio después de las transferencias, por resultado previsto, para reflejar el marco de resultados de la Organización propuesto para 2014/15.</w:t>
      </w:r>
    </w:p>
    <w:p w:rsidR="009F58E5" w:rsidRPr="00C75C7E" w:rsidRDefault="009F58E5" w:rsidP="009F58E5">
      <w:pPr>
        <w:ind w:left="6"/>
        <w:rPr>
          <w:sz w:val="20"/>
          <w:lang w:val="es-ES_tradnl"/>
        </w:rPr>
      </w:pPr>
    </w:p>
    <w:p w:rsidR="009F58E5" w:rsidRPr="00C75C7E" w:rsidRDefault="009F58E5" w:rsidP="009F58E5">
      <w:pPr>
        <w:rPr>
          <w:sz w:val="20"/>
          <w:lang w:val="es-ES_tradnl"/>
        </w:rPr>
      </w:pPr>
    </w:p>
    <w:p w:rsidR="009F58E5" w:rsidRPr="00C75C7E" w:rsidRDefault="003F16E0" w:rsidP="00AA72DC">
      <w:pPr>
        <w:keepNext/>
        <w:keepLines/>
        <w:autoSpaceDE w:val="0"/>
        <w:autoSpaceDN w:val="0"/>
        <w:adjustRightInd w:val="0"/>
        <w:ind w:firstLine="567"/>
        <w:jc w:val="center"/>
        <w:rPr>
          <w:b/>
          <w:bCs/>
          <w:iCs/>
          <w:sz w:val="20"/>
          <w:lang w:val="es-ES_tradnl"/>
        </w:rPr>
      </w:pPr>
      <w:r>
        <w:rPr>
          <w:b/>
          <w:bCs/>
          <w:iCs/>
          <w:sz w:val="20"/>
          <w:lang w:val="es-ES_tradnl"/>
        </w:rPr>
        <w:lastRenderedPageBreak/>
        <w:t xml:space="preserve">Programa 29:  </w:t>
      </w:r>
      <w:r w:rsidR="009F58E5" w:rsidRPr="00C75C7E">
        <w:rPr>
          <w:b/>
          <w:bCs/>
          <w:iCs/>
          <w:sz w:val="20"/>
          <w:lang w:val="es-ES_tradnl"/>
        </w:rPr>
        <w:t>Recursos por objeto de gasto</w:t>
      </w:r>
    </w:p>
    <w:p w:rsidR="009F58E5" w:rsidRPr="00C75C7E" w:rsidRDefault="009F58E5" w:rsidP="00AA72DC">
      <w:pPr>
        <w:keepNext/>
        <w:keepLines/>
        <w:autoSpaceDE w:val="0"/>
        <w:autoSpaceDN w:val="0"/>
        <w:adjustRightInd w:val="0"/>
        <w:ind w:firstLine="567"/>
        <w:jc w:val="center"/>
        <w:rPr>
          <w:bCs/>
          <w:i/>
          <w:sz w:val="20"/>
          <w:lang w:val="es-ES_tradnl"/>
        </w:rPr>
      </w:pPr>
      <w:r w:rsidRPr="00C75C7E">
        <w:rPr>
          <w:bCs/>
          <w:i/>
          <w:sz w:val="20"/>
          <w:lang w:val="es-ES_tradnl"/>
        </w:rPr>
        <w:t>(en miles de francos suizos)</w:t>
      </w:r>
    </w:p>
    <w:p w:rsidR="009F58E5" w:rsidRDefault="009F58E5" w:rsidP="00AA72DC">
      <w:pPr>
        <w:keepNext/>
        <w:keepLines/>
        <w:jc w:val="center"/>
        <w:rPr>
          <w:i/>
          <w:sz w:val="18"/>
          <w:szCs w:val="18"/>
          <w:lang w:val="es-ES_tradnl"/>
        </w:rPr>
      </w:pPr>
    </w:p>
    <w:p w:rsidR="00EA4CD8" w:rsidRPr="00C75C7E" w:rsidRDefault="00C40A11" w:rsidP="00AA72DC">
      <w:pPr>
        <w:keepNext/>
        <w:keepLines/>
        <w:jc w:val="center"/>
        <w:rPr>
          <w:i/>
          <w:sz w:val="18"/>
          <w:szCs w:val="18"/>
          <w:lang w:val="es-ES_tradnl"/>
        </w:rPr>
      </w:pPr>
      <w:r>
        <w:rPr>
          <w:noProof/>
          <w:lang w:val="en-US" w:eastAsia="en-US"/>
        </w:rPr>
        <w:drawing>
          <wp:inline distT="0" distB="0" distL="0" distR="0" wp14:anchorId="2ED68B76" wp14:editId="77B0FF76">
            <wp:extent cx="5936615" cy="5739130"/>
            <wp:effectExtent l="0" t="0" r="6985"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5936615" cy="5739130"/>
                    </a:xfrm>
                    <a:prstGeom prst="rect">
                      <a:avLst/>
                    </a:prstGeom>
                    <a:noFill/>
                    <a:ln>
                      <a:noFill/>
                    </a:ln>
                  </pic:spPr>
                </pic:pic>
              </a:graphicData>
            </a:graphic>
          </wp:inline>
        </w:drawing>
      </w:r>
    </w:p>
    <w:p w:rsidR="00EA4CD8" w:rsidRDefault="00EA4CD8" w:rsidP="009F58E5">
      <w:pPr>
        <w:keepNext/>
        <w:keepLines/>
        <w:rPr>
          <w:sz w:val="16"/>
          <w:szCs w:val="16"/>
          <w:lang w:val="es-ES_tradnl"/>
        </w:rPr>
      </w:pPr>
    </w:p>
    <w:p w:rsidR="009F58E5" w:rsidRPr="00C75C7E" w:rsidRDefault="009F58E5" w:rsidP="009F58E5">
      <w:pPr>
        <w:keepNext/>
        <w:keepLines/>
        <w:rPr>
          <w:sz w:val="16"/>
          <w:szCs w:val="16"/>
          <w:lang w:val="es-ES_tradnl"/>
        </w:rPr>
      </w:pPr>
      <w:r w:rsidRPr="00C75C7E">
        <w:rPr>
          <w:sz w:val="16"/>
          <w:szCs w:val="16"/>
          <w:lang w:val="es-ES_tradnl"/>
        </w:rPr>
        <w:t>Notas:</w:t>
      </w:r>
    </w:p>
    <w:p w:rsidR="009F58E5" w:rsidRPr="00C75C7E" w:rsidRDefault="009F58E5" w:rsidP="009F58E5">
      <w:pPr>
        <w:keepNext/>
        <w:keepLines/>
        <w:rPr>
          <w:sz w:val="16"/>
          <w:szCs w:val="16"/>
          <w:u w:val="single"/>
          <w:lang w:val="es-ES_tradnl"/>
        </w:rPr>
      </w:pPr>
    </w:p>
    <w:p w:rsidR="009F58E5" w:rsidRPr="00C75C7E" w:rsidRDefault="006D30D1" w:rsidP="009F58E5">
      <w:pPr>
        <w:keepNext/>
        <w:keepLines/>
        <w:spacing w:after="120"/>
        <w:rPr>
          <w:sz w:val="16"/>
          <w:szCs w:val="16"/>
          <w:lang w:val="es-ES_tradnl"/>
        </w:rPr>
      </w:pPr>
      <w:r>
        <w:rPr>
          <w:sz w:val="16"/>
          <w:szCs w:val="16"/>
          <w:lang w:val="es-ES_tradnl"/>
        </w:rPr>
        <w:t xml:space="preserve">1)  </w:t>
      </w:r>
      <w:r w:rsidR="009F58E5" w:rsidRPr="00C75C7E">
        <w:rPr>
          <w:sz w:val="16"/>
          <w:szCs w:val="16"/>
          <w:lang w:val="es-ES_tradnl"/>
        </w:rPr>
        <w:t>El presupuesto aprobado de 2012/13 y el presupuesto de dicho bienio después de las transferencias se reexpresan sobre la base de la estructura de categorías de costos propuesta para 2014/15.</w:t>
      </w:r>
    </w:p>
    <w:p w:rsidR="009F58E5" w:rsidRPr="00C75C7E" w:rsidRDefault="009F58E5" w:rsidP="009F58E5">
      <w:pPr>
        <w:keepNext/>
        <w:keepLines/>
        <w:spacing w:after="120"/>
        <w:rPr>
          <w:sz w:val="16"/>
          <w:szCs w:val="16"/>
          <w:lang w:val="es-ES_tradnl"/>
        </w:rPr>
      </w:pPr>
      <w:r>
        <w:rPr>
          <w:sz w:val="16"/>
          <w:szCs w:val="16"/>
          <w:lang w:val="es-ES_tradnl"/>
        </w:rPr>
        <w:t>2)</w:t>
      </w:r>
      <w:r w:rsidR="006D30D1">
        <w:rPr>
          <w:sz w:val="16"/>
          <w:szCs w:val="16"/>
          <w:lang w:val="es-ES_tradnl"/>
        </w:rPr>
        <w:t xml:space="preserve">  </w:t>
      </w:r>
      <w:r w:rsidRPr="00C75C7E">
        <w:rPr>
          <w:sz w:val="16"/>
          <w:szCs w:val="16"/>
          <w:lang w:val="es-ES_tradnl"/>
        </w:rPr>
        <w:t>El presupuesto después de las transferencias refleja el presupuesto de los programas ajustado tras las transferencias efectuadas en 2012/13 en virtud del artículo 5.5 del Reglamento Financiero. Para más info</w:t>
      </w:r>
      <w:r w:rsidR="00D724E6">
        <w:rPr>
          <w:sz w:val="16"/>
          <w:szCs w:val="16"/>
          <w:lang w:val="es-ES_tradnl"/>
        </w:rPr>
        <w:t>rmación sobre el presupuesto de </w:t>
      </w:r>
      <w:r w:rsidRPr="00C75C7E">
        <w:rPr>
          <w:sz w:val="16"/>
          <w:szCs w:val="16"/>
          <w:lang w:val="es-ES_tradnl"/>
        </w:rPr>
        <w:t xml:space="preserve">2012/13 después de las transferencias, cabe remitirse al cuadro que figura en el Anexo I (Presupuesto después de las transferencias, por programa) del presente documento y al documento WO/PBC/20/2 (Informe sobre el rendimiento de los programas en 2012).  </w:t>
      </w:r>
      <w:r w:rsidRPr="00C75C7E">
        <w:rPr>
          <w:rFonts w:cs="ArialMT"/>
          <w:sz w:val="16"/>
          <w:szCs w:val="16"/>
          <w:lang w:val="es-ES_tradnl"/>
        </w:rPr>
        <w:t xml:space="preserve">Los costos de personal del presupuesto de 2012/13 después de las transferencias representan los gastos reales efectuados hasta el 31 de marzo de 2013 y los importes presupuestados para los nueve meses restantes de 2013, sobre la base de costos estándar. </w:t>
      </w:r>
    </w:p>
    <w:p w:rsidR="009F58E5" w:rsidRPr="00C75C7E" w:rsidRDefault="009F58E5" w:rsidP="009F58E5">
      <w:pPr>
        <w:keepNext/>
        <w:keepLines/>
        <w:spacing w:after="120"/>
        <w:rPr>
          <w:sz w:val="20"/>
          <w:lang w:val="es-ES_tradnl"/>
        </w:rPr>
      </w:pPr>
      <w:r>
        <w:rPr>
          <w:sz w:val="16"/>
          <w:szCs w:val="16"/>
          <w:lang w:val="es-ES_tradnl"/>
        </w:rPr>
        <w:t>3)</w:t>
      </w:r>
      <w:r w:rsidR="006D30D1">
        <w:rPr>
          <w:sz w:val="16"/>
          <w:szCs w:val="16"/>
          <w:lang w:val="es-ES_tradnl"/>
        </w:rPr>
        <w:t xml:space="preserve">  </w:t>
      </w:r>
      <w:r w:rsidRPr="00C75C7E">
        <w:rPr>
          <w:sz w:val="16"/>
          <w:szCs w:val="16"/>
          <w:lang w:val="es-ES_tradnl"/>
        </w:rPr>
        <w:t>Para más información sobre los puestos del programa cabe remitirse al cuadro que figura en el Anexo II.</w:t>
      </w:r>
    </w:p>
    <w:p w:rsidR="00AA72DC" w:rsidRDefault="00AA72DC" w:rsidP="00AA72DC">
      <w:pPr>
        <w:rPr>
          <w:sz w:val="20"/>
        </w:rPr>
      </w:pPr>
    </w:p>
    <w:p w:rsidR="00AA72DC" w:rsidRPr="00EB7E9D" w:rsidRDefault="00AA72DC" w:rsidP="00AA72DC">
      <w:pPr>
        <w:pStyle w:val="StyleHeading3ComplexItalic"/>
        <w:keepNext w:val="0"/>
        <w:tabs>
          <w:tab w:val="clear" w:pos="1985"/>
          <w:tab w:val="left" w:pos="1418"/>
        </w:tabs>
        <w:ind w:left="1418" w:hanging="1418"/>
        <w:rPr>
          <w:sz w:val="20"/>
          <w:lang w:val="es-ES"/>
        </w:rPr>
        <w:sectPr w:rsidR="00AA72DC" w:rsidRPr="00EB7E9D" w:rsidSect="00EC046F">
          <w:headerReference w:type="default" r:id="rId134"/>
          <w:pgSz w:w="11907" w:h="16840" w:code="9"/>
          <w:pgMar w:top="567" w:right="1134" w:bottom="1135" w:left="1418" w:header="510" w:footer="851" w:gutter="0"/>
          <w:cols w:space="720"/>
        </w:sectPr>
      </w:pPr>
    </w:p>
    <w:p w:rsidR="00383888" w:rsidRPr="000615AB" w:rsidRDefault="00383888" w:rsidP="00383888">
      <w:pPr>
        <w:pStyle w:val="Heading1"/>
        <w:keepNext w:val="0"/>
        <w:tabs>
          <w:tab w:val="num" w:pos="1134"/>
        </w:tabs>
        <w:ind w:left="1134" w:hanging="1134"/>
        <w:rPr>
          <w:szCs w:val="20"/>
        </w:rPr>
      </w:pPr>
      <w:bookmarkStart w:id="99" w:name="_Toc358816723"/>
      <w:bookmarkStart w:id="100" w:name="_Toc293334839"/>
      <w:bookmarkStart w:id="101" w:name="_Toc298920421"/>
      <w:r w:rsidRPr="000615AB">
        <w:rPr>
          <w:szCs w:val="20"/>
        </w:rPr>
        <w:lastRenderedPageBreak/>
        <w:t>IV.</w:t>
      </w:r>
      <w:r w:rsidRPr="000615AB">
        <w:rPr>
          <w:b w:val="0"/>
          <w:szCs w:val="20"/>
        </w:rPr>
        <w:tab/>
      </w:r>
      <w:r w:rsidRPr="000615AB">
        <w:rPr>
          <w:szCs w:val="20"/>
        </w:rPr>
        <w:t>ANEXOS</w:t>
      </w:r>
      <w:bookmarkEnd w:id="99"/>
    </w:p>
    <w:p w:rsidR="00383888" w:rsidRPr="000615AB" w:rsidRDefault="00383888" w:rsidP="00383888"/>
    <w:bookmarkEnd w:id="100"/>
    <w:bookmarkEnd w:id="101"/>
    <w:p w:rsidR="00383888" w:rsidRPr="000615AB" w:rsidRDefault="00383888" w:rsidP="00383888"/>
    <w:tbl>
      <w:tblPr>
        <w:tblW w:w="9072" w:type="dxa"/>
        <w:tblInd w:w="108" w:type="dxa"/>
        <w:tblLayout w:type="fixed"/>
        <w:tblLook w:val="0000" w:firstRow="0" w:lastRow="0" w:firstColumn="0" w:lastColumn="0" w:noHBand="0" w:noVBand="0"/>
      </w:tblPr>
      <w:tblGrid>
        <w:gridCol w:w="9072"/>
      </w:tblGrid>
      <w:tr w:rsidR="00383888" w:rsidRPr="000615AB" w:rsidTr="00B47699">
        <w:tc>
          <w:tcPr>
            <w:tcW w:w="9072" w:type="dxa"/>
            <w:vAlign w:val="center"/>
          </w:tcPr>
          <w:p w:rsidR="00383888" w:rsidRDefault="00383888" w:rsidP="00B47699">
            <w:pPr>
              <w:ind w:left="2019" w:hanging="1276"/>
              <w:rPr>
                <w:sz w:val="20"/>
              </w:rPr>
            </w:pPr>
            <w:r w:rsidRPr="000615AB">
              <w:rPr>
                <w:sz w:val="20"/>
              </w:rPr>
              <w:t>Anexo I.</w:t>
            </w:r>
            <w:r w:rsidRPr="000615AB">
              <w:rPr>
                <w:sz w:val="20"/>
              </w:rPr>
              <w:tab/>
              <w:t>Presupuesto de 2012/13 después de las transferencias, por programa</w:t>
            </w:r>
          </w:p>
          <w:p w:rsidR="00383888" w:rsidRPr="000615AB" w:rsidRDefault="00383888" w:rsidP="00B47699">
            <w:pPr>
              <w:ind w:left="2019" w:hanging="1276"/>
              <w:rPr>
                <w:sz w:val="20"/>
              </w:rPr>
            </w:pPr>
          </w:p>
        </w:tc>
      </w:tr>
      <w:tr w:rsidR="00383888" w:rsidRPr="000615AB" w:rsidTr="00B47699">
        <w:tc>
          <w:tcPr>
            <w:tcW w:w="9072" w:type="dxa"/>
            <w:vAlign w:val="center"/>
          </w:tcPr>
          <w:p w:rsidR="00383888" w:rsidRDefault="00383888" w:rsidP="00B47699">
            <w:pPr>
              <w:ind w:left="2019" w:hanging="1276"/>
              <w:rPr>
                <w:sz w:val="20"/>
              </w:rPr>
            </w:pPr>
            <w:r w:rsidRPr="000615AB">
              <w:rPr>
                <w:sz w:val="20"/>
              </w:rPr>
              <w:t>Anexo II.</w:t>
            </w:r>
            <w:r w:rsidRPr="000615AB">
              <w:rPr>
                <w:sz w:val="20"/>
              </w:rPr>
              <w:tab/>
              <w:t>Recursos propuestos para 2014/2015, por programa</w:t>
            </w:r>
          </w:p>
          <w:p w:rsidR="00383888" w:rsidRPr="000615AB" w:rsidRDefault="00383888" w:rsidP="00B47699">
            <w:pPr>
              <w:ind w:left="2019" w:hanging="1276"/>
              <w:rPr>
                <w:sz w:val="20"/>
              </w:rPr>
            </w:pPr>
          </w:p>
        </w:tc>
      </w:tr>
      <w:tr w:rsidR="00383888" w:rsidRPr="000615AB" w:rsidTr="00B47699">
        <w:tc>
          <w:tcPr>
            <w:tcW w:w="9072" w:type="dxa"/>
            <w:vAlign w:val="center"/>
          </w:tcPr>
          <w:p w:rsidR="00383888" w:rsidRDefault="00383888" w:rsidP="00B47699">
            <w:pPr>
              <w:ind w:left="2019" w:hanging="1276"/>
              <w:rPr>
                <w:sz w:val="20"/>
              </w:rPr>
            </w:pPr>
            <w:r w:rsidRPr="000615AB">
              <w:rPr>
                <w:sz w:val="20"/>
              </w:rPr>
              <w:t>Anexo III.</w:t>
            </w:r>
            <w:r w:rsidRPr="000615AB">
              <w:rPr>
                <w:sz w:val="20"/>
              </w:rPr>
              <w:tab/>
              <w:t>Asignación de los ingresos previstos y de los gastos presupuestados, por Unión</w:t>
            </w:r>
          </w:p>
          <w:p w:rsidR="00383888" w:rsidRPr="000615AB" w:rsidRDefault="00383888" w:rsidP="00B47699">
            <w:pPr>
              <w:ind w:left="2019" w:hanging="1276"/>
              <w:rPr>
                <w:sz w:val="20"/>
              </w:rPr>
            </w:pPr>
          </w:p>
        </w:tc>
      </w:tr>
      <w:tr w:rsidR="00383888" w:rsidRPr="000615AB" w:rsidTr="00B47699">
        <w:tc>
          <w:tcPr>
            <w:tcW w:w="9072" w:type="dxa"/>
            <w:vAlign w:val="center"/>
          </w:tcPr>
          <w:p w:rsidR="00383888" w:rsidRPr="00961C5B" w:rsidRDefault="00383888" w:rsidP="00B47699">
            <w:pPr>
              <w:ind w:left="2019" w:hanging="1276"/>
              <w:rPr>
                <w:sz w:val="20"/>
              </w:rPr>
            </w:pPr>
            <w:r w:rsidRPr="000615AB">
              <w:rPr>
                <w:sz w:val="20"/>
              </w:rPr>
              <w:t>Anexo IV.</w:t>
            </w:r>
            <w:r w:rsidRPr="000615AB">
              <w:rPr>
                <w:sz w:val="20"/>
              </w:rPr>
              <w:tab/>
              <w:t>Evolución de la demanda de los servicios de los sistemas del PCT, de Madrid y de La Haya a mediano plazo</w:t>
            </w:r>
          </w:p>
          <w:p w:rsidR="00383888" w:rsidRPr="000615AB" w:rsidRDefault="00383888" w:rsidP="00B47699">
            <w:pPr>
              <w:ind w:left="2019" w:hanging="1276"/>
              <w:rPr>
                <w:sz w:val="20"/>
              </w:rPr>
            </w:pPr>
          </w:p>
        </w:tc>
      </w:tr>
      <w:tr w:rsidR="00383888" w:rsidRPr="000615AB" w:rsidTr="00B47699">
        <w:tc>
          <w:tcPr>
            <w:tcW w:w="9072" w:type="dxa"/>
            <w:vAlign w:val="center"/>
          </w:tcPr>
          <w:p w:rsidR="00383888" w:rsidRDefault="00383888" w:rsidP="00B47699">
            <w:pPr>
              <w:ind w:left="2019" w:hanging="1276"/>
              <w:rPr>
                <w:sz w:val="20"/>
              </w:rPr>
            </w:pPr>
            <w:r w:rsidRPr="000615AB">
              <w:rPr>
                <w:sz w:val="20"/>
              </w:rPr>
              <w:t>Anexo</w:t>
            </w:r>
            <w:r>
              <w:rPr>
                <w:sz w:val="20"/>
              </w:rPr>
              <w:t xml:space="preserve"> </w:t>
            </w:r>
            <w:r w:rsidRPr="000615AB">
              <w:rPr>
                <w:sz w:val="20"/>
              </w:rPr>
              <w:t>V.</w:t>
            </w:r>
            <w:r w:rsidRPr="000615AB">
              <w:rPr>
                <w:sz w:val="20"/>
              </w:rPr>
              <w:tab/>
              <w:t>Indicadores de las operaciones del PCT</w:t>
            </w:r>
          </w:p>
          <w:p w:rsidR="00383888" w:rsidRPr="000615AB" w:rsidRDefault="00383888" w:rsidP="00B47699">
            <w:pPr>
              <w:ind w:left="2019" w:hanging="1276"/>
              <w:rPr>
                <w:sz w:val="20"/>
              </w:rPr>
            </w:pPr>
          </w:p>
        </w:tc>
      </w:tr>
      <w:tr w:rsidR="00383888" w:rsidRPr="000615AB" w:rsidTr="00B47699">
        <w:trPr>
          <w:trHeight w:val="404"/>
        </w:trPr>
        <w:tc>
          <w:tcPr>
            <w:tcW w:w="9072" w:type="dxa"/>
            <w:vAlign w:val="center"/>
          </w:tcPr>
          <w:p w:rsidR="00383888" w:rsidRDefault="00383888" w:rsidP="00B47699">
            <w:pPr>
              <w:ind w:left="2019" w:hanging="1276"/>
              <w:rPr>
                <w:sz w:val="20"/>
              </w:rPr>
            </w:pPr>
            <w:r w:rsidRPr="000615AB">
              <w:rPr>
                <w:sz w:val="20"/>
              </w:rPr>
              <w:t>Anexo VI.</w:t>
            </w:r>
            <w:r w:rsidRPr="000615AB">
              <w:rPr>
                <w:sz w:val="20"/>
              </w:rPr>
              <w:tab/>
              <w:t>Indicadores de las operaciones de los sistemas de Madrid y de Lisboa</w:t>
            </w:r>
          </w:p>
          <w:p w:rsidR="00383888" w:rsidRPr="000615AB" w:rsidRDefault="00383888" w:rsidP="00B47699">
            <w:pPr>
              <w:ind w:left="2019" w:hanging="1276"/>
              <w:rPr>
                <w:sz w:val="20"/>
              </w:rPr>
            </w:pPr>
          </w:p>
        </w:tc>
      </w:tr>
      <w:tr w:rsidR="00383888" w:rsidRPr="000615AB" w:rsidTr="00B47699">
        <w:trPr>
          <w:trHeight w:val="423"/>
        </w:trPr>
        <w:tc>
          <w:tcPr>
            <w:tcW w:w="9072" w:type="dxa"/>
            <w:vAlign w:val="center"/>
          </w:tcPr>
          <w:p w:rsidR="00383888" w:rsidRDefault="00383888" w:rsidP="00B47699">
            <w:pPr>
              <w:ind w:left="2019" w:hanging="1276"/>
              <w:rPr>
                <w:sz w:val="20"/>
              </w:rPr>
            </w:pPr>
            <w:r w:rsidRPr="000615AB">
              <w:rPr>
                <w:sz w:val="20"/>
              </w:rPr>
              <w:t>Anexo VII.</w:t>
            </w:r>
            <w:r w:rsidRPr="000615AB">
              <w:rPr>
                <w:sz w:val="20"/>
              </w:rPr>
              <w:tab/>
              <w:t>Indicadores de las operaciones del sistema de La Haya</w:t>
            </w:r>
          </w:p>
          <w:p w:rsidR="00383888" w:rsidRPr="000615AB" w:rsidRDefault="00383888" w:rsidP="00B47699">
            <w:pPr>
              <w:ind w:left="2019" w:hanging="1276"/>
              <w:rPr>
                <w:sz w:val="20"/>
              </w:rPr>
            </w:pPr>
          </w:p>
        </w:tc>
      </w:tr>
      <w:tr w:rsidR="00383888" w:rsidRPr="000615AB" w:rsidTr="00B47699">
        <w:tc>
          <w:tcPr>
            <w:tcW w:w="9072" w:type="dxa"/>
            <w:vAlign w:val="center"/>
          </w:tcPr>
          <w:p w:rsidR="00383888" w:rsidRDefault="00383888" w:rsidP="00B47699">
            <w:pPr>
              <w:ind w:left="2019" w:hanging="1276"/>
              <w:rPr>
                <w:sz w:val="20"/>
              </w:rPr>
            </w:pPr>
            <w:r w:rsidRPr="000615AB">
              <w:rPr>
                <w:sz w:val="20"/>
              </w:rPr>
              <w:t>Anexo VIII.</w:t>
            </w:r>
            <w:r w:rsidRPr="000615AB">
              <w:rPr>
                <w:sz w:val="20"/>
              </w:rPr>
              <w:tab/>
              <w:t>Recursos de fondos fiduciarios disponibles pot</w:t>
            </w:r>
            <w:r>
              <w:rPr>
                <w:sz w:val="20"/>
              </w:rPr>
              <w:t>encialmente para su utilización</w:t>
            </w:r>
          </w:p>
          <w:p w:rsidR="00383888" w:rsidRPr="000615AB" w:rsidRDefault="00383888" w:rsidP="00B47699">
            <w:pPr>
              <w:ind w:left="1701" w:hanging="958"/>
              <w:rPr>
                <w:sz w:val="20"/>
              </w:rPr>
            </w:pPr>
          </w:p>
        </w:tc>
      </w:tr>
      <w:tr w:rsidR="00383888" w:rsidRPr="000615AB" w:rsidTr="00B47699">
        <w:trPr>
          <w:trHeight w:val="792"/>
        </w:trPr>
        <w:tc>
          <w:tcPr>
            <w:tcW w:w="9072" w:type="dxa"/>
            <w:vAlign w:val="center"/>
          </w:tcPr>
          <w:p w:rsidR="00383888" w:rsidRPr="000615AB" w:rsidRDefault="00383888" w:rsidP="00B47699">
            <w:pPr>
              <w:ind w:left="2019" w:hanging="1276"/>
              <w:rPr>
                <w:sz w:val="20"/>
              </w:rPr>
            </w:pPr>
            <w:r w:rsidRPr="000615AB">
              <w:rPr>
                <w:sz w:val="20"/>
              </w:rPr>
              <w:t>Anexo</w:t>
            </w:r>
            <w:r>
              <w:rPr>
                <w:sz w:val="20"/>
              </w:rPr>
              <w:t xml:space="preserve"> IX</w:t>
            </w:r>
            <w:r w:rsidRPr="000615AB">
              <w:rPr>
                <w:sz w:val="20"/>
              </w:rPr>
              <w:t>.</w:t>
            </w:r>
            <w:r w:rsidRPr="000615AB">
              <w:rPr>
                <w:sz w:val="20"/>
              </w:rPr>
              <w:tab/>
              <w:t>Cuadros del presupuesto anual para la presentación de informes conforme</w:t>
            </w:r>
            <w:r>
              <w:rPr>
                <w:sz w:val="20"/>
              </w:rPr>
              <w:t xml:space="preserve"> a las IPSAS</w:t>
            </w:r>
          </w:p>
          <w:p w:rsidR="00383888" w:rsidRPr="000615AB" w:rsidRDefault="00383888" w:rsidP="00B47699">
            <w:pPr>
              <w:ind w:left="2019" w:hanging="1276"/>
              <w:rPr>
                <w:sz w:val="20"/>
              </w:rPr>
            </w:pPr>
          </w:p>
        </w:tc>
      </w:tr>
      <w:tr w:rsidR="00383888" w:rsidRPr="000615AB" w:rsidTr="00B47699">
        <w:tc>
          <w:tcPr>
            <w:tcW w:w="9072" w:type="dxa"/>
            <w:vAlign w:val="center"/>
          </w:tcPr>
          <w:p w:rsidR="00383888" w:rsidRDefault="00383888" w:rsidP="00B47699">
            <w:pPr>
              <w:ind w:left="2019" w:hanging="1276"/>
              <w:rPr>
                <w:sz w:val="20"/>
              </w:rPr>
            </w:pPr>
            <w:r w:rsidRPr="000615AB">
              <w:rPr>
                <w:sz w:val="20"/>
              </w:rPr>
              <w:t>Anexo X.</w:t>
            </w:r>
            <w:r w:rsidRPr="000615AB">
              <w:rPr>
                <w:sz w:val="20"/>
              </w:rPr>
              <w:tab/>
              <w:t>Presupuesto para 2014/2015 por resultado previsto</w:t>
            </w:r>
            <w:r>
              <w:rPr>
                <w:sz w:val="20"/>
              </w:rPr>
              <w:t xml:space="preserve"> y programa</w:t>
            </w:r>
          </w:p>
          <w:p w:rsidR="00383888" w:rsidRPr="000615AB" w:rsidRDefault="00383888" w:rsidP="00B47699">
            <w:pPr>
              <w:ind w:left="2019" w:hanging="1276"/>
              <w:rPr>
                <w:sz w:val="20"/>
              </w:rPr>
            </w:pPr>
          </w:p>
        </w:tc>
      </w:tr>
      <w:tr w:rsidR="00383888" w:rsidRPr="000615AB" w:rsidTr="00B47699">
        <w:trPr>
          <w:trHeight w:val="463"/>
        </w:trPr>
        <w:tc>
          <w:tcPr>
            <w:tcW w:w="9072" w:type="dxa"/>
            <w:vAlign w:val="center"/>
          </w:tcPr>
          <w:p w:rsidR="00383888" w:rsidRDefault="00383888" w:rsidP="00B47699">
            <w:pPr>
              <w:ind w:left="2019" w:hanging="1276"/>
              <w:rPr>
                <w:sz w:val="20"/>
              </w:rPr>
            </w:pPr>
            <w:r w:rsidRPr="000615AB">
              <w:rPr>
                <w:sz w:val="20"/>
              </w:rPr>
              <w:t>Anexo XI.</w:t>
            </w:r>
            <w:r w:rsidRPr="000615AB">
              <w:rPr>
                <w:sz w:val="20"/>
              </w:rPr>
              <w:tab/>
              <w:t>Presupuesto para 2014/2015 por resultado previsto</w:t>
            </w:r>
          </w:p>
          <w:p w:rsidR="00383888" w:rsidRPr="000615AB" w:rsidRDefault="00383888" w:rsidP="00B47699">
            <w:pPr>
              <w:ind w:left="2019" w:hanging="1276"/>
              <w:rPr>
                <w:sz w:val="20"/>
              </w:rPr>
            </w:pPr>
          </w:p>
        </w:tc>
      </w:tr>
      <w:tr w:rsidR="00383888" w:rsidRPr="000615AB" w:rsidTr="00B47699">
        <w:trPr>
          <w:trHeight w:val="95"/>
        </w:trPr>
        <w:tc>
          <w:tcPr>
            <w:tcW w:w="9072" w:type="dxa"/>
            <w:vAlign w:val="center"/>
          </w:tcPr>
          <w:p w:rsidR="00383888" w:rsidRPr="000615AB" w:rsidRDefault="00383888" w:rsidP="00B47699">
            <w:pPr>
              <w:ind w:left="2019" w:hanging="1276"/>
              <w:rPr>
                <w:sz w:val="20"/>
              </w:rPr>
            </w:pPr>
            <w:r w:rsidRPr="000615AB">
              <w:rPr>
                <w:sz w:val="20"/>
              </w:rPr>
              <w:t>An</w:t>
            </w:r>
            <w:r>
              <w:rPr>
                <w:sz w:val="20"/>
              </w:rPr>
              <w:t>exo XII.</w:t>
            </w:r>
            <w:r>
              <w:rPr>
                <w:sz w:val="20"/>
              </w:rPr>
              <w:tab/>
              <w:t>Organigrama de la OMPI</w:t>
            </w:r>
          </w:p>
          <w:p w:rsidR="00383888" w:rsidRPr="000615AB" w:rsidRDefault="00383888" w:rsidP="00B47699">
            <w:pPr>
              <w:ind w:left="2019" w:hanging="1276"/>
              <w:rPr>
                <w:sz w:val="20"/>
              </w:rPr>
            </w:pPr>
          </w:p>
        </w:tc>
      </w:tr>
    </w:tbl>
    <w:p w:rsidR="00383888" w:rsidRPr="000615AB" w:rsidRDefault="00383888" w:rsidP="00383888"/>
    <w:p w:rsidR="00383888" w:rsidRPr="000615AB" w:rsidRDefault="00383888" w:rsidP="00383888"/>
    <w:p w:rsidR="00383888" w:rsidRPr="000615AB" w:rsidRDefault="00383888" w:rsidP="00383888">
      <w:pPr>
        <w:sectPr w:rsidR="00383888" w:rsidRPr="000615AB" w:rsidSect="00B47699">
          <w:headerReference w:type="even" r:id="rId135"/>
          <w:headerReference w:type="default" r:id="rId136"/>
          <w:footerReference w:type="even" r:id="rId137"/>
          <w:footerReference w:type="default" r:id="rId138"/>
          <w:headerReference w:type="first" r:id="rId139"/>
          <w:footerReference w:type="first" r:id="rId140"/>
          <w:pgSz w:w="11907" w:h="16840" w:code="9"/>
          <w:pgMar w:top="567" w:right="1418" w:bottom="1418" w:left="1418" w:header="510" w:footer="851" w:gutter="0"/>
          <w:cols w:space="720"/>
        </w:sectPr>
      </w:pPr>
    </w:p>
    <w:p w:rsidR="00383888" w:rsidRPr="00C3705E" w:rsidRDefault="00383888" w:rsidP="00383888">
      <w:pPr>
        <w:pStyle w:val="Heading2"/>
        <w:tabs>
          <w:tab w:val="left" w:pos="1418"/>
        </w:tabs>
        <w:ind w:left="1418" w:hanging="1418"/>
        <w:rPr>
          <w:b/>
          <w:caps w:val="0"/>
          <w:szCs w:val="24"/>
          <w:lang w:val="es-ES_tradnl"/>
        </w:rPr>
      </w:pPr>
      <w:bookmarkStart w:id="102" w:name="_Toc358816724"/>
      <w:r w:rsidRPr="00C3705E">
        <w:rPr>
          <w:b/>
          <w:caps w:val="0"/>
          <w:szCs w:val="24"/>
          <w:lang w:val="es-ES_tradnl"/>
        </w:rPr>
        <w:lastRenderedPageBreak/>
        <w:t>ANEXO I.</w:t>
      </w:r>
      <w:r w:rsidRPr="00C3705E">
        <w:rPr>
          <w:b/>
          <w:caps w:val="0"/>
          <w:szCs w:val="24"/>
          <w:lang w:val="es-ES_tradnl"/>
        </w:rPr>
        <w:tab/>
        <w:t>PRESUPUESTO 2012/2013 DESPUÉS DE LAS TRANSFERENCIAS, POR PROGRAMA</w:t>
      </w:r>
      <w:bookmarkEnd w:id="102"/>
    </w:p>
    <w:p w:rsidR="00383888" w:rsidRPr="000615AB" w:rsidRDefault="00383888" w:rsidP="00383888"/>
    <w:p w:rsidR="00383888" w:rsidRPr="000615AB" w:rsidRDefault="00383888" w:rsidP="00383888">
      <w:pPr>
        <w:jc w:val="center"/>
        <w:rPr>
          <w:sz w:val="18"/>
          <w:szCs w:val="18"/>
        </w:rPr>
      </w:pPr>
      <w:r>
        <w:rPr>
          <w:sz w:val="18"/>
          <w:szCs w:val="18"/>
        </w:rPr>
        <w:t xml:space="preserve">Cuadro 8.  </w:t>
      </w:r>
      <w:r w:rsidRPr="000615AB">
        <w:rPr>
          <w:sz w:val="18"/>
          <w:szCs w:val="18"/>
        </w:rPr>
        <w:t>Presupuesto de 2012/13 después de las transferencias, por programa</w:t>
      </w:r>
    </w:p>
    <w:p w:rsidR="00383888" w:rsidRPr="000615AB" w:rsidRDefault="00383888" w:rsidP="00383888">
      <w:pPr>
        <w:jc w:val="center"/>
        <w:rPr>
          <w:i/>
          <w:iCs/>
          <w:sz w:val="20"/>
        </w:rPr>
      </w:pPr>
      <w:r w:rsidRPr="000615AB">
        <w:rPr>
          <w:i/>
          <w:iCs/>
          <w:sz w:val="18"/>
          <w:szCs w:val="18"/>
        </w:rPr>
        <w:t>(en miles de francos suizos)</w:t>
      </w:r>
    </w:p>
    <w:p w:rsidR="00383888" w:rsidRPr="000615AB" w:rsidRDefault="00383888" w:rsidP="00383888">
      <w:pPr>
        <w:rPr>
          <w:sz w:val="20"/>
        </w:rPr>
      </w:pPr>
    </w:p>
    <w:p w:rsidR="00383888" w:rsidRPr="000615AB" w:rsidRDefault="00C40A11" w:rsidP="00383888">
      <w:pPr>
        <w:jc w:val="center"/>
        <w:rPr>
          <w:sz w:val="20"/>
        </w:rPr>
      </w:pPr>
      <w:r>
        <w:rPr>
          <w:noProof/>
          <w:lang w:val="en-US" w:eastAsia="en-US"/>
        </w:rPr>
        <w:drawing>
          <wp:inline distT="0" distB="0" distL="0" distR="0" wp14:anchorId="5C454AA6" wp14:editId="694DBB03">
            <wp:extent cx="5752465" cy="4196715"/>
            <wp:effectExtent l="0" t="0" r="635"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5752465" cy="4196715"/>
                    </a:xfrm>
                    <a:prstGeom prst="rect">
                      <a:avLst/>
                    </a:prstGeom>
                    <a:noFill/>
                    <a:ln>
                      <a:noFill/>
                    </a:ln>
                  </pic:spPr>
                </pic:pic>
              </a:graphicData>
            </a:graphic>
          </wp:inline>
        </w:drawing>
      </w:r>
    </w:p>
    <w:p w:rsidR="00383888" w:rsidRPr="000615AB" w:rsidRDefault="00383888" w:rsidP="00383888">
      <w:pPr>
        <w:rPr>
          <w:sz w:val="16"/>
          <w:szCs w:val="16"/>
          <w:vertAlign w:val="superscript"/>
        </w:rPr>
      </w:pPr>
    </w:p>
    <w:p w:rsidR="00383888" w:rsidRPr="000615AB" w:rsidRDefault="00383888" w:rsidP="00383888">
      <w:pPr>
        <w:rPr>
          <w:sz w:val="16"/>
          <w:szCs w:val="16"/>
          <w:vertAlign w:val="superscript"/>
        </w:rPr>
      </w:pPr>
      <w:r w:rsidRPr="000615AB">
        <w:rPr>
          <w:i/>
          <w:sz w:val="16"/>
          <w:szCs w:val="16"/>
        </w:rPr>
        <w:t xml:space="preserve">El presupuesto después de las transferencias refleja el presupuesto de los programas ajustado tras las transferencias efectuadas en 2012/13 en virtud del artículo 5.5 del Reglamento Financiero y los ajustes de flexibilidad efectuados en virtud del artículo 5.6. </w:t>
      </w:r>
      <w:r>
        <w:rPr>
          <w:i/>
          <w:sz w:val="16"/>
          <w:szCs w:val="16"/>
        </w:rPr>
        <w:t xml:space="preserve"> </w:t>
      </w:r>
      <w:r w:rsidRPr="000615AB">
        <w:rPr>
          <w:i/>
          <w:sz w:val="16"/>
          <w:szCs w:val="16"/>
        </w:rPr>
        <w:t>Con arreglo a los ajustes de flexibilidad se crearon 5 puestos en el programa 5 (Sistema del PCT) habida cuenta de que las actividades de registro previstas para 2012/13 fueron superiores a lo presupuestado, dando lugar a la asignación adicional de recursos de personal por un importe de 982.000 francos suizos.</w:t>
      </w:r>
      <w:r w:rsidRPr="000615AB">
        <w:rPr>
          <w:i/>
          <w:iCs/>
          <w:sz w:val="16"/>
          <w:szCs w:val="16"/>
        </w:rPr>
        <w:t xml:space="preserve">  </w:t>
      </w:r>
      <w:r w:rsidRPr="000615AB">
        <w:rPr>
          <w:i/>
          <w:sz w:val="16"/>
          <w:szCs w:val="16"/>
        </w:rPr>
        <w:t>Para más información sobre las fórmulas de flexibilidad cabe remitirse al Apéndice D del presente documento.</w:t>
      </w:r>
    </w:p>
    <w:p w:rsidR="00383888" w:rsidRPr="003B1159" w:rsidRDefault="00383888" w:rsidP="00383888">
      <w:pPr>
        <w:jc w:val="center"/>
        <w:rPr>
          <w:sz w:val="20"/>
          <w:highlight w:val="yellow"/>
        </w:rPr>
      </w:pPr>
    </w:p>
    <w:p w:rsidR="00383888" w:rsidRPr="003B1159" w:rsidRDefault="00383888" w:rsidP="00383888">
      <w:pPr>
        <w:jc w:val="center"/>
        <w:rPr>
          <w:sz w:val="20"/>
          <w:highlight w:val="yellow"/>
        </w:rPr>
      </w:pPr>
    </w:p>
    <w:p w:rsidR="00383888" w:rsidRPr="003B1159" w:rsidRDefault="00383888" w:rsidP="00383888">
      <w:pPr>
        <w:rPr>
          <w:sz w:val="20"/>
        </w:rPr>
      </w:pPr>
    </w:p>
    <w:p w:rsidR="00383888" w:rsidRPr="003B1159" w:rsidRDefault="00383888" w:rsidP="00383888">
      <w:pPr>
        <w:jc w:val="center"/>
        <w:rPr>
          <w:sz w:val="20"/>
        </w:rPr>
      </w:pPr>
    </w:p>
    <w:p w:rsidR="00383888" w:rsidRPr="003B1159" w:rsidRDefault="00383888" w:rsidP="00383888">
      <w:pPr>
        <w:jc w:val="center"/>
        <w:rPr>
          <w:sz w:val="20"/>
        </w:rPr>
        <w:sectPr w:rsidR="00383888" w:rsidRPr="003B1159" w:rsidSect="00B47699">
          <w:headerReference w:type="default" r:id="rId142"/>
          <w:footerReference w:type="even" r:id="rId143"/>
          <w:pgSz w:w="11907" w:h="16840" w:code="9"/>
          <w:pgMar w:top="851" w:right="1418" w:bottom="1191" w:left="1418" w:header="510" w:footer="851" w:gutter="0"/>
          <w:cols w:space="720"/>
        </w:sectPr>
      </w:pPr>
    </w:p>
    <w:p w:rsidR="00383888" w:rsidRPr="00C3705E" w:rsidRDefault="00383888" w:rsidP="00383888">
      <w:pPr>
        <w:pStyle w:val="Heading2"/>
        <w:tabs>
          <w:tab w:val="left" w:pos="1418"/>
        </w:tabs>
        <w:ind w:left="1418" w:hanging="1418"/>
        <w:rPr>
          <w:b/>
          <w:caps w:val="0"/>
          <w:szCs w:val="24"/>
          <w:lang w:val="es-ES_tradnl"/>
        </w:rPr>
      </w:pPr>
      <w:bookmarkStart w:id="103" w:name="_Toc358816725"/>
      <w:r w:rsidRPr="00C3705E">
        <w:rPr>
          <w:b/>
          <w:caps w:val="0"/>
          <w:szCs w:val="24"/>
          <w:lang w:val="es-ES_tradnl"/>
        </w:rPr>
        <w:lastRenderedPageBreak/>
        <w:t>ANEXO II.</w:t>
      </w:r>
      <w:r w:rsidRPr="00C3705E">
        <w:rPr>
          <w:b/>
          <w:caps w:val="0"/>
          <w:szCs w:val="24"/>
          <w:lang w:val="es-ES_tradnl"/>
        </w:rPr>
        <w:tab/>
        <w:t>RECURSOS PROPUESTOS PARA 2014/2015, POR PROGRAMA</w:t>
      </w:r>
      <w:bookmarkEnd w:id="103"/>
    </w:p>
    <w:p w:rsidR="00383888" w:rsidRPr="000615AB" w:rsidRDefault="00383888" w:rsidP="00383888">
      <w:pPr>
        <w:jc w:val="center"/>
        <w:rPr>
          <w:sz w:val="18"/>
          <w:szCs w:val="18"/>
        </w:rPr>
      </w:pPr>
    </w:p>
    <w:p w:rsidR="00383888" w:rsidRPr="000615AB" w:rsidRDefault="00383888" w:rsidP="00383888">
      <w:pPr>
        <w:jc w:val="center"/>
        <w:rPr>
          <w:sz w:val="18"/>
          <w:szCs w:val="18"/>
        </w:rPr>
      </w:pPr>
      <w:r w:rsidRPr="000615AB">
        <w:rPr>
          <w:sz w:val="18"/>
          <w:szCs w:val="18"/>
        </w:rPr>
        <w:t xml:space="preserve">Cuadro 9. </w:t>
      </w:r>
      <w:r>
        <w:rPr>
          <w:sz w:val="18"/>
          <w:szCs w:val="18"/>
        </w:rPr>
        <w:t xml:space="preserve"> </w:t>
      </w:r>
      <w:r w:rsidRPr="000615AB">
        <w:rPr>
          <w:sz w:val="18"/>
          <w:szCs w:val="18"/>
        </w:rPr>
        <w:t>Presupuesto para 2014/15, por programa</w:t>
      </w:r>
    </w:p>
    <w:p w:rsidR="00383888" w:rsidRPr="000615AB" w:rsidRDefault="00383888" w:rsidP="00383888">
      <w:pPr>
        <w:jc w:val="center"/>
        <w:rPr>
          <w:i/>
          <w:iCs/>
        </w:rPr>
      </w:pPr>
      <w:r w:rsidRPr="000615AB">
        <w:rPr>
          <w:i/>
          <w:iCs/>
          <w:sz w:val="18"/>
          <w:szCs w:val="18"/>
        </w:rPr>
        <w:t>(en miles de francos suizos)</w:t>
      </w:r>
    </w:p>
    <w:p w:rsidR="00383888" w:rsidRPr="000615AB" w:rsidRDefault="00383888" w:rsidP="00383888">
      <w:pPr>
        <w:jc w:val="center"/>
      </w:pPr>
    </w:p>
    <w:p w:rsidR="00383888" w:rsidRPr="000615AB" w:rsidRDefault="003F16E0" w:rsidP="00383888">
      <w:pPr>
        <w:jc w:val="center"/>
      </w:pPr>
      <w:r w:rsidRPr="003F16E0">
        <w:rPr>
          <w:noProof/>
          <w:lang w:val="en-US" w:eastAsia="en-US"/>
        </w:rPr>
        <w:drawing>
          <wp:inline distT="0" distB="0" distL="0" distR="0" wp14:anchorId="30A41776" wp14:editId="2224C74F">
            <wp:extent cx="9105900" cy="4410075"/>
            <wp:effectExtent l="0" t="0" r="0" b="9525"/>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9115409" cy="4414680"/>
                    </a:xfrm>
                    <a:prstGeom prst="rect">
                      <a:avLst/>
                    </a:prstGeom>
                    <a:noFill/>
                    <a:ln>
                      <a:noFill/>
                    </a:ln>
                  </pic:spPr>
                </pic:pic>
              </a:graphicData>
            </a:graphic>
          </wp:inline>
        </w:drawing>
      </w:r>
    </w:p>
    <w:p w:rsidR="00383888" w:rsidRPr="000615AB" w:rsidRDefault="00383888" w:rsidP="00383888">
      <w:pPr>
        <w:rPr>
          <w:sz w:val="16"/>
          <w:szCs w:val="16"/>
        </w:rPr>
      </w:pPr>
    </w:p>
    <w:p w:rsidR="00383888" w:rsidRPr="000615AB" w:rsidRDefault="00383888" w:rsidP="00383888">
      <w:pPr>
        <w:rPr>
          <w:i/>
          <w:iCs/>
          <w:sz w:val="16"/>
          <w:szCs w:val="16"/>
        </w:rPr>
      </w:pPr>
      <w:r w:rsidRPr="000615AB">
        <w:rPr>
          <w:i/>
          <w:iCs/>
          <w:sz w:val="16"/>
          <w:szCs w:val="16"/>
        </w:rPr>
        <w:t xml:space="preserve">* El presupuesto de 2012/13 después de las transferencias incluye los ajustes de flexibilidad aprobados por el Director General en virtud del artículo 5.6, con arreglo a los cuales se crearon 5 puestos en el programa 5 (Sistema del PCT) habida cuenta de que las actividades de registro previstas para 2012/13 fueron superiores a lo presupuestado, dando lugar a la asignación adicional de recursos de personal por un importe de 982.000 francos suizos. Para más información sobre las fórmulas de flexibilidad cabe remitirse al Apéndice D del presente documento. </w:t>
      </w:r>
    </w:p>
    <w:p w:rsidR="00383888" w:rsidRPr="000615AB" w:rsidRDefault="00383888" w:rsidP="00383888">
      <w:pPr>
        <w:rPr>
          <w:i/>
          <w:iCs/>
          <w:sz w:val="16"/>
          <w:szCs w:val="16"/>
        </w:rPr>
      </w:pPr>
    </w:p>
    <w:p w:rsidR="00383888" w:rsidRPr="000615AB" w:rsidRDefault="00383888" w:rsidP="00383888">
      <w:pPr>
        <w:keepNext/>
        <w:keepLines/>
        <w:jc w:val="center"/>
        <w:rPr>
          <w:sz w:val="18"/>
          <w:szCs w:val="18"/>
        </w:rPr>
      </w:pPr>
      <w:r w:rsidRPr="000615AB">
        <w:rPr>
          <w:i/>
          <w:iCs/>
          <w:sz w:val="16"/>
          <w:szCs w:val="16"/>
        </w:rPr>
        <w:br w:type="page"/>
      </w:r>
      <w:r w:rsidRPr="000615AB">
        <w:rPr>
          <w:sz w:val="18"/>
          <w:szCs w:val="18"/>
        </w:rPr>
        <w:lastRenderedPageBreak/>
        <w:t>Cuadro 10. Puestos de 2014/15 por programa</w:t>
      </w:r>
    </w:p>
    <w:p w:rsidR="00383888" w:rsidRPr="000615AB" w:rsidRDefault="00383888" w:rsidP="00383888">
      <w:pPr>
        <w:keepNext/>
        <w:keepLines/>
        <w:jc w:val="center"/>
        <w:rPr>
          <w:sz w:val="18"/>
          <w:szCs w:val="18"/>
        </w:rPr>
      </w:pPr>
    </w:p>
    <w:p w:rsidR="00383888" w:rsidRPr="000615AB" w:rsidRDefault="00FE0BB4" w:rsidP="00383888">
      <w:pPr>
        <w:jc w:val="center"/>
      </w:pPr>
      <w:r w:rsidRPr="00FE0BB4">
        <w:rPr>
          <w:noProof/>
          <w:lang w:val="en-US" w:eastAsia="en-US"/>
        </w:rPr>
        <w:drawing>
          <wp:inline distT="0" distB="0" distL="0" distR="0" wp14:anchorId="06F3B614" wp14:editId="4E9CC26E">
            <wp:extent cx="8892540" cy="5217394"/>
            <wp:effectExtent l="0" t="0" r="3810" b="254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8892540" cy="5217394"/>
                    </a:xfrm>
                    <a:prstGeom prst="rect">
                      <a:avLst/>
                    </a:prstGeom>
                    <a:noFill/>
                    <a:ln>
                      <a:noFill/>
                    </a:ln>
                  </pic:spPr>
                </pic:pic>
              </a:graphicData>
            </a:graphic>
          </wp:inline>
        </w:drawing>
      </w:r>
    </w:p>
    <w:p w:rsidR="00383888" w:rsidRPr="000615AB" w:rsidRDefault="00383888" w:rsidP="00383888">
      <w:pPr>
        <w:rPr>
          <w:i/>
          <w:iCs/>
          <w:sz w:val="16"/>
          <w:szCs w:val="16"/>
        </w:rPr>
      </w:pPr>
    </w:p>
    <w:p w:rsidR="00383888" w:rsidRPr="000615AB" w:rsidRDefault="00383888" w:rsidP="00383888">
      <w:pPr>
        <w:rPr>
          <w:i/>
          <w:iCs/>
          <w:sz w:val="16"/>
          <w:szCs w:val="16"/>
        </w:rPr>
      </w:pPr>
      <w:r w:rsidRPr="000615AB">
        <w:rPr>
          <w:i/>
          <w:iCs/>
          <w:sz w:val="16"/>
          <w:szCs w:val="16"/>
        </w:rPr>
        <w:t>* El presupuesto de 2012/13 después de las transferencias incluye los ajustes de flexibilidad aprobados por el Director General en virtud del artículo 5.6, con arreglo a los cuales se crearon 5 puestos en el programa 5 (Sistema del PCT) habida cuenta de que las actividades de registro previstas para 2012/13 fueron superiores a lo presupuestado, dando lugar a la asignación adicional de recursos de personal por un importe de 982.000 francos suizos. Para más información sobre las fórmulas de flexibilidad cabe remitirse al Apéndice D del presente documento.</w:t>
      </w:r>
    </w:p>
    <w:p w:rsidR="00383888" w:rsidRPr="000615AB" w:rsidRDefault="00383888" w:rsidP="00383888">
      <w:pPr>
        <w:rPr>
          <w:i/>
          <w:iCs/>
          <w:sz w:val="16"/>
          <w:szCs w:val="16"/>
        </w:rPr>
      </w:pPr>
      <w:r w:rsidRPr="000615AB">
        <w:rPr>
          <w:i/>
          <w:iCs/>
          <w:sz w:val="16"/>
          <w:szCs w:val="16"/>
        </w:rPr>
        <w:t>** La diferencia entre el número de puestos propuestos en 2014/15 y</w:t>
      </w:r>
      <w:r w:rsidR="00FE0BB4">
        <w:rPr>
          <w:i/>
          <w:iCs/>
          <w:sz w:val="16"/>
          <w:szCs w:val="16"/>
        </w:rPr>
        <w:t xml:space="preserve"> </w:t>
      </w:r>
      <w:r w:rsidRPr="000615AB">
        <w:rPr>
          <w:i/>
          <w:iCs/>
          <w:sz w:val="16"/>
          <w:szCs w:val="16"/>
        </w:rPr>
        <w:t xml:space="preserve">en el presupuesto de 2012/13 después de las transferencias está dada por los 96 puestos destinados a la regularización, que se propone utilizar conforme a lo expuesto en el párrafo 40. </w:t>
      </w:r>
    </w:p>
    <w:p w:rsidR="00383888" w:rsidRPr="000615AB" w:rsidRDefault="00383888" w:rsidP="00383888">
      <w:pPr>
        <w:rPr>
          <w:sz w:val="16"/>
          <w:szCs w:val="16"/>
        </w:rPr>
        <w:sectPr w:rsidR="00383888" w:rsidRPr="000615AB" w:rsidSect="00B47699">
          <w:headerReference w:type="default" r:id="rId146"/>
          <w:footerReference w:type="even" r:id="rId147"/>
          <w:footerReference w:type="default" r:id="rId148"/>
          <w:pgSz w:w="16840" w:h="11907" w:orient="landscape" w:code="9"/>
          <w:pgMar w:top="624" w:right="1418" w:bottom="794" w:left="1418" w:header="510" w:footer="680" w:gutter="0"/>
          <w:cols w:space="720"/>
        </w:sectPr>
      </w:pPr>
    </w:p>
    <w:p w:rsidR="00383888" w:rsidRPr="00C3705E" w:rsidRDefault="00383888" w:rsidP="00383888">
      <w:pPr>
        <w:pStyle w:val="Heading2"/>
        <w:tabs>
          <w:tab w:val="left" w:pos="1418"/>
        </w:tabs>
        <w:ind w:left="1418" w:hanging="1418"/>
        <w:rPr>
          <w:b/>
          <w:caps w:val="0"/>
          <w:szCs w:val="24"/>
          <w:lang w:val="es-ES_tradnl"/>
        </w:rPr>
      </w:pPr>
      <w:bookmarkStart w:id="104" w:name="_Toc358816726"/>
      <w:r w:rsidRPr="00C3705E">
        <w:rPr>
          <w:b/>
          <w:caps w:val="0"/>
          <w:szCs w:val="24"/>
          <w:lang w:val="es-ES_tradnl"/>
        </w:rPr>
        <w:lastRenderedPageBreak/>
        <w:t>ANEXO III.</w:t>
      </w:r>
      <w:r w:rsidRPr="00C3705E">
        <w:rPr>
          <w:b/>
          <w:caps w:val="0"/>
          <w:szCs w:val="24"/>
          <w:lang w:val="es-ES_tradnl"/>
        </w:rPr>
        <w:tab/>
        <w:t>ASIGNACIÓN DE LOS INGRESOS PREVISTOS Y DE LOS GASTOS PRESUPUESTADOS, POR UNIÓN</w:t>
      </w:r>
      <w:bookmarkEnd w:id="104"/>
      <w:r w:rsidRPr="00C3705E">
        <w:rPr>
          <w:b/>
          <w:caps w:val="0"/>
          <w:szCs w:val="24"/>
          <w:lang w:val="es-ES_tradnl"/>
        </w:rPr>
        <w:t xml:space="preserve"> </w:t>
      </w:r>
    </w:p>
    <w:p w:rsidR="00383888" w:rsidRPr="000615AB" w:rsidRDefault="00383888" w:rsidP="00383888">
      <w:pPr>
        <w:rPr>
          <w:sz w:val="20"/>
        </w:rPr>
      </w:pPr>
    </w:p>
    <w:p w:rsidR="00383888" w:rsidRPr="000615AB" w:rsidRDefault="00383888" w:rsidP="00383888">
      <w:pPr>
        <w:rPr>
          <w:bCs/>
          <w:sz w:val="20"/>
        </w:rPr>
      </w:pPr>
    </w:p>
    <w:p w:rsidR="00383888" w:rsidRPr="000615AB" w:rsidRDefault="00383888" w:rsidP="00383888">
      <w:pPr>
        <w:rPr>
          <w:bCs/>
          <w:sz w:val="20"/>
        </w:rPr>
      </w:pPr>
      <w:r w:rsidRPr="000615AB">
        <w:rPr>
          <w:bCs/>
          <w:sz w:val="20"/>
        </w:rPr>
        <w:t>INTRODUCCIÓN</w:t>
      </w:r>
    </w:p>
    <w:p w:rsidR="00383888" w:rsidRPr="000615AB" w:rsidRDefault="00383888" w:rsidP="00383888">
      <w:pPr>
        <w:jc w:val="both"/>
        <w:rPr>
          <w:sz w:val="20"/>
        </w:rPr>
      </w:pPr>
    </w:p>
    <w:p w:rsidR="00383888" w:rsidRPr="000615AB" w:rsidRDefault="00383888" w:rsidP="00383888">
      <w:pPr>
        <w:numPr>
          <w:ilvl w:val="0"/>
          <w:numId w:val="17"/>
        </w:numPr>
        <w:jc w:val="both"/>
        <w:rPr>
          <w:sz w:val="20"/>
        </w:rPr>
      </w:pPr>
      <w:r w:rsidRPr="000615AB">
        <w:rPr>
          <w:sz w:val="20"/>
        </w:rPr>
        <w:t xml:space="preserve">En el marco del Reglamento Financiero y la Reglamentación Financiera de la OMPI (Regla 102.2), la propuesta de presupuesto por programas debe presentar el presupuesto bienal en forma consolidada para la Organización y separadamente para cada Unión.  </w:t>
      </w:r>
    </w:p>
    <w:p w:rsidR="00383888" w:rsidRPr="000615AB" w:rsidRDefault="00383888" w:rsidP="00383888">
      <w:pPr>
        <w:rPr>
          <w:sz w:val="20"/>
        </w:rPr>
      </w:pPr>
    </w:p>
    <w:p w:rsidR="00383888" w:rsidRPr="000615AB" w:rsidRDefault="00383888" w:rsidP="00383888">
      <w:pPr>
        <w:rPr>
          <w:bCs/>
          <w:sz w:val="20"/>
        </w:rPr>
      </w:pPr>
      <w:r w:rsidRPr="000615AB">
        <w:rPr>
          <w:bCs/>
          <w:sz w:val="20"/>
        </w:rPr>
        <w:t>ASIGNACIÓN DE LOS GASTOS PRESUPUESTADOS, POR UNIÓN</w:t>
      </w:r>
    </w:p>
    <w:p w:rsidR="00383888" w:rsidRPr="000615AB" w:rsidRDefault="00383888" w:rsidP="00383888">
      <w:pPr>
        <w:jc w:val="both"/>
        <w:rPr>
          <w:b/>
          <w:i/>
          <w:sz w:val="20"/>
        </w:rPr>
      </w:pPr>
    </w:p>
    <w:p w:rsidR="00383888" w:rsidRPr="000615AB" w:rsidRDefault="00383888" w:rsidP="00383888">
      <w:pPr>
        <w:numPr>
          <w:ilvl w:val="0"/>
          <w:numId w:val="17"/>
        </w:numPr>
        <w:jc w:val="both"/>
        <w:rPr>
          <w:b/>
          <w:i/>
          <w:sz w:val="20"/>
        </w:rPr>
      </w:pPr>
      <w:r w:rsidRPr="000615AB">
        <w:rPr>
          <w:sz w:val="20"/>
        </w:rPr>
        <w:t xml:space="preserve">Cabe recordar que la metodología aprobada para la asignación de gastos por Unión consiste en determinar si se trata de gastos relacionados directa o indirectamente con una Unión.  Los programas se categorizan en tanto que relacionados directa o indirectamente con una Unión, como se describe más abajo.  </w:t>
      </w:r>
    </w:p>
    <w:p w:rsidR="00383888" w:rsidRPr="000615AB" w:rsidRDefault="00383888" w:rsidP="00383888">
      <w:pPr>
        <w:ind w:left="1"/>
        <w:jc w:val="both"/>
        <w:rPr>
          <w:b/>
          <w:i/>
          <w:sz w:val="20"/>
        </w:rPr>
      </w:pPr>
    </w:p>
    <w:p w:rsidR="00383888" w:rsidRPr="000615AB" w:rsidRDefault="00383888" w:rsidP="00383888">
      <w:pPr>
        <w:numPr>
          <w:ilvl w:val="0"/>
          <w:numId w:val="17"/>
        </w:numPr>
        <w:jc w:val="both"/>
        <w:rPr>
          <w:sz w:val="20"/>
        </w:rPr>
      </w:pPr>
      <w:r w:rsidRPr="000615AB">
        <w:rPr>
          <w:i/>
          <w:sz w:val="20"/>
        </w:rPr>
        <w:t xml:space="preserve">GASTOS DIRECTOS POR UNIÓN, </w:t>
      </w:r>
      <w:r w:rsidRPr="000615AB">
        <w:rPr>
          <w:sz w:val="20"/>
        </w:rPr>
        <w:t xml:space="preserve">son los gastos ocasionados por las actividades específicas de cada Unión y el porcentaje atribuible de gastos administrativos conexos y otros gastos presupuestados.  </w:t>
      </w:r>
    </w:p>
    <w:p w:rsidR="00383888" w:rsidRPr="000615AB" w:rsidRDefault="00383888" w:rsidP="00383888">
      <w:pPr>
        <w:jc w:val="both"/>
        <w:rPr>
          <w:sz w:val="20"/>
        </w:rPr>
      </w:pPr>
    </w:p>
    <w:p w:rsidR="00383888" w:rsidRPr="000615AB" w:rsidRDefault="00383888" w:rsidP="00383888">
      <w:pPr>
        <w:ind w:left="1080" w:hanging="540"/>
        <w:jc w:val="both"/>
        <w:rPr>
          <w:b/>
          <w:i/>
          <w:sz w:val="20"/>
        </w:rPr>
      </w:pPr>
      <w:r w:rsidRPr="000615AB">
        <w:rPr>
          <w:i/>
          <w:sz w:val="20"/>
        </w:rPr>
        <w:t>3.1</w:t>
      </w:r>
      <w:r w:rsidRPr="000615AB">
        <w:rPr>
          <w:sz w:val="20"/>
        </w:rPr>
        <w:tab/>
      </w:r>
      <w:r w:rsidRPr="000615AB">
        <w:rPr>
          <w:i/>
          <w:sz w:val="20"/>
        </w:rPr>
        <w:t>Actividades específicas por Unión</w:t>
      </w:r>
      <w:r w:rsidRPr="000615AB">
        <w:rPr>
          <w:sz w:val="20"/>
        </w:rPr>
        <w:t>: Bajo esta rúbrica se engloban las actividades de programa y los gastos presupuestados.  Cuando los gastos de un programa son asignados parcialmente a una Unión, la asignación se realiza sobre la base del porcentaje correspondiente a la Unión de los gastos previstos por los directores de los programas correspondientes.  Cuando un programa incumbe a una única Unión, el costo total de ese programa es asignado a esa Unión.</w:t>
      </w:r>
    </w:p>
    <w:p w:rsidR="00383888" w:rsidRPr="000615AB" w:rsidRDefault="00383888" w:rsidP="00383888">
      <w:pPr>
        <w:jc w:val="both"/>
        <w:rPr>
          <w:sz w:val="20"/>
        </w:rPr>
      </w:pPr>
    </w:p>
    <w:p w:rsidR="00383888" w:rsidRPr="000615AB" w:rsidRDefault="00383888" w:rsidP="00383888">
      <w:pPr>
        <w:spacing w:after="60"/>
        <w:ind w:left="1843" w:hanging="766"/>
        <w:jc w:val="both"/>
        <w:rPr>
          <w:sz w:val="20"/>
        </w:rPr>
      </w:pPr>
      <w:r w:rsidRPr="000615AB">
        <w:rPr>
          <w:i/>
          <w:sz w:val="20"/>
        </w:rPr>
        <w:t>3.1.1</w:t>
      </w:r>
      <w:r w:rsidRPr="000615AB">
        <w:rPr>
          <w:i/>
          <w:sz w:val="20"/>
        </w:rPr>
        <w:tab/>
        <w:t>Uniones financiadas por contribuciones</w:t>
      </w:r>
      <w:r w:rsidRPr="000615AB">
        <w:rPr>
          <w:sz w:val="20"/>
        </w:rPr>
        <w:t>:  Programas 1 (Derecho de patentes) (parcialmente), 2 (Marcas, dibujos y modelos industriales e indicaciones geográficas) (parcialmente), 3 (Derecho de autor y derechos conexos) (parcialmente), 4 (Conocimientos tradicionales, expresiones culturales tradicionales y recursos genéticos), 7 (Centro de Arbitraje y Mediación de la OMPI) (parcialmente), 12 (Clasificaciones internacionales y normas técnicas de la OMPI) (parcialmente) y 14 (Servicios de acceso a la información y a los conocimientos) (parcialmente).</w:t>
      </w:r>
    </w:p>
    <w:p w:rsidR="00383888" w:rsidRPr="000615AB" w:rsidRDefault="00383888" w:rsidP="00383888">
      <w:pPr>
        <w:spacing w:after="60"/>
        <w:ind w:left="1843" w:hanging="766"/>
        <w:jc w:val="both"/>
        <w:rPr>
          <w:sz w:val="20"/>
        </w:rPr>
      </w:pPr>
      <w:r w:rsidRPr="000615AB">
        <w:rPr>
          <w:i/>
          <w:sz w:val="20"/>
        </w:rPr>
        <w:t>3.1.2</w:t>
      </w:r>
      <w:r w:rsidRPr="000615AB">
        <w:rPr>
          <w:sz w:val="20"/>
        </w:rPr>
        <w:tab/>
      </w:r>
      <w:r w:rsidRPr="000615AB">
        <w:rPr>
          <w:i/>
          <w:sz w:val="20"/>
        </w:rPr>
        <w:t>Unión del PCT</w:t>
      </w:r>
      <w:r w:rsidRPr="000615AB">
        <w:rPr>
          <w:sz w:val="20"/>
        </w:rPr>
        <w:t>:  Programas 1 (Derecho de patentes) (parcialmente), 5 (Sistema del PCT), 7 (Centro de Arbitraje y Mediación de la OMPI) (parcialmente), 12 (Clasificaciones internacionales y normas técnicas de la OMPI) (parcialmente), 13 (Bases de datos mundiales) (parcialmente) y 14 (Servicios de acceso a la información y a los conocimientos) (parcialmente).</w:t>
      </w:r>
    </w:p>
    <w:p w:rsidR="00383888" w:rsidRPr="000615AB" w:rsidRDefault="00383888" w:rsidP="00383888">
      <w:pPr>
        <w:spacing w:after="60"/>
        <w:ind w:left="1843" w:hanging="766"/>
        <w:jc w:val="both"/>
        <w:rPr>
          <w:sz w:val="20"/>
        </w:rPr>
      </w:pPr>
      <w:r w:rsidRPr="000615AB">
        <w:rPr>
          <w:i/>
          <w:sz w:val="20"/>
        </w:rPr>
        <w:t>3.1.3</w:t>
      </w:r>
      <w:r w:rsidRPr="000615AB">
        <w:rPr>
          <w:sz w:val="20"/>
        </w:rPr>
        <w:t xml:space="preserve"> </w:t>
      </w:r>
      <w:r w:rsidRPr="000615AB">
        <w:rPr>
          <w:sz w:val="20"/>
        </w:rPr>
        <w:tab/>
      </w:r>
      <w:r w:rsidRPr="000615AB">
        <w:rPr>
          <w:i/>
          <w:sz w:val="20"/>
        </w:rPr>
        <w:t>Unión de Madrid</w:t>
      </w:r>
      <w:r w:rsidRPr="000615AB">
        <w:rPr>
          <w:sz w:val="20"/>
        </w:rPr>
        <w:t>:  Programas 2 (Marcas, dibujos y modelos industriales e indicaciones geográficas) (parcialmente), 6 (Sistemas de Madrid y Lisboa) (parcialmente), 7 (Centro de Arbitraje y Mediación de la OMPI) (parcialmente), 12 (Clasificaciones internacionales y normas técnicas de la OMPI) (parcialmente), 13 (Bases de datos mundiales) (parcialmente), 14 (Servicios de acceso a la información y a los conocimientos) (parcialmente) y 25 (Tecnologías de la información y de las comunicaciones).</w:t>
      </w:r>
    </w:p>
    <w:p w:rsidR="00383888" w:rsidRPr="000615AB" w:rsidRDefault="00383888" w:rsidP="00383888">
      <w:pPr>
        <w:spacing w:after="60"/>
        <w:ind w:left="1843" w:hanging="766"/>
        <w:jc w:val="both"/>
        <w:rPr>
          <w:sz w:val="20"/>
        </w:rPr>
      </w:pPr>
      <w:r w:rsidRPr="000615AB">
        <w:rPr>
          <w:sz w:val="20"/>
        </w:rPr>
        <w:t xml:space="preserve">3.1.4 </w:t>
      </w:r>
      <w:r w:rsidRPr="000615AB">
        <w:rPr>
          <w:sz w:val="20"/>
        </w:rPr>
        <w:tab/>
      </w:r>
      <w:r w:rsidRPr="000615AB">
        <w:rPr>
          <w:i/>
          <w:sz w:val="20"/>
        </w:rPr>
        <w:t>Unión de La Haya</w:t>
      </w:r>
      <w:r w:rsidRPr="000615AB">
        <w:rPr>
          <w:sz w:val="20"/>
        </w:rPr>
        <w:t>:  Programas 2 (Marcas, dibujos y modelos industriales e indicaciones geográficas) (parcialmente), 6 (Sistemas de Madrid y Lisboa) (parcialmente), 7 (Centro de Arbitraje y Mediación de la OMPI) (parcialmente), 12 (Clasificaciones internacionales y normas técnicas de la OMPI) (parcialmente), 14 (Servicios de acceso a la información y a los conocimientos) (parcialmente) y 31 (Sistema de La Haya).</w:t>
      </w:r>
    </w:p>
    <w:p w:rsidR="00383888" w:rsidRPr="000615AB" w:rsidRDefault="00383888" w:rsidP="00383888">
      <w:pPr>
        <w:spacing w:after="60"/>
        <w:ind w:left="1843" w:hanging="766"/>
        <w:jc w:val="both"/>
        <w:rPr>
          <w:sz w:val="20"/>
        </w:rPr>
      </w:pPr>
      <w:r w:rsidRPr="000615AB">
        <w:rPr>
          <w:i/>
          <w:sz w:val="20"/>
        </w:rPr>
        <w:t>3.1.5</w:t>
      </w:r>
      <w:r w:rsidRPr="000615AB">
        <w:rPr>
          <w:sz w:val="20"/>
        </w:rPr>
        <w:t xml:space="preserve"> </w:t>
      </w:r>
      <w:r w:rsidRPr="000615AB">
        <w:rPr>
          <w:sz w:val="20"/>
        </w:rPr>
        <w:tab/>
      </w:r>
      <w:r w:rsidRPr="000615AB">
        <w:rPr>
          <w:i/>
          <w:sz w:val="20"/>
        </w:rPr>
        <w:t xml:space="preserve">Unión de Lisboa:  </w:t>
      </w:r>
      <w:r w:rsidRPr="000615AB">
        <w:rPr>
          <w:sz w:val="20"/>
        </w:rPr>
        <w:t>Programas 2 (Marcas, dibujos y modelos industriales e indicaciones geográficas) (parcialmente), 6 (Sistemas de Madrid y Lisboa) (parcialmente), 7 (Centro de Arbitraje y Mediación de la OMPI) (parcialmente) y 14 (Servicios de acceso a la información y a los conocimientos) (parcialmente).</w:t>
      </w:r>
    </w:p>
    <w:p w:rsidR="00383888" w:rsidRPr="000615AB" w:rsidRDefault="00383888" w:rsidP="00383888">
      <w:pPr>
        <w:jc w:val="both"/>
        <w:rPr>
          <w:sz w:val="20"/>
        </w:rPr>
      </w:pPr>
    </w:p>
    <w:p w:rsidR="00383888" w:rsidRPr="000615AB" w:rsidRDefault="00383888" w:rsidP="00383888">
      <w:pPr>
        <w:ind w:left="1080" w:hanging="513"/>
        <w:jc w:val="both"/>
        <w:rPr>
          <w:sz w:val="20"/>
        </w:rPr>
      </w:pPr>
      <w:r w:rsidRPr="000615AB">
        <w:rPr>
          <w:i/>
          <w:sz w:val="20"/>
        </w:rPr>
        <w:lastRenderedPageBreak/>
        <w:t>3.2</w:t>
      </w:r>
      <w:r w:rsidRPr="000615AB">
        <w:rPr>
          <w:sz w:val="20"/>
        </w:rPr>
        <w:tab/>
      </w:r>
      <w:r w:rsidRPr="000615AB">
        <w:rPr>
          <w:i/>
          <w:sz w:val="20"/>
        </w:rPr>
        <w:t>Gastos administrativos directos por Unión</w:t>
      </w:r>
      <w:r w:rsidRPr="000615AB">
        <w:rPr>
          <w:sz w:val="20"/>
        </w:rPr>
        <w:t>:  Bajo esta categoría se engloba una parte de todos los programas comprendidos en la meta estratégica IX (programas 21 a 29) y “No asignados”.  La asignación de gastos presupuestados se determina mediante un proceso que consta de dos etapas.  En primer lugar, se determina el porcentaje total de costos administrativos directos para todas las Uniones sobre la base del número total de empleados de nómina de los programas relacionados directamente con las Uniones en relación con el número total de empleados de nómina de todos los programas, a excepción de los comprendidos en el marco de la meta estratégica IX.  Posteriormente, se asignan los gastos administrativos directos por Unión a las Uniones respectivas sobre la base del porcentaje del número de empleados de nómina de cada Unión en relación con el número total de empleados de nómina de los programas relacionados directamente con las Uniones.  El proceso que consta de dos etapas se aplica a la partida de los gastos administrativos que no pueden ser fácilmente vinculados a una Unión determinada.</w:t>
      </w:r>
    </w:p>
    <w:p w:rsidR="00383888" w:rsidRPr="000615AB" w:rsidRDefault="00383888" w:rsidP="00383888">
      <w:pPr>
        <w:ind w:left="1080" w:hanging="513"/>
        <w:jc w:val="both"/>
        <w:rPr>
          <w:i/>
          <w:sz w:val="20"/>
        </w:rPr>
      </w:pPr>
    </w:p>
    <w:p w:rsidR="00383888" w:rsidRPr="000615AB" w:rsidRDefault="00383888" w:rsidP="00383888">
      <w:pPr>
        <w:numPr>
          <w:ilvl w:val="0"/>
          <w:numId w:val="17"/>
        </w:numPr>
        <w:jc w:val="both"/>
        <w:rPr>
          <w:sz w:val="20"/>
        </w:rPr>
      </w:pPr>
      <w:r w:rsidRPr="000615AB">
        <w:rPr>
          <w:i/>
          <w:sz w:val="20"/>
        </w:rPr>
        <w:t>GASTOS INDIRECTOS POR UNIÓN</w:t>
      </w:r>
      <w:r w:rsidRPr="000615AB">
        <w:rPr>
          <w:sz w:val="20"/>
        </w:rPr>
        <w:t>, constituidos por el porcentaje asignado a cada Unión de gastos presupuestados para los programas que no guardan relación directa con las actividades de la Unión correspondiente, junto con el porcentaje de gastos administrativos conexos y otros gastos presupuestados.</w:t>
      </w:r>
    </w:p>
    <w:p w:rsidR="00383888" w:rsidRPr="000615AB" w:rsidRDefault="00383888" w:rsidP="00383888">
      <w:pPr>
        <w:jc w:val="both"/>
        <w:rPr>
          <w:b/>
          <w:sz w:val="20"/>
        </w:rPr>
      </w:pPr>
    </w:p>
    <w:p w:rsidR="00383888" w:rsidRPr="000615AB" w:rsidRDefault="00383888" w:rsidP="00383888">
      <w:pPr>
        <w:numPr>
          <w:ilvl w:val="1"/>
          <w:numId w:val="19"/>
        </w:numPr>
        <w:ind w:left="1134" w:hanging="567"/>
        <w:jc w:val="both"/>
        <w:rPr>
          <w:b/>
          <w:i/>
          <w:sz w:val="20"/>
        </w:rPr>
      </w:pPr>
      <w:r w:rsidRPr="000615AB">
        <w:rPr>
          <w:i/>
          <w:sz w:val="20"/>
        </w:rPr>
        <w:t>Gastos indirectos por Unión</w:t>
      </w:r>
      <w:r w:rsidRPr="000615AB">
        <w:rPr>
          <w:sz w:val="20"/>
        </w:rPr>
        <w:t>:  Bajo esta rúbrica se engloban las siguientes actividades de programa y gastos presupuestados:  Programas 1 (Derecho de patentes) (parcialmente), 3 (Derecho de autor y derechos conexos) (parcialmente), 8 (Coordinación de la Agenda para el Desarrollo), 9 (Países africanos, árabes, de América Latina y el Caribe, de Asia y el Pacífico y P</w:t>
      </w:r>
      <w:r w:rsidR="00733234">
        <w:rPr>
          <w:sz w:val="20"/>
        </w:rPr>
        <w:t>aíses Menos Adelantados</w:t>
      </w:r>
      <w:r w:rsidRPr="000615AB">
        <w:rPr>
          <w:sz w:val="20"/>
        </w:rPr>
        <w:t>), 10 (Cooperación con determinados países de Europa y Asia y algunos Estados mediterráneos), 11 (</w:t>
      </w:r>
      <w:r w:rsidR="00FE0BB4">
        <w:rPr>
          <w:sz w:val="20"/>
        </w:rPr>
        <w:t>Academia de la OMPI), 15 </w:t>
      </w:r>
      <w:r w:rsidRPr="000615AB">
        <w:rPr>
          <w:sz w:val="20"/>
        </w:rPr>
        <w:t>(Soluciones operativas para las oficinas de P.I.), 16 (Economía y estadística), 17 (Cultivar el respeto por la P.I.), 18 (La P.I. y los desafíos mundiales), 19 (Comunicaciones)</w:t>
      </w:r>
      <w:r w:rsidR="00FE0BB4">
        <w:rPr>
          <w:sz w:val="20"/>
        </w:rPr>
        <w:t>,</w:t>
      </w:r>
      <w:r w:rsidRPr="000615AB">
        <w:rPr>
          <w:sz w:val="20"/>
        </w:rPr>
        <w:t xml:space="preserve"> 20 (Relaciones exteriores, alianzas y oficinas en el exterior)</w:t>
      </w:r>
      <w:r w:rsidR="00FE0BB4">
        <w:rPr>
          <w:sz w:val="20"/>
        </w:rPr>
        <w:t xml:space="preserve"> y 30 (Pequeñas y medianas empresas (pymes))</w:t>
      </w:r>
      <w:r w:rsidRPr="000615AB">
        <w:rPr>
          <w:sz w:val="20"/>
        </w:rPr>
        <w:t xml:space="preserve">.  La cuota de gastos presupuestados correspondiente a cada uno de esos programas se asigna a las Uniones sobre la base de su respectiva </w:t>
      </w:r>
      <w:r w:rsidRPr="000615AB">
        <w:rPr>
          <w:i/>
          <w:sz w:val="20"/>
        </w:rPr>
        <w:t>capacidad de pago en el bienio</w:t>
      </w:r>
      <w:r w:rsidRPr="000615AB">
        <w:rPr>
          <w:sz w:val="20"/>
        </w:rPr>
        <w:t>.  Se trata del cálculo de la diferencia entre los ingresos previstos para cada Unión en el bienio y los otros gastos asignados a las Uniones y las reservas obligatorias mínimas (“previsión mínima de reservas”).  El cálculo de la previsión mínima de reservas se basa en la reserva obligatoria correspondiente a los gastos del bienio anterior.  Mediante la metodología aplicada se garantiza una distribución proporcional del gasto indirecto entre las Uniones a partir de los ingresos (excedente) generados en el presente bienio.  Únicamente cuando no sea suficiente el excedente bienal generado se utilizarán las reservas disponibles para cubrir el remanente de gastos indirectos, lo que se hará teniendo en cuenta la parte relativa correspondiente a cada Unión.</w:t>
      </w:r>
    </w:p>
    <w:p w:rsidR="00383888" w:rsidRPr="000615AB" w:rsidRDefault="00383888" w:rsidP="00383888">
      <w:pPr>
        <w:ind w:left="927"/>
        <w:jc w:val="both"/>
        <w:rPr>
          <w:b/>
          <w:i/>
          <w:sz w:val="20"/>
        </w:rPr>
      </w:pPr>
    </w:p>
    <w:p w:rsidR="00383888" w:rsidRPr="000615AB" w:rsidRDefault="00383888" w:rsidP="00FE0BB4">
      <w:pPr>
        <w:numPr>
          <w:ilvl w:val="1"/>
          <w:numId w:val="19"/>
        </w:numPr>
        <w:ind w:left="1134" w:hanging="567"/>
        <w:jc w:val="both"/>
        <w:rPr>
          <w:b/>
          <w:i/>
          <w:sz w:val="20"/>
        </w:rPr>
      </w:pPr>
      <w:r w:rsidRPr="000615AB">
        <w:rPr>
          <w:i/>
          <w:sz w:val="20"/>
        </w:rPr>
        <w:t xml:space="preserve">Gastos administrativos indirectos:  </w:t>
      </w:r>
      <w:r w:rsidRPr="000615AB">
        <w:rPr>
          <w:sz w:val="20"/>
        </w:rPr>
        <w:t xml:space="preserve">Estos gastos guardan relación con los gastos presupuestados (en el marco de los programas 21 a 29) que no han sido asignados a los gastos directos por Unión, así como al importe presupuestado en la categoría “No asignados” en la propuesta de presupuesto.  La asignación de esos gastos presupuestados se efectúa sobre la base de su respectiva </w:t>
      </w:r>
      <w:r w:rsidRPr="000615AB">
        <w:rPr>
          <w:i/>
          <w:sz w:val="20"/>
        </w:rPr>
        <w:t>capacidad de pago (es decir, según el mismo principio aplicable a los gastos indirectos por Unión).</w:t>
      </w:r>
    </w:p>
    <w:p w:rsidR="00383888" w:rsidRPr="000615AB" w:rsidRDefault="00383888" w:rsidP="00383888">
      <w:pPr>
        <w:rPr>
          <w:rFonts w:ascii="Calibri" w:hAnsi="Calibri"/>
          <w:szCs w:val="22"/>
        </w:rPr>
      </w:pPr>
    </w:p>
    <w:p w:rsidR="00383888" w:rsidRPr="000615AB" w:rsidRDefault="00383888" w:rsidP="00383888">
      <w:pPr>
        <w:rPr>
          <w:bCs/>
          <w:sz w:val="20"/>
        </w:rPr>
      </w:pPr>
      <w:r w:rsidRPr="000615AB">
        <w:rPr>
          <w:bCs/>
          <w:sz w:val="20"/>
        </w:rPr>
        <w:t>ASIGNACIÓN DE LOS AJUSTES PREVISTOS CONFORME A LAS IPSAS, POR UNIÓN</w:t>
      </w:r>
    </w:p>
    <w:p w:rsidR="00383888" w:rsidRPr="000615AB" w:rsidRDefault="00383888" w:rsidP="00383888">
      <w:pPr>
        <w:rPr>
          <w:rFonts w:ascii="Calibri" w:hAnsi="Calibri"/>
          <w:szCs w:val="22"/>
        </w:rPr>
      </w:pPr>
    </w:p>
    <w:p w:rsidR="00383888" w:rsidRPr="000615AB" w:rsidRDefault="00383888" w:rsidP="00383888">
      <w:pPr>
        <w:numPr>
          <w:ilvl w:val="0"/>
          <w:numId w:val="17"/>
        </w:numPr>
        <w:jc w:val="both"/>
        <w:rPr>
          <w:b/>
          <w:i/>
          <w:sz w:val="20"/>
        </w:rPr>
      </w:pPr>
      <w:r w:rsidRPr="000615AB">
        <w:rPr>
          <w:sz w:val="20"/>
        </w:rPr>
        <w:t>Los ajustes en los ingresos conforme a las IPSAS se pueden atribuir a cada una de las Uniones, puesto que guardan una relación directa con las tasas provenientes de los sistemas del PCT, de Madrid y de La Haya.  Se realiza una distribución proporcional de los ajustes en los gastos presupuestarios conforme a las IPSAS entre las Uniones sobre la base de la asignación de los gastos presupuestarios.</w:t>
      </w:r>
    </w:p>
    <w:p w:rsidR="00383888" w:rsidRPr="000615AB" w:rsidRDefault="00383888" w:rsidP="00383888">
      <w:pPr>
        <w:jc w:val="both"/>
        <w:rPr>
          <w:sz w:val="20"/>
        </w:rPr>
      </w:pPr>
    </w:p>
    <w:p w:rsidR="00383888" w:rsidRPr="000615AB" w:rsidRDefault="00383888" w:rsidP="00383888">
      <w:pPr>
        <w:numPr>
          <w:ilvl w:val="0"/>
          <w:numId w:val="17"/>
        </w:numPr>
        <w:jc w:val="both"/>
        <w:rPr>
          <w:sz w:val="20"/>
        </w:rPr>
      </w:pPr>
      <w:r w:rsidRPr="000615AB">
        <w:rPr>
          <w:sz w:val="20"/>
        </w:rPr>
        <w:t>De conformidad con la metodología descrita, se exponen a continuación varios cuadros con los datos siguientes:</w:t>
      </w:r>
    </w:p>
    <w:p w:rsidR="00383888" w:rsidRPr="000615AB" w:rsidRDefault="00383888" w:rsidP="00383888">
      <w:pPr>
        <w:jc w:val="both"/>
        <w:rPr>
          <w:sz w:val="20"/>
        </w:rPr>
      </w:pPr>
    </w:p>
    <w:p w:rsidR="00383888" w:rsidRPr="000615AB" w:rsidRDefault="00383888" w:rsidP="00383888">
      <w:pPr>
        <w:numPr>
          <w:ilvl w:val="0"/>
          <w:numId w:val="16"/>
        </w:numPr>
        <w:tabs>
          <w:tab w:val="clear" w:pos="720"/>
          <w:tab w:val="num" w:pos="1134"/>
        </w:tabs>
        <w:ind w:left="1134" w:hanging="567"/>
        <w:jc w:val="both"/>
        <w:rPr>
          <w:sz w:val="20"/>
        </w:rPr>
      </w:pPr>
      <w:r w:rsidRPr="000615AB">
        <w:rPr>
          <w:sz w:val="20"/>
        </w:rPr>
        <w:t>Cuadro 11.  Panorama financiero para 2014/15, por Unión</w:t>
      </w:r>
    </w:p>
    <w:p w:rsidR="00383888" w:rsidRPr="000615AB" w:rsidRDefault="00383888" w:rsidP="00383888">
      <w:pPr>
        <w:numPr>
          <w:ilvl w:val="0"/>
          <w:numId w:val="16"/>
        </w:numPr>
        <w:tabs>
          <w:tab w:val="clear" w:pos="720"/>
          <w:tab w:val="num" w:pos="1134"/>
        </w:tabs>
        <w:ind w:left="1134" w:hanging="567"/>
        <w:jc w:val="both"/>
        <w:rPr>
          <w:sz w:val="20"/>
        </w:rPr>
      </w:pPr>
      <w:r w:rsidRPr="000615AB">
        <w:rPr>
          <w:sz w:val="20"/>
        </w:rPr>
        <w:lastRenderedPageBreak/>
        <w:t>Cuadro 12.  Estimaciones de ingresos para 2014/15, por Unión</w:t>
      </w:r>
    </w:p>
    <w:p w:rsidR="00383888" w:rsidRPr="000615AB" w:rsidRDefault="00383888" w:rsidP="00383888">
      <w:pPr>
        <w:numPr>
          <w:ilvl w:val="0"/>
          <w:numId w:val="16"/>
        </w:numPr>
        <w:tabs>
          <w:tab w:val="clear" w:pos="720"/>
          <w:tab w:val="num" w:pos="1134"/>
        </w:tabs>
        <w:ind w:left="1134" w:hanging="567"/>
        <w:jc w:val="both"/>
        <w:rPr>
          <w:sz w:val="20"/>
        </w:rPr>
      </w:pPr>
      <w:r w:rsidRPr="000615AB">
        <w:rPr>
          <w:sz w:val="20"/>
        </w:rPr>
        <w:t>Cuadro 13.  Presupuesto para 2014/15, por programa y Unión</w:t>
      </w:r>
    </w:p>
    <w:p w:rsidR="00383888" w:rsidRPr="000615AB" w:rsidRDefault="00383888" w:rsidP="00383888">
      <w:pPr>
        <w:numPr>
          <w:ilvl w:val="0"/>
          <w:numId w:val="16"/>
        </w:numPr>
        <w:tabs>
          <w:tab w:val="clear" w:pos="720"/>
          <w:tab w:val="num" w:pos="1134"/>
        </w:tabs>
        <w:ind w:left="1134" w:hanging="567"/>
        <w:jc w:val="both"/>
        <w:rPr>
          <w:sz w:val="20"/>
        </w:rPr>
      </w:pPr>
      <w:r w:rsidRPr="000615AB">
        <w:rPr>
          <w:sz w:val="20"/>
        </w:rPr>
        <w:t xml:space="preserve">Cuadro 14.  Situación </w:t>
      </w:r>
      <w:r w:rsidR="007133AF">
        <w:rPr>
          <w:sz w:val="20"/>
        </w:rPr>
        <w:t>hipotética</w:t>
      </w:r>
      <w:r w:rsidRPr="000615AB">
        <w:rPr>
          <w:sz w:val="20"/>
        </w:rPr>
        <w:t xml:space="preserve"> para 2014/15, por Unión</w:t>
      </w:r>
    </w:p>
    <w:p w:rsidR="00383888" w:rsidRPr="000615AB" w:rsidRDefault="00383888" w:rsidP="00383888">
      <w:pPr>
        <w:jc w:val="both"/>
        <w:rPr>
          <w:sz w:val="20"/>
        </w:rPr>
      </w:pPr>
    </w:p>
    <w:p w:rsidR="00383888" w:rsidRPr="000615AB" w:rsidRDefault="00383888" w:rsidP="00383888">
      <w:pPr>
        <w:jc w:val="both"/>
        <w:rPr>
          <w:sz w:val="20"/>
        </w:rPr>
      </w:pPr>
    </w:p>
    <w:p w:rsidR="00383888" w:rsidRPr="000615AB" w:rsidRDefault="00383888" w:rsidP="00383888">
      <w:pPr>
        <w:jc w:val="both"/>
        <w:rPr>
          <w:sz w:val="20"/>
        </w:rPr>
      </w:pPr>
    </w:p>
    <w:p w:rsidR="00383888" w:rsidRPr="000615AB" w:rsidRDefault="00383888" w:rsidP="00383888">
      <w:pPr>
        <w:jc w:val="center"/>
        <w:rPr>
          <w:sz w:val="18"/>
          <w:szCs w:val="18"/>
        </w:rPr>
      </w:pPr>
      <w:r w:rsidRPr="000615AB">
        <w:rPr>
          <w:sz w:val="18"/>
          <w:szCs w:val="18"/>
        </w:rPr>
        <w:t>Cuadro 11.  Panorama financiero para 2014/15, por Unión</w:t>
      </w:r>
    </w:p>
    <w:p w:rsidR="00383888" w:rsidRPr="000615AB" w:rsidRDefault="00383888" w:rsidP="00383888">
      <w:pPr>
        <w:jc w:val="center"/>
        <w:rPr>
          <w:sz w:val="18"/>
          <w:szCs w:val="18"/>
        </w:rPr>
      </w:pPr>
      <w:r w:rsidRPr="000615AB">
        <w:rPr>
          <w:i/>
          <w:iCs/>
          <w:sz w:val="18"/>
          <w:szCs w:val="18"/>
        </w:rPr>
        <w:t>(en miles de francos suizos)</w:t>
      </w:r>
    </w:p>
    <w:p w:rsidR="00383888" w:rsidRPr="000615AB" w:rsidRDefault="00383888" w:rsidP="00383888">
      <w:pPr>
        <w:jc w:val="both"/>
        <w:rPr>
          <w:sz w:val="20"/>
        </w:rPr>
      </w:pPr>
    </w:p>
    <w:p w:rsidR="00383888" w:rsidRPr="000615AB" w:rsidRDefault="00FE0BB4" w:rsidP="00383888">
      <w:pPr>
        <w:jc w:val="both"/>
        <w:rPr>
          <w:sz w:val="20"/>
        </w:rPr>
      </w:pPr>
      <w:r w:rsidRPr="00FE0BB4">
        <w:rPr>
          <w:noProof/>
          <w:lang w:val="en-US" w:eastAsia="en-US"/>
        </w:rPr>
        <w:drawing>
          <wp:inline distT="0" distB="0" distL="0" distR="0" wp14:anchorId="2A3715B2" wp14:editId="1E482196">
            <wp:extent cx="5760085" cy="1365166"/>
            <wp:effectExtent l="0" t="0" r="0" b="6985"/>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5760085" cy="1365166"/>
                    </a:xfrm>
                    <a:prstGeom prst="rect">
                      <a:avLst/>
                    </a:prstGeom>
                    <a:noFill/>
                    <a:ln>
                      <a:noFill/>
                    </a:ln>
                  </pic:spPr>
                </pic:pic>
              </a:graphicData>
            </a:graphic>
          </wp:inline>
        </w:drawing>
      </w:r>
    </w:p>
    <w:p w:rsidR="00383888" w:rsidRPr="000615AB" w:rsidRDefault="00383888" w:rsidP="00383888">
      <w:pPr>
        <w:jc w:val="both"/>
        <w:rPr>
          <w:sz w:val="20"/>
        </w:rPr>
      </w:pPr>
    </w:p>
    <w:p w:rsidR="00383888" w:rsidRPr="000615AB" w:rsidRDefault="00383888" w:rsidP="00383888">
      <w:pPr>
        <w:jc w:val="both"/>
        <w:rPr>
          <w:sz w:val="20"/>
        </w:rPr>
      </w:pPr>
    </w:p>
    <w:p w:rsidR="00383888" w:rsidRPr="000615AB" w:rsidRDefault="00383888" w:rsidP="00383888">
      <w:pPr>
        <w:jc w:val="center"/>
        <w:rPr>
          <w:sz w:val="18"/>
          <w:szCs w:val="18"/>
        </w:rPr>
      </w:pPr>
      <w:r w:rsidRPr="000615AB">
        <w:rPr>
          <w:sz w:val="18"/>
          <w:szCs w:val="18"/>
        </w:rPr>
        <w:t>Cuadro 12.  Estimaciones de ingresos para 2014/15, por Unión</w:t>
      </w:r>
    </w:p>
    <w:p w:rsidR="00383888" w:rsidRPr="000615AB" w:rsidRDefault="00383888" w:rsidP="00383888">
      <w:pPr>
        <w:jc w:val="center"/>
        <w:rPr>
          <w:sz w:val="18"/>
          <w:szCs w:val="18"/>
        </w:rPr>
      </w:pPr>
      <w:r w:rsidRPr="000615AB">
        <w:rPr>
          <w:i/>
          <w:iCs/>
          <w:sz w:val="18"/>
          <w:szCs w:val="18"/>
        </w:rPr>
        <w:t>(en miles de francos suizos)</w:t>
      </w:r>
    </w:p>
    <w:p w:rsidR="00383888" w:rsidRPr="000615AB" w:rsidRDefault="00383888" w:rsidP="00383888">
      <w:pPr>
        <w:jc w:val="both"/>
        <w:rPr>
          <w:sz w:val="20"/>
        </w:rPr>
      </w:pPr>
    </w:p>
    <w:p w:rsidR="00383888" w:rsidRPr="000615AB" w:rsidRDefault="00C40A11" w:rsidP="00383888">
      <w:pPr>
        <w:jc w:val="both"/>
        <w:rPr>
          <w:sz w:val="20"/>
        </w:rPr>
      </w:pPr>
      <w:r>
        <w:rPr>
          <w:noProof/>
          <w:lang w:val="en-US" w:eastAsia="en-US"/>
        </w:rPr>
        <w:drawing>
          <wp:inline distT="0" distB="0" distL="0" distR="0" wp14:anchorId="7BA8B031" wp14:editId="117C32A7">
            <wp:extent cx="5752465" cy="1180465"/>
            <wp:effectExtent l="0" t="0" r="635" b="635"/>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5752465" cy="1180465"/>
                    </a:xfrm>
                    <a:prstGeom prst="rect">
                      <a:avLst/>
                    </a:prstGeom>
                    <a:noFill/>
                    <a:ln>
                      <a:noFill/>
                    </a:ln>
                  </pic:spPr>
                </pic:pic>
              </a:graphicData>
            </a:graphic>
          </wp:inline>
        </w:drawing>
      </w:r>
    </w:p>
    <w:p w:rsidR="00383888" w:rsidRPr="000615AB" w:rsidRDefault="00383888" w:rsidP="00383888">
      <w:pPr>
        <w:jc w:val="both"/>
        <w:rPr>
          <w:sz w:val="20"/>
        </w:rPr>
      </w:pPr>
    </w:p>
    <w:p w:rsidR="00383888" w:rsidRPr="000615AB" w:rsidRDefault="00383888" w:rsidP="00383888">
      <w:pPr>
        <w:jc w:val="both"/>
        <w:rPr>
          <w:sz w:val="20"/>
        </w:rPr>
      </w:pPr>
    </w:p>
    <w:p w:rsidR="00383888" w:rsidRPr="000615AB" w:rsidRDefault="00383888" w:rsidP="00383888">
      <w:pPr>
        <w:jc w:val="center"/>
        <w:rPr>
          <w:sz w:val="20"/>
        </w:rPr>
      </w:pPr>
    </w:p>
    <w:p w:rsidR="00383888" w:rsidRPr="000615AB" w:rsidRDefault="00383888" w:rsidP="00383888">
      <w:pPr>
        <w:rPr>
          <w:sz w:val="20"/>
        </w:rPr>
        <w:sectPr w:rsidR="00383888" w:rsidRPr="000615AB" w:rsidSect="00B47699">
          <w:headerReference w:type="even" r:id="rId151"/>
          <w:headerReference w:type="default" r:id="rId152"/>
          <w:footerReference w:type="even" r:id="rId153"/>
          <w:footerReference w:type="default" r:id="rId154"/>
          <w:pgSz w:w="11907" w:h="16840" w:code="9"/>
          <w:pgMar w:top="567" w:right="1418" w:bottom="1418" w:left="1418" w:header="510" w:footer="851" w:gutter="0"/>
          <w:cols w:space="720"/>
        </w:sectPr>
      </w:pPr>
    </w:p>
    <w:p w:rsidR="00383888" w:rsidRPr="000615AB" w:rsidRDefault="00383888" w:rsidP="00383888">
      <w:pPr>
        <w:jc w:val="center"/>
        <w:rPr>
          <w:sz w:val="18"/>
          <w:szCs w:val="18"/>
        </w:rPr>
      </w:pPr>
      <w:r w:rsidRPr="000615AB">
        <w:rPr>
          <w:sz w:val="18"/>
          <w:szCs w:val="18"/>
        </w:rPr>
        <w:lastRenderedPageBreak/>
        <w:t>Cuadro 13.  Presupuesto para 2014/15, por programa y Unión</w:t>
      </w:r>
    </w:p>
    <w:p w:rsidR="00383888" w:rsidRPr="000615AB" w:rsidRDefault="00383888" w:rsidP="00383888">
      <w:pPr>
        <w:jc w:val="center"/>
        <w:rPr>
          <w:i/>
          <w:iCs/>
          <w:sz w:val="18"/>
          <w:szCs w:val="18"/>
        </w:rPr>
      </w:pPr>
      <w:r w:rsidRPr="000615AB">
        <w:rPr>
          <w:i/>
          <w:iCs/>
          <w:sz w:val="18"/>
          <w:szCs w:val="18"/>
        </w:rPr>
        <w:t>(en miles de francos suizos)</w:t>
      </w:r>
    </w:p>
    <w:p w:rsidR="00383888" w:rsidRPr="000615AB" w:rsidRDefault="00383888" w:rsidP="00383888">
      <w:pPr>
        <w:jc w:val="center"/>
        <w:rPr>
          <w:i/>
          <w:iCs/>
          <w:sz w:val="20"/>
        </w:rPr>
      </w:pPr>
      <w:r w:rsidRPr="000615AB">
        <w:rPr>
          <w:i/>
          <w:iCs/>
          <w:sz w:val="20"/>
        </w:rPr>
        <w:br/>
      </w:r>
      <w:r w:rsidR="00FE0BB4" w:rsidRPr="00FE0BB4">
        <w:rPr>
          <w:noProof/>
          <w:lang w:val="en-US" w:eastAsia="en-US"/>
        </w:rPr>
        <w:drawing>
          <wp:inline distT="0" distB="0" distL="0" distR="0" wp14:anchorId="3F9E2E1B" wp14:editId="325B8D7D">
            <wp:extent cx="8963025" cy="5438775"/>
            <wp:effectExtent l="0" t="0" r="9525" b="9525"/>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8964930" cy="5439931"/>
                    </a:xfrm>
                    <a:prstGeom prst="rect">
                      <a:avLst/>
                    </a:prstGeom>
                    <a:noFill/>
                    <a:ln>
                      <a:noFill/>
                    </a:ln>
                  </pic:spPr>
                </pic:pic>
              </a:graphicData>
            </a:graphic>
          </wp:inline>
        </w:drawing>
      </w:r>
    </w:p>
    <w:p w:rsidR="00383888" w:rsidRPr="000615AB" w:rsidRDefault="00383888" w:rsidP="00383888">
      <w:pPr>
        <w:rPr>
          <w:sz w:val="20"/>
        </w:rPr>
      </w:pPr>
    </w:p>
    <w:p w:rsidR="00383888" w:rsidRPr="000615AB" w:rsidRDefault="00383888" w:rsidP="00383888">
      <w:pPr>
        <w:jc w:val="center"/>
        <w:rPr>
          <w:sz w:val="18"/>
          <w:szCs w:val="18"/>
        </w:rPr>
      </w:pPr>
      <w:r w:rsidRPr="000615AB">
        <w:rPr>
          <w:sz w:val="18"/>
          <w:szCs w:val="18"/>
        </w:rPr>
        <w:br w:type="page"/>
      </w:r>
      <w:r w:rsidRPr="000615AB">
        <w:rPr>
          <w:sz w:val="18"/>
          <w:szCs w:val="18"/>
        </w:rPr>
        <w:lastRenderedPageBreak/>
        <w:t>Cuadro 14.  Situación</w:t>
      </w:r>
      <w:r w:rsidR="007133AF">
        <w:rPr>
          <w:sz w:val="18"/>
          <w:szCs w:val="18"/>
        </w:rPr>
        <w:t xml:space="preserve"> hipotética</w:t>
      </w:r>
      <w:r w:rsidRPr="000615AB">
        <w:rPr>
          <w:sz w:val="18"/>
          <w:szCs w:val="18"/>
        </w:rPr>
        <w:t xml:space="preserve"> para 2014/15, por Unión</w:t>
      </w:r>
    </w:p>
    <w:p w:rsidR="00383888" w:rsidRPr="000615AB" w:rsidRDefault="00383888" w:rsidP="00383888">
      <w:pPr>
        <w:jc w:val="center"/>
        <w:rPr>
          <w:sz w:val="18"/>
          <w:szCs w:val="18"/>
        </w:rPr>
      </w:pPr>
      <w:r w:rsidRPr="000615AB">
        <w:rPr>
          <w:sz w:val="18"/>
          <w:szCs w:val="18"/>
        </w:rPr>
        <w:t>(en miles de francos suizos)</w:t>
      </w:r>
    </w:p>
    <w:p w:rsidR="00383888" w:rsidRPr="000615AB" w:rsidRDefault="00383888" w:rsidP="00383888">
      <w:pPr>
        <w:jc w:val="center"/>
        <w:rPr>
          <w:sz w:val="18"/>
          <w:szCs w:val="18"/>
        </w:rPr>
      </w:pPr>
    </w:p>
    <w:p w:rsidR="00383888" w:rsidRPr="000615AB" w:rsidRDefault="007133AF" w:rsidP="00383888">
      <w:pPr>
        <w:jc w:val="center"/>
        <w:rPr>
          <w:sz w:val="20"/>
        </w:rPr>
      </w:pPr>
      <w:r w:rsidRPr="007133AF">
        <w:rPr>
          <w:noProof/>
          <w:lang w:val="en-US" w:eastAsia="en-US"/>
        </w:rPr>
        <w:drawing>
          <wp:inline distT="0" distB="0" distL="0" distR="0" wp14:anchorId="20915987" wp14:editId="032455CE">
            <wp:extent cx="8964930" cy="2762257"/>
            <wp:effectExtent l="0" t="0" r="7620" b="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8964930" cy="2762257"/>
                    </a:xfrm>
                    <a:prstGeom prst="rect">
                      <a:avLst/>
                    </a:prstGeom>
                    <a:noFill/>
                    <a:ln>
                      <a:noFill/>
                    </a:ln>
                  </pic:spPr>
                </pic:pic>
              </a:graphicData>
            </a:graphic>
          </wp:inline>
        </w:drawing>
      </w:r>
    </w:p>
    <w:p w:rsidR="00383888" w:rsidRPr="000615AB" w:rsidRDefault="00383888" w:rsidP="00383888">
      <w:pPr>
        <w:rPr>
          <w:sz w:val="20"/>
        </w:rPr>
      </w:pPr>
    </w:p>
    <w:p w:rsidR="00383888" w:rsidRPr="000615AB" w:rsidRDefault="00383888" w:rsidP="00383888">
      <w:pPr>
        <w:rPr>
          <w:sz w:val="20"/>
        </w:rPr>
      </w:pPr>
    </w:p>
    <w:p w:rsidR="00383888" w:rsidRPr="000615AB" w:rsidRDefault="00383888" w:rsidP="00383888">
      <w:pPr>
        <w:jc w:val="right"/>
        <w:rPr>
          <w:sz w:val="20"/>
        </w:rPr>
      </w:pPr>
    </w:p>
    <w:p w:rsidR="00383888" w:rsidRPr="000615AB" w:rsidRDefault="00383888" w:rsidP="00383888">
      <w:pPr>
        <w:rPr>
          <w:sz w:val="20"/>
        </w:rPr>
      </w:pPr>
    </w:p>
    <w:p w:rsidR="00383888" w:rsidRPr="000615AB" w:rsidRDefault="00383888" w:rsidP="00383888">
      <w:pPr>
        <w:rPr>
          <w:sz w:val="20"/>
        </w:rPr>
        <w:sectPr w:rsidR="00383888" w:rsidRPr="000615AB" w:rsidSect="00B47699">
          <w:footerReference w:type="even" r:id="rId157"/>
          <w:footerReference w:type="default" r:id="rId158"/>
          <w:pgSz w:w="16840" w:h="11907" w:orient="landscape" w:code="9"/>
          <w:pgMar w:top="1134" w:right="1361" w:bottom="1134" w:left="1361" w:header="510" w:footer="851" w:gutter="0"/>
          <w:cols w:space="720"/>
        </w:sectPr>
      </w:pPr>
    </w:p>
    <w:p w:rsidR="00383888" w:rsidRPr="00C3705E" w:rsidRDefault="00383888" w:rsidP="00383888">
      <w:pPr>
        <w:pStyle w:val="Heading2"/>
        <w:tabs>
          <w:tab w:val="left" w:pos="1418"/>
        </w:tabs>
        <w:ind w:left="1418" w:hanging="1418"/>
        <w:rPr>
          <w:b/>
          <w:caps w:val="0"/>
          <w:szCs w:val="24"/>
          <w:lang w:val="es-ES_tradnl"/>
        </w:rPr>
      </w:pPr>
      <w:bookmarkStart w:id="105" w:name="_Toc358816727"/>
      <w:r w:rsidRPr="00C3705E">
        <w:rPr>
          <w:b/>
          <w:caps w:val="0"/>
          <w:szCs w:val="24"/>
          <w:lang w:val="es-ES_tradnl"/>
        </w:rPr>
        <w:lastRenderedPageBreak/>
        <w:t>ANEXO IV.</w:t>
      </w:r>
      <w:r w:rsidRPr="00C3705E">
        <w:rPr>
          <w:b/>
          <w:caps w:val="0"/>
          <w:szCs w:val="24"/>
          <w:lang w:val="es-ES_tradnl"/>
        </w:rPr>
        <w:tab/>
        <w:t>EVOLUCIÓN DE LA DEMANDA DE LOS SERVICIOS DE LOS SISTEMAS DEL PCT, DE MADRID Y DE LA HAYA A MEDIANO PLAZO</w:t>
      </w:r>
      <w:bookmarkEnd w:id="105"/>
    </w:p>
    <w:p w:rsidR="00383888" w:rsidRPr="000615AB" w:rsidRDefault="00383888" w:rsidP="00383888">
      <w:pPr>
        <w:rPr>
          <w:sz w:val="20"/>
        </w:rPr>
      </w:pPr>
    </w:p>
    <w:p w:rsidR="00383888" w:rsidRPr="000615AB" w:rsidRDefault="00383888" w:rsidP="00383888">
      <w:pPr>
        <w:rPr>
          <w:sz w:val="20"/>
        </w:rPr>
      </w:pPr>
    </w:p>
    <w:p w:rsidR="00383888" w:rsidRPr="000615AB" w:rsidRDefault="00383888" w:rsidP="00383888">
      <w:pPr>
        <w:jc w:val="both"/>
        <w:rPr>
          <w:b/>
          <w:sz w:val="20"/>
        </w:rPr>
      </w:pPr>
      <w:r w:rsidRPr="000615AB">
        <w:rPr>
          <w:b/>
          <w:sz w:val="20"/>
        </w:rPr>
        <w:t>PCT</w:t>
      </w:r>
    </w:p>
    <w:p w:rsidR="00383888" w:rsidRPr="000615AB" w:rsidRDefault="00383888" w:rsidP="00383888">
      <w:pPr>
        <w:jc w:val="both"/>
        <w:rPr>
          <w:b/>
          <w:sz w:val="20"/>
        </w:rPr>
      </w:pPr>
    </w:p>
    <w:p w:rsidR="00383888" w:rsidRPr="000615AB" w:rsidRDefault="00383888" w:rsidP="00383888">
      <w:pPr>
        <w:numPr>
          <w:ilvl w:val="0"/>
          <w:numId w:val="18"/>
        </w:numPr>
        <w:jc w:val="both"/>
        <w:rPr>
          <w:sz w:val="20"/>
        </w:rPr>
      </w:pPr>
      <w:r w:rsidRPr="000615AB">
        <w:rPr>
          <w:sz w:val="20"/>
        </w:rPr>
        <w:t>Diversos factores influyen en la cuantía de los ingresos del PCT, en particular, la demanda de servicios del PCT y el comportamiento de los solicitantes.  A su vez, diversos factores internos y externos en relación con el sistema de patentes influyen en la demanda de servicios del PCT.  Entre los factores externos cabe mencionar el rendimiento de la economía a escala mundial y en los países en los que la demanda crece más y más rápidamente;  la inversión en investigación y desarrollo (I+D);  la confianza tecnológica, y, por último, las fluctuaciones de los tipos de cambio.  Entre los factores internos cabe destacar:  la cuantía de las tasas PCT en comparación con otros medios de presentación de solicitudes de patente;  el interés y el valor que se atribuye a los servicios PCT en comparación con los demás medios de presentación;  la credibilidad general del funcionamiento del sistema de patentes, y, por último, las estrategias de las empresas en materia de patentes.</w:t>
      </w:r>
    </w:p>
    <w:p w:rsidR="00383888" w:rsidRPr="000615AB" w:rsidRDefault="00383888" w:rsidP="00383888">
      <w:pPr>
        <w:tabs>
          <w:tab w:val="num" w:pos="0"/>
        </w:tabs>
        <w:jc w:val="both"/>
        <w:rPr>
          <w:sz w:val="20"/>
        </w:rPr>
      </w:pPr>
    </w:p>
    <w:p w:rsidR="00383888" w:rsidRPr="000615AB" w:rsidRDefault="00383888" w:rsidP="00383888">
      <w:pPr>
        <w:numPr>
          <w:ilvl w:val="0"/>
          <w:numId w:val="18"/>
        </w:numPr>
        <w:jc w:val="both"/>
        <w:rPr>
          <w:sz w:val="20"/>
        </w:rPr>
      </w:pPr>
      <w:r w:rsidRPr="000615AB">
        <w:rPr>
          <w:sz w:val="20"/>
        </w:rPr>
        <w:t>El comportamiento de los solicitantes influye en los ingresos de la siguiente manera:</w:t>
      </w:r>
    </w:p>
    <w:p w:rsidR="00383888" w:rsidRPr="000615AB" w:rsidRDefault="00383888" w:rsidP="00383888">
      <w:pPr>
        <w:pStyle w:val="BodyText"/>
        <w:widowControl w:val="0"/>
        <w:tabs>
          <w:tab w:val="num" w:pos="567"/>
        </w:tabs>
        <w:spacing w:after="0"/>
        <w:jc w:val="both"/>
        <w:rPr>
          <w:sz w:val="20"/>
        </w:rPr>
      </w:pPr>
    </w:p>
    <w:p w:rsidR="00383888" w:rsidRPr="000615AB" w:rsidRDefault="00383888" w:rsidP="00383888">
      <w:pPr>
        <w:pStyle w:val="BodyText"/>
        <w:widowControl w:val="0"/>
        <w:tabs>
          <w:tab w:val="left" w:pos="567"/>
        </w:tabs>
        <w:spacing w:after="0"/>
        <w:ind w:left="567"/>
        <w:jc w:val="both"/>
        <w:rPr>
          <w:sz w:val="20"/>
        </w:rPr>
      </w:pPr>
      <w:r w:rsidRPr="000615AB">
        <w:rPr>
          <w:sz w:val="20"/>
        </w:rPr>
        <w:t>i)</w:t>
      </w:r>
      <w:r>
        <w:rPr>
          <w:sz w:val="20"/>
        </w:rPr>
        <w:tab/>
      </w:r>
      <w:r w:rsidRPr="000615AB">
        <w:rPr>
          <w:sz w:val="20"/>
          <w:u w:val="single"/>
        </w:rPr>
        <w:t>Tasa por exceso de páginas</w:t>
      </w:r>
      <w:r w:rsidRPr="000615AB">
        <w:rPr>
          <w:sz w:val="20"/>
        </w:rPr>
        <w:t>:  la Oficina Internacional percibe 15 francos suizos por cada página que exceda de 30 en una solicitud.</w:t>
      </w:r>
    </w:p>
    <w:p w:rsidR="00383888" w:rsidRPr="000615AB" w:rsidRDefault="00383888" w:rsidP="00383888">
      <w:pPr>
        <w:pStyle w:val="BodyText"/>
        <w:spacing w:after="0"/>
        <w:jc w:val="both"/>
        <w:rPr>
          <w:sz w:val="20"/>
        </w:rPr>
      </w:pPr>
    </w:p>
    <w:p w:rsidR="00383888" w:rsidRPr="000615AB" w:rsidRDefault="00383888" w:rsidP="00383888">
      <w:pPr>
        <w:pStyle w:val="BodyText"/>
        <w:widowControl w:val="0"/>
        <w:tabs>
          <w:tab w:val="left" w:pos="567"/>
        </w:tabs>
        <w:spacing w:after="0"/>
        <w:ind w:left="567"/>
        <w:jc w:val="both"/>
        <w:rPr>
          <w:sz w:val="20"/>
        </w:rPr>
      </w:pPr>
      <w:r w:rsidRPr="000615AB">
        <w:rPr>
          <w:sz w:val="20"/>
        </w:rPr>
        <w:t>ii)</w:t>
      </w:r>
      <w:r>
        <w:rPr>
          <w:sz w:val="20"/>
        </w:rPr>
        <w:tab/>
      </w:r>
      <w:r w:rsidRPr="000615AB">
        <w:rPr>
          <w:sz w:val="20"/>
          <w:u w:val="single"/>
        </w:rPr>
        <w:t>Examen preliminar internacional</w:t>
      </w:r>
      <w:r w:rsidRPr="000615AB">
        <w:rPr>
          <w:sz w:val="20"/>
        </w:rPr>
        <w:t>:  los solicitantes que recurran al examen preliminar internacional en virtud del Capítulo II del PCT deberán pagar una tasa adicional (tasa de tramitación).</w:t>
      </w:r>
    </w:p>
    <w:p w:rsidR="00383888" w:rsidRPr="000615AB" w:rsidRDefault="00383888" w:rsidP="00383888">
      <w:pPr>
        <w:pStyle w:val="BodyText"/>
        <w:tabs>
          <w:tab w:val="left" w:pos="1134"/>
        </w:tabs>
        <w:spacing w:after="0"/>
        <w:jc w:val="both"/>
        <w:rPr>
          <w:sz w:val="20"/>
        </w:rPr>
      </w:pPr>
    </w:p>
    <w:p w:rsidR="00383888" w:rsidRPr="000615AB" w:rsidRDefault="00383888" w:rsidP="00383888">
      <w:pPr>
        <w:pStyle w:val="BodyText"/>
        <w:widowControl w:val="0"/>
        <w:tabs>
          <w:tab w:val="left" w:pos="567"/>
        </w:tabs>
        <w:spacing w:after="0"/>
        <w:ind w:left="567"/>
        <w:jc w:val="both"/>
        <w:rPr>
          <w:sz w:val="20"/>
        </w:rPr>
      </w:pPr>
      <w:r w:rsidRPr="000615AB">
        <w:rPr>
          <w:sz w:val="20"/>
        </w:rPr>
        <w:t>iii)</w:t>
      </w:r>
      <w:r>
        <w:rPr>
          <w:sz w:val="20"/>
        </w:rPr>
        <w:tab/>
      </w:r>
      <w:r w:rsidRPr="000615AB">
        <w:rPr>
          <w:sz w:val="20"/>
          <w:u w:val="single"/>
        </w:rPr>
        <w:t>Presentación electrónica</w:t>
      </w:r>
      <w:r w:rsidRPr="000615AB">
        <w:rPr>
          <w:sz w:val="20"/>
        </w:rPr>
        <w:t>:  cuando los solicitantes utilicen este medio de presentación (en lugar de la presentación en papel) podrán beneficiarse de un descuento.</w:t>
      </w:r>
    </w:p>
    <w:p w:rsidR="00383888" w:rsidRPr="000615AB" w:rsidRDefault="00383888" w:rsidP="00383888">
      <w:pPr>
        <w:pStyle w:val="BodyText"/>
        <w:spacing w:after="0"/>
        <w:jc w:val="both"/>
        <w:rPr>
          <w:sz w:val="20"/>
        </w:rPr>
      </w:pPr>
    </w:p>
    <w:p w:rsidR="00383888" w:rsidRPr="000615AB" w:rsidRDefault="00383888" w:rsidP="00383888">
      <w:pPr>
        <w:pStyle w:val="BodyText"/>
        <w:tabs>
          <w:tab w:val="left" w:pos="0"/>
        </w:tabs>
        <w:spacing w:after="0"/>
        <w:ind w:left="567" w:hanging="567"/>
        <w:jc w:val="both"/>
        <w:rPr>
          <w:sz w:val="20"/>
        </w:rPr>
      </w:pPr>
      <w:r w:rsidRPr="000615AB">
        <w:rPr>
          <w:sz w:val="20"/>
        </w:rPr>
        <w:tab/>
        <w:t>iv)</w:t>
      </w:r>
      <w:r>
        <w:rPr>
          <w:sz w:val="20"/>
        </w:rPr>
        <w:tab/>
      </w:r>
      <w:r w:rsidRPr="000615AB">
        <w:rPr>
          <w:sz w:val="20"/>
          <w:u w:val="single"/>
        </w:rPr>
        <w:t>La Oficina Internacional como Oficina receptora</w:t>
      </w:r>
      <w:r w:rsidRPr="000615AB">
        <w:rPr>
          <w:sz w:val="20"/>
        </w:rPr>
        <w:t>:  los solicitantes que decidan presentar su solicitud a la Oficina Internacional en calidad de Oficina receptora habrán de pagar una tasa especial (tasa de transmisión).</w:t>
      </w:r>
    </w:p>
    <w:p w:rsidR="00383888" w:rsidRPr="000615AB" w:rsidRDefault="00383888" w:rsidP="00383888">
      <w:pPr>
        <w:pStyle w:val="BodyText"/>
        <w:spacing w:after="0"/>
        <w:jc w:val="both"/>
        <w:rPr>
          <w:sz w:val="20"/>
        </w:rPr>
      </w:pPr>
    </w:p>
    <w:p w:rsidR="00383888" w:rsidRPr="000615AB" w:rsidRDefault="00383888" w:rsidP="00383888">
      <w:pPr>
        <w:numPr>
          <w:ilvl w:val="0"/>
          <w:numId w:val="18"/>
        </w:numPr>
        <w:jc w:val="both"/>
        <w:rPr>
          <w:sz w:val="20"/>
        </w:rPr>
      </w:pPr>
      <w:r w:rsidRPr="000615AB">
        <w:rPr>
          <w:sz w:val="20"/>
        </w:rPr>
        <w:t>En los siguientes párrafos se analizan detenidamente las previsiones actuales respecto de:  la demanda;  las solicitudes de examen preliminar internacional previstas en virtud del Capítulo II;  el volumen previsto de solicitudes presentadas electrónicamente, y, por último, las previsiones relativas a la presentación de solicitudes en la Oficina Internacional en calidad de Oficina receptora</w:t>
      </w:r>
      <w:r w:rsidRPr="000615AB">
        <w:rPr>
          <w:rStyle w:val="FootnoteReference"/>
          <w:sz w:val="20"/>
        </w:rPr>
        <w:footnoteReference w:id="8"/>
      </w:r>
      <w:r w:rsidRPr="000615AB">
        <w:rPr>
          <w:sz w:val="20"/>
        </w:rPr>
        <w:t>.</w:t>
      </w:r>
    </w:p>
    <w:p w:rsidR="00383888" w:rsidRPr="000615AB" w:rsidRDefault="00383888" w:rsidP="00383888">
      <w:pPr>
        <w:widowControl w:val="0"/>
        <w:jc w:val="both"/>
        <w:rPr>
          <w:sz w:val="20"/>
        </w:rPr>
      </w:pPr>
    </w:p>
    <w:p w:rsidR="00383888" w:rsidRPr="000615AB" w:rsidRDefault="00383888" w:rsidP="00383888">
      <w:pPr>
        <w:widowControl w:val="0"/>
        <w:rPr>
          <w:sz w:val="20"/>
        </w:rPr>
      </w:pPr>
    </w:p>
    <w:p w:rsidR="00383888" w:rsidRPr="000615AB" w:rsidRDefault="00383888" w:rsidP="00383888">
      <w:pPr>
        <w:widowControl w:val="0"/>
        <w:rPr>
          <w:i/>
          <w:sz w:val="20"/>
        </w:rPr>
      </w:pPr>
      <w:r w:rsidRPr="000615AB">
        <w:rPr>
          <w:i/>
          <w:sz w:val="20"/>
        </w:rPr>
        <w:t>Previsión de solicitudes PCT (demanda)</w:t>
      </w:r>
    </w:p>
    <w:p w:rsidR="00383888" w:rsidRPr="000615AB" w:rsidRDefault="00383888" w:rsidP="00383888">
      <w:pPr>
        <w:widowControl w:val="0"/>
        <w:rPr>
          <w:sz w:val="20"/>
        </w:rPr>
      </w:pPr>
    </w:p>
    <w:p w:rsidR="00383888" w:rsidRPr="000615AB" w:rsidRDefault="00383888" w:rsidP="00383888">
      <w:pPr>
        <w:numPr>
          <w:ilvl w:val="0"/>
          <w:numId w:val="18"/>
        </w:numPr>
        <w:jc w:val="both"/>
        <w:rPr>
          <w:sz w:val="20"/>
        </w:rPr>
      </w:pPr>
      <w:r w:rsidRPr="000615AB">
        <w:rPr>
          <w:sz w:val="20"/>
        </w:rPr>
        <w:t xml:space="preserve">En 2009 se produjo un descenso anual de cerca del 5% en el número de solicitudes PCT, tras el cual se registró un aumento del 5,3% en 2010, del 11% en 2011 y del 6,3% en 2012.  El gráfico 1 muestra la previsión del número de solicitudes PCT correspondientes al período de 2011 a 2015 (a partir de datos de finales de enero de 2013). </w:t>
      </w:r>
    </w:p>
    <w:p w:rsidR="00383888" w:rsidRPr="000615AB" w:rsidRDefault="00383888" w:rsidP="00383888">
      <w:pPr>
        <w:jc w:val="both"/>
        <w:rPr>
          <w:sz w:val="20"/>
        </w:rPr>
      </w:pPr>
    </w:p>
    <w:p w:rsidR="00383888" w:rsidRPr="000615AB" w:rsidRDefault="00383888" w:rsidP="00383888">
      <w:pPr>
        <w:jc w:val="both"/>
        <w:rPr>
          <w:sz w:val="20"/>
        </w:rPr>
      </w:pPr>
    </w:p>
    <w:p w:rsidR="00383888" w:rsidRPr="000615AB" w:rsidRDefault="00383888" w:rsidP="00383888">
      <w:pPr>
        <w:keepNext/>
        <w:keepLines/>
        <w:jc w:val="center"/>
        <w:rPr>
          <w:sz w:val="18"/>
          <w:szCs w:val="18"/>
        </w:rPr>
      </w:pPr>
      <w:r w:rsidRPr="000615AB">
        <w:rPr>
          <w:sz w:val="18"/>
          <w:szCs w:val="18"/>
        </w:rPr>
        <w:lastRenderedPageBreak/>
        <w:t>Gráfico 1.  Solicitudes PCT de 2010 a 2015</w:t>
      </w:r>
    </w:p>
    <w:p w:rsidR="00383888" w:rsidRPr="000615AB" w:rsidRDefault="00383888" w:rsidP="00383888">
      <w:pPr>
        <w:keepNext/>
        <w:keepLines/>
        <w:rPr>
          <w:sz w:val="20"/>
        </w:rPr>
      </w:pPr>
    </w:p>
    <w:p w:rsidR="00383888" w:rsidRPr="000615AB" w:rsidRDefault="00C40A11" w:rsidP="00383888">
      <w:pPr>
        <w:keepNext/>
        <w:keepLines/>
        <w:jc w:val="center"/>
        <w:rPr>
          <w:sz w:val="20"/>
        </w:rPr>
      </w:pPr>
      <w:r>
        <w:rPr>
          <w:noProof/>
          <w:lang w:val="en-US" w:eastAsia="en-US"/>
        </w:rPr>
        <w:drawing>
          <wp:inline distT="0" distB="0" distL="0" distR="0" wp14:anchorId="6A20DD98" wp14:editId="09E1F454">
            <wp:extent cx="5001895" cy="2825115"/>
            <wp:effectExtent l="0" t="0" r="8255"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5001895" cy="2825115"/>
                    </a:xfrm>
                    <a:prstGeom prst="rect">
                      <a:avLst/>
                    </a:prstGeom>
                    <a:noFill/>
                    <a:ln>
                      <a:noFill/>
                    </a:ln>
                  </pic:spPr>
                </pic:pic>
              </a:graphicData>
            </a:graphic>
          </wp:inline>
        </w:drawing>
      </w:r>
    </w:p>
    <w:p w:rsidR="00383888" w:rsidRPr="000615AB" w:rsidRDefault="00383888" w:rsidP="00383888">
      <w:pPr>
        <w:keepNext/>
        <w:keepLines/>
        <w:jc w:val="center"/>
        <w:rPr>
          <w:sz w:val="20"/>
        </w:rPr>
      </w:pPr>
    </w:p>
    <w:p w:rsidR="00383888" w:rsidRPr="000615AB" w:rsidRDefault="00C40A11" w:rsidP="00383888">
      <w:pPr>
        <w:keepNext/>
        <w:keepLines/>
        <w:jc w:val="center"/>
        <w:rPr>
          <w:sz w:val="20"/>
        </w:rPr>
      </w:pPr>
      <w:r>
        <w:rPr>
          <w:noProof/>
          <w:lang w:val="en-US" w:eastAsia="en-US"/>
        </w:rPr>
        <w:drawing>
          <wp:inline distT="0" distB="0" distL="0" distR="0" wp14:anchorId="3C66E167" wp14:editId="51E210AC">
            <wp:extent cx="5581650" cy="682625"/>
            <wp:effectExtent l="0" t="0" r="0" b="3175"/>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5581650" cy="682625"/>
                    </a:xfrm>
                    <a:prstGeom prst="rect">
                      <a:avLst/>
                    </a:prstGeom>
                    <a:noFill/>
                    <a:ln>
                      <a:noFill/>
                    </a:ln>
                  </pic:spPr>
                </pic:pic>
              </a:graphicData>
            </a:graphic>
          </wp:inline>
        </w:drawing>
      </w:r>
    </w:p>
    <w:p w:rsidR="00383888" w:rsidRPr="000615AB" w:rsidRDefault="00383888" w:rsidP="00383888">
      <w:pPr>
        <w:jc w:val="both"/>
        <w:rPr>
          <w:sz w:val="20"/>
        </w:rPr>
      </w:pPr>
    </w:p>
    <w:p w:rsidR="00383888" w:rsidRPr="000615AB" w:rsidRDefault="00383888" w:rsidP="00383888">
      <w:pPr>
        <w:jc w:val="both"/>
        <w:rPr>
          <w:sz w:val="20"/>
        </w:rPr>
      </w:pPr>
    </w:p>
    <w:p w:rsidR="00383888" w:rsidRPr="000615AB" w:rsidRDefault="00383888" w:rsidP="00383888">
      <w:pPr>
        <w:numPr>
          <w:ilvl w:val="0"/>
          <w:numId w:val="18"/>
        </w:numPr>
        <w:jc w:val="both"/>
        <w:rPr>
          <w:sz w:val="20"/>
        </w:rPr>
      </w:pPr>
      <w:r w:rsidRPr="000615AB">
        <w:rPr>
          <w:sz w:val="20"/>
        </w:rPr>
        <w:t>El gráfico 2 muestra la previsión del número de solicitudes presentadas por país de origen.</w:t>
      </w:r>
    </w:p>
    <w:p w:rsidR="00383888" w:rsidRPr="000615AB" w:rsidRDefault="00383888" w:rsidP="00383888">
      <w:pPr>
        <w:rPr>
          <w:sz w:val="20"/>
        </w:rPr>
      </w:pPr>
    </w:p>
    <w:p w:rsidR="00383888" w:rsidRPr="000615AB" w:rsidRDefault="00383888" w:rsidP="00383888">
      <w:pPr>
        <w:widowControl w:val="0"/>
        <w:jc w:val="center"/>
        <w:rPr>
          <w:sz w:val="20"/>
        </w:rPr>
      </w:pPr>
      <w:r w:rsidRPr="000615AB">
        <w:rPr>
          <w:sz w:val="18"/>
          <w:szCs w:val="18"/>
        </w:rPr>
        <w:t>Gráfico 2.  Solicitudes PCT presentadas por una muestra representativa de países entre 2010 y 2015</w:t>
      </w:r>
    </w:p>
    <w:p w:rsidR="00383888" w:rsidRPr="000615AB" w:rsidRDefault="00383888" w:rsidP="00383888">
      <w:pPr>
        <w:rPr>
          <w:sz w:val="20"/>
        </w:rPr>
      </w:pPr>
    </w:p>
    <w:p w:rsidR="00383888" w:rsidRPr="000615AB" w:rsidRDefault="00C40A11" w:rsidP="00383888">
      <w:pPr>
        <w:jc w:val="center"/>
        <w:rPr>
          <w:sz w:val="20"/>
        </w:rPr>
      </w:pPr>
      <w:r>
        <w:rPr>
          <w:noProof/>
          <w:lang w:val="en-US" w:eastAsia="en-US"/>
        </w:rPr>
        <w:drawing>
          <wp:inline distT="0" distB="0" distL="0" distR="0" wp14:anchorId="68A671AC" wp14:editId="5463AF7F">
            <wp:extent cx="3589655" cy="4121785"/>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3589655" cy="4121785"/>
                    </a:xfrm>
                    <a:prstGeom prst="rect">
                      <a:avLst/>
                    </a:prstGeom>
                    <a:noFill/>
                    <a:ln>
                      <a:noFill/>
                    </a:ln>
                  </pic:spPr>
                </pic:pic>
              </a:graphicData>
            </a:graphic>
          </wp:inline>
        </w:drawing>
      </w:r>
    </w:p>
    <w:p w:rsidR="00383888" w:rsidRPr="000615AB" w:rsidRDefault="00383888" w:rsidP="00383888">
      <w:pPr>
        <w:numPr>
          <w:ilvl w:val="0"/>
          <w:numId w:val="18"/>
        </w:numPr>
        <w:tabs>
          <w:tab w:val="left" w:pos="540"/>
        </w:tabs>
        <w:jc w:val="both"/>
        <w:rPr>
          <w:sz w:val="20"/>
        </w:rPr>
      </w:pPr>
      <w:r w:rsidRPr="000615AB">
        <w:rPr>
          <w:sz w:val="20"/>
        </w:rPr>
        <w:lastRenderedPageBreak/>
        <w:t>Es probable que el número de solicitudes internacionales se ubique dentro de esos límites, que están asociados a un valor de probabilidad. El cuadro que figura a continuación indica la distribución probabilística</w:t>
      </w:r>
      <w:r w:rsidRPr="000615AB">
        <w:rPr>
          <w:b/>
          <w:sz w:val="20"/>
        </w:rPr>
        <w:t xml:space="preserve"> </w:t>
      </w:r>
      <w:r w:rsidRPr="000615AB">
        <w:rPr>
          <w:sz w:val="20"/>
        </w:rPr>
        <w:t>del número de solicitudes presentadas.</w:t>
      </w:r>
    </w:p>
    <w:p w:rsidR="00383888" w:rsidRPr="000615AB" w:rsidRDefault="00383888" w:rsidP="00383888">
      <w:pPr>
        <w:rPr>
          <w:sz w:val="20"/>
        </w:rPr>
      </w:pPr>
    </w:p>
    <w:p w:rsidR="00383888" w:rsidRPr="000615AB" w:rsidRDefault="00383888" w:rsidP="00383888">
      <w:pPr>
        <w:jc w:val="center"/>
        <w:rPr>
          <w:sz w:val="18"/>
          <w:szCs w:val="18"/>
        </w:rPr>
      </w:pPr>
      <w:r w:rsidRPr="000615AB">
        <w:rPr>
          <w:sz w:val="18"/>
          <w:szCs w:val="18"/>
        </w:rPr>
        <w:t>Distribución probabilística de la previsión de solicitudes</w:t>
      </w:r>
    </w:p>
    <w:p w:rsidR="00383888" w:rsidRPr="000615AB" w:rsidRDefault="00C40A11" w:rsidP="00383888">
      <w:pPr>
        <w:jc w:val="center"/>
        <w:rPr>
          <w:sz w:val="20"/>
        </w:rPr>
      </w:pPr>
      <w:r>
        <w:rPr>
          <w:noProof/>
          <w:lang w:val="en-US" w:eastAsia="en-US"/>
        </w:rPr>
        <w:drawing>
          <wp:inline distT="0" distB="0" distL="0" distR="0" wp14:anchorId="0F507714" wp14:editId="1CF4E8E0">
            <wp:extent cx="5200015" cy="3016250"/>
            <wp:effectExtent l="0" t="0" r="635"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5200015" cy="3016250"/>
                    </a:xfrm>
                    <a:prstGeom prst="rect">
                      <a:avLst/>
                    </a:prstGeom>
                    <a:noFill/>
                    <a:ln>
                      <a:noFill/>
                    </a:ln>
                  </pic:spPr>
                </pic:pic>
              </a:graphicData>
            </a:graphic>
          </wp:inline>
        </w:drawing>
      </w:r>
    </w:p>
    <w:p w:rsidR="00383888" w:rsidRDefault="00383888" w:rsidP="00383888">
      <w:pPr>
        <w:jc w:val="center"/>
        <w:rPr>
          <w:sz w:val="18"/>
          <w:szCs w:val="18"/>
        </w:rPr>
      </w:pPr>
    </w:p>
    <w:p w:rsidR="00383888" w:rsidRDefault="00383888" w:rsidP="00383888">
      <w:pPr>
        <w:jc w:val="center"/>
        <w:rPr>
          <w:sz w:val="18"/>
          <w:szCs w:val="18"/>
        </w:rPr>
      </w:pPr>
      <w:r w:rsidRPr="000615AB">
        <w:rPr>
          <w:sz w:val="18"/>
          <w:szCs w:val="18"/>
        </w:rPr>
        <w:t>Proyecciones correspondientes a las solicitudes PCT</w:t>
      </w:r>
    </w:p>
    <w:p w:rsidR="00383888" w:rsidRPr="000615AB" w:rsidRDefault="00383888" w:rsidP="00383888">
      <w:pPr>
        <w:jc w:val="center"/>
        <w:rPr>
          <w:sz w:val="18"/>
          <w:szCs w:val="18"/>
        </w:rPr>
      </w:pPr>
    </w:p>
    <w:p w:rsidR="00383888" w:rsidRPr="000615AB" w:rsidRDefault="00C40A11" w:rsidP="00383888">
      <w:pPr>
        <w:jc w:val="center"/>
        <w:rPr>
          <w:sz w:val="20"/>
        </w:rPr>
      </w:pPr>
      <w:r>
        <w:rPr>
          <w:noProof/>
          <w:lang w:val="en-US" w:eastAsia="en-US"/>
        </w:rPr>
        <w:drawing>
          <wp:inline distT="0" distB="0" distL="0" distR="0" wp14:anchorId="7A968C19" wp14:editId="7C899A28">
            <wp:extent cx="3159760" cy="3077845"/>
            <wp:effectExtent l="0" t="0" r="2540" b="8255"/>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3159760" cy="3077845"/>
                    </a:xfrm>
                    <a:prstGeom prst="rect">
                      <a:avLst/>
                    </a:prstGeom>
                    <a:noFill/>
                    <a:ln>
                      <a:noFill/>
                    </a:ln>
                  </pic:spPr>
                </pic:pic>
              </a:graphicData>
            </a:graphic>
          </wp:inline>
        </w:drawing>
      </w:r>
    </w:p>
    <w:p w:rsidR="00383888" w:rsidRPr="000615AB" w:rsidRDefault="00383888" w:rsidP="00383888">
      <w:pPr>
        <w:rPr>
          <w:sz w:val="20"/>
          <w:highlight w:val="yellow"/>
        </w:rPr>
      </w:pPr>
    </w:p>
    <w:p w:rsidR="00383888" w:rsidRPr="000615AB" w:rsidRDefault="00383888" w:rsidP="00383888">
      <w:pPr>
        <w:rPr>
          <w:sz w:val="20"/>
        </w:rPr>
      </w:pPr>
    </w:p>
    <w:p w:rsidR="00383888" w:rsidRPr="000615AB" w:rsidRDefault="00383888" w:rsidP="00383888">
      <w:pPr>
        <w:numPr>
          <w:ilvl w:val="0"/>
          <w:numId w:val="18"/>
        </w:numPr>
        <w:tabs>
          <w:tab w:val="left" w:pos="540"/>
        </w:tabs>
        <w:jc w:val="both"/>
        <w:rPr>
          <w:sz w:val="20"/>
        </w:rPr>
      </w:pPr>
      <w:r w:rsidRPr="000615AB">
        <w:rPr>
          <w:sz w:val="20"/>
        </w:rPr>
        <w:t xml:space="preserve">En el gráfico 3 se muestra la evolución y las previsiones de las solicitudes de examen preliminar internacional presentadas en el marco del Capítulo II del PCT para el </w:t>
      </w:r>
      <w:r>
        <w:rPr>
          <w:sz w:val="20"/>
        </w:rPr>
        <w:t>período que abarca hasta el año </w:t>
      </w:r>
      <w:r w:rsidRPr="000615AB">
        <w:rPr>
          <w:sz w:val="20"/>
        </w:rPr>
        <w:t>2015.  Como se indica en el gráfico, está previsto que las solicitudes de examen preliminar internacional en el marco del Capítulo II se mantengan estables en torno a las 13.000 por año durante el período comprendido entre 2013 y 2015.  Cabe recordar que la tendencia a la baja en el uso del procedimiento previsto en el Capítulo II se debió a los cambios efectuados en el Reglamento del PCT que entraron en vigor en 2002 y en 2004.  Dado que los solicitantes PCT manifestaron menor interés en el examen preliminar, es probable que los resultados definitivos se orienten hacia la corrección a la baja.</w:t>
      </w:r>
    </w:p>
    <w:p w:rsidR="00383888" w:rsidRPr="000615AB" w:rsidRDefault="00383888" w:rsidP="00383888">
      <w:pPr>
        <w:widowControl w:val="0"/>
        <w:jc w:val="both"/>
        <w:rPr>
          <w:sz w:val="20"/>
        </w:rPr>
      </w:pPr>
    </w:p>
    <w:p w:rsidR="00383888" w:rsidRPr="000615AB" w:rsidRDefault="00383888" w:rsidP="00383888">
      <w:pPr>
        <w:keepNext/>
        <w:widowControl w:val="0"/>
        <w:jc w:val="center"/>
        <w:rPr>
          <w:sz w:val="18"/>
          <w:szCs w:val="18"/>
        </w:rPr>
      </w:pPr>
      <w:r w:rsidRPr="000615AB">
        <w:rPr>
          <w:sz w:val="18"/>
          <w:szCs w:val="18"/>
        </w:rPr>
        <w:lastRenderedPageBreak/>
        <w:t>Gráfico 3.  Solicitudes presentadas conforme al Capítulo II entre 2007 y 2015</w:t>
      </w:r>
    </w:p>
    <w:p w:rsidR="00383888" w:rsidRPr="000615AB" w:rsidRDefault="00383888" w:rsidP="00383888">
      <w:pPr>
        <w:keepNext/>
        <w:keepLines/>
        <w:rPr>
          <w:sz w:val="20"/>
        </w:rPr>
      </w:pPr>
    </w:p>
    <w:p w:rsidR="00383888" w:rsidRPr="000615AB" w:rsidRDefault="00C40A11" w:rsidP="00383888">
      <w:pPr>
        <w:keepNext/>
        <w:keepLines/>
        <w:jc w:val="center"/>
        <w:rPr>
          <w:sz w:val="20"/>
        </w:rPr>
      </w:pPr>
      <w:r>
        <w:rPr>
          <w:noProof/>
          <w:lang w:val="en-US" w:eastAsia="en-US"/>
        </w:rPr>
        <w:drawing>
          <wp:inline distT="0" distB="0" distL="0" distR="0" wp14:anchorId="45EBF322" wp14:editId="07DB29E9">
            <wp:extent cx="4954270" cy="2879725"/>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4954270" cy="2879725"/>
                    </a:xfrm>
                    <a:prstGeom prst="rect">
                      <a:avLst/>
                    </a:prstGeom>
                    <a:noFill/>
                    <a:ln>
                      <a:noFill/>
                    </a:ln>
                  </pic:spPr>
                </pic:pic>
              </a:graphicData>
            </a:graphic>
          </wp:inline>
        </w:drawing>
      </w:r>
    </w:p>
    <w:p w:rsidR="00383888" w:rsidRPr="000615AB" w:rsidRDefault="00383888" w:rsidP="00383888">
      <w:pPr>
        <w:keepNext/>
        <w:keepLines/>
        <w:jc w:val="center"/>
        <w:rPr>
          <w:sz w:val="20"/>
        </w:rPr>
      </w:pPr>
    </w:p>
    <w:p w:rsidR="00383888" w:rsidRPr="000615AB" w:rsidRDefault="00C40A11" w:rsidP="00383888">
      <w:pPr>
        <w:keepNext/>
        <w:keepLines/>
        <w:jc w:val="center"/>
        <w:rPr>
          <w:sz w:val="20"/>
        </w:rPr>
      </w:pPr>
      <w:r>
        <w:rPr>
          <w:noProof/>
          <w:lang w:val="en-US" w:eastAsia="en-US"/>
        </w:rPr>
        <w:drawing>
          <wp:inline distT="0" distB="0" distL="0" distR="0" wp14:anchorId="7DE378DA" wp14:editId="1AA03FA7">
            <wp:extent cx="4879340" cy="777875"/>
            <wp:effectExtent l="0" t="0" r="0" b="3175"/>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4879340" cy="777875"/>
                    </a:xfrm>
                    <a:prstGeom prst="rect">
                      <a:avLst/>
                    </a:prstGeom>
                    <a:noFill/>
                    <a:ln>
                      <a:noFill/>
                    </a:ln>
                  </pic:spPr>
                </pic:pic>
              </a:graphicData>
            </a:graphic>
          </wp:inline>
        </w:drawing>
      </w:r>
    </w:p>
    <w:p w:rsidR="00383888" w:rsidRPr="000615AB" w:rsidRDefault="00383888" w:rsidP="00383888">
      <w:pPr>
        <w:widowControl w:val="0"/>
        <w:jc w:val="both"/>
        <w:rPr>
          <w:sz w:val="20"/>
        </w:rPr>
      </w:pPr>
    </w:p>
    <w:p w:rsidR="00383888" w:rsidRPr="000615AB" w:rsidRDefault="00383888" w:rsidP="00383888">
      <w:pPr>
        <w:rPr>
          <w:sz w:val="20"/>
        </w:rPr>
      </w:pPr>
    </w:p>
    <w:p w:rsidR="00383888" w:rsidRPr="000615AB" w:rsidRDefault="00383888" w:rsidP="00383888">
      <w:pPr>
        <w:widowControl w:val="0"/>
        <w:rPr>
          <w:i/>
          <w:sz w:val="20"/>
        </w:rPr>
      </w:pPr>
      <w:r w:rsidRPr="000615AB">
        <w:rPr>
          <w:i/>
          <w:sz w:val="20"/>
        </w:rPr>
        <w:t>Utilización de métodos de presentación electrónica</w:t>
      </w:r>
    </w:p>
    <w:p w:rsidR="00383888" w:rsidRPr="000615AB" w:rsidRDefault="00383888" w:rsidP="00383888">
      <w:pPr>
        <w:widowControl w:val="0"/>
        <w:rPr>
          <w:sz w:val="20"/>
        </w:rPr>
      </w:pPr>
    </w:p>
    <w:p w:rsidR="00383888" w:rsidRPr="000615AB" w:rsidRDefault="00383888" w:rsidP="00383888">
      <w:pPr>
        <w:numPr>
          <w:ilvl w:val="0"/>
          <w:numId w:val="18"/>
        </w:numPr>
        <w:tabs>
          <w:tab w:val="left" w:pos="540"/>
        </w:tabs>
        <w:jc w:val="both"/>
        <w:rPr>
          <w:sz w:val="20"/>
        </w:rPr>
      </w:pPr>
      <w:r w:rsidRPr="000615AB">
        <w:rPr>
          <w:sz w:val="20"/>
        </w:rPr>
        <w:t xml:space="preserve">En el gráfico 4 se ilustra la utilización prevista de los métodos de presentación electrónica (EASY, PDF o XML) en forma de porcentaje del número total de solicitudes presentadas.  Como se indica en el gráfico, el recurso a la presentación electrónica sigue aumentado de manera constante.  En el año 2012, la presentación electrónica se aproximó al 90% del número total de solicitudes presentadas. </w:t>
      </w:r>
    </w:p>
    <w:p w:rsidR="00383888" w:rsidRPr="000615AB" w:rsidRDefault="00383888" w:rsidP="00383888">
      <w:pPr>
        <w:widowControl w:val="0"/>
        <w:jc w:val="both"/>
        <w:rPr>
          <w:sz w:val="20"/>
        </w:rPr>
      </w:pPr>
    </w:p>
    <w:p w:rsidR="00383888" w:rsidRPr="000615AB" w:rsidRDefault="00383888" w:rsidP="00383888">
      <w:pPr>
        <w:widowControl w:val="0"/>
        <w:jc w:val="center"/>
        <w:rPr>
          <w:sz w:val="18"/>
          <w:szCs w:val="18"/>
        </w:rPr>
      </w:pPr>
      <w:r w:rsidRPr="000615AB">
        <w:rPr>
          <w:sz w:val="18"/>
          <w:szCs w:val="18"/>
        </w:rPr>
        <w:t>Gráfico 4.  Utilización de métodos de presentación electrónica (EASY, PDF o XML)</w:t>
      </w:r>
    </w:p>
    <w:p w:rsidR="00383888" w:rsidRPr="000615AB" w:rsidRDefault="00383888" w:rsidP="00383888">
      <w:pPr>
        <w:widowControl w:val="0"/>
        <w:jc w:val="center"/>
        <w:rPr>
          <w:sz w:val="18"/>
          <w:szCs w:val="18"/>
        </w:rPr>
      </w:pPr>
      <w:r w:rsidRPr="000615AB">
        <w:rPr>
          <w:sz w:val="18"/>
          <w:szCs w:val="18"/>
        </w:rPr>
        <w:t>como porcentaje del total de las solicitudes presentadas entre 2010 y 2015</w:t>
      </w:r>
    </w:p>
    <w:p w:rsidR="00383888" w:rsidRPr="000615AB" w:rsidRDefault="00383888" w:rsidP="00383888">
      <w:pPr>
        <w:rPr>
          <w:sz w:val="20"/>
        </w:rPr>
      </w:pPr>
    </w:p>
    <w:p w:rsidR="00383888" w:rsidRPr="000615AB" w:rsidRDefault="00C40A11" w:rsidP="00383888">
      <w:pPr>
        <w:jc w:val="center"/>
        <w:rPr>
          <w:sz w:val="20"/>
        </w:rPr>
      </w:pPr>
      <w:r>
        <w:rPr>
          <w:noProof/>
          <w:lang w:val="en-US" w:eastAsia="en-US"/>
        </w:rPr>
        <w:drawing>
          <wp:inline distT="0" distB="0" distL="0" distR="0" wp14:anchorId="10B6B845" wp14:editId="4CC7F74C">
            <wp:extent cx="5281930" cy="3009265"/>
            <wp:effectExtent l="0" t="0" r="0" b="635"/>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5281930" cy="3009265"/>
                    </a:xfrm>
                    <a:prstGeom prst="rect">
                      <a:avLst/>
                    </a:prstGeom>
                    <a:noFill/>
                    <a:ln>
                      <a:noFill/>
                    </a:ln>
                  </pic:spPr>
                </pic:pic>
              </a:graphicData>
            </a:graphic>
          </wp:inline>
        </w:drawing>
      </w:r>
    </w:p>
    <w:p w:rsidR="00383888" w:rsidRPr="000615AB" w:rsidRDefault="00383888" w:rsidP="00383888">
      <w:pPr>
        <w:rPr>
          <w:sz w:val="20"/>
        </w:rPr>
      </w:pPr>
    </w:p>
    <w:p w:rsidR="00383888" w:rsidRPr="000615AB" w:rsidRDefault="00C40A11" w:rsidP="00383888">
      <w:pPr>
        <w:jc w:val="center"/>
        <w:rPr>
          <w:sz w:val="20"/>
        </w:rPr>
      </w:pPr>
      <w:r>
        <w:rPr>
          <w:noProof/>
          <w:lang w:val="en-US" w:eastAsia="en-US"/>
        </w:rPr>
        <w:lastRenderedPageBreak/>
        <w:drawing>
          <wp:inline distT="0" distB="0" distL="0" distR="0" wp14:anchorId="2E66FC59" wp14:editId="3FEB9EB9">
            <wp:extent cx="5342890" cy="655320"/>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5342890" cy="655320"/>
                    </a:xfrm>
                    <a:prstGeom prst="rect">
                      <a:avLst/>
                    </a:prstGeom>
                    <a:noFill/>
                    <a:ln>
                      <a:noFill/>
                    </a:ln>
                  </pic:spPr>
                </pic:pic>
              </a:graphicData>
            </a:graphic>
          </wp:inline>
        </w:drawing>
      </w:r>
    </w:p>
    <w:p w:rsidR="00383888" w:rsidRPr="000615AB" w:rsidRDefault="00383888" w:rsidP="00383888">
      <w:pPr>
        <w:rPr>
          <w:sz w:val="20"/>
        </w:rPr>
      </w:pPr>
    </w:p>
    <w:p w:rsidR="00383888" w:rsidRPr="000615AB" w:rsidRDefault="00383888" w:rsidP="00383888">
      <w:pPr>
        <w:numPr>
          <w:ilvl w:val="0"/>
          <w:numId w:val="18"/>
        </w:numPr>
        <w:tabs>
          <w:tab w:val="left" w:pos="540"/>
        </w:tabs>
        <w:jc w:val="both"/>
        <w:rPr>
          <w:sz w:val="20"/>
        </w:rPr>
      </w:pPr>
      <w:r w:rsidRPr="000615AB">
        <w:rPr>
          <w:sz w:val="20"/>
        </w:rPr>
        <w:t>En el gráfico 5 figuran las previsiones del número de solicitudes internacionales PCT presentadas en la Oficina Internacional actuando en calidad de Oficina receptora.  Como puede observarse en el gráfico, se prevé que esa cifra aumente gradualmente en los próximos años.</w:t>
      </w:r>
    </w:p>
    <w:p w:rsidR="00383888" w:rsidRPr="000615AB" w:rsidRDefault="00383888" w:rsidP="00383888">
      <w:pPr>
        <w:widowControl w:val="0"/>
        <w:rPr>
          <w:sz w:val="20"/>
        </w:rPr>
      </w:pPr>
    </w:p>
    <w:p w:rsidR="00383888" w:rsidRPr="000615AB" w:rsidRDefault="00383888" w:rsidP="00383888">
      <w:pPr>
        <w:keepNext/>
        <w:keepLines/>
        <w:jc w:val="center"/>
        <w:rPr>
          <w:sz w:val="20"/>
        </w:rPr>
      </w:pPr>
      <w:r w:rsidRPr="000615AB">
        <w:rPr>
          <w:sz w:val="18"/>
          <w:szCs w:val="18"/>
        </w:rPr>
        <w:t>Gráfico 5.  Solicitudes internacionales PCT presentadas en la Oficina Internacional en calidad de Oficina receptora entre 2000 y 2015</w:t>
      </w:r>
    </w:p>
    <w:p w:rsidR="00383888" w:rsidRPr="000615AB" w:rsidRDefault="00383888" w:rsidP="00383888">
      <w:pPr>
        <w:keepNext/>
        <w:keepLines/>
        <w:rPr>
          <w:i/>
          <w:sz w:val="20"/>
        </w:rPr>
      </w:pPr>
    </w:p>
    <w:p w:rsidR="00383888" w:rsidRPr="000615AB" w:rsidRDefault="00C40A11" w:rsidP="00383888">
      <w:pPr>
        <w:jc w:val="center"/>
        <w:rPr>
          <w:sz w:val="20"/>
        </w:rPr>
      </w:pPr>
      <w:r>
        <w:rPr>
          <w:noProof/>
          <w:lang w:val="en-US" w:eastAsia="en-US"/>
        </w:rPr>
        <w:drawing>
          <wp:inline distT="0" distB="0" distL="0" distR="0" wp14:anchorId="4D35087B" wp14:editId="06933865">
            <wp:extent cx="5342890" cy="395605"/>
            <wp:effectExtent l="0" t="0" r="0" b="4445"/>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5342890" cy="395605"/>
                    </a:xfrm>
                    <a:prstGeom prst="rect">
                      <a:avLst/>
                    </a:prstGeom>
                    <a:noFill/>
                    <a:ln>
                      <a:noFill/>
                    </a:ln>
                  </pic:spPr>
                </pic:pic>
              </a:graphicData>
            </a:graphic>
          </wp:inline>
        </w:drawing>
      </w:r>
    </w:p>
    <w:p w:rsidR="00383888" w:rsidRPr="000615AB" w:rsidRDefault="00383888" w:rsidP="00383888">
      <w:pPr>
        <w:rPr>
          <w:sz w:val="20"/>
        </w:rPr>
      </w:pPr>
    </w:p>
    <w:p w:rsidR="00383888" w:rsidRPr="000615AB" w:rsidRDefault="00383888" w:rsidP="00383888">
      <w:pPr>
        <w:rPr>
          <w:sz w:val="20"/>
        </w:rPr>
      </w:pPr>
    </w:p>
    <w:p w:rsidR="00383888" w:rsidRPr="000615AB" w:rsidRDefault="00383888" w:rsidP="00383888">
      <w:pPr>
        <w:rPr>
          <w:i/>
          <w:sz w:val="20"/>
        </w:rPr>
      </w:pPr>
      <w:r w:rsidRPr="000615AB">
        <w:rPr>
          <w:i/>
          <w:sz w:val="20"/>
        </w:rPr>
        <w:t>Previsión de ingresos del PCT</w:t>
      </w:r>
    </w:p>
    <w:p w:rsidR="00383888" w:rsidRPr="000615AB" w:rsidRDefault="00383888" w:rsidP="00383888">
      <w:pPr>
        <w:jc w:val="both"/>
        <w:rPr>
          <w:sz w:val="20"/>
        </w:rPr>
      </w:pPr>
    </w:p>
    <w:p w:rsidR="00383888" w:rsidRPr="000615AB" w:rsidRDefault="00383888" w:rsidP="00383888">
      <w:pPr>
        <w:numPr>
          <w:ilvl w:val="0"/>
          <w:numId w:val="18"/>
        </w:numPr>
        <w:tabs>
          <w:tab w:val="left" w:pos="540"/>
        </w:tabs>
        <w:jc w:val="both"/>
        <w:rPr>
          <w:sz w:val="20"/>
        </w:rPr>
      </w:pPr>
      <w:r w:rsidRPr="000615AB">
        <w:rPr>
          <w:sz w:val="20"/>
        </w:rPr>
        <w:t>En los gráficos 6 y 7 figura el cálculo de los ingresos del PCT para el período comprendido entre 2010 y 2012 y la previsión de ingresos del PCT para el período comprendido entre 2013 y 2015, por modalidad de ingreso.  Los gráficos se basan en la previsión de solicitudes (gráfico 1), la previsión de las tasas por exceso de páginas, la previsión de solicitudes presentadas conforme al Capítulo II (gráfico 3), la previsión de solicitudes presentadas electrónicamente (gráfico 4) y la previsión de solicitudes presentadas ante la Oficina Internacional en calidad de Oficina receptora (gráfico 5).  La tabla de tasas del PCT vigente figura en el gráfico 9.</w:t>
      </w:r>
    </w:p>
    <w:p w:rsidR="00383888" w:rsidRPr="000615AB" w:rsidRDefault="00383888" w:rsidP="00383888">
      <w:pPr>
        <w:widowControl w:val="0"/>
        <w:jc w:val="both"/>
        <w:rPr>
          <w:sz w:val="20"/>
        </w:rPr>
      </w:pPr>
    </w:p>
    <w:p w:rsidR="00383888" w:rsidRPr="000615AB" w:rsidRDefault="00383888" w:rsidP="00383888">
      <w:pPr>
        <w:numPr>
          <w:ilvl w:val="0"/>
          <w:numId w:val="18"/>
        </w:numPr>
        <w:tabs>
          <w:tab w:val="left" w:pos="540"/>
        </w:tabs>
        <w:jc w:val="both"/>
        <w:rPr>
          <w:sz w:val="20"/>
        </w:rPr>
      </w:pPr>
      <w:r w:rsidRPr="000615AB">
        <w:rPr>
          <w:sz w:val="20"/>
        </w:rPr>
        <w:t xml:space="preserve">El gráfico 6 muestra la previsión hipotética de ingresos del PCT, basada en los siguientes supuestos:  1) todas las tasas se pagan en el mismo año de presentación y 2) todas las tasas se convierten a francos suizos según los tipos de cambio oficiales de la OMPI.  Los ingresos hipotéticos del PCT corresponden a los posibles ingresos generados por la presentación de solicitudes sin tener en cuenta en qué momento se efectúan los pagos ni el cambio a francos suizos. Dado que la mayoría de los solicitantes paga las tasas correspondientes más tarde o más temprano, la previsión hipotética de los ingresos refleja, así, la previsión de ingresos a largo plazo. </w:t>
      </w:r>
      <w:r>
        <w:rPr>
          <w:sz w:val="20"/>
        </w:rPr>
        <w:t xml:space="preserve"> </w:t>
      </w:r>
      <w:r w:rsidRPr="000615AB">
        <w:rPr>
          <w:sz w:val="20"/>
        </w:rPr>
        <w:t>En el cálculo se tienen en cuenta los principales elementos de la estructura de tasas del PCT:  retiro de solicitudes, descuentos en las tasas correspondientes a las solicitudes presentadas electrónicamente y descuentos en las tasas en el caso de países con bajos ingresos.</w:t>
      </w:r>
    </w:p>
    <w:p w:rsidR="00383888" w:rsidRPr="000615AB" w:rsidRDefault="00383888" w:rsidP="00383888">
      <w:pPr>
        <w:rPr>
          <w:i/>
          <w:sz w:val="20"/>
          <w:highlight w:val="yellow"/>
        </w:rPr>
      </w:pPr>
    </w:p>
    <w:p w:rsidR="00383888" w:rsidRPr="000615AB" w:rsidRDefault="00383888" w:rsidP="00383888">
      <w:pPr>
        <w:keepNext/>
        <w:keepLines/>
        <w:jc w:val="center"/>
        <w:rPr>
          <w:sz w:val="20"/>
        </w:rPr>
      </w:pPr>
      <w:r w:rsidRPr="000615AB">
        <w:rPr>
          <w:sz w:val="18"/>
          <w:szCs w:val="18"/>
        </w:rPr>
        <w:t xml:space="preserve">Gráfico 6.  </w:t>
      </w:r>
      <w:r>
        <w:rPr>
          <w:sz w:val="18"/>
          <w:szCs w:val="18"/>
        </w:rPr>
        <w:t>Pr</w:t>
      </w:r>
      <w:r w:rsidRPr="000615AB">
        <w:rPr>
          <w:sz w:val="18"/>
          <w:szCs w:val="18"/>
        </w:rPr>
        <w:t>evisión hipotética de los ingresos del PCT hasta 2015</w:t>
      </w:r>
    </w:p>
    <w:p w:rsidR="00383888" w:rsidRPr="000615AB" w:rsidRDefault="00C40A11" w:rsidP="00383888">
      <w:pPr>
        <w:jc w:val="center"/>
        <w:rPr>
          <w:sz w:val="20"/>
        </w:rPr>
      </w:pPr>
      <w:r>
        <w:rPr>
          <w:noProof/>
          <w:lang w:val="en-US" w:eastAsia="en-US"/>
        </w:rPr>
        <w:drawing>
          <wp:inline distT="0" distB="0" distL="0" distR="0" wp14:anchorId="58E728C5" wp14:editId="3714029B">
            <wp:extent cx="4797425" cy="2783840"/>
            <wp:effectExtent l="0" t="0" r="3175"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4797425" cy="2783840"/>
                    </a:xfrm>
                    <a:prstGeom prst="rect">
                      <a:avLst/>
                    </a:prstGeom>
                    <a:noFill/>
                    <a:ln>
                      <a:noFill/>
                    </a:ln>
                  </pic:spPr>
                </pic:pic>
              </a:graphicData>
            </a:graphic>
          </wp:inline>
        </w:drawing>
      </w:r>
    </w:p>
    <w:p w:rsidR="00383888" w:rsidRPr="000615AB" w:rsidRDefault="00C40A11" w:rsidP="00383888">
      <w:pPr>
        <w:jc w:val="center"/>
        <w:rPr>
          <w:sz w:val="20"/>
        </w:rPr>
      </w:pPr>
      <w:r>
        <w:rPr>
          <w:noProof/>
          <w:lang w:val="en-US" w:eastAsia="en-US"/>
        </w:rPr>
        <w:lastRenderedPageBreak/>
        <w:drawing>
          <wp:inline distT="0" distB="0" distL="0" distR="0" wp14:anchorId="15B4C383" wp14:editId="52BD2BD7">
            <wp:extent cx="5424805" cy="1446530"/>
            <wp:effectExtent l="0" t="0" r="4445" b="127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5424805" cy="1446530"/>
                    </a:xfrm>
                    <a:prstGeom prst="rect">
                      <a:avLst/>
                    </a:prstGeom>
                    <a:noFill/>
                    <a:ln>
                      <a:noFill/>
                    </a:ln>
                  </pic:spPr>
                </pic:pic>
              </a:graphicData>
            </a:graphic>
          </wp:inline>
        </w:drawing>
      </w:r>
    </w:p>
    <w:p w:rsidR="00383888" w:rsidRDefault="00383888" w:rsidP="00383888">
      <w:pPr>
        <w:rPr>
          <w:sz w:val="18"/>
          <w:szCs w:val="18"/>
        </w:rPr>
      </w:pPr>
    </w:p>
    <w:p w:rsidR="00383888" w:rsidRPr="000615AB" w:rsidRDefault="00383888" w:rsidP="00383888">
      <w:pPr>
        <w:rPr>
          <w:sz w:val="18"/>
          <w:szCs w:val="18"/>
        </w:rPr>
      </w:pPr>
    </w:p>
    <w:p w:rsidR="00383888" w:rsidRPr="000615AB" w:rsidRDefault="00383888" w:rsidP="00383888">
      <w:pPr>
        <w:rPr>
          <w:i/>
          <w:sz w:val="20"/>
        </w:rPr>
      </w:pPr>
      <w:r w:rsidRPr="000615AB">
        <w:rPr>
          <w:i/>
          <w:sz w:val="20"/>
        </w:rPr>
        <w:t>Consecuencias del retraso en los pagos en los ingresos del PCT</w:t>
      </w:r>
    </w:p>
    <w:p w:rsidR="00383888" w:rsidRPr="000615AB" w:rsidRDefault="00383888" w:rsidP="00383888">
      <w:pPr>
        <w:jc w:val="both"/>
        <w:rPr>
          <w:sz w:val="20"/>
        </w:rPr>
      </w:pPr>
    </w:p>
    <w:p w:rsidR="00383888" w:rsidRPr="000615AB" w:rsidRDefault="00383888" w:rsidP="00383888">
      <w:pPr>
        <w:numPr>
          <w:ilvl w:val="0"/>
          <w:numId w:val="18"/>
        </w:numPr>
        <w:tabs>
          <w:tab w:val="left" w:pos="540"/>
        </w:tabs>
        <w:jc w:val="both"/>
        <w:rPr>
          <w:sz w:val="20"/>
        </w:rPr>
      </w:pPr>
      <w:r w:rsidRPr="000615AB">
        <w:rPr>
          <w:sz w:val="20"/>
        </w:rPr>
        <w:t xml:space="preserve">En la previsión hipotética de los ingresos se supone que las tasas se pagan en el mismo año en que se presentan las solicitudes. </w:t>
      </w:r>
      <w:r>
        <w:rPr>
          <w:sz w:val="20"/>
        </w:rPr>
        <w:t xml:space="preserve"> </w:t>
      </w:r>
      <w:r w:rsidRPr="000615AB">
        <w:rPr>
          <w:sz w:val="20"/>
        </w:rPr>
        <w:t>Sin embargo, la OMPI percibe pagos con un retraso de entre uno y seis meses.  Algunos solicitantes –especialmente los que presentan las solicitudes a principios del año- pagan las tasas el mismo año de presentación (en torno a un 85% de solicitantes), mientras que otros las pagan al año siguiente (en torno a un 15% de solicitantes).  Así, los ingresos reales del PCT de un determinado año estarán constituidos por una porción de los pagos correspondientes a las solicitudes del año anterior más la porción de pagos correspondientes a ese año.  En consecuencia, el monto que se percibe en un año no equivale al que generen las solicitudes presentadas en el mismo año.  Las diferencias anuales que presentan los ingresos hipotéticos y los ingresos reales no alteran el monto de los ingresos generales a largo plazo.  Toda disminución de los ingresos que se produzca debido a retrasos en los pagos se verá probablemente compensada al año siguiente.  Si se pospone una gran porción de los pagos al año siguiente, los ingresos reales del año en cuestión serán inferiores, pero al año siguiente se registrará un incremento.  En proporción inversa, si solo se retrasa una pequeña porción de los pagos al año siguiente, los ingresos del año en cuestión serán mayores, pero los del año siguiente habrán disminuido.</w:t>
      </w:r>
      <w:r w:rsidRPr="000615AB">
        <w:rPr>
          <w:bCs/>
          <w:sz w:val="20"/>
        </w:rPr>
        <w:t xml:space="preserve">  </w:t>
      </w:r>
      <w:r w:rsidRPr="000615AB">
        <w:rPr>
          <w:sz w:val="20"/>
        </w:rPr>
        <w:t>En el gráfico 7 que se expone a continuación se presentan las previsiones ajustadas de los ingresos del PCT hasta 2015, teniendo en cuenta la repercusión del retraso en los pagos de las tasas.</w:t>
      </w:r>
    </w:p>
    <w:p w:rsidR="00383888" w:rsidRPr="000615AB" w:rsidRDefault="00383888" w:rsidP="00383888">
      <w:pPr>
        <w:jc w:val="both"/>
        <w:rPr>
          <w:sz w:val="20"/>
        </w:rPr>
      </w:pPr>
    </w:p>
    <w:p w:rsidR="00383888" w:rsidRPr="000615AB" w:rsidRDefault="00383888" w:rsidP="00383888">
      <w:pPr>
        <w:widowControl w:val="0"/>
        <w:jc w:val="center"/>
        <w:rPr>
          <w:sz w:val="18"/>
          <w:szCs w:val="18"/>
        </w:rPr>
      </w:pPr>
      <w:r w:rsidRPr="000615AB">
        <w:rPr>
          <w:sz w:val="18"/>
          <w:szCs w:val="18"/>
        </w:rPr>
        <w:t xml:space="preserve">Gráfico 7. </w:t>
      </w:r>
      <w:r>
        <w:rPr>
          <w:sz w:val="18"/>
          <w:szCs w:val="18"/>
        </w:rPr>
        <w:t xml:space="preserve"> </w:t>
      </w:r>
      <w:r w:rsidRPr="000615AB">
        <w:rPr>
          <w:sz w:val="18"/>
          <w:szCs w:val="18"/>
        </w:rPr>
        <w:t>Previsión ajustada de los ingresos del PCT hasta 2015</w:t>
      </w:r>
    </w:p>
    <w:p w:rsidR="00383888" w:rsidRPr="000615AB" w:rsidRDefault="00383888" w:rsidP="00383888">
      <w:pPr>
        <w:widowControl w:val="0"/>
        <w:jc w:val="center"/>
        <w:rPr>
          <w:sz w:val="20"/>
        </w:rPr>
      </w:pPr>
    </w:p>
    <w:p w:rsidR="00383888" w:rsidRPr="000615AB" w:rsidRDefault="00C40A11" w:rsidP="00383888">
      <w:pPr>
        <w:jc w:val="center"/>
        <w:rPr>
          <w:sz w:val="20"/>
        </w:rPr>
      </w:pPr>
      <w:r>
        <w:rPr>
          <w:noProof/>
          <w:lang w:val="en-US" w:eastAsia="en-US"/>
        </w:rPr>
        <w:drawing>
          <wp:inline distT="0" distB="0" distL="0" distR="0" wp14:anchorId="3E47BA3C" wp14:editId="60C0758C">
            <wp:extent cx="4599305" cy="2675255"/>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4599305" cy="2675255"/>
                    </a:xfrm>
                    <a:prstGeom prst="rect">
                      <a:avLst/>
                    </a:prstGeom>
                    <a:noFill/>
                    <a:ln>
                      <a:noFill/>
                    </a:ln>
                  </pic:spPr>
                </pic:pic>
              </a:graphicData>
            </a:graphic>
          </wp:inline>
        </w:drawing>
      </w:r>
    </w:p>
    <w:p w:rsidR="00383888" w:rsidRPr="000615AB" w:rsidRDefault="00383888" w:rsidP="00383888">
      <w:pPr>
        <w:jc w:val="center"/>
        <w:rPr>
          <w:sz w:val="20"/>
        </w:rPr>
      </w:pPr>
    </w:p>
    <w:p w:rsidR="00383888" w:rsidRPr="000615AB" w:rsidRDefault="00C40A11" w:rsidP="00383888">
      <w:pPr>
        <w:jc w:val="center"/>
      </w:pPr>
      <w:r>
        <w:rPr>
          <w:noProof/>
          <w:lang w:val="en-US" w:eastAsia="en-US"/>
        </w:rPr>
        <w:drawing>
          <wp:inline distT="0" distB="0" distL="0" distR="0" wp14:anchorId="526A6F53" wp14:editId="583D9978">
            <wp:extent cx="4961255" cy="1221740"/>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4961255" cy="1221740"/>
                    </a:xfrm>
                    <a:prstGeom prst="rect">
                      <a:avLst/>
                    </a:prstGeom>
                    <a:noFill/>
                    <a:ln>
                      <a:noFill/>
                    </a:ln>
                  </pic:spPr>
                </pic:pic>
              </a:graphicData>
            </a:graphic>
          </wp:inline>
        </w:drawing>
      </w:r>
    </w:p>
    <w:p w:rsidR="00383888" w:rsidRPr="000615AB" w:rsidRDefault="00383888" w:rsidP="00383888">
      <w:pPr>
        <w:jc w:val="both"/>
        <w:rPr>
          <w:sz w:val="20"/>
        </w:rPr>
      </w:pPr>
    </w:p>
    <w:p w:rsidR="00383888" w:rsidRPr="008A6379" w:rsidRDefault="00383888" w:rsidP="00383888">
      <w:pPr>
        <w:jc w:val="center"/>
        <w:rPr>
          <w:sz w:val="18"/>
          <w:szCs w:val="18"/>
        </w:rPr>
      </w:pPr>
    </w:p>
    <w:p w:rsidR="00383888" w:rsidRPr="000615AB" w:rsidRDefault="00383888" w:rsidP="00383888">
      <w:pPr>
        <w:rPr>
          <w:i/>
          <w:sz w:val="20"/>
        </w:rPr>
      </w:pPr>
      <w:r w:rsidRPr="000615AB">
        <w:rPr>
          <w:i/>
          <w:sz w:val="20"/>
        </w:rPr>
        <w:t>Ajustes cambiarios</w:t>
      </w:r>
    </w:p>
    <w:p w:rsidR="00383888" w:rsidRPr="000615AB" w:rsidRDefault="00383888" w:rsidP="00383888">
      <w:pPr>
        <w:rPr>
          <w:sz w:val="20"/>
        </w:rPr>
      </w:pPr>
    </w:p>
    <w:p w:rsidR="00383888" w:rsidRPr="000615AB" w:rsidRDefault="00383888" w:rsidP="00383888">
      <w:pPr>
        <w:numPr>
          <w:ilvl w:val="0"/>
          <w:numId w:val="18"/>
        </w:numPr>
        <w:tabs>
          <w:tab w:val="left" w:pos="540"/>
        </w:tabs>
        <w:jc w:val="both"/>
        <w:rPr>
          <w:sz w:val="20"/>
        </w:rPr>
      </w:pPr>
      <w:r w:rsidRPr="000615AB">
        <w:rPr>
          <w:sz w:val="20"/>
        </w:rPr>
        <w:t>Las tasas del PCT se pagan en diversas monedas.   Cuando la tasa se paga en una moneda que se puede "convertir libremente", el importe equivale al “importe equivalente” fijado por la Oficina Internacional, mientras que cuando se paga en una moneda que no se puede “convertir libremente”, la Oficina receptora debe convertir el importe a su equivalente en francos suizos, euros o dólares de los EE.UU. (Regla 15 del Reglamento del PCT).  La OMPI fija los importes equivalentes conforme a las reglas establecidas en las Directivas aprobadas por la Asamblea del PCT:  1) los tipos de cambio del primer lunes de octubre se toman como nuevos tipos de cambio de la OMPI para fijar los importes equivalentes del año siguiente;  2) si durante más de cuatro viernes consecutivos los tipos de cambio registran una alza o una baja del 5% en relación con lo establecido previamente, el Director General de la OMPI inicia consultas con las oficinas interesadas para fijar nuevos importes equivalentes que entrarán en vigor dos meses después de la fecha en que hayan sido publicados en la Gaceta del PCT.</w:t>
      </w:r>
    </w:p>
    <w:p w:rsidR="00383888" w:rsidRPr="000615AB" w:rsidRDefault="00383888" w:rsidP="00383888">
      <w:pPr>
        <w:rPr>
          <w:sz w:val="20"/>
        </w:rPr>
      </w:pPr>
    </w:p>
    <w:p w:rsidR="00383888" w:rsidRPr="000615AB" w:rsidRDefault="00383888" w:rsidP="00383888">
      <w:pPr>
        <w:numPr>
          <w:ilvl w:val="0"/>
          <w:numId w:val="18"/>
        </w:numPr>
        <w:tabs>
          <w:tab w:val="left" w:pos="540"/>
        </w:tabs>
        <w:jc w:val="both"/>
        <w:rPr>
          <w:sz w:val="20"/>
        </w:rPr>
      </w:pPr>
      <w:r w:rsidRPr="000615AB">
        <w:rPr>
          <w:sz w:val="20"/>
        </w:rPr>
        <w:t xml:space="preserve">Los solicitantes abonan la tasa de presentación de solicitud internacional en base al importe equivalente aplicable en la fecha de presentación de la solicitud. Sin embargo, debido al retraso en la aplicación del monto equivalente, es probable que los tipos de cambio del mercado sean diferentes de los de la OMPI en el momento del pago, con las consiguientes ganancias o pérdidas en los ingresos del PCT.  En el gráfico que figura a continuación se comparan el “tipo de cambio de la OMPI”, en base al cual se fija el "monto equivalente", y el “tipo de cambio operacional de las NN.UU.” para las tres principales monedas utilizadas, es decir, dólares de los EE.UU., </w:t>
      </w:r>
      <w:r w:rsidR="008F0D34">
        <w:rPr>
          <w:sz w:val="20"/>
        </w:rPr>
        <w:t>e</w:t>
      </w:r>
      <w:r w:rsidRPr="000615AB">
        <w:rPr>
          <w:sz w:val="20"/>
        </w:rPr>
        <w:t xml:space="preserve">uro y </w:t>
      </w:r>
      <w:r w:rsidR="008F0D34">
        <w:rPr>
          <w:sz w:val="20"/>
        </w:rPr>
        <w:t>y</w:t>
      </w:r>
      <w:r w:rsidRPr="000615AB">
        <w:rPr>
          <w:sz w:val="20"/>
        </w:rPr>
        <w:t xml:space="preserve">en. </w:t>
      </w:r>
    </w:p>
    <w:p w:rsidR="00383888" w:rsidRPr="000615AB" w:rsidRDefault="00383888" w:rsidP="00383888">
      <w:pPr>
        <w:rPr>
          <w:sz w:val="20"/>
        </w:rPr>
      </w:pPr>
    </w:p>
    <w:p w:rsidR="00383888" w:rsidRPr="000615AB" w:rsidRDefault="00C40A11" w:rsidP="00383888">
      <w:pPr>
        <w:rPr>
          <w:sz w:val="20"/>
        </w:rPr>
      </w:pPr>
      <w:r>
        <w:rPr>
          <w:noProof/>
          <w:lang w:val="en-US" w:eastAsia="en-US"/>
        </w:rPr>
        <w:drawing>
          <wp:inline distT="0" distB="0" distL="0" distR="0" wp14:anchorId="4E357406" wp14:editId="73B0E571">
            <wp:extent cx="5759450" cy="1610360"/>
            <wp:effectExtent l="0" t="0" r="0" b="889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5759450" cy="1610360"/>
                    </a:xfrm>
                    <a:prstGeom prst="rect">
                      <a:avLst/>
                    </a:prstGeom>
                    <a:noFill/>
                    <a:ln>
                      <a:noFill/>
                    </a:ln>
                  </pic:spPr>
                </pic:pic>
              </a:graphicData>
            </a:graphic>
          </wp:inline>
        </w:drawing>
      </w:r>
    </w:p>
    <w:p w:rsidR="00383888" w:rsidRPr="000615AB" w:rsidRDefault="00383888" w:rsidP="00383888">
      <w:pPr>
        <w:rPr>
          <w:sz w:val="20"/>
        </w:rPr>
      </w:pPr>
    </w:p>
    <w:p w:rsidR="00383888" w:rsidRPr="000615AB" w:rsidRDefault="00383888" w:rsidP="00383888">
      <w:pPr>
        <w:numPr>
          <w:ilvl w:val="0"/>
          <w:numId w:val="18"/>
        </w:numPr>
        <w:tabs>
          <w:tab w:val="left" w:pos="540"/>
        </w:tabs>
        <w:jc w:val="both"/>
        <w:rPr>
          <w:sz w:val="20"/>
        </w:rPr>
      </w:pPr>
      <w:r w:rsidRPr="000615AB">
        <w:rPr>
          <w:sz w:val="20"/>
        </w:rPr>
        <w:t>La diferencia entre el importe aplicable en la fecha de presentación de la solicitud y su equivalente convertido a francos suizos en la fecha del pago según el tipo de cambio de las NN.UU. constituye una ganancia o pérdida “teórica” en los ingresos del PCT.  El gráfico que figura a continuación refleja esa ganancia/pérdida en los ingresos del PCT, por mes.</w:t>
      </w:r>
    </w:p>
    <w:p w:rsidR="00383888" w:rsidRPr="000615AB" w:rsidRDefault="00383888" w:rsidP="00383888">
      <w:pPr>
        <w:rPr>
          <w:sz w:val="20"/>
        </w:rPr>
      </w:pPr>
    </w:p>
    <w:p w:rsidR="00383888" w:rsidRPr="000615AB" w:rsidRDefault="00C40A11" w:rsidP="00383888">
      <w:pPr>
        <w:jc w:val="center"/>
        <w:rPr>
          <w:sz w:val="20"/>
        </w:rPr>
      </w:pPr>
      <w:r>
        <w:rPr>
          <w:noProof/>
          <w:lang w:val="en-US" w:eastAsia="en-US"/>
        </w:rPr>
        <w:drawing>
          <wp:inline distT="0" distB="0" distL="0" distR="0" wp14:anchorId="645F0307" wp14:editId="2C0421CC">
            <wp:extent cx="5759450" cy="1958340"/>
            <wp:effectExtent l="0" t="0" r="0" b="381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5759450" cy="1958340"/>
                    </a:xfrm>
                    <a:prstGeom prst="rect">
                      <a:avLst/>
                    </a:prstGeom>
                    <a:noFill/>
                    <a:ln>
                      <a:noFill/>
                    </a:ln>
                  </pic:spPr>
                </pic:pic>
              </a:graphicData>
            </a:graphic>
          </wp:inline>
        </w:drawing>
      </w:r>
    </w:p>
    <w:p w:rsidR="00383888" w:rsidRPr="000615AB" w:rsidRDefault="00383888" w:rsidP="00383888">
      <w:pPr>
        <w:rPr>
          <w:sz w:val="20"/>
        </w:rPr>
      </w:pPr>
    </w:p>
    <w:p w:rsidR="00383888" w:rsidRPr="000615AB" w:rsidRDefault="00383888" w:rsidP="00383888">
      <w:pPr>
        <w:numPr>
          <w:ilvl w:val="0"/>
          <w:numId w:val="18"/>
        </w:numPr>
        <w:tabs>
          <w:tab w:val="left" w:pos="540"/>
        </w:tabs>
        <w:jc w:val="both"/>
        <w:rPr>
          <w:sz w:val="20"/>
        </w:rPr>
      </w:pPr>
      <w:r w:rsidRPr="000615AB">
        <w:rPr>
          <w:sz w:val="20"/>
        </w:rPr>
        <w:t>Debido a la apreciación constante del franco suizo frente al conjunto de las monedas principales desde fines de 2010, los ingresos del PCT sufrieron en 2011 pérdidas superiores a lo previsto.   Esas pérdidas alcanzaron los 13 millones de francos suizos en 2011, casi 6% de los ingresos previstos.  Sin embargo, la tendencia se invirtió hacia fines del 2011, derivando en</w:t>
      </w:r>
      <w:r w:rsidRPr="000615AB">
        <w:rPr>
          <w:sz w:val="20"/>
          <w:u w:val="single"/>
        </w:rPr>
        <w:t xml:space="preserve"> </w:t>
      </w:r>
      <w:r w:rsidRPr="000615AB">
        <w:rPr>
          <w:sz w:val="20"/>
        </w:rPr>
        <w:t xml:space="preserve">ganancias cambiarias de 8,1 millones de francos suizos en 2012. </w:t>
      </w:r>
    </w:p>
    <w:p w:rsidR="00383888" w:rsidRPr="000615AB" w:rsidRDefault="00383888" w:rsidP="00383888">
      <w:pPr>
        <w:rPr>
          <w:sz w:val="20"/>
        </w:rPr>
      </w:pPr>
    </w:p>
    <w:p w:rsidR="00383888" w:rsidRPr="000615AB" w:rsidRDefault="00383888" w:rsidP="00383888">
      <w:pPr>
        <w:keepNext/>
        <w:keepLines/>
        <w:numPr>
          <w:ilvl w:val="0"/>
          <w:numId w:val="18"/>
        </w:numPr>
        <w:tabs>
          <w:tab w:val="left" w:pos="540"/>
        </w:tabs>
        <w:jc w:val="both"/>
        <w:rPr>
          <w:sz w:val="20"/>
        </w:rPr>
      </w:pPr>
      <w:r w:rsidRPr="000615AB">
        <w:rPr>
          <w:sz w:val="20"/>
        </w:rPr>
        <w:lastRenderedPageBreak/>
        <w:t>La tabla de tasas del PCT vigente figura en el gráfico 16 a continuación.</w:t>
      </w:r>
    </w:p>
    <w:p w:rsidR="00383888" w:rsidRPr="000615AB" w:rsidRDefault="00383888" w:rsidP="00383888">
      <w:pPr>
        <w:keepNext/>
        <w:keepLines/>
        <w:rPr>
          <w:sz w:val="20"/>
        </w:rPr>
      </w:pPr>
    </w:p>
    <w:tbl>
      <w:tblPr>
        <w:tblW w:w="0" w:type="auto"/>
        <w:tblLook w:val="01E0" w:firstRow="1" w:lastRow="1" w:firstColumn="1" w:lastColumn="1" w:noHBand="0" w:noVBand="0"/>
      </w:tblPr>
      <w:tblGrid>
        <w:gridCol w:w="4643"/>
        <w:gridCol w:w="4644"/>
      </w:tblGrid>
      <w:tr w:rsidR="00383888" w:rsidRPr="000615AB" w:rsidTr="00B47699">
        <w:tc>
          <w:tcPr>
            <w:tcW w:w="4643" w:type="dxa"/>
            <w:shd w:val="clear" w:color="auto" w:fill="auto"/>
          </w:tcPr>
          <w:p w:rsidR="00383888" w:rsidRPr="000615AB" w:rsidRDefault="00383888" w:rsidP="00B47699">
            <w:pPr>
              <w:keepNext/>
              <w:keepLines/>
              <w:jc w:val="center"/>
              <w:rPr>
                <w:sz w:val="18"/>
                <w:szCs w:val="18"/>
              </w:rPr>
            </w:pPr>
            <w:r w:rsidRPr="000615AB">
              <w:rPr>
                <w:sz w:val="18"/>
                <w:szCs w:val="18"/>
              </w:rPr>
              <w:t>Cuadro 15.  Tabla de tasas del PCT</w:t>
            </w:r>
          </w:p>
          <w:p w:rsidR="00383888" w:rsidRPr="000615AB" w:rsidRDefault="00383888" w:rsidP="00B47699">
            <w:pPr>
              <w:keepNext/>
              <w:keepLines/>
              <w:jc w:val="center"/>
              <w:rPr>
                <w:sz w:val="18"/>
                <w:szCs w:val="18"/>
              </w:rPr>
            </w:pPr>
            <w:r w:rsidRPr="000615AB">
              <w:rPr>
                <w:sz w:val="18"/>
                <w:szCs w:val="18"/>
              </w:rPr>
              <w:t>(al 1 de enero de 2004)</w:t>
            </w:r>
          </w:p>
          <w:p w:rsidR="00383888" w:rsidRPr="000615AB" w:rsidRDefault="00383888" w:rsidP="00B47699">
            <w:pPr>
              <w:keepNext/>
              <w:keepLines/>
              <w:jc w:val="center"/>
              <w:rPr>
                <w:i/>
                <w:iCs/>
                <w:sz w:val="18"/>
                <w:szCs w:val="18"/>
              </w:rPr>
            </w:pPr>
            <w:r w:rsidRPr="000615AB">
              <w:rPr>
                <w:i/>
                <w:iCs/>
                <w:sz w:val="18"/>
                <w:szCs w:val="18"/>
              </w:rPr>
              <w:t>(en francos suizos)</w:t>
            </w:r>
          </w:p>
          <w:p w:rsidR="00383888" w:rsidRPr="000615AB" w:rsidRDefault="00383888" w:rsidP="00B47699">
            <w:pPr>
              <w:keepNext/>
              <w:keepLines/>
              <w:widowControl w:val="0"/>
              <w:jc w:val="center"/>
              <w:rPr>
                <w:sz w:val="20"/>
              </w:rPr>
            </w:pPr>
          </w:p>
        </w:tc>
        <w:tc>
          <w:tcPr>
            <w:tcW w:w="4644" w:type="dxa"/>
            <w:shd w:val="clear" w:color="auto" w:fill="auto"/>
          </w:tcPr>
          <w:p w:rsidR="00383888" w:rsidRPr="000615AB" w:rsidRDefault="00383888" w:rsidP="00B47699">
            <w:pPr>
              <w:keepNext/>
              <w:keepLines/>
              <w:jc w:val="center"/>
              <w:rPr>
                <w:sz w:val="18"/>
                <w:szCs w:val="18"/>
              </w:rPr>
            </w:pPr>
            <w:r w:rsidRPr="000615AB">
              <w:rPr>
                <w:sz w:val="18"/>
                <w:szCs w:val="18"/>
              </w:rPr>
              <w:t>Cuadro 16. Tabla revisada de tasas del PCT</w:t>
            </w:r>
          </w:p>
          <w:p w:rsidR="00383888" w:rsidRPr="000615AB" w:rsidRDefault="00383888" w:rsidP="00B47699">
            <w:pPr>
              <w:keepNext/>
              <w:keepLines/>
              <w:jc w:val="center"/>
              <w:rPr>
                <w:sz w:val="18"/>
                <w:szCs w:val="18"/>
              </w:rPr>
            </w:pPr>
            <w:r w:rsidRPr="000615AB">
              <w:rPr>
                <w:sz w:val="18"/>
                <w:szCs w:val="18"/>
              </w:rPr>
              <w:t>(al 1 de julio de 2008)</w:t>
            </w:r>
          </w:p>
          <w:p w:rsidR="00383888" w:rsidRPr="000615AB" w:rsidRDefault="00383888" w:rsidP="00B47699">
            <w:pPr>
              <w:keepNext/>
              <w:keepLines/>
              <w:widowControl w:val="0"/>
              <w:jc w:val="center"/>
              <w:rPr>
                <w:sz w:val="20"/>
              </w:rPr>
            </w:pPr>
            <w:r w:rsidRPr="000615AB">
              <w:rPr>
                <w:i/>
                <w:iCs/>
                <w:sz w:val="18"/>
                <w:szCs w:val="18"/>
              </w:rPr>
              <w:t>(en francos suizos)</w:t>
            </w:r>
          </w:p>
        </w:tc>
      </w:tr>
      <w:tr w:rsidR="00383888" w:rsidRPr="000615AB" w:rsidTr="00B47699">
        <w:tc>
          <w:tcPr>
            <w:tcW w:w="4643" w:type="dxa"/>
            <w:shd w:val="clear" w:color="auto" w:fill="auto"/>
          </w:tcPr>
          <w:p w:rsidR="00383888" w:rsidRPr="000615AB" w:rsidRDefault="00C40A11" w:rsidP="00B47699">
            <w:pPr>
              <w:keepNext/>
              <w:keepLines/>
              <w:widowControl w:val="0"/>
              <w:jc w:val="center"/>
              <w:rPr>
                <w:sz w:val="20"/>
              </w:rPr>
            </w:pPr>
            <w:r>
              <w:rPr>
                <w:noProof/>
                <w:sz w:val="20"/>
                <w:lang w:val="en-US" w:eastAsia="en-US"/>
              </w:rPr>
              <w:drawing>
                <wp:inline distT="0" distB="0" distL="0" distR="0" wp14:anchorId="35916B6C" wp14:editId="26D2DFAF">
                  <wp:extent cx="2456815" cy="907415"/>
                  <wp:effectExtent l="0" t="0" r="635" b="6985"/>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2456815" cy="907415"/>
                          </a:xfrm>
                          <a:prstGeom prst="rect">
                            <a:avLst/>
                          </a:prstGeom>
                          <a:noFill/>
                          <a:ln>
                            <a:noFill/>
                          </a:ln>
                        </pic:spPr>
                      </pic:pic>
                    </a:graphicData>
                  </a:graphic>
                </wp:inline>
              </w:drawing>
            </w:r>
          </w:p>
        </w:tc>
        <w:tc>
          <w:tcPr>
            <w:tcW w:w="4644" w:type="dxa"/>
            <w:shd w:val="clear" w:color="auto" w:fill="auto"/>
          </w:tcPr>
          <w:p w:rsidR="00383888" w:rsidRPr="000615AB" w:rsidRDefault="00C40A11" w:rsidP="00B47699">
            <w:pPr>
              <w:keepNext/>
              <w:keepLines/>
              <w:widowControl w:val="0"/>
              <w:jc w:val="center"/>
              <w:rPr>
                <w:sz w:val="20"/>
              </w:rPr>
            </w:pPr>
            <w:r>
              <w:rPr>
                <w:noProof/>
                <w:sz w:val="20"/>
                <w:lang w:val="en-US" w:eastAsia="en-US"/>
              </w:rPr>
              <w:drawing>
                <wp:inline distT="0" distB="0" distL="0" distR="0" wp14:anchorId="02DC0110" wp14:editId="4D217709">
                  <wp:extent cx="2484120" cy="921385"/>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2484120" cy="921385"/>
                          </a:xfrm>
                          <a:prstGeom prst="rect">
                            <a:avLst/>
                          </a:prstGeom>
                          <a:noFill/>
                          <a:ln>
                            <a:noFill/>
                          </a:ln>
                        </pic:spPr>
                      </pic:pic>
                    </a:graphicData>
                  </a:graphic>
                </wp:inline>
              </w:drawing>
            </w:r>
          </w:p>
        </w:tc>
      </w:tr>
    </w:tbl>
    <w:p w:rsidR="00383888" w:rsidRPr="000615AB" w:rsidRDefault="00383888" w:rsidP="00383888">
      <w:pPr>
        <w:rPr>
          <w:sz w:val="20"/>
        </w:rPr>
      </w:pPr>
    </w:p>
    <w:p w:rsidR="00383888" w:rsidRPr="000615AB" w:rsidRDefault="00383888" w:rsidP="00383888">
      <w:pPr>
        <w:rPr>
          <w:sz w:val="20"/>
        </w:rPr>
      </w:pPr>
    </w:p>
    <w:p w:rsidR="00383888" w:rsidRPr="000615AB" w:rsidRDefault="00383888" w:rsidP="00383888">
      <w:pPr>
        <w:widowControl w:val="0"/>
        <w:jc w:val="both"/>
        <w:rPr>
          <w:b/>
          <w:sz w:val="20"/>
        </w:rPr>
      </w:pPr>
      <w:r w:rsidRPr="000615AB">
        <w:rPr>
          <w:b/>
          <w:sz w:val="20"/>
        </w:rPr>
        <w:t>Madrid</w:t>
      </w:r>
    </w:p>
    <w:p w:rsidR="00383888" w:rsidRPr="000615AB" w:rsidRDefault="00383888" w:rsidP="00383888">
      <w:pPr>
        <w:keepNext/>
        <w:widowControl w:val="0"/>
        <w:rPr>
          <w:b/>
          <w:sz w:val="20"/>
        </w:rPr>
      </w:pPr>
    </w:p>
    <w:p w:rsidR="00383888" w:rsidRPr="000615AB" w:rsidRDefault="00383888" w:rsidP="00383888">
      <w:pPr>
        <w:keepNext/>
        <w:widowControl w:val="0"/>
        <w:rPr>
          <w:i/>
          <w:sz w:val="20"/>
        </w:rPr>
      </w:pPr>
      <w:r w:rsidRPr="000615AB">
        <w:rPr>
          <w:i/>
          <w:sz w:val="20"/>
        </w:rPr>
        <w:t>Sistema de Madrid – Previsión de la demanda de registros internacionales</w:t>
      </w:r>
    </w:p>
    <w:p w:rsidR="00383888" w:rsidRPr="000615AB" w:rsidRDefault="00383888" w:rsidP="00383888">
      <w:pPr>
        <w:jc w:val="both"/>
        <w:rPr>
          <w:sz w:val="20"/>
        </w:rPr>
      </w:pPr>
    </w:p>
    <w:p w:rsidR="00383888" w:rsidRPr="000615AB" w:rsidRDefault="00383888" w:rsidP="00383888">
      <w:pPr>
        <w:numPr>
          <w:ilvl w:val="0"/>
          <w:numId w:val="18"/>
        </w:numPr>
        <w:jc w:val="both"/>
        <w:rPr>
          <w:sz w:val="20"/>
        </w:rPr>
      </w:pPr>
      <w:r w:rsidRPr="000615AB">
        <w:rPr>
          <w:sz w:val="20"/>
        </w:rPr>
        <w:t>En el gráfico 8 se indica el número real de solicitudes de registro presentadas en el período comprendido entre 2010 y2012 y la previsión para el período comprendido entre  2012 y 2015.  Se prevé que el número de registros aumente cerca de un 7% en 2013.  La adhesión de México, Nueva Zelandia, Colombia y Filipinas al sistema de Madrid tendrá una repercusión moderada en 2013, pero podría tener una mayor en los próximos años.  Para realizar una previsión del número de registros en el marco del Sistema de Madrid se utilizan diferentes modelos, entre ellos los modelos autorregresivos, modelos econométricos y modelos de transferencia.  Los modelos autorregresivos se aplican tanto a los registros como a las solicitudes de registro.  Luego se aplica la variable de la media de tiempo de tramitación a los resultados correspondientes a las solicitudes y se obtiene una previsión de los registros.  Los modelos econométricos se basan en los datos sobre el PIB real y previsto publicados por el Fondo Monetario Internacional (FMI).  Luego se combinan los resultados obtenidos mediante cada uno de los modelos, para minimizar la incertidumbre que resulta de la aplicación de cada uno de ellos por separado.</w:t>
      </w:r>
    </w:p>
    <w:p w:rsidR="00383888" w:rsidRPr="000615AB" w:rsidRDefault="00383888" w:rsidP="00383888">
      <w:pPr>
        <w:jc w:val="both"/>
        <w:rPr>
          <w:sz w:val="20"/>
        </w:rPr>
      </w:pPr>
    </w:p>
    <w:p w:rsidR="00383888" w:rsidRPr="000615AB" w:rsidRDefault="00383888" w:rsidP="00383888">
      <w:pPr>
        <w:jc w:val="center"/>
        <w:rPr>
          <w:sz w:val="18"/>
          <w:szCs w:val="18"/>
        </w:rPr>
      </w:pPr>
      <w:r w:rsidRPr="000615AB">
        <w:rPr>
          <w:sz w:val="18"/>
          <w:szCs w:val="18"/>
        </w:rPr>
        <w:t>Gráfico 8.  Solicitudes de registro internacional (demanda) en virtud del sistema de Madrid</w:t>
      </w:r>
    </w:p>
    <w:p w:rsidR="00383888" w:rsidRPr="000615AB" w:rsidRDefault="00C40A11" w:rsidP="00383888">
      <w:pPr>
        <w:jc w:val="center"/>
        <w:rPr>
          <w:sz w:val="20"/>
        </w:rPr>
      </w:pPr>
      <w:r>
        <w:rPr>
          <w:noProof/>
          <w:lang w:val="en-US" w:eastAsia="en-US"/>
        </w:rPr>
        <w:drawing>
          <wp:inline distT="0" distB="0" distL="0" distR="0" wp14:anchorId="17E08544" wp14:editId="1B6548E3">
            <wp:extent cx="4776470" cy="2777490"/>
            <wp:effectExtent l="0" t="0" r="5080" b="381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4776470" cy="2777490"/>
                    </a:xfrm>
                    <a:prstGeom prst="rect">
                      <a:avLst/>
                    </a:prstGeom>
                    <a:noFill/>
                    <a:ln>
                      <a:noFill/>
                    </a:ln>
                  </pic:spPr>
                </pic:pic>
              </a:graphicData>
            </a:graphic>
          </wp:inline>
        </w:drawing>
      </w:r>
    </w:p>
    <w:p w:rsidR="00383888" w:rsidRPr="000615AB" w:rsidRDefault="00C40A11" w:rsidP="00383888">
      <w:pPr>
        <w:jc w:val="center"/>
        <w:rPr>
          <w:sz w:val="20"/>
        </w:rPr>
      </w:pPr>
      <w:r>
        <w:rPr>
          <w:noProof/>
          <w:lang w:val="en-US" w:eastAsia="en-US"/>
        </w:rPr>
        <w:drawing>
          <wp:inline distT="0" distB="0" distL="0" distR="0" wp14:anchorId="17A9F55F" wp14:editId="6E370D3C">
            <wp:extent cx="5179060" cy="628015"/>
            <wp:effectExtent l="0" t="0" r="2540" b="635"/>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5179060" cy="628015"/>
                    </a:xfrm>
                    <a:prstGeom prst="rect">
                      <a:avLst/>
                    </a:prstGeom>
                    <a:noFill/>
                    <a:ln>
                      <a:noFill/>
                    </a:ln>
                  </pic:spPr>
                </pic:pic>
              </a:graphicData>
            </a:graphic>
          </wp:inline>
        </w:drawing>
      </w:r>
    </w:p>
    <w:p w:rsidR="00383888" w:rsidRPr="000615AB" w:rsidRDefault="00383888" w:rsidP="00383888">
      <w:pPr>
        <w:jc w:val="both"/>
        <w:rPr>
          <w:sz w:val="20"/>
        </w:rPr>
      </w:pPr>
    </w:p>
    <w:p w:rsidR="00383888" w:rsidRPr="000615AB" w:rsidRDefault="00383888" w:rsidP="00383888">
      <w:pPr>
        <w:numPr>
          <w:ilvl w:val="0"/>
          <w:numId w:val="18"/>
        </w:numPr>
        <w:tabs>
          <w:tab w:val="left" w:pos="540"/>
        </w:tabs>
        <w:jc w:val="both"/>
        <w:rPr>
          <w:sz w:val="20"/>
        </w:rPr>
      </w:pPr>
      <w:r w:rsidRPr="000615AB">
        <w:rPr>
          <w:sz w:val="20"/>
        </w:rPr>
        <w:t xml:space="preserve">Habida cuenta de la adhesión de nuevos Estados miembros, aplicamos un modelo de transferencia para evaluar cómo repercute la adhesión en el número de registros.  El modelo utiliza los datos sobre las solicitudes (tanto las presentadas individualmente en cada país, como las solicitudes únicas con efecto de presentación en varios países a la vez) que los miembros actuales del sistema de Madrid presentarían a través de la vía de París en los nuevos países miembros y </w:t>
      </w:r>
      <w:r w:rsidRPr="000615AB">
        <w:rPr>
          <w:sz w:val="20"/>
        </w:rPr>
        <w:lastRenderedPageBreak/>
        <w:t>viceversa.  Concretamente, se calculan las tasas de transferencia para luego calcular el número de solicitudes adicionales que presentarían los miembros actuales con motivo de la adhesión de nuevos miembros.  Además, se aplican las "tasas de transferencia" promedio de los miembros actuales del sistema de Madrid para calcular el potencial de presentación de solicitudes de los nuevos miembros.  Cabe señalar que las "tasas de transferencia" reales están adaptadas a cada país.  Aplicar las "tasas de transferencia" promedio a los nuevos miembros es probablemente el mejor enfoque posible, pero a su vez aumenta la incertidumbre de los valores de previsión.</w:t>
      </w:r>
    </w:p>
    <w:p w:rsidR="00383888" w:rsidRPr="000615AB" w:rsidRDefault="00383888" w:rsidP="00383888">
      <w:pPr>
        <w:tabs>
          <w:tab w:val="left" w:pos="540"/>
        </w:tabs>
        <w:jc w:val="both"/>
        <w:rPr>
          <w:sz w:val="20"/>
        </w:rPr>
      </w:pPr>
    </w:p>
    <w:tbl>
      <w:tblPr>
        <w:tblW w:w="0" w:type="auto"/>
        <w:tblInd w:w="2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2552"/>
      </w:tblGrid>
      <w:tr w:rsidR="00383888" w:rsidRPr="00C26376" w:rsidTr="00B47699">
        <w:tc>
          <w:tcPr>
            <w:tcW w:w="4820" w:type="dxa"/>
            <w:gridSpan w:val="2"/>
            <w:shd w:val="clear" w:color="auto" w:fill="auto"/>
          </w:tcPr>
          <w:p w:rsidR="00383888" w:rsidRPr="00C26376" w:rsidRDefault="00383888" w:rsidP="00B47699">
            <w:pPr>
              <w:tabs>
                <w:tab w:val="left" w:pos="540"/>
              </w:tabs>
              <w:rPr>
                <w:sz w:val="18"/>
                <w:szCs w:val="18"/>
              </w:rPr>
            </w:pPr>
            <w:r w:rsidRPr="00C26376">
              <w:rPr>
                <w:sz w:val="18"/>
                <w:szCs w:val="18"/>
              </w:rPr>
              <w:t>Nuevos Estados miembros del sistema de Madrid</w:t>
            </w:r>
          </w:p>
        </w:tc>
      </w:tr>
      <w:tr w:rsidR="00383888" w:rsidRPr="00C26376" w:rsidTr="00B47699">
        <w:tc>
          <w:tcPr>
            <w:tcW w:w="2268" w:type="dxa"/>
            <w:shd w:val="clear" w:color="auto" w:fill="auto"/>
          </w:tcPr>
          <w:p w:rsidR="00383888" w:rsidRPr="00C26376" w:rsidRDefault="00383888" w:rsidP="00B47699">
            <w:pPr>
              <w:tabs>
                <w:tab w:val="left" w:pos="540"/>
              </w:tabs>
              <w:jc w:val="both"/>
              <w:rPr>
                <w:sz w:val="18"/>
                <w:szCs w:val="18"/>
              </w:rPr>
            </w:pPr>
            <w:r w:rsidRPr="00C26376">
              <w:rPr>
                <w:sz w:val="18"/>
                <w:szCs w:val="18"/>
              </w:rPr>
              <w:t>Colombia</w:t>
            </w:r>
          </w:p>
        </w:tc>
        <w:tc>
          <w:tcPr>
            <w:tcW w:w="2552" w:type="dxa"/>
            <w:shd w:val="clear" w:color="auto" w:fill="auto"/>
          </w:tcPr>
          <w:p w:rsidR="00383888" w:rsidRPr="00C26376" w:rsidRDefault="00383888" w:rsidP="00B47699">
            <w:pPr>
              <w:tabs>
                <w:tab w:val="left" w:pos="540"/>
              </w:tabs>
              <w:jc w:val="right"/>
              <w:rPr>
                <w:sz w:val="18"/>
                <w:szCs w:val="18"/>
              </w:rPr>
            </w:pPr>
            <w:r w:rsidRPr="00C26376">
              <w:rPr>
                <w:sz w:val="18"/>
                <w:szCs w:val="18"/>
              </w:rPr>
              <w:t>agosto de 2012</w:t>
            </w:r>
          </w:p>
        </w:tc>
      </w:tr>
      <w:tr w:rsidR="00383888" w:rsidRPr="00C26376" w:rsidTr="00B47699">
        <w:tc>
          <w:tcPr>
            <w:tcW w:w="2268" w:type="dxa"/>
            <w:shd w:val="clear" w:color="auto" w:fill="auto"/>
          </w:tcPr>
          <w:p w:rsidR="00383888" w:rsidRPr="00C26376" w:rsidRDefault="00383888" w:rsidP="00B47699">
            <w:pPr>
              <w:tabs>
                <w:tab w:val="left" w:pos="540"/>
              </w:tabs>
              <w:jc w:val="both"/>
              <w:rPr>
                <w:sz w:val="18"/>
                <w:szCs w:val="18"/>
              </w:rPr>
            </w:pPr>
            <w:r w:rsidRPr="00C26376">
              <w:rPr>
                <w:sz w:val="18"/>
                <w:szCs w:val="18"/>
              </w:rPr>
              <w:t>Filipinas</w:t>
            </w:r>
          </w:p>
        </w:tc>
        <w:tc>
          <w:tcPr>
            <w:tcW w:w="2552" w:type="dxa"/>
            <w:shd w:val="clear" w:color="auto" w:fill="auto"/>
          </w:tcPr>
          <w:p w:rsidR="00383888" w:rsidRPr="00C26376" w:rsidRDefault="00383888" w:rsidP="00B47699">
            <w:pPr>
              <w:tabs>
                <w:tab w:val="left" w:pos="540"/>
              </w:tabs>
              <w:jc w:val="right"/>
              <w:rPr>
                <w:sz w:val="18"/>
                <w:szCs w:val="18"/>
              </w:rPr>
            </w:pPr>
            <w:r w:rsidRPr="00C26376">
              <w:rPr>
                <w:sz w:val="18"/>
                <w:szCs w:val="18"/>
              </w:rPr>
              <w:t>julio de 2012</w:t>
            </w:r>
          </w:p>
        </w:tc>
      </w:tr>
      <w:tr w:rsidR="00383888" w:rsidRPr="00C26376" w:rsidTr="00B47699">
        <w:tc>
          <w:tcPr>
            <w:tcW w:w="2268" w:type="dxa"/>
            <w:shd w:val="clear" w:color="auto" w:fill="auto"/>
          </w:tcPr>
          <w:p w:rsidR="00383888" w:rsidRPr="00C26376" w:rsidRDefault="00383888" w:rsidP="00B47699">
            <w:pPr>
              <w:tabs>
                <w:tab w:val="left" w:pos="540"/>
              </w:tabs>
              <w:jc w:val="both"/>
              <w:rPr>
                <w:sz w:val="18"/>
                <w:szCs w:val="18"/>
              </w:rPr>
            </w:pPr>
            <w:r w:rsidRPr="00C26376">
              <w:rPr>
                <w:sz w:val="18"/>
                <w:szCs w:val="18"/>
              </w:rPr>
              <w:t>México</w:t>
            </w:r>
          </w:p>
        </w:tc>
        <w:tc>
          <w:tcPr>
            <w:tcW w:w="2552" w:type="dxa"/>
            <w:shd w:val="clear" w:color="auto" w:fill="auto"/>
          </w:tcPr>
          <w:p w:rsidR="00383888" w:rsidRPr="00C26376" w:rsidRDefault="00383888" w:rsidP="00B47699">
            <w:pPr>
              <w:tabs>
                <w:tab w:val="left" w:pos="540"/>
              </w:tabs>
              <w:jc w:val="right"/>
              <w:rPr>
                <w:sz w:val="18"/>
                <w:szCs w:val="18"/>
              </w:rPr>
            </w:pPr>
            <w:r w:rsidRPr="00C26376">
              <w:rPr>
                <w:sz w:val="18"/>
                <w:szCs w:val="18"/>
              </w:rPr>
              <w:t>febrero de 2013</w:t>
            </w:r>
          </w:p>
        </w:tc>
      </w:tr>
      <w:tr w:rsidR="00383888" w:rsidRPr="00C26376" w:rsidTr="00B47699">
        <w:tc>
          <w:tcPr>
            <w:tcW w:w="2268" w:type="dxa"/>
            <w:shd w:val="clear" w:color="auto" w:fill="auto"/>
          </w:tcPr>
          <w:p w:rsidR="00383888" w:rsidRPr="00C26376" w:rsidRDefault="00383888" w:rsidP="00B47699">
            <w:pPr>
              <w:tabs>
                <w:tab w:val="left" w:pos="540"/>
              </w:tabs>
              <w:jc w:val="both"/>
              <w:rPr>
                <w:sz w:val="18"/>
                <w:szCs w:val="18"/>
              </w:rPr>
            </w:pPr>
            <w:r w:rsidRPr="00C26376">
              <w:rPr>
                <w:sz w:val="18"/>
                <w:szCs w:val="18"/>
              </w:rPr>
              <w:t>Nueva Zelandia</w:t>
            </w:r>
          </w:p>
        </w:tc>
        <w:tc>
          <w:tcPr>
            <w:tcW w:w="2552" w:type="dxa"/>
            <w:shd w:val="clear" w:color="auto" w:fill="auto"/>
          </w:tcPr>
          <w:p w:rsidR="00383888" w:rsidRPr="00C26376" w:rsidRDefault="00383888" w:rsidP="00B47699">
            <w:pPr>
              <w:tabs>
                <w:tab w:val="left" w:pos="540"/>
              </w:tabs>
              <w:jc w:val="right"/>
              <w:rPr>
                <w:sz w:val="18"/>
                <w:szCs w:val="18"/>
              </w:rPr>
            </w:pPr>
            <w:r w:rsidRPr="00C26376">
              <w:rPr>
                <w:sz w:val="18"/>
                <w:szCs w:val="18"/>
              </w:rPr>
              <w:t>diciembre de 2012</w:t>
            </w:r>
          </w:p>
        </w:tc>
      </w:tr>
    </w:tbl>
    <w:p w:rsidR="00383888" w:rsidRPr="000615AB" w:rsidRDefault="00383888" w:rsidP="00383888">
      <w:pPr>
        <w:tabs>
          <w:tab w:val="left" w:pos="540"/>
        </w:tabs>
        <w:jc w:val="both"/>
        <w:rPr>
          <w:sz w:val="20"/>
        </w:rPr>
      </w:pPr>
    </w:p>
    <w:tbl>
      <w:tblPr>
        <w:tblW w:w="9348" w:type="dxa"/>
        <w:tblLayout w:type="fixed"/>
        <w:tblLook w:val="01E0" w:firstRow="1" w:lastRow="1" w:firstColumn="1" w:lastColumn="1" w:noHBand="0" w:noVBand="0"/>
      </w:tblPr>
      <w:tblGrid>
        <w:gridCol w:w="711"/>
        <w:gridCol w:w="497"/>
        <w:gridCol w:w="550"/>
        <w:gridCol w:w="550"/>
        <w:gridCol w:w="550"/>
        <w:gridCol w:w="550"/>
        <w:gridCol w:w="550"/>
        <w:gridCol w:w="550"/>
        <w:gridCol w:w="550"/>
        <w:gridCol w:w="550"/>
        <w:gridCol w:w="550"/>
        <w:gridCol w:w="550"/>
        <w:gridCol w:w="550"/>
        <w:gridCol w:w="990"/>
        <w:gridCol w:w="550"/>
        <w:gridCol w:w="550"/>
      </w:tblGrid>
      <w:tr w:rsidR="00383888" w:rsidRPr="000615AB" w:rsidTr="00B47699">
        <w:trPr>
          <w:trHeight w:val="274"/>
        </w:trPr>
        <w:tc>
          <w:tcPr>
            <w:tcW w:w="3408" w:type="dxa"/>
            <w:gridSpan w:val="6"/>
            <w:shd w:val="clear" w:color="auto" w:fill="auto"/>
          </w:tcPr>
          <w:p w:rsidR="00383888" w:rsidRPr="000615AB" w:rsidRDefault="00383888" w:rsidP="00B47699">
            <w:pPr>
              <w:rPr>
                <w:sz w:val="18"/>
                <w:szCs w:val="18"/>
              </w:rPr>
            </w:pPr>
            <w:r w:rsidRPr="000615AB">
              <w:rPr>
                <w:sz w:val="18"/>
                <w:szCs w:val="18"/>
              </w:rPr>
              <w:t>Registros generados por nuevos miembros</w:t>
            </w:r>
          </w:p>
        </w:tc>
        <w:tc>
          <w:tcPr>
            <w:tcW w:w="550" w:type="dxa"/>
            <w:shd w:val="clear" w:color="auto" w:fill="auto"/>
          </w:tcPr>
          <w:p w:rsidR="00383888" w:rsidRPr="000615AB" w:rsidRDefault="00383888" w:rsidP="00B47699">
            <w:pPr>
              <w:rPr>
                <w:sz w:val="18"/>
                <w:szCs w:val="18"/>
              </w:rPr>
            </w:pPr>
          </w:p>
        </w:tc>
        <w:tc>
          <w:tcPr>
            <w:tcW w:w="550" w:type="dxa"/>
            <w:shd w:val="clear" w:color="auto" w:fill="auto"/>
          </w:tcPr>
          <w:p w:rsidR="00383888" w:rsidRPr="000615AB" w:rsidRDefault="00383888" w:rsidP="00B47699">
            <w:pPr>
              <w:rPr>
                <w:sz w:val="18"/>
                <w:szCs w:val="18"/>
              </w:rPr>
            </w:pPr>
          </w:p>
        </w:tc>
        <w:tc>
          <w:tcPr>
            <w:tcW w:w="550" w:type="dxa"/>
            <w:shd w:val="clear" w:color="auto" w:fill="auto"/>
          </w:tcPr>
          <w:p w:rsidR="00383888" w:rsidRPr="000615AB" w:rsidRDefault="00383888" w:rsidP="00B47699">
            <w:pPr>
              <w:rPr>
                <w:sz w:val="18"/>
                <w:szCs w:val="18"/>
              </w:rPr>
            </w:pPr>
          </w:p>
        </w:tc>
        <w:tc>
          <w:tcPr>
            <w:tcW w:w="550" w:type="dxa"/>
            <w:shd w:val="clear" w:color="auto" w:fill="auto"/>
          </w:tcPr>
          <w:p w:rsidR="00383888" w:rsidRPr="000615AB" w:rsidRDefault="00383888" w:rsidP="00B47699">
            <w:pPr>
              <w:rPr>
                <w:sz w:val="18"/>
                <w:szCs w:val="18"/>
              </w:rPr>
            </w:pPr>
          </w:p>
        </w:tc>
        <w:tc>
          <w:tcPr>
            <w:tcW w:w="550" w:type="dxa"/>
            <w:shd w:val="clear" w:color="auto" w:fill="auto"/>
          </w:tcPr>
          <w:p w:rsidR="00383888" w:rsidRPr="000615AB" w:rsidRDefault="00383888" w:rsidP="00B47699">
            <w:pPr>
              <w:rPr>
                <w:sz w:val="18"/>
                <w:szCs w:val="18"/>
              </w:rPr>
            </w:pPr>
          </w:p>
        </w:tc>
        <w:tc>
          <w:tcPr>
            <w:tcW w:w="550" w:type="dxa"/>
            <w:shd w:val="clear" w:color="auto" w:fill="auto"/>
          </w:tcPr>
          <w:p w:rsidR="00383888" w:rsidRPr="000615AB" w:rsidRDefault="00383888" w:rsidP="00B47699">
            <w:pPr>
              <w:rPr>
                <w:sz w:val="18"/>
                <w:szCs w:val="18"/>
              </w:rPr>
            </w:pPr>
          </w:p>
        </w:tc>
        <w:tc>
          <w:tcPr>
            <w:tcW w:w="550" w:type="dxa"/>
            <w:shd w:val="clear" w:color="auto" w:fill="auto"/>
          </w:tcPr>
          <w:p w:rsidR="00383888" w:rsidRPr="000615AB" w:rsidRDefault="00383888" w:rsidP="00B47699">
            <w:pPr>
              <w:rPr>
                <w:sz w:val="18"/>
                <w:szCs w:val="18"/>
              </w:rPr>
            </w:pPr>
          </w:p>
        </w:tc>
        <w:tc>
          <w:tcPr>
            <w:tcW w:w="990" w:type="dxa"/>
            <w:shd w:val="clear" w:color="auto" w:fill="auto"/>
          </w:tcPr>
          <w:p w:rsidR="00383888" w:rsidRPr="000615AB" w:rsidRDefault="00383888" w:rsidP="00B47699">
            <w:pPr>
              <w:rPr>
                <w:sz w:val="18"/>
                <w:szCs w:val="18"/>
              </w:rPr>
            </w:pPr>
          </w:p>
        </w:tc>
        <w:tc>
          <w:tcPr>
            <w:tcW w:w="550" w:type="dxa"/>
            <w:shd w:val="clear" w:color="auto" w:fill="auto"/>
          </w:tcPr>
          <w:p w:rsidR="00383888" w:rsidRPr="000615AB" w:rsidRDefault="00383888" w:rsidP="00B47699">
            <w:pPr>
              <w:rPr>
                <w:sz w:val="18"/>
                <w:szCs w:val="18"/>
              </w:rPr>
            </w:pPr>
          </w:p>
        </w:tc>
        <w:tc>
          <w:tcPr>
            <w:tcW w:w="550" w:type="dxa"/>
            <w:shd w:val="clear" w:color="auto" w:fill="auto"/>
          </w:tcPr>
          <w:p w:rsidR="00383888" w:rsidRPr="000615AB" w:rsidRDefault="00383888" w:rsidP="00B47699">
            <w:pPr>
              <w:rPr>
                <w:sz w:val="18"/>
                <w:szCs w:val="18"/>
              </w:rPr>
            </w:pPr>
          </w:p>
        </w:tc>
      </w:tr>
      <w:tr w:rsidR="00383888" w:rsidRPr="000615AB" w:rsidTr="00B47699">
        <w:trPr>
          <w:trHeight w:val="187"/>
        </w:trPr>
        <w:tc>
          <w:tcPr>
            <w:tcW w:w="711" w:type="dxa"/>
            <w:tcBorders>
              <w:bottom w:val="double" w:sz="4" w:space="0" w:color="auto"/>
            </w:tcBorders>
            <w:shd w:val="clear" w:color="auto" w:fill="auto"/>
          </w:tcPr>
          <w:p w:rsidR="00383888" w:rsidRPr="000615AB" w:rsidRDefault="00383888" w:rsidP="00B47699">
            <w:pPr>
              <w:rPr>
                <w:sz w:val="16"/>
                <w:szCs w:val="16"/>
              </w:rPr>
            </w:pPr>
            <w:r w:rsidRPr="000615AB">
              <w:rPr>
                <w:sz w:val="16"/>
                <w:szCs w:val="16"/>
              </w:rPr>
              <w:t>Año</w:t>
            </w:r>
          </w:p>
        </w:tc>
        <w:tc>
          <w:tcPr>
            <w:tcW w:w="497" w:type="dxa"/>
            <w:tcBorders>
              <w:bottom w:val="double" w:sz="4" w:space="0" w:color="auto"/>
            </w:tcBorders>
            <w:shd w:val="clear" w:color="auto" w:fill="auto"/>
          </w:tcPr>
          <w:p w:rsidR="00383888" w:rsidRPr="000615AB" w:rsidRDefault="00383888" w:rsidP="00B47699">
            <w:pPr>
              <w:jc w:val="right"/>
              <w:rPr>
                <w:sz w:val="16"/>
                <w:szCs w:val="16"/>
              </w:rPr>
            </w:pPr>
            <w:r w:rsidRPr="000615AB">
              <w:rPr>
                <w:sz w:val="16"/>
                <w:szCs w:val="16"/>
              </w:rPr>
              <w:t>AT</w:t>
            </w:r>
          </w:p>
        </w:tc>
        <w:tc>
          <w:tcPr>
            <w:tcW w:w="550" w:type="dxa"/>
            <w:tcBorders>
              <w:bottom w:val="double" w:sz="4" w:space="0" w:color="auto"/>
            </w:tcBorders>
            <w:shd w:val="clear" w:color="auto" w:fill="auto"/>
          </w:tcPr>
          <w:p w:rsidR="00383888" w:rsidRPr="000615AB" w:rsidRDefault="00383888" w:rsidP="00B47699">
            <w:pPr>
              <w:jc w:val="right"/>
              <w:rPr>
                <w:sz w:val="16"/>
                <w:szCs w:val="16"/>
              </w:rPr>
            </w:pPr>
            <w:r w:rsidRPr="000615AB">
              <w:rPr>
                <w:sz w:val="16"/>
                <w:szCs w:val="16"/>
              </w:rPr>
              <w:t>AU</w:t>
            </w:r>
          </w:p>
        </w:tc>
        <w:tc>
          <w:tcPr>
            <w:tcW w:w="550" w:type="dxa"/>
            <w:tcBorders>
              <w:bottom w:val="double" w:sz="4" w:space="0" w:color="auto"/>
            </w:tcBorders>
            <w:shd w:val="clear" w:color="auto" w:fill="auto"/>
          </w:tcPr>
          <w:p w:rsidR="00383888" w:rsidRPr="000615AB" w:rsidRDefault="00383888" w:rsidP="00B47699">
            <w:pPr>
              <w:jc w:val="right"/>
              <w:rPr>
                <w:sz w:val="16"/>
                <w:szCs w:val="16"/>
              </w:rPr>
            </w:pPr>
            <w:r w:rsidRPr="000615AB">
              <w:rPr>
                <w:sz w:val="16"/>
                <w:szCs w:val="16"/>
              </w:rPr>
              <w:t>CH</w:t>
            </w:r>
          </w:p>
        </w:tc>
        <w:tc>
          <w:tcPr>
            <w:tcW w:w="550" w:type="dxa"/>
            <w:tcBorders>
              <w:bottom w:val="double" w:sz="4" w:space="0" w:color="auto"/>
            </w:tcBorders>
            <w:shd w:val="clear" w:color="auto" w:fill="auto"/>
          </w:tcPr>
          <w:p w:rsidR="00383888" w:rsidRPr="000615AB" w:rsidRDefault="00383888" w:rsidP="00B47699">
            <w:pPr>
              <w:jc w:val="right"/>
              <w:rPr>
                <w:sz w:val="16"/>
                <w:szCs w:val="16"/>
              </w:rPr>
            </w:pPr>
            <w:r w:rsidRPr="000615AB">
              <w:rPr>
                <w:sz w:val="16"/>
                <w:szCs w:val="16"/>
              </w:rPr>
              <w:t>CN</w:t>
            </w:r>
          </w:p>
        </w:tc>
        <w:tc>
          <w:tcPr>
            <w:tcW w:w="550" w:type="dxa"/>
            <w:tcBorders>
              <w:bottom w:val="double" w:sz="4" w:space="0" w:color="auto"/>
            </w:tcBorders>
            <w:shd w:val="clear" w:color="auto" w:fill="auto"/>
          </w:tcPr>
          <w:p w:rsidR="00383888" w:rsidRPr="000615AB" w:rsidRDefault="00383888" w:rsidP="00B47699">
            <w:pPr>
              <w:jc w:val="right"/>
              <w:rPr>
                <w:sz w:val="16"/>
                <w:szCs w:val="16"/>
              </w:rPr>
            </w:pPr>
            <w:r w:rsidRPr="000615AB">
              <w:rPr>
                <w:sz w:val="16"/>
                <w:szCs w:val="16"/>
              </w:rPr>
              <w:t>DE</w:t>
            </w:r>
          </w:p>
        </w:tc>
        <w:tc>
          <w:tcPr>
            <w:tcW w:w="550" w:type="dxa"/>
            <w:tcBorders>
              <w:bottom w:val="double" w:sz="4" w:space="0" w:color="auto"/>
            </w:tcBorders>
            <w:shd w:val="clear" w:color="auto" w:fill="auto"/>
          </w:tcPr>
          <w:p w:rsidR="00383888" w:rsidRPr="000615AB" w:rsidRDefault="00383888" w:rsidP="00B47699">
            <w:pPr>
              <w:jc w:val="right"/>
              <w:rPr>
                <w:sz w:val="16"/>
                <w:szCs w:val="16"/>
              </w:rPr>
            </w:pPr>
            <w:r w:rsidRPr="000615AB">
              <w:rPr>
                <w:sz w:val="16"/>
                <w:szCs w:val="16"/>
              </w:rPr>
              <w:t>FR</w:t>
            </w:r>
          </w:p>
        </w:tc>
        <w:tc>
          <w:tcPr>
            <w:tcW w:w="550" w:type="dxa"/>
            <w:tcBorders>
              <w:bottom w:val="double" w:sz="4" w:space="0" w:color="auto"/>
            </w:tcBorders>
            <w:shd w:val="clear" w:color="auto" w:fill="auto"/>
          </w:tcPr>
          <w:p w:rsidR="00383888" w:rsidRPr="000615AB" w:rsidRDefault="00383888" w:rsidP="00B47699">
            <w:pPr>
              <w:jc w:val="right"/>
              <w:rPr>
                <w:sz w:val="16"/>
                <w:szCs w:val="16"/>
              </w:rPr>
            </w:pPr>
            <w:r w:rsidRPr="000615AB">
              <w:rPr>
                <w:sz w:val="16"/>
                <w:szCs w:val="16"/>
              </w:rPr>
              <w:t>GB</w:t>
            </w:r>
          </w:p>
        </w:tc>
        <w:tc>
          <w:tcPr>
            <w:tcW w:w="550" w:type="dxa"/>
            <w:tcBorders>
              <w:bottom w:val="double" w:sz="4" w:space="0" w:color="auto"/>
            </w:tcBorders>
            <w:shd w:val="clear" w:color="auto" w:fill="auto"/>
          </w:tcPr>
          <w:p w:rsidR="00383888" w:rsidRPr="000615AB" w:rsidRDefault="00383888" w:rsidP="00B47699">
            <w:pPr>
              <w:jc w:val="right"/>
              <w:rPr>
                <w:sz w:val="16"/>
                <w:szCs w:val="16"/>
              </w:rPr>
            </w:pPr>
            <w:r w:rsidRPr="000615AB">
              <w:rPr>
                <w:sz w:val="16"/>
                <w:szCs w:val="16"/>
              </w:rPr>
              <w:t>IT</w:t>
            </w:r>
          </w:p>
        </w:tc>
        <w:tc>
          <w:tcPr>
            <w:tcW w:w="550" w:type="dxa"/>
            <w:tcBorders>
              <w:bottom w:val="double" w:sz="4" w:space="0" w:color="auto"/>
            </w:tcBorders>
            <w:shd w:val="clear" w:color="auto" w:fill="auto"/>
          </w:tcPr>
          <w:p w:rsidR="00383888" w:rsidRPr="000615AB" w:rsidRDefault="00383888" w:rsidP="00B47699">
            <w:pPr>
              <w:jc w:val="right"/>
              <w:rPr>
                <w:sz w:val="16"/>
                <w:szCs w:val="16"/>
              </w:rPr>
            </w:pPr>
            <w:r w:rsidRPr="000615AB">
              <w:rPr>
                <w:sz w:val="16"/>
                <w:szCs w:val="16"/>
              </w:rPr>
              <w:t>JP</w:t>
            </w:r>
          </w:p>
        </w:tc>
        <w:tc>
          <w:tcPr>
            <w:tcW w:w="550" w:type="dxa"/>
            <w:tcBorders>
              <w:bottom w:val="double" w:sz="4" w:space="0" w:color="auto"/>
            </w:tcBorders>
            <w:shd w:val="clear" w:color="auto" w:fill="auto"/>
          </w:tcPr>
          <w:p w:rsidR="00383888" w:rsidRPr="000615AB" w:rsidRDefault="00383888" w:rsidP="00B47699">
            <w:pPr>
              <w:jc w:val="right"/>
              <w:rPr>
                <w:sz w:val="16"/>
                <w:szCs w:val="16"/>
              </w:rPr>
            </w:pPr>
            <w:r w:rsidRPr="000615AB">
              <w:rPr>
                <w:sz w:val="16"/>
                <w:szCs w:val="16"/>
              </w:rPr>
              <w:t>OT</w:t>
            </w:r>
          </w:p>
        </w:tc>
        <w:tc>
          <w:tcPr>
            <w:tcW w:w="550" w:type="dxa"/>
            <w:tcBorders>
              <w:bottom w:val="double" w:sz="4" w:space="0" w:color="auto"/>
            </w:tcBorders>
            <w:shd w:val="clear" w:color="auto" w:fill="auto"/>
          </w:tcPr>
          <w:p w:rsidR="00383888" w:rsidRPr="000615AB" w:rsidRDefault="00383888" w:rsidP="00B47699">
            <w:pPr>
              <w:jc w:val="right"/>
              <w:rPr>
                <w:sz w:val="16"/>
                <w:szCs w:val="16"/>
              </w:rPr>
            </w:pPr>
            <w:r w:rsidRPr="000615AB">
              <w:rPr>
                <w:sz w:val="16"/>
                <w:szCs w:val="16"/>
              </w:rPr>
              <w:t>TR</w:t>
            </w:r>
          </w:p>
        </w:tc>
        <w:tc>
          <w:tcPr>
            <w:tcW w:w="550" w:type="dxa"/>
            <w:tcBorders>
              <w:bottom w:val="double" w:sz="4" w:space="0" w:color="auto"/>
            </w:tcBorders>
            <w:shd w:val="clear" w:color="auto" w:fill="auto"/>
          </w:tcPr>
          <w:p w:rsidR="00383888" w:rsidRPr="000615AB" w:rsidRDefault="00383888" w:rsidP="00B47699">
            <w:pPr>
              <w:jc w:val="right"/>
              <w:rPr>
                <w:sz w:val="16"/>
                <w:szCs w:val="16"/>
              </w:rPr>
            </w:pPr>
            <w:r w:rsidRPr="000615AB">
              <w:rPr>
                <w:sz w:val="16"/>
                <w:szCs w:val="16"/>
              </w:rPr>
              <w:t>US</w:t>
            </w:r>
          </w:p>
        </w:tc>
        <w:tc>
          <w:tcPr>
            <w:tcW w:w="990" w:type="dxa"/>
            <w:tcBorders>
              <w:bottom w:val="double" w:sz="4" w:space="0" w:color="auto"/>
            </w:tcBorders>
            <w:shd w:val="clear" w:color="auto" w:fill="auto"/>
          </w:tcPr>
          <w:p w:rsidR="00383888" w:rsidRPr="000615AB" w:rsidRDefault="00383888" w:rsidP="00B47699">
            <w:pPr>
              <w:jc w:val="right"/>
              <w:rPr>
                <w:sz w:val="16"/>
                <w:szCs w:val="16"/>
              </w:rPr>
            </w:pPr>
            <w:r w:rsidRPr="000615AB">
              <w:rPr>
                <w:sz w:val="16"/>
                <w:szCs w:val="16"/>
              </w:rPr>
              <w:t>CO</w:t>
            </w:r>
          </w:p>
        </w:tc>
        <w:tc>
          <w:tcPr>
            <w:tcW w:w="550" w:type="dxa"/>
            <w:tcBorders>
              <w:bottom w:val="double" w:sz="4" w:space="0" w:color="auto"/>
            </w:tcBorders>
            <w:shd w:val="clear" w:color="auto" w:fill="auto"/>
          </w:tcPr>
          <w:p w:rsidR="00383888" w:rsidRPr="000615AB" w:rsidRDefault="00383888" w:rsidP="00B47699">
            <w:pPr>
              <w:jc w:val="right"/>
              <w:rPr>
                <w:sz w:val="16"/>
                <w:szCs w:val="16"/>
              </w:rPr>
            </w:pPr>
            <w:r w:rsidRPr="000615AB">
              <w:rPr>
                <w:sz w:val="16"/>
                <w:szCs w:val="16"/>
              </w:rPr>
              <w:t>MX</w:t>
            </w:r>
          </w:p>
        </w:tc>
        <w:tc>
          <w:tcPr>
            <w:tcW w:w="550" w:type="dxa"/>
            <w:tcBorders>
              <w:bottom w:val="double" w:sz="4" w:space="0" w:color="auto"/>
            </w:tcBorders>
            <w:shd w:val="clear" w:color="auto" w:fill="auto"/>
          </w:tcPr>
          <w:p w:rsidR="00383888" w:rsidRPr="000615AB" w:rsidRDefault="00383888" w:rsidP="00B47699">
            <w:pPr>
              <w:jc w:val="right"/>
              <w:rPr>
                <w:sz w:val="16"/>
                <w:szCs w:val="16"/>
              </w:rPr>
            </w:pPr>
            <w:r w:rsidRPr="000615AB">
              <w:rPr>
                <w:sz w:val="16"/>
                <w:szCs w:val="16"/>
              </w:rPr>
              <w:t>NZ</w:t>
            </w:r>
          </w:p>
        </w:tc>
      </w:tr>
      <w:tr w:rsidR="00383888" w:rsidRPr="000615AB" w:rsidTr="00B47699">
        <w:tc>
          <w:tcPr>
            <w:tcW w:w="711" w:type="dxa"/>
            <w:tcBorders>
              <w:top w:val="double" w:sz="4" w:space="0" w:color="auto"/>
            </w:tcBorders>
            <w:shd w:val="clear" w:color="auto" w:fill="auto"/>
          </w:tcPr>
          <w:p w:rsidR="00383888" w:rsidRPr="000615AB" w:rsidRDefault="00383888" w:rsidP="00B47699">
            <w:pPr>
              <w:rPr>
                <w:sz w:val="16"/>
                <w:szCs w:val="16"/>
              </w:rPr>
            </w:pPr>
            <w:r w:rsidRPr="000615AB">
              <w:rPr>
                <w:sz w:val="16"/>
                <w:szCs w:val="16"/>
              </w:rPr>
              <w:t>2013</w:t>
            </w:r>
          </w:p>
        </w:tc>
        <w:tc>
          <w:tcPr>
            <w:tcW w:w="497" w:type="dxa"/>
            <w:tcBorders>
              <w:top w:val="double" w:sz="4" w:space="0" w:color="auto"/>
            </w:tcBorders>
            <w:shd w:val="clear" w:color="auto" w:fill="auto"/>
          </w:tcPr>
          <w:p w:rsidR="00383888" w:rsidRPr="000615AB" w:rsidRDefault="00383888" w:rsidP="00B47699">
            <w:pPr>
              <w:jc w:val="right"/>
              <w:rPr>
                <w:sz w:val="16"/>
                <w:szCs w:val="16"/>
              </w:rPr>
            </w:pPr>
            <w:r w:rsidRPr="000615AB">
              <w:rPr>
                <w:sz w:val="16"/>
                <w:szCs w:val="16"/>
              </w:rPr>
              <w:t>5</w:t>
            </w:r>
          </w:p>
        </w:tc>
        <w:tc>
          <w:tcPr>
            <w:tcW w:w="550" w:type="dxa"/>
            <w:tcBorders>
              <w:top w:val="double" w:sz="4" w:space="0" w:color="auto"/>
            </w:tcBorders>
            <w:shd w:val="clear" w:color="auto" w:fill="auto"/>
          </w:tcPr>
          <w:p w:rsidR="00383888" w:rsidRPr="000615AB" w:rsidRDefault="00383888" w:rsidP="00B47699">
            <w:pPr>
              <w:jc w:val="right"/>
              <w:rPr>
                <w:sz w:val="16"/>
                <w:szCs w:val="16"/>
              </w:rPr>
            </w:pPr>
            <w:r w:rsidRPr="000615AB">
              <w:rPr>
                <w:sz w:val="16"/>
                <w:szCs w:val="16"/>
              </w:rPr>
              <w:t>70</w:t>
            </w:r>
          </w:p>
        </w:tc>
        <w:tc>
          <w:tcPr>
            <w:tcW w:w="550" w:type="dxa"/>
            <w:tcBorders>
              <w:top w:val="double" w:sz="4" w:space="0" w:color="auto"/>
            </w:tcBorders>
            <w:shd w:val="clear" w:color="auto" w:fill="auto"/>
          </w:tcPr>
          <w:p w:rsidR="00383888" w:rsidRPr="000615AB" w:rsidRDefault="00383888" w:rsidP="00B47699">
            <w:pPr>
              <w:jc w:val="right"/>
              <w:rPr>
                <w:sz w:val="16"/>
                <w:szCs w:val="16"/>
              </w:rPr>
            </w:pPr>
            <w:r w:rsidRPr="000615AB">
              <w:rPr>
                <w:sz w:val="16"/>
                <w:szCs w:val="16"/>
              </w:rPr>
              <w:t>39</w:t>
            </w:r>
          </w:p>
        </w:tc>
        <w:tc>
          <w:tcPr>
            <w:tcW w:w="550" w:type="dxa"/>
            <w:tcBorders>
              <w:top w:val="double" w:sz="4" w:space="0" w:color="auto"/>
            </w:tcBorders>
            <w:shd w:val="clear" w:color="auto" w:fill="auto"/>
          </w:tcPr>
          <w:p w:rsidR="00383888" w:rsidRPr="000615AB" w:rsidRDefault="00383888" w:rsidP="00B47699">
            <w:pPr>
              <w:jc w:val="right"/>
              <w:rPr>
                <w:sz w:val="16"/>
                <w:szCs w:val="16"/>
              </w:rPr>
            </w:pPr>
            <w:r w:rsidRPr="000615AB">
              <w:rPr>
                <w:sz w:val="16"/>
                <w:szCs w:val="16"/>
              </w:rPr>
              <w:t>11</w:t>
            </w:r>
          </w:p>
        </w:tc>
        <w:tc>
          <w:tcPr>
            <w:tcW w:w="550" w:type="dxa"/>
            <w:tcBorders>
              <w:top w:val="double" w:sz="4" w:space="0" w:color="auto"/>
            </w:tcBorders>
            <w:shd w:val="clear" w:color="auto" w:fill="auto"/>
          </w:tcPr>
          <w:p w:rsidR="00383888" w:rsidRPr="000615AB" w:rsidRDefault="00383888" w:rsidP="00B47699">
            <w:pPr>
              <w:jc w:val="right"/>
              <w:rPr>
                <w:sz w:val="16"/>
                <w:szCs w:val="16"/>
              </w:rPr>
            </w:pPr>
            <w:r w:rsidRPr="000615AB">
              <w:rPr>
                <w:sz w:val="16"/>
                <w:szCs w:val="16"/>
              </w:rPr>
              <w:t>40</w:t>
            </w:r>
          </w:p>
        </w:tc>
        <w:tc>
          <w:tcPr>
            <w:tcW w:w="550" w:type="dxa"/>
            <w:tcBorders>
              <w:top w:val="double" w:sz="4" w:space="0" w:color="auto"/>
            </w:tcBorders>
            <w:shd w:val="clear" w:color="auto" w:fill="auto"/>
          </w:tcPr>
          <w:p w:rsidR="00383888" w:rsidRPr="000615AB" w:rsidRDefault="00383888" w:rsidP="00B47699">
            <w:pPr>
              <w:jc w:val="right"/>
              <w:rPr>
                <w:sz w:val="16"/>
                <w:szCs w:val="16"/>
              </w:rPr>
            </w:pPr>
            <w:r w:rsidRPr="000615AB">
              <w:rPr>
                <w:sz w:val="16"/>
                <w:szCs w:val="16"/>
              </w:rPr>
              <w:t>32</w:t>
            </w:r>
          </w:p>
        </w:tc>
        <w:tc>
          <w:tcPr>
            <w:tcW w:w="550" w:type="dxa"/>
            <w:tcBorders>
              <w:top w:val="double" w:sz="4" w:space="0" w:color="auto"/>
            </w:tcBorders>
            <w:shd w:val="clear" w:color="auto" w:fill="auto"/>
          </w:tcPr>
          <w:p w:rsidR="00383888" w:rsidRPr="000615AB" w:rsidRDefault="00383888" w:rsidP="00B47699">
            <w:pPr>
              <w:jc w:val="right"/>
              <w:rPr>
                <w:sz w:val="16"/>
                <w:szCs w:val="16"/>
              </w:rPr>
            </w:pPr>
            <w:r w:rsidRPr="000615AB">
              <w:rPr>
                <w:sz w:val="16"/>
                <w:szCs w:val="16"/>
              </w:rPr>
              <w:t>14</w:t>
            </w:r>
          </w:p>
        </w:tc>
        <w:tc>
          <w:tcPr>
            <w:tcW w:w="550" w:type="dxa"/>
            <w:tcBorders>
              <w:top w:val="double" w:sz="4" w:space="0" w:color="auto"/>
            </w:tcBorders>
            <w:shd w:val="clear" w:color="auto" w:fill="auto"/>
          </w:tcPr>
          <w:p w:rsidR="00383888" w:rsidRPr="000615AB" w:rsidRDefault="00383888" w:rsidP="00B47699">
            <w:pPr>
              <w:jc w:val="right"/>
              <w:rPr>
                <w:sz w:val="16"/>
                <w:szCs w:val="16"/>
              </w:rPr>
            </w:pPr>
            <w:r w:rsidRPr="000615AB">
              <w:rPr>
                <w:sz w:val="16"/>
                <w:szCs w:val="16"/>
              </w:rPr>
              <w:t>14</w:t>
            </w:r>
          </w:p>
        </w:tc>
        <w:tc>
          <w:tcPr>
            <w:tcW w:w="550" w:type="dxa"/>
            <w:tcBorders>
              <w:top w:val="double" w:sz="4" w:space="0" w:color="auto"/>
            </w:tcBorders>
            <w:shd w:val="clear" w:color="auto" w:fill="auto"/>
          </w:tcPr>
          <w:p w:rsidR="00383888" w:rsidRPr="000615AB" w:rsidRDefault="00383888" w:rsidP="00B47699">
            <w:pPr>
              <w:jc w:val="right"/>
              <w:rPr>
                <w:sz w:val="16"/>
                <w:szCs w:val="16"/>
              </w:rPr>
            </w:pPr>
            <w:r w:rsidRPr="000615AB">
              <w:rPr>
                <w:sz w:val="16"/>
                <w:szCs w:val="16"/>
              </w:rPr>
              <w:t>12</w:t>
            </w:r>
          </w:p>
        </w:tc>
        <w:tc>
          <w:tcPr>
            <w:tcW w:w="550" w:type="dxa"/>
            <w:tcBorders>
              <w:top w:val="double" w:sz="4" w:space="0" w:color="auto"/>
            </w:tcBorders>
            <w:shd w:val="clear" w:color="auto" w:fill="auto"/>
          </w:tcPr>
          <w:p w:rsidR="00383888" w:rsidRPr="000615AB" w:rsidRDefault="00383888" w:rsidP="00B47699">
            <w:pPr>
              <w:jc w:val="right"/>
              <w:rPr>
                <w:sz w:val="16"/>
                <w:szCs w:val="16"/>
              </w:rPr>
            </w:pPr>
            <w:r w:rsidRPr="000615AB">
              <w:rPr>
                <w:sz w:val="16"/>
                <w:szCs w:val="16"/>
              </w:rPr>
              <w:t>64</w:t>
            </w:r>
          </w:p>
        </w:tc>
        <w:tc>
          <w:tcPr>
            <w:tcW w:w="550" w:type="dxa"/>
            <w:tcBorders>
              <w:top w:val="double" w:sz="4" w:space="0" w:color="auto"/>
            </w:tcBorders>
            <w:shd w:val="clear" w:color="auto" w:fill="auto"/>
            <w:tcMar>
              <w:top w:w="28" w:type="dxa"/>
              <w:bottom w:w="28" w:type="dxa"/>
            </w:tcMar>
          </w:tcPr>
          <w:p w:rsidR="00383888" w:rsidRPr="000615AB" w:rsidRDefault="00383888" w:rsidP="00B47699">
            <w:pPr>
              <w:jc w:val="right"/>
              <w:rPr>
                <w:sz w:val="16"/>
                <w:szCs w:val="16"/>
              </w:rPr>
            </w:pPr>
            <w:r w:rsidRPr="000615AB">
              <w:rPr>
                <w:sz w:val="16"/>
                <w:szCs w:val="16"/>
              </w:rPr>
              <w:t>1</w:t>
            </w:r>
          </w:p>
        </w:tc>
        <w:tc>
          <w:tcPr>
            <w:tcW w:w="550" w:type="dxa"/>
            <w:tcBorders>
              <w:top w:val="double" w:sz="4" w:space="0" w:color="auto"/>
            </w:tcBorders>
            <w:shd w:val="clear" w:color="auto" w:fill="auto"/>
            <w:tcMar>
              <w:top w:w="28" w:type="dxa"/>
              <w:bottom w:w="28" w:type="dxa"/>
            </w:tcMar>
          </w:tcPr>
          <w:p w:rsidR="00383888" w:rsidRPr="000615AB" w:rsidRDefault="00383888" w:rsidP="00B47699">
            <w:pPr>
              <w:jc w:val="right"/>
              <w:rPr>
                <w:sz w:val="16"/>
                <w:szCs w:val="16"/>
              </w:rPr>
            </w:pPr>
            <w:r w:rsidRPr="000615AB">
              <w:rPr>
                <w:sz w:val="16"/>
                <w:szCs w:val="16"/>
              </w:rPr>
              <w:t>152</w:t>
            </w:r>
          </w:p>
        </w:tc>
        <w:tc>
          <w:tcPr>
            <w:tcW w:w="990" w:type="dxa"/>
            <w:tcBorders>
              <w:top w:val="double" w:sz="4" w:space="0" w:color="auto"/>
            </w:tcBorders>
            <w:shd w:val="clear" w:color="auto" w:fill="auto"/>
            <w:tcMar>
              <w:top w:w="28" w:type="dxa"/>
              <w:bottom w:w="28" w:type="dxa"/>
            </w:tcMar>
          </w:tcPr>
          <w:p w:rsidR="00383888" w:rsidRPr="000615AB" w:rsidRDefault="00383888" w:rsidP="00B47699">
            <w:pPr>
              <w:jc w:val="right"/>
              <w:rPr>
                <w:sz w:val="16"/>
                <w:szCs w:val="16"/>
              </w:rPr>
            </w:pPr>
            <w:r w:rsidRPr="000615AB">
              <w:rPr>
                <w:sz w:val="16"/>
                <w:szCs w:val="16"/>
              </w:rPr>
              <w:t>12</w:t>
            </w:r>
          </w:p>
        </w:tc>
        <w:tc>
          <w:tcPr>
            <w:tcW w:w="550" w:type="dxa"/>
            <w:tcBorders>
              <w:top w:val="double" w:sz="4" w:space="0" w:color="auto"/>
            </w:tcBorders>
            <w:shd w:val="clear" w:color="auto" w:fill="auto"/>
            <w:tcMar>
              <w:top w:w="28" w:type="dxa"/>
              <w:bottom w:w="28" w:type="dxa"/>
            </w:tcMar>
          </w:tcPr>
          <w:p w:rsidR="00383888" w:rsidRPr="000615AB" w:rsidRDefault="00383888" w:rsidP="00B47699">
            <w:pPr>
              <w:jc w:val="right"/>
              <w:rPr>
                <w:sz w:val="16"/>
                <w:szCs w:val="16"/>
              </w:rPr>
            </w:pPr>
            <w:r w:rsidRPr="000615AB">
              <w:rPr>
                <w:sz w:val="16"/>
                <w:szCs w:val="16"/>
              </w:rPr>
              <w:t>38</w:t>
            </w:r>
          </w:p>
        </w:tc>
        <w:tc>
          <w:tcPr>
            <w:tcW w:w="550" w:type="dxa"/>
            <w:tcBorders>
              <w:top w:val="double" w:sz="4" w:space="0" w:color="auto"/>
            </w:tcBorders>
            <w:shd w:val="clear" w:color="auto" w:fill="auto"/>
            <w:tcMar>
              <w:top w:w="28" w:type="dxa"/>
              <w:bottom w:w="28" w:type="dxa"/>
            </w:tcMar>
          </w:tcPr>
          <w:p w:rsidR="00383888" w:rsidRPr="000615AB" w:rsidRDefault="00383888" w:rsidP="00B47699">
            <w:pPr>
              <w:jc w:val="right"/>
              <w:rPr>
                <w:sz w:val="16"/>
                <w:szCs w:val="16"/>
              </w:rPr>
            </w:pPr>
            <w:r w:rsidRPr="000615AB">
              <w:rPr>
                <w:sz w:val="16"/>
                <w:szCs w:val="16"/>
              </w:rPr>
              <w:t>35</w:t>
            </w:r>
          </w:p>
        </w:tc>
      </w:tr>
      <w:tr w:rsidR="00383888" w:rsidRPr="000615AB" w:rsidTr="00B47699">
        <w:tc>
          <w:tcPr>
            <w:tcW w:w="711" w:type="dxa"/>
            <w:shd w:val="clear" w:color="auto" w:fill="auto"/>
          </w:tcPr>
          <w:p w:rsidR="00383888" w:rsidRPr="000615AB" w:rsidRDefault="00383888" w:rsidP="00B47699">
            <w:pPr>
              <w:rPr>
                <w:sz w:val="16"/>
                <w:szCs w:val="16"/>
              </w:rPr>
            </w:pPr>
            <w:r w:rsidRPr="000615AB">
              <w:rPr>
                <w:sz w:val="16"/>
                <w:szCs w:val="16"/>
              </w:rPr>
              <w:t>2014</w:t>
            </w:r>
          </w:p>
        </w:tc>
        <w:tc>
          <w:tcPr>
            <w:tcW w:w="497" w:type="dxa"/>
            <w:shd w:val="clear" w:color="auto" w:fill="auto"/>
          </w:tcPr>
          <w:p w:rsidR="00383888" w:rsidRPr="000615AB" w:rsidRDefault="00383888" w:rsidP="00B47699">
            <w:pPr>
              <w:jc w:val="right"/>
              <w:rPr>
                <w:sz w:val="16"/>
                <w:szCs w:val="16"/>
              </w:rPr>
            </w:pPr>
            <w:r w:rsidRPr="000615AB">
              <w:rPr>
                <w:sz w:val="16"/>
                <w:szCs w:val="16"/>
              </w:rPr>
              <w:t>10</w:t>
            </w:r>
          </w:p>
        </w:tc>
        <w:tc>
          <w:tcPr>
            <w:tcW w:w="550" w:type="dxa"/>
            <w:shd w:val="clear" w:color="auto" w:fill="auto"/>
          </w:tcPr>
          <w:p w:rsidR="00383888" w:rsidRPr="000615AB" w:rsidRDefault="00383888" w:rsidP="00B47699">
            <w:pPr>
              <w:jc w:val="right"/>
              <w:rPr>
                <w:sz w:val="16"/>
                <w:szCs w:val="16"/>
              </w:rPr>
            </w:pPr>
            <w:r w:rsidRPr="000615AB">
              <w:rPr>
                <w:sz w:val="16"/>
                <w:szCs w:val="16"/>
              </w:rPr>
              <w:t>142</w:t>
            </w:r>
          </w:p>
        </w:tc>
        <w:tc>
          <w:tcPr>
            <w:tcW w:w="550" w:type="dxa"/>
            <w:shd w:val="clear" w:color="auto" w:fill="auto"/>
          </w:tcPr>
          <w:p w:rsidR="00383888" w:rsidRPr="000615AB" w:rsidRDefault="00383888" w:rsidP="00B47699">
            <w:pPr>
              <w:jc w:val="right"/>
              <w:rPr>
                <w:sz w:val="16"/>
                <w:szCs w:val="16"/>
              </w:rPr>
            </w:pPr>
            <w:r w:rsidRPr="000615AB">
              <w:rPr>
                <w:sz w:val="16"/>
                <w:szCs w:val="16"/>
              </w:rPr>
              <w:t>80</w:t>
            </w:r>
          </w:p>
        </w:tc>
        <w:tc>
          <w:tcPr>
            <w:tcW w:w="550" w:type="dxa"/>
            <w:shd w:val="clear" w:color="auto" w:fill="auto"/>
          </w:tcPr>
          <w:p w:rsidR="00383888" w:rsidRPr="000615AB" w:rsidRDefault="00383888" w:rsidP="00B47699">
            <w:pPr>
              <w:jc w:val="right"/>
              <w:rPr>
                <w:sz w:val="16"/>
                <w:szCs w:val="16"/>
              </w:rPr>
            </w:pPr>
            <w:r w:rsidRPr="000615AB">
              <w:rPr>
                <w:sz w:val="16"/>
                <w:szCs w:val="16"/>
              </w:rPr>
              <w:t>23</w:t>
            </w:r>
          </w:p>
        </w:tc>
        <w:tc>
          <w:tcPr>
            <w:tcW w:w="550" w:type="dxa"/>
            <w:shd w:val="clear" w:color="auto" w:fill="auto"/>
          </w:tcPr>
          <w:p w:rsidR="00383888" w:rsidRPr="000615AB" w:rsidRDefault="00383888" w:rsidP="00B47699">
            <w:pPr>
              <w:jc w:val="right"/>
              <w:rPr>
                <w:sz w:val="16"/>
                <w:szCs w:val="16"/>
              </w:rPr>
            </w:pPr>
            <w:r w:rsidRPr="000615AB">
              <w:rPr>
                <w:sz w:val="16"/>
                <w:szCs w:val="16"/>
              </w:rPr>
              <w:t>80</w:t>
            </w:r>
          </w:p>
        </w:tc>
        <w:tc>
          <w:tcPr>
            <w:tcW w:w="550" w:type="dxa"/>
            <w:shd w:val="clear" w:color="auto" w:fill="auto"/>
          </w:tcPr>
          <w:p w:rsidR="00383888" w:rsidRPr="000615AB" w:rsidRDefault="00383888" w:rsidP="00B47699">
            <w:pPr>
              <w:jc w:val="right"/>
              <w:rPr>
                <w:sz w:val="16"/>
                <w:szCs w:val="16"/>
              </w:rPr>
            </w:pPr>
            <w:r w:rsidRPr="000615AB">
              <w:rPr>
                <w:sz w:val="16"/>
                <w:szCs w:val="16"/>
              </w:rPr>
              <w:t>65</w:t>
            </w:r>
          </w:p>
        </w:tc>
        <w:tc>
          <w:tcPr>
            <w:tcW w:w="550" w:type="dxa"/>
            <w:shd w:val="clear" w:color="auto" w:fill="auto"/>
          </w:tcPr>
          <w:p w:rsidR="00383888" w:rsidRPr="000615AB" w:rsidRDefault="00383888" w:rsidP="00B47699">
            <w:pPr>
              <w:jc w:val="right"/>
              <w:rPr>
                <w:sz w:val="16"/>
                <w:szCs w:val="16"/>
              </w:rPr>
            </w:pPr>
            <w:r w:rsidRPr="000615AB">
              <w:rPr>
                <w:sz w:val="16"/>
                <w:szCs w:val="16"/>
              </w:rPr>
              <w:t>28</w:t>
            </w:r>
          </w:p>
        </w:tc>
        <w:tc>
          <w:tcPr>
            <w:tcW w:w="550" w:type="dxa"/>
            <w:shd w:val="clear" w:color="auto" w:fill="auto"/>
          </w:tcPr>
          <w:p w:rsidR="00383888" w:rsidRPr="000615AB" w:rsidRDefault="00383888" w:rsidP="00B47699">
            <w:pPr>
              <w:jc w:val="right"/>
              <w:rPr>
                <w:sz w:val="16"/>
                <w:szCs w:val="16"/>
              </w:rPr>
            </w:pPr>
            <w:r w:rsidRPr="000615AB">
              <w:rPr>
                <w:sz w:val="16"/>
                <w:szCs w:val="16"/>
              </w:rPr>
              <w:t>27</w:t>
            </w:r>
          </w:p>
        </w:tc>
        <w:tc>
          <w:tcPr>
            <w:tcW w:w="550" w:type="dxa"/>
            <w:shd w:val="clear" w:color="auto" w:fill="auto"/>
          </w:tcPr>
          <w:p w:rsidR="00383888" w:rsidRPr="000615AB" w:rsidRDefault="00383888" w:rsidP="00B47699">
            <w:pPr>
              <w:jc w:val="right"/>
              <w:rPr>
                <w:sz w:val="16"/>
                <w:szCs w:val="16"/>
              </w:rPr>
            </w:pPr>
            <w:r w:rsidRPr="000615AB">
              <w:rPr>
                <w:sz w:val="16"/>
                <w:szCs w:val="16"/>
              </w:rPr>
              <w:t>24</w:t>
            </w:r>
          </w:p>
        </w:tc>
        <w:tc>
          <w:tcPr>
            <w:tcW w:w="550" w:type="dxa"/>
            <w:shd w:val="clear" w:color="auto" w:fill="auto"/>
          </w:tcPr>
          <w:p w:rsidR="00383888" w:rsidRPr="000615AB" w:rsidRDefault="00383888" w:rsidP="00B47699">
            <w:pPr>
              <w:jc w:val="right"/>
              <w:rPr>
                <w:sz w:val="16"/>
                <w:szCs w:val="16"/>
              </w:rPr>
            </w:pPr>
            <w:r w:rsidRPr="000615AB">
              <w:rPr>
                <w:sz w:val="16"/>
                <w:szCs w:val="16"/>
              </w:rPr>
              <w:t>132</w:t>
            </w:r>
          </w:p>
        </w:tc>
        <w:tc>
          <w:tcPr>
            <w:tcW w:w="550" w:type="dxa"/>
            <w:shd w:val="clear" w:color="auto" w:fill="auto"/>
            <w:tcMar>
              <w:top w:w="28" w:type="dxa"/>
              <w:bottom w:w="28" w:type="dxa"/>
            </w:tcMar>
          </w:tcPr>
          <w:p w:rsidR="00383888" w:rsidRPr="000615AB" w:rsidRDefault="00383888" w:rsidP="00B47699">
            <w:pPr>
              <w:jc w:val="right"/>
              <w:rPr>
                <w:sz w:val="16"/>
                <w:szCs w:val="16"/>
              </w:rPr>
            </w:pPr>
            <w:r w:rsidRPr="000615AB">
              <w:rPr>
                <w:sz w:val="16"/>
                <w:szCs w:val="16"/>
              </w:rPr>
              <w:t>2</w:t>
            </w:r>
          </w:p>
        </w:tc>
        <w:tc>
          <w:tcPr>
            <w:tcW w:w="550" w:type="dxa"/>
            <w:shd w:val="clear" w:color="auto" w:fill="auto"/>
            <w:tcMar>
              <w:top w:w="28" w:type="dxa"/>
              <w:bottom w:w="28" w:type="dxa"/>
            </w:tcMar>
          </w:tcPr>
          <w:p w:rsidR="00383888" w:rsidRPr="000615AB" w:rsidRDefault="00383888" w:rsidP="00B47699">
            <w:pPr>
              <w:jc w:val="right"/>
              <w:rPr>
                <w:sz w:val="16"/>
                <w:szCs w:val="16"/>
              </w:rPr>
            </w:pPr>
            <w:r w:rsidRPr="000615AB">
              <w:rPr>
                <w:sz w:val="16"/>
                <w:szCs w:val="16"/>
              </w:rPr>
              <w:t>309</w:t>
            </w:r>
          </w:p>
        </w:tc>
        <w:tc>
          <w:tcPr>
            <w:tcW w:w="990" w:type="dxa"/>
            <w:shd w:val="clear" w:color="auto" w:fill="auto"/>
            <w:tcMar>
              <w:top w:w="28" w:type="dxa"/>
              <w:bottom w:w="28" w:type="dxa"/>
            </w:tcMar>
          </w:tcPr>
          <w:p w:rsidR="00383888" w:rsidRPr="000615AB" w:rsidRDefault="00383888" w:rsidP="00B47699">
            <w:pPr>
              <w:jc w:val="right"/>
              <w:rPr>
                <w:sz w:val="16"/>
                <w:szCs w:val="16"/>
              </w:rPr>
            </w:pPr>
            <w:r w:rsidRPr="000615AB">
              <w:rPr>
                <w:sz w:val="16"/>
                <w:szCs w:val="16"/>
              </w:rPr>
              <w:t>26</w:t>
            </w:r>
          </w:p>
        </w:tc>
        <w:tc>
          <w:tcPr>
            <w:tcW w:w="550" w:type="dxa"/>
            <w:shd w:val="clear" w:color="auto" w:fill="auto"/>
            <w:tcMar>
              <w:top w:w="28" w:type="dxa"/>
              <w:bottom w:w="28" w:type="dxa"/>
            </w:tcMar>
          </w:tcPr>
          <w:p w:rsidR="00383888" w:rsidRPr="000615AB" w:rsidRDefault="00383888" w:rsidP="00B47699">
            <w:pPr>
              <w:jc w:val="right"/>
              <w:rPr>
                <w:sz w:val="16"/>
                <w:szCs w:val="16"/>
              </w:rPr>
            </w:pPr>
            <w:r w:rsidRPr="000615AB">
              <w:rPr>
                <w:sz w:val="16"/>
                <w:szCs w:val="16"/>
              </w:rPr>
              <w:t>77</w:t>
            </w:r>
          </w:p>
        </w:tc>
        <w:tc>
          <w:tcPr>
            <w:tcW w:w="550" w:type="dxa"/>
            <w:shd w:val="clear" w:color="auto" w:fill="auto"/>
            <w:tcMar>
              <w:top w:w="28" w:type="dxa"/>
              <w:bottom w:w="28" w:type="dxa"/>
            </w:tcMar>
          </w:tcPr>
          <w:p w:rsidR="00383888" w:rsidRPr="000615AB" w:rsidRDefault="00383888" w:rsidP="00B47699">
            <w:pPr>
              <w:jc w:val="right"/>
              <w:rPr>
                <w:sz w:val="16"/>
                <w:szCs w:val="16"/>
              </w:rPr>
            </w:pPr>
            <w:r w:rsidRPr="000615AB">
              <w:rPr>
                <w:sz w:val="16"/>
                <w:szCs w:val="16"/>
              </w:rPr>
              <w:t>71</w:t>
            </w:r>
          </w:p>
        </w:tc>
      </w:tr>
      <w:tr w:rsidR="00383888" w:rsidRPr="000615AB" w:rsidTr="00B47699">
        <w:tc>
          <w:tcPr>
            <w:tcW w:w="711" w:type="dxa"/>
            <w:shd w:val="clear" w:color="auto" w:fill="auto"/>
          </w:tcPr>
          <w:p w:rsidR="00383888" w:rsidRPr="000615AB" w:rsidRDefault="00383888" w:rsidP="00B47699">
            <w:pPr>
              <w:rPr>
                <w:sz w:val="16"/>
                <w:szCs w:val="16"/>
              </w:rPr>
            </w:pPr>
            <w:r w:rsidRPr="000615AB">
              <w:rPr>
                <w:sz w:val="16"/>
                <w:szCs w:val="16"/>
              </w:rPr>
              <w:t>2015</w:t>
            </w:r>
          </w:p>
        </w:tc>
        <w:tc>
          <w:tcPr>
            <w:tcW w:w="497" w:type="dxa"/>
            <w:shd w:val="clear" w:color="auto" w:fill="auto"/>
          </w:tcPr>
          <w:p w:rsidR="00383888" w:rsidRPr="000615AB" w:rsidRDefault="00383888" w:rsidP="00B47699">
            <w:pPr>
              <w:jc w:val="right"/>
              <w:rPr>
                <w:sz w:val="16"/>
                <w:szCs w:val="16"/>
              </w:rPr>
            </w:pPr>
            <w:r w:rsidRPr="000615AB">
              <w:rPr>
                <w:sz w:val="16"/>
                <w:szCs w:val="16"/>
              </w:rPr>
              <w:t>14</w:t>
            </w:r>
          </w:p>
        </w:tc>
        <w:tc>
          <w:tcPr>
            <w:tcW w:w="550" w:type="dxa"/>
            <w:shd w:val="clear" w:color="auto" w:fill="auto"/>
          </w:tcPr>
          <w:p w:rsidR="00383888" w:rsidRPr="000615AB" w:rsidRDefault="00383888" w:rsidP="00B47699">
            <w:pPr>
              <w:jc w:val="right"/>
              <w:rPr>
                <w:sz w:val="16"/>
                <w:szCs w:val="16"/>
              </w:rPr>
            </w:pPr>
            <w:r w:rsidRPr="000615AB">
              <w:rPr>
                <w:sz w:val="16"/>
                <w:szCs w:val="16"/>
              </w:rPr>
              <w:t>183</w:t>
            </w:r>
          </w:p>
        </w:tc>
        <w:tc>
          <w:tcPr>
            <w:tcW w:w="550" w:type="dxa"/>
            <w:shd w:val="clear" w:color="auto" w:fill="auto"/>
          </w:tcPr>
          <w:p w:rsidR="00383888" w:rsidRPr="000615AB" w:rsidRDefault="00383888" w:rsidP="00B47699">
            <w:pPr>
              <w:jc w:val="right"/>
              <w:rPr>
                <w:sz w:val="16"/>
                <w:szCs w:val="16"/>
              </w:rPr>
            </w:pPr>
            <w:r w:rsidRPr="000615AB">
              <w:rPr>
                <w:sz w:val="16"/>
                <w:szCs w:val="16"/>
              </w:rPr>
              <w:t>103</w:t>
            </w:r>
          </w:p>
        </w:tc>
        <w:tc>
          <w:tcPr>
            <w:tcW w:w="550" w:type="dxa"/>
            <w:shd w:val="clear" w:color="auto" w:fill="auto"/>
          </w:tcPr>
          <w:p w:rsidR="00383888" w:rsidRPr="000615AB" w:rsidRDefault="00383888" w:rsidP="00B47699">
            <w:pPr>
              <w:jc w:val="right"/>
              <w:rPr>
                <w:sz w:val="16"/>
                <w:szCs w:val="16"/>
              </w:rPr>
            </w:pPr>
            <w:r w:rsidRPr="000615AB">
              <w:rPr>
                <w:sz w:val="16"/>
                <w:szCs w:val="16"/>
              </w:rPr>
              <w:t>31</w:t>
            </w:r>
          </w:p>
        </w:tc>
        <w:tc>
          <w:tcPr>
            <w:tcW w:w="550" w:type="dxa"/>
            <w:shd w:val="clear" w:color="auto" w:fill="auto"/>
          </w:tcPr>
          <w:p w:rsidR="00383888" w:rsidRPr="000615AB" w:rsidRDefault="00383888" w:rsidP="00B47699">
            <w:pPr>
              <w:jc w:val="right"/>
              <w:rPr>
                <w:sz w:val="16"/>
                <w:szCs w:val="16"/>
              </w:rPr>
            </w:pPr>
            <w:r w:rsidRPr="000615AB">
              <w:rPr>
                <w:sz w:val="16"/>
                <w:szCs w:val="16"/>
              </w:rPr>
              <w:t>103</w:t>
            </w:r>
          </w:p>
        </w:tc>
        <w:tc>
          <w:tcPr>
            <w:tcW w:w="550" w:type="dxa"/>
            <w:shd w:val="clear" w:color="auto" w:fill="auto"/>
          </w:tcPr>
          <w:p w:rsidR="00383888" w:rsidRPr="000615AB" w:rsidRDefault="00383888" w:rsidP="00B47699">
            <w:pPr>
              <w:jc w:val="right"/>
              <w:rPr>
                <w:sz w:val="16"/>
                <w:szCs w:val="16"/>
              </w:rPr>
            </w:pPr>
            <w:r w:rsidRPr="000615AB">
              <w:rPr>
                <w:sz w:val="16"/>
                <w:szCs w:val="16"/>
              </w:rPr>
              <w:t>83</w:t>
            </w:r>
          </w:p>
        </w:tc>
        <w:tc>
          <w:tcPr>
            <w:tcW w:w="550" w:type="dxa"/>
            <w:shd w:val="clear" w:color="auto" w:fill="auto"/>
          </w:tcPr>
          <w:p w:rsidR="00383888" w:rsidRPr="000615AB" w:rsidRDefault="00383888" w:rsidP="00B47699">
            <w:pPr>
              <w:jc w:val="right"/>
              <w:rPr>
                <w:sz w:val="16"/>
                <w:szCs w:val="16"/>
              </w:rPr>
            </w:pPr>
            <w:r w:rsidRPr="000615AB">
              <w:rPr>
                <w:sz w:val="16"/>
                <w:szCs w:val="16"/>
              </w:rPr>
              <w:t>36</w:t>
            </w:r>
          </w:p>
        </w:tc>
        <w:tc>
          <w:tcPr>
            <w:tcW w:w="550" w:type="dxa"/>
            <w:shd w:val="clear" w:color="auto" w:fill="auto"/>
          </w:tcPr>
          <w:p w:rsidR="00383888" w:rsidRPr="000615AB" w:rsidRDefault="00383888" w:rsidP="00B47699">
            <w:pPr>
              <w:jc w:val="right"/>
              <w:rPr>
                <w:sz w:val="16"/>
                <w:szCs w:val="16"/>
              </w:rPr>
            </w:pPr>
            <w:r w:rsidRPr="000615AB">
              <w:rPr>
                <w:sz w:val="16"/>
                <w:szCs w:val="16"/>
              </w:rPr>
              <w:t>35</w:t>
            </w:r>
          </w:p>
        </w:tc>
        <w:tc>
          <w:tcPr>
            <w:tcW w:w="550" w:type="dxa"/>
            <w:shd w:val="clear" w:color="auto" w:fill="auto"/>
          </w:tcPr>
          <w:p w:rsidR="00383888" w:rsidRPr="000615AB" w:rsidRDefault="00383888" w:rsidP="00B47699">
            <w:pPr>
              <w:jc w:val="right"/>
              <w:rPr>
                <w:sz w:val="16"/>
                <w:szCs w:val="16"/>
              </w:rPr>
            </w:pPr>
            <w:r w:rsidRPr="000615AB">
              <w:rPr>
                <w:sz w:val="16"/>
                <w:szCs w:val="16"/>
              </w:rPr>
              <w:t>32</w:t>
            </w:r>
          </w:p>
        </w:tc>
        <w:tc>
          <w:tcPr>
            <w:tcW w:w="550" w:type="dxa"/>
            <w:shd w:val="clear" w:color="auto" w:fill="auto"/>
          </w:tcPr>
          <w:p w:rsidR="00383888" w:rsidRPr="000615AB" w:rsidRDefault="00383888" w:rsidP="00B47699">
            <w:pPr>
              <w:jc w:val="right"/>
              <w:rPr>
                <w:sz w:val="16"/>
                <w:szCs w:val="16"/>
              </w:rPr>
            </w:pPr>
            <w:r w:rsidRPr="000615AB">
              <w:rPr>
                <w:sz w:val="16"/>
                <w:szCs w:val="16"/>
              </w:rPr>
              <w:t>171</w:t>
            </w:r>
          </w:p>
        </w:tc>
        <w:tc>
          <w:tcPr>
            <w:tcW w:w="550" w:type="dxa"/>
            <w:shd w:val="clear" w:color="auto" w:fill="auto"/>
            <w:tcMar>
              <w:top w:w="28" w:type="dxa"/>
              <w:bottom w:w="28" w:type="dxa"/>
            </w:tcMar>
          </w:tcPr>
          <w:p w:rsidR="00383888" w:rsidRPr="000615AB" w:rsidRDefault="00383888" w:rsidP="00B47699">
            <w:pPr>
              <w:jc w:val="right"/>
              <w:rPr>
                <w:sz w:val="16"/>
                <w:szCs w:val="16"/>
              </w:rPr>
            </w:pPr>
            <w:r w:rsidRPr="000615AB">
              <w:rPr>
                <w:sz w:val="16"/>
                <w:szCs w:val="16"/>
              </w:rPr>
              <w:t>3</w:t>
            </w:r>
          </w:p>
        </w:tc>
        <w:tc>
          <w:tcPr>
            <w:tcW w:w="550" w:type="dxa"/>
            <w:shd w:val="clear" w:color="auto" w:fill="auto"/>
            <w:tcMar>
              <w:top w:w="28" w:type="dxa"/>
              <w:bottom w:w="28" w:type="dxa"/>
            </w:tcMar>
          </w:tcPr>
          <w:p w:rsidR="00383888" w:rsidRPr="000615AB" w:rsidRDefault="00383888" w:rsidP="00B47699">
            <w:pPr>
              <w:jc w:val="right"/>
              <w:rPr>
                <w:sz w:val="16"/>
                <w:szCs w:val="16"/>
              </w:rPr>
            </w:pPr>
            <w:r w:rsidRPr="000615AB">
              <w:rPr>
                <w:sz w:val="16"/>
                <w:szCs w:val="16"/>
              </w:rPr>
              <w:t>394</w:t>
            </w:r>
          </w:p>
        </w:tc>
        <w:tc>
          <w:tcPr>
            <w:tcW w:w="990" w:type="dxa"/>
            <w:shd w:val="clear" w:color="auto" w:fill="auto"/>
            <w:tcMar>
              <w:top w:w="28" w:type="dxa"/>
              <w:bottom w:w="28" w:type="dxa"/>
            </w:tcMar>
          </w:tcPr>
          <w:p w:rsidR="00383888" w:rsidRPr="000615AB" w:rsidRDefault="00383888" w:rsidP="00B47699">
            <w:pPr>
              <w:jc w:val="right"/>
              <w:rPr>
                <w:sz w:val="16"/>
                <w:szCs w:val="16"/>
              </w:rPr>
            </w:pPr>
            <w:r w:rsidRPr="000615AB">
              <w:rPr>
                <w:sz w:val="16"/>
                <w:szCs w:val="16"/>
              </w:rPr>
              <w:t>34</w:t>
            </w:r>
          </w:p>
        </w:tc>
        <w:tc>
          <w:tcPr>
            <w:tcW w:w="550" w:type="dxa"/>
            <w:shd w:val="clear" w:color="auto" w:fill="auto"/>
            <w:tcMar>
              <w:top w:w="28" w:type="dxa"/>
              <w:bottom w:w="28" w:type="dxa"/>
            </w:tcMar>
          </w:tcPr>
          <w:p w:rsidR="00383888" w:rsidRPr="000615AB" w:rsidRDefault="00383888" w:rsidP="00B47699">
            <w:pPr>
              <w:jc w:val="right"/>
              <w:rPr>
                <w:sz w:val="16"/>
                <w:szCs w:val="16"/>
              </w:rPr>
            </w:pPr>
            <w:r w:rsidRPr="000615AB">
              <w:rPr>
                <w:sz w:val="16"/>
                <w:szCs w:val="16"/>
              </w:rPr>
              <w:t>100</w:t>
            </w:r>
          </w:p>
        </w:tc>
        <w:tc>
          <w:tcPr>
            <w:tcW w:w="550" w:type="dxa"/>
            <w:shd w:val="clear" w:color="auto" w:fill="auto"/>
            <w:tcMar>
              <w:top w:w="28" w:type="dxa"/>
              <w:bottom w:w="28" w:type="dxa"/>
            </w:tcMar>
          </w:tcPr>
          <w:p w:rsidR="00383888" w:rsidRPr="000615AB" w:rsidRDefault="00383888" w:rsidP="00B47699">
            <w:pPr>
              <w:jc w:val="right"/>
              <w:rPr>
                <w:sz w:val="16"/>
                <w:szCs w:val="16"/>
              </w:rPr>
            </w:pPr>
            <w:r w:rsidRPr="000615AB">
              <w:rPr>
                <w:sz w:val="16"/>
                <w:szCs w:val="16"/>
              </w:rPr>
              <w:t>93</w:t>
            </w:r>
          </w:p>
        </w:tc>
      </w:tr>
      <w:tr w:rsidR="00383888" w:rsidRPr="000615AB" w:rsidTr="00B47699">
        <w:tc>
          <w:tcPr>
            <w:tcW w:w="711" w:type="dxa"/>
            <w:shd w:val="clear" w:color="auto" w:fill="auto"/>
          </w:tcPr>
          <w:p w:rsidR="00383888" w:rsidRPr="000615AB" w:rsidRDefault="00383888" w:rsidP="00B47699">
            <w:pPr>
              <w:rPr>
                <w:sz w:val="16"/>
                <w:szCs w:val="16"/>
              </w:rPr>
            </w:pPr>
            <w:r w:rsidRPr="000615AB">
              <w:rPr>
                <w:sz w:val="16"/>
                <w:szCs w:val="16"/>
              </w:rPr>
              <w:t>2016</w:t>
            </w:r>
          </w:p>
        </w:tc>
        <w:tc>
          <w:tcPr>
            <w:tcW w:w="497" w:type="dxa"/>
            <w:shd w:val="clear" w:color="auto" w:fill="auto"/>
          </w:tcPr>
          <w:p w:rsidR="00383888" w:rsidRPr="000615AB" w:rsidRDefault="00383888" w:rsidP="00B47699">
            <w:pPr>
              <w:jc w:val="right"/>
              <w:rPr>
                <w:sz w:val="16"/>
                <w:szCs w:val="16"/>
              </w:rPr>
            </w:pPr>
            <w:r w:rsidRPr="000615AB">
              <w:rPr>
                <w:sz w:val="16"/>
                <w:szCs w:val="16"/>
              </w:rPr>
              <w:t>17</w:t>
            </w:r>
          </w:p>
        </w:tc>
        <w:tc>
          <w:tcPr>
            <w:tcW w:w="550" w:type="dxa"/>
            <w:shd w:val="clear" w:color="auto" w:fill="auto"/>
          </w:tcPr>
          <w:p w:rsidR="00383888" w:rsidRPr="000615AB" w:rsidRDefault="00383888" w:rsidP="00B47699">
            <w:pPr>
              <w:jc w:val="right"/>
              <w:rPr>
                <w:sz w:val="16"/>
                <w:szCs w:val="16"/>
              </w:rPr>
            </w:pPr>
            <w:r w:rsidRPr="000615AB">
              <w:rPr>
                <w:sz w:val="16"/>
                <w:szCs w:val="16"/>
              </w:rPr>
              <w:t>224</w:t>
            </w:r>
          </w:p>
        </w:tc>
        <w:tc>
          <w:tcPr>
            <w:tcW w:w="550" w:type="dxa"/>
            <w:shd w:val="clear" w:color="auto" w:fill="auto"/>
          </w:tcPr>
          <w:p w:rsidR="00383888" w:rsidRPr="000615AB" w:rsidRDefault="00383888" w:rsidP="00B47699">
            <w:pPr>
              <w:jc w:val="right"/>
              <w:rPr>
                <w:sz w:val="16"/>
                <w:szCs w:val="16"/>
              </w:rPr>
            </w:pPr>
            <w:r w:rsidRPr="000615AB">
              <w:rPr>
                <w:sz w:val="16"/>
                <w:szCs w:val="16"/>
              </w:rPr>
              <w:t>128</w:t>
            </w:r>
          </w:p>
        </w:tc>
        <w:tc>
          <w:tcPr>
            <w:tcW w:w="550" w:type="dxa"/>
            <w:shd w:val="clear" w:color="auto" w:fill="auto"/>
          </w:tcPr>
          <w:p w:rsidR="00383888" w:rsidRPr="000615AB" w:rsidRDefault="00383888" w:rsidP="00B47699">
            <w:pPr>
              <w:jc w:val="right"/>
              <w:rPr>
                <w:sz w:val="16"/>
                <w:szCs w:val="16"/>
              </w:rPr>
            </w:pPr>
            <w:r w:rsidRPr="000615AB">
              <w:rPr>
                <w:sz w:val="16"/>
                <w:szCs w:val="16"/>
              </w:rPr>
              <w:t>39</w:t>
            </w:r>
          </w:p>
        </w:tc>
        <w:tc>
          <w:tcPr>
            <w:tcW w:w="550" w:type="dxa"/>
            <w:shd w:val="clear" w:color="auto" w:fill="auto"/>
          </w:tcPr>
          <w:p w:rsidR="00383888" w:rsidRPr="000615AB" w:rsidRDefault="00383888" w:rsidP="00B47699">
            <w:pPr>
              <w:jc w:val="right"/>
              <w:rPr>
                <w:sz w:val="16"/>
                <w:szCs w:val="16"/>
              </w:rPr>
            </w:pPr>
            <w:r w:rsidRPr="000615AB">
              <w:rPr>
                <w:sz w:val="16"/>
                <w:szCs w:val="16"/>
              </w:rPr>
              <w:t>126</w:t>
            </w:r>
          </w:p>
        </w:tc>
        <w:tc>
          <w:tcPr>
            <w:tcW w:w="550" w:type="dxa"/>
            <w:shd w:val="clear" w:color="auto" w:fill="auto"/>
          </w:tcPr>
          <w:p w:rsidR="00383888" w:rsidRPr="000615AB" w:rsidRDefault="00383888" w:rsidP="00B47699">
            <w:pPr>
              <w:jc w:val="right"/>
              <w:rPr>
                <w:sz w:val="16"/>
                <w:szCs w:val="16"/>
              </w:rPr>
            </w:pPr>
            <w:r w:rsidRPr="000615AB">
              <w:rPr>
                <w:sz w:val="16"/>
                <w:szCs w:val="16"/>
              </w:rPr>
              <w:t>102</w:t>
            </w:r>
          </w:p>
        </w:tc>
        <w:tc>
          <w:tcPr>
            <w:tcW w:w="550" w:type="dxa"/>
            <w:shd w:val="clear" w:color="auto" w:fill="auto"/>
          </w:tcPr>
          <w:p w:rsidR="00383888" w:rsidRPr="000615AB" w:rsidRDefault="00383888" w:rsidP="00B47699">
            <w:pPr>
              <w:jc w:val="right"/>
              <w:rPr>
                <w:sz w:val="16"/>
                <w:szCs w:val="16"/>
              </w:rPr>
            </w:pPr>
            <w:r w:rsidRPr="000615AB">
              <w:rPr>
                <w:sz w:val="16"/>
                <w:szCs w:val="16"/>
              </w:rPr>
              <w:t>44</w:t>
            </w:r>
          </w:p>
        </w:tc>
        <w:tc>
          <w:tcPr>
            <w:tcW w:w="550" w:type="dxa"/>
            <w:shd w:val="clear" w:color="auto" w:fill="auto"/>
          </w:tcPr>
          <w:p w:rsidR="00383888" w:rsidRPr="000615AB" w:rsidRDefault="00383888" w:rsidP="00B47699">
            <w:pPr>
              <w:jc w:val="right"/>
              <w:rPr>
                <w:sz w:val="16"/>
                <w:szCs w:val="16"/>
              </w:rPr>
            </w:pPr>
            <w:r w:rsidRPr="000615AB">
              <w:rPr>
                <w:sz w:val="16"/>
                <w:szCs w:val="16"/>
              </w:rPr>
              <w:t>43</w:t>
            </w:r>
          </w:p>
        </w:tc>
        <w:tc>
          <w:tcPr>
            <w:tcW w:w="550" w:type="dxa"/>
            <w:shd w:val="clear" w:color="auto" w:fill="auto"/>
          </w:tcPr>
          <w:p w:rsidR="00383888" w:rsidRPr="000615AB" w:rsidRDefault="00383888" w:rsidP="00B47699">
            <w:pPr>
              <w:jc w:val="right"/>
              <w:rPr>
                <w:sz w:val="16"/>
                <w:szCs w:val="16"/>
              </w:rPr>
            </w:pPr>
            <w:r w:rsidRPr="000615AB">
              <w:rPr>
                <w:sz w:val="16"/>
                <w:szCs w:val="16"/>
              </w:rPr>
              <w:t>39</w:t>
            </w:r>
          </w:p>
        </w:tc>
        <w:tc>
          <w:tcPr>
            <w:tcW w:w="550" w:type="dxa"/>
            <w:shd w:val="clear" w:color="auto" w:fill="auto"/>
          </w:tcPr>
          <w:p w:rsidR="00383888" w:rsidRPr="000615AB" w:rsidRDefault="00383888" w:rsidP="00B47699">
            <w:pPr>
              <w:jc w:val="right"/>
              <w:rPr>
                <w:sz w:val="16"/>
                <w:szCs w:val="16"/>
              </w:rPr>
            </w:pPr>
            <w:r w:rsidRPr="000615AB">
              <w:rPr>
                <w:sz w:val="16"/>
                <w:szCs w:val="16"/>
              </w:rPr>
              <w:t>213</w:t>
            </w:r>
          </w:p>
        </w:tc>
        <w:tc>
          <w:tcPr>
            <w:tcW w:w="550" w:type="dxa"/>
            <w:shd w:val="clear" w:color="auto" w:fill="auto"/>
            <w:tcMar>
              <w:top w:w="28" w:type="dxa"/>
              <w:bottom w:w="28" w:type="dxa"/>
            </w:tcMar>
          </w:tcPr>
          <w:p w:rsidR="00383888" w:rsidRPr="000615AB" w:rsidRDefault="00383888" w:rsidP="00B47699">
            <w:pPr>
              <w:jc w:val="right"/>
              <w:rPr>
                <w:sz w:val="16"/>
                <w:szCs w:val="16"/>
              </w:rPr>
            </w:pPr>
            <w:r w:rsidRPr="000615AB">
              <w:rPr>
                <w:sz w:val="16"/>
                <w:szCs w:val="16"/>
              </w:rPr>
              <w:t>4</w:t>
            </w:r>
          </w:p>
        </w:tc>
        <w:tc>
          <w:tcPr>
            <w:tcW w:w="550" w:type="dxa"/>
            <w:shd w:val="clear" w:color="auto" w:fill="auto"/>
            <w:tcMar>
              <w:top w:w="28" w:type="dxa"/>
              <w:bottom w:w="28" w:type="dxa"/>
            </w:tcMar>
          </w:tcPr>
          <w:p w:rsidR="00383888" w:rsidRPr="000615AB" w:rsidRDefault="00383888" w:rsidP="00B47699">
            <w:pPr>
              <w:jc w:val="right"/>
              <w:rPr>
                <w:sz w:val="16"/>
                <w:szCs w:val="16"/>
              </w:rPr>
            </w:pPr>
            <w:r w:rsidRPr="000615AB">
              <w:rPr>
                <w:sz w:val="16"/>
                <w:szCs w:val="16"/>
              </w:rPr>
              <w:t>484</w:t>
            </w:r>
          </w:p>
        </w:tc>
        <w:tc>
          <w:tcPr>
            <w:tcW w:w="990" w:type="dxa"/>
            <w:shd w:val="clear" w:color="auto" w:fill="auto"/>
            <w:tcMar>
              <w:top w:w="28" w:type="dxa"/>
              <w:bottom w:w="28" w:type="dxa"/>
            </w:tcMar>
          </w:tcPr>
          <w:p w:rsidR="00383888" w:rsidRPr="000615AB" w:rsidRDefault="00383888" w:rsidP="00B47699">
            <w:pPr>
              <w:jc w:val="right"/>
              <w:rPr>
                <w:sz w:val="16"/>
                <w:szCs w:val="16"/>
              </w:rPr>
            </w:pPr>
            <w:r w:rsidRPr="000615AB">
              <w:rPr>
                <w:sz w:val="16"/>
                <w:szCs w:val="16"/>
              </w:rPr>
              <w:t>43</w:t>
            </w:r>
          </w:p>
        </w:tc>
        <w:tc>
          <w:tcPr>
            <w:tcW w:w="550" w:type="dxa"/>
            <w:shd w:val="clear" w:color="auto" w:fill="auto"/>
            <w:tcMar>
              <w:top w:w="28" w:type="dxa"/>
              <w:bottom w:w="28" w:type="dxa"/>
            </w:tcMar>
          </w:tcPr>
          <w:p w:rsidR="00383888" w:rsidRPr="000615AB" w:rsidRDefault="00383888" w:rsidP="00B47699">
            <w:pPr>
              <w:jc w:val="right"/>
              <w:rPr>
                <w:sz w:val="16"/>
                <w:szCs w:val="16"/>
              </w:rPr>
            </w:pPr>
            <w:r w:rsidRPr="000615AB">
              <w:rPr>
                <w:sz w:val="16"/>
                <w:szCs w:val="16"/>
              </w:rPr>
              <w:t>125</w:t>
            </w:r>
          </w:p>
        </w:tc>
        <w:tc>
          <w:tcPr>
            <w:tcW w:w="550" w:type="dxa"/>
            <w:shd w:val="clear" w:color="auto" w:fill="auto"/>
            <w:tcMar>
              <w:top w:w="28" w:type="dxa"/>
              <w:bottom w:w="28" w:type="dxa"/>
            </w:tcMar>
          </w:tcPr>
          <w:p w:rsidR="00383888" w:rsidRPr="000615AB" w:rsidRDefault="00383888" w:rsidP="00B47699">
            <w:pPr>
              <w:jc w:val="right"/>
              <w:rPr>
                <w:sz w:val="16"/>
                <w:szCs w:val="16"/>
              </w:rPr>
            </w:pPr>
            <w:r w:rsidRPr="000615AB">
              <w:rPr>
                <w:sz w:val="16"/>
                <w:szCs w:val="16"/>
              </w:rPr>
              <w:t>116</w:t>
            </w:r>
          </w:p>
        </w:tc>
      </w:tr>
      <w:tr w:rsidR="00383888" w:rsidRPr="000615AB" w:rsidTr="00B47699">
        <w:tc>
          <w:tcPr>
            <w:tcW w:w="711" w:type="dxa"/>
            <w:shd w:val="clear" w:color="auto" w:fill="auto"/>
          </w:tcPr>
          <w:p w:rsidR="00383888" w:rsidRPr="000615AB" w:rsidRDefault="00383888" w:rsidP="00B47699">
            <w:pPr>
              <w:rPr>
                <w:sz w:val="16"/>
                <w:szCs w:val="16"/>
              </w:rPr>
            </w:pPr>
            <w:r w:rsidRPr="000615AB">
              <w:rPr>
                <w:sz w:val="16"/>
                <w:szCs w:val="16"/>
              </w:rPr>
              <w:t>2017</w:t>
            </w:r>
          </w:p>
        </w:tc>
        <w:tc>
          <w:tcPr>
            <w:tcW w:w="497" w:type="dxa"/>
            <w:shd w:val="clear" w:color="auto" w:fill="auto"/>
          </w:tcPr>
          <w:p w:rsidR="00383888" w:rsidRPr="000615AB" w:rsidRDefault="00383888" w:rsidP="00B47699">
            <w:pPr>
              <w:jc w:val="right"/>
              <w:rPr>
                <w:sz w:val="16"/>
                <w:szCs w:val="16"/>
              </w:rPr>
            </w:pPr>
            <w:r w:rsidRPr="000615AB">
              <w:rPr>
                <w:sz w:val="16"/>
                <w:szCs w:val="16"/>
              </w:rPr>
              <w:t>20</w:t>
            </w:r>
          </w:p>
        </w:tc>
        <w:tc>
          <w:tcPr>
            <w:tcW w:w="550" w:type="dxa"/>
            <w:shd w:val="clear" w:color="auto" w:fill="auto"/>
          </w:tcPr>
          <w:p w:rsidR="00383888" w:rsidRPr="000615AB" w:rsidRDefault="00383888" w:rsidP="00B47699">
            <w:pPr>
              <w:jc w:val="right"/>
              <w:rPr>
                <w:sz w:val="16"/>
                <w:szCs w:val="16"/>
              </w:rPr>
            </w:pPr>
            <w:r w:rsidRPr="000615AB">
              <w:rPr>
                <w:sz w:val="16"/>
                <w:szCs w:val="16"/>
              </w:rPr>
              <w:t>266</w:t>
            </w:r>
          </w:p>
        </w:tc>
        <w:tc>
          <w:tcPr>
            <w:tcW w:w="550" w:type="dxa"/>
            <w:shd w:val="clear" w:color="auto" w:fill="auto"/>
          </w:tcPr>
          <w:p w:rsidR="00383888" w:rsidRPr="000615AB" w:rsidRDefault="00383888" w:rsidP="00B47699">
            <w:pPr>
              <w:jc w:val="right"/>
              <w:rPr>
                <w:sz w:val="16"/>
                <w:szCs w:val="16"/>
              </w:rPr>
            </w:pPr>
            <w:r w:rsidRPr="000615AB">
              <w:rPr>
                <w:sz w:val="16"/>
                <w:szCs w:val="16"/>
              </w:rPr>
              <w:t>154</w:t>
            </w:r>
          </w:p>
        </w:tc>
        <w:tc>
          <w:tcPr>
            <w:tcW w:w="550" w:type="dxa"/>
            <w:shd w:val="clear" w:color="auto" w:fill="auto"/>
          </w:tcPr>
          <w:p w:rsidR="00383888" w:rsidRPr="000615AB" w:rsidRDefault="00383888" w:rsidP="00B47699">
            <w:pPr>
              <w:jc w:val="right"/>
              <w:rPr>
                <w:sz w:val="16"/>
                <w:szCs w:val="16"/>
              </w:rPr>
            </w:pPr>
            <w:r w:rsidRPr="000615AB">
              <w:rPr>
                <w:sz w:val="16"/>
                <w:szCs w:val="16"/>
              </w:rPr>
              <w:t>47</w:t>
            </w:r>
          </w:p>
        </w:tc>
        <w:tc>
          <w:tcPr>
            <w:tcW w:w="550" w:type="dxa"/>
            <w:shd w:val="clear" w:color="auto" w:fill="auto"/>
          </w:tcPr>
          <w:p w:rsidR="00383888" w:rsidRPr="000615AB" w:rsidRDefault="00383888" w:rsidP="00B47699">
            <w:pPr>
              <w:jc w:val="right"/>
              <w:rPr>
                <w:sz w:val="16"/>
                <w:szCs w:val="16"/>
              </w:rPr>
            </w:pPr>
            <w:r w:rsidRPr="000615AB">
              <w:rPr>
                <w:sz w:val="16"/>
                <w:szCs w:val="16"/>
              </w:rPr>
              <w:t>151</w:t>
            </w:r>
          </w:p>
        </w:tc>
        <w:tc>
          <w:tcPr>
            <w:tcW w:w="550" w:type="dxa"/>
            <w:shd w:val="clear" w:color="auto" w:fill="auto"/>
          </w:tcPr>
          <w:p w:rsidR="00383888" w:rsidRPr="000615AB" w:rsidRDefault="00383888" w:rsidP="00B47699">
            <w:pPr>
              <w:jc w:val="right"/>
              <w:rPr>
                <w:sz w:val="16"/>
                <w:szCs w:val="16"/>
              </w:rPr>
            </w:pPr>
            <w:r w:rsidRPr="000615AB">
              <w:rPr>
                <w:sz w:val="16"/>
                <w:szCs w:val="16"/>
              </w:rPr>
              <w:t>122</w:t>
            </w:r>
          </w:p>
        </w:tc>
        <w:tc>
          <w:tcPr>
            <w:tcW w:w="550" w:type="dxa"/>
            <w:shd w:val="clear" w:color="auto" w:fill="auto"/>
          </w:tcPr>
          <w:p w:rsidR="00383888" w:rsidRPr="000615AB" w:rsidRDefault="00383888" w:rsidP="00B47699">
            <w:pPr>
              <w:jc w:val="right"/>
              <w:rPr>
                <w:sz w:val="16"/>
                <w:szCs w:val="16"/>
              </w:rPr>
            </w:pPr>
            <w:r w:rsidRPr="000615AB">
              <w:rPr>
                <w:sz w:val="16"/>
                <w:szCs w:val="16"/>
              </w:rPr>
              <w:t>52</w:t>
            </w:r>
          </w:p>
        </w:tc>
        <w:tc>
          <w:tcPr>
            <w:tcW w:w="550" w:type="dxa"/>
            <w:shd w:val="clear" w:color="auto" w:fill="auto"/>
          </w:tcPr>
          <w:p w:rsidR="00383888" w:rsidRPr="000615AB" w:rsidRDefault="00383888" w:rsidP="00B47699">
            <w:pPr>
              <w:jc w:val="right"/>
              <w:rPr>
                <w:sz w:val="16"/>
                <w:szCs w:val="16"/>
              </w:rPr>
            </w:pPr>
            <w:r w:rsidRPr="000615AB">
              <w:rPr>
                <w:sz w:val="16"/>
                <w:szCs w:val="16"/>
              </w:rPr>
              <w:t>51</w:t>
            </w:r>
          </w:p>
        </w:tc>
        <w:tc>
          <w:tcPr>
            <w:tcW w:w="550" w:type="dxa"/>
            <w:shd w:val="clear" w:color="auto" w:fill="auto"/>
          </w:tcPr>
          <w:p w:rsidR="00383888" w:rsidRPr="000615AB" w:rsidRDefault="00383888" w:rsidP="00B47699">
            <w:pPr>
              <w:jc w:val="right"/>
              <w:rPr>
                <w:sz w:val="16"/>
                <w:szCs w:val="16"/>
              </w:rPr>
            </w:pPr>
            <w:r w:rsidRPr="000615AB">
              <w:rPr>
                <w:sz w:val="16"/>
                <w:szCs w:val="16"/>
              </w:rPr>
              <w:t>47</w:t>
            </w:r>
          </w:p>
        </w:tc>
        <w:tc>
          <w:tcPr>
            <w:tcW w:w="550" w:type="dxa"/>
            <w:shd w:val="clear" w:color="auto" w:fill="auto"/>
          </w:tcPr>
          <w:p w:rsidR="00383888" w:rsidRPr="000615AB" w:rsidRDefault="00383888" w:rsidP="00B47699">
            <w:pPr>
              <w:jc w:val="right"/>
              <w:rPr>
                <w:sz w:val="16"/>
                <w:szCs w:val="16"/>
              </w:rPr>
            </w:pPr>
            <w:r w:rsidRPr="000615AB">
              <w:rPr>
                <w:sz w:val="16"/>
                <w:szCs w:val="16"/>
              </w:rPr>
              <w:t>257</w:t>
            </w:r>
          </w:p>
        </w:tc>
        <w:tc>
          <w:tcPr>
            <w:tcW w:w="550" w:type="dxa"/>
            <w:shd w:val="clear" w:color="auto" w:fill="auto"/>
            <w:tcMar>
              <w:top w:w="28" w:type="dxa"/>
              <w:bottom w:w="28" w:type="dxa"/>
            </w:tcMar>
          </w:tcPr>
          <w:p w:rsidR="00383888" w:rsidRPr="000615AB" w:rsidRDefault="00383888" w:rsidP="00B47699">
            <w:pPr>
              <w:jc w:val="right"/>
              <w:rPr>
                <w:sz w:val="16"/>
                <w:szCs w:val="16"/>
              </w:rPr>
            </w:pPr>
            <w:r w:rsidRPr="000615AB">
              <w:rPr>
                <w:sz w:val="16"/>
                <w:szCs w:val="16"/>
              </w:rPr>
              <w:t>5</w:t>
            </w:r>
          </w:p>
        </w:tc>
        <w:tc>
          <w:tcPr>
            <w:tcW w:w="550" w:type="dxa"/>
            <w:shd w:val="clear" w:color="auto" w:fill="auto"/>
            <w:tcMar>
              <w:top w:w="28" w:type="dxa"/>
              <w:bottom w:w="28" w:type="dxa"/>
            </w:tcMar>
          </w:tcPr>
          <w:p w:rsidR="00383888" w:rsidRPr="000615AB" w:rsidRDefault="00383888" w:rsidP="00B47699">
            <w:pPr>
              <w:jc w:val="right"/>
              <w:rPr>
                <w:sz w:val="16"/>
                <w:szCs w:val="16"/>
              </w:rPr>
            </w:pPr>
            <w:r w:rsidRPr="000615AB">
              <w:rPr>
                <w:sz w:val="16"/>
                <w:szCs w:val="16"/>
              </w:rPr>
              <w:t>576</w:t>
            </w:r>
          </w:p>
        </w:tc>
        <w:tc>
          <w:tcPr>
            <w:tcW w:w="990" w:type="dxa"/>
            <w:shd w:val="clear" w:color="auto" w:fill="auto"/>
            <w:tcMar>
              <w:top w:w="28" w:type="dxa"/>
              <w:bottom w:w="28" w:type="dxa"/>
            </w:tcMar>
          </w:tcPr>
          <w:p w:rsidR="00383888" w:rsidRPr="000615AB" w:rsidRDefault="00383888" w:rsidP="00B47699">
            <w:pPr>
              <w:jc w:val="right"/>
              <w:rPr>
                <w:sz w:val="16"/>
                <w:szCs w:val="16"/>
              </w:rPr>
            </w:pPr>
          </w:p>
        </w:tc>
        <w:tc>
          <w:tcPr>
            <w:tcW w:w="550" w:type="dxa"/>
            <w:shd w:val="clear" w:color="auto" w:fill="auto"/>
            <w:tcMar>
              <w:top w:w="28" w:type="dxa"/>
              <w:bottom w:w="28" w:type="dxa"/>
            </w:tcMar>
          </w:tcPr>
          <w:p w:rsidR="00383888" w:rsidRPr="000615AB" w:rsidRDefault="00383888" w:rsidP="00B47699">
            <w:pPr>
              <w:jc w:val="right"/>
              <w:rPr>
                <w:sz w:val="16"/>
                <w:szCs w:val="16"/>
              </w:rPr>
            </w:pPr>
            <w:r w:rsidRPr="000615AB">
              <w:rPr>
                <w:sz w:val="16"/>
                <w:szCs w:val="16"/>
              </w:rPr>
              <w:t>150</w:t>
            </w:r>
          </w:p>
        </w:tc>
        <w:tc>
          <w:tcPr>
            <w:tcW w:w="550" w:type="dxa"/>
            <w:shd w:val="clear" w:color="auto" w:fill="auto"/>
            <w:tcMar>
              <w:top w:w="28" w:type="dxa"/>
              <w:bottom w:w="28" w:type="dxa"/>
            </w:tcMar>
          </w:tcPr>
          <w:p w:rsidR="00383888" w:rsidRPr="000615AB" w:rsidRDefault="00383888" w:rsidP="00B47699">
            <w:pPr>
              <w:jc w:val="right"/>
              <w:rPr>
                <w:sz w:val="16"/>
                <w:szCs w:val="16"/>
              </w:rPr>
            </w:pPr>
            <w:r w:rsidRPr="000615AB">
              <w:rPr>
                <w:sz w:val="16"/>
                <w:szCs w:val="16"/>
              </w:rPr>
              <w:t>139</w:t>
            </w:r>
          </w:p>
        </w:tc>
      </w:tr>
      <w:tr w:rsidR="00383888" w:rsidRPr="000615AB" w:rsidTr="00B47699">
        <w:tc>
          <w:tcPr>
            <w:tcW w:w="711" w:type="dxa"/>
            <w:shd w:val="clear" w:color="auto" w:fill="auto"/>
          </w:tcPr>
          <w:p w:rsidR="00383888" w:rsidRPr="000615AB" w:rsidRDefault="00383888" w:rsidP="00B47699">
            <w:pPr>
              <w:rPr>
                <w:sz w:val="16"/>
                <w:szCs w:val="16"/>
              </w:rPr>
            </w:pPr>
            <w:r w:rsidRPr="000615AB">
              <w:rPr>
                <w:sz w:val="16"/>
                <w:szCs w:val="16"/>
              </w:rPr>
              <w:t>2018</w:t>
            </w:r>
          </w:p>
        </w:tc>
        <w:tc>
          <w:tcPr>
            <w:tcW w:w="497" w:type="dxa"/>
            <w:shd w:val="clear" w:color="auto" w:fill="auto"/>
          </w:tcPr>
          <w:p w:rsidR="00383888" w:rsidRPr="000615AB" w:rsidRDefault="00383888" w:rsidP="00B47699">
            <w:pPr>
              <w:jc w:val="right"/>
              <w:rPr>
                <w:sz w:val="16"/>
                <w:szCs w:val="16"/>
              </w:rPr>
            </w:pPr>
            <w:r w:rsidRPr="000615AB">
              <w:rPr>
                <w:sz w:val="16"/>
                <w:szCs w:val="16"/>
              </w:rPr>
              <w:t>24</w:t>
            </w:r>
          </w:p>
        </w:tc>
        <w:tc>
          <w:tcPr>
            <w:tcW w:w="550" w:type="dxa"/>
            <w:shd w:val="clear" w:color="auto" w:fill="auto"/>
          </w:tcPr>
          <w:p w:rsidR="00383888" w:rsidRPr="000615AB" w:rsidRDefault="00383888" w:rsidP="00B47699">
            <w:pPr>
              <w:jc w:val="right"/>
              <w:rPr>
                <w:sz w:val="16"/>
                <w:szCs w:val="16"/>
              </w:rPr>
            </w:pPr>
            <w:r w:rsidRPr="000615AB">
              <w:rPr>
                <w:sz w:val="16"/>
                <w:szCs w:val="16"/>
              </w:rPr>
              <w:t>312</w:t>
            </w:r>
          </w:p>
        </w:tc>
        <w:tc>
          <w:tcPr>
            <w:tcW w:w="550" w:type="dxa"/>
            <w:shd w:val="clear" w:color="auto" w:fill="auto"/>
          </w:tcPr>
          <w:p w:rsidR="00383888" w:rsidRPr="000615AB" w:rsidRDefault="00383888" w:rsidP="00B47699">
            <w:pPr>
              <w:jc w:val="right"/>
              <w:rPr>
                <w:sz w:val="16"/>
                <w:szCs w:val="16"/>
              </w:rPr>
            </w:pPr>
            <w:r w:rsidRPr="000615AB">
              <w:rPr>
                <w:sz w:val="16"/>
                <w:szCs w:val="16"/>
              </w:rPr>
              <w:t>182</w:t>
            </w:r>
          </w:p>
        </w:tc>
        <w:tc>
          <w:tcPr>
            <w:tcW w:w="550" w:type="dxa"/>
            <w:shd w:val="clear" w:color="auto" w:fill="auto"/>
          </w:tcPr>
          <w:p w:rsidR="00383888" w:rsidRPr="000615AB" w:rsidRDefault="00383888" w:rsidP="00B47699">
            <w:pPr>
              <w:jc w:val="right"/>
              <w:rPr>
                <w:sz w:val="16"/>
                <w:szCs w:val="16"/>
              </w:rPr>
            </w:pPr>
            <w:r w:rsidRPr="000615AB">
              <w:rPr>
                <w:sz w:val="16"/>
                <w:szCs w:val="16"/>
              </w:rPr>
              <w:t>57</w:t>
            </w:r>
          </w:p>
        </w:tc>
        <w:tc>
          <w:tcPr>
            <w:tcW w:w="550" w:type="dxa"/>
            <w:shd w:val="clear" w:color="auto" w:fill="auto"/>
          </w:tcPr>
          <w:p w:rsidR="00383888" w:rsidRPr="000615AB" w:rsidRDefault="00383888" w:rsidP="00B47699">
            <w:pPr>
              <w:jc w:val="right"/>
              <w:rPr>
                <w:sz w:val="16"/>
                <w:szCs w:val="16"/>
              </w:rPr>
            </w:pPr>
            <w:r w:rsidRPr="000615AB">
              <w:rPr>
                <w:sz w:val="16"/>
                <w:szCs w:val="16"/>
              </w:rPr>
              <w:t>176</w:t>
            </w:r>
          </w:p>
        </w:tc>
        <w:tc>
          <w:tcPr>
            <w:tcW w:w="550" w:type="dxa"/>
            <w:shd w:val="clear" w:color="auto" w:fill="auto"/>
          </w:tcPr>
          <w:p w:rsidR="00383888" w:rsidRPr="000615AB" w:rsidRDefault="00383888" w:rsidP="00B47699">
            <w:pPr>
              <w:jc w:val="right"/>
              <w:rPr>
                <w:sz w:val="16"/>
                <w:szCs w:val="16"/>
              </w:rPr>
            </w:pPr>
            <w:r w:rsidRPr="000615AB">
              <w:rPr>
                <w:sz w:val="16"/>
                <w:szCs w:val="16"/>
              </w:rPr>
              <w:t>142</w:t>
            </w:r>
          </w:p>
        </w:tc>
        <w:tc>
          <w:tcPr>
            <w:tcW w:w="550" w:type="dxa"/>
            <w:shd w:val="clear" w:color="auto" w:fill="auto"/>
          </w:tcPr>
          <w:p w:rsidR="00383888" w:rsidRPr="000615AB" w:rsidRDefault="00383888" w:rsidP="00B47699">
            <w:pPr>
              <w:jc w:val="right"/>
              <w:rPr>
                <w:sz w:val="16"/>
                <w:szCs w:val="16"/>
              </w:rPr>
            </w:pPr>
            <w:r w:rsidRPr="000615AB">
              <w:rPr>
                <w:sz w:val="16"/>
                <w:szCs w:val="16"/>
              </w:rPr>
              <w:t>60</w:t>
            </w:r>
          </w:p>
        </w:tc>
        <w:tc>
          <w:tcPr>
            <w:tcW w:w="550" w:type="dxa"/>
            <w:shd w:val="clear" w:color="auto" w:fill="auto"/>
          </w:tcPr>
          <w:p w:rsidR="00383888" w:rsidRPr="000615AB" w:rsidRDefault="00383888" w:rsidP="00B47699">
            <w:pPr>
              <w:jc w:val="right"/>
              <w:rPr>
                <w:sz w:val="16"/>
                <w:szCs w:val="16"/>
              </w:rPr>
            </w:pPr>
            <w:r w:rsidRPr="000615AB">
              <w:rPr>
                <w:sz w:val="16"/>
                <w:szCs w:val="16"/>
              </w:rPr>
              <w:t>60</w:t>
            </w:r>
          </w:p>
        </w:tc>
        <w:tc>
          <w:tcPr>
            <w:tcW w:w="550" w:type="dxa"/>
            <w:shd w:val="clear" w:color="auto" w:fill="auto"/>
          </w:tcPr>
          <w:p w:rsidR="00383888" w:rsidRPr="000615AB" w:rsidRDefault="00383888" w:rsidP="00B47699">
            <w:pPr>
              <w:jc w:val="right"/>
              <w:rPr>
                <w:sz w:val="16"/>
                <w:szCs w:val="16"/>
              </w:rPr>
            </w:pPr>
            <w:r w:rsidRPr="000615AB">
              <w:rPr>
                <w:sz w:val="16"/>
                <w:szCs w:val="16"/>
              </w:rPr>
              <w:t>54</w:t>
            </w:r>
          </w:p>
        </w:tc>
        <w:tc>
          <w:tcPr>
            <w:tcW w:w="550" w:type="dxa"/>
            <w:shd w:val="clear" w:color="auto" w:fill="auto"/>
          </w:tcPr>
          <w:p w:rsidR="00383888" w:rsidRPr="000615AB" w:rsidRDefault="00383888" w:rsidP="00B47699">
            <w:pPr>
              <w:jc w:val="right"/>
              <w:rPr>
                <w:sz w:val="16"/>
                <w:szCs w:val="16"/>
              </w:rPr>
            </w:pPr>
            <w:r w:rsidRPr="000615AB">
              <w:rPr>
                <w:sz w:val="16"/>
                <w:szCs w:val="16"/>
              </w:rPr>
              <w:t>304</w:t>
            </w:r>
          </w:p>
        </w:tc>
        <w:tc>
          <w:tcPr>
            <w:tcW w:w="550" w:type="dxa"/>
            <w:shd w:val="clear" w:color="auto" w:fill="auto"/>
            <w:tcMar>
              <w:top w:w="28" w:type="dxa"/>
              <w:bottom w:w="28" w:type="dxa"/>
            </w:tcMar>
          </w:tcPr>
          <w:p w:rsidR="00383888" w:rsidRPr="000615AB" w:rsidRDefault="00383888" w:rsidP="00B47699">
            <w:pPr>
              <w:jc w:val="right"/>
              <w:rPr>
                <w:sz w:val="16"/>
                <w:szCs w:val="16"/>
              </w:rPr>
            </w:pPr>
            <w:r w:rsidRPr="000615AB">
              <w:rPr>
                <w:sz w:val="16"/>
                <w:szCs w:val="16"/>
              </w:rPr>
              <w:t>6</w:t>
            </w:r>
          </w:p>
        </w:tc>
        <w:tc>
          <w:tcPr>
            <w:tcW w:w="550" w:type="dxa"/>
            <w:shd w:val="clear" w:color="auto" w:fill="auto"/>
            <w:tcMar>
              <w:top w:w="28" w:type="dxa"/>
              <w:bottom w:w="28" w:type="dxa"/>
            </w:tcMar>
          </w:tcPr>
          <w:p w:rsidR="00383888" w:rsidRPr="000615AB" w:rsidRDefault="00383888" w:rsidP="00B47699">
            <w:pPr>
              <w:jc w:val="right"/>
              <w:rPr>
                <w:sz w:val="16"/>
                <w:szCs w:val="16"/>
              </w:rPr>
            </w:pPr>
            <w:r w:rsidRPr="000615AB">
              <w:rPr>
                <w:sz w:val="16"/>
                <w:szCs w:val="16"/>
              </w:rPr>
              <w:t>672</w:t>
            </w:r>
          </w:p>
        </w:tc>
        <w:tc>
          <w:tcPr>
            <w:tcW w:w="990" w:type="dxa"/>
            <w:shd w:val="clear" w:color="auto" w:fill="auto"/>
            <w:tcMar>
              <w:top w:w="28" w:type="dxa"/>
              <w:bottom w:w="28" w:type="dxa"/>
            </w:tcMar>
          </w:tcPr>
          <w:p w:rsidR="00383888" w:rsidRPr="000615AB" w:rsidRDefault="00383888" w:rsidP="00B47699">
            <w:pPr>
              <w:jc w:val="right"/>
              <w:rPr>
                <w:sz w:val="16"/>
                <w:szCs w:val="16"/>
              </w:rPr>
            </w:pPr>
          </w:p>
        </w:tc>
        <w:tc>
          <w:tcPr>
            <w:tcW w:w="550" w:type="dxa"/>
            <w:shd w:val="clear" w:color="auto" w:fill="auto"/>
            <w:tcMar>
              <w:top w:w="28" w:type="dxa"/>
              <w:bottom w:w="28" w:type="dxa"/>
            </w:tcMar>
          </w:tcPr>
          <w:p w:rsidR="00383888" w:rsidRPr="000615AB" w:rsidRDefault="00383888" w:rsidP="00B47699">
            <w:pPr>
              <w:jc w:val="right"/>
              <w:rPr>
                <w:sz w:val="16"/>
                <w:szCs w:val="16"/>
              </w:rPr>
            </w:pPr>
            <w:r w:rsidRPr="000615AB">
              <w:rPr>
                <w:sz w:val="16"/>
                <w:szCs w:val="16"/>
              </w:rPr>
              <w:t>178</w:t>
            </w:r>
          </w:p>
        </w:tc>
        <w:tc>
          <w:tcPr>
            <w:tcW w:w="550" w:type="dxa"/>
            <w:shd w:val="clear" w:color="auto" w:fill="auto"/>
            <w:tcMar>
              <w:top w:w="28" w:type="dxa"/>
              <w:bottom w:w="28" w:type="dxa"/>
            </w:tcMar>
          </w:tcPr>
          <w:p w:rsidR="00383888" w:rsidRPr="000615AB" w:rsidRDefault="00383888" w:rsidP="00B47699">
            <w:pPr>
              <w:jc w:val="right"/>
              <w:rPr>
                <w:sz w:val="16"/>
                <w:szCs w:val="16"/>
              </w:rPr>
            </w:pPr>
            <w:r w:rsidRPr="000615AB">
              <w:rPr>
                <w:sz w:val="16"/>
                <w:szCs w:val="16"/>
              </w:rPr>
              <w:t>164</w:t>
            </w:r>
          </w:p>
        </w:tc>
      </w:tr>
    </w:tbl>
    <w:p w:rsidR="00383888" w:rsidRDefault="00383888" w:rsidP="00383888">
      <w:pPr>
        <w:rPr>
          <w:sz w:val="20"/>
        </w:rPr>
      </w:pPr>
    </w:p>
    <w:p w:rsidR="00383888" w:rsidRPr="000615AB" w:rsidRDefault="00383888" w:rsidP="00383888">
      <w:pPr>
        <w:rPr>
          <w:sz w:val="20"/>
        </w:rPr>
      </w:pPr>
    </w:p>
    <w:p w:rsidR="00383888" w:rsidRPr="000615AB" w:rsidRDefault="00383888" w:rsidP="00383888">
      <w:pPr>
        <w:numPr>
          <w:ilvl w:val="0"/>
          <w:numId w:val="18"/>
        </w:numPr>
        <w:tabs>
          <w:tab w:val="left" w:pos="540"/>
        </w:tabs>
        <w:jc w:val="both"/>
        <w:rPr>
          <w:sz w:val="20"/>
        </w:rPr>
      </w:pPr>
      <w:r w:rsidRPr="000615AB">
        <w:rPr>
          <w:sz w:val="20"/>
        </w:rPr>
        <w:t>Se combinaron las cifras antes mencionadas con los resultados obtenidos mediante los modelos autorregresivos.  Es probable que el número de registros se ubique dentro de esos límites, que están asociados a un valor de probabilidad.  En el gráfico y el cuadro a continuación se suministra la distribución probabilística de los registros.</w:t>
      </w:r>
    </w:p>
    <w:p w:rsidR="00383888" w:rsidRDefault="00383888" w:rsidP="00383888">
      <w:pPr>
        <w:rPr>
          <w:sz w:val="20"/>
          <w:highlight w:val="yellow"/>
        </w:rPr>
      </w:pPr>
    </w:p>
    <w:p w:rsidR="00383888" w:rsidRPr="000615AB" w:rsidRDefault="00383888" w:rsidP="00383888">
      <w:pPr>
        <w:rPr>
          <w:sz w:val="20"/>
          <w:highlight w:val="yellow"/>
        </w:rPr>
      </w:pPr>
    </w:p>
    <w:p w:rsidR="00383888" w:rsidRDefault="00383888" w:rsidP="00383888">
      <w:pPr>
        <w:jc w:val="center"/>
        <w:rPr>
          <w:sz w:val="18"/>
          <w:szCs w:val="18"/>
        </w:rPr>
      </w:pPr>
      <w:r w:rsidRPr="000615AB">
        <w:rPr>
          <w:sz w:val="18"/>
          <w:szCs w:val="18"/>
        </w:rPr>
        <w:t>Distribución probabilística de los registros</w:t>
      </w:r>
    </w:p>
    <w:p w:rsidR="00383888" w:rsidRPr="000615AB" w:rsidRDefault="00C40A11" w:rsidP="00383888">
      <w:pPr>
        <w:jc w:val="center"/>
        <w:rPr>
          <w:sz w:val="18"/>
          <w:szCs w:val="18"/>
        </w:rPr>
      </w:pPr>
      <w:r>
        <w:rPr>
          <w:noProof/>
          <w:lang w:val="en-US" w:eastAsia="en-US"/>
        </w:rPr>
        <w:drawing>
          <wp:inline distT="0" distB="0" distL="0" distR="0" wp14:anchorId="51039AD3" wp14:editId="12577D60">
            <wp:extent cx="4858385" cy="2743200"/>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4858385" cy="2743200"/>
                    </a:xfrm>
                    <a:prstGeom prst="rect">
                      <a:avLst/>
                    </a:prstGeom>
                    <a:noFill/>
                    <a:ln>
                      <a:noFill/>
                    </a:ln>
                  </pic:spPr>
                </pic:pic>
              </a:graphicData>
            </a:graphic>
          </wp:inline>
        </w:drawing>
      </w:r>
    </w:p>
    <w:p w:rsidR="00383888" w:rsidRPr="000615AB" w:rsidRDefault="00383888" w:rsidP="00383888">
      <w:pPr>
        <w:rPr>
          <w:sz w:val="20"/>
        </w:rPr>
      </w:pPr>
    </w:p>
    <w:p w:rsidR="00383888" w:rsidRPr="000615AB" w:rsidRDefault="00383888" w:rsidP="00383888">
      <w:pPr>
        <w:keepNext/>
        <w:keepLines/>
        <w:jc w:val="center"/>
        <w:rPr>
          <w:sz w:val="18"/>
          <w:szCs w:val="18"/>
        </w:rPr>
      </w:pPr>
      <w:r w:rsidRPr="000615AB">
        <w:rPr>
          <w:sz w:val="18"/>
          <w:szCs w:val="18"/>
        </w:rPr>
        <w:lastRenderedPageBreak/>
        <w:t>Proyecciones correspondientes a los registros en virtud del sistema de Madrid</w:t>
      </w:r>
    </w:p>
    <w:p w:rsidR="00383888" w:rsidRPr="000615AB" w:rsidRDefault="00383888" w:rsidP="00383888">
      <w:pPr>
        <w:keepNext/>
        <w:keepLines/>
        <w:rPr>
          <w:sz w:val="20"/>
        </w:rPr>
      </w:pPr>
    </w:p>
    <w:p w:rsidR="00383888" w:rsidRPr="000615AB" w:rsidRDefault="00C40A11" w:rsidP="00383888">
      <w:pPr>
        <w:keepNext/>
        <w:keepLines/>
        <w:jc w:val="center"/>
      </w:pPr>
      <w:r>
        <w:rPr>
          <w:noProof/>
          <w:lang w:val="en-US" w:eastAsia="en-US"/>
        </w:rPr>
        <w:drawing>
          <wp:inline distT="0" distB="0" distL="0" distR="0" wp14:anchorId="417194DB" wp14:editId="3D686C40">
            <wp:extent cx="2872740" cy="2279015"/>
            <wp:effectExtent l="0" t="0" r="3810" b="6985"/>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2872740" cy="2279015"/>
                    </a:xfrm>
                    <a:prstGeom prst="rect">
                      <a:avLst/>
                    </a:prstGeom>
                    <a:noFill/>
                    <a:ln>
                      <a:noFill/>
                    </a:ln>
                  </pic:spPr>
                </pic:pic>
              </a:graphicData>
            </a:graphic>
          </wp:inline>
        </w:drawing>
      </w:r>
    </w:p>
    <w:p w:rsidR="00383888" w:rsidRPr="000615AB" w:rsidRDefault="00383888" w:rsidP="00383888">
      <w:pPr>
        <w:keepNext/>
        <w:keepLines/>
      </w:pPr>
    </w:p>
    <w:p w:rsidR="00383888" w:rsidRPr="000615AB" w:rsidRDefault="00383888" w:rsidP="00383888">
      <w:pPr>
        <w:keepNext/>
        <w:keepLines/>
      </w:pPr>
    </w:p>
    <w:p w:rsidR="00383888" w:rsidRPr="000615AB" w:rsidRDefault="00383888" w:rsidP="00383888">
      <w:pPr>
        <w:widowControl w:val="0"/>
        <w:rPr>
          <w:i/>
          <w:sz w:val="20"/>
        </w:rPr>
      </w:pPr>
      <w:r w:rsidRPr="000615AB">
        <w:rPr>
          <w:i/>
          <w:sz w:val="20"/>
        </w:rPr>
        <w:t>Sistema de Madrid – Previsión de la demanda de renovaciones</w:t>
      </w:r>
    </w:p>
    <w:p w:rsidR="00383888" w:rsidRPr="000615AB" w:rsidRDefault="00383888" w:rsidP="00383888">
      <w:pPr>
        <w:widowControl w:val="0"/>
        <w:rPr>
          <w:sz w:val="20"/>
        </w:rPr>
      </w:pPr>
    </w:p>
    <w:p w:rsidR="00383888" w:rsidRPr="000615AB" w:rsidRDefault="00383888" w:rsidP="00383888">
      <w:pPr>
        <w:numPr>
          <w:ilvl w:val="0"/>
          <w:numId w:val="18"/>
        </w:numPr>
        <w:tabs>
          <w:tab w:val="left" w:pos="540"/>
        </w:tabs>
        <w:jc w:val="both"/>
        <w:rPr>
          <w:sz w:val="20"/>
        </w:rPr>
      </w:pPr>
      <w:r w:rsidRPr="000615AB">
        <w:rPr>
          <w:sz w:val="20"/>
        </w:rPr>
        <w:t>En el gráfico 9 se indica el número real de renovaciones inscritas en el período comprendido entre  2010 y 2012 y la previsión para el período comprendido entre 2013 y 2015.  La previsión de las renovaciones se calcula de modo similar, aplicando los modelos regresivos y el modelo de transferencia.  Además de los modelos autorregresivos que aplicamos a las series temporales sobre renovaciones, también utilizamos un modelo regresivo para las renovaciones y los registros.  El modelo regresivo parte del supuesto que la primera renovación está vinculada a un registro con un período de protección diez años, mientras que las renovaciones subsiguientes están vinculadas a renovaciones anteriores con períodos de protección de diez años. El modelo de transferencia toma el conjunto de registros que serán potencialmente objeto de renovación y aplica un porcentaje calculado en base a los años anteriores.  Luego se combinan los resultados obtenidos mediante los diferentes modelos.</w:t>
      </w:r>
    </w:p>
    <w:p w:rsidR="00383888" w:rsidRPr="009D4BB4" w:rsidRDefault="00383888" w:rsidP="00383888">
      <w:pPr>
        <w:rPr>
          <w:sz w:val="20"/>
        </w:rPr>
      </w:pPr>
    </w:p>
    <w:p w:rsidR="00383888" w:rsidRPr="005966E6" w:rsidRDefault="00383888" w:rsidP="00383888">
      <w:pPr>
        <w:jc w:val="center"/>
        <w:rPr>
          <w:sz w:val="18"/>
          <w:szCs w:val="18"/>
        </w:rPr>
      </w:pPr>
      <w:r w:rsidRPr="005966E6">
        <w:rPr>
          <w:sz w:val="18"/>
          <w:szCs w:val="18"/>
        </w:rPr>
        <w:t>Gráfico 9.  Previsión de la demanda de renovaciones en virtud del sistema de Madrid</w:t>
      </w:r>
    </w:p>
    <w:p w:rsidR="00383888" w:rsidRPr="009D4BB4" w:rsidRDefault="00C40A11" w:rsidP="00383888">
      <w:pPr>
        <w:jc w:val="center"/>
        <w:rPr>
          <w:sz w:val="20"/>
        </w:rPr>
      </w:pPr>
      <w:r>
        <w:rPr>
          <w:noProof/>
          <w:sz w:val="20"/>
          <w:lang w:val="en-US" w:eastAsia="en-US"/>
        </w:rPr>
        <w:drawing>
          <wp:inline distT="0" distB="0" distL="0" distR="0" wp14:anchorId="6A0DB328" wp14:editId="2A9EF28E">
            <wp:extent cx="4933950" cy="2865755"/>
            <wp:effectExtent l="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4933950" cy="2865755"/>
                    </a:xfrm>
                    <a:prstGeom prst="rect">
                      <a:avLst/>
                    </a:prstGeom>
                    <a:noFill/>
                    <a:ln>
                      <a:noFill/>
                    </a:ln>
                  </pic:spPr>
                </pic:pic>
              </a:graphicData>
            </a:graphic>
          </wp:inline>
        </w:drawing>
      </w:r>
    </w:p>
    <w:p w:rsidR="00383888" w:rsidRPr="009D4BB4" w:rsidRDefault="00C40A11" w:rsidP="00383888">
      <w:pPr>
        <w:jc w:val="center"/>
        <w:rPr>
          <w:sz w:val="20"/>
        </w:rPr>
      </w:pPr>
      <w:r>
        <w:rPr>
          <w:noProof/>
          <w:sz w:val="20"/>
          <w:lang w:val="en-US" w:eastAsia="en-US"/>
        </w:rPr>
        <w:drawing>
          <wp:inline distT="0" distB="0" distL="0" distR="0" wp14:anchorId="2ECBF014" wp14:editId="60C5F579">
            <wp:extent cx="5363845" cy="655320"/>
            <wp:effectExtent l="0" t="0" r="8255"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5363845" cy="655320"/>
                    </a:xfrm>
                    <a:prstGeom prst="rect">
                      <a:avLst/>
                    </a:prstGeom>
                    <a:noFill/>
                    <a:ln>
                      <a:noFill/>
                    </a:ln>
                  </pic:spPr>
                </pic:pic>
              </a:graphicData>
            </a:graphic>
          </wp:inline>
        </w:drawing>
      </w:r>
    </w:p>
    <w:p w:rsidR="00383888" w:rsidRPr="009D4BB4" w:rsidRDefault="00383888" w:rsidP="00383888">
      <w:pPr>
        <w:rPr>
          <w:sz w:val="20"/>
        </w:rPr>
      </w:pPr>
    </w:p>
    <w:p w:rsidR="00383888" w:rsidRPr="009D4BB4" w:rsidRDefault="00383888" w:rsidP="00383888">
      <w:pPr>
        <w:rPr>
          <w:sz w:val="20"/>
        </w:rPr>
      </w:pPr>
    </w:p>
    <w:p w:rsidR="00383888" w:rsidRPr="000615AB" w:rsidRDefault="00383888" w:rsidP="00383888">
      <w:pPr>
        <w:keepNext/>
        <w:keepLines/>
        <w:spacing w:after="60"/>
        <w:jc w:val="center"/>
        <w:rPr>
          <w:sz w:val="18"/>
          <w:szCs w:val="18"/>
        </w:rPr>
      </w:pPr>
      <w:r w:rsidRPr="000615AB">
        <w:rPr>
          <w:sz w:val="18"/>
          <w:szCs w:val="18"/>
        </w:rPr>
        <w:lastRenderedPageBreak/>
        <w:t>Distribución probabilística de las renovaciones</w:t>
      </w:r>
    </w:p>
    <w:p w:rsidR="00383888" w:rsidRPr="000615AB" w:rsidRDefault="00C40A11" w:rsidP="00383888">
      <w:pPr>
        <w:keepNext/>
        <w:keepLines/>
        <w:jc w:val="center"/>
        <w:rPr>
          <w:sz w:val="20"/>
        </w:rPr>
      </w:pPr>
      <w:r>
        <w:rPr>
          <w:noProof/>
          <w:lang w:val="en-US" w:eastAsia="en-US"/>
        </w:rPr>
        <w:drawing>
          <wp:inline distT="0" distB="0" distL="0" distR="0" wp14:anchorId="2567045E" wp14:editId="7C1F42B7">
            <wp:extent cx="5022215" cy="2927350"/>
            <wp:effectExtent l="0" t="0" r="6985" b="635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5022215" cy="2927350"/>
                    </a:xfrm>
                    <a:prstGeom prst="rect">
                      <a:avLst/>
                    </a:prstGeom>
                    <a:noFill/>
                    <a:ln>
                      <a:noFill/>
                    </a:ln>
                  </pic:spPr>
                </pic:pic>
              </a:graphicData>
            </a:graphic>
          </wp:inline>
        </w:drawing>
      </w:r>
    </w:p>
    <w:p w:rsidR="00383888" w:rsidRPr="000615AB" w:rsidRDefault="00383888" w:rsidP="00383888">
      <w:pPr>
        <w:spacing w:after="60"/>
        <w:jc w:val="center"/>
        <w:rPr>
          <w:sz w:val="20"/>
        </w:rPr>
      </w:pPr>
      <w:r w:rsidRPr="000615AB">
        <w:rPr>
          <w:sz w:val="18"/>
          <w:szCs w:val="18"/>
        </w:rPr>
        <w:t>Proyecciones correspondientes a las renovaciones en virtud del sistema de Madrid</w:t>
      </w:r>
    </w:p>
    <w:p w:rsidR="00383888" w:rsidRPr="000615AB" w:rsidRDefault="00C40A11" w:rsidP="00383888">
      <w:pPr>
        <w:keepNext/>
        <w:keepLines/>
        <w:jc w:val="center"/>
        <w:rPr>
          <w:sz w:val="20"/>
        </w:rPr>
      </w:pPr>
      <w:r>
        <w:rPr>
          <w:noProof/>
          <w:lang w:val="en-US" w:eastAsia="en-US"/>
        </w:rPr>
        <w:drawing>
          <wp:inline distT="0" distB="0" distL="0" distR="0" wp14:anchorId="564F6C00" wp14:editId="3FEF3010">
            <wp:extent cx="2872740" cy="2286000"/>
            <wp:effectExtent l="0" t="0" r="381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2872740" cy="2286000"/>
                    </a:xfrm>
                    <a:prstGeom prst="rect">
                      <a:avLst/>
                    </a:prstGeom>
                    <a:noFill/>
                    <a:ln>
                      <a:noFill/>
                    </a:ln>
                  </pic:spPr>
                </pic:pic>
              </a:graphicData>
            </a:graphic>
          </wp:inline>
        </w:drawing>
      </w:r>
    </w:p>
    <w:p w:rsidR="00383888" w:rsidRPr="000615AB" w:rsidRDefault="00383888" w:rsidP="00383888">
      <w:pPr>
        <w:keepNext/>
        <w:keepLines/>
        <w:jc w:val="center"/>
        <w:rPr>
          <w:sz w:val="20"/>
        </w:rPr>
      </w:pPr>
    </w:p>
    <w:p w:rsidR="00383888" w:rsidRPr="000615AB" w:rsidRDefault="00383888" w:rsidP="00383888">
      <w:pPr>
        <w:keepNext/>
        <w:keepLines/>
        <w:jc w:val="center"/>
        <w:rPr>
          <w:sz w:val="20"/>
        </w:rPr>
      </w:pPr>
    </w:p>
    <w:p w:rsidR="00383888" w:rsidRPr="000615AB" w:rsidRDefault="00383888" w:rsidP="00383888">
      <w:pPr>
        <w:widowControl w:val="0"/>
        <w:rPr>
          <w:i/>
          <w:sz w:val="20"/>
        </w:rPr>
      </w:pPr>
      <w:r w:rsidRPr="000615AB">
        <w:rPr>
          <w:i/>
          <w:sz w:val="20"/>
        </w:rPr>
        <w:t>Ingresos previstos en concepto de tasas en el sistema de Madrid</w:t>
      </w:r>
    </w:p>
    <w:p w:rsidR="00383888" w:rsidRPr="000615AB" w:rsidRDefault="00383888" w:rsidP="00383888">
      <w:pPr>
        <w:widowControl w:val="0"/>
        <w:rPr>
          <w:sz w:val="20"/>
        </w:rPr>
      </w:pPr>
    </w:p>
    <w:p w:rsidR="00383888" w:rsidRPr="000615AB" w:rsidRDefault="00383888" w:rsidP="00383888">
      <w:pPr>
        <w:numPr>
          <w:ilvl w:val="0"/>
          <w:numId w:val="18"/>
        </w:numPr>
        <w:tabs>
          <w:tab w:val="left" w:pos="540"/>
        </w:tabs>
        <w:jc w:val="both"/>
        <w:rPr>
          <w:sz w:val="20"/>
        </w:rPr>
      </w:pPr>
      <w:r w:rsidRPr="000615AB">
        <w:rPr>
          <w:sz w:val="20"/>
        </w:rPr>
        <w:t xml:space="preserve">Los ingresos procedentes de las tasas aplicables en el sistema de Madrid tienen su origen en tres categorías de servicios prestados por la OMPI en el marco de ese sistema, a saber:  a) la inscripción de registros internacionales;  b) la inscripción de renovaciones;  c) la inscripción de designaciones posteriores;  y d) otros servicios, en particular diferentes tipos de modificaciones y la emisión de extractos.  </w:t>
      </w:r>
    </w:p>
    <w:p w:rsidR="00383888" w:rsidRPr="000615AB" w:rsidRDefault="00383888" w:rsidP="00383888">
      <w:pPr>
        <w:tabs>
          <w:tab w:val="left" w:pos="540"/>
        </w:tabs>
        <w:jc w:val="both"/>
        <w:rPr>
          <w:sz w:val="20"/>
        </w:rPr>
      </w:pPr>
    </w:p>
    <w:p w:rsidR="00383888" w:rsidRPr="000615AB" w:rsidRDefault="00383888" w:rsidP="00383888">
      <w:pPr>
        <w:numPr>
          <w:ilvl w:val="0"/>
          <w:numId w:val="18"/>
        </w:numPr>
        <w:tabs>
          <w:tab w:val="left" w:pos="540"/>
        </w:tabs>
        <w:jc w:val="both"/>
        <w:rPr>
          <w:sz w:val="18"/>
          <w:szCs w:val="18"/>
        </w:rPr>
      </w:pPr>
      <w:r w:rsidRPr="000615AB">
        <w:rPr>
          <w:sz w:val="20"/>
        </w:rPr>
        <w:t xml:space="preserve">En el gráfico 10 se observan los ingresos reales generados por las tasas del sistema de Madrid, correspondientes al período comprendido entre 2010 y 2012, y los ingresos previstos generados por las tasas del sistema de Madrid correspondientes al período comprendido entre 2013 y 2015, atribuibles a cada una de las categorías de servicios antes mencionadas.  La previsión de ingresos ha sido calculada a partir del número de registros internacionales y renovaciones que cabe esperar sean inscritos entre 2013 y 2015. </w:t>
      </w:r>
    </w:p>
    <w:p w:rsidR="00383888" w:rsidRPr="000615AB" w:rsidRDefault="00383888" w:rsidP="00383888">
      <w:pPr>
        <w:tabs>
          <w:tab w:val="left" w:pos="540"/>
        </w:tabs>
        <w:jc w:val="both"/>
        <w:rPr>
          <w:sz w:val="18"/>
          <w:szCs w:val="18"/>
        </w:rPr>
      </w:pPr>
    </w:p>
    <w:p w:rsidR="00383888" w:rsidRPr="000615AB" w:rsidRDefault="00383888" w:rsidP="00383888">
      <w:pPr>
        <w:keepNext/>
        <w:keepLines/>
        <w:tabs>
          <w:tab w:val="left" w:pos="540"/>
        </w:tabs>
        <w:jc w:val="center"/>
        <w:rPr>
          <w:sz w:val="18"/>
          <w:szCs w:val="18"/>
        </w:rPr>
      </w:pPr>
      <w:r w:rsidRPr="000615AB">
        <w:rPr>
          <w:sz w:val="18"/>
          <w:szCs w:val="18"/>
        </w:rPr>
        <w:lastRenderedPageBreak/>
        <w:t>Gráfico 10.  Previsión de ingresos generados por las tasas del sistema de Madrid, por categoría</w:t>
      </w:r>
    </w:p>
    <w:p w:rsidR="00383888" w:rsidRPr="000615AB" w:rsidRDefault="00383888" w:rsidP="00383888">
      <w:pPr>
        <w:keepNext/>
        <w:keepLines/>
        <w:tabs>
          <w:tab w:val="left" w:pos="540"/>
        </w:tabs>
        <w:jc w:val="center"/>
        <w:rPr>
          <w:sz w:val="18"/>
          <w:szCs w:val="18"/>
        </w:rPr>
      </w:pPr>
    </w:p>
    <w:p w:rsidR="00383888" w:rsidRPr="000615AB" w:rsidRDefault="00C40A11" w:rsidP="00383888">
      <w:pPr>
        <w:keepNext/>
        <w:keepLines/>
        <w:jc w:val="center"/>
        <w:rPr>
          <w:sz w:val="20"/>
        </w:rPr>
      </w:pPr>
      <w:r>
        <w:rPr>
          <w:noProof/>
          <w:lang w:val="en-US" w:eastAsia="en-US"/>
        </w:rPr>
        <w:drawing>
          <wp:inline distT="0" distB="0" distL="0" distR="0" wp14:anchorId="5613BD83" wp14:editId="4E5A336A">
            <wp:extent cx="4497070" cy="2606675"/>
            <wp:effectExtent l="0" t="0" r="0" b="3175"/>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85" cstate="print">
                      <a:extLst>
                        <a:ext uri="{28A0092B-C50C-407E-A947-70E740481C1C}">
                          <a14:useLocalDpi xmlns:a14="http://schemas.microsoft.com/office/drawing/2010/main" val="0"/>
                        </a:ext>
                      </a:extLst>
                    </a:blip>
                    <a:srcRect/>
                    <a:stretch>
                      <a:fillRect/>
                    </a:stretch>
                  </pic:blipFill>
                  <pic:spPr bwMode="auto">
                    <a:xfrm>
                      <a:off x="0" y="0"/>
                      <a:ext cx="4497070" cy="2606675"/>
                    </a:xfrm>
                    <a:prstGeom prst="rect">
                      <a:avLst/>
                    </a:prstGeom>
                    <a:noFill/>
                    <a:ln>
                      <a:noFill/>
                    </a:ln>
                  </pic:spPr>
                </pic:pic>
              </a:graphicData>
            </a:graphic>
          </wp:inline>
        </w:drawing>
      </w:r>
    </w:p>
    <w:p w:rsidR="00383888" w:rsidRPr="000615AB" w:rsidRDefault="00C40A11" w:rsidP="00383888">
      <w:pPr>
        <w:jc w:val="center"/>
        <w:rPr>
          <w:sz w:val="20"/>
        </w:rPr>
      </w:pPr>
      <w:r>
        <w:rPr>
          <w:noProof/>
          <w:lang w:val="en-US" w:eastAsia="en-US"/>
        </w:rPr>
        <w:drawing>
          <wp:inline distT="0" distB="0" distL="0" distR="0" wp14:anchorId="757347C4" wp14:editId="6295175F">
            <wp:extent cx="4803775" cy="1050925"/>
            <wp:effectExtent l="0" t="0" r="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4803775" cy="1050925"/>
                    </a:xfrm>
                    <a:prstGeom prst="rect">
                      <a:avLst/>
                    </a:prstGeom>
                    <a:noFill/>
                    <a:ln>
                      <a:noFill/>
                    </a:ln>
                  </pic:spPr>
                </pic:pic>
              </a:graphicData>
            </a:graphic>
          </wp:inline>
        </w:drawing>
      </w:r>
    </w:p>
    <w:p w:rsidR="00383888" w:rsidRPr="000615AB" w:rsidRDefault="00383888" w:rsidP="00383888">
      <w:pPr>
        <w:spacing w:after="60"/>
        <w:jc w:val="center"/>
        <w:rPr>
          <w:sz w:val="18"/>
          <w:szCs w:val="18"/>
        </w:rPr>
      </w:pPr>
    </w:p>
    <w:p w:rsidR="00383888" w:rsidRPr="000615AB" w:rsidRDefault="00383888" w:rsidP="00383888">
      <w:pPr>
        <w:spacing w:after="60"/>
        <w:jc w:val="center"/>
        <w:rPr>
          <w:sz w:val="18"/>
          <w:szCs w:val="18"/>
        </w:rPr>
      </w:pPr>
      <w:r w:rsidRPr="000615AB">
        <w:rPr>
          <w:sz w:val="18"/>
          <w:szCs w:val="18"/>
        </w:rPr>
        <w:t>Distribución probabilística de los ingresos</w:t>
      </w:r>
    </w:p>
    <w:p w:rsidR="00383888" w:rsidRPr="000615AB" w:rsidRDefault="00C40A11" w:rsidP="00383888">
      <w:pPr>
        <w:jc w:val="center"/>
        <w:rPr>
          <w:sz w:val="20"/>
        </w:rPr>
      </w:pPr>
      <w:r>
        <w:rPr>
          <w:noProof/>
          <w:lang w:val="en-US" w:eastAsia="en-US"/>
        </w:rPr>
        <w:drawing>
          <wp:inline distT="0" distB="0" distL="0" distR="0" wp14:anchorId="0CAE8A61" wp14:editId="1EFF702D">
            <wp:extent cx="4360545" cy="2524760"/>
            <wp:effectExtent l="0" t="0" r="1905" b="889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4360545" cy="2524760"/>
                    </a:xfrm>
                    <a:prstGeom prst="rect">
                      <a:avLst/>
                    </a:prstGeom>
                    <a:noFill/>
                    <a:ln>
                      <a:noFill/>
                    </a:ln>
                  </pic:spPr>
                </pic:pic>
              </a:graphicData>
            </a:graphic>
          </wp:inline>
        </w:drawing>
      </w:r>
    </w:p>
    <w:p w:rsidR="00383888" w:rsidRPr="000615AB" w:rsidRDefault="00383888" w:rsidP="00383888">
      <w:pPr>
        <w:jc w:val="center"/>
        <w:rPr>
          <w:sz w:val="20"/>
        </w:rPr>
      </w:pPr>
    </w:p>
    <w:p w:rsidR="00383888" w:rsidRPr="000615AB" w:rsidRDefault="00383888" w:rsidP="00383888">
      <w:pPr>
        <w:keepNext/>
        <w:keepLines/>
        <w:spacing w:after="60"/>
        <w:jc w:val="center"/>
        <w:rPr>
          <w:sz w:val="20"/>
        </w:rPr>
      </w:pPr>
      <w:r w:rsidRPr="000615AB">
        <w:rPr>
          <w:sz w:val="18"/>
          <w:szCs w:val="18"/>
        </w:rPr>
        <w:lastRenderedPageBreak/>
        <w:t>Proyecciones correspondientes a los ingresos del sistema de Madrid</w:t>
      </w:r>
    </w:p>
    <w:p w:rsidR="00383888" w:rsidRPr="000615AB" w:rsidRDefault="00C40A11" w:rsidP="00383888">
      <w:pPr>
        <w:keepNext/>
        <w:keepLines/>
        <w:jc w:val="center"/>
        <w:rPr>
          <w:sz w:val="20"/>
        </w:rPr>
      </w:pPr>
      <w:r>
        <w:rPr>
          <w:noProof/>
          <w:lang w:val="en-US" w:eastAsia="en-US"/>
        </w:rPr>
        <w:drawing>
          <wp:inline distT="0" distB="0" distL="0" distR="0" wp14:anchorId="487F2605" wp14:editId="50E26615">
            <wp:extent cx="2715895" cy="2081530"/>
            <wp:effectExtent l="0" t="0" r="8255"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2715895" cy="2081530"/>
                    </a:xfrm>
                    <a:prstGeom prst="rect">
                      <a:avLst/>
                    </a:prstGeom>
                    <a:noFill/>
                    <a:ln>
                      <a:noFill/>
                    </a:ln>
                  </pic:spPr>
                </pic:pic>
              </a:graphicData>
            </a:graphic>
          </wp:inline>
        </w:drawing>
      </w:r>
    </w:p>
    <w:p w:rsidR="00383888" w:rsidRPr="000615AB" w:rsidRDefault="00383888" w:rsidP="00383888">
      <w:pPr>
        <w:keepNext/>
        <w:keepLines/>
        <w:jc w:val="center"/>
        <w:rPr>
          <w:sz w:val="20"/>
        </w:rPr>
      </w:pPr>
    </w:p>
    <w:p w:rsidR="00383888" w:rsidRPr="000615AB" w:rsidRDefault="00383888" w:rsidP="00383888">
      <w:pPr>
        <w:numPr>
          <w:ilvl w:val="0"/>
          <w:numId w:val="18"/>
        </w:numPr>
        <w:tabs>
          <w:tab w:val="left" w:pos="540"/>
        </w:tabs>
        <w:jc w:val="both"/>
        <w:rPr>
          <w:sz w:val="20"/>
        </w:rPr>
      </w:pPr>
      <w:r w:rsidRPr="000615AB">
        <w:rPr>
          <w:sz w:val="20"/>
        </w:rPr>
        <w:t>En el cuadro que figura a continuación se da información sobre el número real y la previsión de registros y renovaciones para el período comprendido entre 2010 y 2015, y sobre la evolución real y prevista de la tasa promedio pagadera en ese período.  La tasa promedio se calcula dividiendo el importe total de ingresos del sistema de Madrid entre el número total de registros y renovaciones de cada año.</w:t>
      </w:r>
    </w:p>
    <w:p w:rsidR="00383888" w:rsidRPr="000615AB" w:rsidRDefault="00383888" w:rsidP="00383888">
      <w:pPr>
        <w:widowControl w:val="0"/>
        <w:jc w:val="both"/>
        <w:rPr>
          <w:sz w:val="20"/>
        </w:rPr>
      </w:pPr>
    </w:p>
    <w:p w:rsidR="00383888" w:rsidRPr="000615AB" w:rsidRDefault="00383888" w:rsidP="00383888">
      <w:pPr>
        <w:jc w:val="center"/>
        <w:rPr>
          <w:sz w:val="18"/>
          <w:szCs w:val="18"/>
        </w:rPr>
      </w:pPr>
      <w:r w:rsidRPr="000615AB">
        <w:rPr>
          <w:sz w:val="18"/>
          <w:szCs w:val="18"/>
        </w:rPr>
        <w:t>Cuadro 17.  Total de los ingresos generados por las tasas y tasa promedio del sistema de Madrid</w:t>
      </w:r>
    </w:p>
    <w:p w:rsidR="00383888" w:rsidRPr="000615AB" w:rsidRDefault="00383888" w:rsidP="00383888">
      <w:pPr>
        <w:jc w:val="center"/>
        <w:rPr>
          <w:sz w:val="20"/>
        </w:rPr>
      </w:pPr>
    </w:p>
    <w:p w:rsidR="00383888" w:rsidRPr="000615AB" w:rsidRDefault="00C40A11" w:rsidP="00383888">
      <w:pPr>
        <w:jc w:val="center"/>
        <w:rPr>
          <w:sz w:val="20"/>
        </w:rPr>
      </w:pPr>
      <w:r>
        <w:rPr>
          <w:noProof/>
          <w:lang w:val="en-US" w:eastAsia="en-US"/>
        </w:rPr>
        <w:drawing>
          <wp:inline distT="0" distB="0" distL="0" distR="0" wp14:anchorId="18730C6C" wp14:editId="10B04814">
            <wp:extent cx="5056505" cy="859790"/>
            <wp:effectExtent l="0" t="0" r="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5056505" cy="859790"/>
                    </a:xfrm>
                    <a:prstGeom prst="rect">
                      <a:avLst/>
                    </a:prstGeom>
                    <a:noFill/>
                    <a:ln>
                      <a:noFill/>
                    </a:ln>
                  </pic:spPr>
                </pic:pic>
              </a:graphicData>
            </a:graphic>
          </wp:inline>
        </w:drawing>
      </w:r>
    </w:p>
    <w:p w:rsidR="00383888" w:rsidRPr="000615AB" w:rsidRDefault="00383888" w:rsidP="00383888">
      <w:pPr>
        <w:jc w:val="center"/>
        <w:rPr>
          <w:sz w:val="20"/>
        </w:rPr>
      </w:pPr>
    </w:p>
    <w:p w:rsidR="00383888" w:rsidRPr="000615AB" w:rsidRDefault="00383888" w:rsidP="00383888">
      <w:pPr>
        <w:numPr>
          <w:ilvl w:val="0"/>
          <w:numId w:val="18"/>
        </w:numPr>
        <w:tabs>
          <w:tab w:val="left" w:pos="540"/>
        </w:tabs>
        <w:jc w:val="both"/>
        <w:rPr>
          <w:sz w:val="20"/>
        </w:rPr>
      </w:pPr>
      <w:r w:rsidRPr="000615AB">
        <w:rPr>
          <w:iCs/>
          <w:sz w:val="20"/>
        </w:rPr>
        <w:t xml:space="preserve">Por primera vez, las previsiones de actividad en el marco del sistema de Madrid que se incluyen en el proyecto de presupuesto por programas para 2014/2015 se basaron en un complejo sistema de previsión ideado por el Economista Jefe, y no en un modelo de previsión sencillo basado en la extrapolación lineal de la actividad actual y previa del sistema de Madrid.  El nuevo modelo es similar al utilizado para pronosticar la actividad del PCT, y toma en cuenta no solo la actividad en el marco del sistema de Madrid, sino también la actividad relativa a la presentación de solicitudes y registro de marcas en otras Oficinas, así como también datos de previsión del FMI, entre otros.  Dada la incertidumbre económica mundial que reina actualmente y hasta tanto se adquiera más experiencia en el uso del nuevo modelo de previsión, el Sector de Marcas, Dibujos y Modelos estimó prudente rever ligeramente a la baja las previsiones que se calcularon con el nuevo modelo.  </w:t>
      </w:r>
      <w:r w:rsidRPr="000615AB">
        <w:rPr>
          <w:sz w:val="20"/>
        </w:rPr>
        <w:t>En el cuadro a continuación se plasman dichas cifras, punto de partida para calcular la previsión de los ingresos en concepto de tasas del Registro de Madrid y la previsión del volumen de registros y renovaciones del sistema de Madrid correspondientes a 2014/2015.</w:t>
      </w:r>
    </w:p>
    <w:p w:rsidR="00383888" w:rsidRPr="000615AB" w:rsidRDefault="00383888" w:rsidP="00383888">
      <w:pPr>
        <w:rPr>
          <w:sz w:val="20"/>
        </w:rPr>
      </w:pPr>
    </w:p>
    <w:p w:rsidR="00383888" w:rsidRPr="000615AB" w:rsidRDefault="00383888" w:rsidP="00383888">
      <w:pPr>
        <w:jc w:val="center"/>
        <w:rPr>
          <w:sz w:val="18"/>
          <w:szCs w:val="18"/>
        </w:rPr>
      </w:pPr>
      <w:r w:rsidRPr="000615AB">
        <w:rPr>
          <w:sz w:val="18"/>
          <w:szCs w:val="18"/>
        </w:rPr>
        <w:t>Cuadro 18.  Total de los ingresos generados por las tasas y tasa promedio del sistema de Madrid (Base para el presupuesto por programas para 2014/2015)</w:t>
      </w:r>
    </w:p>
    <w:p w:rsidR="00383888" w:rsidRPr="000615AB" w:rsidRDefault="00383888" w:rsidP="00383888">
      <w:pPr>
        <w:jc w:val="center"/>
        <w:rPr>
          <w:sz w:val="20"/>
        </w:rPr>
      </w:pPr>
    </w:p>
    <w:p w:rsidR="00383888" w:rsidRPr="000615AB" w:rsidRDefault="00C40A11" w:rsidP="00383888">
      <w:pPr>
        <w:jc w:val="center"/>
      </w:pPr>
      <w:r>
        <w:rPr>
          <w:noProof/>
          <w:lang w:val="en-US" w:eastAsia="en-US"/>
        </w:rPr>
        <w:drawing>
          <wp:inline distT="0" distB="0" distL="0" distR="0" wp14:anchorId="55C9ED9F" wp14:editId="3EADDC1B">
            <wp:extent cx="5063490" cy="777875"/>
            <wp:effectExtent l="0" t="0" r="3810" b="3175"/>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5063490" cy="777875"/>
                    </a:xfrm>
                    <a:prstGeom prst="rect">
                      <a:avLst/>
                    </a:prstGeom>
                    <a:noFill/>
                    <a:ln>
                      <a:noFill/>
                    </a:ln>
                  </pic:spPr>
                </pic:pic>
              </a:graphicData>
            </a:graphic>
          </wp:inline>
        </w:drawing>
      </w:r>
    </w:p>
    <w:p w:rsidR="00383888" w:rsidRPr="000615AB" w:rsidRDefault="00383888" w:rsidP="00383888">
      <w:pPr>
        <w:jc w:val="center"/>
        <w:rPr>
          <w:sz w:val="18"/>
          <w:szCs w:val="18"/>
        </w:rPr>
      </w:pPr>
    </w:p>
    <w:p w:rsidR="00383888" w:rsidRPr="000615AB" w:rsidRDefault="00383888" w:rsidP="00383888">
      <w:pPr>
        <w:jc w:val="center"/>
        <w:rPr>
          <w:sz w:val="20"/>
        </w:rPr>
      </w:pPr>
    </w:p>
    <w:p w:rsidR="00383888" w:rsidRPr="000615AB" w:rsidRDefault="00383888" w:rsidP="00383888">
      <w:pPr>
        <w:widowControl w:val="0"/>
        <w:rPr>
          <w:b/>
          <w:sz w:val="20"/>
        </w:rPr>
      </w:pPr>
      <w:r w:rsidRPr="000615AB">
        <w:rPr>
          <w:b/>
          <w:sz w:val="20"/>
        </w:rPr>
        <w:t>Sistema de La Haya</w:t>
      </w:r>
    </w:p>
    <w:p w:rsidR="00383888" w:rsidRPr="000615AB" w:rsidRDefault="00383888" w:rsidP="00383888">
      <w:pPr>
        <w:widowControl w:val="0"/>
        <w:rPr>
          <w:sz w:val="20"/>
        </w:rPr>
      </w:pPr>
    </w:p>
    <w:p w:rsidR="00383888" w:rsidRPr="000615AB" w:rsidRDefault="00383888" w:rsidP="00383888">
      <w:pPr>
        <w:widowControl w:val="0"/>
        <w:rPr>
          <w:i/>
          <w:sz w:val="20"/>
        </w:rPr>
      </w:pPr>
      <w:r w:rsidRPr="000615AB">
        <w:rPr>
          <w:i/>
          <w:sz w:val="20"/>
        </w:rPr>
        <w:t>Sistema de La Haya – Previsión de la demanda de registros internacionales</w:t>
      </w:r>
    </w:p>
    <w:p w:rsidR="00383888" w:rsidRPr="000615AB" w:rsidRDefault="00383888" w:rsidP="00383888">
      <w:pPr>
        <w:widowControl w:val="0"/>
        <w:rPr>
          <w:sz w:val="20"/>
        </w:rPr>
      </w:pPr>
    </w:p>
    <w:p w:rsidR="00383888" w:rsidRPr="000615AB" w:rsidRDefault="00383888" w:rsidP="00383888">
      <w:pPr>
        <w:numPr>
          <w:ilvl w:val="0"/>
          <w:numId w:val="18"/>
        </w:numPr>
        <w:tabs>
          <w:tab w:val="left" w:pos="540"/>
        </w:tabs>
        <w:jc w:val="both"/>
        <w:rPr>
          <w:sz w:val="20"/>
        </w:rPr>
      </w:pPr>
      <w:r w:rsidRPr="000615AB">
        <w:rPr>
          <w:sz w:val="20"/>
        </w:rPr>
        <w:t xml:space="preserve">En el gráfico 11 se indica el número real de solicitudes de registro presentadas en virtud del sistema de La Haya durante el período comprendido entre 2010 y 2012, así como la previsión para el período comprendido entre 2013 y 2015.  Se prevé que el número </w:t>
      </w:r>
      <w:r>
        <w:rPr>
          <w:sz w:val="20"/>
        </w:rPr>
        <w:t xml:space="preserve">de registros aumente un 5.9% </w:t>
      </w:r>
      <w:r>
        <w:rPr>
          <w:sz w:val="20"/>
        </w:rPr>
        <w:lastRenderedPageBreak/>
        <w:t>en </w:t>
      </w:r>
      <w:r w:rsidRPr="000615AB">
        <w:rPr>
          <w:sz w:val="20"/>
        </w:rPr>
        <w:t>2013.  La adhesión de China, Japón, la República de Corea, la Federación de Rusia y los Estados Unidos de América al sistema de la Haya prevista a partir del 2014 tendrá repercusiones considerables, pudiendo traer aparejado un aumento de las solicitudes presentadas y de los ingresos.  Para realizar una previsión del número de registros del Sistema de La Haya se utilizan diferentes modelos, entre ellos los modelos autorregresivos, los modelos econométricos y los modelos de transferencia.  Los modelos autorregresivos se aplican a los registros.  Los modelos econométricos se basan en los datos sobre el PIB real y previsto publicados por el Fondo Monetario Internacional.  Luego se combinan los resultados obtenidos mediante cada uno de los modelos, para minimizar la incertidumbre que resulta de la aplicación de cada uno de ellos por separado.</w:t>
      </w:r>
    </w:p>
    <w:p w:rsidR="00383888" w:rsidRPr="000615AB" w:rsidRDefault="00383888" w:rsidP="00383888">
      <w:pPr>
        <w:tabs>
          <w:tab w:val="left" w:pos="540"/>
        </w:tabs>
        <w:jc w:val="both"/>
        <w:rPr>
          <w:sz w:val="20"/>
        </w:rPr>
      </w:pPr>
    </w:p>
    <w:p w:rsidR="00383888" w:rsidRPr="000615AB" w:rsidRDefault="00383888" w:rsidP="00383888">
      <w:pPr>
        <w:keepNext/>
        <w:keepLines/>
        <w:jc w:val="center"/>
        <w:rPr>
          <w:sz w:val="18"/>
          <w:szCs w:val="18"/>
        </w:rPr>
      </w:pPr>
      <w:r w:rsidRPr="000615AB">
        <w:rPr>
          <w:sz w:val="18"/>
          <w:szCs w:val="18"/>
        </w:rPr>
        <w:t>Gráfico 11.  Registros y renovaciones en virtud del sistema de La Haya</w:t>
      </w:r>
    </w:p>
    <w:p w:rsidR="00383888" w:rsidRPr="000615AB" w:rsidRDefault="00C40A11" w:rsidP="00383888">
      <w:pPr>
        <w:keepNext/>
        <w:keepLines/>
        <w:tabs>
          <w:tab w:val="left" w:pos="540"/>
        </w:tabs>
        <w:jc w:val="center"/>
        <w:rPr>
          <w:sz w:val="20"/>
        </w:rPr>
      </w:pPr>
      <w:r>
        <w:rPr>
          <w:noProof/>
          <w:lang w:val="en-US" w:eastAsia="en-US"/>
        </w:rPr>
        <w:drawing>
          <wp:inline distT="0" distB="0" distL="0" distR="0" wp14:anchorId="2EE1CE81" wp14:editId="27BBE469">
            <wp:extent cx="4838065" cy="2811145"/>
            <wp:effectExtent l="0" t="0" r="635" b="8255"/>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4838065" cy="2811145"/>
                    </a:xfrm>
                    <a:prstGeom prst="rect">
                      <a:avLst/>
                    </a:prstGeom>
                    <a:noFill/>
                    <a:ln>
                      <a:noFill/>
                    </a:ln>
                  </pic:spPr>
                </pic:pic>
              </a:graphicData>
            </a:graphic>
          </wp:inline>
        </w:drawing>
      </w:r>
    </w:p>
    <w:p w:rsidR="00383888" w:rsidRPr="000615AB" w:rsidRDefault="00383888" w:rsidP="00383888">
      <w:pPr>
        <w:keepNext/>
        <w:keepLines/>
        <w:jc w:val="center"/>
        <w:rPr>
          <w:sz w:val="20"/>
        </w:rPr>
      </w:pPr>
    </w:p>
    <w:p w:rsidR="00383888" w:rsidRPr="000615AB" w:rsidRDefault="00C40A11" w:rsidP="00383888">
      <w:pPr>
        <w:keepNext/>
        <w:keepLines/>
        <w:jc w:val="center"/>
        <w:rPr>
          <w:sz w:val="20"/>
        </w:rPr>
      </w:pPr>
      <w:r>
        <w:rPr>
          <w:noProof/>
          <w:lang w:val="en-US" w:eastAsia="en-US"/>
        </w:rPr>
        <w:drawing>
          <wp:inline distT="0" distB="0" distL="0" distR="0" wp14:anchorId="6E3656CD" wp14:editId="35ACDB54">
            <wp:extent cx="5029200" cy="614045"/>
            <wp:effectExtent l="0" t="0" r="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5029200" cy="614045"/>
                    </a:xfrm>
                    <a:prstGeom prst="rect">
                      <a:avLst/>
                    </a:prstGeom>
                    <a:noFill/>
                    <a:ln>
                      <a:noFill/>
                    </a:ln>
                  </pic:spPr>
                </pic:pic>
              </a:graphicData>
            </a:graphic>
          </wp:inline>
        </w:drawing>
      </w:r>
    </w:p>
    <w:p w:rsidR="00383888" w:rsidRPr="000615AB" w:rsidRDefault="00383888" w:rsidP="00383888">
      <w:pPr>
        <w:keepNext/>
        <w:keepLines/>
        <w:jc w:val="center"/>
        <w:rPr>
          <w:sz w:val="18"/>
          <w:szCs w:val="18"/>
        </w:rPr>
      </w:pPr>
    </w:p>
    <w:p w:rsidR="00383888" w:rsidRPr="000615AB" w:rsidRDefault="00383888" w:rsidP="00383888">
      <w:pPr>
        <w:keepNext/>
        <w:keepLines/>
        <w:jc w:val="center"/>
        <w:rPr>
          <w:sz w:val="20"/>
        </w:rPr>
      </w:pPr>
    </w:p>
    <w:p w:rsidR="00383888" w:rsidRPr="000615AB" w:rsidRDefault="00383888" w:rsidP="00383888">
      <w:pPr>
        <w:numPr>
          <w:ilvl w:val="0"/>
          <w:numId w:val="18"/>
        </w:numPr>
        <w:tabs>
          <w:tab w:val="left" w:pos="540"/>
        </w:tabs>
        <w:jc w:val="both"/>
        <w:rPr>
          <w:sz w:val="20"/>
        </w:rPr>
      </w:pPr>
      <w:r w:rsidRPr="000615AB">
        <w:rPr>
          <w:sz w:val="20"/>
        </w:rPr>
        <w:t xml:space="preserve">Habida cuenta de la adhesión de nuevos Estados miembros prevista a partir de 2014, se aplicó un modelo de transferencia para evaluar cómo incidiría la adhesión en el número de registros.  El modelo utiliza los datos sobre las solicitudes (tanto las presentadas individualmente en cada país, como las solicitudes únicas con efecto de presentación en varios países a la vez) que los miembros actuales del sistema de Madrid presentarían a través de la vía de París en los nuevos países miembros y viceversa.  Concretamente, se calculan las tasas de transferencia para luego calcular el número de solicitudes adicionales que presentarían los miembros actuales con motivo de la adhesión de nuevos miembros.  Además, se aplican las "tasas de transferencia" promedio de los miembros actuales del sistema de La Haya para calcular el potencial de presentación de solicitudes de los nuevos miembros.  Cabe señalar que las "tasas de transferencia" reales están adaptadas a cada país.  Aplicar las "tasas de transferencia" promedio a los nuevos miembros es probablemente el mejor enfoque posible, pero a su vez aumenta la incertidumbre de los valores de previsión.  La previsión actual parte del supuesto que las adhesiones tendrán lugar de la siguiente manera:   </w:t>
      </w:r>
    </w:p>
    <w:p w:rsidR="00383888" w:rsidRPr="000615AB" w:rsidRDefault="00383888" w:rsidP="00383888">
      <w:pPr>
        <w:jc w:val="center"/>
        <w:rPr>
          <w:sz w:val="20"/>
        </w:rPr>
      </w:pPr>
    </w:p>
    <w:tbl>
      <w:tblPr>
        <w:tblW w:w="0" w:type="auto"/>
        <w:tblInd w:w="2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2552"/>
      </w:tblGrid>
      <w:tr w:rsidR="00383888" w:rsidRPr="00C26376" w:rsidTr="00B47699">
        <w:tc>
          <w:tcPr>
            <w:tcW w:w="4820" w:type="dxa"/>
            <w:gridSpan w:val="2"/>
            <w:shd w:val="clear" w:color="auto" w:fill="auto"/>
          </w:tcPr>
          <w:p w:rsidR="00383888" w:rsidRPr="00C26376" w:rsidRDefault="00383888" w:rsidP="00B47699">
            <w:pPr>
              <w:tabs>
                <w:tab w:val="left" w:pos="540"/>
              </w:tabs>
              <w:rPr>
                <w:sz w:val="18"/>
                <w:szCs w:val="18"/>
              </w:rPr>
            </w:pPr>
            <w:r w:rsidRPr="00C26376">
              <w:rPr>
                <w:sz w:val="18"/>
                <w:szCs w:val="18"/>
              </w:rPr>
              <w:t>Nuevos Estados miembros del sistema de La Haya</w:t>
            </w:r>
          </w:p>
        </w:tc>
      </w:tr>
      <w:tr w:rsidR="00383888" w:rsidRPr="00C26376" w:rsidTr="00B47699">
        <w:tc>
          <w:tcPr>
            <w:tcW w:w="2268" w:type="dxa"/>
            <w:shd w:val="clear" w:color="auto" w:fill="auto"/>
          </w:tcPr>
          <w:p w:rsidR="00383888" w:rsidRPr="00C26376" w:rsidRDefault="00383888" w:rsidP="00B47699">
            <w:pPr>
              <w:tabs>
                <w:tab w:val="left" w:pos="540"/>
              </w:tabs>
              <w:jc w:val="both"/>
              <w:rPr>
                <w:sz w:val="18"/>
                <w:szCs w:val="18"/>
              </w:rPr>
            </w:pPr>
            <w:r w:rsidRPr="00C26376">
              <w:rPr>
                <w:sz w:val="18"/>
                <w:szCs w:val="18"/>
              </w:rPr>
              <w:t>China</w:t>
            </w:r>
          </w:p>
        </w:tc>
        <w:tc>
          <w:tcPr>
            <w:tcW w:w="2552" w:type="dxa"/>
            <w:shd w:val="clear" w:color="auto" w:fill="auto"/>
          </w:tcPr>
          <w:p w:rsidR="00383888" w:rsidRPr="00C26376" w:rsidRDefault="00383888" w:rsidP="00B47699">
            <w:pPr>
              <w:tabs>
                <w:tab w:val="left" w:pos="540"/>
              </w:tabs>
              <w:jc w:val="right"/>
              <w:rPr>
                <w:sz w:val="18"/>
                <w:szCs w:val="18"/>
              </w:rPr>
            </w:pPr>
            <w:r w:rsidRPr="00C26376">
              <w:rPr>
                <w:sz w:val="18"/>
                <w:szCs w:val="18"/>
              </w:rPr>
              <w:t>enero de 2014</w:t>
            </w:r>
          </w:p>
        </w:tc>
      </w:tr>
      <w:tr w:rsidR="00383888" w:rsidRPr="00C26376" w:rsidTr="00B47699">
        <w:tc>
          <w:tcPr>
            <w:tcW w:w="2268" w:type="dxa"/>
            <w:shd w:val="clear" w:color="auto" w:fill="auto"/>
          </w:tcPr>
          <w:p w:rsidR="00383888" w:rsidRPr="00C26376" w:rsidRDefault="00383888" w:rsidP="00B47699">
            <w:pPr>
              <w:tabs>
                <w:tab w:val="left" w:pos="540"/>
              </w:tabs>
              <w:jc w:val="both"/>
              <w:rPr>
                <w:sz w:val="18"/>
                <w:szCs w:val="18"/>
              </w:rPr>
            </w:pPr>
            <w:r w:rsidRPr="00C26376">
              <w:rPr>
                <w:sz w:val="18"/>
                <w:szCs w:val="18"/>
              </w:rPr>
              <w:t>Estados Unidos</w:t>
            </w:r>
          </w:p>
        </w:tc>
        <w:tc>
          <w:tcPr>
            <w:tcW w:w="2552" w:type="dxa"/>
            <w:shd w:val="clear" w:color="auto" w:fill="auto"/>
          </w:tcPr>
          <w:p w:rsidR="00383888" w:rsidRPr="00C26376" w:rsidRDefault="00383888" w:rsidP="00B47699">
            <w:pPr>
              <w:tabs>
                <w:tab w:val="left" w:pos="540"/>
              </w:tabs>
              <w:jc w:val="right"/>
              <w:rPr>
                <w:sz w:val="18"/>
                <w:szCs w:val="18"/>
              </w:rPr>
            </w:pPr>
            <w:r w:rsidRPr="00C26376">
              <w:rPr>
                <w:sz w:val="18"/>
                <w:szCs w:val="18"/>
              </w:rPr>
              <w:t>enero de 2014</w:t>
            </w:r>
          </w:p>
        </w:tc>
      </w:tr>
      <w:tr w:rsidR="00383888" w:rsidRPr="00C26376" w:rsidTr="00B47699">
        <w:tc>
          <w:tcPr>
            <w:tcW w:w="2268" w:type="dxa"/>
            <w:shd w:val="clear" w:color="auto" w:fill="auto"/>
          </w:tcPr>
          <w:p w:rsidR="00383888" w:rsidRPr="00C26376" w:rsidRDefault="00383888" w:rsidP="00B47699">
            <w:pPr>
              <w:tabs>
                <w:tab w:val="left" w:pos="540"/>
              </w:tabs>
              <w:jc w:val="both"/>
              <w:rPr>
                <w:sz w:val="18"/>
                <w:szCs w:val="18"/>
              </w:rPr>
            </w:pPr>
            <w:r w:rsidRPr="00C26376">
              <w:rPr>
                <w:sz w:val="18"/>
                <w:szCs w:val="18"/>
              </w:rPr>
              <w:t>Federación de Rusia</w:t>
            </w:r>
          </w:p>
        </w:tc>
        <w:tc>
          <w:tcPr>
            <w:tcW w:w="2552" w:type="dxa"/>
            <w:shd w:val="clear" w:color="auto" w:fill="auto"/>
          </w:tcPr>
          <w:p w:rsidR="00383888" w:rsidRPr="00C26376" w:rsidRDefault="00383888" w:rsidP="00B47699">
            <w:pPr>
              <w:tabs>
                <w:tab w:val="left" w:pos="540"/>
              </w:tabs>
              <w:jc w:val="right"/>
              <w:rPr>
                <w:sz w:val="18"/>
                <w:szCs w:val="18"/>
              </w:rPr>
            </w:pPr>
            <w:r w:rsidRPr="00C26376">
              <w:rPr>
                <w:sz w:val="18"/>
                <w:szCs w:val="18"/>
              </w:rPr>
              <w:t>enero de 2014</w:t>
            </w:r>
          </w:p>
        </w:tc>
      </w:tr>
      <w:tr w:rsidR="00383888" w:rsidRPr="00C26376" w:rsidTr="00B47699">
        <w:tc>
          <w:tcPr>
            <w:tcW w:w="2268" w:type="dxa"/>
            <w:shd w:val="clear" w:color="auto" w:fill="auto"/>
          </w:tcPr>
          <w:p w:rsidR="00383888" w:rsidRPr="00C26376" w:rsidRDefault="00383888" w:rsidP="00B47699">
            <w:pPr>
              <w:tabs>
                <w:tab w:val="left" w:pos="540"/>
              </w:tabs>
              <w:jc w:val="both"/>
              <w:rPr>
                <w:sz w:val="18"/>
                <w:szCs w:val="18"/>
              </w:rPr>
            </w:pPr>
            <w:r w:rsidRPr="00C26376">
              <w:rPr>
                <w:sz w:val="18"/>
                <w:szCs w:val="18"/>
              </w:rPr>
              <w:t>Japón</w:t>
            </w:r>
          </w:p>
        </w:tc>
        <w:tc>
          <w:tcPr>
            <w:tcW w:w="2552" w:type="dxa"/>
            <w:shd w:val="clear" w:color="auto" w:fill="auto"/>
          </w:tcPr>
          <w:p w:rsidR="00383888" w:rsidRPr="00C26376" w:rsidRDefault="00383888" w:rsidP="00B47699">
            <w:pPr>
              <w:tabs>
                <w:tab w:val="left" w:pos="540"/>
              </w:tabs>
              <w:jc w:val="right"/>
              <w:rPr>
                <w:sz w:val="18"/>
                <w:szCs w:val="18"/>
              </w:rPr>
            </w:pPr>
            <w:r w:rsidRPr="00C26376">
              <w:rPr>
                <w:sz w:val="18"/>
                <w:szCs w:val="18"/>
              </w:rPr>
              <w:t>enero de 2015</w:t>
            </w:r>
          </w:p>
        </w:tc>
      </w:tr>
      <w:tr w:rsidR="00383888" w:rsidRPr="00C26376" w:rsidTr="00B47699">
        <w:tc>
          <w:tcPr>
            <w:tcW w:w="2268" w:type="dxa"/>
            <w:shd w:val="clear" w:color="auto" w:fill="auto"/>
          </w:tcPr>
          <w:p w:rsidR="00383888" w:rsidRPr="00C26376" w:rsidRDefault="00383888" w:rsidP="00B47699">
            <w:pPr>
              <w:tabs>
                <w:tab w:val="left" w:pos="540"/>
              </w:tabs>
              <w:jc w:val="both"/>
              <w:rPr>
                <w:sz w:val="18"/>
                <w:szCs w:val="18"/>
              </w:rPr>
            </w:pPr>
            <w:r w:rsidRPr="00C26376">
              <w:rPr>
                <w:sz w:val="18"/>
                <w:szCs w:val="18"/>
              </w:rPr>
              <w:t>República de Corea</w:t>
            </w:r>
          </w:p>
        </w:tc>
        <w:tc>
          <w:tcPr>
            <w:tcW w:w="2552" w:type="dxa"/>
            <w:shd w:val="clear" w:color="auto" w:fill="auto"/>
          </w:tcPr>
          <w:p w:rsidR="00383888" w:rsidRPr="00C26376" w:rsidRDefault="00383888" w:rsidP="00B47699">
            <w:pPr>
              <w:tabs>
                <w:tab w:val="left" w:pos="540"/>
              </w:tabs>
              <w:jc w:val="right"/>
              <w:rPr>
                <w:sz w:val="18"/>
                <w:szCs w:val="18"/>
              </w:rPr>
            </w:pPr>
            <w:r w:rsidRPr="00C26376">
              <w:rPr>
                <w:sz w:val="18"/>
                <w:szCs w:val="18"/>
              </w:rPr>
              <w:t>enero de 2015</w:t>
            </w:r>
          </w:p>
        </w:tc>
      </w:tr>
    </w:tbl>
    <w:p w:rsidR="00383888" w:rsidRPr="000615AB" w:rsidRDefault="00383888" w:rsidP="00383888">
      <w:pPr>
        <w:tabs>
          <w:tab w:val="left" w:pos="540"/>
        </w:tabs>
        <w:jc w:val="both"/>
        <w:rPr>
          <w:sz w:val="20"/>
        </w:rPr>
      </w:pPr>
    </w:p>
    <w:p w:rsidR="00383888" w:rsidRPr="000615AB" w:rsidRDefault="00383888" w:rsidP="00383888">
      <w:pPr>
        <w:jc w:val="center"/>
        <w:rPr>
          <w:sz w:val="20"/>
        </w:rPr>
      </w:pPr>
    </w:p>
    <w:tbl>
      <w:tblPr>
        <w:tblW w:w="0" w:type="auto"/>
        <w:tblLook w:val="01E0" w:firstRow="1" w:lastRow="1" w:firstColumn="1" w:lastColumn="1" w:noHBand="0" w:noVBand="0"/>
      </w:tblPr>
      <w:tblGrid>
        <w:gridCol w:w="711"/>
        <w:gridCol w:w="607"/>
        <w:gridCol w:w="660"/>
        <w:gridCol w:w="660"/>
        <w:gridCol w:w="550"/>
        <w:gridCol w:w="660"/>
        <w:gridCol w:w="660"/>
        <w:gridCol w:w="770"/>
        <w:gridCol w:w="1162"/>
        <w:gridCol w:w="712"/>
        <w:gridCol w:w="712"/>
        <w:gridCol w:w="711"/>
        <w:gridCol w:w="712"/>
      </w:tblGrid>
      <w:tr w:rsidR="00383888" w:rsidRPr="000615AB" w:rsidTr="00B47699">
        <w:trPr>
          <w:trHeight w:val="274"/>
        </w:trPr>
        <w:tc>
          <w:tcPr>
            <w:tcW w:w="3188" w:type="dxa"/>
            <w:gridSpan w:val="5"/>
            <w:shd w:val="clear" w:color="auto" w:fill="auto"/>
          </w:tcPr>
          <w:p w:rsidR="00383888" w:rsidRPr="000615AB" w:rsidRDefault="00383888" w:rsidP="00B47699">
            <w:pPr>
              <w:keepNext/>
              <w:keepLines/>
              <w:rPr>
                <w:sz w:val="18"/>
                <w:szCs w:val="18"/>
              </w:rPr>
            </w:pPr>
            <w:r w:rsidRPr="000615AB">
              <w:rPr>
                <w:sz w:val="18"/>
                <w:szCs w:val="18"/>
              </w:rPr>
              <w:lastRenderedPageBreak/>
              <w:t>Registros generados por nuevos miembros</w:t>
            </w:r>
          </w:p>
        </w:tc>
        <w:tc>
          <w:tcPr>
            <w:tcW w:w="660" w:type="dxa"/>
            <w:shd w:val="clear" w:color="auto" w:fill="auto"/>
          </w:tcPr>
          <w:p w:rsidR="00383888" w:rsidRPr="000615AB" w:rsidRDefault="00383888" w:rsidP="00B47699">
            <w:pPr>
              <w:keepNext/>
              <w:keepLines/>
              <w:rPr>
                <w:sz w:val="18"/>
                <w:szCs w:val="18"/>
              </w:rPr>
            </w:pPr>
          </w:p>
        </w:tc>
        <w:tc>
          <w:tcPr>
            <w:tcW w:w="660" w:type="dxa"/>
            <w:shd w:val="clear" w:color="auto" w:fill="auto"/>
          </w:tcPr>
          <w:p w:rsidR="00383888" w:rsidRPr="000615AB" w:rsidRDefault="00383888" w:rsidP="00B47699">
            <w:pPr>
              <w:keepNext/>
              <w:keepLines/>
              <w:rPr>
                <w:sz w:val="18"/>
                <w:szCs w:val="18"/>
              </w:rPr>
            </w:pPr>
          </w:p>
        </w:tc>
        <w:tc>
          <w:tcPr>
            <w:tcW w:w="770" w:type="dxa"/>
            <w:shd w:val="clear" w:color="auto" w:fill="auto"/>
          </w:tcPr>
          <w:p w:rsidR="00383888" w:rsidRPr="000615AB" w:rsidRDefault="00383888" w:rsidP="00B47699">
            <w:pPr>
              <w:keepNext/>
              <w:keepLines/>
              <w:rPr>
                <w:sz w:val="18"/>
                <w:szCs w:val="18"/>
              </w:rPr>
            </w:pPr>
          </w:p>
        </w:tc>
        <w:tc>
          <w:tcPr>
            <w:tcW w:w="1162" w:type="dxa"/>
            <w:shd w:val="clear" w:color="auto" w:fill="auto"/>
          </w:tcPr>
          <w:p w:rsidR="00383888" w:rsidRPr="000615AB" w:rsidRDefault="00383888" w:rsidP="00B47699">
            <w:pPr>
              <w:keepNext/>
              <w:keepLines/>
              <w:rPr>
                <w:sz w:val="18"/>
                <w:szCs w:val="18"/>
              </w:rPr>
            </w:pPr>
          </w:p>
        </w:tc>
        <w:tc>
          <w:tcPr>
            <w:tcW w:w="712" w:type="dxa"/>
            <w:shd w:val="clear" w:color="auto" w:fill="auto"/>
          </w:tcPr>
          <w:p w:rsidR="00383888" w:rsidRPr="000615AB" w:rsidRDefault="00383888" w:rsidP="00B47699">
            <w:pPr>
              <w:keepNext/>
              <w:keepLines/>
              <w:rPr>
                <w:sz w:val="18"/>
                <w:szCs w:val="18"/>
              </w:rPr>
            </w:pPr>
          </w:p>
        </w:tc>
        <w:tc>
          <w:tcPr>
            <w:tcW w:w="712" w:type="dxa"/>
            <w:shd w:val="clear" w:color="auto" w:fill="auto"/>
          </w:tcPr>
          <w:p w:rsidR="00383888" w:rsidRPr="000615AB" w:rsidRDefault="00383888" w:rsidP="00B47699">
            <w:pPr>
              <w:keepNext/>
              <w:keepLines/>
              <w:rPr>
                <w:sz w:val="18"/>
                <w:szCs w:val="18"/>
              </w:rPr>
            </w:pPr>
          </w:p>
        </w:tc>
        <w:tc>
          <w:tcPr>
            <w:tcW w:w="711" w:type="dxa"/>
            <w:shd w:val="clear" w:color="auto" w:fill="auto"/>
          </w:tcPr>
          <w:p w:rsidR="00383888" w:rsidRPr="000615AB" w:rsidRDefault="00383888" w:rsidP="00B47699">
            <w:pPr>
              <w:keepNext/>
              <w:keepLines/>
              <w:rPr>
                <w:sz w:val="18"/>
                <w:szCs w:val="18"/>
              </w:rPr>
            </w:pPr>
          </w:p>
        </w:tc>
        <w:tc>
          <w:tcPr>
            <w:tcW w:w="712" w:type="dxa"/>
            <w:shd w:val="clear" w:color="auto" w:fill="auto"/>
          </w:tcPr>
          <w:p w:rsidR="00383888" w:rsidRPr="000615AB" w:rsidRDefault="00383888" w:rsidP="00B47699">
            <w:pPr>
              <w:keepNext/>
              <w:keepLines/>
              <w:rPr>
                <w:sz w:val="18"/>
                <w:szCs w:val="18"/>
              </w:rPr>
            </w:pPr>
          </w:p>
        </w:tc>
      </w:tr>
      <w:tr w:rsidR="00383888" w:rsidRPr="000615AB" w:rsidTr="00B47699">
        <w:trPr>
          <w:trHeight w:val="187"/>
        </w:trPr>
        <w:tc>
          <w:tcPr>
            <w:tcW w:w="711" w:type="dxa"/>
            <w:tcBorders>
              <w:bottom w:val="double" w:sz="4" w:space="0" w:color="auto"/>
            </w:tcBorders>
            <w:shd w:val="clear" w:color="auto" w:fill="auto"/>
          </w:tcPr>
          <w:p w:rsidR="00383888" w:rsidRPr="000615AB" w:rsidRDefault="00383888" w:rsidP="00B47699">
            <w:pPr>
              <w:keepNext/>
              <w:keepLines/>
              <w:rPr>
                <w:sz w:val="16"/>
                <w:szCs w:val="16"/>
              </w:rPr>
            </w:pPr>
            <w:r>
              <w:rPr>
                <w:sz w:val="16"/>
                <w:szCs w:val="16"/>
              </w:rPr>
              <w:t>Año</w:t>
            </w:r>
          </w:p>
        </w:tc>
        <w:tc>
          <w:tcPr>
            <w:tcW w:w="607" w:type="dxa"/>
            <w:tcBorders>
              <w:bottom w:val="double" w:sz="4" w:space="0" w:color="auto"/>
            </w:tcBorders>
            <w:shd w:val="clear" w:color="auto" w:fill="auto"/>
          </w:tcPr>
          <w:p w:rsidR="00383888" w:rsidRPr="000615AB" w:rsidRDefault="00383888" w:rsidP="00B47699">
            <w:pPr>
              <w:keepNext/>
              <w:keepLines/>
              <w:jc w:val="right"/>
              <w:rPr>
                <w:sz w:val="16"/>
                <w:szCs w:val="16"/>
              </w:rPr>
            </w:pPr>
            <w:r w:rsidRPr="000615AB">
              <w:rPr>
                <w:sz w:val="16"/>
                <w:szCs w:val="16"/>
              </w:rPr>
              <w:t>CH</w:t>
            </w:r>
          </w:p>
        </w:tc>
        <w:tc>
          <w:tcPr>
            <w:tcW w:w="660" w:type="dxa"/>
            <w:tcBorders>
              <w:bottom w:val="double" w:sz="4" w:space="0" w:color="auto"/>
            </w:tcBorders>
            <w:shd w:val="clear" w:color="auto" w:fill="auto"/>
          </w:tcPr>
          <w:p w:rsidR="00383888" w:rsidRPr="000615AB" w:rsidRDefault="00383888" w:rsidP="00B47699">
            <w:pPr>
              <w:keepNext/>
              <w:keepLines/>
              <w:jc w:val="right"/>
              <w:rPr>
                <w:sz w:val="16"/>
                <w:szCs w:val="16"/>
              </w:rPr>
            </w:pPr>
            <w:r w:rsidRPr="000615AB">
              <w:rPr>
                <w:sz w:val="16"/>
                <w:szCs w:val="16"/>
              </w:rPr>
              <w:t>DE</w:t>
            </w:r>
          </w:p>
        </w:tc>
        <w:tc>
          <w:tcPr>
            <w:tcW w:w="660" w:type="dxa"/>
            <w:tcBorders>
              <w:bottom w:val="double" w:sz="4" w:space="0" w:color="auto"/>
            </w:tcBorders>
            <w:shd w:val="clear" w:color="auto" w:fill="auto"/>
          </w:tcPr>
          <w:p w:rsidR="00383888" w:rsidRPr="000615AB" w:rsidRDefault="00383888" w:rsidP="00B47699">
            <w:pPr>
              <w:keepNext/>
              <w:keepLines/>
              <w:jc w:val="right"/>
              <w:rPr>
                <w:sz w:val="16"/>
                <w:szCs w:val="16"/>
              </w:rPr>
            </w:pPr>
            <w:r w:rsidRPr="000615AB">
              <w:rPr>
                <w:sz w:val="16"/>
                <w:szCs w:val="16"/>
              </w:rPr>
              <w:t>FR</w:t>
            </w:r>
          </w:p>
        </w:tc>
        <w:tc>
          <w:tcPr>
            <w:tcW w:w="550" w:type="dxa"/>
            <w:tcBorders>
              <w:bottom w:val="double" w:sz="4" w:space="0" w:color="auto"/>
            </w:tcBorders>
            <w:shd w:val="clear" w:color="auto" w:fill="auto"/>
          </w:tcPr>
          <w:p w:rsidR="00383888" w:rsidRPr="000615AB" w:rsidRDefault="00383888" w:rsidP="00B47699">
            <w:pPr>
              <w:keepNext/>
              <w:keepLines/>
              <w:jc w:val="right"/>
              <w:rPr>
                <w:sz w:val="16"/>
                <w:szCs w:val="16"/>
              </w:rPr>
            </w:pPr>
            <w:r w:rsidRPr="000615AB">
              <w:rPr>
                <w:sz w:val="16"/>
                <w:szCs w:val="16"/>
              </w:rPr>
              <w:t>IT</w:t>
            </w:r>
          </w:p>
        </w:tc>
        <w:tc>
          <w:tcPr>
            <w:tcW w:w="660" w:type="dxa"/>
            <w:tcBorders>
              <w:bottom w:val="double" w:sz="4" w:space="0" w:color="auto"/>
            </w:tcBorders>
            <w:shd w:val="clear" w:color="auto" w:fill="auto"/>
          </w:tcPr>
          <w:p w:rsidR="00383888" w:rsidRPr="000615AB" w:rsidRDefault="00383888" w:rsidP="00B47699">
            <w:pPr>
              <w:keepNext/>
              <w:keepLines/>
              <w:jc w:val="right"/>
              <w:rPr>
                <w:sz w:val="16"/>
                <w:szCs w:val="16"/>
              </w:rPr>
            </w:pPr>
            <w:r w:rsidRPr="000615AB">
              <w:rPr>
                <w:sz w:val="16"/>
                <w:szCs w:val="16"/>
              </w:rPr>
              <w:t>NL</w:t>
            </w:r>
          </w:p>
        </w:tc>
        <w:tc>
          <w:tcPr>
            <w:tcW w:w="660" w:type="dxa"/>
            <w:tcBorders>
              <w:bottom w:val="double" w:sz="4" w:space="0" w:color="auto"/>
            </w:tcBorders>
            <w:shd w:val="clear" w:color="auto" w:fill="auto"/>
          </w:tcPr>
          <w:p w:rsidR="00383888" w:rsidRPr="000615AB" w:rsidRDefault="00383888" w:rsidP="00B47699">
            <w:pPr>
              <w:keepNext/>
              <w:keepLines/>
              <w:jc w:val="right"/>
              <w:rPr>
                <w:sz w:val="16"/>
                <w:szCs w:val="16"/>
              </w:rPr>
            </w:pPr>
            <w:r w:rsidRPr="000615AB">
              <w:rPr>
                <w:sz w:val="16"/>
                <w:szCs w:val="16"/>
              </w:rPr>
              <w:t>TR</w:t>
            </w:r>
          </w:p>
        </w:tc>
        <w:tc>
          <w:tcPr>
            <w:tcW w:w="770" w:type="dxa"/>
            <w:tcBorders>
              <w:bottom w:val="double" w:sz="4" w:space="0" w:color="auto"/>
            </w:tcBorders>
            <w:shd w:val="clear" w:color="auto" w:fill="auto"/>
          </w:tcPr>
          <w:p w:rsidR="00383888" w:rsidRPr="000615AB" w:rsidRDefault="00383888" w:rsidP="00B47699">
            <w:pPr>
              <w:keepNext/>
              <w:keepLines/>
              <w:jc w:val="right"/>
              <w:rPr>
                <w:sz w:val="16"/>
                <w:szCs w:val="16"/>
              </w:rPr>
            </w:pPr>
            <w:r>
              <w:rPr>
                <w:sz w:val="16"/>
                <w:szCs w:val="16"/>
              </w:rPr>
              <w:t>Otros</w:t>
            </w:r>
          </w:p>
        </w:tc>
        <w:tc>
          <w:tcPr>
            <w:tcW w:w="1162" w:type="dxa"/>
            <w:tcBorders>
              <w:bottom w:val="double" w:sz="4" w:space="0" w:color="auto"/>
            </w:tcBorders>
            <w:shd w:val="clear" w:color="auto" w:fill="auto"/>
          </w:tcPr>
          <w:p w:rsidR="00383888" w:rsidRPr="000615AB" w:rsidRDefault="00383888" w:rsidP="00B47699">
            <w:pPr>
              <w:keepNext/>
              <w:keepLines/>
              <w:jc w:val="right"/>
              <w:rPr>
                <w:sz w:val="16"/>
                <w:szCs w:val="16"/>
              </w:rPr>
            </w:pPr>
            <w:r w:rsidRPr="000615AB">
              <w:rPr>
                <w:sz w:val="16"/>
                <w:szCs w:val="16"/>
              </w:rPr>
              <w:t>CN</w:t>
            </w:r>
          </w:p>
        </w:tc>
        <w:tc>
          <w:tcPr>
            <w:tcW w:w="712" w:type="dxa"/>
            <w:tcBorders>
              <w:bottom w:val="double" w:sz="4" w:space="0" w:color="auto"/>
            </w:tcBorders>
            <w:shd w:val="clear" w:color="auto" w:fill="auto"/>
          </w:tcPr>
          <w:p w:rsidR="00383888" w:rsidRPr="000615AB" w:rsidRDefault="00383888" w:rsidP="00B47699">
            <w:pPr>
              <w:keepNext/>
              <w:keepLines/>
              <w:jc w:val="right"/>
              <w:rPr>
                <w:sz w:val="16"/>
                <w:szCs w:val="16"/>
              </w:rPr>
            </w:pPr>
            <w:r w:rsidRPr="000615AB">
              <w:rPr>
                <w:sz w:val="16"/>
                <w:szCs w:val="16"/>
              </w:rPr>
              <w:t>JP</w:t>
            </w:r>
          </w:p>
        </w:tc>
        <w:tc>
          <w:tcPr>
            <w:tcW w:w="712" w:type="dxa"/>
            <w:tcBorders>
              <w:bottom w:val="double" w:sz="4" w:space="0" w:color="auto"/>
            </w:tcBorders>
            <w:shd w:val="clear" w:color="auto" w:fill="auto"/>
          </w:tcPr>
          <w:p w:rsidR="00383888" w:rsidRPr="000615AB" w:rsidRDefault="00383888" w:rsidP="00B47699">
            <w:pPr>
              <w:keepNext/>
              <w:keepLines/>
              <w:jc w:val="right"/>
              <w:rPr>
                <w:sz w:val="16"/>
                <w:szCs w:val="16"/>
              </w:rPr>
            </w:pPr>
            <w:r w:rsidRPr="000615AB">
              <w:rPr>
                <w:sz w:val="16"/>
                <w:szCs w:val="16"/>
              </w:rPr>
              <w:t>KR</w:t>
            </w:r>
          </w:p>
        </w:tc>
        <w:tc>
          <w:tcPr>
            <w:tcW w:w="711" w:type="dxa"/>
            <w:tcBorders>
              <w:bottom w:val="double" w:sz="4" w:space="0" w:color="auto"/>
            </w:tcBorders>
            <w:shd w:val="clear" w:color="auto" w:fill="auto"/>
          </w:tcPr>
          <w:p w:rsidR="00383888" w:rsidRPr="000615AB" w:rsidRDefault="00383888" w:rsidP="00B47699">
            <w:pPr>
              <w:keepNext/>
              <w:keepLines/>
              <w:jc w:val="right"/>
              <w:rPr>
                <w:sz w:val="16"/>
                <w:szCs w:val="16"/>
              </w:rPr>
            </w:pPr>
            <w:r w:rsidRPr="000615AB">
              <w:rPr>
                <w:sz w:val="16"/>
                <w:szCs w:val="16"/>
              </w:rPr>
              <w:t>RU</w:t>
            </w:r>
          </w:p>
        </w:tc>
        <w:tc>
          <w:tcPr>
            <w:tcW w:w="712" w:type="dxa"/>
            <w:tcBorders>
              <w:bottom w:val="double" w:sz="4" w:space="0" w:color="auto"/>
            </w:tcBorders>
            <w:shd w:val="clear" w:color="auto" w:fill="auto"/>
          </w:tcPr>
          <w:p w:rsidR="00383888" w:rsidRPr="000615AB" w:rsidRDefault="00383888" w:rsidP="00B47699">
            <w:pPr>
              <w:keepNext/>
              <w:keepLines/>
              <w:jc w:val="right"/>
              <w:rPr>
                <w:sz w:val="16"/>
                <w:szCs w:val="16"/>
              </w:rPr>
            </w:pPr>
            <w:r w:rsidRPr="000615AB">
              <w:rPr>
                <w:sz w:val="16"/>
                <w:szCs w:val="16"/>
              </w:rPr>
              <w:t>US</w:t>
            </w:r>
          </w:p>
        </w:tc>
      </w:tr>
      <w:tr w:rsidR="00383888" w:rsidRPr="000615AB" w:rsidTr="00B47699">
        <w:tc>
          <w:tcPr>
            <w:tcW w:w="711" w:type="dxa"/>
            <w:tcBorders>
              <w:top w:val="double" w:sz="4" w:space="0" w:color="auto"/>
            </w:tcBorders>
            <w:shd w:val="clear" w:color="auto" w:fill="auto"/>
            <w:tcMar>
              <w:top w:w="28" w:type="dxa"/>
              <w:bottom w:w="28" w:type="dxa"/>
            </w:tcMar>
          </w:tcPr>
          <w:p w:rsidR="00383888" w:rsidRPr="000615AB" w:rsidRDefault="00383888" w:rsidP="00B47699">
            <w:pPr>
              <w:keepNext/>
              <w:keepLines/>
              <w:rPr>
                <w:sz w:val="16"/>
                <w:szCs w:val="16"/>
              </w:rPr>
            </w:pPr>
            <w:r w:rsidRPr="000615AB">
              <w:rPr>
                <w:sz w:val="16"/>
                <w:szCs w:val="16"/>
              </w:rPr>
              <w:t>2014</w:t>
            </w:r>
          </w:p>
        </w:tc>
        <w:tc>
          <w:tcPr>
            <w:tcW w:w="607" w:type="dxa"/>
            <w:tcBorders>
              <w:top w:val="double" w:sz="4" w:space="0" w:color="auto"/>
            </w:tcBorders>
            <w:shd w:val="clear" w:color="auto" w:fill="auto"/>
            <w:tcMar>
              <w:top w:w="28" w:type="dxa"/>
              <w:bottom w:w="28" w:type="dxa"/>
            </w:tcMar>
          </w:tcPr>
          <w:p w:rsidR="00383888" w:rsidRPr="000615AB" w:rsidRDefault="00383888" w:rsidP="00B47699">
            <w:pPr>
              <w:keepNext/>
              <w:keepLines/>
              <w:jc w:val="right"/>
              <w:rPr>
                <w:sz w:val="16"/>
                <w:szCs w:val="16"/>
              </w:rPr>
            </w:pPr>
            <w:r w:rsidRPr="000615AB">
              <w:rPr>
                <w:sz w:val="16"/>
                <w:szCs w:val="16"/>
              </w:rPr>
              <w:t>66</w:t>
            </w:r>
          </w:p>
        </w:tc>
        <w:tc>
          <w:tcPr>
            <w:tcW w:w="660" w:type="dxa"/>
            <w:tcBorders>
              <w:top w:val="double" w:sz="4" w:space="0" w:color="auto"/>
            </w:tcBorders>
            <w:shd w:val="clear" w:color="auto" w:fill="auto"/>
            <w:tcMar>
              <w:top w:w="28" w:type="dxa"/>
              <w:bottom w:w="28" w:type="dxa"/>
            </w:tcMar>
          </w:tcPr>
          <w:p w:rsidR="00383888" w:rsidRPr="000615AB" w:rsidRDefault="00383888" w:rsidP="00B47699">
            <w:pPr>
              <w:keepNext/>
              <w:keepLines/>
              <w:jc w:val="right"/>
              <w:rPr>
                <w:sz w:val="16"/>
                <w:szCs w:val="16"/>
              </w:rPr>
            </w:pPr>
            <w:r w:rsidRPr="000615AB">
              <w:rPr>
                <w:sz w:val="16"/>
                <w:szCs w:val="16"/>
              </w:rPr>
              <w:t>197</w:t>
            </w:r>
          </w:p>
        </w:tc>
        <w:tc>
          <w:tcPr>
            <w:tcW w:w="660" w:type="dxa"/>
            <w:tcBorders>
              <w:top w:val="double" w:sz="4" w:space="0" w:color="auto"/>
            </w:tcBorders>
            <w:shd w:val="clear" w:color="auto" w:fill="auto"/>
            <w:tcMar>
              <w:top w:w="28" w:type="dxa"/>
              <w:bottom w:w="28" w:type="dxa"/>
            </w:tcMar>
          </w:tcPr>
          <w:p w:rsidR="00383888" w:rsidRPr="000615AB" w:rsidRDefault="00383888" w:rsidP="00B47699">
            <w:pPr>
              <w:keepNext/>
              <w:keepLines/>
              <w:jc w:val="right"/>
              <w:rPr>
                <w:sz w:val="16"/>
                <w:szCs w:val="16"/>
              </w:rPr>
            </w:pPr>
            <w:r w:rsidRPr="000615AB">
              <w:rPr>
                <w:sz w:val="16"/>
                <w:szCs w:val="16"/>
              </w:rPr>
              <w:t>61</w:t>
            </w:r>
          </w:p>
        </w:tc>
        <w:tc>
          <w:tcPr>
            <w:tcW w:w="550" w:type="dxa"/>
            <w:tcBorders>
              <w:top w:val="double" w:sz="4" w:space="0" w:color="auto"/>
            </w:tcBorders>
            <w:shd w:val="clear" w:color="auto" w:fill="auto"/>
            <w:tcMar>
              <w:top w:w="28" w:type="dxa"/>
              <w:bottom w:w="28" w:type="dxa"/>
            </w:tcMar>
          </w:tcPr>
          <w:p w:rsidR="00383888" w:rsidRPr="000615AB" w:rsidRDefault="00383888" w:rsidP="00B47699">
            <w:pPr>
              <w:keepNext/>
              <w:keepLines/>
              <w:jc w:val="right"/>
              <w:rPr>
                <w:sz w:val="16"/>
                <w:szCs w:val="16"/>
              </w:rPr>
            </w:pPr>
            <w:r w:rsidRPr="000615AB">
              <w:rPr>
                <w:sz w:val="16"/>
                <w:szCs w:val="16"/>
              </w:rPr>
              <w:t>44</w:t>
            </w:r>
          </w:p>
        </w:tc>
        <w:tc>
          <w:tcPr>
            <w:tcW w:w="660" w:type="dxa"/>
            <w:tcBorders>
              <w:top w:val="double" w:sz="4" w:space="0" w:color="auto"/>
            </w:tcBorders>
            <w:shd w:val="clear" w:color="auto" w:fill="auto"/>
            <w:tcMar>
              <w:top w:w="28" w:type="dxa"/>
              <w:bottom w:w="28" w:type="dxa"/>
            </w:tcMar>
          </w:tcPr>
          <w:p w:rsidR="00383888" w:rsidRPr="000615AB" w:rsidRDefault="00383888" w:rsidP="00B47699">
            <w:pPr>
              <w:keepNext/>
              <w:keepLines/>
              <w:jc w:val="right"/>
              <w:rPr>
                <w:sz w:val="16"/>
                <w:szCs w:val="16"/>
              </w:rPr>
            </w:pPr>
            <w:r w:rsidRPr="000615AB">
              <w:rPr>
                <w:sz w:val="16"/>
                <w:szCs w:val="16"/>
              </w:rPr>
              <w:t>29</w:t>
            </w:r>
          </w:p>
        </w:tc>
        <w:tc>
          <w:tcPr>
            <w:tcW w:w="660" w:type="dxa"/>
            <w:tcBorders>
              <w:top w:val="double" w:sz="4" w:space="0" w:color="auto"/>
            </w:tcBorders>
            <w:shd w:val="clear" w:color="auto" w:fill="auto"/>
            <w:tcMar>
              <w:top w:w="28" w:type="dxa"/>
              <w:bottom w:w="28" w:type="dxa"/>
            </w:tcMar>
          </w:tcPr>
          <w:p w:rsidR="00383888" w:rsidRPr="000615AB" w:rsidRDefault="00383888" w:rsidP="00B47699">
            <w:pPr>
              <w:keepNext/>
              <w:keepLines/>
              <w:jc w:val="right"/>
              <w:rPr>
                <w:sz w:val="16"/>
                <w:szCs w:val="16"/>
              </w:rPr>
            </w:pPr>
            <w:r w:rsidRPr="000615AB">
              <w:rPr>
                <w:sz w:val="16"/>
                <w:szCs w:val="16"/>
              </w:rPr>
              <w:t>18</w:t>
            </w:r>
          </w:p>
        </w:tc>
        <w:tc>
          <w:tcPr>
            <w:tcW w:w="770" w:type="dxa"/>
            <w:tcBorders>
              <w:top w:val="double" w:sz="4" w:space="0" w:color="auto"/>
            </w:tcBorders>
            <w:shd w:val="clear" w:color="auto" w:fill="auto"/>
            <w:tcMar>
              <w:top w:w="28" w:type="dxa"/>
              <w:bottom w:w="28" w:type="dxa"/>
            </w:tcMar>
          </w:tcPr>
          <w:p w:rsidR="00383888" w:rsidRPr="000615AB" w:rsidRDefault="00383888" w:rsidP="00B47699">
            <w:pPr>
              <w:keepNext/>
              <w:keepLines/>
              <w:jc w:val="right"/>
              <w:rPr>
                <w:sz w:val="16"/>
                <w:szCs w:val="16"/>
              </w:rPr>
            </w:pPr>
            <w:r w:rsidRPr="000615AB">
              <w:rPr>
                <w:sz w:val="16"/>
                <w:szCs w:val="16"/>
              </w:rPr>
              <w:t>297</w:t>
            </w:r>
          </w:p>
        </w:tc>
        <w:tc>
          <w:tcPr>
            <w:tcW w:w="1162" w:type="dxa"/>
            <w:tcBorders>
              <w:top w:val="double" w:sz="4" w:space="0" w:color="auto"/>
            </w:tcBorders>
            <w:shd w:val="clear" w:color="auto" w:fill="auto"/>
            <w:tcMar>
              <w:top w:w="28" w:type="dxa"/>
              <w:bottom w:w="28" w:type="dxa"/>
            </w:tcMar>
          </w:tcPr>
          <w:p w:rsidR="00383888" w:rsidRPr="000615AB" w:rsidRDefault="00383888" w:rsidP="00B47699">
            <w:pPr>
              <w:keepNext/>
              <w:keepLines/>
              <w:jc w:val="right"/>
              <w:rPr>
                <w:sz w:val="16"/>
                <w:szCs w:val="16"/>
              </w:rPr>
            </w:pPr>
            <w:r w:rsidRPr="000615AB">
              <w:rPr>
                <w:sz w:val="16"/>
                <w:szCs w:val="16"/>
              </w:rPr>
              <w:t>19</w:t>
            </w:r>
          </w:p>
        </w:tc>
        <w:tc>
          <w:tcPr>
            <w:tcW w:w="712" w:type="dxa"/>
            <w:tcBorders>
              <w:top w:val="double" w:sz="4" w:space="0" w:color="auto"/>
            </w:tcBorders>
            <w:shd w:val="clear" w:color="auto" w:fill="auto"/>
            <w:tcMar>
              <w:top w:w="28" w:type="dxa"/>
              <w:bottom w:w="28" w:type="dxa"/>
            </w:tcMar>
          </w:tcPr>
          <w:p w:rsidR="00383888" w:rsidRPr="000615AB" w:rsidRDefault="00383888" w:rsidP="00B47699">
            <w:pPr>
              <w:keepNext/>
              <w:keepLines/>
              <w:jc w:val="right"/>
              <w:rPr>
                <w:sz w:val="16"/>
                <w:szCs w:val="16"/>
              </w:rPr>
            </w:pPr>
            <w:r w:rsidRPr="000615AB">
              <w:rPr>
                <w:sz w:val="16"/>
                <w:szCs w:val="16"/>
              </w:rPr>
              <w:t>0</w:t>
            </w:r>
          </w:p>
        </w:tc>
        <w:tc>
          <w:tcPr>
            <w:tcW w:w="712" w:type="dxa"/>
            <w:tcBorders>
              <w:top w:val="double" w:sz="4" w:space="0" w:color="auto"/>
            </w:tcBorders>
            <w:shd w:val="clear" w:color="auto" w:fill="auto"/>
            <w:tcMar>
              <w:top w:w="28" w:type="dxa"/>
              <w:bottom w:w="28" w:type="dxa"/>
            </w:tcMar>
          </w:tcPr>
          <w:p w:rsidR="00383888" w:rsidRPr="000615AB" w:rsidRDefault="00383888" w:rsidP="00B47699">
            <w:pPr>
              <w:keepNext/>
              <w:keepLines/>
              <w:jc w:val="right"/>
              <w:rPr>
                <w:sz w:val="16"/>
                <w:szCs w:val="16"/>
              </w:rPr>
            </w:pPr>
            <w:r w:rsidRPr="000615AB">
              <w:rPr>
                <w:sz w:val="16"/>
                <w:szCs w:val="16"/>
              </w:rPr>
              <w:t>0</w:t>
            </w:r>
          </w:p>
        </w:tc>
        <w:tc>
          <w:tcPr>
            <w:tcW w:w="711" w:type="dxa"/>
            <w:tcBorders>
              <w:top w:val="double" w:sz="4" w:space="0" w:color="auto"/>
            </w:tcBorders>
            <w:shd w:val="clear" w:color="auto" w:fill="auto"/>
            <w:tcMar>
              <w:top w:w="28" w:type="dxa"/>
              <w:bottom w:w="28" w:type="dxa"/>
            </w:tcMar>
          </w:tcPr>
          <w:p w:rsidR="00383888" w:rsidRPr="000615AB" w:rsidRDefault="00383888" w:rsidP="00B47699">
            <w:pPr>
              <w:keepNext/>
              <w:keepLines/>
              <w:jc w:val="right"/>
              <w:rPr>
                <w:sz w:val="16"/>
                <w:szCs w:val="16"/>
              </w:rPr>
            </w:pPr>
            <w:r w:rsidRPr="000615AB">
              <w:rPr>
                <w:sz w:val="16"/>
                <w:szCs w:val="16"/>
              </w:rPr>
              <w:t>2</w:t>
            </w:r>
          </w:p>
        </w:tc>
        <w:tc>
          <w:tcPr>
            <w:tcW w:w="712" w:type="dxa"/>
            <w:tcBorders>
              <w:top w:val="double" w:sz="4" w:space="0" w:color="auto"/>
            </w:tcBorders>
            <w:shd w:val="clear" w:color="auto" w:fill="auto"/>
            <w:tcMar>
              <w:top w:w="28" w:type="dxa"/>
              <w:bottom w:w="28" w:type="dxa"/>
            </w:tcMar>
          </w:tcPr>
          <w:p w:rsidR="00383888" w:rsidRPr="000615AB" w:rsidRDefault="00383888" w:rsidP="00B47699">
            <w:pPr>
              <w:keepNext/>
              <w:keepLines/>
              <w:jc w:val="right"/>
              <w:rPr>
                <w:sz w:val="16"/>
                <w:szCs w:val="16"/>
              </w:rPr>
            </w:pPr>
            <w:r w:rsidRPr="000615AB">
              <w:rPr>
                <w:sz w:val="16"/>
                <w:szCs w:val="16"/>
              </w:rPr>
              <w:t>67</w:t>
            </w:r>
          </w:p>
        </w:tc>
      </w:tr>
      <w:tr w:rsidR="00383888" w:rsidRPr="000615AB" w:rsidTr="00B47699">
        <w:tc>
          <w:tcPr>
            <w:tcW w:w="711" w:type="dxa"/>
            <w:shd w:val="clear" w:color="auto" w:fill="auto"/>
            <w:tcMar>
              <w:top w:w="28" w:type="dxa"/>
              <w:bottom w:w="28" w:type="dxa"/>
            </w:tcMar>
          </w:tcPr>
          <w:p w:rsidR="00383888" w:rsidRPr="000615AB" w:rsidRDefault="00383888" w:rsidP="00B47699">
            <w:pPr>
              <w:keepNext/>
              <w:keepLines/>
              <w:rPr>
                <w:sz w:val="16"/>
                <w:szCs w:val="16"/>
              </w:rPr>
            </w:pPr>
            <w:r w:rsidRPr="000615AB">
              <w:rPr>
                <w:sz w:val="16"/>
                <w:szCs w:val="16"/>
              </w:rPr>
              <w:t>2015</w:t>
            </w:r>
          </w:p>
        </w:tc>
        <w:tc>
          <w:tcPr>
            <w:tcW w:w="607" w:type="dxa"/>
            <w:shd w:val="clear" w:color="auto" w:fill="auto"/>
            <w:tcMar>
              <w:top w:w="28" w:type="dxa"/>
              <w:bottom w:w="28" w:type="dxa"/>
            </w:tcMar>
          </w:tcPr>
          <w:p w:rsidR="00383888" w:rsidRPr="000615AB" w:rsidRDefault="00383888" w:rsidP="00B47699">
            <w:pPr>
              <w:keepNext/>
              <w:keepLines/>
              <w:jc w:val="right"/>
              <w:rPr>
                <w:sz w:val="16"/>
                <w:szCs w:val="16"/>
              </w:rPr>
            </w:pPr>
            <w:r w:rsidRPr="000615AB">
              <w:rPr>
                <w:sz w:val="16"/>
                <w:szCs w:val="16"/>
              </w:rPr>
              <w:t>115</w:t>
            </w:r>
          </w:p>
        </w:tc>
        <w:tc>
          <w:tcPr>
            <w:tcW w:w="660" w:type="dxa"/>
            <w:shd w:val="clear" w:color="auto" w:fill="auto"/>
            <w:tcMar>
              <w:top w:w="28" w:type="dxa"/>
              <w:bottom w:w="28" w:type="dxa"/>
            </w:tcMar>
          </w:tcPr>
          <w:p w:rsidR="00383888" w:rsidRPr="000615AB" w:rsidRDefault="00383888" w:rsidP="00B47699">
            <w:pPr>
              <w:keepNext/>
              <w:keepLines/>
              <w:jc w:val="right"/>
              <w:rPr>
                <w:sz w:val="16"/>
                <w:szCs w:val="16"/>
              </w:rPr>
            </w:pPr>
            <w:r w:rsidRPr="000615AB">
              <w:rPr>
                <w:sz w:val="16"/>
                <w:szCs w:val="16"/>
              </w:rPr>
              <w:t>282</w:t>
            </w:r>
          </w:p>
        </w:tc>
        <w:tc>
          <w:tcPr>
            <w:tcW w:w="660" w:type="dxa"/>
            <w:shd w:val="clear" w:color="auto" w:fill="auto"/>
            <w:tcMar>
              <w:top w:w="28" w:type="dxa"/>
              <w:bottom w:w="28" w:type="dxa"/>
            </w:tcMar>
          </w:tcPr>
          <w:p w:rsidR="00383888" w:rsidRPr="000615AB" w:rsidRDefault="00383888" w:rsidP="00B47699">
            <w:pPr>
              <w:keepNext/>
              <w:keepLines/>
              <w:jc w:val="right"/>
              <w:rPr>
                <w:sz w:val="16"/>
                <w:szCs w:val="16"/>
              </w:rPr>
            </w:pPr>
            <w:r w:rsidRPr="000615AB">
              <w:rPr>
                <w:sz w:val="16"/>
                <w:szCs w:val="16"/>
              </w:rPr>
              <w:t>90</w:t>
            </w:r>
          </w:p>
        </w:tc>
        <w:tc>
          <w:tcPr>
            <w:tcW w:w="550" w:type="dxa"/>
            <w:shd w:val="clear" w:color="auto" w:fill="auto"/>
            <w:tcMar>
              <w:top w:w="28" w:type="dxa"/>
              <w:bottom w:w="28" w:type="dxa"/>
            </w:tcMar>
          </w:tcPr>
          <w:p w:rsidR="00383888" w:rsidRPr="000615AB" w:rsidRDefault="00383888" w:rsidP="00B47699">
            <w:pPr>
              <w:keepNext/>
              <w:keepLines/>
              <w:jc w:val="right"/>
              <w:rPr>
                <w:sz w:val="16"/>
                <w:szCs w:val="16"/>
              </w:rPr>
            </w:pPr>
            <w:r w:rsidRPr="000615AB">
              <w:rPr>
                <w:sz w:val="16"/>
                <w:szCs w:val="16"/>
              </w:rPr>
              <w:t>63</w:t>
            </w:r>
          </w:p>
        </w:tc>
        <w:tc>
          <w:tcPr>
            <w:tcW w:w="660" w:type="dxa"/>
            <w:shd w:val="clear" w:color="auto" w:fill="auto"/>
            <w:tcMar>
              <w:top w:w="28" w:type="dxa"/>
              <w:bottom w:w="28" w:type="dxa"/>
            </w:tcMar>
          </w:tcPr>
          <w:p w:rsidR="00383888" w:rsidRPr="000615AB" w:rsidRDefault="00383888" w:rsidP="00B47699">
            <w:pPr>
              <w:keepNext/>
              <w:keepLines/>
              <w:jc w:val="right"/>
              <w:rPr>
                <w:sz w:val="16"/>
                <w:szCs w:val="16"/>
              </w:rPr>
            </w:pPr>
            <w:r w:rsidRPr="000615AB">
              <w:rPr>
                <w:sz w:val="16"/>
                <w:szCs w:val="16"/>
              </w:rPr>
              <w:t>46</w:t>
            </w:r>
          </w:p>
        </w:tc>
        <w:tc>
          <w:tcPr>
            <w:tcW w:w="660" w:type="dxa"/>
            <w:shd w:val="clear" w:color="auto" w:fill="auto"/>
            <w:tcMar>
              <w:top w:w="28" w:type="dxa"/>
              <w:bottom w:w="28" w:type="dxa"/>
            </w:tcMar>
          </w:tcPr>
          <w:p w:rsidR="00383888" w:rsidRPr="000615AB" w:rsidRDefault="00383888" w:rsidP="00B47699">
            <w:pPr>
              <w:keepNext/>
              <w:keepLines/>
              <w:jc w:val="right"/>
              <w:rPr>
                <w:sz w:val="16"/>
                <w:szCs w:val="16"/>
              </w:rPr>
            </w:pPr>
            <w:r w:rsidRPr="000615AB">
              <w:rPr>
                <w:sz w:val="16"/>
                <w:szCs w:val="16"/>
              </w:rPr>
              <w:t>25</w:t>
            </w:r>
          </w:p>
        </w:tc>
        <w:tc>
          <w:tcPr>
            <w:tcW w:w="770" w:type="dxa"/>
            <w:shd w:val="clear" w:color="auto" w:fill="auto"/>
            <w:tcMar>
              <w:top w:w="28" w:type="dxa"/>
              <w:bottom w:w="28" w:type="dxa"/>
            </w:tcMar>
          </w:tcPr>
          <w:p w:rsidR="00383888" w:rsidRPr="000615AB" w:rsidRDefault="00383888" w:rsidP="00B47699">
            <w:pPr>
              <w:keepNext/>
              <w:keepLines/>
              <w:jc w:val="right"/>
              <w:rPr>
                <w:sz w:val="16"/>
                <w:szCs w:val="16"/>
              </w:rPr>
            </w:pPr>
            <w:r w:rsidRPr="000615AB">
              <w:rPr>
                <w:sz w:val="16"/>
                <w:szCs w:val="16"/>
              </w:rPr>
              <w:t>429</w:t>
            </w:r>
          </w:p>
        </w:tc>
        <w:tc>
          <w:tcPr>
            <w:tcW w:w="1162" w:type="dxa"/>
            <w:shd w:val="clear" w:color="auto" w:fill="auto"/>
            <w:tcMar>
              <w:top w:w="28" w:type="dxa"/>
              <w:bottom w:w="28" w:type="dxa"/>
            </w:tcMar>
          </w:tcPr>
          <w:p w:rsidR="00383888" w:rsidRPr="000615AB" w:rsidRDefault="00383888" w:rsidP="00B47699">
            <w:pPr>
              <w:keepNext/>
              <w:keepLines/>
              <w:jc w:val="right"/>
              <w:rPr>
                <w:sz w:val="16"/>
                <w:szCs w:val="16"/>
              </w:rPr>
            </w:pPr>
            <w:r w:rsidRPr="000615AB">
              <w:rPr>
                <w:sz w:val="16"/>
                <w:szCs w:val="16"/>
              </w:rPr>
              <w:t>43</w:t>
            </w:r>
          </w:p>
        </w:tc>
        <w:tc>
          <w:tcPr>
            <w:tcW w:w="712" w:type="dxa"/>
            <w:shd w:val="clear" w:color="auto" w:fill="auto"/>
            <w:tcMar>
              <w:top w:w="28" w:type="dxa"/>
              <w:bottom w:w="28" w:type="dxa"/>
            </w:tcMar>
          </w:tcPr>
          <w:p w:rsidR="00383888" w:rsidRPr="000615AB" w:rsidRDefault="00383888" w:rsidP="00B47699">
            <w:pPr>
              <w:keepNext/>
              <w:keepLines/>
              <w:jc w:val="right"/>
              <w:rPr>
                <w:sz w:val="16"/>
                <w:szCs w:val="16"/>
              </w:rPr>
            </w:pPr>
            <w:r w:rsidRPr="000615AB">
              <w:rPr>
                <w:sz w:val="16"/>
                <w:szCs w:val="16"/>
              </w:rPr>
              <w:t>195</w:t>
            </w:r>
          </w:p>
        </w:tc>
        <w:tc>
          <w:tcPr>
            <w:tcW w:w="712" w:type="dxa"/>
            <w:shd w:val="clear" w:color="auto" w:fill="auto"/>
            <w:tcMar>
              <w:top w:w="28" w:type="dxa"/>
              <w:bottom w:w="28" w:type="dxa"/>
            </w:tcMar>
          </w:tcPr>
          <w:p w:rsidR="00383888" w:rsidRPr="000615AB" w:rsidRDefault="00383888" w:rsidP="00B47699">
            <w:pPr>
              <w:keepNext/>
              <w:keepLines/>
              <w:jc w:val="right"/>
              <w:rPr>
                <w:sz w:val="16"/>
                <w:szCs w:val="16"/>
              </w:rPr>
            </w:pPr>
            <w:r w:rsidRPr="000615AB">
              <w:rPr>
                <w:sz w:val="16"/>
                <w:szCs w:val="16"/>
              </w:rPr>
              <w:t>66</w:t>
            </w:r>
          </w:p>
        </w:tc>
        <w:tc>
          <w:tcPr>
            <w:tcW w:w="711" w:type="dxa"/>
            <w:shd w:val="clear" w:color="auto" w:fill="auto"/>
            <w:tcMar>
              <w:top w:w="28" w:type="dxa"/>
              <w:bottom w:w="28" w:type="dxa"/>
            </w:tcMar>
          </w:tcPr>
          <w:p w:rsidR="00383888" w:rsidRPr="000615AB" w:rsidRDefault="00383888" w:rsidP="00B47699">
            <w:pPr>
              <w:keepNext/>
              <w:keepLines/>
              <w:jc w:val="right"/>
              <w:rPr>
                <w:sz w:val="16"/>
                <w:szCs w:val="16"/>
              </w:rPr>
            </w:pPr>
            <w:r w:rsidRPr="000615AB">
              <w:rPr>
                <w:sz w:val="16"/>
                <w:szCs w:val="16"/>
              </w:rPr>
              <w:t>4</w:t>
            </w:r>
          </w:p>
        </w:tc>
        <w:tc>
          <w:tcPr>
            <w:tcW w:w="712" w:type="dxa"/>
            <w:shd w:val="clear" w:color="auto" w:fill="auto"/>
            <w:tcMar>
              <w:top w:w="28" w:type="dxa"/>
              <w:bottom w:w="28" w:type="dxa"/>
            </w:tcMar>
          </w:tcPr>
          <w:p w:rsidR="00383888" w:rsidRPr="000615AB" w:rsidRDefault="00383888" w:rsidP="00B47699">
            <w:pPr>
              <w:keepNext/>
              <w:keepLines/>
              <w:jc w:val="right"/>
              <w:rPr>
                <w:sz w:val="16"/>
                <w:szCs w:val="16"/>
              </w:rPr>
            </w:pPr>
            <w:r w:rsidRPr="000615AB">
              <w:rPr>
                <w:sz w:val="16"/>
                <w:szCs w:val="16"/>
              </w:rPr>
              <w:t>164</w:t>
            </w:r>
          </w:p>
        </w:tc>
      </w:tr>
      <w:tr w:rsidR="00383888" w:rsidRPr="000615AB" w:rsidTr="00B47699">
        <w:tc>
          <w:tcPr>
            <w:tcW w:w="711" w:type="dxa"/>
            <w:shd w:val="clear" w:color="auto" w:fill="auto"/>
            <w:tcMar>
              <w:top w:w="28" w:type="dxa"/>
              <w:bottom w:w="28" w:type="dxa"/>
            </w:tcMar>
          </w:tcPr>
          <w:p w:rsidR="00383888" w:rsidRPr="000615AB" w:rsidRDefault="00383888" w:rsidP="00B47699">
            <w:pPr>
              <w:keepNext/>
              <w:keepLines/>
              <w:rPr>
                <w:sz w:val="16"/>
                <w:szCs w:val="16"/>
              </w:rPr>
            </w:pPr>
            <w:r w:rsidRPr="000615AB">
              <w:rPr>
                <w:sz w:val="16"/>
                <w:szCs w:val="16"/>
              </w:rPr>
              <w:t>2016</w:t>
            </w:r>
          </w:p>
        </w:tc>
        <w:tc>
          <w:tcPr>
            <w:tcW w:w="607" w:type="dxa"/>
            <w:shd w:val="clear" w:color="auto" w:fill="auto"/>
            <w:tcMar>
              <w:top w:w="28" w:type="dxa"/>
              <w:bottom w:w="28" w:type="dxa"/>
            </w:tcMar>
          </w:tcPr>
          <w:p w:rsidR="00383888" w:rsidRPr="000615AB" w:rsidRDefault="00383888" w:rsidP="00B47699">
            <w:pPr>
              <w:keepNext/>
              <w:keepLines/>
              <w:jc w:val="right"/>
              <w:rPr>
                <w:sz w:val="16"/>
                <w:szCs w:val="16"/>
              </w:rPr>
            </w:pPr>
            <w:r w:rsidRPr="000615AB">
              <w:rPr>
                <w:sz w:val="16"/>
                <w:szCs w:val="16"/>
              </w:rPr>
              <w:t>141</w:t>
            </w:r>
          </w:p>
        </w:tc>
        <w:tc>
          <w:tcPr>
            <w:tcW w:w="660" w:type="dxa"/>
            <w:shd w:val="clear" w:color="auto" w:fill="auto"/>
            <w:tcMar>
              <w:top w:w="28" w:type="dxa"/>
              <w:bottom w:w="28" w:type="dxa"/>
            </w:tcMar>
          </w:tcPr>
          <w:p w:rsidR="00383888" w:rsidRPr="000615AB" w:rsidRDefault="00383888" w:rsidP="00B47699">
            <w:pPr>
              <w:keepNext/>
              <w:keepLines/>
              <w:jc w:val="right"/>
              <w:rPr>
                <w:sz w:val="16"/>
                <w:szCs w:val="16"/>
              </w:rPr>
            </w:pPr>
            <w:r w:rsidRPr="000615AB">
              <w:rPr>
                <w:sz w:val="16"/>
                <w:szCs w:val="16"/>
              </w:rPr>
              <w:t>349</w:t>
            </w:r>
          </w:p>
        </w:tc>
        <w:tc>
          <w:tcPr>
            <w:tcW w:w="660" w:type="dxa"/>
            <w:shd w:val="clear" w:color="auto" w:fill="auto"/>
            <w:tcMar>
              <w:top w:w="28" w:type="dxa"/>
              <w:bottom w:w="28" w:type="dxa"/>
            </w:tcMar>
          </w:tcPr>
          <w:p w:rsidR="00383888" w:rsidRPr="000615AB" w:rsidRDefault="00383888" w:rsidP="00B47699">
            <w:pPr>
              <w:keepNext/>
              <w:keepLines/>
              <w:jc w:val="right"/>
              <w:rPr>
                <w:sz w:val="16"/>
                <w:szCs w:val="16"/>
              </w:rPr>
            </w:pPr>
            <w:r w:rsidRPr="000615AB">
              <w:rPr>
                <w:sz w:val="16"/>
                <w:szCs w:val="16"/>
              </w:rPr>
              <w:t>111</w:t>
            </w:r>
          </w:p>
        </w:tc>
        <w:tc>
          <w:tcPr>
            <w:tcW w:w="550" w:type="dxa"/>
            <w:shd w:val="clear" w:color="auto" w:fill="auto"/>
            <w:tcMar>
              <w:top w:w="28" w:type="dxa"/>
              <w:bottom w:w="28" w:type="dxa"/>
            </w:tcMar>
          </w:tcPr>
          <w:p w:rsidR="00383888" w:rsidRPr="000615AB" w:rsidRDefault="00383888" w:rsidP="00B47699">
            <w:pPr>
              <w:keepNext/>
              <w:keepLines/>
              <w:jc w:val="right"/>
              <w:rPr>
                <w:sz w:val="16"/>
                <w:szCs w:val="16"/>
              </w:rPr>
            </w:pPr>
            <w:r w:rsidRPr="000615AB">
              <w:rPr>
                <w:sz w:val="16"/>
                <w:szCs w:val="16"/>
              </w:rPr>
              <w:t>77</w:t>
            </w:r>
          </w:p>
        </w:tc>
        <w:tc>
          <w:tcPr>
            <w:tcW w:w="660" w:type="dxa"/>
            <w:shd w:val="clear" w:color="auto" w:fill="auto"/>
            <w:tcMar>
              <w:top w:w="28" w:type="dxa"/>
              <w:bottom w:w="28" w:type="dxa"/>
            </w:tcMar>
          </w:tcPr>
          <w:p w:rsidR="00383888" w:rsidRPr="000615AB" w:rsidRDefault="00383888" w:rsidP="00B47699">
            <w:pPr>
              <w:keepNext/>
              <w:keepLines/>
              <w:jc w:val="right"/>
              <w:rPr>
                <w:sz w:val="16"/>
                <w:szCs w:val="16"/>
              </w:rPr>
            </w:pPr>
            <w:r w:rsidRPr="000615AB">
              <w:rPr>
                <w:sz w:val="16"/>
                <w:szCs w:val="16"/>
              </w:rPr>
              <w:t>56</w:t>
            </w:r>
          </w:p>
        </w:tc>
        <w:tc>
          <w:tcPr>
            <w:tcW w:w="660" w:type="dxa"/>
            <w:shd w:val="clear" w:color="auto" w:fill="auto"/>
            <w:tcMar>
              <w:top w:w="28" w:type="dxa"/>
              <w:bottom w:w="28" w:type="dxa"/>
            </w:tcMar>
          </w:tcPr>
          <w:p w:rsidR="00383888" w:rsidRPr="000615AB" w:rsidRDefault="00383888" w:rsidP="00B47699">
            <w:pPr>
              <w:keepNext/>
              <w:keepLines/>
              <w:jc w:val="right"/>
              <w:rPr>
                <w:sz w:val="16"/>
                <w:szCs w:val="16"/>
              </w:rPr>
            </w:pPr>
            <w:r w:rsidRPr="000615AB">
              <w:rPr>
                <w:sz w:val="16"/>
                <w:szCs w:val="16"/>
              </w:rPr>
              <w:t>31</w:t>
            </w:r>
          </w:p>
        </w:tc>
        <w:tc>
          <w:tcPr>
            <w:tcW w:w="770" w:type="dxa"/>
            <w:shd w:val="clear" w:color="auto" w:fill="auto"/>
            <w:tcMar>
              <w:top w:w="28" w:type="dxa"/>
              <w:bottom w:w="28" w:type="dxa"/>
            </w:tcMar>
          </w:tcPr>
          <w:p w:rsidR="00383888" w:rsidRPr="000615AB" w:rsidRDefault="00383888" w:rsidP="00B47699">
            <w:pPr>
              <w:keepNext/>
              <w:keepLines/>
              <w:jc w:val="right"/>
              <w:rPr>
                <w:sz w:val="16"/>
                <w:szCs w:val="16"/>
              </w:rPr>
            </w:pPr>
            <w:r w:rsidRPr="000615AB">
              <w:rPr>
                <w:sz w:val="16"/>
                <w:szCs w:val="16"/>
              </w:rPr>
              <w:t>531</w:t>
            </w:r>
          </w:p>
        </w:tc>
        <w:tc>
          <w:tcPr>
            <w:tcW w:w="1162" w:type="dxa"/>
            <w:shd w:val="clear" w:color="auto" w:fill="auto"/>
            <w:tcMar>
              <w:top w:w="28" w:type="dxa"/>
              <w:bottom w:w="28" w:type="dxa"/>
            </w:tcMar>
          </w:tcPr>
          <w:p w:rsidR="00383888" w:rsidRPr="000615AB" w:rsidRDefault="00383888" w:rsidP="00B47699">
            <w:pPr>
              <w:keepNext/>
              <w:keepLines/>
              <w:jc w:val="right"/>
              <w:rPr>
                <w:sz w:val="16"/>
                <w:szCs w:val="16"/>
              </w:rPr>
            </w:pPr>
            <w:r w:rsidRPr="000615AB">
              <w:rPr>
                <w:sz w:val="16"/>
                <w:szCs w:val="16"/>
              </w:rPr>
              <w:t>70</w:t>
            </w:r>
          </w:p>
        </w:tc>
        <w:tc>
          <w:tcPr>
            <w:tcW w:w="712" w:type="dxa"/>
            <w:shd w:val="clear" w:color="auto" w:fill="auto"/>
            <w:tcMar>
              <w:top w:w="28" w:type="dxa"/>
              <w:bottom w:w="28" w:type="dxa"/>
            </w:tcMar>
          </w:tcPr>
          <w:p w:rsidR="00383888" w:rsidRPr="000615AB" w:rsidRDefault="00383888" w:rsidP="00B47699">
            <w:pPr>
              <w:keepNext/>
              <w:keepLines/>
              <w:jc w:val="right"/>
              <w:rPr>
                <w:sz w:val="16"/>
                <w:szCs w:val="16"/>
              </w:rPr>
            </w:pPr>
            <w:r w:rsidRPr="000615AB">
              <w:rPr>
                <w:sz w:val="16"/>
                <w:szCs w:val="16"/>
              </w:rPr>
              <w:t>408</w:t>
            </w:r>
          </w:p>
        </w:tc>
        <w:tc>
          <w:tcPr>
            <w:tcW w:w="712" w:type="dxa"/>
            <w:shd w:val="clear" w:color="auto" w:fill="auto"/>
            <w:tcMar>
              <w:top w:w="28" w:type="dxa"/>
              <w:bottom w:w="28" w:type="dxa"/>
            </w:tcMar>
          </w:tcPr>
          <w:p w:rsidR="00383888" w:rsidRPr="000615AB" w:rsidRDefault="00383888" w:rsidP="00B47699">
            <w:pPr>
              <w:keepNext/>
              <w:keepLines/>
              <w:jc w:val="right"/>
              <w:rPr>
                <w:sz w:val="16"/>
                <w:szCs w:val="16"/>
              </w:rPr>
            </w:pPr>
            <w:r w:rsidRPr="000615AB">
              <w:rPr>
                <w:sz w:val="16"/>
                <w:szCs w:val="16"/>
              </w:rPr>
              <w:t>140</w:t>
            </w:r>
          </w:p>
        </w:tc>
        <w:tc>
          <w:tcPr>
            <w:tcW w:w="711" w:type="dxa"/>
            <w:shd w:val="clear" w:color="auto" w:fill="auto"/>
            <w:tcMar>
              <w:top w:w="28" w:type="dxa"/>
              <w:bottom w:w="28" w:type="dxa"/>
            </w:tcMar>
          </w:tcPr>
          <w:p w:rsidR="00383888" w:rsidRPr="000615AB" w:rsidRDefault="00383888" w:rsidP="00B47699">
            <w:pPr>
              <w:keepNext/>
              <w:keepLines/>
              <w:jc w:val="right"/>
              <w:rPr>
                <w:sz w:val="16"/>
                <w:szCs w:val="16"/>
              </w:rPr>
            </w:pPr>
            <w:r w:rsidRPr="000615AB">
              <w:rPr>
                <w:sz w:val="16"/>
                <w:szCs w:val="16"/>
              </w:rPr>
              <w:t>7</w:t>
            </w:r>
          </w:p>
        </w:tc>
        <w:tc>
          <w:tcPr>
            <w:tcW w:w="712" w:type="dxa"/>
            <w:shd w:val="clear" w:color="auto" w:fill="auto"/>
            <w:tcMar>
              <w:top w:w="28" w:type="dxa"/>
              <w:bottom w:w="28" w:type="dxa"/>
            </w:tcMar>
          </w:tcPr>
          <w:p w:rsidR="00383888" w:rsidRPr="000615AB" w:rsidRDefault="00383888" w:rsidP="00B47699">
            <w:pPr>
              <w:keepNext/>
              <w:keepLines/>
              <w:jc w:val="right"/>
              <w:rPr>
                <w:sz w:val="16"/>
                <w:szCs w:val="16"/>
              </w:rPr>
            </w:pPr>
            <w:r w:rsidRPr="000615AB">
              <w:rPr>
                <w:sz w:val="16"/>
                <w:szCs w:val="16"/>
              </w:rPr>
              <w:t>264</w:t>
            </w:r>
          </w:p>
        </w:tc>
      </w:tr>
      <w:tr w:rsidR="00383888" w:rsidRPr="000615AB" w:rsidTr="00B47699">
        <w:tc>
          <w:tcPr>
            <w:tcW w:w="711" w:type="dxa"/>
            <w:shd w:val="clear" w:color="auto" w:fill="auto"/>
            <w:tcMar>
              <w:top w:w="28" w:type="dxa"/>
              <w:bottom w:w="28" w:type="dxa"/>
            </w:tcMar>
          </w:tcPr>
          <w:p w:rsidR="00383888" w:rsidRPr="000615AB" w:rsidRDefault="00383888" w:rsidP="00B47699">
            <w:pPr>
              <w:keepNext/>
              <w:keepLines/>
              <w:rPr>
                <w:sz w:val="16"/>
                <w:szCs w:val="16"/>
              </w:rPr>
            </w:pPr>
            <w:r w:rsidRPr="000615AB">
              <w:rPr>
                <w:sz w:val="16"/>
                <w:szCs w:val="16"/>
              </w:rPr>
              <w:t>2017</w:t>
            </w:r>
          </w:p>
        </w:tc>
        <w:tc>
          <w:tcPr>
            <w:tcW w:w="607" w:type="dxa"/>
            <w:shd w:val="clear" w:color="auto" w:fill="auto"/>
            <w:tcMar>
              <w:top w:w="28" w:type="dxa"/>
              <w:bottom w:w="28" w:type="dxa"/>
            </w:tcMar>
          </w:tcPr>
          <w:p w:rsidR="00383888" w:rsidRPr="000615AB" w:rsidRDefault="00383888" w:rsidP="00B47699">
            <w:pPr>
              <w:keepNext/>
              <w:keepLines/>
              <w:jc w:val="right"/>
              <w:rPr>
                <w:sz w:val="16"/>
                <w:szCs w:val="16"/>
              </w:rPr>
            </w:pPr>
            <w:r w:rsidRPr="000615AB">
              <w:rPr>
                <w:sz w:val="16"/>
                <w:szCs w:val="16"/>
              </w:rPr>
              <w:t>168</w:t>
            </w:r>
          </w:p>
        </w:tc>
        <w:tc>
          <w:tcPr>
            <w:tcW w:w="660" w:type="dxa"/>
            <w:shd w:val="clear" w:color="auto" w:fill="auto"/>
            <w:tcMar>
              <w:top w:w="28" w:type="dxa"/>
              <w:bottom w:w="28" w:type="dxa"/>
            </w:tcMar>
          </w:tcPr>
          <w:p w:rsidR="00383888" w:rsidRPr="000615AB" w:rsidRDefault="00383888" w:rsidP="00B47699">
            <w:pPr>
              <w:keepNext/>
              <w:keepLines/>
              <w:jc w:val="right"/>
              <w:rPr>
                <w:sz w:val="16"/>
                <w:szCs w:val="16"/>
              </w:rPr>
            </w:pPr>
            <w:r w:rsidRPr="000615AB">
              <w:rPr>
                <w:sz w:val="16"/>
                <w:szCs w:val="16"/>
              </w:rPr>
              <w:t>417</w:t>
            </w:r>
          </w:p>
        </w:tc>
        <w:tc>
          <w:tcPr>
            <w:tcW w:w="660" w:type="dxa"/>
            <w:shd w:val="clear" w:color="auto" w:fill="auto"/>
            <w:tcMar>
              <w:top w:w="28" w:type="dxa"/>
              <w:bottom w:w="28" w:type="dxa"/>
            </w:tcMar>
          </w:tcPr>
          <w:p w:rsidR="00383888" w:rsidRPr="000615AB" w:rsidRDefault="00383888" w:rsidP="00B47699">
            <w:pPr>
              <w:keepNext/>
              <w:keepLines/>
              <w:jc w:val="right"/>
              <w:rPr>
                <w:sz w:val="16"/>
                <w:szCs w:val="16"/>
              </w:rPr>
            </w:pPr>
            <w:r w:rsidRPr="000615AB">
              <w:rPr>
                <w:sz w:val="16"/>
                <w:szCs w:val="16"/>
              </w:rPr>
              <w:t>132</w:t>
            </w:r>
          </w:p>
        </w:tc>
        <w:tc>
          <w:tcPr>
            <w:tcW w:w="550" w:type="dxa"/>
            <w:shd w:val="clear" w:color="auto" w:fill="auto"/>
            <w:tcMar>
              <w:top w:w="28" w:type="dxa"/>
              <w:bottom w:w="28" w:type="dxa"/>
            </w:tcMar>
          </w:tcPr>
          <w:p w:rsidR="00383888" w:rsidRPr="000615AB" w:rsidRDefault="00383888" w:rsidP="00B47699">
            <w:pPr>
              <w:keepNext/>
              <w:keepLines/>
              <w:jc w:val="right"/>
              <w:rPr>
                <w:sz w:val="16"/>
                <w:szCs w:val="16"/>
              </w:rPr>
            </w:pPr>
            <w:r w:rsidRPr="000615AB">
              <w:rPr>
                <w:sz w:val="16"/>
                <w:szCs w:val="16"/>
              </w:rPr>
              <w:t>93</w:t>
            </w:r>
          </w:p>
        </w:tc>
        <w:tc>
          <w:tcPr>
            <w:tcW w:w="660" w:type="dxa"/>
            <w:shd w:val="clear" w:color="auto" w:fill="auto"/>
            <w:tcMar>
              <w:top w:w="28" w:type="dxa"/>
              <w:bottom w:w="28" w:type="dxa"/>
            </w:tcMar>
          </w:tcPr>
          <w:p w:rsidR="00383888" w:rsidRPr="000615AB" w:rsidRDefault="00383888" w:rsidP="00B47699">
            <w:pPr>
              <w:keepNext/>
              <w:keepLines/>
              <w:jc w:val="right"/>
              <w:rPr>
                <w:sz w:val="16"/>
                <w:szCs w:val="16"/>
              </w:rPr>
            </w:pPr>
            <w:r w:rsidRPr="000615AB">
              <w:rPr>
                <w:sz w:val="16"/>
                <w:szCs w:val="16"/>
              </w:rPr>
              <w:t>66</w:t>
            </w:r>
          </w:p>
        </w:tc>
        <w:tc>
          <w:tcPr>
            <w:tcW w:w="660" w:type="dxa"/>
            <w:shd w:val="clear" w:color="auto" w:fill="auto"/>
            <w:tcMar>
              <w:top w:w="28" w:type="dxa"/>
              <w:bottom w:w="28" w:type="dxa"/>
            </w:tcMar>
          </w:tcPr>
          <w:p w:rsidR="00383888" w:rsidRPr="000615AB" w:rsidRDefault="00383888" w:rsidP="00B47699">
            <w:pPr>
              <w:keepNext/>
              <w:keepLines/>
              <w:jc w:val="right"/>
              <w:rPr>
                <w:sz w:val="16"/>
                <w:szCs w:val="16"/>
              </w:rPr>
            </w:pPr>
            <w:r w:rsidRPr="000615AB">
              <w:rPr>
                <w:sz w:val="16"/>
                <w:szCs w:val="16"/>
              </w:rPr>
              <w:t>37</w:t>
            </w:r>
          </w:p>
        </w:tc>
        <w:tc>
          <w:tcPr>
            <w:tcW w:w="770" w:type="dxa"/>
            <w:shd w:val="clear" w:color="auto" w:fill="auto"/>
            <w:tcMar>
              <w:top w:w="28" w:type="dxa"/>
              <w:bottom w:w="28" w:type="dxa"/>
            </w:tcMar>
          </w:tcPr>
          <w:p w:rsidR="00383888" w:rsidRPr="000615AB" w:rsidRDefault="00383888" w:rsidP="00B47699">
            <w:pPr>
              <w:keepNext/>
              <w:keepLines/>
              <w:jc w:val="right"/>
              <w:rPr>
                <w:sz w:val="16"/>
                <w:szCs w:val="16"/>
              </w:rPr>
            </w:pPr>
            <w:r w:rsidRPr="000615AB">
              <w:rPr>
                <w:sz w:val="16"/>
                <w:szCs w:val="16"/>
              </w:rPr>
              <w:t>635</w:t>
            </w:r>
          </w:p>
        </w:tc>
        <w:tc>
          <w:tcPr>
            <w:tcW w:w="1162" w:type="dxa"/>
            <w:shd w:val="clear" w:color="auto" w:fill="auto"/>
            <w:tcMar>
              <w:top w:w="28" w:type="dxa"/>
              <w:bottom w:w="28" w:type="dxa"/>
            </w:tcMar>
          </w:tcPr>
          <w:p w:rsidR="00383888" w:rsidRPr="000615AB" w:rsidRDefault="00383888" w:rsidP="00B47699">
            <w:pPr>
              <w:keepNext/>
              <w:keepLines/>
              <w:jc w:val="right"/>
              <w:rPr>
                <w:sz w:val="16"/>
                <w:szCs w:val="16"/>
              </w:rPr>
            </w:pPr>
            <w:r w:rsidRPr="000615AB">
              <w:rPr>
                <w:sz w:val="16"/>
                <w:szCs w:val="16"/>
              </w:rPr>
              <w:t>98</w:t>
            </w:r>
          </w:p>
        </w:tc>
        <w:tc>
          <w:tcPr>
            <w:tcW w:w="712" w:type="dxa"/>
            <w:shd w:val="clear" w:color="auto" w:fill="auto"/>
            <w:tcMar>
              <w:top w:w="28" w:type="dxa"/>
              <w:bottom w:w="28" w:type="dxa"/>
            </w:tcMar>
          </w:tcPr>
          <w:p w:rsidR="00383888" w:rsidRPr="000615AB" w:rsidRDefault="00383888" w:rsidP="00B47699">
            <w:pPr>
              <w:keepNext/>
              <w:keepLines/>
              <w:jc w:val="right"/>
              <w:rPr>
                <w:sz w:val="16"/>
                <w:szCs w:val="16"/>
              </w:rPr>
            </w:pPr>
            <w:r w:rsidRPr="000615AB">
              <w:rPr>
                <w:sz w:val="16"/>
                <w:szCs w:val="16"/>
              </w:rPr>
              <w:t>629</w:t>
            </w:r>
          </w:p>
        </w:tc>
        <w:tc>
          <w:tcPr>
            <w:tcW w:w="712" w:type="dxa"/>
            <w:shd w:val="clear" w:color="auto" w:fill="auto"/>
            <w:tcMar>
              <w:top w:w="28" w:type="dxa"/>
              <w:bottom w:w="28" w:type="dxa"/>
            </w:tcMar>
          </w:tcPr>
          <w:p w:rsidR="00383888" w:rsidRPr="000615AB" w:rsidRDefault="00383888" w:rsidP="00B47699">
            <w:pPr>
              <w:keepNext/>
              <w:keepLines/>
              <w:jc w:val="right"/>
              <w:rPr>
                <w:sz w:val="16"/>
                <w:szCs w:val="16"/>
              </w:rPr>
            </w:pPr>
            <w:r w:rsidRPr="000615AB">
              <w:rPr>
                <w:sz w:val="16"/>
                <w:szCs w:val="16"/>
              </w:rPr>
              <w:t>220</w:t>
            </w:r>
          </w:p>
        </w:tc>
        <w:tc>
          <w:tcPr>
            <w:tcW w:w="711" w:type="dxa"/>
            <w:shd w:val="clear" w:color="auto" w:fill="auto"/>
            <w:tcMar>
              <w:top w:w="28" w:type="dxa"/>
              <w:bottom w:w="28" w:type="dxa"/>
            </w:tcMar>
          </w:tcPr>
          <w:p w:rsidR="00383888" w:rsidRPr="000615AB" w:rsidRDefault="00383888" w:rsidP="00B47699">
            <w:pPr>
              <w:keepNext/>
              <w:keepLines/>
              <w:jc w:val="right"/>
              <w:rPr>
                <w:sz w:val="16"/>
                <w:szCs w:val="16"/>
              </w:rPr>
            </w:pPr>
            <w:r w:rsidRPr="000615AB">
              <w:rPr>
                <w:sz w:val="16"/>
                <w:szCs w:val="16"/>
              </w:rPr>
              <w:t>9</w:t>
            </w:r>
          </w:p>
        </w:tc>
        <w:tc>
          <w:tcPr>
            <w:tcW w:w="712" w:type="dxa"/>
            <w:shd w:val="clear" w:color="auto" w:fill="auto"/>
            <w:tcMar>
              <w:top w:w="28" w:type="dxa"/>
              <w:bottom w:w="28" w:type="dxa"/>
            </w:tcMar>
          </w:tcPr>
          <w:p w:rsidR="00383888" w:rsidRPr="000615AB" w:rsidRDefault="00383888" w:rsidP="00B47699">
            <w:pPr>
              <w:keepNext/>
              <w:keepLines/>
              <w:jc w:val="right"/>
              <w:rPr>
                <w:sz w:val="16"/>
                <w:szCs w:val="16"/>
              </w:rPr>
            </w:pPr>
            <w:r w:rsidRPr="000615AB">
              <w:rPr>
                <w:sz w:val="16"/>
                <w:szCs w:val="16"/>
              </w:rPr>
              <w:t>363</w:t>
            </w:r>
          </w:p>
        </w:tc>
      </w:tr>
      <w:tr w:rsidR="00383888" w:rsidRPr="000615AB" w:rsidTr="00B47699">
        <w:tc>
          <w:tcPr>
            <w:tcW w:w="711" w:type="dxa"/>
            <w:shd w:val="clear" w:color="auto" w:fill="auto"/>
            <w:tcMar>
              <w:top w:w="28" w:type="dxa"/>
              <w:bottom w:w="28" w:type="dxa"/>
            </w:tcMar>
          </w:tcPr>
          <w:p w:rsidR="00383888" w:rsidRPr="000615AB" w:rsidRDefault="00383888" w:rsidP="00B47699">
            <w:pPr>
              <w:keepNext/>
              <w:keepLines/>
              <w:rPr>
                <w:sz w:val="16"/>
                <w:szCs w:val="16"/>
              </w:rPr>
            </w:pPr>
            <w:r w:rsidRPr="000615AB">
              <w:rPr>
                <w:sz w:val="16"/>
                <w:szCs w:val="16"/>
              </w:rPr>
              <w:t>2018</w:t>
            </w:r>
          </w:p>
        </w:tc>
        <w:tc>
          <w:tcPr>
            <w:tcW w:w="607" w:type="dxa"/>
            <w:shd w:val="clear" w:color="auto" w:fill="auto"/>
            <w:tcMar>
              <w:top w:w="28" w:type="dxa"/>
              <w:bottom w:w="28" w:type="dxa"/>
            </w:tcMar>
          </w:tcPr>
          <w:p w:rsidR="00383888" w:rsidRPr="000615AB" w:rsidRDefault="00383888" w:rsidP="00B47699">
            <w:pPr>
              <w:keepNext/>
              <w:keepLines/>
              <w:jc w:val="right"/>
              <w:rPr>
                <w:sz w:val="16"/>
                <w:szCs w:val="16"/>
              </w:rPr>
            </w:pPr>
            <w:r w:rsidRPr="000615AB">
              <w:rPr>
                <w:sz w:val="16"/>
                <w:szCs w:val="16"/>
              </w:rPr>
              <w:t>198</w:t>
            </w:r>
          </w:p>
        </w:tc>
        <w:tc>
          <w:tcPr>
            <w:tcW w:w="660" w:type="dxa"/>
            <w:shd w:val="clear" w:color="auto" w:fill="auto"/>
            <w:tcMar>
              <w:top w:w="28" w:type="dxa"/>
              <w:bottom w:w="28" w:type="dxa"/>
            </w:tcMar>
          </w:tcPr>
          <w:p w:rsidR="00383888" w:rsidRPr="000615AB" w:rsidRDefault="00383888" w:rsidP="00B47699">
            <w:pPr>
              <w:keepNext/>
              <w:keepLines/>
              <w:jc w:val="right"/>
              <w:rPr>
                <w:sz w:val="16"/>
                <w:szCs w:val="16"/>
              </w:rPr>
            </w:pPr>
            <w:r w:rsidRPr="000615AB">
              <w:rPr>
                <w:sz w:val="16"/>
                <w:szCs w:val="16"/>
              </w:rPr>
              <w:t>491</w:t>
            </w:r>
          </w:p>
        </w:tc>
        <w:tc>
          <w:tcPr>
            <w:tcW w:w="660" w:type="dxa"/>
            <w:shd w:val="clear" w:color="auto" w:fill="auto"/>
            <w:tcMar>
              <w:top w:w="28" w:type="dxa"/>
              <w:bottom w:w="28" w:type="dxa"/>
            </w:tcMar>
          </w:tcPr>
          <w:p w:rsidR="00383888" w:rsidRPr="000615AB" w:rsidRDefault="00383888" w:rsidP="00B47699">
            <w:pPr>
              <w:keepNext/>
              <w:keepLines/>
              <w:jc w:val="right"/>
              <w:rPr>
                <w:sz w:val="16"/>
                <w:szCs w:val="16"/>
              </w:rPr>
            </w:pPr>
            <w:r w:rsidRPr="000615AB">
              <w:rPr>
                <w:sz w:val="16"/>
                <w:szCs w:val="16"/>
              </w:rPr>
              <w:t>155</w:t>
            </w:r>
          </w:p>
        </w:tc>
        <w:tc>
          <w:tcPr>
            <w:tcW w:w="550" w:type="dxa"/>
            <w:shd w:val="clear" w:color="auto" w:fill="auto"/>
            <w:tcMar>
              <w:top w:w="28" w:type="dxa"/>
              <w:bottom w:w="28" w:type="dxa"/>
            </w:tcMar>
          </w:tcPr>
          <w:p w:rsidR="00383888" w:rsidRPr="000615AB" w:rsidRDefault="00383888" w:rsidP="00B47699">
            <w:pPr>
              <w:keepNext/>
              <w:keepLines/>
              <w:jc w:val="right"/>
              <w:rPr>
                <w:sz w:val="16"/>
                <w:szCs w:val="16"/>
              </w:rPr>
            </w:pPr>
            <w:r w:rsidRPr="000615AB">
              <w:rPr>
                <w:sz w:val="16"/>
                <w:szCs w:val="16"/>
              </w:rPr>
              <w:t>109</w:t>
            </w:r>
          </w:p>
        </w:tc>
        <w:tc>
          <w:tcPr>
            <w:tcW w:w="660" w:type="dxa"/>
            <w:shd w:val="clear" w:color="auto" w:fill="auto"/>
            <w:tcMar>
              <w:top w:w="28" w:type="dxa"/>
              <w:bottom w:w="28" w:type="dxa"/>
            </w:tcMar>
          </w:tcPr>
          <w:p w:rsidR="00383888" w:rsidRPr="000615AB" w:rsidRDefault="00383888" w:rsidP="00B47699">
            <w:pPr>
              <w:keepNext/>
              <w:keepLines/>
              <w:jc w:val="right"/>
              <w:rPr>
                <w:sz w:val="16"/>
                <w:szCs w:val="16"/>
              </w:rPr>
            </w:pPr>
            <w:r w:rsidRPr="000615AB">
              <w:rPr>
                <w:sz w:val="16"/>
                <w:szCs w:val="16"/>
              </w:rPr>
              <w:t>78</w:t>
            </w:r>
          </w:p>
        </w:tc>
        <w:tc>
          <w:tcPr>
            <w:tcW w:w="660" w:type="dxa"/>
            <w:shd w:val="clear" w:color="auto" w:fill="auto"/>
            <w:tcMar>
              <w:top w:w="28" w:type="dxa"/>
              <w:bottom w:w="28" w:type="dxa"/>
            </w:tcMar>
          </w:tcPr>
          <w:p w:rsidR="00383888" w:rsidRPr="000615AB" w:rsidRDefault="00383888" w:rsidP="00B47699">
            <w:pPr>
              <w:keepNext/>
              <w:keepLines/>
              <w:jc w:val="right"/>
              <w:rPr>
                <w:sz w:val="16"/>
                <w:szCs w:val="16"/>
              </w:rPr>
            </w:pPr>
            <w:r w:rsidRPr="000615AB">
              <w:rPr>
                <w:sz w:val="16"/>
                <w:szCs w:val="16"/>
              </w:rPr>
              <w:t>44</w:t>
            </w:r>
          </w:p>
        </w:tc>
        <w:tc>
          <w:tcPr>
            <w:tcW w:w="770" w:type="dxa"/>
            <w:shd w:val="clear" w:color="auto" w:fill="auto"/>
            <w:tcMar>
              <w:top w:w="28" w:type="dxa"/>
              <w:bottom w:w="28" w:type="dxa"/>
            </w:tcMar>
          </w:tcPr>
          <w:p w:rsidR="00383888" w:rsidRPr="000615AB" w:rsidRDefault="00383888" w:rsidP="00B47699">
            <w:pPr>
              <w:keepNext/>
              <w:keepLines/>
              <w:jc w:val="right"/>
              <w:rPr>
                <w:sz w:val="16"/>
                <w:szCs w:val="16"/>
              </w:rPr>
            </w:pPr>
            <w:r w:rsidRPr="000615AB">
              <w:rPr>
                <w:sz w:val="16"/>
                <w:szCs w:val="16"/>
              </w:rPr>
              <w:t>744</w:t>
            </w:r>
          </w:p>
        </w:tc>
        <w:tc>
          <w:tcPr>
            <w:tcW w:w="1162" w:type="dxa"/>
            <w:shd w:val="clear" w:color="auto" w:fill="auto"/>
            <w:tcMar>
              <w:top w:w="28" w:type="dxa"/>
              <w:bottom w:w="28" w:type="dxa"/>
            </w:tcMar>
          </w:tcPr>
          <w:p w:rsidR="00383888" w:rsidRPr="000615AB" w:rsidRDefault="00383888" w:rsidP="00B47699">
            <w:pPr>
              <w:keepNext/>
              <w:keepLines/>
              <w:jc w:val="right"/>
              <w:rPr>
                <w:sz w:val="16"/>
                <w:szCs w:val="16"/>
              </w:rPr>
            </w:pPr>
            <w:r w:rsidRPr="000615AB">
              <w:rPr>
                <w:sz w:val="16"/>
                <w:szCs w:val="16"/>
              </w:rPr>
              <w:t>118</w:t>
            </w:r>
          </w:p>
        </w:tc>
        <w:tc>
          <w:tcPr>
            <w:tcW w:w="712" w:type="dxa"/>
            <w:shd w:val="clear" w:color="auto" w:fill="auto"/>
            <w:tcMar>
              <w:top w:w="28" w:type="dxa"/>
              <w:bottom w:w="28" w:type="dxa"/>
            </w:tcMar>
          </w:tcPr>
          <w:p w:rsidR="00383888" w:rsidRPr="000615AB" w:rsidRDefault="00383888" w:rsidP="00B47699">
            <w:pPr>
              <w:keepNext/>
              <w:keepLines/>
              <w:jc w:val="right"/>
              <w:rPr>
                <w:sz w:val="16"/>
                <w:szCs w:val="16"/>
              </w:rPr>
            </w:pPr>
            <w:r w:rsidRPr="000615AB">
              <w:rPr>
                <w:sz w:val="16"/>
                <w:szCs w:val="16"/>
              </w:rPr>
              <w:t>868</w:t>
            </w:r>
          </w:p>
        </w:tc>
        <w:tc>
          <w:tcPr>
            <w:tcW w:w="712" w:type="dxa"/>
            <w:shd w:val="clear" w:color="auto" w:fill="auto"/>
            <w:tcMar>
              <w:top w:w="28" w:type="dxa"/>
              <w:bottom w:w="28" w:type="dxa"/>
            </w:tcMar>
          </w:tcPr>
          <w:p w:rsidR="00383888" w:rsidRPr="000615AB" w:rsidRDefault="00383888" w:rsidP="00B47699">
            <w:pPr>
              <w:keepNext/>
              <w:keepLines/>
              <w:jc w:val="right"/>
              <w:rPr>
                <w:sz w:val="16"/>
                <w:szCs w:val="16"/>
              </w:rPr>
            </w:pPr>
            <w:r w:rsidRPr="000615AB">
              <w:rPr>
                <w:sz w:val="16"/>
                <w:szCs w:val="16"/>
              </w:rPr>
              <w:t>307</w:t>
            </w:r>
          </w:p>
        </w:tc>
        <w:tc>
          <w:tcPr>
            <w:tcW w:w="711" w:type="dxa"/>
            <w:shd w:val="clear" w:color="auto" w:fill="auto"/>
            <w:tcMar>
              <w:top w:w="28" w:type="dxa"/>
              <w:bottom w:w="28" w:type="dxa"/>
            </w:tcMar>
          </w:tcPr>
          <w:p w:rsidR="00383888" w:rsidRPr="000615AB" w:rsidRDefault="00383888" w:rsidP="00B47699">
            <w:pPr>
              <w:keepNext/>
              <w:keepLines/>
              <w:jc w:val="right"/>
              <w:rPr>
                <w:sz w:val="16"/>
                <w:szCs w:val="16"/>
              </w:rPr>
            </w:pPr>
            <w:r w:rsidRPr="000615AB">
              <w:rPr>
                <w:sz w:val="16"/>
                <w:szCs w:val="16"/>
              </w:rPr>
              <w:t>11</w:t>
            </w:r>
          </w:p>
        </w:tc>
        <w:tc>
          <w:tcPr>
            <w:tcW w:w="712" w:type="dxa"/>
            <w:shd w:val="clear" w:color="auto" w:fill="auto"/>
            <w:tcMar>
              <w:top w:w="28" w:type="dxa"/>
              <w:bottom w:w="28" w:type="dxa"/>
            </w:tcMar>
          </w:tcPr>
          <w:p w:rsidR="00383888" w:rsidRPr="000615AB" w:rsidRDefault="00383888" w:rsidP="00B47699">
            <w:pPr>
              <w:keepNext/>
              <w:keepLines/>
              <w:jc w:val="right"/>
              <w:rPr>
                <w:sz w:val="16"/>
                <w:szCs w:val="16"/>
              </w:rPr>
            </w:pPr>
            <w:r w:rsidRPr="000615AB">
              <w:rPr>
                <w:sz w:val="16"/>
                <w:szCs w:val="16"/>
              </w:rPr>
              <w:t>431</w:t>
            </w:r>
          </w:p>
        </w:tc>
      </w:tr>
    </w:tbl>
    <w:p w:rsidR="00383888" w:rsidRPr="000615AB" w:rsidRDefault="00383888" w:rsidP="00383888">
      <w:pPr>
        <w:jc w:val="center"/>
        <w:rPr>
          <w:sz w:val="20"/>
        </w:rPr>
      </w:pPr>
    </w:p>
    <w:p w:rsidR="00383888" w:rsidRPr="000615AB" w:rsidRDefault="00383888" w:rsidP="00383888">
      <w:pPr>
        <w:numPr>
          <w:ilvl w:val="0"/>
          <w:numId w:val="18"/>
        </w:numPr>
        <w:tabs>
          <w:tab w:val="left" w:pos="540"/>
        </w:tabs>
        <w:jc w:val="both"/>
        <w:rPr>
          <w:sz w:val="20"/>
        </w:rPr>
      </w:pPr>
      <w:r w:rsidRPr="000615AB">
        <w:rPr>
          <w:sz w:val="20"/>
        </w:rPr>
        <w:t>Se combinaron las cifras precedentes con los resultados de los modelos autorregresivos.  Es probable que el número de registros se ubique dentro de esos límites asociados a un valor de probabilidad.  En el gráfico y el cuadro a continuación se suministra la distribución probabilística de las diferentes proyecciones.</w:t>
      </w:r>
    </w:p>
    <w:p w:rsidR="00383888" w:rsidRPr="000615AB" w:rsidRDefault="00383888" w:rsidP="00383888">
      <w:pPr>
        <w:keepNext/>
        <w:keepLines/>
        <w:jc w:val="center"/>
        <w:rPr>
          <w:sz w:val="20"/>
        </w:rPr>
      </w:pPr>
    </w:p>
    <w:p w:rsidR="00383888" w:rsidRPr="000615AB" w:rsidRDefault="00383888" w:rsidP="00383888">
      <w:pPr>
        <w:keepNext/>
        <w:keepLines/>
        <w:jc w:val="center"/>
        <w:rPr>
          <w:sz w:val="18"/>
          <w:szCs w:val="18"/>
        </w:rPr>
      </w:pPr>
      <w:r w:rsidRPr="000615AB">
        <w:rPr>
          <w:sz w:val="18"/>
          <w:szCs w:val="18"/>
        </w:rPr>
        <w:t>Distribución probabilística de los registros</w:t>
      </w:r>
    </w:p>
    <w:p w:rsidR="00383888" w:rsidRPr="000615AB" w:rsidRDefault="00C40A11" w:rsidP="00383888">
      <w:pPr>
        <w:keepNext/>
        <w:keepLines/>
        <w:jc w:val="center"/>
        <w:rPr>
          <w:sz w:val="20"/>
        </w:rPr>
      </w:pPr>
      <w:r>
        <w:rPr>
          <w:noProof/>
          <w:lang w:val="en-US" w:eastAsia="en-US"/>
        </w:rPr>
        <w:drawing>
          <wp:inline distT="0" distB="0" distL="0" distR="0" wp14:anchorId="4366EBB9" wp14:editId="5E6DF99D">
            <wp:extent cx="4906645" cy="2859405"/>
            <wp:effectExtent l="0" t="0" r="8255"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4906645" cy="2859405"/>
                    </a:xfrm>
                    <a:prstGeom prst="rect">
                      <a:avLst/>
                    </a:prstGeom>
                    <a:noFill/>
                    <a:ln>
                      <a:noFill/>
                    </a:ln>
                  </pic:spPr>
                </pic:pic>
              </a:graphicData>
            </a:graphic>
          </wp:inline>
        </w:drawing>
      </w:r>
    </w:p>
    <w:p w:rsidR="00383888" w:rsidRPr="000615AB" w:rsidRDefault="00383888" w:rsidP="00383888">
      <w:pPr>
        <w:jc w:val="center"/>
        <w:rPr>
          <w:sz w:val="20"/>
        </w:rPr>
      </w:pPr>
    </w:p>
    <w:p w:rsidR="00383888" w:rsidRPr="000615AB" w:rsidRDefault="00383888" w:rsidP="00383888">
      <w:pPr>
        <w:spacing w:after="120"/>
        <w:jc w:val="center"/>
        <w:rPr>
          <w:sz w:val="18"/>
          <w:szCs w:val="18"/>
        </w:rPr>
      </w:pPr>
      <w:r w:rsidRPr="000615AB">
        <w:rPr>
          <w:sz w:val="18"/>
          <w:szCs w:val="18"/>
        </w:rPr>
        <w:t>Proyecciones correspondientes a los registros en virtud del sistema de La Haya</w:t>
      </w:r>
    </w:p>
    <w:p w:rsidR="00383888" w:rsidRPr="000615AB" w:rsidRDefault="00C40A11" w:rsidP="00383888">
      <w:pPr>
        <w:jc w:val="center"/>
        <w:rPr>
          <w:sz w:val="18"/>
          <w:szCs w:val="18"/>
        </w:rPr>
      </w:pPr>
      <w:r>
        <w:rPr>
          <w:noProof/>
          <w:lang w:val="en-US" w:eastAsia="en-US"/>
        </w:rPr>
        <w:drawing>
          <wp:inline distT="0" distB="0" distL="0" distR="0" wp14:anchorId="3C0DDAF8" wp14:editId="7A963B40">
            <wp:extent cx="3029585" cy="1992630"/>
            <wp:effectExtent l="0" t="0" r="0" b="762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3029585" cy="1992630"/>
                    </a:xfrm>
                    <a:prstGeom prst="rect">
                      <a:avLst/>
                    </a:prstGeom>
                    <a:noFill/>
                    <a:ln>
                      <a:noFill/>
                    </a:ln>
                  </pic:spPr>
                </pic:pic>
              </a:graphicData>
            </a:graphic>
          </wp:inline>
        </w:drawing>
      </w:r>
    </w:p>
    <w:p w:rsidR="00383888" w:rsidRPr="000615AB" w:rsidRDefault="00383888" w:rsidP="00383888">
      <w:pPr>
        <w:jc w:val="center"/>
      </w:pPr>
    </w:p>
    <w:p w:rsidR="00383888" w:rsidRPr="000615AB" w:rsidRDefault="00383888" w:rsidP="00383888">
      <w:pPr>
        <w:widowControl w:val="0"/>
        <w:rPr>
          <w:i/>
          <w:sz w:val="20"/>
        </w:rPr>
      </w:pPr>
      <w:r>
        <w:rPr>
          <w:i/>
          <w:sz w:val="20"/>
        </w:rPr>
        <w:t xml:space="preserve">Sistema de La Haya </w:t>
      </w:r>
      <w:r w:rsidRPr="000615AB">
        <w:rPr>
          <w:i/>
          <w:sz w:val="20"/>
        </w:rPr>
        <w:t>- Previsión de la demanda de renovaciones</w:t>
      </w:r>
    </w:p>
    <w:p w:rsidR="00383888" w:rsidRPr="000615AB" w:rsidRDefault="00383888" w:rsidP="00383888">
      <w:pPr>
        <w:widowControl w:val="0"/>
        <w:rPr>
          <w:sz w:val="20"/>
        </w:rPr>
      </w:pPr>
    </w:p>
    <w:p w:rsidR="00383888" w:rsidRPr="000615AB" w:rsidRDefault="00383888" w:rsidP="00383888">
      <w:pPr>
        <w:numPr>
          <w:ilvl w:val="0"/>
          <w:numId w:val="18"/>
        </w:numPr>
        <w:tabs>
          <w:tab w:val="left" w:pos="540"/>
        </w:tabs>
        <w:jc w:val="both"/>
        <w:rPr>
          <w:sz w:val="20"/>
        </w:rPr>
      </w:pPr>
      <w:r w:rsidRPr="000615AB">
        <w:rPr>
          <w:sz w:val="20"/>
        </w:rPr>
        <w:t xml:space="preserve">La estimación del número de renovaciones se basa en distintos modelos regresivos.  Además de aplicar los modelos autorregresivos, se tiene en cuenta el vínculo existente entre los registros, las renovaciones y las prolongaciones de renovaciones con períodos de protección de cinco años, puesto que los registros y las renovaciones efectuadas cinco años atrás se sumarán al total de renovaciones efectuadas en el año en curso.  </w:t>
      </w:r>
    </w:p>
    <w:p w:rsidR="00383888" w:rsidRPr="000615AB" w:rsidRDefault="00383888" w:rsidP="00383888">
      <w:pPr>
        <w:tabs>
          <w:tab w:val="left" w:pos="540"/>
        </w:tabs>
        <w:jc w:val="both"/>
        <w:rPr>
          <w:sz w:val="20"/>
        </w:rPr>
      </w:pPr>
    </w:p>
    <w:p w:rsidR="00383888" w:rsidRPr="000615AB" w:rsidRDefault="00383888" w:rsidP="00383888">
      <w:pPr>
        <w:keepNext/>
        <w:keepLines/>
        <w:tabs>
          <w:tab w:val="left" w:pos="540"/>
        </w:tabs>
        <w:spacing w:after="60"/>
        <w:jc w:val="center"/>
        <w:rPr>
          <w:sz w:val="20"/>
        </w:rPr>
      </w:pPr>
      <w:r w:rsidRPr="000615AB">
        <w:rPr>
          <w:sz w:val="18"/>
          <w:szCs w:val="18"/>
        </w:rPr>
        <w:lastRenderedPageBreak/>
        <w:t>Gráfico 12.  Previsión de las renovaciones en virtud del sistema de La Haya</w:t>
      </w:r>
    </w:p>
    <w:p w:rsidR="00383888" w:rsidRDefault="00C40A11" w:rsidP="00383888">
      <w:pPr>
        <w:keepNext/>
        <w:keepLines/>
        <w:jc w:val="center"/>
      </w:pPr>
      <w:r>
        <w:rPr>
          <w:noProof/>
          <w:lang w:val="en-US" w:eastAsia="en-US"/>
        </w:rPr>
        <w:drawing>
          <wp:inline distT="0" distB="0" distL="0" distR="0" wp14:anchorId="706BFA50" wp14:editId="796EB6D6">
            <wp:extent cx="4933950" cy="2865755"/>
            <wp:effectExtent l="0" t="0" r="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4933950" cy="2865755"/>
                    </a:xfrm>
                    <a:prstGeom prst="rect">
                      <a:avLst/>
                    </a:prstGeom>
                    <a:noFill/>
                    <a:ln>
                      <a:noFill/>
                    </a:ln>
                  </pic:spPr>
                </pic:pic>
              </a:graphicData>
            </a:graphic>
          </wp:inline>
        </w:drawing>
      </w:r>
    </w:p>
    <w:p w:rsidR="00383888" w:rsidRPr="000615AB" w:rsidRDefault="00C40A11" w:rsidP="00383888">
      <w:pPr>
        <w:keepNext/>
        <w:keepLines/>
        <w:jc w:val="center"/>
        <w:rPr>
          <w:sz w:val="20"/>
        </w:rPr>
      </w:pPr>
      <w:r>
        <w:rPr>
          <w:noProof/>
          <w:lang w:val="en-US" w:eastAsia="en-US"/>
        </w:rPr>
        <w:drawing>
          <wp:inline distT="0" distB="0" distL="0" distR="0" wp14:anchorId="27691F9D" wp14:editId="06EE84DC">
            <wp:extent cx="5036185" cy="614045"/>
            <wp:effectExtent l="0" t="0" r="0"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5036185" cy="614045"/>
                    </a:xfrm>
                    <a:prstGeom prst="rect">
                      <a:avLst/>
                    </a:prstGeom>
                    <a:noFill/>
                    <a:ln>
                      <a:noFill/>
                    </a:ln>
                  </pic:spPr>
                </pic:pic>
              </a:graphicData>
            </a:graphic>
          </wp:inline>
        </w:drawing>
      </w:r>
    </w:p>
    <w:p w:rsidR="00383888" w:rsidRPr="000615AB" w:rsidRDefault="00383888" w:rsidP="00383888">
      <w:pPr>
        <w:jc w:val="center"/>
        <w:rPr>
          <w:sz w:val="20"/>
        </w:rPr>
      </w:pPr>
    </w:p>
    <w:p w:rsidR="00383888" w:rsidRPr="000615AB" w:rsidRDefault="00383888" w:rsidP="00383888">
      <w:pPr>
        <w:jc w:val="center"/>
        <w:rPr>
          <w:sz w:val="20"/>
        </w:rPr>
      </w:pPr>
    </w:p>
    <w:p w:rsidR="00383888" w:rsidRPr="000615AB" w:rsidRDefault="00383888" w:rsidP="00383888">
      <w:pPr>
        <w:spacing w:after="120"/>
        <w:jc w:val="center"/>
        <w:rPr>
          <w:sz w:val="18"/>
          <w:szCs w:val="18"/>
        </w:rPr>
      </w:pPr>
      <w:r w:rsidRPr="000615AB">
        <w:rPr>
          <w:sz w:val="18"/>
          <w:szCs w:val="18"/>
        </w:rPr>
        <w:t>Distribución probabilística de las renovaciones</w:t>
      </w:r>
    </w:p>
    <w:p w:rsidR="00383888" w:rsidRPr="000615AB" w:rsidRDefault="00C40A11" w:rsidP="00383888">
      <w:pPr>
        <w:jc w:val="center"/>
        <w:rPr>
          <w:sz w:val="20"/>
        </w:rPr>
      </w:pPr>
      <w:r>
        <w:rPr>
          <w:noProof/>
          <w:lang w:val="en-US" w:eastAsia="en-US"/>
        </w:rPr>
        <w:drawing>
          <wp:inline distT="0" distB="0" distL="0" distR="0" wp14:anchorId="076B8F97" wp14:editId="44705904">
            <wp:extent cx="4892675" cy="2859405"/>
            <wp:effectExtent l="0" t="0" r="3175"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197" cstate="print">
                      <a:extLst>
                        <a:ext uri="{28A0092B-C50C-407E-A947-70E740481C1C}">
                          <a14:useLocalDpi xmlns:a14="http://schemas.microsoft.com/office/drawing/2010/main" val="0"/>
                        </a:ext>
                      </a:extLst>
                    </a:blip>
                    <a:srcRect/>
                    <a:stretch>
                      <a:fillRect/>
                    </a:stretch>
                  </pic:blipFill>
                  <pic:spPr bwMode="auto">
                    <a:xfrm>
                      <a:off x="0" y="0"/>
                      <a:ext cx="4892675" cy="2859405"/>
                    </a:xfrm>
                    <a:prstGeom prst="rect">
                      <a:avLst/>
                    </a:prstGeom>
                    <a:noFill/>
                    <a:ln>
                      <a:noFill/>
                    </a:ln>
                  </pic:spPr>
                </pic:pic>
              </a:graphicData>
            </a:graphic>
          </wp:inline>
        </w:drawing>
      </w:r>
    </w:p>
    <w:p w:rsidR="00383888" w:rsidRPr="000615AB" w:rsidRDefault="00383888" w:rsidP="00383888">
      <w:pPr>
        <w:jc w:val="center"/>
        <w:rPr>
          <w:sz w:val="20"/>
        </w:rPr>
      </w:pPr>
    </w:p>
    <w:p w:rsidR="00383888" w:rsidRPr="000615AB" w:rsidRDefault="00383888" w:rsidP="00383888">
      <w:pPr>
        <w:keepNext/>
        <w:keepLines/>
        <w:spacing w:after="120"/>
        <w:jc w:val="center"/>
        <w:rPr>
          <w:sz w:val="18"/>
          <w:szCs w:val="18"/>
        </w:rPr>
      </w:pPr>
      <w:r w:rsidRPr="000615AB">
        <w:rPr>
          <w:sz w:val="18"/>
          <w:szCs w:val="18"/>
        </w:rPr>
        <w:lastRenderedPageBreak/>
        <w:t>Proyecciones correspondientes a las renovaciones en virtud del sistema de La Haya</w:t>
      </w:r>
    </w:p>
    <w:p w:rsidR="00383888" w:rsidRPr="000615AB" w:rsidRDefault="00C40A11" w:rsidP="00383888">
      <w:pPr>
        <w:keepNext/>
        <w:keepLines/>
        <w:jc w:val="center"/>
      </w:pPr>
      <w:r>
        <w:rPr>
          <w:noProof/>
          <w:lang w:val="en-US" w:eastAsia="en-US"/>
        </w:rPr>
        <w:drawing>
          <wp:inline distT="0" distB="0" distL="0" distR="0" wp14:anchorId="2513BB08" wp14:editId="00FAEDD0">
            <wp:extent cx="2974975" cy="2054225"/>
            <wp:effectExtent l="0" t="0" r="0" b="3175"/>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2974975" cy="2054225"/>
                    </a:xfrm>
                    <a:prstGeom prst="rect">
                      <a:avLst/>
                    </a:prstGeom>
                    <a:noFill/>
                    <a:ln>
                      <a:noFill/>
                    </a:ln>
                  </pic:spPr>
                </pic:pic>
              </a:graphicData>
            </a:graphic>
          </wp:inline>
        </w:drawing>
      </w:r>
    </w:p>
    <w:p w:rsidR="00383888" w:rsidRPr="00571AE7" w:rsidRDefault="00383888" w:rsidP="00383888">
      <w:pPr>
        <w:rPr>
          <w:sz w:val="20"/>
        </w:rPr>
      </w:pPr>
    </w:p>
    <w:p w:rsidR="00383888" w:rsidRPr="00571AE7" w:rsidRDefault="00383888" w:rsidP="00383888">
      <w:pPr>
        <w:rPr>
          <w:sz w:val="20"/>
        </w:rPr>
      </w:pPr>
    </w:p>
    <w:p w:rsidR="00383888" w:rsidRPr="000615AB" w:rsidRDefault="00383888" w:rsidP="00383888">
      <w:pPr>
        <w:widowControl w:val="0"/>
        <w:rPr>
          <w:i/>
          <w:sz w:val="20"/>
        </w:rPr>
      </w:pPr>
      <w:r w:rsidRPr="000615AB">
        <w:rPr>
          <w:i/>
          <w:sz w:val="20"/>
        </w:rPr>
        <w:t>Previsión de ingresos del sistema de La Haya</w:t>
      </w:r>
    </w:p>
    <w:p w:rsidR="00383888" w:rsidRPr="000615AB" w:rsidRDefault="00383888" w:rsidP="00383888">
      <w:pPr>
        <w:widowControl w:val="0"/>
        <w:rPr>
          <w:sz w:val="20"/>
        </w:rPr>
      </w:pPr>
    </w:p>
    <w:p w:rsidR="00383888" w:rsidRPr="000615AB" w:rsidRDefault="00383888" w:rsidP="00383888">
      <w:pPr>
        <w:numPr>
          <w:ilvl w:val="0"/>
          <w:numId w:val="18"/>
        </w:numPr>
        <w:tabs>
          <w:tab w:val="left" w:pos="540"/>
        </w:tabs>
        <w:jc w:val="both"/>
        <w:rPr>
          <w:sz w:val="20"/>
        </w:rPr>
      </w:pPr>
      <w:r w:rsidRPr="000615AB">
        <w:rPr>
          <w:sz w:val="20"/>
        </w:rPr>
        <w:t>Los ingresos generados en el marco del sistema de La Haya se calculan sobre la base de la tabla de tasas vigente.  Los principales componentes de dicha tabla son la tasa de base y la tasa de renovación.  Estos dos componentes suponen casi un 90% de los ingresos.  Las demás tasas se engloban en la categoría "Varios".</w:t>
      </w:r>
    </w:p>
    <w:p w:rsidR="00383888" w:rsidRPr="000615AB" w:rsidRDefault="00383888" w:rsidP="00383888">
      <w:pPr>
        <w:widowControl w:val="0"/>
        <w:rPr>
          <w:sz w:val="20"/>
        </w:rPr>
      </w:pPr>
    </w:p>
    <w:p w:rsidR="00383888" w:rsidRPr="000615AB" w:rsidRDefault="00383888" w:rsidP="00383888">
      <w:pPr>
        <w:widowControl w:val="0"/>
        <w:jc w:val="center"/>
        <w:rPr>
          <w:sz w:val="20"/>
        </w:rPr>
      </w:pPr>
      <w:r w:rsidRPr="000615AB">
        <w:rPr>
          <w:sz w:val="20"/>
        </w:rPr>
        <w:t>Gráfico 13.  Previsión de ingresos generados por las tasas del sistema de La Haya, por categoría</w:t>
      </w:r>
    </w:p>
    <w:p w:rsidR="00383888" w:rsidRPr="000615AB" w:rsidRDefault="00383888" w:rsidP="00383888">
      <w:pPr>
        <w:widowControl w:val="0"/>
        <w:rPr>
          <w:sz w:val="20"/>
        </w:rPr>
      </w:pPr>
    </w:p>
    <w:p w:rsidR="00383888" w:rsidRPr="000615AB" w:rsidRDefault="00C40A11" w:rsidP="00383888">
      <w:pPr>
        <w:jc w:val="center"/>
        <w:rPr>
          <w:sz w:val="20"/>
        </w:rPr>
      </w:pPr>
      <w:r>
        <w:rPr>
          <w:noProof/>
          <w:lang w:val="en-US" w:eastAsia="en-US"/>
        </w:rPr>
        <w:drawing>
          <wp:inline distT="0" distB="0" distL="0" distR="0" wp14:anchorId="3581F81D" wp14:editId="5618492D">
            <wp:extent cx="4517390" cy="2633980"/>
            <wp:effectExtent l="0" t="0" r="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199" cstate="print">
                      <a:extLst>
                        <a:ext uri="{28A0092B-C50C-407E-A947-70E740481C1C}">
                          <a14:useLocalDpi xmlns:a14="http://schemas.microsoft.com/office/drawing/2010/main" val="0"/>
                        </a:ext>
                      </a:extLst>
                    </a:blip>
                    <a:srcRect/>
                    <a:stretch>
                      <a:fillRect/>
                    </a:stretch>
                  </pic:blipFill>
                  <pic:spPr bwMode="auto">
                    <a:xfrm>
                      <a:off x="0" y="0"/>
                      <a:ext cx="4517390" cy="2633980"/>
                    </a:xfrm>
                    <a:prstGeom prst="rect">
                      <a:avLst/>
                    </a:prstGeom>
                    <a:noFill/>
                    <a:ln>
                      <a:noFill/>
                    </a:ln>
                  </pic:spPr>
                </pic:pic>
              </a:graphicData>
            </a:graphic>
          </wp:inline>
        </w:drawing>
      </w:r>
    </w:p>
    <w:p w:rsidR="00383888" w:rsidRPr="000615AB" w:rsidRDefault="00383888" w:rsidP="00383888">
      <w:pPr>
        <w:jc w:val="center"/>
        <w:rPr>
          <w:sz w:val="20"/>
        </w:rPr>
      </w:pPr>
    </w:p>
    <w:p w:rsidR="00383888" w:rsidRPr="000615AB" w:rsidRDefault="00C40A11" w:rsidP="00383888">
      <w:pPr>
        <w:jc w:val="center"/>
        <w:rPr>
          <w:sz w:val="20"/>
        </w:rPr>
      </w:pPr>
      <w:r>
        <w:rPr>
          <w:noProof/>
          <w:lang w:val="en-US" w:eastAsia="en-US"/>
        </w:rPr>
        <w:drawing>
          <wp:inline distT="0" distB="0" distL="0" distR="0" wp14:anchorId="7CBC2414" wp14:editId="58C10036">
            <wp:extent cx="4776470" cy="927735"/>
            <wp:effectExtent l="0" t="0" r="5080" b="5715"/>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4776470" cy="927735"/>
                    </a:xfrm>
                    <a:prstGeom prst="rect">
                      <a:avLst/>
                    </a:prstGeom>
                    <a:noFill/>
                    <a:ln>
                      <a:noFill/>
                    </a:ln>
                  </pic:spPr>
                </pic:pic>
              </a:graphicData>
            </a:graphic>
          </wp:inline>
        </w:drawing>
      </w:r>
    </w:p>
    <w:p w:rsidR="00383888" w:rsidRPr="000615AB" w:rsidRDefault="00383888" w:rsidP="00383888">
      <w:pPr>
        <w:jc w:val="center"/>
        <w:rPr>
          <w:sz w:val="20"/>
        </w:rPr>
      </w:pPr>
    </w:p>
    <w:p w:rsidR="00383888" w:rsidRPr="000615AB" w:rsidRDefault="00383888" w:rsidP="00383888">
      <w:pPr>
        <w:jc w:val="center"/>
        <w:rPr>
          <w:sz w:val="20"/>
        </w:rPr>
      </w:pPr>
    </w:p>
    <w:p w:rsidR="00383888" w:rsidRPr="000615AB" w:rsidRDefault="00383888" w:rsidP="00383888">
      <w:pPr>
        <w:keepNext/>
        <w:spacing w:after="120"/>
        <w:jc w:val="center"/>
        <w:rPr>
          <w:sz w:val="20"/>
        </w:rPr>
      </w:pPr>
      <w:r w:rsidRPr="000615AB">
        <w:rPr>
          <w:sz w:val="18"/>
          <w:szCs w:val="18"/>
        </w:rPr>
        <w:lastRenderedPageBreak/>
        <w:t>Distribución probabilística de los ingresos</w:t>
      </w:r>
    </w:p>
    <w:p w:rsidR="00383888" w:rsidRPr="000615AB" w:rsidRDefault="00C40A11" w:rsidP="00383888">
      <w:pPr>
        <w:keepNext/>
        <w:jc w:val="center"/>
        <w:rPr>
          <w:sz w:val="20"/>
        </w:rPr>
      </w:pPr>
      <w:r>
        <w:rPr>
          <w:noProof/>
          <w:lang w:val="en-US" w:eastAsia="en-US"/>
        </w:rPr>
        <w:drawing>
          <wp:inline distT="0" distB="0" distL="0" distR="0" wp14:anchorId="7F31F580" wp14:editId="3AA42031">
            <wp:extent cx="4694555" cy="2750185"/>
            <wp:effectExtent l="0" t="0" r="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201" cstate="print">
                      <a:extLst>
                        <a:ext uri="{28A0092B-C50C-407E-A947-70E740481C1C}">
                          <a14:useLocalDpi xmlns:a14="http://schemas.microsoft.com/office/drawing/2010/main" val="0"/>
                        </a:ext>
                      </a:extLst>
                    </a:blip>
                    <a:srcRect/>
                    <a:stretch>
                      <a:fillRect/>
                    </a:stretch>
                  </pic:blipFill>
                  <pic:spPr bwMode="auto">
                    <a:xfrm>
                      <a:off x="0" y="0"/>
                      <a:ext cx="4694555" cy="2750185"/>
                    </a:xfrm>
                    <a:prstGeom prst="rect">
                      <a:avLst/>
                    </a:prstGeom>
                    <a:noFill/>
                    <a:ln>
                      <a:noFill/>
                    </a:ln>
                  </pic:spPr>
                </pic:pic>
              </a:graphicData>
            </a:graphic>
          </wp:inline>
        </w:drawing>
      </w:r>
    </w:p>
    <w:p w:rsidR="00383888" w:rsidRPr="000615AB" w:rsidRDefault="00383888" w:rsidP="00383888">
      <w:pPr>
        <w:keepNext/>
        <w:keepLines/>
        <w:spacing w:after="120"/>
        <w:jc w:val="center"/>
        <w:rPr>
          <w:sz w:val="20"/>
        </w:rPr>
      </w:pPr>
      <w:r w:rsidRPr="000615AB">
        <w:rPr>
          <w:sz w:val="18"/>
          <w:szCs w:val="18"/>
        </w:rPr>
        <w:t>Proyecciones de los ingresos generados por el sistema de La Haya</w:t>
      </w:r>
    </w:p>
    <w:p w:rsidR="00383888" w:rsidRPr="000615AB" w:rsidRDefault="00C40A11" w:rsidP="00383888">
      <w:pPr>
        <w:keepNext/>
        <w:keepLines/>
        <w:jc w:val="center"/>
      </w:pPr>
      <w:r>
        <w:rPr>
          <w:noProof/>
          <w:lang w:val="en-US" w:eastAsia="en-US"/>
        </w:rPr>
        <w:drawing>
          <wp:inline distT="0" distB="0" distL="0" distR="0" wp14:anchorId="4573D8D5" wp14:editId="085245D7">
            <wp:extent cx="2927350" cy="2047240"/>
            <wp:effectExtent l="0" t="0" r="6350"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2927350" cy="2047240"/>
                    </a:xfrm>
                    <a:prstGeom prst="rect">
                      <a:avLst/>
                    </a:prstGeom>
                    <a:noFill/>
                    <a:ln>
                      <a:noFill/>
                    </a:ln>
                  </pic:spPr>
                </pic:pic>
              </a:graphicData>
            </a:graphic>
          </wp:inline>
        </w:drawing>
      </w:r>
    </w:p>
    <w:p w:rsidR="00383888" w:rsidRPr="001B5144" w:rsidRDefault="00383888" w:rsidP="00383888">
      <w:pPr>
        <w:tabs>
          <w:tab w:val="left" w:pos="540"/>
        </w:tabs>
        <w:rPr>
          <w:sz w:val="20"/>
          <w:highlight w:val="yellow"/>
        </w:rPr>
      </w:pPr>
    </w:p>
    <w:p w:rsidR="00383888" w:rsidRPr="001B5144" w:rsidRDefault="00383888" w:rsidP="00383888">
      <w:pPr>
        <w:rPr>
          <w:sz w:val="20"/>
        </w:rPr>
      </w:pPr>
    </w:p>
    <w:p w:rsidR="00383888" w:rsidRPr="000615AB" w:rsidRDefault="00383888" w:rsidP="00383888">
      <w:pPr>
        <w:numPr>
          <w:ilvl w:val="0"/>
          <w:numId w:val="18"/>
        </w:numPr>
        <w:tabs>
          <w:tab w:val="left" w:pos="540"/>
        </w:tabs>
        <w:jc w:val="both"/>
        <w:rPr>
          <w:sz w:val="20"/>
        </w:rPr>
      </w:pPr>
      <w:r w:rsidRPr="000615AB">
        <w:rPr>
          <w:sz w:val="20"/>
        </w:rPr>
        <w:t>En las previsiones de ingresos para el período comprendido entre 2013 y 2015, que figuran en el gráfico a continuación, se tiene en cuenta el número previsto de registros y renovaciones internacionales, así como una tasa promedio que pasará de 556 en 2012 a 656 en 2015.  Cabe señalar que la estimación de los ingresos que se muestra a continuación se basa en el supuesto de que en los próximos años no habrá cambios en la tabla de tasas pagaderas a la Oficina Internacional en virtud del sistema de La Haya.</w:t>
      </w:r>
    </w:p>
    <w:p w:rsidR="00383888" w:rsidRPr="000615AB" w:rsidRDefault="00383888" w:rsidP="00383888">
      <w:pPr>
        <w:tabs>
          <w:tab w:val="left" w:pos="540"/>
        </w:tabs>
        <w:jc w:val="both"/>
        <w:rPr>
          <w:sz w:val="20"/>
        </w:rPr>
      </w:pPr>
    </w:p>
    <w:p w:rsidR="00383888" w:rsidRPr="000615AB" w:rsidRDefault="00383888" w:rsidP="00383888">
      <w:pPr>
        <w:keepNext/>
        <w:keepLines/>
        <w:jc w:val="center"/>
        <w:rPr>
          <w:sz w:val="20"/>
        </w:rPr>
      </w:pPr>
      <w:r w:rsidRPr="000615AB">
        <w:rPr>
          <w:sz w:val="20"/>
        </w:rPr>
        <w:t>Cuadro 19.  Total de ingresos generados por las tasas y tasa promedio</w:t>
      </w:r>
    </w:p>
    <w:p w:rsidR="00383888" w:rsidRPr="000615AB" w:rsidRDefault="00383888" w:rsidP="00383888">
      <w:pPr>
        <w:keepNext/>
        <w:keepLines/>
        <w:jc w:val="center"/>
        <w:rPr>
          <w:sz w:val="20"/>
        </w:rPr>
      </w:pPr>
    </w:p>
    <w:p w:rsidR="00383888" w:rsidRPr="000615AB" w:rsidRDefault="00C40A11" w:rsidP="00383888">
      <w:pPr>
        <w:keepNext/>
        <w:keepLines/>
        <w:jc w:val="center"/>
        <w:rPr>
          <w:sz w:val="20"/>
        </w:rPr>
      </w:pPr>
      <w:r>
        <w:rPr>
          <w:noProof/>
          <w:lang w:val="en-US" w:eastAsia="en-US"/>
        </w:rPr>
        <w:drawing>
          <wp:inline distT="0" distB="0" distL="0" distR="0" wp14:anchorId="574DF024" wp14:editId="64028744">
            <wp:extent cx="5118100" cy="737235"/>
            <wp:effectExtent l="0" t="0" r="6350" b="5715"/>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5118100" cy="737235"/>
                    </a:xfrm>
                    <a:prstGeom prst="rect">
                      <a:avLst/>
                    </a:prstGeom>
                    <a:noFill/>
                    <a:ln>
                      <a:noFill/>
                    </a:ln>
                  </pic:spPr>
                </pic:pic>
              </a:graphicData>
            </a:graphic>
          </wp:inline>
        </w:drawing>
      </w:r>
    </w:p>
    <w:p w:rsidR="00383888" w:rsidRPr="000615AB" w:rsidRDefault="00383888" w:rsidP="00383888">
      <w:pPr>
        <w:keepNext/>
        <w:keepLines/>
        <w:jc w:val="center"/>
        <w:rPr>
          <w:sz w:val="20"/>
        </w:rPr>
      </w:pPr>
    </w:p>
    <w:p w:rsidR="00383888" w:rsidRPr="000615AB" w:rsidRDefault="00383888" w:rsidP="00383888">
      <w:pPr>
        <w:keepNext/>
        <w:keepLines/>
        <w:jc w:val="center"/>
        <w:rPr>
          <w:sz w:val="20"/>
        </w:rPr>
      </w:pPr>
    </w:p>
    <w:p w:rsidR="00383888" w:rsidRPr="000615AB" w:rsidRDefault="00383888" w:rsidP="00383888">
      <w:pPr>
        <w:rPr>
          <w:sz w:val="20"/>
        </w:rPr>
      </w:pPr>
    </w:p>
    <w:p w:rsidR="00383888" w:rsidRPr="000615AB" w:rsidRDefault="00383888" w:rsidP="00383888">
      <w:pPr>
        <w:rPr>
          <w:sz w:val="20"/>
        </w:rPr>
        <w:sectPr w:rsidR="00383888" w:rsidRPr="000615AB" w:rsidSect="00B47699">
          <w:footerReference w:type="even" r:id="rId204"/>
          <w:footerReference w:type="default" r:id="rId205"/>
          <w:pgSz w:w="11907" w:h="16840" w:code="9"/>
          <w:pgMar w:top="567" w:right="1418" w:bottom="1361" w:left="1418" w:header="510" w:footer="851" w:gutter="0"/>
          <w:cols w:space="720"/>
        </w:sectPr>
      </w:pPr>
    </w:p>
    <w:p w:rsidR="00383888" w:rsidRPr="00C3705E" w:rsidRDefault="00383888" w:rsidP="00383888">
      <w:pPr>
        <w:pStyle w:val="Heading2"/>
        <w:tabs>
          <w:tab w:val="left" w:pos="1418"/>
        </w:tabs>
        <w:ind w:left="1418" w:hanging="1418"/>
        <w:rPr>
          <w:b/>
          <w:caps w:val="0"/>
          <w:szCs w:val="24"/>
          <w:lang w:val="es-ES_tradnl"/>
        </w:rPr>
      </w:pPr>
      <w:bookmarkStart w:id="106" w:name="_Toc358816728"/>
      <w:r w:rsidRPr="00C3705E">
        <w:rPr>
          <w:b/>
          <w:caps w:val="0"/>
          <w:szCs w:val="24"/>
          <w:lang w:val="es-ES_tradnl"/>
        </w:rPr>
        <w:lastRenderedPageBreak/>
        <w:t>ANEXO V.</w:t>
      </w:r>
      <w:r w:rsidRPr="00C3705E">
        <w:rPr>
          <w:b/>
          <w:caps w:val="0"/>
          <w:szCs w:val="24"/>
          <w:lang w:val="es-ES_tradnl"/>
        </w:rPr>
        <w:tab/>
        <w:t>INDICADORES DE LAS OPERACIONES DEL PCT</w:t>
      </w:r>
      <w:bookmarkEnd w:id="106"/>
    </w:p>
    <w:p w:rsidR="00383888" w:rsidRPr="000615AB" w:rsidRDefault="00383888" w:rsidP="00383888">
      <w:pPr>
        <w:rPr>
          <w:sz w:val="20"/>
        </w:rPr>
      </w:pPr>
    </w:p>
    <w:p w:rsidR="00383888" w:rsidRPr="000615AB" w:rsidRDefault="00383888" w:rsidP="00383888">
      <w:pPr>
        <w:rPr>
          <w:sz w:val="20"/>
        </w:rPr>
      </w:pPr>
    </w:p>
    <w:p w:rsidR="00383888" w:rsidRPr="000615AB" w:rsidRDefault="00383888" w:rsidP="00383888">
      <w:pPr>
        <w:jc w:val="center"/>
        <w:rPr>
          <w:sz w:val="20"/>
        </w:rPr>
      </w:pPr>
      <w:r w:rsidRPr="000615AB">
        <w:rPr>
          <w:sz w:val="20"/>
        </w:rPr>
        <w:t>INDICADORES DE RENDIMIENTO CON RESPECTO AL RESULTADO PREVISTO</w:t>
      </w:r>
    </w:p>
    <w:p w:rsidR="00383888" w:rsidRPr="000615AB" w:rsidRDefault="00383888" w:rsidP="00383888">
      <w:pPr>
        <w:jc w:val="center"/>
        <w:rPr>
          <w:sz w:val="20"/>
        </w:rPr>
      </w:pPr>
      <w:r w:rsidRPr="000615AB">
        <w:rPr>
          <w:sz w:val="20"/>
        </w:rPr>
        <w:t>“MEJORA DE LA PRODUCTIVIDAD Y DE LA CALIDAD DE LOS SERVICIOS EN LAS OPERACIONES DEL SISTEMA DEL PCT”</w:t>
      </w:r>
    </w:p>
    <w:p w:rsidR="00383888" w:rsidRPr="00545FB5" w:rsidRDefault="00383888" w:rsidP="00383888">
      <w:pPr>
        <w:jc w:val="center"/>
        <w:rPr>
          <w:bCs/>
          <w:sz w:val="20"/>
        </w:rPr>
      </w:pPr>
    </w:p>
    <w:p w:rsidR="00383888" w:rsidRPr="00545FB5" w:rsidRDefault="00383888" w:rsidP="00383888">
      <w:pPr>
        <w:rPr>
          <w:b/>
          <w:sz w:val="20"/>
        </w:rPr>
      </w:pPr>
    </w:p>
    <w:p w:rsidR="00383888" w:rsidRPr="000615AB" w:rsidRDefault="00383888" w:rsidP="00383888">
      <w:pPr>
        <w:rPr>
          <w:b/>
          <w:sz w:val="20"/>
        </w:rPr>
      </w:pPr>
      <w:r w:rsidRPr="000615AB">
        <w:rPr>
          <w:b/>
          <w:sz w:val="20"/>
        </w:rPr>
        <w:t>Generalidades</w:t>
      </w:r>
    </w:p>
    <w:p w:rsidR="00383888" w:rsidRPr="000615AB" w:rsidRDefault="00383888" w:rsidP="00383888">
      <w:pPr>
        <w:rPr>
          <w:b/>
          <w:sz w:val="20"/>
        </w:rPr>
      </w:pPr>
    </w:p>
    <w:p w:rsidR="00383888" w:rsidRPr="000615AB" w:rsidRDefault="00383888" w:rsidP="00FE7D9C">
      <w:pPr>
        <w:numPr>
          <w:ilvl w:val="0"/>
          <w:numId w:val="53"/>
        </w:numPr>
        <w:rPr>
          <w:sz w:val="20"/>
        </w:rPr>
      </w:pPr>
      <w:r w:rsidRPr="000615AB">
        <w:rPr>
          <w:sz w:val="20"/>
        </w:rPr>
        <w:t xml:space="preserve">Como referencia de los indicadores de rendimiento en lo que respecta al resultado previsto “Mejora de la productividad y de la calidad de los servicios del PCT”, puede ser útil considerar la evolución de los siguientes factores:  </w:t>
      </w:r>
    </w:p>
    <w:p w:rsidR="00383888" w:rsidRPr="000615AB" w:rsidRDefault="00383888" w:rsidP="00383888">
      <w:pPr>
        <w:rPr>
          <w:sz w:val="20"/>
        </w:rPr>
      </w:pPr>
    </w:p>
    <w:p w:rsidR="00383888" w:rsidRPr="000615AB" w:rsidRDefault="00383888" w:rsidP="00FE7D9C">
      <w:pPr>
        <w:numPr>
          <w:ilvl w:val="0"/>
          <w:numId w:val="51"/>
        </w:numPr>
        <w:tabs>
          <w:tab w:val="clear" w:pos="720"/>
          <w:tab w:val="num" w:pos="1100"/>
        </w:tabs>
        <w:ind w:left="1210" w:hanging="660"/>
        <w:rPr>
          <w:sz w:val="20"/>
        </w:rPr>
      </w:pPr>
      <w:r w:rsidRPr="000615AB">
        <w:rPr>
          <w:sz w:val="20"/>
        </w:rPr>
        <w:t>Volumen de trabajo del PCT;</w:t>
      </w:r>
    </w:p>
    <w:p w:rsidR="00383888" w:rsidRPr="000615AB" w:rsidRDefault="00383888" w:rsidP="00FE7D9C">
      <w:pPr>
        <w:numPr>
          <w:ilvl w:val="0"/>
          <w:numId w:val="51"/>
        </w:numPr>
        <w:tabs>
          <w:tab w:val="clear" w:pos="720"/>
          <w:tab w:val="num" w:pos="1100"/>
        </w:tabs>
        <w:ind w:left="1210" w:hanging="660"/>
        <w:rPr>
          <w:sz w:val="20"/>
        </w:rPr>
      </w:pPr>
      <w:r w:rsidRPr="000615AB">
        <w:rPr>
          <w:sz w:val="20"/>
        </w:rPr>
        <w:t>Distribución de idiomas con respecto al volumen de trabajo;  y</w:t>
      </w:r>
    </w:p>
    <w:p w:rsidR="00383888" w:rsidRPr="000615AB" w:rsidRDefault="00383888" w:rsidP="00FE7D9C">
      <w:pPr>
        <w:numPr>
          <w:ilvl w:val="0"/>
          <w:numId w:val="51"/>
        </w:numPr>
        <w:tabs>
          <w:tab w:val="clear" w:pos="720"/>
          <w:tab w:val="num" w:pos="1100"/>
        </w:tabs>
        <w:ind w:left="1210" w:hanging="660"/>
        <w:rPr>
          <w:sz w:val="20"/>
        </w:rPr>
      </w:pPr>
      <w:r w:rsidRPr="000615AB">
        <w:rPr>
          <w:sz w:val="20"/>
        </w:rPr>
        <w:t>Personal asignado para gestionar el volumen de trabajo.</w:t>
      </w:r>
    </w:p>
    <w:p w:rsidR="00383888" w:rsidRPr="000615AB" w:rsidRDefault="00383888" w:rsidP="00383888">
      <w:pPr>
        <w:tabs>
          <w:tab w:val="num" w:pos="-4253"/>
        </w:tabs>
        <w:rPr>
          <w:sz w:val="20"/>
        </w:rPr>
      </w:pPr>
    </w:p>
    <w:p w:rsidR="00383888" w:rsidRPr="000615AB" w:rsidRDefault="00383888" w:rsidP="00383888">
      <w:pPr>
        <w:rPr>
          <w:i/>
          <w:sz w:val="20"/>
        </w:rPr>
      </w:pPr>
      <w:r w:rsidRPr="000615AB">
        <w:rPr>
          <w:i/>
          <w:sz w:val="20"/>
        </w:rPr>
        <w:t>Volumen de trabajo</w:t>
      </w:r>
    </w:p>
    <w:p w:rsidR="00383888" w:rsidRPr="000615AB" w:rsidRDefault="00383888" w:rsidP="00383888">
      <w:pPr>
        <w:rPr>
          <w:sz w:val="20"/>
        </w:rPr>
      </w:pPr>
    </w:p>
    <w:p w:rsidR="00383888" w:rsidRPr="000615AB" w:rsidRDefault="00383888" w:rsidP="00FE7D9C">
      <w:pPr>
        <w:numPr>
          <w:ilvl w:val="0"/>
          <w:numId w:val="53"/>
        </w:numPr>
        <w:rPr>
          <w:sz w:val="20"/>
        </w:rPr>
      </w:pPr>
      <w:r w:rsidRPr="000615AB">
        <w:rPr>
          <w:sz w:val="20"/>
        </w:rPr>
        <w:t>La evolución del volumen de trabajo se analiza a partir del número de ejemplares originales que la Oficina Internacional recibe anualmente.</w:t>
      </w:r>
      <w:r w:rsidRPr="000615AB">
        <w:rPr>
          <w:rStyle w:val="FootnoteReference"/>
          <w:sz w:val="20"/>
        </w:rPr>
        <w:footnoteReference w:id="9"/>
      </w:r>
    </w:p>
    <w:p w:rsidR="00383888" w:rsidRPr="000615AB" w:rsidRDefault="00383888" w:rsidP="00383888">
      <w:pPr>
        <w:rPr>
          <w:sz w:val="20"/>
        </w:rPr>
      </w:pPr>
    </w:p>
    <w:p w:rsidR="00383888" w:rsidRPr="000615AB" w:rsidRDefault="00C40A11" w:rsidP="00383888">
      <w:pPr>
        <w:spacing w:after="120"/>
        <w:jc w:val="center"/>
      </w:pPr>
      <w:r>
        <w:rPr>
          <w:noProof/>
          <w:lang w:val="en-US" w:eastAsia="en-US"/>
        </w:rPr>
        <w:drawing>
          <wp:inline distT="0" distB="0" distL="0" distR="0" wp14:anchorId="500C3503" wp14:editId="7F5A90D9">
            <wp:extent cx="5752465" cy="2620645"/>
            <wp:effectExtent l="0" t="0" r="635" b="8255"/>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206" cstate="print">
                      <a:extLst>
                        <a:ext uri="{28A0092B-C50C-407E-A947-70E740481C1C}">
                          <a14:useLocalDpi xmlns:a14="http://schemas.microsoft.com/office/drawing/2010/main" val="0"/>
                        </a:ext>
                      </a:extLst>
                    </a:blip>
                    <a:srcRect/>
                    <a:stretch>
                      <a:fillRect/>
                    </a:stretch>
                  </pic:blipFill>
                  <pic:spPr bwMode="auto">
                    <a:xfrm>
                      <a:off x="0" y="0"/>
                      <a:ext cx="5752465" cy="2620645"/>
                    </a:xfrm>
                    <a:prstGeom prst="rect">
                      <a:avLst/>
                    </a:prstGeom>
                    <a:noFill/>
                    <a:ln>
                      <a:noFill/>
                    </a:ln>
                  </pic:spPr>
                </pic:pic>
              </a:graphicData>
            </a:graphic>
          </wp:inline>
        </w:drawing>
      </w:r>
    </w:p>
    <w:p w:rsidR="00383888" w:rsidRPr="000615AB" w:rsidRDefault="00383888" w:rsidP="00383888">
      <w:pPr>
        <w:spacing w:after="120"/>
        <w:jc w:val="center"/>
        <w:rPr>
          <w:b/>
          <w:kern w:val="28"/>
          <w:sz w:val="20"/>
          <w:szCs w:val="18"/>
        </w:rPr>
      </w:pPr>
    </w:p>
    <w:p w:rsidR="00383888" w:rsidRPr="00383888" w:rsidRDefault="00383888" w:rsidP="00FE7D9C">
      <w:pPr>
        <w:pStyle w:val="BodyText2"/>
        <w:keepNext w:val="0"/>
        <w:numPr>
          <w:ilvl w:val="0"/>
          <w:numId w:val="49"/>
        </w:numPr>
        <w:tabs>
          <w:tab w:val="clear" w:pos="720"/>
          <w:tab w:val="num" w:pos="1100"/>
        </w:tabs>
        <w:ind w:left="1100" w:hanging="550"/>
        <w:rPr>
          <w:rFonts w:cs="Arial"/>
          <w:lang w:val="es-ES"/>
        </w:rPr>
      </w:pPr>
      <w:r w:rsidRPr="00383888">
        <w:rPr>
          <w:rFonts w:cs="Arial"/>
          <w:lang w:val="es-ES"/>
        </w:rPr>
        <w:t xml:space="preserve">La Oficina Internacional recibió aproximadamente 196.200 ejemplares originales en 2012, lo que supone un incremento del 9% con respecto a 2011.  </w:t>
      </w:r>
    </w:p>
    <w:p w:rsidR="00383888" w:rsidRPr="00383888" w:rsidRDefault="00383888" w:rsidP="00383888">
      <w:pPr>
        <w:pStyle w:val="BodyText2"/>
        <w:keepNext w:val="0"/>
        <w:tabs>
          <w:tab w:val="num" w:pos="1100"/>
        </w:tabs>
        <w:ind w:left="1100" w:hanging="550"/>
        <w:rPr>
          <w:rFonts w:cs="Arial"/>
          <w:lang w:val="es-ES"/>
        </w:rPr>
      </w:pPr>
    </w:p>
    <w:p w:rsidR="00383888" w:rsidRPr="00383888" w:rsidRDefault="00383888" w:rsidP="00FE7D9C">
      <w:pPr>
        <w:pStyle w:val="BodyText2"/>
        <w:keepNext w:val="0"/>
        <w:numPr>
          <w:ilvl w:val="0"/>
          <w:numId w:val="49"/>
        </w:numPr>
        <w:tabs>
          <w:tab w:val="clear" w:pos="720"/>
          <w:tab w:val="num" w:pos="1100"/>
        </w:tabs>
        <w:ind w:left="1100" w:hanging="550"/>
        <w:rPr>
          <w:rFonts w:cs="Arial"/>
          <w:lang w:val="es-ES"/>
        </w:rPr>
      </w:pPr>
      <w:r w:rsidRPr="00383888">
        <w:rPr>
          <w:rFonts w:cs="Arial"/>
          <w:lang w:val="es-ES"/>
        </w:rPr>
        <w:t>En 2011 siguió aumentando el porcentaje de solicitudes presentadas íntegramente por medios electrónicos, que actualmente constituye el 8</w:t>
      </w:r>
      <w:r w:rsidR="0012203B">
        <w:rPr>
          <w:rFonts w:cs="Arial"/>
          <w:lang w:val="es-ES"/>
        </w:rPr>
        <w:t>7</w:t>
      </w:r>
      <w:r w:rsidRPr="00383888">
        <w:rPr>
          <w:rFonts w:cs="Arial"/>
          <w:lang w:val="es-ES"/>
        </w:rPr>
        <w:t>% de todas las solicitudes presentadas.</w:t>
      </w:r>
    </w:p>
    <w:p w:rsidR="00383888" w:rsidRPr="000615AB" w:rsidRDefault="00383888" w:rsidP="00383888">
      <w:pPr>
        <w:pStyle w:val="BodyText2"/>
        <w:keepLines/>
        <w:rPr>
          <w:rFonts w:cs="Arial"/>
          <w:i/>
        </w:rPr>
      </w:pPr>
      <w:r w:rsidRPr="000615AB">
        <w:rPr>
          <w:rFonts w:cs="Arial"/>
          <w:i/>
        </w:rPr>
        <w:lastRenderedPageBreak/>
        <w:t>Distribución de idiomas</w:t>
      </w:r>
    </w:p>
    <w:p w:rsidR="00383888" w:rsidRPr="000615AB" w:rsidRDefault="00383888" w:rsidP="00383888">
      <w:pPr>
        <w:pStyle w:val="BodyText2"/>
        <w:keepLines/>
        <w:rPr>
          <w:rFonts w:cs="Arial"/>
        </w:rPr>
      </w:pPr>
    </w:p>
    <w:p w:rsidR="00383888" w:rsidRPr="00383888" w:rsidRDefault="00383888" w:rsidP="00FE7D9C">
      <w:pPr>
        <w:pStyle w:val="BodyText2"/>
        <w:keepLines/>
        <w:numPr>
          <w:ilvl w:val="0"/>
          <w:numId w:val="53"/>
        </w:numPr>
        <w:rPr>
          <w:rFonts w:cs="Arial"/>
          <w:lang w:val="es-ES"/>
        </w:rPr>
      </w:pPr>
      <w:r w:rsidRPr="00383888">
        <w:rPr>
          <w:rFonts w:cs="Arial"/>
          <w:lang w:val="es-ES"/>
        </w:rPr>
        <w:t xml:space="preserve">Uno de los factores fundamentales del cambio en el funcionamiento de la Oficina Internacional es la creciente diversidad lingüística de las solicitudes presentadas como consecuencia, principalmente, del uso cada vez mayor del sistema del PCT en los países del este asiático. </w:t>
      </w:r>
    </w:p>
    <w:p w:rsidR="00383888" w:rsidRPr="000615AB" w:rsidRDefault="00C40A11" w:rsidP="00383888">
      <w:pPr>
        <w:keepNext/>
        <w:keepLines/>
        <w:spacing w:after="120"/>
      </w:pPr>
      <w:r>
        <w:rPr>
          <w:noProof/>
          <w:lang w:val="en-US" w:eastAsia="en-US"/>
        </w:rPr>
        <w:drawing>
          <wp:inline distT="0" distB="0" distL="0" distR="0" wp14:anchorId="5073D017" wp14:editId="0602D48E">
            <wp:extent cx="5759450" cy="3535045"/>
            <wp:effectExtent l="0" t="0" r="0" b="8255"/>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207" cstate="print">
                      <a:extLst>
                        <a:ext uri="{28A0092B-C50C-407E-A947-70E740481C1C}">
                          <a14:useLocalDpi xmlns:a14="http://schemas.microsoft.com/office/drawing/2010/main" val="0"/>
                        </a:ext>
                      </a:extLst>
                    </a:blip>
                    <a:srcRect/>
                    <a:stretch>
                      <a:fillRect/>
                    </a:stretch>
                  </pic:blipFill>
                  <pic:spPr bwMode="auto">
                    <a:xfrm>
                      <a:off x="0" y="0"/>
                      <a:ext cx="5759450" cy="3535045"/>
                    </a:xfrm>
                    <a:prstGeom prst="rect">
                      <a:avLst/>
                    </a:prstGeom>
                    <a:noFill/>
                    <a:ln>
                      <a:noFill/>
                    </a:ln>
                  </pic:spPr>
                </pic:pic>
              </a:graphicData>
            </a:graphic>
          </wp:inline>
        </w:drawing>
      </w:r>
    </w:p>
    <w:p w:rsidR="00383888" w:rsidRPr="00383888" w:rsidRDefault="00383888" w:rsidP="00FE7D9C">
      <w:pPr>
        <w:pStyle w:val="BodyText2"/>
        <w:keepNext w:val="0"/>
        <w:numPr>
          <w:ilvl w:val="0"/>
          <w:numId w:val="53"/>
        </w:numPr>
        <w:rPr>
          <w:rFonts w:cs="Arial"/>
          <w:lang w:val="es-ES"/>
        </w:rPr>
      </w:pPr>
      <w:r w:rsidRPr="00383888">
        <w:rPr>
          <w:rFonts w:cs="Arial"/>
          <w:lang w:val="es-ES"/>
        </w:rPr>
        <w:t>Como puede observarse en el gráfico, aunque el inglés sigue siendo con diferencia el idioma predominante en la presentación de solicitudes, su importancia ha disminuido con relación al japonés, al chino y al coreano.  El porcentaje combinado de solicitudes PCT presentadas en japonés, chino y coreano ha crecido del 33% en 2011 al 35% en 2012.  En el siguiente gráfico se presenta la evolución de otros idiomas distintos al inglés en la presentación de solicitudes:</w:t>
      </w:r>
    </w:p>
    <w:p w:rsidR="00383888" w:rsidRPr="000615AB" w:rsidRDefault="00C40A11" w:rsidP="00383888">
      <w:pPr>
        <w:spacing w:after="120"/>
        <w:jc w:val="center"/>
      </w:pPr>
      <w:r>
        <w:rPr>
          <w:noProof/>
          <w:lang w:val="en-US" w:eastAsia="en-US"/>
        </w:rPr>
        <w:drawing>
          <wp:inline distT="0" distB="0" distL="0" distR="0" wp14:anchorId="35A10907" wp14:editId="7DE42948">
            <wp:extent cx="5752465" cy="3446145"/>
            <wp:effectExtent l="0" t="0" r="635" b="1905"/>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208" cstate="print">
                      <a:extLst>
                        <a:ext uri="{28A0092B-C50C-407E-A947-70E740481C1C}">
                          <a14:useLocalDpi xmlns:a14="http://schemas.microsoft.com/office/drawing/2010/main" val="0"/>
                        </a:ext>
                      </a:extLst>
                    </a:blip>
                    <a:srcRect/>
                    <a:stretch>
                      <a:fillRect/>
                    </a:stretch>
                  </pic:blipFill>
                  <pic:spPr bwMode="auto">
                    <a:xfrm>
                      <a:off x="0" y="0"/>
                      <a:ext cx="5752465" cy="3446145"/>
                    </a:xfrm>
                    <a:prstGeom prst="rect">
                      <a:avLst/>
                    </a:prstGeom>
                    <a:noFill/>
                    <a:ln>
                      <a:noFill/>
                    </a:ln>
                  </pic:spPr>
                </pic:pic>
              </a:graphicData>
            </a:graphic>
          </wp:inline>
        </w:drawing>
      </w:r>
    </w:p>
    <w:p w:rsidR="00383888" w:rsidRPr="00383888" w:rsidRDefault="00383888" w:rsidP="00FE7D9C">
      <w:pPr>
        <w:pStyle w:val="BodyText2"/>
        <w:keepNext w:val="0"/>
        <w:numPr>
          <w:ilvl w:val="0"/>
          <w:numId w:val="53"/>
        </w:numPr>
        <w:rPr>
          <w:lang w:val="es-ES"/>
        </w:rPr>
      </w:pPr>
      <w:r w:rsidRPr="00383888">
        <w:rPr>
          <w:lang w:val="es-ES"/>
        </w:rPr>
        <w:t>La evolución en el uso de los idiomas supone una carga de trabajo considerable para la Oficina Internacional, ya que lleva muchos años adaptar la composición lingüística del personal encargado del PCT.</w:t>
      </w:r>
    </w:p>
    <w:p w:rsidR="00383888" w:rsidRPr="000615AB" w:rsidRDefault="00383888" w:rsidP="00383888">
      <w:pPr>
        <w:keepNext/>
        <w:keepLines/>
        <w:spacing w:after="120"/>
        <w:rPr>
          <w:i/>
          <w:sz w:val="20"/>
        </w:rPr>
      </w:pPr>
      <w:r w:rsidRPr="000615AB">
        <w:rPr>
          <w:i/>
          <w:sz w:val="20"/>
        </w:rPr>
        <w:lastRenderedPageBreak/>
        <w:t>Personal</w:t>
      </w:r>
    </w:p>
    <w:p w:rsidR="00383888" w:rsidRPr="00383888" w:rsidRDefault="00383888" w:rsidP="00FE7D9C">
      <w:pPr>
        <w:pStyle w:val="BodyText2"/>
        <w:keepLines/>
        <w:numPr>
          <w:ilvl w:val="0"/>
          <w:numId w:val="53"/>
        </w:numPr>
        <w:rPr>
          <w:rFonts w:cs="Arial"/>
          <w:lang w:val="es-ES"/>
        </w:rPr>
      </w:pPr>
      <w:r w:rsidRPr="00383888">
        <w:rPr>
          <w:rFonts w:cs="Arial"/>
          <w:lang w:val="es-ES"/>
        </w:rPr>
        <w:t>El siguiente gráfico muestra el número de miembros del personal encargados del funcionamiento del PCT desde el año 2001, expresado en equivalente de puestos a jornada completa (número de miembros del personal a jornada completa más el equivalente de puestos a jornada completa de miembros del personal a jornada parcial).</w:t>
      </w:r>
    </w:p>
    <w:p w:rsidR="00383888" w:rsidRPr="000615AB" w:rsidRDefault="00383888" w:rsidP="00383888">
      <w:pPr>
        <w:rPr>
          <w:sz w:val="20"/>
        </w:rPr>
      </w:pPr>
    </w:p>
    <w:p w:rsidR="00383888" w:rsidRPr="000615AB" w:rsidRDefault="00C40A11" w:rsidP="00383888">
      <w:r>
        <w:rPr>
          <w:noProof/>
          <w:lang w:val="en-US" w:eastAsia="en-US"/>
        </w:rPr>
        <w:drawing>
          <wp:inline distT="0" distB="0" distL="0" distR="0" wp14:anchorId="3510A3E5" wp14:editId="5A6C61E1">
            <wp:extent cx="5759450" cy="3568700"/>
            <wp:effectExtent l="0" t="0" r="0"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5759450" cy="3568700"/>
                    </a:xfrm>
                    <a:prstGeom prst="rect">
                      <a:avLst/>
                    </a:prstGeom>
                    <a:noFill/>
                    <a:ln>
                      <a:noFill/>
                    </a:ln>
                  </pic:spPr>
                </pic:pic>
              </a:graphicData>
            </a:graphic>
          </wp:inline>
        </w:drawing>
      </w:r>
    </w:p>
    <w:p w:rsidR="00383888" w:rsidRPr="000615AB" w:rsidRDefault="00383888" w:rsidP="00383888">
      <w:pPr>
        <w:rPr>
          <w:sz w:val="20"/>
        </w:rPr>
      </w:pPr>
    </w:p>
    <w:p w:rsidR="00383888" w:rsidRPr="000615AB" w:rsidRDefault="00383888" w:rsidP="00FE7D9C">
      <w:pPr>
        <w:numPr>
          <w:ilvl w:val="0"/>
          <w:numId w:val="50"/>
        </w:numPr>
        <w:tabs>
          <w:tab w:val="clear" w:pos="720"/>
          <w:tab w:val="num" w:pos="1100"/>
        </w:tabs>
        <w:ind w:left="1100" w:hanging="550"/>
        <w:rPr>
          <w:sz w:val="20"/>
        </w:rPr>
      </w:pPr>
      <w:r w:rsidRPr="000615AB">
        <w:rPr>
          <w:sz w:val="20"/>
        </w:rPr>
        <w:t xml:space="preserve">El número de miembros del personal de la División de Operaciones del PCT en 2012 se mantuvo estable con respecto a 2011. </w:t>
      </w:r>
    </w:p>
    <w:p w:rsidR="00383888" w:rsidRPr="000615AB" w:rsidRDefault="00383888" w:rsidP="00383888">
      <w:pPr>
        <w:spacing w:after="120"/>
        <w:rPr>
          <w:sz w:val="20"/>
          <w:u w:val="single"/>
        </w:rPr>
      </w:pPr>
    </w:p>
    <w:p w:rsidR="00383888" w:rsidRPr="000615AB" w:rsidRDefault="00383888" w:rsidP="00383888">
      <w:pPr>
        <w:rPr>
          <w:i/>
          <w:sz w:val="20"/>
        </w:rPr>
      </w:pPr>
      <w:r w:rsidRPr="000615AB">
        <w:rPr>
          <w:i/>
          <w:sz w:val="20"/>
        </w:rPr>
        <w:t>Costo unitario de tramitación de las solicitudes</w:t>
      </w:r>
    </w:p>
    <w:p w:rsidR="00383888" w:rsidRPr="000615AB" w:rsidRDefault="00383888" w:rsidP="00383888">
      <w:pPr>
        <w:rPr>
          <w:i/>
          <w:sz w:val="20"/>
        </w:rPr>
      </w:pPr>
    </w:p>
    <w:p w:rsidR="00383888" w:rsidRPr="00383888" w:rsidRDefault="00383888" w:rsidP="00FE7D9C">
      <w:pPr>
        <w:pStyle w:val="BodyText2"/>
        <w:keepNext w:val="0"/>
        <w:numPr>
          <w:ilvl w:val="0"/>
          <w:numId w:val="53"/>
        </w:numPr>
        <w:rPr>
          <w:rFonts w:cs="Arial"/>
          <w:lang w:val="es-ES"/>
        </w:rPr>
      </w:pPr>
      <w:r w:rsidRPr="00383888">
        <w:rPr>
          <w:rFonts w:cs="Arial"/>
          <w:lang w:val="es-ES"/>
        </w:rPr>
        <w:t>La productividad de la Oficina Internacional en cuanto a la tramitación de las solicitudes PCT puede medirse por el costo unitario de tramitación, definido como el costo medio total de la publicación de una solicitud PCT.  El costo medio total se determina sumando el gasto total del PCT a una parte de los gastos en concepto de actividades de apoyo y gestión.</w:t>
      </w:r>
      <w:r w:rsidRPr="000615AB">
        <w:rPr>
          <w:rStyle w:val="FootnoteReference"/>
          <w:rFonts w:cs="Arial"/>
        </w:rPr>
        <w:footnoteReference w:id="10"/>
      </w:r>
      <w:r w:rsidRPr="00383888">
        <w:rPr>
          <w:rFonts w:cs="Arial"/>
          <w:lang w:val="es-ES"/>
        </w:rPr>
        <w:t xml:space="preserve">  Por lo tanto, el costo unitario abarca el costo de todas las actividades del PCT, incluidas la traducción, la comunicación, la gestión, etcétera.</w:t>
      </w:r>
    </w:p>
    <w:p w:rsidR="00383888" w:rsidRPr="00383888" w:rsidRDefault="00383888" w:rsidP="00383888">
      <w:pPr>
        <w:pStyle w:val="BodyText2"/>
        <w:keepNext w:val="0"/>
        <w:rPr>
          <w:rFonts w:cs="Arial"/>
          <w:lang w:val="es-ES"/>
        </w:rPr>
      </w:pPr>
    </w:p>
    <w:p w:rsidR="00383888" w:rsidRPr="00383888" w:rsidRDefault="00383888" w:rsidP="00FE7D9C">
      <w:pPr>
        <w:pStyle w:val="BodyText2"/>
        <w:keepNext w:val="0"/>
        <w:numPr>
          <w:ilvl w:val="0"/>
          <w:numId w:val="53"/>
        </w:numPr>
        <w:rPr>
          <w:rFonts w:cs="Arial"/>
          <w:lang w:val="es-ES"/>
        </w:rPr>
      </w:pPr>
      <w:r w:rsidRPr="00383888">
        <w:rPr>
          <w:rFonts w:cs="Arial"/>
          <w:lang w:val="es-ES"/>
        </w:rPr>
        <w:t>A la hora de calcular el costo unitario, el costo de producción se descompone en:  costos directos y costos indirectos.  Los costos directos se corresponden con el gasto incurrido por la IB (en relación con la administración del sistema del PCT y programas conexos).  En los costos indirectos se incluyen los gastos de las unidades de apoyo (por ejemplo, edificios, tecnología de información, etcétera.).  Estos últimos se ponderan para tener en cuenta únicamente la proporción imputable al sistema del PCT.  Al costo unitario se le añade el costo de almacenamiento de las solicitudes publicadas, ya que el sistema del PCT debe almacenar las solicitudes durante 30 años.</w:t>
      </w:r>
    </w:p>
    <w:p w:rsidR="00383888" w:rsidRPr="000615AB" w:rsidRDefault="00383888" w:rsidP="00383888">
      <w:pPr>
        <w:jc w:val="both"/>
        <w:rPr>
          <w:sz w:val="20"/>
        </w:rPr>
      </w:pPr>
    </w:p>
    <w:p w:rsidR="00383888" w:rsidRPr="00383888" w:rsidRDefault="00383888" w:rsidP="00FE7D9C">
      <w:pPr>
        <w:pStyle w:val="BodyText2"/>
        <w:keepNext w:val="0"/>
        <w:numPr>
          <w:ilvl w:val="0"/>
          <w:numId w:val="53"/>
        </w:numPr>
        <w:rPr>
          <w:rFonts w:cs="Arial"/>
          <w:lang w:val="es-ES"/>
        </w:rPr>
      </w:pPr>
      <w:r w:rsidRPr="00383888">
        <w:rPr>
          <w:rFonts w:cs="Arial"/>
          <w:lang w:val="es-ES"/>
        </w:rPr>
        <w:t>Oficialmente, el costo unitario se define de la siguiente manera:</w:t>
      </w:r>
    </w:p>
    <w:p w:rsidR="00383888" w:rsidRPr="000615AB" w:rsidRDefault="00383888" w:rsidP="00383888">
      <w:pPr>
        <w:rPr>
          <w:sz w:val="20"/>
        </w:rPr>
      </w:pPr>
    </w:p>
    <w:p w:rsidR="00383888" w:rsidRPr="000615AB" w:rsidRDefault="00383888" w:rsidP="00383888">
      <w:pPr>
        <w:jc w:val="center"/>
        <w:rPr>
          <w:sz w:val="20"/>
        </w:rPr>
      </w:pPr>
      <w:r w:rsidRPr="000615AB">
        <w:rPr>
          <w:sz w:val="20"/>
        </w:rPr>
        <w:t xml:space="preserve">Costo unitario = </w:t>
      </w:r>
      <w:r w:rsidRPr="000615AB">
        <w:rPr>
          <w:sz w:val="20"/>
          <w:u w:val="single"/>
        </w:rPr>
        <w:t>Costo total de producción</w:t>
      </w:r>
      <w:r w:rsidRPr="000615AB">
        <w:rPr>
          <w:sz w:val="20"/>
        </w:rPr>
        <w:t xml:space="preserve"> + costo de almacenamiento</w:t>
      </w:r>
    </w:p>
    <w:p w:rsidR="00383888" w:rsidRPr="000615AB" w:rsidRDefault="00383888" w:rsidP="00383888">
      <w:pPr>
        <w:tabs>
          <w:tab w:val="left" w:pos="2835"/>
        </w:tabs>
        <w:rPr>
          <w:sz w:val="20"/>
        </w:rPr>
      </w:pPr>
      <w:r w:rsidRPr="000615AB">
        <w:rPr>
          <w:sz w:val="20"/>
        </w:rPr>
        <w:tab/>
        <w:t xml:space="preserve"> Número de publicaciones</w:t>
      </w:r>
    </w:p>
    <w:p w:rsidR="00383888" w:rsidRPr="000615AB" w:rsidRDefault="00383888" w:rsidP="00383888">
      <w:pPr>
        <w:rPr>
          <w:sz w:val="20"/>
        </w:rPr>
      </w:pPr>
    </w:p>
    <w:p w:rsidR="00383888" w:rsidRPr="00383888" w:rsidRDefault="00383888" w:rsidP="00FE7D9C">
      <w:pPr>
        <w:pStyle w:val="BodyText2"/>
        <w:keepNext w:val="0"/>
        <w:numPr>
          <w:ilvl w:val="0"/>
          <w:numId w:val="53"/>
        </w:numPr>
        <w:rPr>
          <w:rFonts w:cs="Arial"/>
          <w:lang w:val="es-ES"/>
        </w:rPr>
      </w:pPr>
      <w:r w:rsidRPr="00383888">
        <w:rPr>
          <w:rFonts w:cs="Arial"/>
          <w:lang w:val="es-ES"/>
        </w:rPr>
        <w:lastRenderedPageBreak/>
        <w:t>En el gráfico a continuación se ilustra la evolución del costo unitario de tramitación desde 2004 hasta 201</w:t>
      </w:r>
      <w:r w:rsidR="0012203B">
        <w:rPr>
          <w:rFonts w:cs="Arial"/>
          <w:lang w:val="es-ES"/>
        </w:rPr>
        <w:t>2</w:t>
      </w:r>
      <w:r w:rsidRPr="00383888">
        <w:rPr>
          <w:rFonts w:cs="Arial"/>
          <w:lang w:val="es-ES"/>
        </w:rPr>
        <w:t>, incluido un desglose de la parte correspondiente a los costos directos e indirectos.</w:t>
      </w:r>
    </w:p>
    <w:p w:rsidR="00383888" w:rsidRPr="00383888" w:rsidRDefault="00383888" w:rsidP="00383888">
      <w:pPr>
        <w:pStyle w:val="BodyText2"/>
        <w:keepNext w:val="0"/>
        <w:rPr>
          <w:rFonts w:cs="Arial"/>
          <w:lang w:val="es-ES"/>
        </w:rPr>
      </w:pPr>
    </w:p>
    <w:p w:rsidR="00383888" w:rsidRPr="000615AB" w:rsidRDefault="00383888" w:rsidP="00383888">
      <w:pPr>
        <w:keepNext/>
        <w:keepLines/>
        <w:jc w:val="center"/>
        <w:rPr>
          <w:b/>
          <w:sz w:val="18"/>
          <w:szCs w:val="18"/>
        </w:rPr>
      </w:pPr>
      <w:r w:rsidRPr="000615AB">
        <w:rPr>
          <w:b/>
          <w:sz w:val="18"/>
          <w:szCs w:val="18"/>
        </w:rPr>
        <w:t xml:space="preserve">Costo medio de tramitación de </w:t>
      </w:r>
      <w:r>
        <w:rPr>
          <w:b/>
          <w:sz w:val="18"/>
          <w:szCs w:val="18"/>
        </w:rPr>
        <w:t>una</w:t>
      </w:r>
      <w:r w:rsidRPr="000615AB">
        <w:rPr>
          <w:b/>
          <w:sz w:val="18"/>
          <w:szCs w:val="18"/>
        </w:rPr>
        <w:t xml:space="preserve"> solicitud PCT</w:t>
      </w:r>
      <w:r>
        <w:rPr>
          <w:b/>
          <w:sz w:val="18"/>
          <w:szCs w:val="18"/>
        </w:rPr>
        <w:t xml:space="preserve"> publicada</w:t>
      </w:r>
    </w:p>
    <w:p w:rsidR="00383888" w:rsidRPr="000615AB" w:rsidRDefault="00383888" w:rsidP="00383888">
      <w:pPr>
        <w:rPr>
          <w:b/>
          <w:sz w:val="20"/>
        </w:rPr>
      </w:pPr>
    </w:p>
    <w:p w:rsidR="00383888" w:rsidRPr="000615AB" w:rsidRDefault="00C40A11" w:rsidP="00383888">
      <w:pPr>
        <w:rPr>
          <w:b/>
          <w:sz w:val="20"/>
        </w:rPr>
      </w:pPr>
      <w:r>
        <w:rPr>
          <w:noProof/>
          <w:lang w:val="en-US" w:eastAsia="en-US"/>
        </w:rPr>
        <w:drawing>
          <wp:inline distT="0" distB="0" distL="0" distR="0" wp14:anchorId="0AF3DED7" wp14:editId="48B89960">
            <wp:extent cx="5759450" cy="2961640"/>
            <wp:effectExtent l="0" t="0" r="0" b="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210" cstate="print">
                      <a:extLst>
                        <a:ext uri="{28A0092B-C50C-407E-A947-70E740481C1C}">
                          <a14:useLocalDpi xmlns:a14="http://schemas.microsoft.com/office/drawing/2010/main" val="0"/>
                        </a:ext>
                      </a:extLst>
                    </a:blip>
                    <a:srcRect/>
                    <a:stretch>
                      <a:fillRect/>
                    </a:stretch>
                  </pic:blipFill>
                  <pic:spPr bwMode="auto">
                    <a:xfrm>
                      <a:off x="0" y="0"/>
                      <a:ext cx="5759450" cy="2961640"/>
                    </a:xfrm>
                    <a:prstGeom prst="rect">
                      <a:avLst/>
                    </a:prstGeom>
                    <a:noFill/>
                    <a:ln>
                      <a:noFill/>
                    </a:ln>
                  </pic:spPr>
                </pic:pic>
              </a:graphicData>
            </a:graphic>
          </wp:inline>
        </w:drawing>
      </w:r>
    </w:p>
    <w:p w:rsidR="00383888" w:rsidRPr="000615AB" w:rsidRDefault="00383888" w:rsidP="00383888">
      <w:pPr>
        <w:rPr>
          <w:sz w:val="20"/>
        </w:rPr>
      </w:pPr>
    </w:p>
    <w:p w:rsidR="00383888" w:rsidRPr="000615AB" w:rsidRDefault="00383888" w:rsidP="00FE7D9C">
      <w:pPr>
        <w:numPr>
          <w:ilvl w:val="0"/>
          <w:numId w:val="52"/>
        </w:numPr>
        <w:tabs>
          <w:tab w:val="clear" w:pos="720"/>
          <w:tab w:val="num" w:pos="1100"/>
        </w:tabs>
        <w:ind w:left="1100" w:hanging="550"/>
        <w:jc w:val="both"/>
        <w:rPr>
          <w:sz w:val="20"/>
        </w:rPr>
      </w:pPr>
      <w:r w:rsidRPr="000615AB">
        <w:rPr>
          <w:sz w:val="20"/>
        </w:rPr>
        <w:t>El costo medio de tramitación de una solicitud PCT publicada se redujo en un 9% en 2012 en relación con 2011, con una cifra de 680 francos suizos.</w:t>
      </w:r>
      <w:r w:rsidRPr="000615AB">
        <w:rPr>
          <w:rStyle w:val="FootnoteReference"/>
          <w:sz w:val="20"/>
        </w:rPr>
        <w:footnoteReference w:id="11"/>
      </w:r>
      <w:r w:rsidRPr="000615AB">
        <w:rPr>
          <w:sz w:val="20"/>
        </w:rPr>
        <w:t xml:space="preserve">  Este descenso se explica en parte por el hecho de que en 2012 se publicó un 8,9% más de solicitudes que en 2011, mientras que los costos generales se redujeron ligeramente (en especial los costos indirectos).</w:t>
      </w:r>
    </w:p>
    <w:p w:rsidR="00383888" w:rsidRPr="000615AB" w:rsidRDefault="00383888" w:rsidP="00383888">
      <w:pPr>
        <w:jc w:val="both"/>
        <w:rPr>
          <w:sz w:val="20"/>
        </w:rPr>
      </w:pPr>
    </w:p>
    <w:p w:rsidR="00383888" w:rsidRPr="000615AB" w:rsidRDefault="00383888" w:rsidP="00383888">
      <w:pPr>
        <w:rPr>
          <w:b/>
          <w:sz w:val="20"/>
        </w:rPr>
      </w:pPr>
      <w:r w:rsidRPr="000615AB">
        <w:rPr>
          <w:b/>
          <w:sz w:val="20"/>
        </w:rPr>
        <w:t>Tramitación</w:t>
      </w:r>
    </w:p>
    <w:p w:rsidR="00383888" w:rsidRPr="00501D57" w:rsidRDefault="00383888" w:rsidP="00383888">
      <w:pPr>
        <w:rPr>
          <w:i/>
          <w:sz w:val="20"/>
        </w:rPr>
      </w:pPr>
    </w:p>
    <w:p w:rsidR="00383888" w:rsidRPr="00501D57" w:rsidRDefault="00383888" w:rsidP="00383888">
      <w:pPr>
        <w:rPr>
          <w:i/>
          <w:sz w:val="20"/>
        </w:rPr>
      </w:pPr>
      <w:r w:rsidRPr="00501D57">
        <w:rPr>
          <w:i/>
          <w:sz w:val="20"/>
        </w:rPr>
        <w:t>Productividad en el examen de la forma.</w:t>
      </w:r>
    </w:p>
    <w:p w:rsidR="00383888" w:rsidRPr="00501D57" w:rsidRDefault="00383888" w:rsidP="00383888">
      <w:pPr>
        <w:rPr>
          <w:sz w:val="20"/>
        </w:rPr>
      </w:pPr>
    </w:p>
    <w:p w:rsidR="00383888" w:rsidRPr="00383888" w:rsidRDefault="00383888" w:rsidP="00FE7D9C">
      <w:pPr>
        <w:pStyle w:val="BodyText2"/>
        <w:keepNext w:val="0"/>
        <w:numPr>
          <w:ilvl w:val="0"/>
          <w:numId w:val="53"/>
        </w:numPr>
        <w:rPr>
          <w:lang w:val="es-ES"/>
        </w:rPr>
      </w:pPr>
      <w:r w:rsidRPr="00383888">
        <w:rPr>
          <w:lang w:val="es-ES"/>
        </w:rPr>
        <w:t>La definición de productividad del personal consiste en el valor de la producción (esto es, el número de publicaciones del PCT) dividido entre el número de miembros del personal encargados del examen de forma.</w:t>
      </w:r>
    </w:p>
    <w:p w:rsidR="00383888" w:rsidRPr="000615AB" w:rsidRDefault="00383888" w:rsidP="00383888">
      <w:pPr>
        <w:rPr>
          <w:sz w:val="20"/>
        </w:rPr>
      </w:pPr>
    </w:p>
    <w:p w:rsidR="00383888" w:rsidRPr="000615AB" w:rsidRDefault="00C40A11" w:rsidP="00383888">
      <w:pPr>
        <w:jc w:val="center"/>
      </w:pPr>
      <w:r>
        <w:rPr>
          <w:noProof/>
          <w:lang w:val="en-US" w:eastAsia="en-US"/>
        </w:rPr>
        <w:lastRenderedPageBreak/>
        <w:drawing>
          <wp:inline distT="0" distB="0" distL="0" distR="0" wp14:anchorId="6CE0C559" wp14:editId="05FFE07F">
            <wp:extent cx="5220335" cy="2360930"/>
            <wp:effectExtent l="0" t="0" r="0" b="127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211" cstate="print">
                      <a:extLst>
                        <a:ext uri="{28A0092B-C50C-407E-A947-70E740481C1C}">
                          <a14:useLocalDpi xmlns:a14="http://schemas.microsoft.com/office/drawing/2010/main" val="0"/>
                        </a:ext>
                      </a:extLst>
                    </a:blip>
                    <a:srcRect/>
                    <a:stretch>
                      <a:fillRect/>
                    </a:stretch>
                  </pic:blipFill>
                  <pic:spPr bwMode="auto">
                    <a:xfrm>
                      <a:off x="0" y="0"/>
                      <a:ext cx="5220335" cy="2360930"/>
                    </a:xfrm>
                    <a:prstGeom prst="rect">
                      <a:avLst/>
                    </a:prstGeom>
                    <a:noFill/>
                    <a:ln>
                      <a:noFill/>
                    </a:ln>
                  </pic:spPr>
                </pic:pic>
              </a:graphicData>
            </a:graphic>
          </wp:inline>
        </w:drawing>
      </w:r>
    </w:p>
    <w:p w:rsidR="00383888" w:rsidRPr="000615AB" w:rsidRDefault="00383888" w:rsidP="00383888">
      <w:pPr>
        <w:rPr>
          <w:sz w:val="18"/>
          <w:szCs w:val="22"/>
        </w:rPr>
      </w:pPr>
    </w:p>
    <w:p w:rsidR="00383888" w:rsidRPr="000615AB" w:rsidRDefault="00383888" w:rsidP="00FE7D9C">
      <w:pPr>
        <w:numPr>
          <w:ilvl w:val="0"/>
          <w:numId w:val="52"/>
        </w:numPr>
        <w:tabs>
          <w:tab w:val="clear" w:pos="720"/>
          <w:tab w:val="num" w:pos="1100"/>
        </w:tabs>
        <w:ind w:left="1100" w:hanging="550"/>
        <w:jc w:val="both"/>
        <w:rPr>
          <w:sz w:val="20"/>
        </w:rPr>
      </w:pPr>
      <w:r w:rsidRPr="000615AB">
        <w:rPr>
          <w:sz w:val="20"/>
        </w:rPr>
        <w:t>La productividad del examen de forma ha ido aumentado a lo largo del tiempo, principalmente debido a la automatización del procedimiento, que ha permitido que un menor número de miembros del personal pueda tramitar un volumen de trabajo mucho mayor.</w:t>
      </w:r>
    </w:p>
    <w:p w:rsidR="00383888" w:rsidRPr="004D0745" w:rsidRDefault="00383888" w:rsidP="00383888">
      <w:pPr>
        <w:rPr>
          <w:sz w:val="18"/>
          <w:szCs w:val="18"/>
        </w:rPr>
      </w:pPr>
    </w:p>
    <w:p w:rsidR="00383888" w:rsidRPr="004D0745" w:rsidRDefault="00383888" w:rsidP="00383888">
      <w:pPr>
        <w:rPr>
          <w:sz w:val="18"/>
          <w:szCs w:val="18"/>
        </w:rPr>
      </w:pPr>
    </w:p>
    <w:p w:rsidR="00383888" w:rsidRPr="000615AB" w:rsidRDefault="00383888" w:rsidP="00383888">
      <w:pPr>
        <w:rPr>
          <w:i/>
          <w:sz w:val="20"/>
        </w:rPr>
      </w:pPr>
      <w:r w:rsidRPr="000615AB">
        <w:rPr>
          <w:i/>
          <w:sz w:val="20"/>
        </w:rPr>
        <w:t>Calidad global del examen de forma</w:t>
      </w:r>
    </w:p>
    <w:p w:rsidR="00383888" w:rsidRPr="000615AB" w:rsidRDefault="00383888" w:rsidP="00383888">
      <w:pPr>
        <w:rPr>
          <w:sz w:val="20"/>
        </w:rPr>
      </w:pPr>
    </w:p>
    <w:p w:rsidR="00383888" w:rsidRPr="00383888" w:rsidRDefault="00383888" w:rsidP="00FE7D9C">
      <w:pPr>
        <w:pStyle w:val="BodyText2"/>
        <w:keepNext w:val="0"/>
        <w:numPr>
          <w:ilvl w:val="0"/>
          <w:numId w:val="53"/>
        </w:numPr>
        <w:rPr>
          <w:rFonts w:cs="Arial"/>
          <w:lang w:val="es-ES"/>
        </w:rPr>
      </w:pPr>
      <w:r w:rsidRPr="00383888">
        <w:rPr>
          <w:rFonts w:cs="Arial"/>
          <w:lang w:val="es-ES"/>
        </w:rPr>
        <w:t>Con el fin de medir la calidad del trabajo realizado por la Oficina Internacional de una manera sencilla e integral, la Oficina Internacional ha elaborado un indicador de calidad global, que es el promedio de cuatro indicadores de calidad principales.  Tres de ellos se basan en el tiempo necesario para efectuar las transacciones fundamentales: acuse de recibo de la solicitud en el marco del PCT, publicación y nueva publicación.  El cuarto indicador da cuenta de los errores cometidos en el curso de la tramitación de solicitudes PCT.</w:t>
      </w:r>
    </w:p>
    <w:p w:rsidR="00383888" w:rsidRPr="000615AB" w:rsidRDefault="00383888" w:rsidP="00383888">
      <w:pPr>
        <w:rPr>
          <w:szCs w:val="22"/>
        </w:rPr>
      </w:pPr>
      <w:r w:rsidRPr="000615AB">
        <w:rPr>
          <w:sz w:val="20"/>
        </w:rPr>
        <w:t xml:space="preserve"> </w:t>
      </w:r>
      <w:r w:rsidR="00C40A11">
        <w:rPr>
          <w:noProof/>
          <w:lang w:val="en-US" w:eastAsia="en-US"/>
        </w:rPr>
        <w:drawing>
          <wp:inline distT="0" distB="0" distL="0" distR="0" wp14:anchorId="445410AC" wp14:editId="68107A96">
            <wp:extent cx="5752465" cy="2688590"/>
            <wp:effectExtent l="0" t="0" r="635"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212" cstate="print">
                      <a:extLst>
                        <a:ext uri="{28A0092B-C50C-407E-A947-70E740481C1C}">
                          <a14:useLocalDpi xmlns:a14="http://schemas.microsoft.com/office/drawing/2010/main" val="0"/>
                        </a:ext>
                      </a:extLst>
                    </a:blip>
                    <a:srcRect/>
                    <a:stretch>
                      <a:fillRect/>
                    </a:stretch>
                  </pic:blipFill>
                  <pic:spPr bwMode="auto">
                    <a:xfrm>
                      <a:off x="0" y="0"/>
                      <a:ext cx="5752465" cy="2688590"/>
                    </a:xfrm>
                    <a:prstGeom prst="rect">
                      <a:avLst/>
                    </a:prstGeom>
                    <a:noFill/>
                    <a:ln>
                      <a:noFill/>
                    </a:ln>
                  </pic:spPr>
                </pic:pic>
              </a:graphicData>
            </a:graphic>
          </wp:inline>
        </w:drawing>
      </w:r>
    </w:p>
    <w:p w:rsidR="00383888" w:rsidRPr="000615AB" w:rsidRDefault="00383888" w:rsidP="00383888">
      <w:pPr>
        <w:rPr>
          <w:sz w:val="20"/>
        </w:rPr>
      </w:pPr>
    </w:p>
    <w:p w:rsidR="00383888" w:rsidRPr="000615AB" w:rsidRDefault="00383888" w:rsidP="00FE7D9C">
      <w:pPr>
        <w:numPr>
          <w:ilvl w:val="0"/>
          <w:numId w:val="52"/>
        </w:numPr>
        <w:tabs>
          <w:tab w:val="clear" w:pos="720"/>
          <w:tab w:val="num" w:pos="1100"/>
        </w:tabs>
        <w:ind w:left="1100" w:hanging="550"/>
        <w:jc w:val="both"/>
        <w:rPr>
          <w:sz w:val="20"/>
        </w:rPr>
      </w:pPr>
      <w:r w:rsidRPr="000615AB">
        <w:rPr>
          <w:sz w:val="20"/>
        </w:rPr>
        <w:t xml:space="preserve">La calidad, de acuerdo con el índice global, ha mejorado notablemente desde 2007 y hasta el segundo trimestre de 2011.  A partir de la segunda mitad de 2011 se observa un deterioro en la calidad, que se explica por los retrasos cada vez mayores en la nueva publicación de las solicitudes PCT, junto con los informes de búsqueda internacional. </w:t>
      </w:r>
    </w:p>
    <w:p w:rsidR="00383888" w:rsidRPr="000615AB" w:rsidRDefault="00383888" w:rsidP="00383888">
      <w:pPr>
        <w:jc w:val="both"/>
        <w:rPr>
          <w:sz w:val="20"/>
        </w:rPr>
      </w:pPr>
    </w:p>
    <w:p w:rsidR="00383888" w:rsidRPr="000615AB" w:rsidRDefault="00383888" w:rsidP="00FE7D9C">
      <w:pPr>
        <w:numPr>
          <w:ilvl w:val="0"/>
          <w:numId w:val="52"/>
        </w:numPr>
        <w:tabs>
          <w:tab w:val="clear" w:pos="720"/>
          <w:tab w:val="num" w:pos="1100"/>
        </w:tabs>
        <w:ind w:left="1100" w:hanging="550"/>
        <w:jc w:val="both"/>
        <w:rPr>
          <w:sz w:val="20"/>
        </w:rPr>
      </w:pPr>
      <w:r w:rsidRPr="000615AB">
        <w:rPr>
          <w:sz w:val="20"/>
        </w:rPr>
        <w:t xml:space="preserve">La calidad mejoró notablemente durante el primer trimestre de 2012 pero volvió a deteriorarse en el curso de los dos siguientes trimestres.  Esto se explica principalmente por la disminución del número de notificaciones de recepción de las solicitudes PCT que se transmitieron a los solicitantes en un plazo de cinco semanas, que pasó de 90,8 % en el primer trimestre a 76,3% en el tercer trimestre.  Sin embargo, a partir del cuarto </w:t>
      </w:r>
      <w:r w:rsidRPr="000615AB">
        <w:rPr>
          <w:sz w:val="20"/>
        </w:rPr>
        <w:lastRenderedPageBreak/>
        <w:t xml:space="preserve">trimestre, se dio inicio al envío automático de notificaciones de recepción a los solicitantes, poco después de que se hubieran recibido sus solicitudes, lo cual explica el 93,7% registrado a finales de año. </w:t>
      </w:r>
    </w:p>
    <w:p w:rsidR="00383888" w:rsidRPr="000615AB" w:rsidRDefault="00383888" w:rsidP="00383888">
      <w:pPr>
        <w:jc w:val="both"/>
        <w:rPr>
          <w:sz w:val="20"/>
        </w:rPr>
      </w:pPr>
    </w:p>
    <w:p w:rsidR="00383888" w:rsidRPr="000615AB" w:rsidRDefault="00383888" w:rsidP="00FE7D9C">
      <w:pPr>
        <w:numPr>
          <w:ilvl w:val="0"/>
          <w:numId w:val="52"/>
        </w:numPr>
        <w:tabs>
          <w:tab w:val="clear" w:pos="720"/>
          <w:tab w:val="num" w:pos="1100"/>
        </w:tabs>
        <w:ind w:left="1100" w:hanging="550"/>
        <w:jc w:val="both"/>
        <w:rPr>
          <w:sz w:val="20"/>
        </w:rPr>
      </w:pPr>
      <w:r w:rsidRPr="000615AB">
        <w:rPr>
          <w:sz w:val="20"/>
        </w:rPr>
        <w:t xml:space="preserve">Además, el número de solicitudes que se volvieron a publicar en un plazo de dos meses disminuyó drásticamente durante el segundo semestre de 2012.  En el segundo trimestre de 2012, el 76,6% de las solicitudes se volvieron a publicar en un plazo de 2 meses, pero este porcentaje bajó hasta el 57,7% en el último trimestre del mismo año.  </w:t>
      </w:r>
    </w:p>
    <w:p w:rsidR="00383888" w:rsidRPr="000615AB" w:rsidRDefault="00383888" w:rsidP="00383888">
      <w:pPr>
        <w:rPr>
          <w:sz w:val="20"/>
        </w:rPr>
      </w:pPr>
    </w:p>
    <w:p w:rsidR="00383888" w:rsidRPr="000615AB" w:rsidRDefault="00383888" w:rsidP="00383888">
      <w:pPr>
        <w:rPr>
          <w:i/>
          <w:sz w:val="20"/>
        </w:rPr>
      </w:pPr>
      <w:r w:rsidRPr="000615AB">
        <w:rPr>
          <w:i/>
          <w:sz w:val="20"/>
        </w:rPr>
        <w:t>Tiempo necesario para el examen de forma</w:t>
      </w:r>
    </w:p>
    <w:p w:rsidR="00383888" w:rsidRPr="000615AB" w:rsidRDefault="00383888" w:rsidP="00383888">
      <w:pPr>
        <w:rPr>
          <w:b/>
          <w:sz w:val="20"/>
        </w:rPr>
      </w:pPr>
    </w:p>
    <w:p w:rsidR="00383888" w:rsidRPr="00383888" w:rsidRDefault="00383888" w:rsidP="00FE7D9C">
      <w:pPr>
        <w:pStyle w:val="BodyText2"/>
        <w:keepNext w:val="0"/>
        <w:numPr>
          <w:ilvl w:val="0"/>
          <w:numId w:val="53"/>
        </w:numPr>
        <w:rPr>
          <w:rFonts w:cs="Arial"/>
          <w:b/>
          <w:lang w:val="es-ES"/>
        </w:rPr>
      </w:pPr>
      <w:r w:rsidRPr="00383888">
        <w:rPr>
          <w:rFonts w:cs="Arial"/>
          <w:lang w:val="es-ES"/>
        </w:rPr>
        <w:t>Este indicador refleja más detalladamente uno de los componentes del indicador global de calidad, esto es el tiempo que tarda la Oficina Internacional en enviar el formulario 301.  Este formulario se envía una vez completado el examen de forma de la solicitud. Los solicitantes agradecen que se les envíe lo antes posible, puesto que dicho formulario les permite saber si su solicitud presenta errores formales.</w:t>
      </w:r>
    </w:p>
    <w:p w:rsidR="00383888" w:rsidRPr="000615AB" w:rsidRDefault="00383888" w:rsidP="00383888">
      <w:pPr>
        <w:rPr>
          <w:b/>
          <w:sz w:val="20"/>
        </w:rPr>
      </w:pPr>
    </w:p>
    <w:p w:rsidR="00383888" w:rsidRPr="000615AB" w:rsidRDefault="00383888" w:rsidP="00383888">
      <w:r w:rsidRPr="000615AB">
        <w:t xml:space="preserve"> </w:t>
      </w:r>
      <w:r w:rsidR="00C40A11">
        <w:rPr>
          <w:noProof/>
          <w:lang w:val="en-US" w:eastAsia="en-US"/>
        </w:rPr>
        <w:drawing>
          <wp:inline distT="0" distB="0" distL="0" distR="0" wp14:anchorId="5B3BC01B" wp14:editId="1E45B011">
            <wp:extent cx="5759450" cy="257238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3" cstate="print">
                      <a:extLst>
                        <a:ext uri="{28A0092B-C50C-407E-A947-70E740481C1C}">
                          <a14:useLocalDpi xmlns:a14="http://schemas.microsoft.com/office/drawing/2010/main" val="0"/>
                        </a:ext>
                      </a:extLst>
                    </a:blip>
                    <a:srcRect/>
                    <a:stretch>
                      <a:fillRect/>
                    </a:stretch>
                  </pic:blipFill>
                  <pic:spPr bwMode="auto">
                    <a:xfrm>
                      <a:off x="0" y="0"/>
                      <a:ext cx="5759450" cy="2572385"/>
                    </a:xfrm>
                    <a:prstGeom prst="rect">
                      <a:avLst/>
                    </a:prstGeom>
                    <a:noFill/>
                    <a:ln>
                      <a:noFill/>
                    </a:ln>
                  </pic:spPr>
                </pic:pic>
              </a:graphicData>
            </a:graphic>
          </wp:inline>
        </w:drawing>
      </w:r>
    </w:p>
    <w:p w:rsidR="00383888" w:rsidRPr="000615AB" w:rsidRDefault="00383888" w:rsidP="00383888">
      <w:pPr>
        <w:rPr>
          <w:b/>
          <w:sz w:val="20"/>
        </w:rPr>
      </w:pPr>
    </w:p>
    <w:p w:rsidR="00383888" w:rsidRPr="000615AB" w:rsidRDefault="00383888" w:rsidP="00383888">
      <w:pPr>
        <w:rPr>
          <w:b/>
          <w:sz w:val="20"/>
        </w:rPr>
      </w:pPr>
    </w:p>
    <w:p w:rsidR="00383888" w:rsidRPr="000615AB" w:rsidRDefault="00383888" w:rsidP="00383888">
      <w:pPr>
        <w:rPr>
          <w:i/>
          <w:sz w:val="20"/>
        </w:rPr>
      </w:pPr>
      <w:r w:rsidRPr="000615AB">
        <w:rPr>
          <w:i/>
          <w:sz w:val="20"/>
        </w:rPr>
        <w:t>Tiempo necesario para la publicación</w:t>
      </w:r>
    </w:p>
    <w:p w:rsidR="00383888" w:rsidRPr="000615AB" w:rsidRDefault="00383888" w:rsidP="00383888">
      <w:pPr>
        <w:rPr>
          <w:sz w:val="18"/>
          <w:szCs w:val="18"/>
        </w:rPr>
      </w:pPr>
    </w:p>
    <w:p w:rsidR="00383888" w:rsidRPr="00383888" w:rsidRDefault="00383888" w:rsidP="00FE7D9C">
      <w:pPr>
        <w:pStyle w:val="BodyText2"/>
        <w:keepNext w:val="0"/>
        <w:numPr>
          <w:ilvl w:val="0"/>
          <w:numId w:val="53"/>
        </w:numPr>
        <w:rPr>
          <w:rFonts w:cs="Arial"/>
          <w:lang w:val="es-ES"/>
        </w:rPr>
      </w:pPr>
      <w:r w:rsidRPr="00383888">
        <w:rPr>
          <w:rFonts w:cs="Arial"/>
          <w:lang w:val="es-ES"/>
        </w:rPr>
        <w:t>Este indicador refleja más adecuadamente uno de los componentes del indicador global de calidad, esto es, el tiempo que tarda la Oficina Internacional en publicar la solicitud.  El artículo 21.2)a) del PCT establece que  “[…] la publicación internacional de la solicitud internacional se efectuará rápidamente tras el vencimiento de un plazo de 18 meses desde la fecha de prioridad de esa solicitud”.</w:t>
      </w:r>
    </w:p>
    <w:p w:rsidR="00383888" w:rsidRPr="00383888" w:rsidRDefault="00383888" w:rsidP="00383888">
      <w:pPr>
        <w:pStyle w:val="BodyText2"/>
        <w:keepNext w:val="0"/>
        <w:rPr>
          <w:rFonts w:cs="Arial"/>
          <w:lang w:val="es-ES"/>
        </w:rPr>
      </w:pPr>
    </w:p>
    <w:p w:rsidR="00383888" w:rsidRPr="000615AB" w:rsidRDefault="00C40A11" w:rsidP="00383888">
      <w:r>
        <w:rPr>
          <w:noProof/>
          <w:lang w:val="en-US" w:eastAsia="en-US"/>
        </w:rPr>
        <w:lastRenderedPageBreak/>
        <w:drawing>
          <wp:inline distT="0" distB="0" distL="0" distR="0" wp14:anchorId="728030FF" wp14:editId="3AE4A903">
            <wp:extent cx="5759450" cy="2722880"/>
            <wp:effectExtent l="0" t="0" r="0" b="127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5759450" cy="2722880"/>
                    </a:xfrm>
                    <a:prstGeom prst="rect">
                      <a:avLst/>
                    </a:prstGeom>
                    <a:noFill/>
                    <a:ln>
                      <a:noFill/>
                    </a:ln>
                  </pic:spPr>
                </pic:pic>
              </a:graphicData>
            </a:graphic>
          </wp:inline>
        </w:drawing>
      </w:r>
    </w:p>
    <w:p w:rsidR="00383888" w:rsidRPr="000615AB" w:rsidRDefault="00383888" w:rsidP="00383888">
      <w:pPr>
        <w:rPr>
          <w:b/>
          <w:szCs w:val="22"/>
          <w:highlight w:val="yellow"/>
        </w:rPr>
      </w:pPr>
    </w:p>
    <w:p w:rsidR="00383888" w:rsidRPr="000615AB" w:rsidRDefault="00383888" w:rsidP="00383888">
      <w:pPr>
        <w:rPr>
          <w:b/>
          <w:szCs w:val="22"/>
        </w:rPr>
      </w:pPr>
    </w:p>
    <w:p w:rsidR="00383888" w:rsidRPr="000615AB" w:rsidRDefault="00383888" w:rsidP="00383888">
      <w:pPr>
        <w:rPr>
          <w:i/>
          <w:sz w:val="20"/>
        </w:rPr>
      </w:pPr>
      <w:r w:rsidRPr="000615AB">
        <w:rPr>
          <w:i/>
          <w:sz w:val="20"/>
        </w:rPr>
        <w:t>Tiempo necesario para una nueva publicación</w:t>
      </w:r>
    </w:p>
    <w:p w:rsidR="00383888" w:rsidRPr="000615AB" w:rsidRDefault="00383888" w:rsidP="00383888">
      <w:pPr>
        <w:rPr>
          <w:sz w:val="18"/>
          <w:szCs w:val="18"/>
        </w:rPr>
      </w:pPr>
    </w:p>
    <w:p w:rsidR="00383888" w:rsidRPr="00383888" w:rsidRDefault="00383888" w:rsidP="00FE7D9C">
      <w:pPr>
        <w:pStyle w:val="BodyText2"/>
        <w:keepNext w:val="0"/>
        <w:numPr>
          <w:ilvl w:val="0"/>
          <w:numId w:val="53"/>
        </w:numPr>
        <w:rPr>
          <w:rFonts w:cs="Arial"/>
          <w:lang w:val="es-ES"/>
        </w:rPr>
      </w:pPr>
      <w:r w:rsidRPr="00383888">
        <w:rPr>
          <w:rFonts w:cs="Arial"/>
          <w:lang w:val="es-ES"/>
        </w:rPr>
        <w:t>Este indicador refleja más detalladamente uno de los componentes del indicador global de calidad, esto es, el tiempo que tarda la Oficina Internacional en llevar a cabo la nueva publicación de la solicitud, junto con el informe de búsqueda internacional.  Algunas solicitudes internacionales se publican sin su informe de búsqueda internacional, ya que las Administraciones encargadas de la búsqueda internacional los comunican con retraso.  Cuando el informe de búsqueda internacional está disponible, es necesario proceder cuanto antes a la nueva publicación de la solicitud internacional con su informe de búsqueda internacional para dar por concluida la publicación internacional.</w:t>
      </w:r>
    </w:p>
    <w:p w:rsidR="00383888" w:rsidRPr="000615AB" w:rsidRDefault="00383888" w:rsidP="00383888">
      <w:pPr>
        <w:rPr>
          <w:b/>
          <w:szCs w:val="22"/>
          <w:highlight w:val="yellow"/>
        </w:rPr>
      </w:pPr>
    </w:p>
    <w:p w:rsidR="00383888" w:rsidRPr="000615AB" w:rsidRDefault="00383888" w:rsidP="00383888">
      <w:r w:rsidRPr="000615AB">
        <w:t xml:space="preserve"> </w:t>
      </w:r>
      <w:r w:rsidR="00C40A11">
        <w:rPr>
          <w:noProof/>
          <w:lang w:val="en-US" w:eastAsia="en-US"/>
        </w:rPr>
        <w:drawing>
          <wp:inline distT="0" distB="0" distL="0" distR="0" wp14:anchorId="7134B406" wp14:editId="0DEB4584">
            <wp:extent cx="5759450" cy="263398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5" cstate="print">
                      <a:extLst>
                        <a:ext uri="{28A0092B-C50C-407E-A947-70E740481C1C}">
                          <a14:useLocalDpi xmlns:a14="http://schemas.microsoft.com/office/drawing/2010/main" val="0"/>
                        </a:ext>
                      </a:extLst>
                    </a:blip>
                    <a:srcRect/>
                    <a:stretch>
                      <a:fillRect/>
                    </a:stretch>
                  </pic:blipFill>
                  <pic:spPr bwMode="auto">
                    <a:xfrm>
                      <a:off x="0" y="0"/>
                      <a:ext cx="5759450" cy="2633980"/>
                    </a:xfrm>
                    <a:prstGeom prst="rect">
                      <a:avLst/>
                    </a:prstGeom>
                    <a:noFill/>
                    <a:ln>
                      <a:noFill/>
                    </a:ln>
                  </pic:spPr>
                </pic:pic>
              </a:graphicData>
            </a:graphic>
          </wp:inline>
        </w:drawing>
      </w:r>
    </w:p>
    <w:p w:rsidR="00383888" w:rsidRDefault="00383888" w:rsidP="00383888">
      <w:pPr>
        <w:rPr>
          <w:b/>
          <w:szCs w:val="18"/>
        </w:rPr>
      </w:pPr>
    </w:p>
    <w:p w:rsidR="00383888" w:rsidRPr="000615AB" w:rsidRDefault="00383888" w:rsidP="00383888">
      <w:pPr>
        <w:rPr>
          <w:b/>
          <w:szCs w:val="18"/>
        </w:rPr>
      </w:pPr>
    </w:p>
    <w:p w:rsidR="00383888" w:rsidRPr="000615AB" w:rsidRDefault="00383888" w:rsidP="00383888">
      <w:pPr>
        <w:rPr>
          <w:b/>
          <w:sz w:val="20"/>
          <w:szCs w:val="16"/>
        </w:rPr>
      </w:pPr>
      <w:r w:rsidRPr="000615AB">
        <w:rPr>
          <w:b/>
          <w:sz w:val="20"/>
          <w:szCs w:val="16"/>
        </w:rPr>
        <w:t xml:space="preserve">Traducción </w:t>
      </w:r>
    </w:p>
    <w:p w:rsidR="00383888" w:rsidRPr="000615AB" w:rsidRDefault="00383888" w:rsidP="00383888">
      <w:pPr>
        <w:rPr>
          <w:b/>
          <w:szCs w:val="18"/>
        </w:rPr>
      </w:pPr>
    </w:p>
    <w:p w:rsidR="00383888" w:rsidRPr="000615AB" w:rsidRDefault="00383888" w:rsidP="00383888">
      <w:pPr>
        <w:rPr>
          <w:i/>
          <w:sz w:val="20"/>
        </w:rPr>
      </w:pPr>
      <w:r w:rsidRPr="000615AB">
        <w:rPr>
          <w:i/>
          <w:sz w:val="20"/>
        </w:rPr>
        <w:t>Calidad de la traducción</w:t>
      </w:r>
    </w:p>
    <w:p w:rsidR="00383888" w:rsidRPr="000615AB" w:rsidRDefault="00383888" w:rsidP="00383888">
      <w:pPr>
        <w:rPr>
          <w:b/>
          <w:szCs w:val="18"/>
        </w:rPr>
      </w:pPr>
    </w:p>
    <w:p w:rsidR="00383888" w:rsidRPr="00383888" w:rsidRDefault="00383888" w:rsidP="00FE7D9C">
      <w:pPr>
        <w:pStyle w:val="BodyText2"/>
        <w:keepNext w:val="0"/>
        <w:numPr>
          <w:ilvl w:val="0"/>
          <w:numId w:val="53"/>
        </w:numPr>
        <w:rPr>
          <w:lang w:val="es-ES"/>
        </w:rPr>
      </w:pPr>
      <w:r w:rsidRPr="00383888">
        <w:rPr>
          <w:lang w:val="es-ES"/>
        </w:rPr>
        <w:t xml:space="preserve">Con el fin de evaluar la calidad de la traducción, se extrae una muestra aleatoria de los extractos y de los informes preparados bajo la responsabilidad de la Oficina, compuesta por un número de documentos calculado estadísticamente.  La evaluación permite determinar si una traducción es "aceptable" o "no aceptable".  El indicador engloba los resultados del control de calidad </w:t>
      </w:r>
      <w:r w:rsidRPr="00383888">
        <w:rPr>
          <w:lang w:val="es-ES"/>
        </w:rPr>
        <w:lastRenderedPageBreak/>
        <w:t xml:space="preserve">realizado por la Oficina Internacional correspondientes a todas las combinaciones lingüísticas y a todos los tipos de documentos.  Se interrumpe la colaboración con aquellas agencias cuya tasa de traducciones que se consideran "aceptables" sea sistemáticamente inferior al 80%. </w:t>
      </w:r>
    </w:p>
    <w:p w:rsidR="00383888" w:rsidRPr="000615AB" w:rsidRDefault="00383888" w:rsidP="00383888">
      <w:pPr>
        <w:jc w:val="center"/>
        <w:rPr>
          <w:szCs w:val="22"/>
        </w:rPr>
      </w:pPr>
    </w:p>
    <w:p w:rsidR="00383888" w:rsidRPr="000615AB" w:rsidRDefault="00C40A11" w:rsidP="00383888">
      <w:pPr>
        <w:jc w:val="center"/>
        <w:rPr>
          <w:szCs w:val="22"/>
        </w:rPr>
      </w:pPr>
      <w:r>
        <w:rPr>
          <w:noProof/>
          <w:lang w:val="en-US" w:eastAsia="en-US"/>
        </w:rPr>
        <w:drawing>
          <wp:inline distT="0" distB="0" distL="0" distR="0" wp14:anchorId="15D68BAF" wp14:editId="62B96AED">
            <wp:extent cx="5752465" cy="3050540"/>
            <wp:effectExtent l="19050" t="19050" r="19685" b="1651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5752465" cy="3050540"/>
                    </a:xfrm>
                    <a:prstGeom prst="rect">
                      <a:avLst/>
                    </a:prstGeom>
                    <a:noFill/>
                    <a:ln w="6350" cmpd="sng">
                      <a:solidFill>
                        <a:srgbClr val="000000"/>
                      </a:solidFill>
                      <a:miter lim="800000"/>
                      <a:headEnd/>
                      <a:tailEnd/>
                    </a:ln>
                    <a:effectLst/>
                  </pic:spPr>
                </pic:pic>
              </a:graphicData>
            </a:graphic>
          </wp:inline>
        </w:drawing>
      </w:r>
    </w:p>
    <w:p w:rsidR="00383888" w:rsidRPr="000615AB" w:rsidRDefault="00383888" w:rsidP="00383888">
      <w:pPr>
        <w:rPr>
          <w:sz w:val="20"/>
        </w:rPr>
      </w:pPr>
    </w:p>
    <w:p w:rsidR="00383888" w:rsidRPr="000615AB" w:rsidRDefault="00383888" w:rsidP="00383888">
      <w:pPr>
        <w:keepNext/>
        <w:keepLines/>
        <w:rPr>
          <w:i/>
          <w:sz w:val="20"/>
        </w:rPr>
      </w:pPr>
      <w:r w:rsidRPr="000615AB">
        <w:rPr>
          <w:i/>
          <w:sz w:val="20"/>
        </w:rPr>
        <w:t>Tiempo necesario para la traducción de los informes</w:t>
      </w:r>
    </w:p>
    <w:p w:rsidR="00383888" w:rsidRPr="000615AB" w:rsidRDefault="00383888" w:rsidP="00383888">
      <w:pPr>
        <w:keepNext/>
        <w:keepLines/>
        <w:rPr>
          <w:b/>
          <w:sz w:val="20"/>
        </w:rPr>
      </w:pPr>
    </w:p>
    <w:p w:rsidR="00383888" w:rsidRPr="00383888" w:rsidRDefault="00383888" w:rsidP="00FE7D9C">
      <w:pPr>
        <w:pStyle w:val="BodyText2"/>
        <w:keepLines/>
        <w:numPr>
          <w:ilvl w:val="0"/>
          <w:numId w:val="53"/>
        </w:numPr>
        <w:rPr>
          <w:lang w:val="es-ES"/>
        </w:rPr>
      </w:pPr>
      <w:r w:rsidRPr="00383888">
        <w:rPr>
          <w:lang w:val="es-ES"/>
        </w:rPr>
        <w:t xml:space="preserve">Con este indicador se busca brindar información sobre el tiempo que tarda la Oficina Internacional en poner la traducción del informe sobre patentabilidad a disposición de los solicitantes y las Oficinas.  La Oficina Internacional tiene la intención de aumentar el porcentaje de informes sobre patentabilidad entregados tras el vencimiento de un plazo 30 meses desde la fecha de prioridad de la solicitud, pero dicho aumento será progresivo, dadas las consecuencias presupuestarias conexas. </w:t>
      </w:r>
    </w:p>
    <w:p w:rsidR="00383888" w:rsidRPr="000615AB" w:rsidRDefault="00383888" w:rsidP="00383888">
      <w:pPr>
        <w:rPr>
          <w:szCs w:val="22"/>
        </w:rPr>
      </w:pPr>
    </w:p>
    <w:p w:rsidR="00383888" w:rsidRPr="000615AB" w:rsidRDefault="00C40A11" w:rsidP="00383888">
      <w:pPr>
        <w:jc w:val="center"/>
        <w:rPr>
          <w:szCs w:val="22"/>
        </w:rPr>
      </w:pPr>
      <w:r>
        <w:rPr>
          <w:noProof/>
          <w:lang w:val="en-US" w:eastAsia="en-US"/>
        </w:rPr>
        <w:drawing>
          <wp:inline distT="0" distB="0" distL="0" distR="0" wp14:anchorId="7E47E255" wp14:editId="26C2C7B9">
            <wp:extent cx="5527040" cy="3698240"/>
            <wp:effectExtent l="0" t="0" r="0"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5527040" cy="3698240"/>
                    </a:xfrm>
                    <a:prstGeom prst="rect">
                      <a:avLst/>
                    </a:prstGeom>
                    <a:noFill/>
                    <a:ln>
                      <a:noFill/>
                    </a:ln>
                  </pic:spPr>
                </pic:pic>
              </a:graphicData>
            </a:graphic>
          </wp:inline>
        </w:drawing>
      </w:r>
    </w:p>
    <w:p w:rsidR="00383888" w:rsidRPr="000127AA" w:rsidRDefault="00383888" w:rsidP="00383888">
      <w:pPr>
        <w:rPr>
          <w:sz w:val="20"/>
        </w:rPr>
      </w:pPr>
    </w:p>
    <w:p w:rsidR="00383888" w:rsidRPr="000127AA" w:rsidRDefault="00383888" w:rsidP="00383888">
      <w:pPr>
        <w:rPr>
          <w:b/>
          <w:sz w:val="20"/>
        </w:rPr>
      </w:pPr>
    </w:p>
    <w:p w:rsidR="00383888" w:rsidRPr="000615AB" w:rsidRDefault="00383888" w:rsidP="00383888">
      <w:pPr>
        <w:rPr>
          <w:b/>
          <w:sz w:val="20"/>
          <w:szCs w:val="16"/>
        </w:rPr>
      </w:pPr>
      <w:r w:rsidRPr="000615AB">
        <w:rPr>
          <w:b/>
          <w:sz w:val="20"/>
          <w:szCs w:val="16"/>
        </w:rPr>
        <w:lastRenderedPageBreak/>
        <w:t>PCT IS</w:t>
      </w:r>
    </w:p>
    <w:p w:rsidR="00383888" w:rsidRPr="000615AB" w:rsidRDefault="00383888" w:rsidP="00383888">
      <w:pPr>
        <w:rPr>
          <w:b/>
          <w:sz w:val="20"/>
        </w:rPr>
      </w:pPr>
    </w:p>
    <w:p w:rsidR="00383888" w:rsidRPr="000615AB" w:rsidRDefault="00383888" w:rsidP="00383888">
      <w:pPr>
        <w:rPr>
          <w:i/>
          <w:sz w:val="20"/>
        </w:rPr>
      </w:pPr>
      <w:r w:rsidRPr="000615AB">
        <w:rPr>
          <w:i/>
          <w:sz w:val="20"/>
        </w:rPr>
        <w:t>Calidad del desarrollo de programas informáticos</w:t>
      </w:r>
    </w:p>
    <w:p w:rsidR="00383888" w:rsidRPr="000615AB" w:rsidRDefault="00383888" w:rsidP="00383888">
      <w:pPr>
        <w:rPr>
          <w:sz w:val="20"/>
        </w:rPr>
      </w:pPr>
    </w:p>
    <w:p w:rsidR="00383888" w:rsidRPr="000615AB" w:rsidRDefault="00383888" w:rsidP="00FE7D9C">
      <w:pPr>
        <w:pStyle w:val="BodyText2"/>
        <w:keepNext w:val="0"/>
        <w:numPr>
          <w:ilvl w:val="0"/>
          <w:numId w:val="53"/>
        </w:numPr>
        <w:rPr>
          <w:rFonts w:cs="Arial"/>
        </w:rPr>
      </w:pPr>
      <w:r w:rsidRPr="00383888">
        <w:rPr>
          <w:rFonts w:cs="Arial"/>
          <w:lang w:val="es-ES"/>
        </w:rPr>
        <w:t xml:space="preserve">A partir del comienzo del nuevo ejercicio presupuestario correspondiente a 2014/2015, la calidad del desarrollo de programas informáticos de la Oficina Internacional en el marco del PCT se medirá con un nuevo indicador de rendimiento llamado "Calidad del desarrollo de programas informáticos".  Se establecerán procedimientos e instrumentos que permitirán registrar el grado de esfuerzo necesario para cada una de las tareas de desarrollo en diferentes fases del proceso.  En el marco de este enfoque, los productos desarrollados que no requieran modificaciones o requieran ligeras modificaciones se considerarán "de alta calidad", mientras que aquellos que requieran importantes modificaciones se considerarán "de baja calidad".  </w:t>
      </w:r>
      <w:r w:rsidRPr="000615AB">
        <w:rPr>
          <w:rFonts w:cs="Arial"/>
        </w:rPr>
        <w:t>Así, se entenderá por calidad:</w:t>
      </w:r>
    </w:p>
    <w:p w:rsidR="00383888" w:rsidRPr="000615AB" w:rsidRDefault="00383888" w:rsidP="00383888">
      <w:pPr>
        <w:rPr>
          <w:sz w:val="20"/>
        </w:rPr>
      </w:pPr>
    </w:p>
    <w:p w:rsidR="00383888" w:rsidRPr="000615AB" w:rsidRDefault="00383888" w:rsidP="00383888">
      <w:pPr>
        <w:jc w:val="center"/>
        <w:rPr>
          <w:sz w:val="20"/>
        </w:rPr>
      </w:pPr>
      <w:r w:rsidRPr="000615AB">
        <w:rPr>
          <w:sz w:val="20"/>
        </w:rPr>
        <w:t xml:space="preserve">Calidad del desarrollo de programas informáticos = </w:t>
      </w:r>
      <w:r w:rsidRPr="000615AB">
        <w:rPr>
          <w:sz w:val="20"/>
          <w:u w:val="single"/>
        </w:rPr>
        <w:t>Total de esfuerzo para el trabajo inicial</w:t>
      </w:r>
    </w:p>
    <w:p w:rsidR="00383888" w:rsidRPr="000615AB" w:rsidRDefault="00383888" w:rsidP="00383888">
      <w:pPr>
        <w:tabs>
          <w:tab w:val="left" w:pos="5954"/>
        </w:tabs>
        <w:rPr>
          <w:sz w:val="20"/>
        </w:rPr>
      </w:pPr>
      <w:r w:rsidRPr="000615AB">
        <w:rPr>
          <w:sz w:val="20"/>
        </w:rPr>
        <w:tab/>
        <w:t>Total de esfuerzo</w:t>
      </w:r>
    </w:p>
    <w:p w:rsidR="00383888" w:rsidRPr="00383888" w:rsidRDefault="00383888" w:rsidP="00383888">
      <w:pPr>
        <w:pStyle w:val="BodyText2"/>
        <w:keepNext w:val="0"/>
        <w:ind w:left="3630" w:hanging="3630"/>
        <w:rPr>
          <w:rFonts w:cs="Arial"/>
          <w:lang w:val="es-ES"/>
        </w:rPr>
      </w:pPr>
    </w:p>
    <w:p w:rsidR="00383888" w:rsidRPr="00383888" w:rsidRDefault="00383888" w:rsidP="00383888">
      <w:pPr>
        <w:pStyle w:val="BodyText2"/>
        <w:keepNext w:val="0"/>
        <w:rPr>
          <w:rFonts w:cs="Arial"/>
          <w:lang w:val="es-ES"/>
        </w:rPr>
      </w:pPr>
      <w:r w:rsidRPr="00383888">
        <w:rPr>
          <w:rFonts w:cs="Arial"/>
          <w:lang w:val="es-ES"/>
        </w:rPr>
        <w:t xml:space="preserve">Cuanto la medición más se acerque al 100%, menor será el grado de modificación que sufra una función para cumplir con los requisitos operativos. </w:t>
      </w:r>
    </w:p>
    <w:p w:rsidR="00383888" w:rsidRPr="000615AB" w:rsidRDefault="00383888" w:rsidP="00383888">
      <w:pPr>
        <w:rPr>
          <w:sz w:val="20"/>
        </w:rPr>
      </w:pPr>
    </w:p>
    <w:p w:rsidR="00383888" w:rsidRPr="000615AB" w:rsidRDefault="00383888" w:rsidP="00383888">
      <w:pPr>
        <w:rPr>
          <w:i/>
          <w:sz w:val="20"/>
        </w:rPr>
      </w:pPr>
      <w:r w:rsidRPr="000615AB">
        <w:rPr>
          <w:i/>
          <w:sz w:val="20"/>
        </w:rPr>
        <w:t>Niveles de los servicios prestados por los Sistemas de Información</w:t>
      </w:r>
    </w:p>
    <w:p w:rsidR="00383888" w:rsidRPr="000615AB" w:rsidRDefault="00383888" w:rsidP="00383888">
      <w:pPr>
        <w:rPr>
          <w:i/>
          <w:sz w:val="20"/>
        </w:rPr>
      </w:pPr>
    </w:p>
    <w:p w:rsidR="00383888" w:rsidRPr="00383888" w:rsidRDefault="00383888" w:rsidP="00FE7D9C">
      <w:pPr>
        <w:pStyle w:val="BodyText2"/>
        <w:keepNext w:val="0"/>
        <w:numPr>
          <w:ilvl w:val="0"/>
          <w:numId w:val="53"/>
        </w:numPr>
        <w:rPr>
          <w:rFonts w:cs="Arial"/>
          <w:sz w:val="18"/>
          <w:szCs w:val="18"/>
          <w:lang w:val="es-ES"/>
        </w:rPr>
      </w:pPr>
      <w:r w:rsidRPr="00383888">
        <w:rPr>
          <w:rFonts w:cs="Arial"/>
          <w:lang w:val="es-ES"/>
        </w:rPr>
        <w:t>A partir del comienzo del nuevo ejercicio presupuestario correspondiente a 2014/2015, los niveles de servicio de los Sistemas de Información del PCT en la Oficina Internacional se medirán con un nuevo indicador de rendimiento llamado "niveles de los servicios prestados por los Sistemas de Información".  Se establecerán procedimientos e instrumentos que permitirán registrar los parámetros necesarios para medir los elementos que conforman este indicador compuesto.</w:t>
      </w:r>
    </w:p>
    <w:p w:rsidR="00383888" w:rsidRPr="000615AB" w:rsidRDefault="00383888" w:rsidP="00383888">
      <w:pPr>
        <w:rPr>
          <w:sz w:val="18"/>
          <w:szCs w:val="18"/>
        </w:rPr>
      </w:pPr>
    </w:p>
    <w:p w:rsidR="00383888" w:rsidRPr="00383888" w:rsidRDefault="00383888" w:rsidP="00FE7D9C">
      <w:pPr>
        <w:pStyle w:val="BodyText2"/>
        <w:keepNext w:val="0"/>
        <w:numPr>
          <w:ilvl w:val="0"/>
          <w:numId w:val="53"/>
        </w:numPr>
        <w:rPr>
          <w:rFonts w:cs="Arial"/>
          <w:lang w:val="es-ES"/>
        </w:rPr>
      </w:pPr>
      <w:r w:rsidRPr="00383888">
        <w:rPr>
          <w:rFonts w:cs="Arial"/>
          <w:lang w:val="es-ES"/>
        </w:rPr>
        <w:t>Los niveles de los servicios prestados por los Sistemas de Información se calcularán sobre la base del promedio ponderado de cinco indicadores de funcionamiento, es decir:  1) el tiempo promedio necesario para resolver incidentes;  2) el tiempo promedio necesario para que los documentos recibidos figuren en las listas de trabajo de Edossier</w:t>
      </w:r>
      <w:r w:rsidRPr="000615AB">
        <w:rPr>
          <w:rStyle w:val="FootnoteReference"/>
          <w:rFonts w:cs="Arial"/>
        </w:rPr>
        <w:footnoteReference w:id="12"/>
      </w:r>
      <w:r w:rsidRPr="00383888">
        <w:rPr>
          <w:rFonts w:cs="Arial"/>
          <w:lang w:val="es-ES"/>
        </w:rPr>
        <w:t xml:space="preserve">;  3) el índice de tareas de tratamiento por lotes finalizadas con éxito;  4) la disponibilidad del sistema Edossier;  y, 5) la disponibilidad del sistema electrónico del PCT.  Los porcentajes servirán de escala común de medición para todos los indicadores que forman el conjunto, con el fin de obtener un único resultado compuesto mediante la combinación de todos los resultados individuales.  Cuanto el resultado más se acerque al 100%, mejor será el nivel de los servicios correspondiente a ese indicador.  </w:t>
      </w:r>
    </w:p>
    <w:p w:rsidR="00383888" w:rsidRPr="000615AB" w:rsidRDefault="00383888" w:rsidP="00383888">
      <w:pPr>
        <w:rPr>
          <w:b/>
          <w:sz w:val="20"/>
          <w:szCs w:val="16"/>
        </w:rPr>
      </w:pPr>
    </w:p>
    <w:p w:rsidR="00383888" w:rsidRPr="000615AB" w:rsidRDefault="00383888" w:rsidP="00383888">
      <w:pPr>
        <w:rPr>
          <w:b/>
          <w:sz w:val="20"/>
          <w:szCs w:val="16"/>
        </w:rPr>
      </w:pPr>
      <w:r w:rsidRPr="000615AB">
        <w:rPr>
          <w:b/>
          <w:sz w:val="20"/>
          <w:szCs w:val="16"/>
        </w:rPr>
        <w:t>La Oficina Internacional en calidad de Oficina receptora</w:t>
      </w:r>
    </w:p>
    <w:p w:rsidR="00383888" w:rsidRPr="000615AB" w:rsidRDefault="00383888" w:rsidP="00383888">
      <w:pPr>
        <w:rPr>
          <w:b/>
          <w:sz w:val="20"/>
          <w:szCs w:val="16"/>
        </w:rPr>
      </w:pPr>
    </w:p>
    <w:p w:rsidR="00383888" w:rsidRPr="000615AB" w:rsidRDefault="00383888" w:rsidP="00383888">
      <w:pPr>
        <w:rPr>
          <w:i/>
          <w:sz w:val="20"/>
        </w:rPr>
      </w:pPr>
      <w:r w:rsidRPr="000615AB">
        <w:rPr>
          <w:i/>
          <w:sz w:val="20"/>
        </w:rPr>
        <w:t xml:space="preserve">Presentación de solicitudes </w:t>
      </w:r>
    </w:p>
    <w:p w:rsidR="00383888" w:rsidRPr="000615AB" w:rsidRDefault="00383888" w:rsidP="00383888">
      <w:pPr>
        <w:rPr>
          <w:b/>
          <w:szCs w:val="18"/>
        </w:rPr>
      </w:pPr>
    </w:p>
    <w:p w:rsidR="00383888" w:rsidRPr="00383888" w:rsidRDefault="00383888" w:rsidP="00FE7D9C">
      <w:pPr>
        <w:pStyle w:val="BodyText2"/>
        <w:keepNext w:val="0"/>
        <w:numPr>
          <w:ilvl w:val="0"/>
          <w:numId w:val="53"/>
        </w:numPr>
        <w:rPr>
          <w:lang w:val="es-ES"/>
        </w:rPr>
      </w:pPr>
      <w:r w:rsidRPr="00383888">
        <w:rPr>
          <w:lang w:val="es-ES"/>
        </w:rPr>
        <w:t>En este cuadro se muestra la actividad de presentación de solicitudes PCT con respecto a las diez principales oficinas receptoras desde los últimos cinco años hasta 2012.  En principio, las solicitudes PCT se presentan en la oficina de patentes del país de residencia del solicitante o en una oficina de patentes regional con las competencias jurisdiccionales correspondientes al lugar de residencia del solicitante.  La Oficina Internacional tiene competencia para cumplir la función de Oficina receptora de los solicitantes de todos los Estados Contratantes del PCT.  En el cuadro se muestra también la evolución en la presentación de solicitudes en la Oficina receptora/Oficina Internacional, el cómputo de su actividad en comparación con otras oficinas receptoras, así como su cuota de mercado.</w:t>
      </w:r>
    </w:p>
    <w:p w:rsidR="00383888" w:rsidRPr="000615AB" w:rsidRDefault="00383888" w:rsidP="00383888">
      <w:pPr>
        <w:jc w:val="both"/>
        <w:rPr>
          <w:sz w:val="18"/>
          <w:szCs w:val="22"/>
        </w:rPr>
      </w:pPr>
    </w:p>
    <w:p w:rsidR="00383888" w:rsidRPr="000615AB" w:rsidRDefault="00C40A11" w:rsidP="00383888">
      <w:r>
        <w:rPr>
          <w:noProof/>
          <w:lang w:val="en-US" w:eastAsia="en-US"/>
        </w:rPr>
        <w:lastRenderedPageBreak/>
        <w:drawing>
          <wp:inline distT="0" distB="0" distL="0" distR="0" wp14:anchorId="1974CCD1" wp14:editId="30E221C7">
            <wp:extent cx="5759450" cy="2504440"/>
            <wp:effectExtent l="0" t="0" r="0"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5759450" cy="2504440"/>
                    </a:xfrm>
                    <a:prstGeom prst="rect">
                      <a:avLst/>
                    </a:prstGeom>
                    <a:noFill/>
                    <a:ln>
                      <a:noFill/>
                    </a:ln>
                  </pic:spPr>
                </pic:pic>
              </a:graphicData>
            </a:graphic>
          </wp:inline>
        </w:drawing>
      </w:r>
    </w:p>
    <w:p w:rsidR="00383888" w:rsidRPr="000615AB" w:rsidRDefault="00383888" w:rsidP="00383888">
      <w:pPr>
        <w:rPr>
          <w:sz w:val="18"/>
          <w:szCs w:val="22"/>
        </w:rPr>
      </w:pPr>
    </w:p>
    <w:p w:rsidR="00383888" w:rsidRPr="00383888" w:rsidRDefault="00383888" w:rsidP="00FE7D9C">
      <w:pPr>
        <w:pStyle w:val="BodyText2"/>
        <w:keepNext w:val="0"/>
        <w:numPr>
          <w:ilvl w:val="0"/>
          <w:numId w:val="53"/>
        </w:numPr>
        <w:rPr>
          <w:rFonts w:cs="Arial"/>
          <w:lang w:val="es-ES"/>
        </w:rPr>
      </w:pPr>
      <w:r w:rsidRPr="00383888">
        <w:rPr>
          <w:rFonts w:cs="Arial"/>
          <w:lang w:val="es-ES"/>
        </w:rPr>
        <w:t xml:space="preserve">A partir del comienzo del nuevo ejercicio presupuestario correspondiente a 2014/2015, se aplicarán dos nuevos indicadores de rendimiento a la Oficina receptora/Oficina Internacional:  </w:t>
      </w:r>
    </w:p>
    <w:p w:rsidR="00383888" w:rsidRPr="00383888" w:rsidRDefault="00383888" w:rsidP="00383888">
      <w:pPr>
        <w:pStyle w:val="PlainText"/>
        <w:ind w:left="567"/>
        <w:rPr>
          <w:rFonts w:ascii="Arial" w:hAnsi="Arial" w:cs="Arial"/>
          <w:lang w:val="es-ES"/>
        </w:rPr>
      </w:pPr>
    </w:p>
    <w:p w:rsidR="00383888" w:rsidRPr="00383888" w:rsidRDefault="00383888" w:rsidP="00383888">
      <w:pPr>
        <w:pStyle w:val="PlainText"/>
        <w:rPr>
          <w:rFonts w:ascii="Arial" w:hAnsi="Arial" w:cs="Arial"/>
          <w:lang w:val="es-ES"/>
        </w:rPr>
      </w:pPr>
      <w:r w:rsidRPr="00383888">
        <w:rPr>
          <w:rFonts w:ascii="Arial" w:hAnsi="Arial" w:cs="Arial"/>
          <w:i/>
          <w:lang w:val="es-ES"/>
        </w:rPr>
        <w:t xml:space="preserve">Tiempo necesario para la notificación de la fecha de presentación de la solicitud internacional </w:t>
      </w:r>
    </w:p>
    <w:p w:rsidR="00383888" w:rsidRPr="00383888" w:rsidRDefault="00383888" w:rsidP="00383888">
      <w:pPr>
        <w:pStyle w:val="PlainText"/>
        <w:rPr>
          <w:rFonts w:ascii="Arial" w:hAnsi="Arial" w:cs="Arial"/>
          <w:lang w:val="es-ES"/>
        </w:rPr>
      </w:pPr>
    </w:p>
    <w:p w:rsidR="00383888" w:rsidRPr="00383888" w:rsidRDefault="00383888" w:rsidP="00FE7D9C">
      <w:pPr>
        <w:pStyle w:val="BodyText2"/>
        <w:keepNext w:val="0"/>
        <w:numPr>
          <w:ilvl w:val="0"/>
          <w:numId w:val="53"/>
        </w:numPr>
        <w:rPr>
          <w:rFonts w:cs="Arial"/>
          <w:lang w:val="es-ES"/>
        </w:rPr>
      </w:pPr>
      <w:r w:rsidRPr="00383888">
        <w:rPr>
          <w:rFonts w:cs="Arial"/>
          <w:lang w:val="es-ES"/>
        </w:rPr>
        <w:t>Este indicador refleja el tiempo que tarda la Oficina receptora/Oficina Internacional en enviar el formulario 105.  Este formulario se envía una vez otorgada la fecha de presentación internacional.  Los solicitantes agradecen que se les envíe lo antes posible, puesto que la solicitud internacional surtirá el mismo efecto que la solicitud nacional regular presentada en cada uno de los Estados designados a partir de la fecha de presentación internacional, que será considerada como la fecha de presentación efectiva en cada Estado designado.</w:t>
      </w:r>
    </w:p>
    <w:p w:rsidR="00383888" w:rsidRPr="00383888" w:rsidRDefault="00383888" w:rsidP="00383888">
      <w:pPr>
        <w:pStyle w:val="PlainText"/>
        <w:ind w:left="567"/>
        <w:rPr>
          <w:rFonts w:ascii="Arial" w:hAnsi="Arial" w:cs="Arial"/>
          <w:lang w:val="es-ES"/>
        </w:rPr>
      </w:pPr>
    </w:p>
    <w:p w:rsidR="00383888" w:rsidRPr="00383888" w:rsidRDefault="00383888" w:rsidP="00383888">
      <w:pPr>
        <w:pStyle w:val="PlainText"/>
        <w:keepNext/>
        <w:keepLines/>
        <w:rPr>
          <w:rFonts w:ascii="Arial" w:hAnsi="Arial" w:cs="Arial"/>
          <w:i/>
          <w:lang w:val="es-ES"/>
        </w:rPr>
      </w:pPr>
      <w:r w:rsidRPr="00383888">
        <w:rPr>
          <w:rFonts w:ascii="Arial" w:hAnsi="Arial" w:cs="Arial"/>
          <w:i/>
          <w:lang w:val="es-ES"/>
        </w:rPr>
        <w:t xml:space="preserve">Tiempo necesario para la transmisión de la copia para la búsqueda </w:t>
      </w:r>
    </w:p>
    <w:p w:rsidR="00383888" w:rsidRPr="00383888" w:rsidRDefault="00383888" w:rsidP="00383888">
      <w:pPr>
        <w:pStyle w:val="PlainText"/>
        <w:keepNext/>
        <w:keepLines/>
        <w:ind w:left="567"/>
        <w:rPr>
          <w:rFonts w:ascii="Arial" w:hAnsi="Arial" w:cs="Arial"/>
          <w:lang w:val="es-ES"/>
        </w:rPr>
      </w:pPr>
    </w:p>
    <w:p w:rsidR="00383888" w:rsidRPr="00383888" w:rsidRDefault="00383888" w:rsidP="00FE7D9C">
      <w:pPr>
        <w:pStyle w:val="BodyText2"/>
        <w:keepLines/>
        <w:numPr>
          <w:ilvl w:val="0"/>
          <w:numId w:val="53"/>
        </w:numPr>
        <w:rPr>
          <w:rFonts w:cs="Arial"/>
          <w:lang w:val="es-ES"/>
        </w:rPr>
      </w:pPr>
      <w:r w:rsidRPr="00383888">
        <w:rPr>
          <w:rFonts w:cs="Arial"/>
          <w:lang w:val="es-ES"/>
        </w:rPr>
        <w:t>Este indicador refleja el tiempo que tarda la Oficina receptora/Oficina Internacional en transmitir las copias para la búsqueda a las Administraciones encargadas de la búsqueda internacional.  La copia para la búsqueda debe ser transmitida lo antes posible tras el pago de la tasa, para que la Administración encargada de la búsqueda internacional pueda elaborar el informe sobre la búsqueda internacional dentro de los plazos dispuestos en el Reglamento del PCT.  Los retrasos a la hora de transmitir las copias para la búsqueda inciden negativamente en la capacidad de las Administraciones encargadas de la búsqueda internacional de cumplir con dichos plazos.</w:t>
      </w:r>
    </w:p>
    <w:p w:rsidR="00383888" w:rsidRPr="000615AB" w:rsidRDefault="00383888" w:rsidP="00383888">
      <w:pPr>
        <w:rPr>
          <w:sz w:val="20"/>
        </w:rPr>
      </w:pPr>
    </w:p>
    <w:p w:rsidR="00383888" w:rsidRPr="000615AB" w:rsidRDefault="00383888" w:rsidP="00383888">
      <w:pPr>
        <w:rPr>
          <w:sz w:val="20"/>
        </w:rPr>
        <w:sectPr w:rsidR="00383888" w:rsidRPr="000615AB" w:rsidSect="00B47699">
          <w:pgSz w:w="11907" w:h="16840" w:code="9"/>
          <w:pgMar w:top="567" w:right="1418" w:bottom="1418" w:left="1418" w:header="510" w:footer="851" w:gutter="0"/>
          <w:cols w:space="720"/>
        </w:sectPr>
      </w:pPr>
    </w:p>
    <w:p w:rsidR="00383888" w:rsidRPr="00C3705E" w:rsidRDefault="00383888" w:rsidP="00383888">
      <w:pPr>
        <w:pStyle w:val="Heading2"/>
        <w:tabs>
          <w:tab w:val="left" w:pos="1418"/>
        </w:tabs>
        <w:ind w:left="1418" w:hanging="1418"/>
        <w:rPr>
          <w:b/>
          <w:caps w:val="0"/>
          <w:szCs w:val="24"/>
          <w:lang w:val="es-ES_tradnl"/>
        </w:rPr>
      </w:pPr>
      <w:bookmarkStart w:id="107" w:name="_Toc358816729"/>
      <w:r w:rsidRPr="00C3705E">
        <w:rPr>
          <w:b/>
          <w:caps w:val="0"/>
          <w:szCs w:val="24"/>
          <w:lang w:val="es-ES_tradnl"/>
        </w:rPr>
        <w:lastRenderedPageBreak/>
        <w:t>ANEXO VI.</w:t>
      </w:r>
      <w:r w:rsidRPr="00C3705E">
        <w:rPr>
          <w:b/>
          <w:caps w:val="0"/>
          <w:szCs w:val="24"/>
          <w:lang w:val="es-ES_tradnl"/>
        </w:rPr>
        <w:tab/>
        <w:t>INDICADORES DE LAS OPERACIONES DE LOS SISTEMAS DE MADRID Y DE LISBOA</w:t>
      </w:r>
      <w:bookmarkEnd w:id="107"/>
    </w:p>
    <w:p w:rsidR="00383888" w:rsidRPr="000615AB" w:rsidRDefault="00383888" w:rsidP="00383888">
      <w:pPr>
        <w:rPr>
          <w:sz w:val="20"/>
        </w:rPr>
      </w:pPr>
    </w:p>
    <w:p w:rsidR="00383888" w:rsidRPr="000615AB" w:rsidRDefault="00383888" w:rsidP="00383888">
      <w:pPr>
        <w:rPr>
          <w:sz w:val="20"/>
        </w:rPr>
      </w:pPr>
    </w:p>
    <w:p w:rsidR="00383888" w:rsidRPr="000615AB" w:rsidRDefault="00383888" w:rsidP="00383888">
      <w:pPr>
        <w:tabs>
          <w:tab w:val="left" w:pos="0"/>
        </w:tabs>
        <w:jc w:val="center"/>
        <w:rPr>
          <w:bCs/>
          <w:sz w:val="20"/>
        </w:rPr>
      </w:pPr>
      <w:r w:rsidRPr="000615AB">
        <w:rPr>
          <w:bCs/>
          <w:sz w:val="20"/>
        </w:rPr>
        <w:t xml:space="preserve">INDICADORES DE RENDIMIENTO CON RESPECTO AL RESULTADO PREVISTO </w:t>
      </w:r>
    </w:p>
    <w:p w:rsidR="00383888" w:rsidRPr="000615AB" w:rsidRDefault="00383888" w:rsidP="00383888">
      <w:pPr>
        <w:tabs>
          <w:tab w:val="left" w:pos="0"/>
        </w:tabs>
        <w:jc w:val="center"/>
        <w:rPr>
          <w:bCs/>
          <w:sz w:val="20"/>
        </w:rPr>
      </w:pPr>
      <w:r w:rsidRPr="000615AB">
        <w:rPr>
          <w:sz w:val="20"/>
        </w:rPr>
        <w:t>“MEJORA DE LA PRODUCTIVIDAD Y DE LA CALIDAD DE LOS SERVICIOS EN LAS OPERACIONES DE</w:t>
      </w:r>
      <w:r w:rsidRPr="000615AB">
        <w:rPr>
          <w:bCs/>
          <w:sz w:val="20"/>
        </w:rPr>
        <w:t xml:space="preserve"> LOS SISTEMAS DE MADRID Y DE LISBOA”</w:t>
      </w:r>
    </w:p>
    <w:p w:rsidR="00383888" w:rsidRPr="000615AB" w:rsidRDefault="00383888" w:rsidP="00383888">
      <w:pPr>
        <w:rPr>
          <w:bCs/>
        </w:rPr>
      </w:pPr>
    </w:p>
    <w:p w:rsidR="00383888" w:rsidRPr="000615AB" w:rsidRDefault="00383888" w:rsidP="00383888">
      <w:pPr>
        <w:rPr>
          <w:bCs/>
        </w:rPr>
      </w:pPr>
    </w:p>
    <w:p w:rsidR="00383888" w:rsidRPr="000615AB" w:rsidRDefault="00383888" w:rsidP="00383888">
      <w:pPr>
        <w:jc w:val="both"/>
        <w:rPr>
          <w:b/>
          <w:sz w:val="20"/>
        </w:rPr>
      </w:pPr>
      <w:r w:rsidRPr="000615AB">
        <w:rPr>
          <w:b/>
          <w:sz w:val="20"/>
        </w:rPr>
        <w:t>Sistema de Madrid: actividades de la Oficina Internacional relativas al registro</w:t>
      </w:r>
    </w:p>
    <w:p w:rsidR="00383888" w:rsidRPr="000615AB" w:rsidRDefault="00383888" w:rsidP="00383888">
      <w:pPr>
        <w:jc w:val="both"/>
        <w:rPr>
          <w:sz w:val="20"/>
        </w:rPr>
      </w:pPr>
    </w:p>
    <w:p w:rsidR="00383888" w:rsidRPr="000615AB" w:rsidRDefault="00383888" w:rsidP="00FE7D9C">
      <w:pPr>
        <w:numPr>
          <w:ilvl w:val="0"/>
          <w:numId w:val="56"/>
        </w:numPr>
        <w:jc w:val="both"/>
        <w:rPr>
          <w:sz w:val="20"/>
        </w:rPr>
      </w:pPr>
      <w:r w:rsidRPr="000615AB">
        <w:rPr>
          <w:sz w:val="20"/>
        </w:rPr>
        <w:t>La labor de la Oficina Internacional en el marco del sistema de Madrid se articula en torno a tres esferas:  la adquisición y el mantenimiento de derechos;  las decisiones de las Partes Contratantes designadas;  y las modificaciones aportadas al Registro internacional, así como la facilitación de información, como ser resúmenes estadísticos o de extractos del Registro.</w:t>
      </w:r>
    </w:p>
    <w:p w:rsidR="00383888" w:rsidRPr="000615AB" w:rsidRDefault="00383888" w:rsidP="00383888">
      <w:pPr>
        <w:jc w:val="both"/>
        <w:rPr>
          <w:sz w:val="20"/>
        </w:rPr>
      </w:pPr>
    </w:p>
    <w:p w:rsidR="00383888" w:rsidRPr="000615AB" w:rsidRDefault="00383888" w:rsidP="00FE7D9C">
      <w:pPr>
        <w:numPr>
          <w:ilvl w:val="0"/>
          <w:numId w:val="56"/>
        </w:numPr>
        <w:jc w:val="both"/>
        <w:rPr>
          <w:sz w:val="20"/>
        </w:rPr>
      </w:pPr>
      <w:r w:rsidRPr="000615AB">
        <w:rPr>
          <w:sz w:val="20"/>
        </w:rPr>
        <w:t>Con respecto a la adquisición y al mantenimiento de derechos, la Oficina Internacional se encarga del examen de todas las solicitudes internacionales, lo cual implica cotejar que respetan las disposiciones del marco jurídico del sistema de Madrid y encargarse de la  clasificación y la traducción adecuadas de las indicaciones de productos y servicios que cumplan todos los requisitos.  El sistema de Madrid también permite la designación posterior de Partes Contratantes que no fueron designadas  en la solicitud internacional en un principio.  Para mantener los derechos adquiridos en virtud de un registro internacional, es posible renovar los registros cada diez años.</w:t>
      </w:r>
    </w:p>
    <w:p w:rsidR="00383888" w:rsidRPr="000615AB" w:rsidRDefault="00383888" w:rsidP="00383888">
      <w:pPr>
        <w:jc w:val="both"/>
        <w:rPr>
          <w:sz w:val="20"/>
        </w:rPr>
      </w:pPr>
      <w:r w:rsidRPr="000615AB">
        <w:rPr>
          <w:sz w:val="20"/>
        </w:rPr>
        <w:t xml:space="preserve"> </w:t>
      </w:r>
    </w:p>
    <w:p w:rsidR="00383888" w:rsidRPr="000615AB" w:rsidRDefault="00383888" w:rsidP="00FE7D9C">
      <w:pPr>
        <w:numPr>
          <w:ilvl w:val="0"/>
          <w:numId w:val="56"/>
        </w:numPr>
        <w:jc w:val="both"/>
        <w:rPr>
          <w:sz w:val="20"/>
        </w:rPr>
      </w:pPr>
      <w:r w:rsidRPr="000615AB">
        <w:rPr>
          <w:sz w:val="20"/>
        </w:rPr>
        <w:t>Con respecto a las decisiones relativas al alcance de la protección en cada una de las Partes Contratantes designadas, la Oficina Internacional estudia, registra, publica y notifica las decisiones tomadas por las Oficinas en cuanto a la concesión o a la denegación de protección.</w:t>
      </w:r>
    </w:p>
    <w:p w:rsidR="00383888" w:rsidRPr="000615AB" w:rsidRDefault="00383888" w:rsidP="00383888">
      <w:pPr>
        <w:jc w:val="both"/>
        <w:rPr>
          <w:sz w:val="20"/>
        </w:rPr>
      </w:pPr>
    </w:p>
    <w:p w:rsidR="00383888" w:rsidRPr="000615AB" w:rsidRDefault="00383888" w:rsidP="00FE7D9C">
      <w:pPr>
        <w:numPr>
          <w:ilvl w:val="0"/>
          <w:numId w:val="56"/>
        </w:numPr>
        <w:jc w:val="both"/>
        <w:rPr>
          <w:sz w:val="20"/>
        </w:rPr>
      </w:pPr>
      <w:r w:rsidRPr="000615AB">
        <w:rPr>
          <w:sz w:val="20"/>
        </w:rPr>
        <w:t xml:space="preserve">Por último, una de las características del sistema de Madrid es la gestión centralizada de los registros internacionales, esto significa que todo cambio efectuado en el Registro Internacional se repercutirá en el conjunto de las Partes Contratantes designadas.  Por lo tanto, la Oficina Internacional estudia, registra, publica y notifica las solicitudes sobre, entre otros, los cambios de titularidad, el cambio de domicilio del titular, las cancelaciones, renuncias, limitaciones y licencias. </w:t>
      </w:r>
    </w:p>
    <w:p w:rsidR="00383888" w:rsidRPr="000615AB" w:rsidRDefault="00383888" w:rsidP="00383888">
      <w:pPr>
        <w:rPr>
          <w:b/>
        </w:rPr>
      </w:pPr>
    </w:p>
    <w:p w:rsidR="00383888" w:rsidRPr="000615AB" w:rsidRDefault="00383888" w:rsidP="00383888">
      <w:pPr>
        <w:jc w:val="both"/>
        <w:rPr>
          <w:b/>
          <w:sz w:val="20"/>
        </w:rPr>
      </w:pPr>
      <w:r w:rsidRPr="000615AB">
        <w:rPr>
          <w:b/>
          <w:sz w:val="20"/>
        </w:rPr>
        <w:t>Antecedentes</w:t>
      </w:r>
    </w:p>
    <w:p w:rsidR="00383888" w:rsidRPr="000615AB" w:rsidRDefault="00383888" w:rsidP="00383888">
      <w:pPr>
        <w:jc w:val="both"/>
        <w:rPr>
          <w:b/>
          <w:sz w:val="20"/>
        </w:rPr>
      </w:pPr>
    </w:p>
    <w:p w:rsidR="00383888" w:rsidRPr="000615AB" w:rsidRDefault="00383888" w:rsidP="00FE7D9C">
      <w:pPr>
        <w:numPr>
          <w:ilvl w:val="0"/>
          <w:numId w:val="56"/>
        </w:numPr>
        <w:jc w:val="both"/>
        <w:rPr>
          <w:sz w:val="20"/>
        </w:rPr>
      </w:pPr>
      <w:r w:rsidRPr="000615AB">
        <w:rPr>
          <w:sz w:val="20"/>
        </w:rPr>
        <w:t xml:space="preserve">Como referencia de los indicadores de rendimiento en lo que respecta al resultado previsto “Mejora de la productividad y de la calidad de los servicios en las operaciones de los Sistemas de Madrid y de La Haya”, puede ser útil considerar la evolución de los siguientes factores:  </w:t>
      </w:r>
    </w:p>
    <w:p w:rsidR="00383888" w:rsidRPr="000615AB" w:rsidRDefault="00383888" w:rsidP="00383888">
      <w:pPr>
        <w:ind w:left="550"/>
        <w:jc w:val="both"/>
        <w:rPr>
          <w:sz w:val="20"/>
        </w:rPr>
      </w:pPr>
    </w:p>
    <w:p w:rsidR="00383888" w:rsidRPr="000615AB" w:rsidRDefault="00383888" w:rsidP="00FE7D9C">
      <w:pPr>
        <w:numPr>
          <w:ilvl w:val="0"/>
          <w:numId w:val="54"/>
        </w:numPr>
        <w:tabs>
          <w:tab w:val="clear" w:pos="720"/>
          <w:tab w:val="num" w:pos="1134"/>
        </w:tabs>
        <w:ind w:left="550" w:firstLine="0"/>
        <w:jc w:val="both"/>
        <w:rPr>
          <w:sz w:val="20"/>
        </w:rPr>
      </w:pPr>
      <w:r w:rsidRPr="000615AB">
        <w:rPr>
          <w:sz w:val="20"/>
        </w:rPr>
        <w:t>El volumen de trabajo del Sistema de Madrid;</w:t>
      </w:r>
    </w:p>
    <w:p w:rsidR="00383888" w:rsidRPr="000615AB" w:rsidRDefault="00383888" w:rsidP="00FE7D9C">
      <w:pPr>
        <w:numPr>
          <w:ilvl w:val="0"/>
          <w:numId w:val="54"/>
        </w:numPr>
        <w:tabs>
          <w:tab w:val="clear" w:pos="720"/>
          <w:tab w:val="num" w:pos="1134"/>
        </w:tabs>
        <w:ind w:left="550" w:firstLine="0"/>
        <w:jc w:val="both"/>
        <w:rPr>
          <w:sz w:val="20"/>
        </w:rPr>
      </w:pPr>
      <w:r w:rsidRPr="000615AB">
        <w:rPr>
          <w:sz w:val="20"/>
        </w:rPr>
        <w:t>Personal asignado para gestionar el volumen de trabajo.</w:t>
      </w:r>
    </w:p>
    <w:p w:rsidR="00383888" w:rsidRPr="000615AB" w:rsidRDefault="00383888" w:rsidP="00383888">
      <w:pPr>
        <w:ind w:left="360"/>
        <w:jc w:val="both"/>
        <w:rPr>
          <w:sz w:val="20"/>
        </w:rPr>
      </w:pPr>
    </w:p>
    <w:p w:rsidR="00383888" w:rsidRPr="000615AB" w:rsidRDefault="00383888" w:rsidP="00383888">
      <w:pPr>
        <w:jc w:val="both"/>
        <w:rPr>
          <w:b/>
          <w:sz w:val="20"/>
        </w:rPr>
      </w:pPr>
      <w:r w:rsidRPr="000615AB">
        <w:rPr>
          <w:b/>
          <w:sz w:val="20"/>
        </w:rPr>
        <w:t>Volumen de trabajo</w:t>
      </w:r>
    </w:p>
    <w:p w:rsidR="00383888" w:rsidRPr="000615AB" w:rsidRDefault="00383888" w:rsidP="00383888">
      <w:pPr>
        <w:jc w:val="both"/>
        <w:rPr>
          <w:b/>
          <w:sz w:val="20"/>
        </w:rPr>
      </w:pPr>
    </w:p>
    <w:p w:rsidR="00383888" w:rsidRPr="000615AB" w:rsidRDefault="00383888" w:rsidP="00FE7D9C">
      <w:pPr>
        <w:numPr>
          <w:ilvl w:val="0"/>
          <w:numId w:val="56"/>
        </w:numPr>
        <w:jc w:val="both"/>
        <w:rPr>
          <w:sz w:val="20"/>
        </w:rPr>
      </w:pPr>
      <w:r w:rsidRPr="000615AB">
        <w:rPr>
          <w:sz w:val="20"/>
        </w:rPr>
        <w:t xml:space="preserve">La evolución del volumen de trabajo se analiza a partir del número de peticiones y solicitudes que la Oficina Internacional recibe en lo relativo a tres esferas, a saber, la adquisición y el mantenimiento de derechos que abarca las nuevas solicitudes, las solicitudes de renovación y designación posterior;  las decisiones de las Partes Contratantes designadas (por ejemplo, la situación provisional); y las peticiones de </w:t>
      </w:r>
      <w:r>
        <w:rPr>
          <w:sz w:val="20"/>
        </w:rPr>
        <w:t xml:space="preserve">inscripción de </w:t>
      </w:r>
      <w:r w:rsidRPr="000615AB">
        <w:rPr>
          <w:sz w:val="20"/>
        </w:rPr>
        <w:t>cambio</w:t>
      </w:r>
      <w:r>
        <w:rPr>
          <w:sz w:val="20"/>
        </w:rPr>
        <w:t xml:space="preserve">s en </w:t>
      </w:r>
      <w:r w:rsidRPr="000615AB">
        <w:rPr>
          <w:sz w:val="20"/>
        </w:rPr>
        <w:t>el Registro Internacional.</w:t>
      </w:r>
    </w:p>
    <w:p w:rsidR="00383888" w:rsidRPr="000615AB" w:rsidRDefault="00383888" w:rsidP="00383888">
      <w:pPr>
        <w:jc w:val="both"/>
        <w:rPr>
          <w:sz w:val="20"/>
        </w:rPr>
      </w:pPr>
    </w:p>
    <w:p w:rsidR="00383888" w:rsidRPr="000615AB" w:rsidRDefault="00383888" w:rsidP="00FE7D9C">
      <w:pPr>
        <w:numPr>
          <w:ilvl w:val="0"/>
          <w:numId w:val="56"/>
        </w:numPr>
        <w:jc w:val="both"/>
        <w:rPr>
          <w:sz w:val="20"/>
        </w:rPr>
      </w:pPr>
      <w:r w:rsidRPr="000615AB">
        <w:rPr>
          <w:sz w:val="20"/>
        </w:rPr>
        <w:t xml:space="preserve">La Oficina Internacional recibió 532.532 solicitudes en 2012, </w:t>
      </w:r>
      <w:r>
        <w:rPr>
          <w:sz w:val="20"/>
        </w:rPr>
        <w:t>lo que supone un incremento del </w:t>
      </w:r>
      <w:r w:rsidRPr="000615AB">
        <w:rPr>
          <w:sz w:val="20"/>
        </w:rPr>
        <w:t>3.6% con respecto a 2011.  Entre 2010 y 201</w:t>
      </w:r>
      <w:r>
        <w:rPr>
          <w:sz w:val="20"/>
        </w:rPr>
        <w:t>1, el incremento fue de 26,7%.</w:t>
      </w:r>
      <w:r w:rsidRPr="000615AB">
        <w:rPr>
          <w:sz w:val="20"/>
        </w:rPr>
        <w:t xml:space="preserve">  Este incremento se explica por una modificación del marco jurídico en virtud del cual las Oficinas tienen la obligación de enviar una decisión sobre la situación definitiva de una marca a la que se le concedió protección en u</w:t>
      </w:r>
      <w:r>
        <w:rPr>
          <w:sz w:val="20"/>
        </w:rPr>
        <w:t>na Parte Contratante designada.</w:t>
      </w:r>
    </w:p>
    <w:p w:rsidR="00383888" w:rsidRPr="00CA7C81" w:rsidRDefault="00383888" w:rsidP="00383888">
      <w:pPr>
        <w:rPr>
          <w:sz w:val="20"/>
        </w:rPr>
      </w:pPr>
    </w:p>
    <w:p w:rsidR="00383888" w:rsidRPr="000615AB" w:rsidRDefault="00383888" w:rsidP="00383888">
      <w:pPr>
        <w:keepNext/>
        <w:keepLines/>
        <w:rPr>
          <w:i/>
          <w:sz w:val="20"/>
        </w:rPr>
      </w:pPr>
      <w:r w:rsidRPr="000615AB">
        <w:rPr>
          <w:i/>
          <w:sz w:val="20"/>
        </w:rPr>
        <w:lastRenderedPageBreak/>
        <w:t>Número total de solicitudes y peticiones recibidas por la Oficina Internacional</w:t>
      </w:r>
    </w:p>
    <w:p w:rsidR="00383888" w:rsidRPr="000615AB" w:rsidRDefault="00C40A11" w:rsidP="00383888">
      <w:r>
        <w:rPr>
          <w:noProof/>
          <w:lang w:val="en-US" w:eastAsia="en-US"/>
        </w:rPr>
        <w:drawing>
          <wp:inline distT="0" distB="0" distL="0" distR="0" wp14:anchorId="6E369D71" wp14:editId="4042E333">
            <wp:extent cx="5752465" cy="1978660"/>
            <wp:effectExtent l="0" t="0" r="0" b="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5752465" cy="1978660"/>
                    </a:xfrm>
                    <a:prstGeom prst="rect">
                      <a:avLst/>
                    </a:prstGeom>
                    <a:noFill/>
                    <a:ln>
                      <a:noFill/>
                    </a:ln>
                  </pic:spPr>
                </pic:pic>
              </a:graphicData>
            </a:graphic>
          </wp:inline>
        </w:drawing>
      </w:r>
    </w:p>
    <w:p w:rsidR="00383888" w:rsidRPr="00BA0A3A" w:rsidRDefault="00383888" w:rsidP="00383888">
      <w:pPr>
        <w:rPr>
          <w:sz w:val="20"/>
        </w:rPr>
      </w:pPr>
    </w:p>
    <w:p w:rsidR="00383888" w:rsidRPr="00BA0A3A" w:rsidRDefault="00383888" w:rsidP="00383888">
      <w:pPr>
        <w:jc w:val="both"/>
        <w:rPr>
          <w:i/>
          <w:sz w:val="20"/>
        </w:rPr>
      </w:pPr>
      <w:r w:rsidRPr="00BA0A3A">
        <w:rPr>
          <w:i/>
          <w:sz w:val="20"/>
        </w:rPr>
        <w:t>Adquisición de derechos</w:t>
      </w:r>
    </w:p>
    <w:p w:rsidR="00383888" w:rsidRPr="00BA0A3A" w:rsidRDefault="00383888" w:rsidP="00383888">
      <w:pPr>
        <w:jc w:val="both"/>
        <w:rPr>
          <w:i/>
          <w:sz w:val="20"/>
        </w:rPr>
      </w:pPr>
    </w:p>
    <w:p w:rsidR="00383888" w:rsidRPr="00BA0A3A" w:rsidRDefault="00383888" w:rsidP="00FE7D9C">
      <w:pPr>
        <w:numPr>
          <w:ilvl w:val="0"/>
          <w:numId w:val="56"/>
        </w:numPr>
        <w:jc w:val="both"/>
        <w:rPr>
          <w:sz w:val="20"/>
        </w:rPr>
      </w:pPr>
      <w:r w:rsidRPr="00BA0A3A">
        <w:rPr>
          <w:sz w:val="20"/>
        </w:rPr>
        <w:t>La adquisición de derechos engloba las solicitudes de creación, extensión y mantenimiento de una marca en el Registro Internacional: es decir, su inscripción en el registro, su designación posterior y su renovación.</w:t>
      </w:r>
    </w:p>
    <w:p w:rsidR="00383888" w:rsidRPr="00BA0A3A" w:rsidRDefault="00383888" w:rsidP="00383888">
      <w:pPr>
        <w:rPr>
          <w:sz w:val="20"/>
        </w:rPr>
      </w:pPr>
    </w:p>
    <w:p w:rsidR="00383888" w:rsidRPr="00BA0A3A" w:rsidRDefault="00C40A11" w:rsidP="00383888">
      <w:pPr>
        <w:rPr>
          <w:sz w:val="20"/>
        </w:rPr>
      </w:pPr>
      <w:r>
        <w:rPr>
          <w:noProof/>
          <w:sz w:val="20"/>
          <w:lang w:val="en-US" w:eastAsia="en-US"/>
        </w:rPr>
        <w:drawing>
          <wp:inline distT="0" distB="0" distL="0" distR="0" wp14:anchorId="6112EBA0" wp14:editId="2DE639A2">
            <wp:extent cx="5752465" cy="1821815"/>
            <wp:effectExtent l="0" t="0" r="635" b="6985"/>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220" cstate="print">
                      <a:extLst>
                        <a:ext uri="{28A0092B-C50C-407E-A947-70E740481C1C}">
                          <a14:useLocalDpi xmlns:a14="http://schemas.microsoft.com/office/drawing/2010/main" val="0"/>
                        </a:ext>
                      </a:extLst>
                    </a:blip>
                    <a:srcRect/>
                    <a:stretch>
                      <a:fillRect/>
                    </a:stretch>
                  </pic:blipFill>
                  <pic:spPr bwMode="auto">
                    <a:xfrm>
                      <a:off x="0" y="0"/>
                      <a:ext cx="5752465" cy="1821815"/>
                    </a:xfrm>
                    <a:prstGeom prst="rect">
                      <a:avLst/>
                    </a:prstGeom>
                    <a:noFill/>
                    <a:ln>
                      <a:noFill/>
                    </a:ln>
                  </pic:spPr>
                </pic:pic>
              </a:graphicData>
            </a:graphic>
          </wp:inline>
        </w:drawing>
      </w:r>
    </w:p>
    <w:p w:rsidR="00383888" w:rsidRPr="00BA0A3A" w:rsidRDefault="00383888" w:rsidP="00383888">
      <w:pPr>
        <w:rPr>
          <w:sz w:val="20"/>
        </w:rPr>
      </w:pPr>
    </w:p>
    <w:p w:rsidR="00383888" w:rsidRPr="00BA0A3A" w:rsidRDefault="00383888" w:rsidP="00383888">
      <w:pPr>
        <w:jc w:val="both"/>
        <w:rPr>
          <w:i/>
          <w:sz w:val="20"/>
        </w:rPr>
      </w:pPr>
      <w:r w:rsidRPr="00BA0A3A">
        <w:rPr>
          <w:i/>
          <w:sz w:val="20"/>
        </w:rPr>
        <w:t>Peticiones de cambio</w:t>
      </w:r>
    </w:p>
    <w:p w:rsidR="00383888" w:rsidRPr="00BA0A3A" w:rsidRDefault="00383888" w:rsidP="00383888">
      <w:pPr>
        <w:jc w:val="both"/>
        <w:rPr>
          <w:sz w:val="20"/>
        </w:rPr>
      </w:pPr>
    </w:p>
    <w:p w:rsidR="00383888" w:rsidRPr="00BA0A3A" w:rsidRDefault="00383888" w:rsidP="00FE7D9C">
      <w:pPr>
        <w:numPr>
          <w:ilvl w:val="0"/>
          <w:numId w:val="56"/>
        </w:numPr>
        <w:jc w:val="both"/>
        <w:rPr>
          <w:sz w:val="20"/>
        </w:rPr>
      </w:pPr>
      <w:r w:rsidRPr="00BA0A3A">
        <w:rPr>
          <w:sz w:val="20"/>
        </w:rPr>
        <w:t xml:space="preserve">A continuación se ilustra la evolución del número de las peticiones de inscripción de cambios en el Registro:  solo una pequeña parte de los cambios están sujetos al pago de tasas. </w:t>
      </w:r>
    </w:p>
    <w:p w:rsidR="00383888" w:rsidRPr="00BA0A3A" w:rsidRDefault="00383888" w:rsidP="00383888">
      <w:pPr>
        <w:rPr>
          <w:sz w:val="20"/>
        </w:rPr>
      </w:pPr>
    </w:p>
    <w:p w:rsidR="00383888" w:rsidRPr="000615AB" w:rsidRDefault="00C40A11" w:rsidP="00383888">
      <w:pPr>
        <w:keepNext/>
        <w:keepLines/>
        <w:jc w:val="both"/>
      </w:pPr>
      <w:r>
        <w:rPr>
          <w:noProof/>
          <w:lang w:val="en-US" w:eastAsia="en-US"/>
        </w:rPr>
        <w:drawing>
          <wp:inline distT="0" distB="0" distL="0" distR="0" wp14:anchorId="743DD3E4" wp14:editId="02F6BC15">
            <wp:extent cx="5752465" cy="1760855"/>
            <wp:effectExtent l="0" t="0" r="635" b="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221" cstate="print">
                      <a:extLst>
                        <a:ext uri="{28A0092B-C50C-407E-A947-70E740481C1C}">
                          <a14:useLocalDpi xmlns:a14="http://schemas.microsoft.com/office/drawing/2010/main" val="0"/>
                        </a:ext>
                      </a:extLst>
                    </a:blip>
                    <a:srcRect/>
                    <a:stretch>
                      <a:fillRect/>
                    </a:stretch>
                  </pic:blipFill>
                  <pic:spPr bwMode="auto">
                    <a:xfrm>
                      <a:off x="0" y="0"/>
                      <a:ext cx="5752465" cy="1760855"/>
                    </a:xfrm>
                    <a:prstGeom prst="rect">
                      <a:avLst/>
                    </a:prstGeom>
                    <a:noFill/>
                    <a:ln>
                      <a:noFill/>
                    </a:ln>
                  </pic:spPr>
                </pic:pic>
              </a:graphicData>
            </a:graphic>
          </wp:inline>
        </w:drawing>
      </w:r>
    </w:p>
    <w:p w:rsidR="00383888" w:rsidRPr="000615AB" w:rsidRDefault="00383888" w:rsidP="00383888">
      <w:pPr>
        <w:keepNext/>
        <w:keepLines/>
        <w:jc w:val="both"/>
        <w:rPr>
          <w:i/>
          <w:sz w:val="20"/>
        </w:rPr>
      </w:pPr>
      <w:r w:rsidRPr="000615AB">
        <w:rPr>
          <w:i/>
          <w:sz w:val="20"/>
        </w:rPr>
        <w:t>Número de designaciones</w:t>
      </w:r>
    </w:p>
    <w:p w:rsidR="00383888" w:rsidRPr="000615AB" w:rsidRDefault="00383888" w:rsidP="00383888">
      <w:pPr>
        <w:keepNext/>
        <w:keepLines/>
        <w:jc w:val="both"/>
        <w:rPr>
          <w:sz w:val="20"/>
        </w:rPr>
      </w:pPr>
    </w:p>
    <w:p w:rsidR="00383888" w:rsidRPr="000615AB" w:rsidRDefault="00383888" w:rsidP="00FE7D9C">
      <w:pPr>
        <w:keepNext/>
        <w:keepLines/>
        <w:numPr>
          <w:ilvl w:val="0"/>
          <w:numId w:val="56"/>
        </w:numPr>
        <w:jc w:val="both"/>
        <w:rPr>
          <w:sz w:val="20"/>
        </w:rPr>
      </w:pPr>
      <w:r w:rsidRPr="000615AB">
        <w:rPr>
          <w:sz w:val="20"/>
        </w:rPr>
        <w:t xml:space="preserve">El número medio de designaciones asociadas a los registros y de designaciones posteriores es un indicador del número de decisiones que se recibirán en los posteriores 12 a 18 meses.  Por ende, tiene una incidencia en el futuro volumen de trabajo relativo a las decisiones, pero no así en los ingresos. </w:t>
      </w:r>
    </w:p>
    <w:p w:rsidR="00383888" w:rsidRPr="000615AB" w:rsidRDefault="00383888" w:rsidP="00383888"/>
    <w:p w:rsidR="00383888" w:rsidRPr="000615AB" w:rsidRDefault="00C40A11" w:rsidP="00383888">
      <w:pPr>
        <w:jc w:val="both"/>
      </w:pPr>
      <w:r>
        <w:rPr>
          <w:noProof/>
          <w:lang w:val="en-US" w:eastAsia="en-US"/>
        </w:rPr>
        <w:lastRenderedPageBreak/>
        <w:drawing>
          <wp:inline distT="0" distB="0" distL="0" distR="0" wp14:anchorId="4E9A1478" wp14:editId="08102B32">
            <wp:extent cx="5759450" cy="2435860"/>
            <wp:effectExtent l="0" t="0" r="0" b="254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222" cstate="print">
                      <a:extLst>
                        <a:ext uri="{28A0092B-C50C-407E-A947-70E740481C1C}">
                          <a14:useLocalDpi xmlns:a14="http://schemas.microsoft.com/office/drawing/2010/main" val="0"/>
                        </a:ext>
                      </a:extLst>
                    </a:blip>
                    <a:srcRect/>
                    <a:stretch>
                      <a:fillRect/>
                    </a:stretch>
                  </pic:blipFill>
                  <pic:spPr bwMode="auto">
                    <a:xfrm>
                      <a:off x="0" y="0"/>
                      <a:ext cx="5759450" cy="2435860"/>
                    </a:xfrm>
                    <a:prstGeom prst="rect">
                      <a:avLst/>
                    </a:prstGeom>
                    <a:noFill/>
                    <a:ln>
                      <a:noFill/>
                    </a:ln>
                  </pic:spPr>
                </pic:pic>
              </a:graphicData>
            </a:graphic>
          </wp:inline>
        </w:drawing>
      </w:r>
    </w:p>
    <w:p w:rsidR="00383888" w:rsidRPr="000615AB" w:rsidRDefault="00383888" w:rsidP="00383888">
      <w:pPr>
        <w:jc w:val="both"/>
        <w:rPr>
          <w:i/>
          <w:sz w:val="20"/>
        </w:rPr>
      </w:pPr>
      <w:r w:rsidRPr="000615AB">
        <w:rPr>
          <w:i/>
          <w:sz w:val="20"/>
        </w:rPr>
        <w:t>Decisiones</w:t>
      </w:r>
    </w:p>
    <w:p w:rsidR="00383888" w:rsidRPr="000615AB" w:rsidRDefault="00383888" w:rsidP="00383888">
      <w:pPr>
        <w:jc w:val="both"/>
        <w:rPr>
          <w:sz w:val="20"/>
        </w:rPr>
      </w:pPr>
    </w:p>
    <w:p w:rsidR="00383888" w:rsidRPr="000615AB" w:rsidRDefault="00383888" w:rsidP="00FE7D9C">
      <w:pPr>
        <w:numPr>
          <w:ilvl w:val="0"/>
          <w:numId w:val="56"/>
        </w:numPr>
        <w:jc w:val="both"/>
        <w:rPr>
          <w:sz w:val="20"/>
        </w:rPr>
      </w:pPr>
      <w:r w:rsidRPr="000615AB">
        <w:rPr>
          <w:sz w:val="20"/>
        </w:rPr>
        <w:t>Pese a que disminuye con regularidad el promedio de designaciones, el número de decisiones tratadas por la Oficina Internacional ha aumentado.  Esto es imputable al cambio de marco jurídico antes mencionado, que trajo aparejados la presentación del documento sobre la situación provisional y el envío obligatorio de las declaraciones de concesión de protección.</w:t>
      </w:r>
    </w:p>
    <w:p w:rsidR="00383888" w:rsidRPr="000615AB" w:rsidRDefault="00383888" w:rsidP="00383888">
      <w:pPr>
        <w:jc w:val="both"/>
      </w:pPr>
    </w:p>
    <w:p w:rsidR="00383888" w:rsidRPr="000615AB" w:rsidRDefault="00C40A11" w:rsidP="00383888">
      <w:pPr>
        <w:jc w:val="both"/>
      </w:pPr>
      <w:r>
        <w:rPr>
          <w:noProof/>
          <w:lang w:val="en-US" w:eastAsia="en-US"/>
        </w:rPr>
        <w:drawing>
          <wp:inline distT="0" distB="0" distL="0" distR="0" wp14:anchorId="6F55E159" wp14:editId="4CB2F869">
            <wp:extent cx="5759450" cy="2129155"/>
            <wp:effectExtent l="0" t="0" r="0" b="4445"/>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223" cstate="print">
                      <a:extLst>
                        <a:ext uri="{28A0092B-C50C-407E-A947-70E740481C1C}">
                          <a14:useLocalDpi xmlns:a14="http://schemas.microsoft.com/office/drawing/2010/main" val="0"/>
                        </a:ext>
                      </a:extLst>
                    </a:blip>
                    <a:srcRect/>
                    <a:stretch>
                      <a:fillRect/>
                    </a:stretch>
                  </pic:blipFill>
                  <pic:spPr bwMode="auto">
                    <a:xfrm>
                      <a:off x="0" y="0"/>
                      <a:ext cx="5759450" cy="2129155"/>
                    </a:xfrm>
                    <a:prstGeom prst="rect">
                      <a:avLst/>
                    </a:prstGeom>
                    <a:noFill/>
                    <a:ln>
                      <a:noFill/>
                    </a:ln>
                  </pic:spPr>
                </pic:pic>
              </a:graphicData>
            </a:graphic>
          </wp:inline>
        </w:drawing>
      </w:r>
    </w:p>
    <w:p w:rsidR="00383888" w:rsidRPr="000615AB" w:rsidRDefault="00383888" w:rsidP="00383888">
      <w:pPr>
        <w:jc w:val="both"/>
        <w:rPr>
          <w:i/>
          <w:sz w:val="20"/>
        </w:rPr>
      </w:pPr>
      <w:r w:rsidRPr="000615AB">
        <w:rPr>
          <w:i/>
          <w:sz w:val="20"/>
        </w:rPr>
        <w:t>Método de presentación</w:t>
      </w:r>
    </w:p>
    <w:p w:rsidR="00383888" w:rsidRPr="000615AB" w:rsidRDefault="00383888" w:rsidP="00383888">
      <w:pPr>
        <w:jc w:val="both"/>
        <w:rPr>
          <w:i/>
          <w:sz w:val="20"/>
        </w:rPr>
      </w:pPr>
    </w:p>
    <w:p w:rsidR="00383888" w:rsidRPr="000615AB" w:rsidRDefault="00383888" w:rsidP="00FE7D9C">
      <w:pPr>
        <w:numPr>
          <w:ilvl w:val="0"/>
          <w:numId w:val="56"/>
        </w:numPr>
        <w:jc w:val="both"/>
        <w:rPr>
          <w:sz w:val="20"/>
        </w:rPr>
      </w:pPr>
      <w:r w:rsidRPr="000615AB">
        <w:rPr>
          <w:sz w:val="20"/>
        </w:rPr>
        <w:t>El método de presentación de solicitudes incide en el volumen de trabajo la Unidad de logística (escaneo e indización de documentos), pero el aumento de la presentación por medios electrónicos en 2012, así como la tramitación automática, hicieron que fuera posible absorber el incremento de solicitudes recibidas.  El número de presentaciones en papel solo disminuyó levemente (</w:t>
      </w:r>
      <w:r>
        <w:rPr>
          <w:sz w:val="20"/>
        </w:rPr>
        <w:t>-6,9% en </w:t>
      </w:r>
      <w:r w:rsidRPr="000615AB">
        <w:rPr>
          <w:sz w:val="20"/>
        </w:rPr>
        <w:t>2012).</w:t>
      </w:r>
    </w:p>
    <w:p w:rsidR="00383888" w:rsidRPr="000615AB" w:rsidRDefault="00383888" w:rsidP="00383888">
      <w:pPr>
        <w:jc w:val="both"/>
        <w:rPr>
          <w:sz w:val="20"/>
        </w:rPr>
      </w:pPr>
    </w:p>
    <w:p w:rsidR="00383888" w:rsidRPr="000615AB" w:rsidRDefault="00C40A11" w:rsidP="00383888">
      <w:pPr>
        <w:jc w:val="both"/>
      </w:pPr>
      <w:r>
        <w:rPr>
          <w:noProof/>
          <w:lang w:val="en-US" w:eastAsia="en-US"/>
        </w:rPr>
        <w:drawing>
          <wp:inline distT="0" distB="0" distL="0" distR="0" wp14:anchorId="08F0AF56" wp14:editId="14832BE5">
            <wp:extent cx="5752465" cy="1664970"/>
            <wp:effectExtent l="0" t="0" r="635" b="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224" cstate="print">
                      <a:extLst>
                        <a:ext uri="{28A0092B-C50C-407E-A947-70E740481C1C}">
                          <a14:useLocalDpi xmlns:a14="http://schemas.microsoft.com/office/drawing/2010/main" val="0"/>
                        </a:ext>
                      </a:extLst>
                    </a:blip>
                    <a:srcRect/>
                    <a:stretch>
                      <a:fillRect/>
                    </a:stretch>
                  </pic:blipFill>
                  <pic:spPr bwMode="auto">
                    <a:xfrm>
                      <a:off x="0" y="0"/>
                      <a:ext cx="5752465" cy="1664970"/>
                    </a:xfrm>
                    <a:prstGeom prst="rect">
                      <a:avLst/>
                    </a:prstGeom>
                    <a:noFill/>
                    <a:ln>
                      <a:noFill/>
                    </a:ln>
                  </pic:spPr>
                </pic:pic>
              </a:graphicData>
            </a:graphic>
          </wp:inline>
        </w:drawing>
      </w:r>
    </w:p>
    <w:p w:rsidR="00383888" w:rsidRPr="000615AB" w:rsidRDefault="00383888" w:rsidP="00383888">
      <w:pPr>
        <w:keepNext/>
        <w:keepLines/>
        <w:jc w:val="both"/>
        <w:rPr>
          <w:i/>
          <w:sz w:val="20"/>
        </w:rPr>
      </w:pPr>
      <w:r w:rsidRPr="000615AB">
        <w:rPr>
          <w:i/>
          <w:sz w:val="20"/>
        </w:rPr>
        <w:lastRenderedPageBreak/>
        <w:t>Índice de solicitudes regulares</w:t>
      </w:r>
    </w:p>
    <w:p w:rsidR="00383888" w:rsidRPr="000615AB" w:rsidRDefault="00383888" w:rsidP="00383888">
      <w:pPr>
        <w:keepNext/>
        <w:keepLines/>
        <w:jc w:val="both"/>
        <w:rPr>
          <w:sz w:val="20"/>
        </w:rPr>
      </w:pPr>
    </w:p>
    <w:p w:rsidR="00383888" w:rsidRPr="000615AB" w:rsidRDefault="00383888" w:rsidP="00FE7D9C">
      <w:pPr>
        <w:keepNext/>
        <w:keepLines/>
        <w:numPr>
          <w:ilvl w:val="0"/>
          <w:numId w:val="56"/>
        </w:numPr>
        <w:jc w:val="both"/>
        <w:rPr>
          <w:sz w:val="20"/>
        </w:rPr>
      </w:pPr>
      <w:r w:rsidRPr="000615AB">
        <w:rPr>
          <w:sz w:val="20"/>
        </w:rPr>
        <w:t xml:space="preserve">El número de solicitudes que presentan irregularidades deriva en un mayor volumen de trabajo de examen, puesto que aumenta el número de nuevos exámenes y como consecuencia se alarga la duración total del procedimiento. </w:t>
      </w:r>
    </w:p>
    <w:p w:rsidR="00383888" w:rsidRPr="000615AB" w:rsidRDefault="00383888" w:rsidP="00383888">
      <w:pPr>
        <w:jc w:val="both"/>
      </w:pPr>
    </w:p>
    <w:p w:rsidR="00383888" w:rsidRPr="000615AB" w:rsidRDefault="00C40A11" w:rsidP="00383888">
      <w:pPr>
        <w:jc w:val="both"/>
      </w:pPr>
      <w:r>
        <w:rPr>
          <w:noProof/>
          <w:lang w:val="en-US" w:eastAsia="en-US"/>
        </w:rPr>
        <w:drawing>
          <wp:inline distT="0" distB="0" distL="0" distR="0" wp14:anchorId="0737A5C5" wp14:editId="7CDF252B">
            <wp:extent cx="5752465" cy="1958340"/>
            <wp:effectExtent l="0" t="0" r="635" b="381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225" cstate="print">
                      <a:extLst>
                        <a:ext uri="{28A0092B-C50C-407E-A947-70E740481C1C}">
                          <a14:useLocalDpi xmlns:a14="http://schemas.microsoft.com/office/drawing/2010/main" val="0"/>
                        </a:ext>
                      </a:extLst>
                    </a:blip>
                    <a:srcRect/>
                    <a:stretch>
                      <a:fillRect/>
                    </a:stretch>
                  </pic:blipFill>
                  <pic:spPr bwMode="auto">
                    <a:xfrm>
                      <a:off x="0" y="0"/>
                      <a:ext cx="5752465" cy="1958340"/>
                    </a:xfrm>
                    <a:prstGeom prst="rect">
                      <a:avLst/>
                    </a:prstGeom>
                    <a:noFill/>
                    <a:ln>
                      <a:noFill/>
                    </a:ln>
                  </pic:spPr>
                </pic:pic>
              </a:graphicData>
            </a:graphic>
          </wp:inline>
        </w:drawing>
      </w:r>
    </w:p>
    <w:p w:rsidR="00383888" w:rsidRPr="000615AB" w:rsidRDefault="00383888" w:rsidP="00383888">
      <w:pPr>
        <w:jc w:val="both"/>
        <w:rPr>
          <w:sz w:val="20"/>
        </w:rPr>
      </w:pPr>
      <w:r w:rsidRPr="000615AB">
        <w:rPr>
          <w:i/>
          <w:sz w:val="20"/>
        </w:rPr>
        <w:t>Distribución de idiomas</w:t>
      </w:r>
      <w:r w:rsidRPr="000615AB">
        <w:rPr>
          <w:sz w:val="20"/>
        </w:rPr>
        <w:t xml:space="preserve"> </w:t>
      </w:r>
    </w:p>
    <w:p w:rsidR="00383888" w:rsidRPr="000615AB" w:rsidRDefault="00383888" w:rsidP="00383888">
      <w:pPr>
        <w:jc w:val="both"/>
        <w:rPr>
          <w:sz w:val="20"/>
        </w:rPr>
      </w:pPr>
    </w:p>
    <w:p w:rsidR="00383888" w:rsidRPr="000615AB" w:rsidRDefault="00383888" w:rsidP="00FE7D9C">
      <w:pPr>
        <w:numPr>
          <w:ilvl w:val="0"/>
          <w:numId w:val="56"/>
        </w:numPr>
        <w:jc w:val="both"/>
        <w:rPr>
          <w:sz w:val="20"/>
        </w:rPr>
      </w:pPr>
      <w:r w:rsidRPr="000615AB">
        <w:rPr>
          <w:sz w:val="20"/>
        </w:rPr>
        <w:t>La distribución por idiomas es un indicador de la cantidad y las competencias del personal necesario para clasificar y traducir, entre otros, las indicaciones de productos y servicios que se incluyen en las solicitudes internacionales.</w:t>
      </w:r>
    </w:p>
    <w:p w:rsidR="00383888" w:rsidRPr="000615AB" w:rsidRDefault="00383888" w:rsidP="00383888">
      <w:pPr>
        <w:jc w:val="both"/>
      </w:pPr>
    </w:p>
    <w:p w:rsidR="00383888" w:rsidRPr="000615AB" w:rsidRDefault="00C40A11" w:rsidP="00383888">
      <w:pPr>
        <w:jc w:val="both"/>
      </w:pPr>
      <w:r>
        <w:rPr>
          <w:noProof/>
          <w:lang w:val="en-US" w:eastAsia="en-US"/>
        </w:rPr>
        <w:drawing>
          <wp:inline distT="0" distB="0" distL="0" distR="0" wp14:anchorId="17A1E214" wp14:editId="386ACBB1">
            <wp:extent cx="5752465" cy="1958340"/>
            <wp:effectExtent l="0" t="0" r="635" b="381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226" cstate="print">
                      <a:extLst>
                        <a:ext uri="{28A0092B-C50C-407E-A947-70E740481C1C}">
                          <a14:useLocalDpi xmlns:a14="http://schemas.microsoft.com/office/drawing/2010/main" val="0"/>
                        </a:ext>
                      </a:extLst>
                    </a:blip>
                    <a:srcRect/>
                    <a:stretch>
                      <a:fillRect/>
                    </a:stretch>
                  </pic:blipFill>
                  <pic:spPr bwMode="auto">
                    <a:xfrm>
                      <a:off x="0" y="0"/>
                      <a:ext cx="5752465" cy="1958340"/>
                    </a:xfrm>
                    <a:prstGeom prst="rect">
                      <a:avLst/>
                    </a:prstGeom>
                    <a:noFill/>
                    <a:ln>
                      <a:noFill/>
                    </a:ln>
                  </pic:spPr>
                </pic:pic>
              </a:graphicData>
            </a:graphic>
          </wp:inline>
        </w:drawing>
      </w:r>
    </w:p>
    <w:p w:rsidR="00383888" w:rsidRPr="000615AB" w:rsidRDefault="00383888" w:rsidP="00383888">
      <w:pPr>
        <w:jc w:val="both"/>
        <w:rPr>
          <w:i/>
          <w:sz w:val="20"/>
        </w:rPr>
      </w:pPr>
      <w:r w:rsidRPr="000615AB">
        <w:rPr>
          <w:i/>
          <w:sz w:val="20"/>
        </w:rPr>
        <w:t xml:space="preserve">Extensión de las solicitudes </w:t>
      </w:r>
    </w:p>
    <w:p w:rsidR="00383888" w:rsidRPr="000615AB" w:rsidRDefault="00383888" w:rsidP="00383888">
      <w:pPr>
        <w:jc w:val="both"/>
        <w:rPr>
          <w:sz w:val="20"/>
        </w:rPr>
      </w:pPr>
    </w:p>
    <w:p w:rsidR="00383888" w:rsidRPr="000615AB" w:rsidRDefault="00383888" w:rsidP="00FE7D9C">
      <w:pPr>
        <w:numPr>
          <w:ilvl w:val="0"/>
          <w:numId w:val="56"/>
        </w:numPr>
        <w:jc w:val="both"/>
        <w:rPr>
          <w:sz w:val="20"/>
        </w:rPr>
      </w:pPr>
      <w:r w:rsidRPr="000615AB">
        <w:rPr>
          <w:sz w:val="20"/>
        </w:rPr>
        <w:t>De la extensión de las solicitudes dependerán la complejidad y la duración de los procesos de clasificación y traducción, y por lo tanto también los recursos que se habrán de asignar al examen y la traducción.  Por lo tanto, es posible que el reciente aumento de la extensión media de las solicitudes incida negativamente en el tratamiento oportuno de las solicitudes.</w:t>
      </w:r>
    </w:p>
    <w:p w:rsidR="00383888" w:rsidRPr="000615AB" w:rsidRDefault="00C40A11" w:rsidP="00383888">
      <w:r>
        <w:rPr>
          <w:noProof/>
          <w:lang w:val="en-US" w:eastAsia="en-US"/>
        </w:rPr>
        <w:drawing>
          <wp:inline distT="0" distB="0" distL="0" distR="0" wp14:anchorId="74152881" wp14:editId="6ABFC995">
            <wp:extent cx="5752465" cy="1978660"/>
            <wp:effectExtent l="0" t="0" r="635" b="254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227" cstate="print">
                      <a:extLst>
                        <a:ext uri="{28A0092B-C50C-407E-A947-70E740481C1C}">
                          <a14:useLocalDpi xmlns:a14="http://schemas.microsoft.com/office/drawing/2010/main" val="0"/>
                        </a:ext>
                      </a:extLst>
                    </a:blip>
                    <a:srcRect/>
                    <a:stretch>
                      <a:fillRect/>
                    </a:stretch>
                  </pic:blipFill>
                  <pic:spPr bwMode="auto">
                    <a:xfrm>
                      <a:off x="0" y="0"/>
                      <a:ext cx="5752465" cy="1978660"/>
                    </a:xfrm>
                    <a:prstGeom prst="rect">
                      <a:avLst/>
                    </a:prstGeom>
                    <a:noFill/>
                    <a:ln>
                      <a:noFill/>
                    </a:ln>
                  </pic:spPr>
                </pic:pic>
              </a:graphicData>
            </a:graphic>
          </wp:inline>
        </w:drawing>
      </w:r>
    </w:p>
    <w:p w:rsidR="00383888" w:rsidRPr="00E66DAF" w:rsidRDefault="00383888" w:rsidP="00383888">
      <w:pPr>
        <w:rPr>
          <w:sz w:val="20"/>
        </w:rPr>
      </w:pPr>
    </w:p>
    <w:p w:rsidR="00383888" w:rsidRPr="000615AB" w:rsidRDefault="00383888" w:rsidP="00FE7D9C">
      <w:pPr>
        <w:keepNext/>
        <w:keepLines/>
        <w:numPr>
          <w:ilvl w:val="0"/>
          <w:numId w:val="56"/>
        </w:numPr>
        <w:jc w:val="both"/>
        <w:rPr>
          <w:sz w:val="20"/>
        </w:rPr>
      </w:pPr>
      <w:r w:rsidRPr="000615AB">
        <w:rPr>
          <w:sz w:val="20"/>
        </w:rPr>
        <w:lastRenderedPageBreak/>
        <w:t>Como consecuencia del aumento de la extensión media de las solicitudes, el volumen de palabras por clasificar y traducir ha aumentado drásticamente en 2011 y en 2012, pasando de 5,5 millones de palabras en 2010 a 8 millones en 2012.  Este aumento influye en la productividad y en el costo unitario de la tramitación de una solicitud internacional.</w:t>
      </w:r>
    </w:p>
    <w:p w:rsidR="00383888" w:rsidRPr="000615AB" w:rsidRDefault="00C40A11" w:rsidP="00383888">
      <w:r>
        <w:rPr>
          <w:noProof/>
          <w:lang w:val="en-US" w:eastAsia="en-US"/>
        </w:rPr>
        <w:drawing>
          <wp:inline distT="0" distB="0" distL="0" distR="0" wp14:anchorId="5AA5488C" wp14:editId="11DD0086">
            <wp:extent cx="5752465" cy="2333625"/>
            <wp:effectExtent l="0" t="0" r="635" b="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5752465" cy="2333625"/>
                    </a:xfrm>
                    <a:prstGeom prst="rect">
                      <a:avLst/>
                    </a:prstGeom>
                    <a:noFill/>
                    <a:ln>
                      <a:noFill/>
                    </a:ln>
                  </pic:spPr>
                </pic:pic>
              </a:graphicData>
            </a:graphic>
          </wp:inline>
        </w:drawing>
      </w:r>
    </w:p>
    <w:p w:rsidR="00383888" w:rsidRPr="00E66DAF" w:rsidRDefault="00383888" w:rsidP="00383888">
      <w:pPr>
        <w:rPr>
          <w:sz w:val="20"/>
        </w:rPr>
      </w:pPr>
    </w:p>
    <w:p w:rsidR="00383888" w:rsidRPr="00E66DAF" w:rsidRDefault="00383888" w:rsidP="00383888">
      <w:pPr>
        <w:jc w:val="both"/>
        <w:rPr>
          <w:i/>
          <w:sz w:val="20"/>
        </w:rPr>
      </w:pPr>
      <w:r w:rsidRPr="00E66DAF">
        <w:rPr>
          <w:i/>
          <w:sz w:val="20"/>
        </w:rPr>
        <w:t xml:space="preserve">Promedio de clases por registro </w:t>
      </w:r>
    </w:p>
    <w:p w:rsidR="00383888" w:rsidRPr="00E66DAF" w:rsidRDefault="00383888" w:rsidP="00383888">
      <w:pPr>
        <w:rPr>
          <w:sz w:val="20"/>
        </w:rPr>
      </w:pPr>
    </w:p>
    <w:p w:rsidR="00383888" w:rsidRPr="000615AB" w:rsidRDefault="00C40A11" w:rsidP="00383888">
      <w:r>
        <w:rPr>
          <w:noProof/>
          <w:lang w:val="en-US" w:eastAsia="en-US"/>
        </w:rPr>
        <w:drawing>
          <wp:inline distT="0" distB="0" distL="0" distR="0" wp14:anchorId="6669CA1A" wp14:editId="037B34D8">
            <wp:extent cx="5759450" cy="2176780"/>
            <wp:effectExtent l="0" t="0" r="0" b="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229" cstate="print">
                      <a:extLst>
                        <a:ext uri="{28A0092B-C50C-407E-A947-70E740481C1C}">
                          <a14:useLocalDpi xmlns:a14="http://schemas.microsoft.com/office/drawing/2010/main" val="0"/>
                        </a:ext>
                      </a:extLst>
                    </a:blip>
                    <a:srcRect/>
                    <a:stretch>
                      <a:fillRect/>
                    </a:stretch>
                  </pic:blipFill>
                  <pic:spPr bwMode="auto">
                    <a:xfrm>
                      <a:off x="0" y="0"/>
                      <a:ext cx="5759450" cy="2176780"/>
                    </a:xfrm>
                    <a:prstGeom prst="rect">
                      <a:avLst/>
                    </a:prstGeom>
                    <a:noFill/>
                    <a:ln>
                      <a:noFill/>
                    </a:ln>
                  </pic:spPr>
                </pic:pic>
              </a:graphicData>
            </a:graphic>
          </wp:inline>
        </w:drawing>
      </w:r>
    </w:p>
    <w:p w:rsidR="00383888" w:rsidRPr="000615AB" w:rsidRDefault="00383888" w:rsidP="00383888">
      <w:pPr>
        <w:jc w:val="both"/>
        <w:rPr>
          <w:sz w:val="20"/>
        </w:rPr>
      </w:pPr>
      <w:r w:rsidRPr="000615AB">
        <w:rPr>
          <w:sz w:val="20"/>
        </w:rPr>
        <w:t>Las Oficinas – no así la Oficina Internacional – perciben ingresos por cada clase de productos y servicios adicional que exceda de tres en una solicitud.</w:t>
      </w:r>
    </w:p>
    <w:p w:rsidR="00383888" w:rsidRPr="000615AB" w:rsidRDefault="00383888" w:rsidP="00383888">
      <w:pPr>
        <w:jc w:val="both"/>
        <w:rPr>
          <w:sz w:val="20"/>
        </w:rPr>
      </w:pPr>
    </w:p>
    <w:p w:rsidR="00383888" w:rsidRPr="000615AB" w:rsidRDefault="00383888" w:rsidP="00383888">
      <w:pPr>
        <w:jc w:val="both"/>
        <w:rPr>
          <w:i/>
          <w:sz w:val="20"/>
        </w:rPr>
      </w:pPr>
      <w:r w:rsidRPr="000615AB">
        <w:rPr>
          <w:i/>
          <w:sz w:val="20"/>
        </w:rPr>
        <w:t>Análisis del volumen de trabajo</w:t>
      </w:r>
    </w:p>
    <w:p w:rsidR="00383888" w:rsidRPr="000615AB" w:rsidRDefault="00383888" w:rsidP="00383888"/>
    <w:p w:rsidR="00383888" w:rsidRPr="000615AB" w:rsidRDefault="00383888" w:rsidP="00FE7D9C">
      <w:pPr>
        <w:numPr>
          <w:ilvl w:val="0"/>
          <w:numId w:val="56"/>
        </w:numPr>
        <w:jc w:val="both"/>
        <w:rPr>
          <w:sz w:val="20"/>
        </w:rPr>
      </w:pPr>
      <w:r w:rsidRPr="000615AB">
        <w:rPr>
          <w:sz w:val="20"/>
        </w:rPr>
        <w:t xml:space="preserve">Como lo reflejan los indicadores precedentes, además del número de solicitudes internacionales y de renovaciones, son varios los parámetros que influyen en el volumen de trabajo del sistema de Madrid.  Estas transacciones representan el 84% de los ingresos, por lo cual es importante tenerlas en cuenta a la hora de calcular los ingresos previstos a futuro.  No obstante, representan solo el 12,7% del número de solicitudes presentadas, lo cual no basta para calcular el volumen de trabajo global.  </w:t>
      </w:r>
    </w:p>
    <w:p w:rsidR="00383888" w:rsidRPr="000615AB" w:rsidRDefault="00383888" w:rsidP="00383888">
      <w:pPr>
        <w:jc w:val="both"/>
        <w:rPr>
          <w:sz w:val="20"/>
        </w:rPr>
      </w:pPr>
    </w:p>
    <w:p w:rsidR="00383888" w:rsidRPr="000615AB" w:rsidRDefault="00383888" w:rsidP="00FE7D9C">
      <w:pPr>
        <w:numPr>
          <w:ilvl w:val="0"/>
          <w:numId w:val="56"/>
        </w:numPr>
        <w:jc w:val="both"/>
        <w:rPr>
          <w:b/>
          <w:sz w:val="20"/>
        </w:rPr>
      </w:pPr>
      <w:r w:rsidRPr="000615AB">
        <w:rPr>
          <w:sz w:val="20"/>
        </w:rPr>
        <w:t>Por lo tanto, para crear unos indicadores de costo adecuados y prever los recursos necesarios, no podemos ceñirnos únicamente a las principales transacciones generadoras de ingresos (solicitudes, designaciones posteriores y renovaciones).</w:t>
      </w:r>
    </w:p>
    <w:p w:rsidR="00383888" w:rsidRPr="000615AB" w:rsidRDefault="00383888" w:rsidP="00383888">
      <w:pPr>
        <w:jc w:val="both"/>
        <w:rPr>
          <w:b/>
          <w:sz w:val="20"/>
        </w:rPr>
      </w:pPr>
    </w:p>
    <w:p w:rsidR="00383888" w:rsidRPr="000615AB" w:rsidRDefault="00383888" w:rsidP="00FE7D9C">
      <w:pPr>
        <w:numPr>
          <w:ilvl w:val="0"/>
          <w:numId w:val="56"/>
        </w:numPr>
        <w:jc w:val="both"/>
        <w:rPr>
          <w:b/>
          <w:sz w:val="20"/>
        </w:rPr>
      </w:pPr>
      <w:r w:rsidRPr="000615AB">
        <w:rPr>
          <w:sz w:val="20"/>
        </w:rPr>
        <w:t>Todos los indicadores antes mencionados influyen en el cálculo de los recursos necesarios para cumplir con el trabajo por hacer, pero solo un puñado influyen en los ingresos.  A modo de ejemplo, al aumento del volumen de palabras por solicitud registrado en 2011 supuso costos adicionales de traducción por 600.000 francos suizos, pero no generó ingreso alguno.</w:t>
      </w:r>
    </w:p>
    <w:p w:rsidR="00383888" w:rsidRPr="000615AB" w:rsidRDefault="00383888" w:rsidP="00383888">
      <w:pPr>
        <w:jc w:val="both"/>
        <w:rPr>
          <w:sz w:val="20"/>
        </w:rPr>
      </w:pPr>
    </w:p>
    <w:p w:rsidR="00383888" w:rsidRPr="000615AB" w:rsidRDefault="00383888" w:rsidP="00383888">
      <w:pPr>
        <w:keepNext/>
        <w:keepLines/>
        <w:jc w:val="both"/>
        <w:rPr>
          <w:b/>
          <w:sz w:val="20"/>
        </w:rPr>
      </w:pPr>
      <w:r w:rsidRPr="000615AB">
        <w:rPr>
          <w:b/>
          <w:sz w:val="20"/>
        </w:rPr>
        <w:lastRenderedPageBreak/>
        <w:t>Recursos</w:t>
      </w:r>
    </w:p>
    <w:p w:rsidR="00383888" w:rsidRPr="000615AB" w:rsidRDefault="00383888" w:rsidP="00383888">
      <w:pPr>
        <w:keepNext/>
        <w:keepLines/>
        <w:jc w:val="both"/>
        <w:rPr>
          <w:b/>
          <w:sz w:val="20"/>
        </w:rPr>
      </w:pPr>
    </w:p>
    <w:p w:rsidR="00383888" w:rsidRPr="000615AB" w:rsidRDefault="00383888" w:rsidP="00FE7D9C">
      <w:pPr>
        <w:keepNext/>
        <w:keepLines/>
        <w:numPr>
          <w:ilvl w:val="0"/>
          <w:numId w:val="56"/>
        </w:numPr>
        <w:jc w:val="both"/>
        <w:rPr>
          <w:sz w:val="20"/>
        </w:rPr>
      </w:pPr>
      <w:r w:rsidRPr="000615AB">
        <w:rPr>
          <w:sz w:val="20"/>
        </w:rPr>
        <w:t>Si bien el personal sigue siendo el principal recurso abocado a la tramitación de las solicitudes presentadas, se ha subcontratado a prestadores de servicios externos ciertas tareas, por ejemplo la traducción y la introducción de datos.</w:t>
      </w:r>
    </w:p>
    <w:p w:rsidR="00383888" w:rsidRPr="000615AB" w:rsidRDefault="00383888" w:rsidP="00383888">
      <w:pPr>
        <w:jc w:val="both"/>
        <w:rPr>
          <w:sz w:val="20"/>
        </w:rPr>
      </w:pPr>
    </w:p>
    <w:p w:rsidR="00383888" w:rsidRPr="000615AB" w:rsidRDefault="00383888" w:rsidP="00FE7D9C">
      <w:pPr>
        <w:numPr>
          <w:ilvl w:val="0"/>
          <w:numId w:val="56"/>
        </w:numPr>
        <w:jc w:val="both"/>
        <w:rPr>
          <w:sz w:val="20"/>
        </w:rPr>
      </w:pPr>
      <w:r w:rsidRPr="000615AB">
        <w:rPr>
          <w:sz w:val="20"/>
        </w:rPr>
        <w:t xml:space="preserve">Los costos de producción se dividen en costos directos y costos indirectos.  Los costos directos corresponden al gasto de las unidades del sistema de Madrid (la administración de los programas y del sistema de Madrid).  Los costos indirectos abarcan los gastos de las unidades de la Organización que prestan servicios al sistema de Madrid (por ejemplo, oficinas, tecnologías de la información, etcétera).  Los gastos se calcularon en forma proporcional para dar cuenta de los costos imputables sistema de Madrid únicamente. </w:t>
      </w:r>
    </w:p>
    <w:p w:rsidR="00383888" w:rsidRPr="000615AB" w:rsidRDefault="00383888" w:rsidP="00383888">
      <w:pPr>
        <w:jc w:val="both"/>
        <w:rPr>
          <w:sz w:val="20"/>
        </w:rPr>
      </w:pPr>
    </w:p>
    <w:p w:rsidR="00383888" w:rsidRPr="000615AB" w:rsidRDefault="00383888" w:rsidP="00FE7D9C">
      <w:pPr>
        <w:numPr>
          <w:ilvl w:val="0"/>
          <w:numId w:val="56"/>
        </w:numPr>
        <w:jc w:val="both"/>
        <w:rPr>
          <w:sz w:val="20"/>
        </w:rPr>
      </w:pPr>
      <w:r w:rsidRPr="000615AB">
        <w:rPr>
          <w:sz w:val="20"/>
        </w:rPr>
        <w:t xml:space="preserve">Pese a que el volumen general de trabajo ha aumentado, los costos generales de producción han disminuido, principalmente como consecuencia de la creciente automatización de las tareas de examen, clasificación y traducción.  </w:t>
      </w:r>
    </w:p>
    <w:p w:rsidR="00383888" w:rsidRPr="00DD572E" w:rsidRDefault="00383888" w:rsidP="00383888">
      <w:pPr>
        <w:rPr>
          <w:sz w:val="20"/>
        </w:rPr>
      </w:pPr>
    </w:p>
    <w:p w:rsidR="00383888" w:rsidRPr="00DD572E" w:rsidRDefault="00C40A11" w:rsidP="00383888">
      <w:pPr>
        <w:rPr>
          <w:sz w:val="20"/>
        </w:rPr>
      </w:pPr>
      <w:r>
        <w:rPr>
          <w:noProof/>
          <w:sz w:val="20"/>
          <w:lang w:val="en-US" w:eastAsia="en-US"/>
        </w:rPr>
        <w:drawing>
          <wp:inline distT="0" distB="0" distL="0" distR="0" wp14:anchorId="28A6FD70" wp14:editId="295589A8">
            <wp:extent cx="5759450" cy="2238375"/>
            <wp:effectExtent l="0" t="0" r="0" b="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5759450" cy="2238375"/>
                    </a:xfrm>
                    <a:prstGeom prst="rect">
                      <a:avLst/>
                    </a:prstGeom>
                    <a:noFill/>
                    <a:ln>
                      <a:noFill/>
                    </a:ln>
                  </pic:spPr>
                </pic:pic>
              </a:graphicData>
            </a:graphic>
          </wp:inline>
        </w:drawing>
      </w:r>
    </w:p>
    <w:p w:rsidR="00383888" w:rsidRPr="00DD572E" w:rsidRDefault="00383888" w:rsidP="00383888">
      <w:pPr>
        <w:rPr>
          <w:sz w:val="20"/>
        </w:rPr>
      </w:pPr>
    </w:p>
    <w:p w:rsidR="00383888" w:rsidRPr="000615AB" w:rsidRDefault="00383888" w:rsidP="00383888">
      <w:pPr>
        <w:jc w:val="both"/>
        <w:rPr>
          <w:b/>
          <w:sz w:val="20"/>
        </w:rPr>
      </w:pPr>
      <w:r w:rsidRPr="000615AB">
        <w:rPr>
          <w:b/>
          <w:sz w:val="20"/>
        </w:rPr>
        <w:t>Indicador del costo unitario</w:t>
      </w:r>
    </w:p>
    <w:p w:rsidR="00383888" w:rsidRPr="000615AB" w:rsidRDefault="00383888" w:rsidP="00383888">
      <w:pPr>
        <w:jc w:val="both"/>
        <w:rPr>
          <w:sz w:val="20"/>
        </w:rPr>
      </w:pPr>
    </w:p>
    <w:p w:rsidR="00383888" w:rsidRPr="000615AB" w:rsidRDefault="00383888" w:rsidP="00FE7D9C">
      <w:pPr>
        <w:numPr>
          <w:ilvl w:val="0"/>
          <w:numId w:val="56"/>
        </w:numPr>
        <w:spacing w:after="120"/>
        <w:jc w:val="both"/>
        <w:rPr>
          <w:sz w:val="20"/>
        </w:rPr>
      </w:pPr>
      <w:r w:rsidRPr="000615AB">
        <w:rPr>
          <w:sz w:val="20"/>
        </w:rPr>
        <w:t xml:space="preserve">El costo unitario se define como el costo total medio de una unidad de producto.  Se puede descomponer en dos indicadores:  </w:t>
      </w:r>
    </w:p>
    <w:p w:rsidR="00383888" w:rsidRPr="000615AB" w:rsidRDefault="00383888" w:rsidP="00FE7D9C">
      <w:pPr>
        <w:numPr>
          <w:ilvl w:val="0"/>
          <w:numId w:val="55"/>
        </w:numPr>
        <w:tabs>
          <w:tab w:val="clear" w:pos="720"/>
          <w:tab w:val="num" w:pos="1100"/>
        </w:tabs>
        <w:spacing w:after="120"/>
        <w:ind w:left="1100" w:hanging="550"/>
        <w:jc w:val="both"/>
        <w:rPr>
          <w:sz w:val="20"/>
        </w:rPr>
      </w:pPr>
      <w:r w:rsidRPr="000615AB">
        <w:rPr>
          <w:sz w:val="20"/>
        </w:rPr>
        <w:t xml:space="preserve">El costo unitario por solicitud -por solicitud se entiende un registro, una renovación o una designación posterior-;  representa el costo de la tramitación de solicitudes relacionadas con la adquisición de derechos.  </w:t>
      </w:r>
    </w:p>
    <w:p w:rsidR="00383888" w:rsidRPr="000615AB" w:rsidRDefault="00383888" w:rsidP="00FE7D9C">
      <w:pPr>
        <w:numPr>
          <w:ilvl w:val="0"/>
          <w:numId w:val="55"/>
        </w:numPr>
        <w:tabs>
          <w:tab w:val="clear" w:pos="720"/>
          <w:tab w:val="num" w:pos="1100"/>
        </w:tabs>
        <w:ind w:left="1100" w:hanging="550"/>
        <w:jc w:val="both"/>
        <w:rPr>
          <w:sz w:val="20"/>
        </w:rPr>
      </w:pPr>
      <w:r w:rsidRPr="000615AB">
        <w:rPr>
          <w:sz w:val="20"/>
        </w:rPr>
        <w:t>Costo unitario por inscripción, que abarca todas las inscripciones en el Registro; y por ende refleja los costos de mantenimiento del registro e incluye el volumen de trabajo en su totalidad.</w:t>
      </w:r>
    </w:p>
    <w:p w:rsidR="00383888" w:rsidRPr="000615AB" w:rsidRDefault="00383888" w:rsidP="00383888">
      <w:pPr>
        <w:jc w:val="both"/>
        <w:rPr>
          <w:sz w:val="20"/>
        </w:rPr>
      </w:pPr>
    </w:p>
    <w:p w:rsidR="00383888" w:rsidRPr="00F66DAD" w:rsidRDefault="00383888" w:rsidP="00383888">
      <w:pPr>
        <w:keepNext/>
        <w:keepLines/>
        <w:jc w:val="both"/>
        <w:rPr>
          <w:i/>
          <w:sz w:val="20"/>
        </w:rPr>
      </w:pPr>
      <w:r w:rsidRPr="00F66DAD">
        <w:rPr>
          <w:i/>
          <w:sz w:val="20"/>
        </w:rPr>
        <w:lastRenderedPageBreak/>
        <w:t>Costo unitario por solicitud</w:t>
      </w:r>
    </w:p>
    <w:p w:rsidR="00383888" w:rsidRPr="00F66DAD" w:rsidRDefault="00C40A11" w:rsidP="00383888">
      <w:pPr>
        <w:keepNext/>
        <w:keepLines/>
        <w:rPr>
          <w:sz w:val="20"/>
        </w:rPr>
      </w:pPr>
      <w:r>
        <w:rPr>
          <w:noProof/>
          <w:sz w:val="20"/>
          <w:lang w:val="en-US" w:eastAsia="en-US"/>
        </w:rPr>
        <w:drawing>
          <wp:inline distT="0" distB="0" distL="0" distR="0" wp14:anchorId="518EAEF2" wp14:editId="69DA6D9A">
            <wp:extent cx="5759450" cy="2238375"/>
            <wp:effectExtent l="0" t="0" r="0" b="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5759450" cy="2238375"/>
                    </a:xfrm>
                    <a:prstGeom prst="rect">
                      <a:avLst/>
                    </a:prstGeom>
                    <a:noFill/>
                    <a:ln>
                      <a:noFill/>
                    </a:ln>
                  </pic:spPr>
                </pic:pic>
              </a:graphicData>
            </a:graphic>
          </wp:inline>
        </w:drawing>
      </w:r>
    </w:p>
    <w:p w:rsidR="00383888" w:rsidRPr="00F66DAD" w:rsidRDefault="00383888" w:rsidP="00383888">
      <w:pPr>
        <w:keepNext/>
        <w:keepLines/>
        <w:rPr>
          <w:i/>
          <w:sz w:val="20"/>
        </w:rPr>
      </w:pPr>
    </w:p>
    <w:p w:rsidR="00383888" w:rsidRPr="00F66DAD" w:rsidRDefault="00383888" w:rsidP="00383888">
      <w:pPr>
        <w:keepNext/>
        <w:keepLines/>
        <w:rPr>
          <w:i/>
          <w:sz w:val="20"/>
        </w:rPr>
      </w:pPr>
      <w:r w:rsidRPr="00F66DAD">
        <w:rPr>
          <w:i/>
          <w:sz w:val="20"/>
        </w:rPr>
        <w:t>Costo unitario por inscripción</w:t>
      </w:r>
    </w:p>
    <w:p w:rsidR="00383888" w:rsidRPr="00F66DAD" w:rsidRDefault="00C40A11" w:rsidP="00383888">
      <w:pPr>
        <w:keepNext/>
        <w:keepLines/>
        <w:rPr>
          <w:sz w:val="20"/>
        </w:rPr>
      </w:pPr>
      <w:r>
        <w:rPr>
          <w:noProof/>
          <w:sz w:val="20"/>
          <w:lang w:val="en-US" w:eastAsia="en-US"/>
        </w:rPr>
        <w:drawing>
          <wp:inline distT="0" distB="0" distL="0" distR="0" wp14:anchorId="7BAB982A" wp14:editId="00F980B1">
            <wp:extent cx="5759450" cy="2156460"/>
            <wp:effectExtent l="0" t="0" r="0" b="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5759450" cy="2156460"/>
                    </a:xfrm>
                    <a:prstGeom prst="rect">
                      <a:avLst/>
                    </a:prstGeom>
                    <a:noFill/>
                    <a:ln>
                      <a:noFill/>
                    </a:ln>
                  </pic:spPr>
                </pic:pic>
              </a:graphicData>
            </a:graphic>
          </wp:inline>
        </w:drawing>
      </w:r>
    </w:p>
    <w:p w:rsidR="00383888" w:rsidRPr="000615AB" w:rsidRDefault="00383888" w:rsidP="00FE7D9C">
      <w:pPr>
        <w:numPr>
          <w:ilvl w:val="0"/>
          <w:numId w:val="56"/>
        </w:numPr>
        <w:jc w:val="both"/>
        <w:rPr>
          <w:sz w:val="20"/>
        </w:rPr>
      </w:pPr>
      <w:r w:rsidRPr="000615AB">
        <w:rPr>
          <w:sz w:val="20"/>
        </w:rPr>
        <w:t>Tanto el costo unitario por solicitud como el costo unitario por inscripción en el Registro han disminuido entre el 2010 y el 2012.  Esto se debe principalmente a la automatización de ciertos procedimientos.</w:t>
      </w:r>
    </w:p>
    <w:p w:rsidR="00383888" w:rsidRPr="000615AB" w:rsidRDefault="00383888" w:rsidP="00383888">
      <w:pPr>
        <w:jc w:val="both"/>
        <w:rPr>
          <w:b/>
          <w:sz w:val="20"/>
        </w:rPr>
      </w:pPr>
    </w:p>
    <w:p w:rsidR="00383888" w:rsidRPr="000615AB" w:rsidRDefault="00383888" w:rsidP="00383888">
      <w:pPr>
        <w:jc w:val="both"/>
        <w:rPr>
          <w:b/>
          <w:sz w:val="20"/>
        </w:rPr>
      </w:pPr>
      <w:r w:rsidRPr="000615AB">
        <w:rPr>
          <w:b/>
          <w:sz w:val="20"/>
        </w:rPr>
        <w:t>Productividad</w:t>
      </w:r>
    </w:p>
    <w:p w:rsidR="00383888" w:rsidRPr="00D40601" w:rsidRDefault="00383888" w:rsidP="00383888">
      <w:pPr>
        <w:jc w:val="both"/>
        <w:rPr>
          <w:sz w:val="20"/>
        </w:rPr>
      </w:pPr>
    </w:p>
    <w:p w:rsidR="00383888" w:rsidRPr="00D40601" w:rsidRDefault="00383888" w:rsidP="00FE7D9C">
      <w:pPr>
        <w:numPr>
          <w:ilvl w:val="0"/>
          <w:numId w:val="56"/>
        </w:numPr>
        <w:jc w:val="both"/>
        <w:rPr>
          <w:sz w:val="20"/>
        </w:rPr>
      </w:pPr>
      <w:r w:rsidRPr="00D40601">
        <w:rPr>
          <w:sz w:val="20"/>
        </w:rPr>
        <w:t>La productividad equivale al número de unidades de producto, es decir solicitudes e inscripciones, dividido entre el número de empleados de nómina registrado al final de cada año.</w:t>
      </w:r>
    </w:p>
    <w:p w:rsidR="00383888" w:rsidRPr="00D40601" w:rsidRDefault="00383888" w:rsidP="00383888">
      <w:pPr>
        <w:rPr>
          <w:sz w:val="20"/>
        </w:rPr>
      </w:pPr>
    </w:p>
    <w:p w:rsidR="00383888" w:rsidRPr="00D40601" w:rsidRDefault="00C40A11" w:rsidP="00383888">
      <w:pPr>
        <w:rPr>
          <w:sz w:val="20"/>
        </w:rPr>
      </w:pPr>
      <w:r>
        <w:rPr>
          <w:noProof/>
          <w:sz w:val="20"/>
          <w:lang w:val="en-US" w:eastAsia="en-US"/>
        </w:rPr>
        <w:drawing>
          <wp:inline distT="0" distB="0" distL="0" distR="0" wp14:anchorId="7ECABC52" wp14:editId="42A79492">
            <wp:extent cx="5111115" cy="2012950"/>
            <wp:effectExtent l="0" t="0" r="0" b="635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233" cstate="print">
                      <a:extLst>
                        <a:ext uri="{28A0092B-C50C-407E-A947-70E740481C1C}">
                          <a14:useLocalDpi xmlns:a14="http://schemas.microsoft.com/office/drawing/2010/main" val="0"/>
                        </a:ext>
                      </a:extLst>
                    </a:blip>
                    <a:srcRect/>
                    <a:stretch>
                      <a:fillRect/>
                    </a:stretch>
                  </pic:blipFill>
                  <pic:spPr bwMode="auto">
                    <a:xfrm>
                      <a:off x="0" y="0"/>
                      <a:ext cx="5111115" cy="2012950"/>
                    </a:xfrm>
                    <a:prstGeom prst="rect">
                      <a:avLst/>
                    </a:prstGeom>
                    <a:noFill/>
                    <a:ln>
                      <a:noFill/>
                    </a:ln>
                  </pic:spPr>
                </pic:pic>
              </a:graphicData>
            </a:graphic>
          </wp:inline>
        </w:drawing>
      </w:r>
    </w:p>
    <w:p w:rsidR="00383888" w:rsidRPr="000615AB" w:rsidRDefault="00C40A11" w:rsidP="00383888">
      <w:pPr>
        <w:jc w:val="center"/>
      </w:pPr>
      <w:r>
        <w:rPr>
          <w:noProof/>
          <w:lang w:val="en-US" w:eastAsia="en-US"/>
        </w:rPr>
        <w:lastRenderedPageBreak/>
        <w:drawing>
          <wp:inline distT="0" distB="0" distL="0" distR="0" wp14:anchorId="31FB70F1" wp14:editId="1628A778">
            <wp:extent cx="4994910" cy="1978660"/>
            <wp:effectExtent l="0" t="0" r="0" b="254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234" cstate="print">
                      <a:extLst>
                        <a:ext uri="{28A0092B-C50C-407E-A947-70E740481C1C}">
                          <a14:useLocalDpi xmlns:a14="http://schemas.microsoft.com/office/drawing/2010/main" val="0"/>
                        </a:ext>
                      </a:extLst>
                    </a:blip>
                    <a:srcRect/>
                    <a:stretch>
                      <a:fillRect/>
                    </a:stretch>
                  </pic:blipFill>
                  <pic:spPr bwMode="auto">
                    <a:xfrm>
                      <a:off x="0" y="0"/>
                      <a:ext cx="4994910" cy="1978660"/>
                    </a:xfrm>
                    <a:prstGeom prst="rect">
                      <a:avLst/>
                    </a:prstGeom>
                    <a:noFill/>
                    <a:ln>
                      <a:noFill/>
                    </a:ln>
                  </pic:spPr>
                </pic:pic>
              </a:graphicData>
            </a:graphic>
          </wp:inline>
        </w:drawing>
      </w:r>
    </w:p>
    <w:p w:rsidR="00383888" w:rsidRPr="000615AB" w:rsidRDefault="00383888" w:rsidP="00383888">
      <w:pPr>
        <w:jc w:val="both"/>
        <w:rPr>
          <w:sz w:val="20"/>
        </w:rPr>
      </w:pPr>
    </w:p>
    <w:p w:rsidR="00383888" w:rsidRPr="000615AB" w:rsidRDefault="00383888" w:rsidP="00383888">
      <w:pPr>
        <w:jc w:val="both"/>
        <w:rPr>
          <w:b/>
          <w:sz w:val="20"/>
        </w:rPr>
      </w:pPr>
      <w:r w:rsidRPr="000615AB">
        <w:rPr>
          <w:sz w:val="20"/>
        </w:rPr>
        <w:t xml:space="preserve">El aumento de la productividad deriva principalmente de los esfuerzos de automatización informática que están en curso. </w:t>
      </w:r>
    </w:p>
    <w:p w:rsidR="00383888" w:rsidRPr="00592C42" w:rsidRDefault="00383888" w:rsidP="00383888">
      <w:pPr>
        <w:jc w:val="both"/>
        <w:rPr>
          <w:b/>
          <w:sz w:val="20"/>
        </w:rPr>
      </w:pPr>
    </w:p>
    <w:p w:rsidR="00383888" w:rsidRPr="00592C42" w:rsidRDefault="00383888" w:rsidP="00383888">
      <w:pPr>
        <w:jc w:val="both"/>
        <w:rPr>
          <w:sz w:val="20"/>
        </w:rPr>
      </w:pPr>
      <w:r w:rsidRPr="00592C42">
        <w:rPr>
          <w:b/>
          <w:sz w:val="20"/>
        </w:rPr>
        <w:t>Indicadores de calidad</w:t>
      </w:r>
    </w:p>
    <w:p w:rsidR="00383888" w:rsidRPr="00592C42" w:rsidRDefault="00383888" w:rsidP="00383888">
      <w:pPr>
        <w:jc w:val="both"/>
        <w:rPr>
          <w:b/>
          <w:sz w:val="20"/>
        </w:rPr>
      </w:pPr>
    </w:p>
    <w:p w:rsidR="00383888" w:rsidRDefault="00383888" w:rsidP="00383888">
      <w:pPr>
        <w:jc w:val="both"/>
        <w:rPr>
          <w:i/>
          <w:sz w:val="20"/>
        </w:rPr>
      </w:pPr>
      <w:r w:rsidRPr="00592C42">
        <w:rPr>
          <w:i/>
          <w:sz w:val="20"/>
        </w:rPr>
        <w:t>Media de tiempo de tramitación de nuevas solicitudes regulares</w:t>
      </w:r>
    </w:p>
    <w:p w:rsidR="00383888" w:rsidRPr="00592C42" w:rsidRDefault="00383888" w:rsidP="00383888">
      <w:pPr>
        <w:jc w:val="both"/>
        <w:rPr>
          <w:i/>
          <w:sz w:val="20"/>
        </w:rPr>
      </w:pPr>
    </w:p>
    <w:p w:rsidR="00383888" w:rsidRPr="00592C42" w:rsidRDefault="00C40A11" w:rsidP="00383888">
      <w:pPr>
        <w:jc w:val="both"/>
        <w:rPr>
          <w:sz w:val="20"/>
        </w:rPr>
      </w:pPr>
      <w:r>
        <w:rPr>
          <w:noProof/>
          <w:sz w:val="20"/>
          <w:lang w:val="en-US" w:eastAsia="en-US"/>
        </w:rPr>
        <w:drawing>
          <wp:inline distT="0" distB="0" distL="0" distR="0" wp14:anchorId="30AD58DF" wp14:editId="05373849">
            <wp:extent cx="5541010" cy="2381250"/>
            <wp:effectExtent l="0" t="0" r="2540" b="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235" cstate="print">
                      <a:extLst>
                        <a:ext uri="{28A0092B-C50C-407E-A947-70E740481C1C}">
                          <a14:useLocalDpi xmlns:a14="http://schemas.microsoft.com/office/drawing/2010/main" val="0"/>
                        </a:ext>
                      </a:extLst>
                    </a:blip>
                    <a:srcRect/>
                    <a:stretch>
                      <a:fillRect/>
                    </a:stretch>
                  </pic:blipFill>
                  <pic:spPr bwMode="auto">
                    <a:xfrm>
                      <a:off x="0" y="0"/>
                      <a:ext cx="5541010" cy="2381250"/>
                    </a:xfrm>
                    <a:prstGeom prst="rect">
                      <a:avLst/>
                    </a:prstGeom>
                    <a:noFill/>
                    <a:ln>
                      <a:noFill/>
                    </a:ln>
                  </pic:spPr>
                </pic:pic>
              </a:graphicData>
            </a:graphic>
          </wp:inline>
        </w:drawing>
      </w:r>
    </w:p>
    <w:p w:rsidR="00383888" w:rsidRPr="000615AB" w:rsidRDefault="00383888" w:rsidP="00383888">
      <w:pPr>
        <w:jc w:val="both"/>
        <w:rPr>
          <w:i/>
          <w:sz w:val="20"/>
        </w:rPr>
      </w:pPr>
      <w:r w:rsidRPr="000615AB">
        <w:rPr>
          <w:i/>
          <w:sz w:val="20"/>
        </w:rPr>
        <w:t>Tiempo necesario para la tramitación de una solicitud regular en el sistema de Madrid</w:t>
      </w:r>
    </w:p>
    <w:p w:rsidR="00383888" w:rsidRPr="000615AB" w:rsidRDefault="00383888" w:rsidP="00383888">
      <w:pPr>
        <w:jc w:val="both"/>
        <w:rPr>
          <w:sz w:val="20"/>
        </w:rPr>
      </w:pPr>
    </w:p>
    <w:p w:rsidR="00383888" w:rsidRPr="000615AB" w:rsidRDefault="00383888" w:rsidP="00FE7D9C">
      <w:pPr>
        <w:numPr>
          <w:ilvl w:val="0"/>
          <w:numId w:val="56"/>
        </w:numPr>
        <w:jc w:val="both"/>
        <w:rPr>
          <w:sz w:val="20"/>
        </w:rPr>
      </w:pPr>
      <w:r w:rsidRPr="000615AB">
        <w:rPr>
          <w:sz w:val="20"/>
        </w:rPr>
        <w:t>Este indicador refleja el tiempo de tramitación de una solicitud de registro internacional regular.  Da cuenta del tiempo que tarda la Oficina Internacional en inscribir una solicitud internacional regular en el Registro y toma en cuenta los siguientes procesos: escaneo, introducción de datos, examen de la forma, clasificación de productos y servicios (Clasificación de Niza), clasificación de los elementos figurativos de las marcas (Clasificación de Viena), cálculo y verificación de tasas, así como traducción.  Para calcular el tiempo de tramitación, se toma en cuenta el período comprendido entre la recepción del documento y su inscripción en el Registro Internacional.</w:t>
      </w:r>
    </w:p>
    <w:p w:rsidR="00383888" w:rsidRPr="000615AB" w:rsidRDefault="00C40A11" w:rsidP="00383888">
      <w:pPr>
        <w:jc w:val="center"/>
        <w:rPr>
          <w:sz w:val="20"/>
        </w:rPr>
      </w:pPr>
      <w:r>
        <w:rPr>
          <w:noProof/>
          <w:sz w:val="20"/>
          <w:lang w:val="en-US" w:eastAsia="en-US"/>
        </w:rPr>
        <w:drawing>
          <wp:inline distT="0" distB="0" distL="0" distR="0" wp14:anchorId="3276F0C2" wp14:editId="17FF0AB6">
            <wp:extent cx="3712210" cy="2129155"/>
            <wp:effectExtent l="0" t="0" r="2540" b="4445"/>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236" cstate="print">
                      <a:extLst>
                        <a:ext uri="{28A0092B-C50C-407E-A947-70E740481C1C}">
                          <a14:useLocalDpi xmlns:a14="http://schemas.microsoft.com/office/drawing/2010/main" val="0"/>
                        </a:ext>
                      </a:extLst>
                    </a:blip>
                    <a:srcRect/>
                    <a:stretch>
                      <a:fillRect/>
                    </a:stretch>
                  </pic:blipFill>
                  <pic:spPr bwMode="auto">
                    <a:xfrm>
                      <a:off x="0" y="0"/>
                      <a:ext cx="3712210" cy="2129155"/>
                    </a:xfrm>
                    <a:prstGeom prst="rect">
                      <a:avLst/>
                    </a:prstGeom>
                    <a:noFill/>
                    <a:ln>
                      <a:noFill/>
                    </a:ln>
                  </pic:spPr>
                </pic:pic>
              </a:graphicData>
            </a:graphic>
          </wp:inline>
        </w:drawing>
      </w:r>
    </w:p>
    <w:p w:rsidR="00383888" w:rsidRPr="000615AB" w:rsidRDefault="00383888" w:rsidP="00383888">
      <w:pPr>
        <w:rPr>
          <w:sz w:val="20"/>
        </w:rPr>
        <w:sectPr w:rsidR="00383888" w:rsidRPr="000615AB" w:rsidSect="00B47699">
          <w:pgSz w:w="11907" w:h="16840" w:code="9"/>
          <w:pgMar w:top="567" w:right="1418" w:bottom="1418" w:left="1418" w:header="510" w:footer="851" w:gutter="0"/>
          <w:cols w:space="720"/>
        </w:sectPr>
      </w:pPr>
    </w:p>
    <w:p w:rsidR="00383888" w:rsidRPr="00C3705E" w:rsidRDefault="00383888" w:rsidP="00383888">
      <w:pPr>
        <w:pStyle w:val="Heading2"/>
        <w:tabs>
          <w:tab w:val="left" w:pos="1418"/>
        </w:tabs>
        <w:ind w:left="1418" w:hanging="1418"/>
        <w:rPr>
          <w:b/>
          <w:caps w:val="0"/>
          <w:szCs w:val="24"/>
          <w:lang w:val="es-ES_tradnl"/>
        </w:rPr>
      </w:pPr>
      <w:bookmarkStart w:id="108" w:name="_Toc358816730"/>
      <w:r w:rsidRPr="00C3705E">
        <w:rPr>
          <w:b/>
          <w:caps w:val="0"/>
          <w:szCs w:val="24"/>
          <w:lang w:val="es-ES_tradnl"/>
        </w:rPr>
        <w:lastRenderedPageBreak/>
        <w:t>ANEXO VII.</w:t>
      </w:r>
      <w:r w:rsidRPr="00C3705E">
        <w:rPr>
          <w:b/>
          <w:caps w:val="0"/>
          <w:szCs w:val="24"/>
          <w:lang w:val="es-ES_tradnl"/>
        </w:rPr>
        <w:tab/>
        <w:t>INDICADORES DE LAS OPERACIONES DEL SISTEMA DE LA HAYA</w:t>
      </w:r>
      <w:bookmarkEnd w:id="108"/>
    </w:p>
    <w:p w:rsidR="00383888" w:rsidRPr="000615AB" w:rsidRDefault="00383888" w:rsidP="00383888">
      <w:pPr>
        <w:rPr>
          <w:sz w:val="20"/>
        </w:rPr>
      </w:pPr>
    </w:p>
    <w:p w:rsidR="00383888" w:rsidRPr="000615AB" w:rsidRDefault="00383888" w:rsidP="00383888">
      <w:pPr>
        <w:tabs>
          <w:tab w:val="left" w:pos="0"/>
        </w:tabs>
        <w:jc w:val="center"/>
        <w:rPr>
          <w:bCs/>
          <w:szCs w:val="22"/>
        </w:rPr>
      </w:pPr>
      <w:r w:rsidRPr="000615AB">
        <w:rPr>
          <w:bCs/>
          <w:szCs w:val="22"/>
        </w:rPr>
        <w:t>INDICADORES DE RENDIMIENTO CON</w:t>
      </w:r>
      <w:r>
        <w:rPr>
          <w:bCs/>
          <w:szCs w:val="22"/>
        </w:rPr>
        <w:t xml:space="preserve"> RESPECTO AL RESULTADO PREVISTO</w:t>
      </w:r>
    </w:p>
    <w:p w:rsidR="00383888" w:rsidRPr="000615AB" w:rsidRDefault="00383888" w:rsidP="00383888">
      <w:pPr>
        <w:tabs>
          <w:tab w:val="left" w:pos="0"/>
        </w:tabs>
        <w:jc w:val="center"/>
        <w:rPr>
          <w:bCs/>
          <w:szCs w:val="22"/>
        </w:rPr>
      </w:pPr>
      <w:r w:rsidRPr="000615AB">
        <w:rPr>
          <w:bCs/>
          <w:szCs w:val="22"/>
        </w:rPr>
        <w:t>“MEJORA DE LA PRODUCTIVIDAD Y DE LA CALIDAD DE LOS SERVICIOS EN LAS OPERACIONES DEL SISTEMA DE LA HAYA"</w:t>
      </w:r>
    </w:p>
    <w:p w:rsidR="00383888" w:rsidRPr="00C71513" w:rsidRDefault="00383888" w:rsidP="00383888">
      <w:pPr>
        <w:tabs>
          <w:tab w:val="left" w:pos="0"/>
        </w:tabs>
        <w:rPr>
          <w:bCs/>
          <w:sz w:val="20"/>
        </w:rPr>
      </w:pPr>
    </w:p>
    <w:p w:rsidR="00383888" w:rsidRPr="00C71513" w:rsidRDefault="00383888" w:rsidP="00383888">
      <w:pPr>
        <w:rPr>
          <w:b/>
          <w:sz w:val="20"/>
        </w:rPr>
      </w:pPr>
    </w:p>
    <w:p w:rsidR="00383888" w:rsidRPr="000615AB" w:rsidRDefault="00383888" w:rsidP="00383888">
      <w:pPr>
        <w:rPr>
          <w:b/>
          <w:sz w:val="20"/>
        </w:rPr>
      </w:pPr>
      <w:r w:rsidRPr="000615AB">
        <w:rPr>
          <w:b/>
          <w:sz w:val="20"/>
        </w:rPr>
        <w:t xml:space="preserve">Sistema de La Haya: </w:t>
      </w:r>
      <w:r>
        <w:rPr>
          <w:b/>
          <w:sz w:val="20"/>
        </w:rPr>
        <w:t xml:space="preserve"> </w:t>
      </w:r>
      <w:r w:rsidRPr="000615AB">
        <w:rPr>
          <w:b/>
          <w:sz w:val="20"/>
        </w:rPr>
        <w:t>actividades de la Oficina Internacional relativas al registro</w:t>
      </w:r>
    </w:p>
    <w:p w:rsidR="00383888" w:rsidRPr="000615AB" w:rsidRDefault="00383888" w:rsidP="00383888">
      <w:pPr>
        <w:rPr>
          <w:sz w:val="20"/>
        </w:rPr>
      </w:pPr>
    </w:p>
    <w:p w:rsidR="00383888" w:rsidRPr="00D22B96" w:rsidRDefault="00383888" w:rsidP="00FE7D9C">
      <w:pPr>
        <w:numPr>
          <w:ilvl w:val="0"/>
          <w:numId w:val="57"/>
        </w:numPr>
        <w:jc w:val="both"/>
        <w:rPr>
          <w:sz w:val="20"/>
        </w:rPr>
      </w:pPr>
      <w:r w:rsidRPr="000615AB">
        <w:rPr>
          <w:sz w:val="20"/>
        </w:rPr>
        <w:t xml:space="preserve">La labor administrativa de la Oficina Internacional en el marco del sistema de La Haya se articula en torno a tres esferas: </w:t>
      </w:r>
      <w:r>
        <w:rPr>
          <w:sz w:val="20"/>
        </w:rPr>
        <w:t xml:space="preserve"> </w:t>
      </w:r>
      <w:r w:rsidRPr="000615AB">
        <w:rPr>
          <w:sz w:val="20"/>
        </w:rPr>
        <w:t>la adquisición y el mantenimiento de derechos;  las decisiones de las Partes Contratantes designadas;  y las modificaciones aportadas a los registros internacionales</w:t>
      </w:r>
      <w:r w:rsidRPr="00D22B96">
        <w:rPr>
          <w:sz w:val="20"/>
        </w:rPr>
        <w:t>.</w:t>
      </w:r>
    </w:p>
    <w:p w:rsidR="00383888" w:rsidRPr="000615AB" w:rsidRDefault="00383888" w:rsidP="00383888">
      <w:pPr>
        <w:jc w:val="both"/>
        <w:rPr>
          <w:sz w:val="20"/>
        </w:rPr>
      </w:pPr>
    </w:p>
    <w:p w:rsidR="00383888" w:rsidRPr="00D821D3" w:rsidRDefault="00383888" w:rsidP="00FE7D9C">
      <w:pPr>
        <w:numPr>
          <w:ilvl w:val="0"/>
          <w:numId w:val="57"/>
        </w:numPr>
        <w:jc w:val="both"/>
        <w:rPr>
          <w:sz w:val="20"/>
        </w:rPr>
      </w:pPr>
      <w:r w:rsidRPr="000615AB">
        <w:rPr>
          <w:sz w:val="20"/>
        </w:rPr>
        <w:t xml:space="preserve">Con respecto a la adquisición y al mantenimiento de derechos, la Oficina Internacional se encarga del examen de todas las solicitudes internacionales, lo cual implica cotejar que respetan las disposiciones del marco jurídico del sistema de La Haya, en particular comprobar la calidad de las reproducciones de los dibujos y modelos (una solicitud puede contener hasta 100 dibujos y modelos, cada uno de los cuales pueden ser objeto de ilimitadas reproducciones) y verificar que la clase a la que se atribuyeron los dibujos o modelos en la solicitud es la correcta.  Luego se inscribe el </w:t>
      </w:r>
      <w:r w:rsidRPr="00D821D3">
        <w:rPr>
          <w:sz w:val="20"/>
        </w:rPr>
        <w:t>consiguiente registro internacional en el Registro, con posibilidad de renovación al cabo de cinco años por al menos dos períodos adicionales de cinco años.</w:t>
      </w:r>
    </w:p>
    <w:p w:rsidR="00383888" w:rsidRPr="000615AB" w:rsidRDefault="00383888" w:rsidP="00383888">
      <w:pPr>
        <w:jc w:val="both"/>
        <w:rPr>
          <w:sz w:val="20"/>
        </w:rPr>
      </w:pPr>
    </w:p>
    <w:p w:rsidR="00383888" w:rsidRPr="000615AB" w:rsidRDefault="00383888" w:rsidP="00FE7D9C">
      <w:pPr>
        <w:numPr>
          <w:ilvl w:val="0"/>
          <w:numId w:val="57"/>
        </w:numPr>
        <w:jc w:val="both"/>
        <w:rPr>
          <w:sz w:val="20"/>
        </w:rPr>
      </w:pPr>
      <w:r w:rsidRPr="000615AB">
        <w:rPr>
          <w:sz w:val="20"/>
        </w:rPr>
        <w:t>En cuanto a las decisiones relativas al alcance de la protección en cada una de las Partes Contratantes designadas, la Oficina Internacional estudia, registra, publica y notifica la decisión inicial tomada por la Oficina en cuanto a la concesión o a la denegación de protección.</w:t>
      </w:r>
    </w:p>
    <w:p w:rsidR="00383888" w:rsidRPr="000615AB" w:rsidRDefault="00383888" w:rsidP="00383888">
      <w:pPr>
        <w:jc w:val="both"/>
        <w:rPr>
          <w:sz w:val="20"/>
        </w:rPr>
      </w:pPr>
    </w:p>
    <w:p w:rsidR="00383888" w:rsidRPr="000615AB" w:rsidRDefault="00383888" w:rsidP="00FE7D9C">
      <w:pPr>
        <w:numPr>
          <w:ilvl w:val="0"/>
          <w:numId w:val="57"/>
        </w:numPr>
        <w:jc w:val="both"/>
        <w:rPr>
          <w:sz w:val="20"/>
        </w:rPr>
      </w:pPr>
      <w:r w:rsidRPr="000615AB">
        <w:rPr>
          <w:sz w:val="20"/>
        </w:rPr>
        <w:t>Por último, una de las características del sistema de La Haya es la gestión centralizada de los registros internacionales, esto significa que todo cambio efectuado en el Registro Internacional se repercutirá en el conjunto de las Partes Contratantes designadas.  Por lo tanto, la Oficina Internacional estudia, registra, publica y notifica las solicitudes sobre, entre otros, los cambios de titularidad, el cambio de domicilio del titular, las renuncias y las limitaciones.</w:t>
      </w:r>
    </w:p>
    <w:p w:rsidR="00383888" w:rsidRPr="000615AB" w:rsidRDefault="00383888" w:rsidP="00383888">
      <w:pPr>
        <w:rPr>
          <w:sz w:val="20"/>
        </w:rPr>
      </w:pPr>
    </w:p>
    <w:p w:rsidR="00383888" w:rsidRPr="000615AB" w:rsidRDefault="00383888" w:rsidP="00383888">
      <w:pPr>
        <w:rPr>
          <w:b/>
          <w:sz w:val="20"/>
        </w:rPr>
      </w:pPr>
      <w:r w:rsidRPr="000615AB">
        <w:rPr>
          <w:b/>
          <w:sz w:val="20"/>
        </w:rPr>
        <w:t>Antecedentes</w:t>
      </w:r>
    </w:p>
    <w:p w:rsidR="00383888" w:rsidRPr="000615AB" w:rsidRDefault="00383888" w:rsidP="00383888">
      <w:pPr>
        <w:rPr>
          <w:b/>
          <w:sz w:val="20"/>
        </w:rPr>
      </w:pPr>
    </w:p>
    <w:p w:rsidR="00383888" w:rsidRPr="000615AB" w:rsidRDefault="00383888" w:rsidP="00FE7D9C">
      <w:pPr>
        <w:numPr>
          <w:ilvl w:val="0"/>
          <w:numId w:val="57"/>
        </w:numPr>
        <w:jc w:val="both"/>
        <w:rPr>
          <w:sz w:val="20"/>
        </w:rPr>
      </w:pPr>
      <w:r w:rsidRPr="000615AB">
        <w:rPr>
          <w:sz w:val="20"/>
        </w:rPr>
        <w:t>Como referencia de los indicadores de rendimiento en lo que respecta al resultado previsto “Mejora de la productividad y de la calidad de los servicios en las operaciones del sistema de La Haya”, puede ser útil considerar la evolución de los siguientes factores:</w:t>
      </w:r>
    </w:p>
    <w:p w:rsidR="00383888" w:rsidRPr="000615AB" w:rsidRDefault="00383888" w:rsidP="00383888">
      <w:pPr>
        <w:jc w:val="both"/>
        <w:rPr>
          <w:sz w:val="20"/>
        </w:rPr>
      </w:pPr>
      <w:r w:rsidRPr="000615AB">
        <w:rPr>
          <w:sz w:val="20"/>
        </w:rPr>
        <w:t xml:space="preserve"> </w:t>
      </w:r>
    </w:p>
    <w:p w:rsidR="00383888" w:rsidRPr="000615AB" w:rsidRDefault="00383888" w:rsidP="00FE7D9C">
      <w:pPr>
        <w:numPr>
          <w:ilvl w:val="0"/>
          <w:numId w:val="54"/>
        </w:numPr>
        <w:tabs>
          <w:tab w:val="clear" w:pos="720"/>
          <w:tab w:val="num" w:pos="1100"/>
        </w:tabs>
        <w:ind w:left="1100" w:hanging="550"/>
        <w:jc w:val="both"/>
        <w:rPr>
          <w:sz w:val="20"/>
        </w:rPr>
      </w:pPr>
      <w:r w:rsidRPr="000615AB">
        <w:rPr>
          <w:sz w:val="20"/>
        </w:rPr>
        <w:t>Volumen de trabajo administrativo del sistema de La Haya;</w:t>
      </w:r>
    </w:p>
    <w:p w:rsidR="00383888" w:rsidRPr="000615AB" w:rsidRDefault="00383888" w:rsidP="00FE7D9C">
      <w:pPr>
        <w:numPr>
          <w:ilvl w:val="0"/>
          <w:numId w:val="54"/>
        </w:numPr>
        <w:tabs>
          <w:tab w:val="clear" w:pos="720"/>
          <w:tab w:val="num" w:pos="1100"/>
        </w:tabs>
        <w:ind w:left="1100" w:hanging="550"/>
        <w:jc w:val="both"/>
        <w:rPr>
          <w:sz w:val="20"/>
        </w:rPr>
      </w:pPr>
      <w:r w:rsidRPr="000615AB">
        <w:rPr>
          <w:sz w:val="20"/>
        </w:rPr>
        <w:t>Personal asignado para gestionar el volumen de trabajo.</w:t>
      </w:r>
    </w:p>
    <w:p w:rsidR="00383888" w:rsidRPr="000615AB" w:rsidRDefault="00383888" w:rsidP="00383888">
      <w:pPr>
        <w:jc w:val="both"/>
        <w:rPr>
          <w:b/>
          <w:sz w:val="20"/>
        </w:rPr>
      </w:pPr>
    </w:p>
    <w:p w:rsidR="00383888" w:rsidRPr="000615AB" w:rsidRDefault="00383888" w:rsidP="00383888">
      <w:pPr>
        <w:rPr>
          <w:b/>
          <w:sz w:val="20"/>
        </w:rPr>
      </w:pPr>
      <w:r w:rsidRPr="000615AB">
        <w:rPr>
          <w:b/>
          <w:sz w:val="20"/>
        </w:rPr>
        <w:t>Volumen de trabajo</w:t>
      </w:r>
    </w:p>
    <w:p w:rsidR="00383888" w:rsidRPr="000615AB" w:rsidRDefault="00383888" w:rsidP="00383888">
      <w:pPr>
        <w:jc w:val="both"/>
        <w:rPr>
          <w:b/>
          <w:sz w:val="20"/>
        </w:rPr>
      </w:pPr>
    </w:p>
    <w:p w:rsidR="00383888" w:rsidRPr="000615AB" w:rsidRDefault="00383888" w:rsidP="00FE7D9C">
      <w:pPr>
        <w:numPr>
          <w:ilvl w:val="0"/>
          <w:numId w:val="57"/>
        </w:numPr>
        <w:jc w:val="both"/>
        <w:rPr>
          <w:sz w:val="20"/>
        </w:rPr>
      </w:pPr>
      <w:r w:rsidRPr="000615AB">
        <w:rPr>
          <w:sz w:val="20"/>
        </w:rPr>
        <w:t xml:space="preserve">La evolución del volumen de trabajo se analiza a partir del número de solicitudes y peticiones que la Oficina Internacional recibe por año en lo relativo a tres esferas, a saber, la adquisición y el mantenimiento de derechos que abarca las nuevas solicitudes y las solicitudes de renovación;  las decisiones de las Partes Contratantes designadas;  y las peticiones de </w:t>
      </w:r>
      <w:r>
        <w:rPr>
          <w:sz w:val="20"/>
        </w:rPr>
        <w:t xml:space="preserve">inscripción de </w:t>
      </w:r>
      <w:r w:rsidRPr="000615AB">
        <w:rPr>
          <w:sz w:val="20"/>
        </w:rPr>
        <w:t>cambio</w:t>
      </w:r>
      <w:r>
        <w:rPr>
          <w:sz w:val="20"/>
        </w:rPr>
        <w:t xml:space="preserve">s en </w:t>
      </w:r>
      <w:r w:rsidRPr="000615AB">
        <w:rPr>
          <w:sz w:val="20"/>
        </w:rPr>
        <w:t>el Registro Internacional.</w:t>
      </w:r>
    </w:p>
    <w:p w:rsidR="00383888" w:rsidRPr="000615AB" w:rsidRDefault="00383888" w:rsidP="00383888">
      <w:pPr>
        <w:rPr>
          <w:sz w:val="20"/>
        </w:rPr>
      </w:pPr>
    </w:p>
    <w:p w:rsidR="00383888" w:rsidRPr="00D22B96" w:rsidRDefault="00383888" w:rsidP="00FE7D9C">
      <w:pPr>
        <w:numPr>
          <w:ilvl w:val="0"/>
          <w:numId w:val="57"/>
        </w:numPr>
        <w:jc w:val="both"/>
        <w:rPr>
          <w:sz w:val="20"/>
        </w:rPr>
      </w:pPr>
      <w:r w:rsidRPr="000615AB">
        <w:rPr>
          <w:sz w:val="20"/>
        </w:rPr>
        <w:t>La Oficina Internacional recibió 10.609 solicitudes y peticiones en 2012, lo que supone un incremento del 8,6% con respecto a 2011</w:t>
      </w:r>
      <w:r w:rsidRPr="00D22B96">
        <w:rPr>
          <w:sz w:val="20"/>
        </w:rPr>
        <w:t>.</w:t>
      </w:r>
    </w:p>
    <w:p w:rsidR="00383888" w:rsidRPr="000615AB" w:rsidRDefault="00383888" w:rsidP="00383888">
      <w:pPr>
        <w:rPr>
          <w:i/>
          <w:sz w:val="20"/>
        </w:rPr>
      </w:pPr>
    </w:p>
    <w:p w:rsidR="00383888" w:rsidRPr="000615AB" w:rsidRDefault="00383888" w:rsidP="00383888">
      <w:pPr>
        <w:rPr>
          <w:i/>
          <w:sz w:val="20"/>
        </w:rPr>
      </w:pPr>
      <w:r w:rsidRPr="000615AB">
        <w:rPr>
          <w:i/>
          <w:sz w:val="20"/>
        </w:rPr>
        <w:br w:type="page"/>
      </w:r>
      <w:r w:rsidRPr="000615AB">
        <w:rPr>
          <w:i/>
          <w:sz w:val="20"/>
        </w:rPr>
        <w:lastRenderedPageBreak/>
        <w:t>Número total de solicitudes y peticiones recibidas por la Oficina Internacional</w:t>
      </w:r>
    </w:p>
    <w:p w:rsidR="00383888" w:rsidRPr="000615AB" w:rsidRDefault="00C40A11" w:rsidP="00383888">
      <w:pPr>
        <w:rPr>
          <w:sz w:val="20"/>
          <w:highlight w:val="yellow"/>
        </w:rPr>
      </w:pPr>
      <w:r>
        <w:rPr>
          <w:noProof/>
          <w:lang w:val="en-US" w:eastAsia="en-US"/>
        </w:rPr>
        <w:drawing>
          <wp:inline distT="0" distB="0" distL="0" distR="0" wp14:anchorId="2E4A9F7E" wp14:editId="7FD56129">
            <wp:extent cx="5759450" cy="1896745"/>
            <wp:effectExtent l="0" t="0" r="0" b="8255"/>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237" cstate="print">
                      <a:extLst>
                        <a:ext uri="{28A0092B-C50C-407E-A947-70E740481C1C}">
                          <a14:useLocalDpi xmlns:a14="http://schemas.microsoft.com/office/drawing/2010/main" val="0"/>
                        </a:ext>
                      </a:extLst>
                    </a:blip>
                    <a:srcRect/>
                    <a:stretch>
                      <a:fillRect/>
                    </a:stretch>
                  </pic:blipFill>
                  <pic:spPr bwMode="auto">
                    <a:xfrm>
                      <a:off x="0" y="0"/>
                      <a:ext cx="5759450" cy="1896745"/>
                    </a:xfrm>
                    <a:prstGeom prst="rect">
                      <a:avLst/>
                    </a:prstGeom>
                    <a:noFill/>
                    <a:ln>
                      <a:noFill/>
                    </a:ln>
                  </pic:spPr>
                </pic:pic>
              </a:graphicData>
            </a:graphic>
          </wp:inline>
        </w:drawing>
      </w:r>
    </w:p>
    <w:p w:rsidR="00383888" w:rsidRPr="000615AB" w:rsidRDefault="00383888" w:rsidP="00383888">
      <w:pPr>
        <w:keepNext/>
        <w:keepLines/>
        <w:rPr>
          <w:rStyle w:val="CommentReference"/>
        </w:rPr>
      </w:pPr>
    </w:p>
    <w:p w:rsidR="00383888" w:rsidRPr="000615AB" w:rsidRDefault="00383888" w:rsidP="00383888"/>
    <w:p w:rsidR="00383888" w:rsidRPr="000615AB" w:rsidRDefault="00383888" w:rsidP="00383888">
      <w:pPr>
        <w:rPr>
          <w:i/>
          <w:sz w:val="20"/>
        </w:rPr>
      </w:pPr>
      <w:r w:rsidRPr="000615AB">
        <w:rPr>
          <w:i/>
          <w:sz w:val="20"/>
        </w:rPr>
        <w:t>Adquisición de derechos</w:t>
      </w:r>
    </w:p>
    <w:p w:rsidR="00383888" w:rsidRPr="000615AB" w:rsidRDefault="00383888" w:rsidP="00383888">
      <w:pPr>
        <w:jc w:val="both"/>
        <w:rPr>
          <w:i/>
          <w:sz w:val="20"/>
        </w:rPr>
      </w:pPr>
    </w:p>
    <w:p w:rsidR="00383888" w:rsidRPr="00D22B96" w:rsidRDefault="00383888" w:rsidP="00FE7D9C">
      <w:pPr>
        <w:numPr>
          <w:ilvl w:val="0"/>
          <w:numId w:val="57"/>
        </w:numPr>
        <w:jc w:val="both"/>
        <w:rPr>
          <w:sz w:val="20"/>
        </w:rPr>
      </w:pPr>
      <w:r w:rsidRPr="00D821D3">
        <w:rPr>
          <w:sz w:val="20"/>
        </w:rPr>
        <w:t>La adquisición de derechos abarca las solicitudes (solicitudes de registro y de renovación) que</w:t>
      </w:r>
      <w:r w:rsidRPr="000615AB">
        <w:rPr>
          <w:sz w:val="20"/>
        </w:rPr>
        <w:t xml:space="preserve"> luego dan lugar a o mantienen la inscripción de un registro en el Registro Internacional</w:t>
      </w:r>
      <w:r w:rsidRPr="00D22B96">
        <w:rPr>
          <w:sz w:val="20"/>
        </w:rPr>
        <w:t>.</w:t>
      </w:r>
    </w:p>
    <w:p w:rsidR="00383888" w:rsidRPr="000615AB" w:rsidRDefault="00383888" w:rsidP="00383888">
      <w:pPr>
        <w:rPr>
          <w:sz w:val="20"/>
        </w:rPr>
      </w:pPr>
    </w:p>
    <w:p w:rsidR="00383888" w:rsidRPr="000615AB" w:rsidRDefault="00C40A11" w:rsidP="00383888">
      <w:pPr>
        <w:jc w:val="center"/>
      </w:pPr>
      <w:r>
        <w:rPr>
          <w:noProof/>
          <w:lang w:val="en-US" w:eastAsia="en-US"/>
        </w:rPr>
        <w:drawing>
          <wp:inline distT="0" distB="0" distL="0" distR="0" wp14:anchorId="37FD7188" wp14:editId="10F95031">
            <wp:extent cx="5759450" cy="1869440"/>
            <wp:effectExtent l="0" t="0" r="0" b="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238" cstate="print">
                      <a:extLst>
                        <a:ext uri="{28A0092B-C50C-407E-A947-70E740481C1C}">
                          <a14:useLocalDpi xmlns:a14="http://schemas.microsoft.com/office/drawing/2010/main" val="0"/>
                        </a:ext>
                      </a:extLst>
                    </a:blip>
                    <a:srcRect/>
                    <a:stretch>
                      <a:fillRect/>
                    </a:stretch>
                  </pic:blipFill>
                  <pic:spPr bwMode="auto">
                    <a:xfrm>
                      <a:off x="0" y="0"/>
                      <a:ext cx="5759450" cy="1869440"/>
                    </a:xfrm>
                    <a:prstGeom prst="rect">
                      <a:avLst/>
                    </a:prstGeom>
                    <a:noFill/>
                    <a:ln>
                      <a:noFill/>
                    </a:ln>
                  </pic:spPr>
                </pic:pic>
              </a:graphicData>
            </a:graphic>
          </wp:inline>
        </w:drawing>
      </w:r>
    </w:p>
    <w:p w:rsidR="00383888" w:rsidRPr="000615AB" w:rsidRDefault="00383888" w:rsidP="00383888"/>
    <w:p w:rsidR="00383888" w:rsidRPr="000615AB" w:rsidRDefault="00383888" w:rsidP="00383888">
      <w:pPr>
        <w:rPr>
          <w:i/>
          <w:sz w:val="20"/>
        </w:rPr>
      </w:pPr>
      <w:r w:rsidRPr="000615AB">
        <w:rPr>
          <w:i/>
          <w:sz w:val="20"/>
        </w:rPr>
        <w:t xml:space="preserve">Número de dibujos y modelos industriales </w:t>
      </w:r>
    </w:p>
    <w:p w:rsidR="00383888" w:rsidRPr="000615AB" w:rsidRDefault="00383888" w:rsidP="00383888">
      <w:pPr>
        <w:rPr>
          <w:sz w:val="20"/>
        </w:rPr>
      </w:pPr>
    </w:p>
    <w:p w:rsidR="00383888" w:rsidRDefault="00383888" w:rsidP="00FE7D9C">
      <w:pPr>
        <w:numPr>
          <w:ilvl w:val="0"/>
          <w:numId w:val="57"/>
        </w:numPr>
        <w:jc w:val="both"/>
        <w:rPr>
          <w:sz w:val="20"/>
        </w:rPr>
      </w:pPr>
      <w:r w:rsidRPr="000615AB">
        <w:rPr>
          <w:sz w:val="20"/>
        </w:rPr>
        <w:t>El número medio de dibujos y modelos por registro es de 4,9.</w:t>
      </w:r>
    </w:p>
    <w:p w:rsidR="00383888" w:rsidRPr="000615AB" w:rsidRDefault="00383888" w:rsidP="00383888">
      <w:pPr>
        <w:jc w:val="both"/>
        <w:rPr>
          <w:sz w:val="20"/>
        </w:rPr>
      </w:pPr>
    </w:p>
    <w:p w:rsidR="00383888" w:rsidRPr="000615AB" w:rsidRDefault="00C40A11" w:rsidP="00383888">
      <w:pPr>
        <w:jc w:val="center"/>
        <w:rPr>
          <w:sz w:val="20"/>
        </w:rPr>
      </w:pPr>
      <w:r>
        <w:rPr>
          <w:noProof/>
          <w:lang w:val="en-US" w:eastAsia="en-US"/>
        </w:rPr>
        <w:drawing>
          <wp:inline distT="0" distB="0" distL="0" distR="0" wp14:anchorId="47861CDA" wp14:editId="7F0DA1BF">
            <wp:extent cx="5506720" cy="2395220"/>
            <wp:effectExtent l="0" t="0" r="0" b="5080"/>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5506720" cy="2395220"/>
                    </a:xfrm>
                    <a:prstGeom prst="rect">
                      <a:avLst/>
                    </a:prstGeom>
                    <a:noFill/>
                    <a:ln>
                      <a:noFill/>
                    </a:ln>
                  </pic:spPr>
                </pic:pic>
              </a:graphicData>
            </a:graphic>
          </wp:inline>
        </w:drawing>
      </w:r>
    </w:p>
    <w:p w:rsidR="00383888" w:rsidRPr="000615AB" w:rsidRDefault="00383888" w:rsidP="00383888"/>
    <w:p w:rsidR="00383888" w:rsidRPr="000615AB" w:rsidRDefault="00383888" w:rsidP="00383888">
      <w:pPr>
        <w:rPr>
          <w:i/>
          <w:sz w:val="20"/>
        </w:rPr>
      </w:pPr>
      <w:r w:rsidRPr="000615AB">
        <w:rPr>
          <w:i/>
          <w:sz w:val="20"/>
        </w:rPr>
        <w:t>Peticiones de cambio</w:t>
      </w:r>
    </w:p>
    <w:p w:rsidR="00383888" w:rsidRPr="000615AB" w:rsidRDefault="00383888" w:rsidP="00383888">
      <w:pPr>
        <w:rPr>
          <w:sz w:val="20"/>
        </w:rPr>
      </w:pPr>
    </w:p>
    <w:p w:rsidR="00383888" w:rsidRPr="00D22B96" w:rsidRDefault="00383888" w:rsidP="00FE7D9C">
      <w:pPr>
        <w:numPr>
          <w:ilvl w:val="0"/>
          <w:numId w:val="57"/>
        </w:numPr>
        <w:jc w:val="both"/>
        <w:rPr>
          <w:sz w:val="20"/>
        </w:rPr>
      </w:pPr>
      <w:r w:rsidRPr="000615AB">
        <w:rPr>
          <w:sz w:val="20"/>
        </w:rPr>
        <w:t>A continuación se refleja la evolución del número de peticiones para la inscripción de cambios en el Registro Internacional.  Solo una fracción de los cambios están sujetos al pago de tasas</w:t>
      </w:r>
      <w:r w:rsidRPr="00D22B96">
        <w:rPr>
          <w:sz w:val="20"/>
        </w:rPr>
        <w:t>.</w:t>
      </w:r>
    </w:p>
    <w:p w:rsidR="00383888" w:rsidRPr="000615AB" w:rsidRDefault="00383888" w:rsidP="00383888">
      <w:pPr>
        <w:rPr>
          <w:sz w:val="20"/>
        </w:rPr>
      </w:pPr>
    </w:p>
    <w:p w:rsidR="00383888" w:rsidRPr="000615AB" w:rsidRDefault="00C40A11" w:rsidP="00383888">
      <w:pPr>
        <w:rPr>
          <w:sz w:val="20"/>
        </w:rPr>
      </w:pPr>
      <w:r>
        <w:rPr>
          <w:noProof/>
          <w:lang w:val="en-US" w:eastAsia="en-US"/>
        </w:rPr>
        <w:lastRenderedPageBreak/>
        <w:drawing>
          <wp:inline distT="0" distB="0" distL="0" distR="0" wp14:anchorId="49031253" wp14:editId="15E2D03F">
            <wp:extent cx="5759450" cy="1794510"/>
            <wp:effectExtent l="0" t="0" r="0" b="0"/>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5759450" cy="1794510"/>
                    </a:xfrm>
                    <a:prstGeom prst="rect">
                      <a:avLst/>
                    </a:prstGeom>
                    <a:noFill/>
                    <a:ln>
                      <a:noFill/>
                    </a:ln>
                  </pic:spPr>
                </pic:pic>
              </a:graphicData>
            </a:graphic>
          </wp:inline>
        </w:drawing>
      </w:r>
    </w:p>
    <w:p w:rsidR="00383888" w:rsidRPr="000615AB" w:rsidRDefault="00383888" w:rsidP="00383888">
      <w:pPr>
        <w:rPr>
          <w:i/>
          <w:sz w:val="20"/>
        </w:rPr>
      </w:pPr>
    </w:p>
    <w:p w:rsidR="00383888" w:rsidRPr="000615AB" w:rsidRDefault="00383888" w:rsidP="00383888">
      <w:pPr>
        <w:rPr>
          <w:i/>
          <w:sz w:val="20"/>
        </w:rPr>
      </w:pPr>
    </w:p>
    <w:p w:rsidR="00383888" w:rsidRPr="000615AB" w:rsidRDefault="00383888" w:rsidP="00383888">
      <w:pPr>
        <w:rPr>
          <w:i/>
          <w:sz w:val="20"/>
        </w:rPr>
      </w:pPr>
      <w:r w:rsidRPr="000615AB">
        <w:rPr>
          <w:i/>
          <w:sz w:val="20"/>
        </w:rPr>
        <w:t>Número de designaciones</w:t>
      </w:r>
    </w:p>
    <w:p w:rsidR="00383888" w:rsidRPr="000615AB" w:rsidRDefault="00C40A11" w:rsidP="00383888">
      <w:pPr>
        <w:jc w:val="center"/>
        <w:rPr>
          <w:sz w:val="20"/>
        </w:rPr>
      </w:pPr>
      <w:r>
        <w:rPr>
          <w:noProof/>
          <w:lang w:val="en-US" w:eastAsia="en-US"/>
        </w:rPr>
        <w:drawing>
          <wp:inline distT="0" distB="0" distL="0" distR="0" wp14:anchorId="395BCF6A" wp14:editId="1230D6C6">
            <wp:extent cx="5370195" cy="2265680"/>
            <wp:effectExtent l="0" t="0" r="1905" b="127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5370195" cy="2265680"/>
                    </a:xfrm>
                    <a:prstGeom prst="rect">
                      <a:avLst/>
                    </a:prstGeom>
                    <a:noFill/>
                    <a:ln>
                      <a:noFill/>
                    </a:ln>
                  </pic:spPr>
                </pic:pic>
              </a:graphicData>
            </a:graphic>
          </wp:inline>
        </w:drawing>
      </w:r>
    </w:p>
    <w:p w:rsidR="00383888" w:rsidRPr="000615AB" w:rsidRDefault="00383888" w:rsidP="00383888">
      <w:pPr>
        <w:rPr>
          <w:i/>
          <w:sz w:val="20"/>
        </w:rPr>
      </w:pPr>
      <w:r w:rsidRPr="000615AB">
        <w:rPr>
          <w:i/>
          <w:sz w:val="20"/>
        </w:rPr>
        <w:t>Decisiones</w:t>
      </w:r>
    </w:p>
    <w:p w:rsidR="00383888" w:rsidRPr="000615AB" w:rsidRDefault="00383888" w:rsidP="00383888">
      <w:pPr>
        <w:rPr>
          <w:sz w:val="20"/>
        </w:rPr>
      </w:pPr>
    </w:p>
    <w:p w:rsidR="00383888" w:rsidRPr="000615AB" w:rsidRDefault="00C40A11" w:rsidP="00383888">
      <w:pPr>
        <w:jc w:val="center"/>
        <w:rPr>
          <w:sz w:val="20"/>
        </w:rPr>
      </w:pPr>
      <w:r>
        <w:rPr>
          <w:noProof/>
          <w:lang w:val="en-US" w:eastAsia="en-US"/>
        </w:rPr>
        <w:drawing>
          <wp:inline distT="0" distB="0" distL="0" distR="0" wp14:anchorId="76AC256B" wp14:editId="4524829E">
            <wp:extent cx="5240655" cy="2320290"/>
            <wp:effectExtent l="0" t="0" r="0" b="381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242" cstate="print">
                      <a:extLst>
                        <a:ext uri="{28A0092B-C50C-407E-A947-70E740481C1C}">
                          <a14:useLocalDpi xmlns:a14="http://schemas.microsoft.com/office/drawing/2010/main" val="0"/>
                        </a:ext>
                      </a:extLst>
                    </a:blip>
                    <a:srcRect/>
                    <a:stretch>
                      <a:fillRect/>
                    </a:stretch>
                  </pic:blipFill>
                  <pic:spPr bwMode="auto">
                    <a:xfrm>
                      <a:off x="0" y="0"/>
                      <a:ext cx="5240655" cy="2320290"/>
                    </a:xfrm>
                    <a:prstGeom prst="rect">
                      <a:avLst/>
                    </a:prstGeom>
                    <a:noFill/>
                    <a:ln>
                      <a:noFill/>
                    </a:ln>
                  </pic:spPr>
                </pic:pic>
              </a:graphicData>
            </a:graphic>
          </wp:inline>
        </w:drawing>
      </w:r>
    </w:p>
    <w:p w:rsidR="00383888" w:rsidRPr="000615AB" w:rsidRDefault="00383888" w:rsidP="00383888">
      <w:pPr>
        <w:rPr>
          <w:i/>
          <w:sz w:val="20"/>
        </w:rPr>
      </w:pPr>
      <w:r w:rsidRPr="000615AB">
        <w:rPr>
          <w:b/>
        </w:rPr>
        <w:br w:type="page"/>
      </w:r>
      <w:r w:rsidRPr="000615AB">
        <w:rPr>
          <w:i/>
          <w:sz w:val="20"/>
        </w:rPr>
        <w:lastRenderedPageBreak/>
        <w:t>Métodos de presentación</w:t>
      </w:r>
    </w:p>
    <w:p w:rsidR="00383888" w:rsidRPr="000615AB" w:rsidRDefault="00C40A11" w:rsidP="00383888">
      <w:pPr>
        <w:rPr>
          <w:i/>
          <w:sz w:val="20"/>
        </w:rPr>
      </w:pPr>
      <w:r>
        <w:rPr>
          <w:noProof/>
          <w:lang w:val="en-US" w:eastAsia="en-US"/>
        </w:rPr>
        <w:drawing>
          <wp:inline distT="0" distB="0" distL="0" distR="0" wp14:anchorId="24B3ADE8" wp14:editId="1C237433">
            <wp:extent cx="5759450" cy="1692275"/>
            <wp:effectExtent l="0" t="0" r="0" b="3175"/>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243" cstate="print">
                      <a:extLst>
                        <a:ext uri="{28A0092B-C50C-407E-A947-70E740481C1C}">
                          <a14:useLocalDpi xmlns:a14="http://schemas.microsoft.com/office/drawing/2010/main" val="0"/>
                        </a:ext>
                      </a:extLst>
                    </a:blip>
                    <a:srcRect/>
                    <a:stretch>
                      <a:fillRect/>
                    </a:stretch>
                  </pic:blipFill>
                  <pic:spPr bwMode="auto">
                    <a:xfrm>
                      <a:off x="0" y="0"/>
                      <a:ext cx="5759450" cy="1692275"/>
                    </a:xfrm>
                    <a:prstGeom prst="rect">
                      <a:avLst/>
                    </a:prstGeom>
                    <a:noFill/>
                    <a:ln>
                      <a:noFill/>
                    </a:ln>
                  </pic:spPr>
                </pic:pic>
              </a:graphicData>
            </a:graphic>
          </wp:inline>
        </w:drawing>
      </w:r>
    </w:p>
    <w:p w:rsidR="00383888" w:rsidRPr="000615AB" w:rsidRDefault="00383888" w:rsidP="00383888">
      <w:pPr>
        <w:rPr>
          <w:sz w:val="20"/>
        </w:rPr>
      </w:pPr>
    </w:p>
    <w:p w:rsidR="00383888" w:rsidRPr="000615AB" w:rsidRDefault="00383888" w:rsidP="00383888">
      <w:pPr>
        <w:rPr>
          <w:sz w:val="20"/>
        </w:rPr>
      </w:pPr>
    </w:p>
    <w:p w:rsidR="00383888" w:rsidRPr="000615AB" w:rsidRDefault="00383888" w:rsidP="00383888">
      <w:pPr>
        <w:rPr>
          <w:i/>
          <w:sz w:val="20"/>
        </w:rPr>
      </w:pPr>
      <w:r w:rsidRPr="000615AB">
        <w:rPr>
          <w:i/>
          <w:sz w:val="20"/>
        </w:rPr>
        <w:t>Índice de solicitudes regulares</w:t>
      </w:r>
    </w:p>
    <w:p w:rsidR="00383888" w:rsidRPr="000615AB" w:rsidRDefault="00383888" w:rsidP="00383888">
      <w:pPr>
        <w:rPr>
          <w:sz w:val="20"/>
        </w:rPr>
      </w:pPr>
    </w:p>
    <w:p w:rsidR="00383888" w:rsidRPr="000615AB" w:rsidRDefault="00383888" w:rsidP="00FE7D9C">
      <w:pPr>
        <w:numPr>
          <w:ilvl w:val="0"/>
          <w:numId w:val="57"/>
        </w:numPr>
        <w:jc w:val="both"/>
        <w:rPr>
          <w:sz w:val="20"/>
        </w:rPr>
      </w:pPr>
      <w:r w:rsidRPr="000615AB">
        <w:rPr>
          <w:sz w:val="20"/>
        </w:rPr>
        <w:t>El número de solicitudes que presentan irregularidades supone un aumento del volumen de trabajo del examen y de la duración total del procedimiento.</w:t>
      </w:r>
    </w:p>
    <w:p w:rsidR="00383888" w:rsidRPr="000615AB" w:rsidRDefault="00383888" w:rsidP="00383888">
      <w:pPr>
        <w:rPr>
          <w:sz w:val="20"/>
        </w:rPr>
      </w:pPr>
    </w:p>
    <w:p w:rsidR="00383888" w:rsidRPr="000615AB" w:rsidRDefault="00C40A11" w:rsidP="00383888">
      <w:pPr>
        <w:rPr>
          <w:sz w:val="20"/>
        </w:rPr>
      </w:pPr>
      <w:r>
        <w:rPr>
          <w:noProof/>
          <w:lang w:val="en-US" w:eastAsia="en-US"/>
        </w:rPr>
        <w:drawing>
          <wp:inline distT="0" distB="0" distL="0" distR="0" wp14:anchorId="172D96FB" wp14:editId="4B05D57A">
            <wp:extent cx="5759450" cy="1992630"/>
            <wp:effectExtent l="0" t="0" r="0" b="7620"/>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244" cstate="print">
                      <a:extLst>
                        <a:ext uri="{28A0092B-C50C-407E-A947-70E740481C1C}">
                          <a14:useLocalDpi xmlns:a14="http://schemas.microsoft.com/office/drawing/2010/main" val="0"/>
                        </a:ext>
                      </a:extLst>
                    </a:blip>
                    <a:srcRect/>
                    <a:stretch>
                      <a:fillRect/>
                    </a:stretch>
                  </pic:blipFill>
                  <pic:spPr bwMode="auto">
                    <a:xfrm>
                      <a:off x="0" y="0"/>
                      <a:ext cx="5759450" cy="1992630"/>
                    </a:xfrm>
                    <a:prstGeom prst="rect">
                      <a:avLst/>
                    </a:prstGeom>
                    <a:noFill/>
                    <a:ln>
                      <a:noFill/>
                    </a:ln>
                  </pic:spPr>
                </pic:pic>
              </a:graphicData>
            </a:graphic>
          </wp:inline>
        </w:drawing>
      </w:r>
    </w:p>
    <w:p w:rsidR="00383888" w:rsidRPr="000615AB" w:rsidRDefault="00383888" w:rsidP="00383888">
      <w:pPr>
        <w:rPr>
          <w:i/>
          <w:sz w:val="20"/>
        </w:rPr>
      </w:pPr>
      <w:r w:rsidRPr="000615AB">
        <w:rPr>
          <w:i/>
          <w:sz w:val="20"/>
        </w:rPr>
        <w:t>Análisis del volumen de trabajo</w:t>
      </w:r>
    </w:p>
    <w:p w:rsidR="00383888" w:rsidRPr="000615AB" w:rsidRDefault="00383888" w:rsidP="00383888">
      <w:pPr>
        <w:rPr>
          <w:sz w:val="20"/>
        </w:rPr>
      </w:pPr>
    </w:p>
    <w:p w:rsidR="00383888" w:rsidRPr="000615AB" w:rsidRDefault="00383888" w:rsidP="00FE7D9C">
      <w:pPr>
        <w:numPr>
          <w:ilvl w:val="0"/>
          <w:numId w:val="57"/>
        </w:numPr>
        <w:jc w:val="both"/>
        <w:rPr>
          <w:sz w:val="20"/>
        </w:rPr>
      </w:pPr>
      <w:r w:rsidRPr="000615AB">
        <w:rPr>
          <w:sz w:val="20"/>
        </w:rPr>
        <w:t>Como lo reflejan los indicadores precedentes, son varios los parámetros que influyen en el volumen de trabajo del sistema de La Haya, además del número de solicitudes y de renovaciones. Estas últimas representan solo el 60% del número de solicitudes recibidas.  Se espera que este porcentaje disminuya marcadamente en los próximos años puesto que se adherirán Partes Contratantes cuyas Oficinas van a emitir sistemáticamente decisiones en cuanto a la concesión o a la denegación de la protección.  Como consecuencia, los indicadores de costos y la previsión de recursos necesarios toman en cuenta todos los parámetros relativos al volumen de trabajo antes mencionados.</w:t>
      </w:r>
    </w:p>
    <w:p w:rsidR="00383888" w:rsidRPr="000615AB" w:rsidRDefault="00383888" w:rsidP="00383888">
      <w:pPr>
        <w:jc w:val="both"/>
        <w:rPr>
          <w:sz w:val="20"/>
        </w:rPr>
      </w:pPr>
    </w:p>
    <w:p w:rsidR="00383888" w:rsidRPr="000615AB" w:rsidRDefault="00383888" w:rsidP="00383888">
      <w:pPr>
        <w:rPr>
          <w:b/>
          <w:sz w:val="20"/>
        </w:rPr>
      </w:pPr>
      <w:r w:rsidRPr="000615AB">
        <w:rPr>
          <w:b/>
          <w:sz w:val="20"/>
        </w:rPr>
        <w:t>Recursos</w:t>
      </w:r>
    </w:p>
    <w:p w:rsidR="00383888" w:rsidRPr="000615AB" w:rsidRDefault="00383888" w:rsidP="00383888">
      <w:pPr>
        <w:jc w:val="both"/>
        <w:rPr>
          <w:b/>
          <w:sz w:val="20"/>
        </w:rPr>
      </w:pPr>
    </w:p>
    <w:p w:rsidR="00383888" w:rsidRPr="00D22B96" w:rsidRDefault="00383888" w:rsidP="00FE7D9C">
      <w:pPr>
        <w:numPr>
          <w:ilvl w:val="0"/>
          <w:numId w:val="57"/>
        </w:numPr>
        <w:jc w:val="both"/>
        <w:rPr>
          <w:sz w:val="20"/>
        </w:rPr>
      </w:pPr>
      <w:r w:rsidRPr="000615AB">
        <w:rPr>
          <w:sz w:val="20"/>
        </w:rPr>
        <w:t>Los costos de producción se dividen en costos directos y costos indirectos.  Los costos directos corresponden al gasto de las unidades del sistema de La Haya (la administración del sistema y los programas de La Haya).  Los costos indirectos abarcan los gastos de las unidades de la Organización que prestan servicios al sistema de La Haya (por ejemplo, oficinas, tecnologías de la información, etcétera).  Los gastos se calcularon en forma proporcional para dar cuenta de los costos imputables al sistema de La Haya únicamente</w:t>
      </w:r>
      <w:r w:rsidRPr="00D22B96">
        <w:rPr>
          <w:sz w:val="20"/>
        </w:rPr>
        <w:t>.</w:t>
      </w:r>
    </w:p>
    <w:p w:rsidR="00383888" w:rsidRPr="000615AB" w:rsidRDefault="00383888" w:rsidP="00383888">
      <w:pPr>
        <w:rPr>
          <w:sz w:val="20"/>
        </w:rPr>
      </w:pPr>
    </w:p>
    <w:p w:rsidR="00383888" w:rsidRPr="000615AB" w:rsidRDefault="00C40A11" w:rsidP="00383888">
      <w:pPr>
        <w:jc w:val="center"/>
        <w:rPr>
          <w:sz w:val="20"/>
        </w:rPr>
      </w:pPr>
      <w:r>
        <w:rPr>
          <w:noProof/>
          <w:lang w:val="en-US" w:eastAsia="en-US"/>
        </w:rPr>
        <w:lastRenderedPageBreak/>
        <w:drawing>
          <wp:inline distT="0" distB="0" distL="0" distR="0" wp14:anchorId="39DB8F4C" wp14:editId="3715389E">
            <wp:extent cx="4735830" cy="2122170"/>
            <wp:effectExtent l="0" t="0" r="7620" b="0"/>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245" cstate="print">
                      <a:extLst>
                        <a:ext uri="{28A0092B-C50C-407E-A947-70E740481C1C}">
                          <a14:useLocalDpi xmlns:a14="http://schemas.microsoft.com/office/drawing/2010/main" val="0"/>
                        </a:ext>
                      </a:extLst>
                    </a:blip>
                    <a:srcRect/>
                    <a:stretch>
                      <a:fillRect/>
                    </a:stretch>
                  </pic:blipFill>
                  <pic:spPr bwMode="auto">
                    <a:xfrm>
                      <a:off x="0" y="0"/>
                      <a:ext cx="4735830" cy="2122170"/>
                    </a:xfrm>
                    <a:prstGeom prst="rect">
                      <a:avLst/>
                    </a:prstGeom>
                    <a:noFill/>
                    <a:ln>
                      <a:noFill/>
                    </a:ln>
                  </pic:spPr>
                </pic:pic>
              </a:graphicData>
            </a:graphic>
          </wp:inline>
        </w:drawing>
      </w:r>
    </w:p>
    <w:p w:rsidR="00383888" w:rsidRPr="000615AB" w:rsidRDefault="00383888" w:rsidP="00383888">
      <w:pPr>
        <w:rPr>
          <w:sz w:val="20"/>
        </w:rPr>
      </w:pPr>
    </w:p>
    <w:p w:rsidR="00383888" w:rsidRPr="000615AB" w:rsidRDefault="00383888" w:rsidP="00383888">
      <w:pPr>
        <w:rPr>
          <w:b/>
          <w:sz w:val="20"/>
        </w:rPr>
      </w:pPr>
      <w:r w:rsidRPr="000615AB">
        <w:rPr>
          <w:b/>
          <w:sz w:val="20"/>
        </w:rPr>
        <w:t>Indicadores del costo unitario</w:t>
      </w:r>
    </w:p>
    <w:p w:rsidR="00383888" w:rsidRPr="000615AB" w:rsidRDefault="00383888" w:rsidP="00383888">
      <w:pPr>
        <w:rPr>
          <w:sz w:val="20"/>
        </w:rPr>
      </w:pPr>
    </w:p>
    <w:p w:rsidR="00383888" w:rsidRPr="000615AB" w:rsidRDefault="00383888" w:rsidP="00FE7D9C">
      <w:pPr>
        <w:numPr>
          <w:ilvl w:val="0"/>
          <w:numId w:val="57"/>
        </w:numPr>
        <w:jc w:val="both"/>
        <w:rPr>
          <w:sz w:val="20"/>
        </w:rPr>
      </w:pPr>
      <w:r w:rsidRPr="000615AB">
        <w:rPr>
          <w:sz w:val="20"/>
        </w:rPr>
        <w:t xml:space="preserve">El costo unitario se define como el costo total medio de una unidad de producto.  Es posible descomponerlo de la siguiente manera: </w:t>
      </w:r>
    </w:p>
    <w:p w:rsidR="00383888" w:rsidRPr="000615AB" w:rsidRDefault="00383888" w:rsidP="00383888">
      <w:pPr>
        <w:jc w:val="both"/>
        <w:rPr>
          <w:sz w:val="20"/>
        </w:rPr>
      </w:pPr>
    </w:p>
    <w:p w:rsidR="00383888" w:rsidRPr="000615AB" w:rsidRDefault="00383888" w:rsidP="00FE7D9C">
      <w:pPr>
        <w:numPr>
          <w:ilvl w:val="0"/>
          <w:numId w:val="55"/>
        </w:numPr>
        <w:tabs>
          <w:tab w:val="clear" w:pos="720"/>
          <w:tab w:val="num" w:pos="1100"/>
        </w:tabs>
        <w:spacing w:after="120"/>
        <w:ind w:left="1100" w:hanging="550"/>
        <w:jc w:val="both"/>
        <w:rPr>
          <w:sz w:val="20"/>
        </w:rPr>
      </w:pPr>
      <w:r w:rsidRPr="000615AB">
        <w:rPr>
          <w:sz w:val="20"/>
        </w:rPr>
        <w:t>El costo unitario por solicitud -por solicitud se entiende un registro o una renovación-; representa el costo de la tramitación de solicitudes relacionadas con la adquisición de derechos.  Estas representan aproximadamente el 94% de los ingresos en concepto de tasas del sistema de La Haya.</w:t>
      </w:r>
    </w:p>
    <w:p w:rsidR="00383888" w:rsidRPr="000615AB" w:rsidRDefault="00383888" w:rsidP="00FE7D9C">
      <w:pPr>
        <w:numPr>
          <w:ilvl w:val="0"/>
          <w:numId w:val="55"/>
        </w:numPr>
        <w:tabs>
          <w:tab w:val="clear" w:pos="720"/>
          <w:tab w:val="num" w:pos="1100"/>
        </w:tabs>
        <w:spacing w:after="120"/>
        <w:ind w:left="1100" w:hanging="550"/>
        <w:jc w:val="both"/>
        <w:rPr>
          <w:sz w:val="20"/>
        </w:rPr>
      </w:pPr>
      <w:r w:rsidRPr="000615AB">
        <w:rPr>
          <w:sz w:val="20"/>
        </w:rPr>
        <w:t>Costo unitario por dibujo y/o modelo; dado que un registro puede comprender hasta 100 dibujos y modelos, el costo unitario da cuenta de los costos de tramitación de las solicitudes correspondientes a la "adquisición de derechos" sobre la base de un dibujo o modelo por solicitud.</w:t>
      </w:r>
    </w:p>
    <w:p w:rsidR="00383888" w:rsidRPr="000615AB" w:rsidRDefault="00383888" w:rsidP="00FE7D9C">
      <w:pPr>
        <w:numPr>
          <w:ilvl w:val="0"/>
          <w:numId w:val="55"/>
        </w:numPr>
        <w:tabs>
          <w:tab w:val="clear" w:pos="720"/>
          <w:tab w:val="num" w:pos="1100"/>
        </w:tabs>
        <w:ind w:left="1100" w:hanging="550"/>
        <w:jc w:val="both"/>
        <w:rPr>
          <w:sz w:val="20"/>
        </w:rPr>
      </w:pPr>
      <w:r w:rsidRPr="000615AB">
        <w:rPr>
          <w:sz w:val="20"/>
        </w:rPr>
        <w:t>Costo unitario por inscripción, que abarca todas las inscripciones en el Registro Internacional;  y por ende refleja los costos de mantenimiento del Registro e incluye el volumen de trabajo en su totalidad.</w:t>
      </w:r>
    </w:p>
    <w:p w:rsidR="00383888" w:rsidRPr="000615AB" w:rsidRDefault="00383888" w:rsidP="00383888">
      <w:pPr>
        <w:rPr>
          <w:sz w:val="20"/>
        </w:rPr>
      </w:pPr>
    </w:p>
    <w:p w:rsidR="00383888" w:rsidRPr="000615AB" w:rsidRDefault="00383888" w:rsidP="00383888">
      <w:pPr>
        <w:rPr>
          <w:i/>
          <w:sz w:val="20"/>
        </w:rPr>
      </w:pPr>
      <w:r w:rsidRPr="000615AB">
        <w:rPr>
          <w:i/>
          <w:sz w:val="20"/>
        </w:rPr>
        <w:t>Costo unitario por solicitud</w:t>
      </w:r>
    </w:p>
    <w:p w:rsidR="00383888" w:rsidRPr="000615AB" w:rsidRDefault="00383888" w:rsidP="00383888">
      <w:pPr>
        <w:rPr>
          <w:sz w:val="20"/>
        </w:rPr>
      </w:pPr>
    </w:p>
    <w:p w:rsidR="00383888" w:rsidRPr="000615AB" w:rsidRDefault="00C40A11" w:rsidP="00383888">
      <w:pPr>
        <w:jc w:val="center"/>
        <w:rPr>
          <w:i/>
          <w:sz w:val="20"/>
        </w:rPr>
      </w:pPr>
      <w:r>
        <w:rPr>
          <w:noProof/>
          <w:lang w:val="en-US" w:eastAsia="en-US"/>
        </w:rPr>
        <w:drawing>
          <wp:inline distT="0" distB="0" distL="0" distR="0" wp14:anchorId="4429CF5A" wp14:editId="13049441">
            <wp:extent cx="4688205" cy="1903730"/>
            <wp:effectExtent l="0" t="0" r="0" b="127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246" cstate="print">
                      <a:extLst>
                        <a:ext uri="{28A0092B-C50C-407E-A947-70E740481C1C}">
                          <a14:useLocalDpi xmlns:a14="http://schemas.microsoft.com/office/drawing/2010/main" val="0"/>
                        </a:ext>
                      </a:extLst>
                    </a:blip>
                    <a:srcRect/>
                    <a:stretch>
                      <a:fillRect/>
                    </a:stretch>
                  </pic:blipFill>
                  <pic:spPr bwMode="auto">
                    <a:xfrm>
                      <a:off x="0" y="0"/>
                      <a:ext cx="4688205" cy="1903730"/>
                    </a:xfrm>
                    <a:prstGeom prst="rect">
                      <a:avLst/>
                    </a:prstGeom>
                    <a:noFill/>
                    <a:ln>
                      <a:noFill/>
                    </a:ln>
                  </pic:spPr>
                </pic:pic>
              </a:graphicData>
            </a:graphic>
          </wp:inline>
        </w:drawing>
      </w:r>
    </w:p>
    <w:p w:rsidR="00383888" w:rsidRPr="000615AB" w:rsidRDefault="00383888" w:rsidP="00383888">
      <w:pPr>
        <w:rPr>
          <w:i/>
          <w:sz w:val="20"/>
        </w:rPr>
      </w:pPr>
    </w:p>
    <w:p w:rsidR="00383888" w:rsidRPr="000615AB" w:rsidRDefault="00383888" w:rsidP="00383888">
      <w:pPr>
        <w:keepNext/>
        <w:keepLines/>
        <w:rPr>
          <w:i/>
          <w:sz w:val="20"/>
        </w:rPr>
      </w:pPr>
      <w:r w:rsidRPr="000615AB">
        <w:rPr>
          <w:i/>
          <w:sz w:val="20"/>
        </w:rPr>
        <w:lastRenderedPageBreak/>
        <w:t>Costo unitario por dibujo y/o modelo</w:t>
      </w:r>
    </w:p>
    <w:p w:rsidR="00383888" w:rsidRPr="000615AB" w:rsidRDefault="00C40A11" w:rsidP="00383888">
      <w:pPr>
        <w:jc w:val="center"/>
        <w:rPr>
          <w:sz w:val="20"/>
        </w:rPr>
      </w:pPr>
      <w:r>
        <w:rPr>
          <w:noProof/>
          <w:lang w:val="en-US" w:eastAsia="en-US"/>
        </w:rPr>
        <w:drawing>
          <wp:inline distT="0" distB="0" distL="0" distR="0" wp14:anchorId="31B82BF3" wp14:editId="017AD4CF">
            <wp:extent cx="5145405" cy="2115185"/>
            <wp:effectExtent l="0" t="0" r="0" b="0"/>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247" cstate="print">
                      <a:extLst>
                        <a:ext uri="{28A0092B-C50C-407E-A947-70E740481C1C}">
                          <a14:useLocalDpi xmlns:a14="http://schemas.microsoft.com/office/drawing/2010/main" val="0"/>
                        </a:ext>
                      </a:extLst>
                    </a:blip>
                    <a:srcRect/>
                    <a:stretch>
                      <a:fillRect/>
                    </a:stretch>
                  </pic:blipFill>
                  <pic:spPr bwMode="auto">
                    <a:xfrm>
                      <a:off x="0" y="0"/>
                      <a:ext cx="5145405" cy="2115185"/>
                    </a:xfrm>
                    <a:prstGeom prst="rect">
                      <a:avLst/>
                    </a:prstGeom>
                    <a:noFill/>
                    <a:ln>
                      <a:noFill/>
                    </a:ln>
                  </pic:spPr>
                </pic:pic>
              </a:graphicData>
            </a:graphic>
          </wp:inline>
        </w:drawing>
      </w:r>
    </w:p>
    <w:p w:rsidR="00383888" w:rsidRPr="000615AB" w:rsidRDefault="00383888" w:rsidP="00383888">
      <w:pPr>
        <w:rPr>
          <w:i/>
          <w:sz w:val="20"/>
        </w:rPr>
      </w:pPr>
      <w:r w:rsidRPr="000615AB">
        <w:rPr>
          <w:i/>
          <w:sz w:val="20"/>
        </w:rPr>
        <w:t>Costo unitario por inscripción en el Registro Internacional</w:t>
      </w:r>
    </w:p>
    <w:p w:rsidR="00383888" w:rsidRPr="000615AB" w:rsidRDefault="00C40A11" w:rsidP="00383888">
      <w:pPr>
        <w:jc w:val="center"/>
        <w:rPr>
          <w:sz w:val="20"/>
        </w:rPr>
      </w:pPr>
      <w:r>
        <w:rPr>
          <w:noProof/>
          <w:lang w:val="en-US" w:eastAsia="en-US"/>
        </w:rPr>
        <w:drawing>
          <wp:inline distT="0" distB="0" distL="0" distR="0" wp14:anchorId="6042C045" wp14:editId="7BD7044F">
            <wp:extent cx="5309235" cy="2094865"/>
            <wp:effectExtent l="0" t="0" r="0" b="0"/>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5309235" cy="2094865"/>
                    </a:xfrm>
                    <a:prstGeom prst="rect">
                      <a:avLst/>
                    </a:prstGeom>
                    <a:noFill/>
                    <a:ln>
                      <a:noFill/>
                    </a:ln>
                  </pic:spPr>
                </pic:pic>
              </a:graphicData>
            </a:graphic>
          </wp:inline>
        </w:drawing>
      </w:r>
    </w:p>
    <w:p w:rsidR="00383888" w:rsidRPr="000615AB" w:rsidRDefault="00383888" w:rsidP="00383888">
      <w:pPr>
        <w:rPr>
          <w:b/>
          <w:sz w:val="20"/>
        </w:rPr>
      </w:pPr>
      <w:r w:rsidRPr="000615AB">
        <w:rPr>
          <w:b/>
          <w:sz w:val="20"/>
        </w:rPr>
        <w:t>Productividad</w:t>
      </w:r>
    </w:p>
    <w:p w:rsidR="00383888" w:rsidRPr="000615AB" w:rsidRDefault="00383888" w:rsidP="00383888">
      <w:pPr>
        <w:rPr>
          <w:sz w:val="20"/>
        </w:rPr>
      </w:pPr>
    </w:p>
    <w:p w:rsidR="00383888" w:rsidRPr="000615AB" w:rsidRDefault="00383888" w:rsidP="00FE7D9C">
      <w:pPr>
        <w:numPr>
          <w:ilvl w:val="0"/>
          <w:numId w:val="57"/>
        </w:numPr>
        <w:jc w:val="both"/>
        <w:rPr>
          <w:sz w:val="20"/>
        </w:rPr>
      </w:pPr>
      <w:r w:rsidRPr="000615AB">
        <w:rPr>
          <w:sz w:val="20"/>
        </w:rPr>
        <w:t>La productividad equivale al número de unidades de producto, es decir, solicitudes, modelos y dibujos, así como inscripciones, dividido entre el número de empleados de nómina registrado al final de cada año.</w:t>
      </w:r>
    </w:p>
    <w:p w:rsidR="00383888" w:rsidRPr="000615AB" w:rsidRDefault="00C40A11" w:rsidP="00383888">
      <w:pPr>
        <w:jc w:val="center"/>
        <w:rPr>
          <w:sz w:val="20"/>
        </w:rPr>
      </w:pPr>
      <w:r>
        <w:rPr>
          <w:noProof/>
          <w:lang w:val="en-US" w:eastAsia="en-US"/>
        </w:rPr>
        <w:drawing>
          <wp:inline distT="0" distB="0" distL="0" distR="0" wp14:anchorId="02CD4FED" wp14:editId="197FE8ED">
            <wp:extent cx="5315585" cy="2094865"/>
            <wp:effectExtent l="0" t="0" r="0" b="635"/>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249" cstate="print">
                      <a:extLst>
                        <a:ext uri="{28A0092B-C50C-407E-A947-70E740481C1C}">
                          <a14:useLocalDpi xmlns:a14="http://schemas.microsoft.com/office/drawing/2010/main" val="0"/>
                        </a:ext>
                      </a:extLst>
                    </a:blip>
                    <a:srcRect/>
                    <a:stretch>
                      <a:fillRect/>
                    </a:stretch>
                  </pic:blipFill>
                  <pic:spPr bwMode="auto">
                    <a:xfrm>
                      <a:off x="0" y="0"/>
                      <a:ext cx="5315585" cy="2094865"/>
                    </a:xfrm>
                    <a:prstGeom prst="rect">
                      <a:avLst/>
                    </a:prstGeom>
                    <a:noFill/>
                    <a:ln>
                      <a:noFill/>
                    </a:ln>
                  </pic:spPr>
                </pic:pic>
              </a:graphicData>
            </a:graphic>
          </wp:inline>
        </w:drawing>
      </w:r>
    </w:p>
    <w:p w:rsidR="00383888" w:rsidRPr="000615AB" w:rsidRDefault="00C40A11" w:rsidP="00383888">
      <w:r>
        <w:rPr>
          <w:noProof/>
          <w:lang w:val="en-US" w:eastAsia="en-US"/>
        </w:rPr>
        <w:lastRenderedPageBreak/>
        <w:drawing>
          <wp:inline distT="0" distB="0" distL="0" distR="0" wp14:anchorId="5B179DEC" wp14:editId="34123EB4">
            <wp:extent cx="5759450" cy="2101850"/>
            <wp:effectExtent l="0" t="0" r="0" b="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250" cstate="print">
                      <a:extLst>
                        <a:ext uri="{28A0092B-C50C-407E-A947-70E740481C1C}">
                          <a14:useLocalDpi xmlns:a14="http://schemas.microsoft.com/office/drawing/2010/main" val="0"/>
                        </a:ext>
                      </a:extLst>
                    </a:blip>
                    <a:srcRect/>
                    <a:stretch>
                      <a:fillRect/>
                    </a:stretch>
                  </pic:blipFill>
                  <pic:spPr bwMode="auto">
                    <a:xfrm>
                      <a:off x="0" y="0"/>
                      <a:ext cx="5759450" cy="2101850"/>
                    </a:xfrm>
                    <a:prstGeom prst="rect">
                      <a:avLst/>
                    </a:prstGeom>
                    <a:noFill/>
                    <a:ln>
                      <a:noFill/>
                    </a:ln>
                  </pic:spPr>
                </pic:pic>
              </a:graphicData>
            </a:graphic>
          </wp:inline>
        </w:drawing>
      </w:r>
    </w:p>
    <w:p w:rsidR="00383888" w:rsidRPr="000615AB" w:rsidRDefault="00C40A11" w:rsidP="00383888">
      <w:pPr>
        <w:jc w:val="center"/>
        <w:rPr>
          <w:b/>
          <w:sz w:val="20"/>
        </w:rPr>
      </w:pPr>
      <w:r>
        <w:rPr>
          <w:noProof/>
          <w:lang w:val="en-US" w:eastAsia="en-US"/>
        </w:rPr>
        <w:drawing>
          <wp:inline distT="0" distB="0" distL="0" distR="0" wp14:anchorId="3AFC3C4F" wp14:editId="79A27006">
            <wp:extent cx="5254625" cy="2087880"/>
            <wp:effectExtent l="0" t="0" r="3175" b="7620"/>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251" cstate="print">
                      <a:extLst>
                        <a:ext uri="{28A0092B-C50C-407E-A947-70E740481C1C}">
                          <a14:useLocalDpi xmlns:a14="http://schemas.microsoft.com/office/drawing/2010/main" val="0"/>
                        </a:ext>
                      </a:extLst>
                    </a:blip>
                    <a:srcRect/>
                    <a:stretch>
                      <a:fillRect/>
                    </a:stretch>
                  </pic:blipFill>
                  <pic:spPr bwMode="auto">
                    <a:xfrm>
                      <a:off x="0" y="0"/>
                      <a:ext cx="5254625" cy="2087880"/>
                    </a:xfrm>
                    <a:prstGeom prst="rect">
                      <a:avLst/>
                    </a:prstGeom>
                    <a:noFill/>
                    <a:ln>
                      <a:noFill/>
                    </a:ln>
                  </pic:spPr>
                </pic:pic>
              </a:graphicData>
            </a:graphic>
          </wp:inline>
        </w:drawing>
      </w:r>
    </w:p>
    <w:p w:rsidR="00383888" w:rsidRPr="000615AB" w:rsidRDefault="00383888" w:rsidP="00383888">
      <w:pPr>
        <w:rPr>
          <w:b/>
          <w:sz w:val="20"/>
        </w:rPr>
      </w:pPr>
      <w:r w:rsidRPr="000615AB">
        <w:rPr>
          <w:b/>
          <w:sz w:val="20"/>
        </w:rPr>
        <w:t>Plazos de tramitación de una solicitud regular en el sistema de La Haya</w:t>
      </w:r>
    </w:p>
    <w:p w:rsidR="00383888" w:rsidRPr="000615AB" w:rsidRDefault="00383888" w:rsidP="00383888">
      <w:pPr>
        <w:rPr>
          <w:sz w:val="20"/>
        </w:rPr>
      </w:pPr>
    </w:p>
    <w:p w:rsidR="00383888" w:rsidRPr="000615AB" w:rsidRDefault="00383888" w:rsidP="00FE7D9C">
      <w:pPr>
        <w:numPr>
          <w:ilvl w:val="0"/>
          <w:numId w:val="57"/>
        </w:numPr>
        <w:jc w:val="both"/>
        <w:rPr>
          <w:sz w:val="20"/>
        </w:rPr>
      </w:pPr>
      <w:r w:rsidRPr="000615AB">
        <w:rPr>
          <w:sz w:val="20"/>
        </w:rPr>
        <w:t>Este indicador ilustra los plazos de tramitación de una solicitud de registro internacional.  Da cuenta del tiempo que tarda la Oficina Internacional en inscribir una solicitud internacional regular en el Registro.  Toma en cuenta los siguientes procesos: escaneo, introducción de datos, examen de la forma, verificación de las tasas y traducción.  Para calcular el tiempo de tramitación, se toma en cuenta el período comprendido entre la recepción del documento y su inscripción en el Registro Internacional.</w:t>
      </w:r>
    </w:p>
    <w:p w:rsidR="00383888" w:rsidRPr="000615AB" w:rsidRDefault="00383888" w:rsidP="00383888">
      <w:pPr>
        <w:rPr>
          <w:sz w:val="20"/>
        </w:rPr>
      </w:pPr>
    </w:p>
    <w:p w:rsidR="00383888" w:rsidRPr="000615AB" w:rsidRDefault="00C40A11" w:rsidP="00383888">
      <w:pPr>
        <w:ind w:left="900"/>
        <w:jc w:val="center"/>
        <w:rPr>
          <w:sz w:val="20"/>
        </w:rPr>
      </w:pPr>
      <w:r>
        <w:rPr>
          <w:noProof/>
          <w:lang w:val="en-US" w:eastAsia="en-US"/>
        </w:rPr>
        <w:drawing>
          <wp:inline distT="0" distB="0" distL="0" distR="0" wp14:anchorId="67B08166" wp14:editId="7961238E">
            <wp:extent cx="4264660" cy="2286000"/>
            <wp:effectExtent l="0" t="0" r="2540" b="0"/>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252" cstate="print">
                      <a:extLst>
                        <a:ext uri="{28A0092B-C50C-407E-A947-70E740481C1C}">
                          <a14:useLocalDpi xmlns:a14="http://schemas.microsoft.com/office/drawing/2010/main" val="0"/>
                        </a:ext>
                      </a:extLst>
                    </a:blip>
                    <a:srcRect/>
                    <a:stretch>
                      <a:fillRect/>
                    </a:stretch>
                  </pic:blipFill>
                  <pic:spPr bwMode="auto">
                    <a:xfrm>
                      <a:off x="0" y="0"/>
                      <a:ext cx="4264660" cy="2286000"/>
                    </a:xfrm>
                    <a:prstGeom prst="rect">
                      <a:avLst/>
                    </a:prstGeom>
                    <a:noFill/>
                    <a:ln>
                      <a:noFill/>
                    </a:ln>
                  </pic:spPr>
                </pic:pic>
              </a:graphicData>
            </a:graphic>
          </wp:inline>
        </w:drawing>
      </w:r>
    </w:p>
    <w:p w:rsidR="00383888" w:rsidRPr="000615AB" w:rsidRDefault="00383888" w:rsidP="00383888">
      <w:pPr>
        <w:rPr>
          <w:sz w:val="20"/>
        </w:rPr>
      </w:pPr>
    </w:p>
    <w:p w:rsidR="00383888" w:rsidRPr="000615AB" w:rsidRDefault="00383888" w:rsidP="00383888">
      <w:pPr>
        <w:rPr>
          <w:sz w:val="20"/>
        </w:rPr>
      </w:pPr>
    </w:p>
    <w:p w:rsidR="00383888" w:rsidRPr="000615AB" w:rsidRDefault="00383888" w:rsidP="00383888">
      <w:pPr>
        <w:rPr>
          <w:sz w:val="20"/>
        </w:rPr>
        <w:sectPr w:rsidR="00383888" w:rsidRPr="000615AB" w:rsidSect="00B47699">
          <w:pgSz w:w="11907" w:h="16840" w:code="9"/>
          <w:pgMar w:top="567" w:right="1418" w:bottom="1418" w:left="1418" w:header="510" w:footer="851" w:gutter="0"/>
          <w:cols w:space="720"/>
        </w:sectPr>
      </w:pPr>
    </w:p>
    <w:p w:rsidR="00383888" w:rsidRPr="00C3705E" w:rsidRDefault="00383888" w:rsidP="00383888">
      <w:pPr>
        <w:pStyle w:val="Heading2"/>
        <w:tabs>
          <w:tab w:val="left" w:pos="1418"/>
        </w:tabs>
        <w:ind w:left="1418" w:hanging="1418"/>
        <w:rPr>
          <w:b/>
          <w:caps w:val="0"/>
          <w:szCs w:val="24"/>
          <w:lang w:val="es-ES_tradnl"/>
        </w:rPr>
      </w:pPr>
      <w:bookmarkStart w:id="109" w:name="_Toc358816731"/>
      <w:r w:rsidRPr="00C3705E">
        <w:rPr>
          <w:b/>
          <w:caps w:val="0"/>
          <w:szCs w:val="24"/>
          <w:lang w:val="es-ES_tradnl"/>
        </w:rPr>
        <w:lastRenderedPageBreak/>
        <w:t>ANEXO VIII.</w:t>
      </w:r>
      <w:r w:rsidRPr="00C3705E">
        <w:rPr>
          <w:b/>
          <w:caps w:val="0"/>
          <w:szCs w:val="24"/>
          <w:lang w:val="es-ES_tradnl"/>
        </w:rPr>
        <w:tab/>
        <w:t>RECURSOS DE FONDOS FIDUCIARIOS DISPONIBLES POTENCIALMENTE PARA SU UTILIZACIÓN</w:t>
      </w:r>
      <w:bookmarkEnd w:id="109"/>
    </w:p>
    <w:p w:rsidR="00383888" w:rsidRPr="000615AB" w:rsidRDefault="00383888" w:rsidP="00383888">
      <w:pPr>
        <w:rPr>
          <w:sz w:val="20"/>
        </w:rPr>
      </w:pPr>
    </w:p>
    <w:p w:rsidR="00383888" w:rsidRPr="000615AB" w:rsidRDefault="00383888" w:rsidP="00383888">
      <w:pPr>
        <w:jc w:val="center"/>
        <w:rPr>
          <w:sz w:val="18"/>
          <w:szCs w:val="18"/>
        </w:rPr>
      </w:pPr>
      <w:r w:rsidRPr="000615AB">
        <w:rPr>
          <w:sz w:val="18"/>
          <w:szCs w:val="18"/>
        </w:rPr>
        <w:t>Cuadro 20.  Fondos fiduciarios disponibles potencialmente para su utilización en 2014/15 (por donante)</w:t>
      </w:r>
    </w:p>
    <w:p w:rsidR="00383888" w:rsidRPr="000615AB" w:rsidRDefault="00383888" w:rsidP="00383888">
      <w:pPr>
        <w:jc w:val="center"/>
        <w:rPr>
          <w:sz w:val="18"/>
          <w:szCs w:val="18"/>
        </w:rPr>
      </w:pPr>
      <w:r w:rsidRPr="000615AB">
        <w:rPr>
          <w:i/>
          <w:iCs/>
          <w:sz w:val="18"/>
          <w:szCs w:val="18"/>
        </w:rPr>
        <w:t>(en miles de francos suizos)</w:t>
      </w:r>
      <w:r w:rsidRPr="000615AB">
        <w:rPr>
          <w:iCs/>
          <w:sz w:val="18"/>
          <w:szCs w:val="18"/>
        </w:rPr>
        <w:t>1</w:t>
      </w:r>
    </w:p>
    <w:p w:rsidR="00383888" w:rsidRPr="000615AB" w:rsidRDefault="00383888" w:rsidP="00383888">
      <w:pPr>
        <w:rPr>
          <w:sz w:val="18"/>
          <w:szCs w:val="18"/>
        </w:rPr>
      </w:pPr>
    </w:p>
    <w:p w:rsidR="00383888" w:rsidRPr="000615AB" w:rsidRDefault="00C40A11" w:rsidP="00383888">
      <w:pPr>
        <w:jc w:val="center"/>
        <w:rPr>
          <w:szCs w:val="16"/>
        </w:rPr>
      </w:pPr>
      <w:r>
        <w:rPr>
          <w:noProof/>
          <w:lang w:val="en-US" w:eastAsia="en-US"/>
        </w:rPr>
        <w:drawing>
          <wp:inline distT="0" distB="0" distL="0" distR="0" wp14:anchorId="1E9E084E" wp14:editId="2FB16CA2">
            <wp:extent cx="4415155" cy="5377180"/>
            <wp:effectExtent l="0" t="0" r="4445" b="0"/>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4415155" cy="5377180"/>
                    </a:xfrm>
                    <a:prstGeom prst="rect">
                      <a:avLst/>
                    </a:prstGeom>
                    <a:noFill/>
                    <a:ln>
                      <a:noFill/>
                    </a:ln>
                  </pic:spPr>
                </pic:pic>
              </a:graphicData>
            </a:graphic>
          </wp:inline>
        </w:drawing>
      </w:r>
    </w:p>
    <w:p w:rsidR="00383888" w:rsidRPr="000615AB" w:rsidRDefault="00383888" w:rsidP="00383888">
      <w:pPr>
        <w:rPr>
          <w:sz w:val="16"/>
          <w:szCs w:val="16"/>
        </w:rPr>
      </w:pPr>
      <w:r w:rsidRPr="000615AB">
        <w:rPr>
          <w:sz w:val="16"/>
          <w:szCs w:val="16"/>
        </w:rPr>
        <w:t>____________________________</w:t>
      </w:r>
    </w:p>
    <w:p w:rsidR="00383888" w:rsidRPr="000615AB" w:rsidRDefault="00383888" w:rsidP="00383888">
      <w:pPr>
        <w:rPr>
          <w:sz w:val="16"/>
          <w:szCs w:val="16"/>
          <w:highlight w:val="yellow"/>
        </w:rPr>
      </w:pPr>
    </w:p>
    <w:p w:rsidR="00383888" w:rsidRPr="00FE654B" w:rsidRDefault="00383888" w:rsidP="00383888">
      <w:pPr>
        <w:rPr>
          <w:sz w:val="16"/>
          <w:szCs w:val="16"/>
        </w:rPr>
      </w:pPr>
      <w:r w:rsidRPr="00FE654B">
        <w:rPr>
          <w:sz w:val="20"/>
          <w:vertAlign w:val="superscript"/>
        </w:rPr>
        <w:t>1</w:t>
      </w:r>
      <w:r w:rsidRPr="00FE654B">
        <w:rPr>
          <w:sz w:val="20"/>
        </w:rPr>
        <w:t xml:space="preserve"> </w:t>
      </w:r>
      <w:r w:rsidRPr="00FE654B">
        <w:rPr>
          <w:sz w:val="16"/>
          <w:szCs w:val="16"/>
        </w:rPr>
        <w:t>En las cifras no se han incluido los intereses ni los ajustes cambiarios.  Cabe señalar que estos fondos se destinan generalmente a actividades que cubren un período que va más allá de un solo bienio, a medida que se reciben los ingresos y se incurre en gastos.</w:t>
      </w:r>
    </w:p>
    <w:p w:rsidR="00383888" w:rsidRPr="00FE654B" w:rsidRDefault="00383888" w:rsidP="00383888">
      <w:pPr>
        <w:rPr>
          <w:sz w:val="16"/>
          <w:szCs w:val="16"/>
        </w:rPr>
      </w:pPr>
    </w:p>
    <w:p w:rsidR="00383888" w:rsidRPr="00FE654B" w:rsidRDefault="00383888" w:rsidP="00383888">
      <w:pPr>
        <w:rPr>
          <w:sz w:val="16"/>
          <w:szCs w:val="16"/>
        </w:rPr>
      </w:pPr>
      <w:r w:rsidRPr="00FE654B">
        <w:rPr>
          <w:sz w:val="20"/>
          <w:vertAlign w:val="superscript"/>
        </w:rPr>
        <w:t>2</w:t>
      </w:r>
      <w:r w:rsidRPr="00FE654B">
        <w:rPr>
          <w:sz w:val="16"/>
          <w:szCs w:val="16"/>
        </w:rPr>
        <w:t xml:space="preserve"> Las cifras expuestas en esta columna son puramente indicativas y no se basan en modelos de financiación anteriores.  Además, no representan los compromisos de los Estados miembros salvo cuando quedan incluidos en el acuerdo de fondos fiduciarios.</w:t>
      </w:r>
    </w:p>
    <w:p w:rsidR="00383888" w:rsidRPr="00FE654B" w:rsidRDefault="00383888" w:rsidP="00383888">
      <w:pPr>
        <w:rPr>
          <w:sz w:val="16"/>
          <w:szCs w:val="16"/>
        </w:rPr>
      </w:pPr>
    </w:p>
    <w:p w:rsidR="00383888" w:rsidRPr="00FE654B" w:rsidRDefault="00383888" w:rsidP="00383888">
      <w:pPr>
        <w:rPr>
          <w:sz w:val="16"/>
          <w:szCs w:val="16"/>
        </w:rPr>
      </w:pPr>
      <w:r w:rsidRPr="00FE654B">
        <w:rPr>
          <w:sz w:val="20"/>
          <w:vertAlign w:val="superscript"/>
        </w:rPr>
        <w:t>3</w:t>
      </w:r>
      <w:r w:rsidRPr="00FE654B">
        <w:rPr>
          <w:sz w:val="20"/>
        </w:rPr>
        <w:t xml:space="preserve"> </w:t>
      </w:r>
      <w:r w:rsidRPr="00FE654B">
        <w:rPr>
          <w:sz w:val="16"/>
          <w:szCs w:val="16"/>
        </w:rPr>
        <w:t>Las contribuciones anuales varían, observándose fluctuaciones de un año a otro.</w:t>
      </w:r>
    </w:p>
    <w:p w:rsidR="00383888" w:rsidRPr="00FE654B" w:rsidRDefault="00383888" w:rsidP="00383888">
      <w:pPr>
        <w:rPr>
          <w:sz w:val="16"/>
          <w:szCs w:val="16"/>
        </w:rPr>
      </w:pPr>
    </w:p>
    <w:p w:rsidR="00383888" w:rsidRPr="00FE654B" w:rsidRDefault="00383888" w:rsidP="00383888">
      <w:pPr>
        <w:rPr>
          <w:sz w:val="14"/>
          <w:szCs w:val="14"/>
        </w:rPr>
      </w:pPr>
      <w:r w:rsidRPr="00FE654B">
        <w:rPr>
          <w:sz w:val="20"/>
          <w:vertAlign w:val="superscript"/>
        </w:rPr>
        <w:t>4</w:t>
      </w:r>
      <w:r w:rsidRPr="00FE654B">
        <w:rPr>
          <w:sz w:val="16"/>
          <w:szCs w:val="16"/>
        </w:rPr>
        <w:t xml:space="preserve"> La contribución inicial al Fondo Fiduciario de Australia abarca el período comprendido entre 2012 y 2015. El fondo fiduciario de Australia está a cargo del Programa 21 y es ejecutado por varios Programas especializados.</w:t>
      </w:r>
    </w:p>
    <w:p w:rsidR="00383888" w:rsidRPr="00FE654B" w:rsidRDefault="00383888" w:rsidP="00383888">
      <w:pPr>
        <w:rPr>
          <w:sz w:val="16"/>
          <w:szCs w:val="16"/>
        </w:rPr>
      </w:pPr>
    </w:p>
    <w:p w:rsidR="00383888" w:rsidRPr="00FE654B" w:rsidRDefault="00383888" w:rsidP="00383888">
      <w:pPr>
        <w:rPr>
          <w:sz w:val="16"/>
          <w:szCs w:val="16"/>
        </w:rPr>
      </w:pPr>
      <w:r w:rsidRPr="00FE654B">
        <w:rPr>
          <w:sz w:val="20"/>
          <w:vertAlign w:val="superscript"/>
        </w:rPr>
        <w:t xml:space="preserve">5 </w:t>
      </w:r>
      <w:r w:rsidRPr="00FE654B">
        <w:rPr>
          <w:sz w:val="16"/>
          <w:szCs w:val="16"/>
        </w:rPr>
        <w:t>Es preciso confirmar las contribuciones ulteriores para 2014/2015 con los donantes.</w:t>
      </w:r>
    </w:p>
    <w:p w:rsidR="00383888" w:rsidRPr="00FE654B" w:rsidRDefault="00383888" w:rsidP="00383888">
      <w:pPr>
        <w:rPr>
          <w:sz w:val="16"/>
          <w:szCs w:val="16"/>
        </w:rPr>
      </w:pPr>
    </w:p>
    <w:p w:rsidR="00383888" w:rsidRPr="00D22B96" w:rsidRDefault="00383888" w:rsidP="00383888">
      <w:pPr>
        <w:rPr>
          <w:sz w:val="16"/>
          <w:szCs w:val="16"/>
        </w:rPr>
      </w:pPr>
      <w:r w:rsidRPr="00FE654B">
        <w:rPr>
          <w:sz w:val="20"/>
          <w:vertAlign w:val="superscript"/>
        </w:rPr>
        <w:t>6</w:t>
      </w:r>
      <w:r w:rsidRPr="00FE654B">
        <w:rPr>
          <w:sz w:val="16"/>
          <w:szCs w:val="16"/>
        </w:rPr>
        <w:t xml:space="preserve"> Se espera que las actividades del Fondo Fiduciario UE/Pakistán se terminen de ejecutar en 2014.</w:t>
      </w:r>
    </w:p>
    <w:p w:rsidR="00383888" w:rsidRPr="000615AB" w:rsidRDefault="00383888" w:rsidP="00383888">
      <w:pPr>
        <w:rPr>
          <w:sz w:val="16"/>
          <w:szCs w:val="16"/>
        </w:rPr>
      </w:pPr>
    </w:p>
    <w:p w:rsidR="00383888" w:rsidRPr="00D22B96" w:rsidRDefault="00383888" w:rsidP="00383888">
      <w:pPr>
        <w:rPr>
          <w:sz w:val="16"/>
          <w:szCs w:val="16"/>
        </w:rPr>
      </w:pPr>
      <w:r w:rsidRPr="00FE654B">
        <w:rPr>
          <w:sz w:val="20"/>
          <w:vertAlign w:val="superscript"/>
        </w:rPr>
        <w:t>7</w:t>
      </w:r>
      <w:r w:rsidRPr="00FE654B">
        <w:rPr>
          <w:sz w:val="16"/>
          <w:szCs w:val="16"/>
        </w:rPr>
        <w:t xml:space="preserve"> El Fondo Fiduciario de Italia está a cargo del Programa 9 y abarca actividades relacionadas con PATENTSCOPE</w:t>
      </w:r>
      <w:r w:rsidRPr="000615AB">
        <w:rPr>
          <w:sz w:val="16"/>
          <w:szCs w:val="16"/>
        </w:rPr>
        <w:t xml:space="preserve"> (Programa 13)</w:t>
      </w:r>
      <w:r w:rsidRPr="00D22B96">
        <w:rPr>
          <w:sz w:val="16"/>
          <w:szCs w:val="16"/>
        </w:rPr>
        <w:t>.</w:t>
      </w:r>
    </w:p>
    <w:p w:rsidR="00383888" w:rsidRPr="000615AB" w:rsidRDefault="00383888" w:rsidP="00383888">
      <w:pPr>
        <w:rPr>
          <w:sz w:val="20"/>
        </w:rPr>
      </w:pPr>
    </w:p>
    <w:p w:rsidR="00383888" w:rsidRPr="000615AB" w:rsidRDefault="00383888" w:rsidP="00383888">
      <w:pPr>
        <w:keepNext/>
        <w:keepLines/>
        <w:jc w:val="center"/>
        <w:rPr>
          <w:sz w:val="18"/>
          <w:szCs w:val="18"/>
        </w:rPr>
      </w:pPr>
      <w:r w:rsidRPr="00FE654B">
        <w:rPr>
          <w:sz w:val="18"/>
          <w:szCs w:val="18"/>
        </w:rPr>
        <w:lastRenderedPageBreak/>
        <w:t>Cuadro 21.  Fondos fiduciarios disponibles potencialmente para su utilización en 2014/15 (por programa)</w:t>
      </w:r>
    </w:p>
    <w:p w:rsidR="00383888" w:rsidRPr="000615AB" w:rsidRDefault="00383888" w:rsidP="00383888">
      <w:pPr>
        <w:keepNext/>
        <w:keepLines/>
        <w:jc w:val="center"/>
        <w:rPr>
          <w:i/>
          <w:iCs/>
          <w:sz w:val="18"/>
          <w:szCs w:val="18"/>
        </w:rPr>
      </w:pPr>
      <w:r w:rsidRPr="000615AB">
        <w:rPr>
          <w:i/>
          <w:iCs/>
          <w:sz w:val="18"/>
          <w:szCs w:val="18"/>
        </w:rPr>
        <w:t>(en miles de francos)</w:t>
      </w:r>
    </w:p>
    <w:p w:rsidR="00383888" w:rsidRPr="000615AB" w:rsidRDefault="00383888" w:rsidP="00383888">
      <w:pPr>
        <w:keepNext/>
        <w:keepLines/>
        <w:rPr>
          <w:i/>
          <w:iCs/>
          <w:sz w:val="18"/>
          <w:szCs w:val="18"/>
        </w:rPr>
      </w:pPr>
    </w:p>
    <w:p w:rsidR="00383888" w:rsidRPr="000615AB" w:rsidRDefault="00383888" w:rsidP="00383888">
      <w:pPr>
        <w:keepNext/>
        <w:keepLines/>
        <w:rPr>
          <w:sz w:val="20"/>
        </w:rPr>
      </w:pPr>
    </w:p>
    <w:p w:rsidR="00383888" w:rsidRPr="000615AB" w:rsidRDefault="00C40A11" w:rsidP="00383888">
      <w:pPr>
        <w:keepNext/>
        <w:keepLines/>
        <w:jc w:val="center"/>
        <w:rPr>
          <w:sz w:val="20"/>
        </w:rPr>
      </w:pPr>
      <w:r>
        <w:rPr>
          <w:noProof/>
          <w:lang w:val="en-US" w:eastAsia="en-US"/>
        </w:rPr>
        <w:drawing>
          <wp:inline distT="0" distB="0" distL="0" distR="0" wp14:anchorId="44A14397" wp14:editId="79AACF4B">
            <wp:extent cx="5561330" cy="5493385"/>
            <wp:effectExtent l="0" t="0" r="1270" b="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5561330" cy="5493385"/>
                    </a:xfrm>
                    <a:prstGeom prst="rect">
                      <a:avLst/>
                    </a:prstGeom>
                    <a:noFill/>
                    <a:ln>
                      <a:noFill/>
                    </a:ln>
                  </pic:spPr>
                </pic:pic>
              </a:graphicData>
            </a:graphic>
          </wp:inline>
        </w:drawing>
      </w:r>
    </w:p>
    <w:p w:rsidR="00383888" w:rsidRPr="000615AB" w:rsidRDefault="00383888" w:rsidP="00383888">
      <w:pPr>
        <w:rPr>
          <w:sz w:val="20"/>
        </w:rPr>
      </w:pPr>
    </w:p>
    <w:p w:rsidR="00383888" w:rsidRPr="000615AB" w:rsidRDefault="00383888" w:rsidP="00383888">
      <w:pPr>
        <w:keepNext/>
        <w:keepLines/>
        <w:rPr>
          <w:sz w:val="20"/>
        </w:rPr>
      </w:pPr>
      <w:r w:rsidRPr="000615AB">
        <w:rPr>
          <w:sz w:val="20"/>
        </w:rPr>
        <w:t>Véanse las notas del cuadro 20.</w:t>
      </w:r>
    </w:p>
    <w:p w:rsidR="00383888" w:rsidRPr="000615AB" w:rsidRDefault="00383888" w:rsidP="00383888">
      <w:pPr>
        <w:keepNext/>
        <w:keepLines/>
        <w:jc w:val="right"/>
        <w:rPr>
          <w:sz w:val="20"/>
        </w:rPr>
      </w:pPr>
    </w:p>
    <w:p w:rsidR="00383888" w:rsidRPr="000615AB" w:rsidRDefault="00383888" w:rsidP="00383888">
      <w:pPr>
        <w:keepNext/>
        <w:keepLines/>
        <w:rPr>
          <w:sz w:val="20"/>
        </w:rPr>
      </w:pPr>
    </w:p>
    <w:p w:rsidR="00383888" w:rsidRPr="000615AB" w:rsidRDefault="00383888" w:rsidP="00383888">
      <w:pPr>
        <w:rPr>
          <w:sz w:val="20"/>
        </w:rPr>
        <w:sectPr w:rsidR="00383888" w:rsidRPr="000615AB" w:rsidSect="00B47699">
          <w:pgSz w:w="11907" w:h="16840" w:code="9"/>
          <w:pgMar w:top="567" w:right="1418" w:bottom="1134" w:left="1418" w:header="510" w:footer="851" w:gutter="0"/>
          <w:cols w:space="720"/>
        </w:sectPr>
      </w:pPr>
    </w:p>
    <w:p w:rsidR="00383888" w:rsidRPr="00C3705E" w:rsidRDefault="00383888" w:rsidP="00383888">
      <w:pPr>
        <w:pStyle w:val="Heading2"/>
        <w:tabs>
          <w:tab w:val="left" w:pos="1418"/>
        </w:tabs>
        <w:ind w:left="1418" w:hanging="1418"/>
        <w:rPr>
          <w:b/>
          <w:caps w:val="0"/>
          <w:szCs w:val="24"/>
          <w:lang w:val="es-ES_tradnl"/>
        </w:rPr>
      </w:pPr>
      <w:bookmarkStart w:id="110" w:name="_Toc358816732"/>
      <w:r w:rsidRPr="00C3705E">
        <w:rPr>
          <w:b/>
          <w:caps w:val="0"/>
          <w:szCs w:val="24"/>
          <w:lang w:val="es-ES_tradnl"/>
        </w:rPr>
        <w:lastRenderedPageBreak/>
        <w:t>ANEXO IX.</w:t>
      </w:r>
      <w:r w:rsidRPr="00C3705E">
        <w:rPr>
          <w:b/>
          <w:caps w:val="0"/>
          <w:szCs w:val="24"/>
          <w:lang w:val="es-ES_tradnl"/>
        </w:rPr>
        <w:tab/>
        <w:t>CUADROS DEL PRESUPUESTO ANUAL PARA LA PRESENTACIÓN DE INFORMES CONFORME A LAS IPSAS</w:t>
      </w:r>
      <w:bookmarkEnd w:id="110"/>
    </w:p>
    <w:p w:rsidR="00383888" w:rsidRPr="0012203B" w:rsidRDefault="00383888" w:rsidP="00383888">
      <w:pPr>
        <w:rPr>
          <w:sz w:val="18"/>
          <w:szCs w:val="18"/>
        </w:rPr>
      </w:pPr>
    </w:p>
    <w:p w:rsidR="00383888" w:rsidRPr="0012203B" w:rsidRDefault="00383888" w:rsidP="00383888">
      <w:pPr>
        <w:rPr>
          <w:sz w:val="18"/>
          <w:szCs w:val="18"/>
        </w:rPr>
      </w:pPr>
    </w:p>
    <w:p w:rsidR="00383888" w:rsidRPr="00D22B96" w:rsidRDefault="00383888" w:rsidP="00FE7D9C">
      <w:pPr>
        <w:numPr>
          <w:ilvl w:val="0"/>
          <w:numId w:val="58"/>
        </w:numPr>
        <w:jc w:val="both"/>
        <w:rPr>
          <w:sz w:val="20"/>
        </w:rPr>
      </w:pPr>
      <w:r w:rsidRPr="000615AB">
        <w:rPr>
          <w:sz w:val="20"/>
        </w:rPr>
        <w:t>En la cuadragésima tercera serie de reuniones de las Asambleas, celebrada del 24 de septiembre al 3 de octubre de 2007, los Estados miembros aceptaron en principio que la OMPI adoptara las IPSAS en 2010 (véase el documento A/43/5).  Este acuerdo formaba parte de la iniciativa, aplicable en todo el sistema de NN.UU., aprobada por la Asamblea General (A/RES/60/283(IV)I), encaminada a sustituir las normas de contabilidad del sistema de las Naciones Unidas (UNSAS) por las IPSAS, internacionalmente reconocidas.  En consecuencia, los estados financieros de la OMPI correspondientes a 2010 se elaboraron conforme a las IPSAS</w:t>
      </w:r>
      <w:r w:rsidRPr="00D22B96">
        <w:rPr>
          <w:sz w:val="20"/>
        </w:rPr>
        <w:t>.</w:t>
      </w:r>
    </w:p>
    <w:p w:rsidR="00383888" w:rsidRPr="000615AB" w:rsidRDefault="00383888" w:rsidP="00383888">
      <w:pPr>
        <w:ind w:left="1"/>
        <w:jc w:val="both"/>
        <w:rPr>
          <w:sz w:val="20"/>
        </w:rPr>
      </w:pPr>
    </w:p>
    <w:p w:rsidR="00383888" w:rsidRPr="00D22B96" w:rsidRDefault="00383888" w:rsidP="00FE7D9C">
      <w:pPr>
        <w:numPr>
          <w:ilvl w:val="0"/>
          <w:numId w:val="58"/>
        </w:numPr>
        <w:jc w:val="both"/>
        <w:rPr>
          <w:sz w:val="20"/>
        </w:rPr>
      </w:pPr>
      <w:r w:rsidRPr="000615AB">
        <w:rPr>
          <w:sz w:val="20"/>
        </w:rPr>
        <w:t>La aprobación del presupuesto bienal de la OMPI sigue estando a cargo de las Asambleas.  De conformidad con las IPSAS, la Organización debe presentar los estados financieros cada año.  A tal fin, los datos del presupuesto anual se presentan tanto en lo que respecta a los ingresos como a los gastos</w:t>
      </w:r>
      <w:r w:rsidRPr="00D22B96">
        <w:rPr>
          <w:sz w:val="20"/>
        </w:rPr>
        <w:t>.</w:t>
      </w:r>
    </w:p>
    <w:p w:rsidR="00383888" w:rsidRPr="000615AB" w:rsidRDefault="00383888" w:rsidP="00383888">
      <w:pPr>
        <w:jc w:val="both"/>
        <w:rPr>
          <w:sz w:val="20"/>
        </w:rPr>
      </w:pPr>
    </w:p>
    <w:p w:rsidR="00383888" w:rsidRPr="00D22B96" w:rsidRDefault="00383888" w:rsidP="00FE7D9C">
      <w:pPr>
        <w:numPr>
          <w:ilvl w:val="0"/>
          <w:numId w:val="58"/>
        </w:numPr>
        <w:jc w:val="both"/>
        <w:rPr>
          <w:sz w:val="20"/>
        </w:rPr>
      </w:pPr>
      <w:r w:rsidRPr="000615AB">
        <w:rPr>
          <w:sz w:val="20"/>
        </w:rPr>
        <w:t>Cabe recordar que, en relación con la aprobación del presupuesto por programas de 2010/11, los Estados miembros adoptaron la metodología de presentación anual del presupuesto bienal aprobado.  En el cuadro que figura a continuación se muestra la estimación del importe de los ingresos anuales, en consonancia con dicha metodología, para el presupuesto por programas del bienio 2014/2015</w:t>
      </w:r>
      <w:r w:rsidRPr="00D22B96">
        <w:rPr>
          <w:sz w:val="20"/>
        </w:rPr>
        <w:t>.</w:t>
      </w:r>
    </w:p>
    <w:p w:rsidR="00383888" w:rsidRPr="000615AB" w:rsidRDefault="00383888" w:rsidP="00383888">
      <w:pPr>
        <w:rPr>
          <w:sz w:val="20"/>
          <w:highlight w:val="yellow"/>
        </w:rPr>
      </w:pPr>
    </w:p>
    <w:p w:rsidR="00383888" w:rsidRPr="000615AB" w:rsidRDefault="00383888" w:rsidP="00383888">
      <w:pPr>
        <w:jc w:val="center"/>
        <w:rPr>
          <w:sz w:val="18"/>
          <w:szCs w:val="18"/>
        </w:rPr>
      </w:pPr>
      <w:r w:rsidRPr="000615AB">
        <w:rPr>
          <w:sz w:val="18"/>
          <w:szCs w:val="18"/>
        </w:rPr>
        <w:t>Cuadro 22.  Ingresos anuales de 2004 a 2015</w:t>
      </w:r>
    </w:p>
    <w:p w:rsidR="00383888" w:rsidRPr="000615AB" w:rsidRDefault="00383888" w:rsidP="00383888">
      <w:pPr>
        <w:jc w:val="center"/>
        <w:rPr>
          <w:i/>
          <w:iCs/>
          <w:sz w:val="18"/>
          <w:szCs w:val="18"/>
        </w:rPr>
      </w:pPr>
      <w:r w:rsidRPr="000615AB">
        <w:rPr>
          <w:i/>
          <w:iCs/>
          <w:sz w:val="18"/>
          <w:szCs w:val="18"/>
        </w:rPr>
        <w:t>(en millones de francos suizos)</w:t>
      </w:r>
    </w:p>
    <w:p w:rsidR="00383888" w:rsidRPr="000615AB" w:rsidRDefault="00383888" w:rsidP="00383888">
      <w:pPr>
        <w:rPr>
          <w:sz w:val="20"/>
        </w:rPr>
      </w:pPr>
    </w:p>
    <w:p w:rsidR="00383888" w:rsidRPr="000615AB" w:rsidRDefault="00C40A11" w:rsidP="00383888">
      <w:pPr>
        <w:rPr>
          <w:sz w:val="20"/>
        </w:rPr>
      </w:pPr>
      <w:r>
        <w:rPr>
          <w:noProof/>
          <w:lang w:val="en-US" w:eastAsia="en-US"/>
        </w:rPr>
        <w:drawing>
          <wp:inline distT="0" distB="0" distL="0" distR="0" wp14:anchorId="28DF6F7A" wp14:editId="1EC45F22">
            <wp:extent cx="5861685" cy="1883410"/>
            <wp:effectExtent l="0" t="0" r="5715" b="254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255">
                      <a:extLst>
                        <a:ext uri="{28A0092B-C50C-407E-A947-70E740481C1C}">
                          <a14:useLocalDpi xmlns:a14="http://schemas.microsoft.com/office/drawing/2010/main" val="0"/>
                        </a:ext>
                      </a:extLst>
                    </a:blip>
                    <a:srcRect/>
                    <a:stretch>
                      <a:fillRect/>
                    </a:stretch>
                  </pic:blipFill>
                  <pic:spPr bwMode="auto">
                    <a:xfrm>
                      <a:off x="0" y="0"/>
                      <a:ext cx="5861685" cy="1883410"/>
                    </a:xfrm>
                    <a:prstGeom prst="rect">
                      <a:avLst/>
                    </a:prstGeom>
                    <a:noFill/>
                    <a:ln>
                      <a:noFill/>
                    </a:ln>
                  </pic:spPr>
                </pic:pic>
              </a:graphicData>
            </a:graphic>
          </wp:inline>
        </w:drawing>
      </w:r>
    </w:p>
    <w:p w:rsidR="00383888" w:rsidRPr="000615AB" w:rsidRDefault="00383888" w:rsidP="00383888">
      <w:pPr>
        <w:pStyle w:val="Endofdocument"/>
        <w:ind w:left="0"/>
        <w:jc w:val="left"/>
        <w:rPr>
          <w:rFonts w:ascii="Arial" w:hAnsi="Arial" w:cs="Arial"/>
          <w:sz w:val="20"/>
        </w:rPr>
      </w:pPr>
    </w:p>
    <w:p w:rsidR="00383888" w:rsidRPr="00D22B96" w:rsidRDefault="00383888" w:rsidP="00FE7D9C">
      <w:pPr>
        <w:numPr>
          <w:ilvl w:val="0"/>
          <w:numId w:val="58"/>
        </w:numPr>
        <w:jc w:val="both"/>
        <w:rPr>
          <w:sz w:val="20"/>
        </w:rPr>
      </w:pPr>
      <w:r w:rsidRPr="000615AB">
        <w:rPr>
          <w:sz w:val="20"/>
        </w:rPr>
        <w:t>En lo que respecta al gasto presupuestado de la OMPI correspondiente a 2014/2015, a las cifras presupuestarias bienales se aplica una división porcentual del 50% a fin de presentar la situación del presupuesto anual.  Ello está en consonancia con el desglose del presupuesto 2012/2013 por año y contempla el hecho de que el presupuesto para personal se elaboró a partir de los</w:t>
      </w:r>
      <w:r w:rsidRPr="000615AB">
        <w:t xml:space="preserve"> </w:t>
      </w:r>
      <w:r w:rsidRPr="000615AB">
        <w:rPr>
          <w:sz w:val="20"/>
        </w:rPr>
        <w:t>costos estándar bienales únicos.  El cuadro que figura a continuación muestra los importes de los gastos anuales en consecuencia</w:t>
      </w:r>
      <w:r w:rsidRPr="00D22B96">
        <w:rPr>
          <w:sz w:val="20"/>
        </w:rPr>
        <w:t>.</w:t>
      </w:r>
    </w:p>
    <w:p w:rsidR="00383888" w:rsidRPr="00AE2EB2" w:rsidRDefault="00383888" w:rsidP="00383888">
      <w:pPr>
        <w:pStyle w:val="Endofdocument"/>
        <w:ind w:left="0"/>
        <w:jc w:val="left"/>
        <w:rPr>
          <w:rFonts w:ascii="Arial" w:hAnsi="Arial" w:cs="Arial"/>
          <w:sz w:val="20"/>
          <w:lang w:val="es-ES"/>
        </w:rPr>
      </w:pPr>
      <w:r w:rsidRPr="00AE2EB2">
        <w:rPr>
          <w:rFonts w:ascii="Arial" w:hAnsi="Arial" w:cs="Arial"/>
          <w:sz w:val="20"/>
          <w:lang w:val="es-ES"/>
        </w:rPr>
        <w:br w:type="page"/>
      </w:r>
    </w:p>
    <w:p w:rsidR="00383888" w:rsidRPr="000615AB" w:rsidRDefault="00383888" w:rsidP="00383888">
      <w:pPr>
        <w:jc w:val="center"/>
        <w:rPr>
          <w:sz w:val="18"/>
          <w:szCs w:val="18"/>
        </w:rPr>
      </w:pPr>
      <w:r w:rsidRPr="000615AB">
        <w:rPr>
          <w:sz w:val="18"/>
          <w:szCs w:val="18"/>
        </w:rPr>
        <w:lastRenderedPageBreak/>
        <w:t>Cuadro 23.  Gastos anuales de 2004 a 2015</w:t>
      </w:r>
    </w:p>
    <w:p w:rsidR="00383888" w:rsidRPr="000615AB" w:rsidRDefault="00383888" w:rsidP="00383888">
      <w:pPr>
        <w:jc w:val="center"/>
      </w:pPr>
      <w:r w:rsidRPr="000615AB">
        <w:rPr>
          <w:i/>
          <w:iCs/>
          <w:sz w:val="18"/>
          <w:szCs w:val="18"/>
        </w:rPr>
        <w:t>(en millones de francos suizos)</w:t>
      </w:r>
      <w:r w:rsidRPr="000615AB">
        <w:t xml:space="preserve"> </w:t>
      </w:r>
    </w:p>
    <w:p w:rsidR="00383888" w:rsidRPr="00AE2EB2" w:rsidRDefault="00383888" w:rsidP="00383888">
      <w:pPr>
        <w:pStyle w:val="Endofdocument"/>
        <w:ind w:left="0"/>
        <w:jc w:val="left"/>
        <w:rPr>
          <w:rFonts w:ascii="Arial" w:hAnsi="Arial" w:cs="Arial"/>
          <w:sz w:val="20"/>
          <w:lang w:val="es-ES"/>
        </w:rPr>
      </w:pPr>
    </w:p>
    <w:p w:rsidR="00383888" w:rsidRPr="000615AB" w:rsidRDefault="00C40A11" w:rsidP="00383888">
      <w:pPr>
        <w:pStyle w:val="Endofdocument"/>
        <w:ind w:left="0"/>
        <w:jc w:val="left"/>
        <w:rPr>
          <w:rFonts w:ascii="Arial" w:hAnsi="Arial" w:cs="Arial"/>
          <w:sz w:val="20"/>
        </w:rPr>
      </w:pPr>
      <w:r>
        <w:rPr>
          <w:noProof/>
        </w:rPr>
        <w:drawing>
          <wp:inline distT="0" distB="0" distL="0" distR="0" wp14:anchorId="6E825D96" wp14:editId="1A4D3337">
            <wp:extent cx="5861685" cy="2313305"/>
            <wp:effectExtent l="0" t="0" r="5715" b="0"/>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5861685" cy="2313305"/>
                    </a:xfrm>
                    <a:prstGeom prst="rect">
                      <a:avLst/>
                    </a:prstGeom>
                    <a:noFill/>
                    <a:ln>
                      <a:noFill/>
                    </a:ln>
                  </pic:spPr>
                </pic:pic>
              </a:graphicData>
            </a:graphic>
          </wp:inline>
        </w:drawing>
      </w:r>
    </w:p>
    <w:p w:rsidR="00383888" w:rsidRPr="000615AB" w:rsidRDefault="00383888" w:rsidP="00383888">
      <w:pPr>
        <w:pStyle w:val="Endofdocument"/>
      </w:pPr>
    </w:p>
    <w:p w:rsidR="00383888" w:rsidRPr="000615AB" w:rsidRDefault="00383888" w:rsidP="00383888">
      <w:pPr>
        <w:sectPr w:rsidR="00383888" w:rsidRPr="000615AB" w:rsidSect="00B47699">
          <w:headerReference w:type="default" r:id="rId257"/>
          <w:footerReference w:type="even" r:id="rId258"/>
          <w:pgSz w:w="11907" w:h="16840" w:code="9"/>
          <w:pgMar w:top="567" w:right="1247" w:bottom="1134" w:left="1418" w:header="510" w:footer="851" w:gutter="0"/>
          <w:cols w:space="720"/>
        </w:sectPr>
      </w:pPr>
    </w:p>
    <w:p w:rsidR="00383888" w:rsidRPr="00C3705E" w:rsidRDefault="00383888" w:rsidP="00383888">
      <w:pPr>
        <w:pStyle w:val="Heading2"/>
        <w:tabs>
          <w:tab w:val="left" w:pos="1418"/>
        </w:tabs>
        <w:ind w:left="1418" w:hanging="1418"/>
        <w:rPr>
          <w:b/>
          <w:caps w:val="0"/>
          <w:szCs w:val="24"/>
          <w:lang w:val="es-ES_tradnl"/>
        </w:rPr>
      </w:pPr>
      <w:bookmarkStart w:id="111" w:name="_Toc358816733"/>
      <w:r w:rsidRPr="00C3705E">
        <w:rPr>
          <w:b/>
          <w:caps w:val="0"/>
          <w:szCs w:val="24"/>
          <w:lang w:val="es-ES_tradnl"/>
        </w:rPr>
        <w:lastRenderedPageBreak/>
        <w:t>ANEXO X.</w:t>
      </w:r>
      <w:r w:rsidRPr="00C3705E">
        <w:rPr>
          <w:b/>
          <w:caps w:val="0"/>
          <w:szCs w:val="24"/>
          <w:lang w:val="es-ES_tradnl"/>
        </w:rPr>
        <w:tab/>
        <w:t>PRESUPUESTO PARA 2014/15 POR RESULTADO PREVISTO Y PROGRAMA</w:t>
      </w:r>
      <w:bookmarkEnd w:id="111"/>
    </w:p>
    <w:p w:rsidR="00383888" w:rsidRPr="00757E3F" w:rsidRDefault="00383888" w:rsidP="00383888">
      <w:pPr>
        <w:rPr>
          <w:sz w:val="18"/>
          <w:szCs w:val="18"/>
        </w:rPr>
      </w:pPr>
    </w:p>
    <w:p w:rsidR="00383888" w:rsidRPr="000615AB" w:rsidRDefault="006629DE" w:rsidP="00383888">
      <w:pPr>
        <w:jc w:val="center"/>
      </w:pPr>
      <w:r w:rsidRPr="006629DE">
        <w:rPr>
          <w:noProof/>
          <w:lang w:val="en-US" w:eastAsia="en-US"/>
        </w:rPr>
        <w:drawing>
          <wp:inline distT="0" distB="0" distL="0" distR="0" wp14:anchorId="6BA430DD" wp14:editId="14F3814E">
            <wp:extent cx="9253220" cy="5218013"/>
            <wp:effectExtent l="0" t="0" r="5080" b="1905"/>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59">
                      <a:extLst>
                        <a:ext uri="{28A0092B-C50C-407E-A947-70E740481C1C}">
                          <a14:useLocalDpi xmlns:a14="http://schemas.microsoft.com/office/drawing/2010/main" val="0"/>
                        </a:ext>
                      </a:extLst>
                    </a:blip>
                    <a:srcRect/>
                    <a:stretch>
                      <a:fillRect/>
                    </a:stretch>
                  </pic:blipFill>
                  <pic:spPr bwMode="auto">
                    <a:xfrm>
                      <a:off x="0" y="0"/>
                      <a:ext cx="9253220" cy="5218013"/>
                    </a:xfrm>
                    <a:prstGeom prst="rect">
                      <a:avLst/>
                    </a:prstGeom>
                    <a:noFill/>
                    <a:ln>
                      <a:noFill/>
                    </a:ln>
                  </pic:spPr>
                </pic:pic>
              </a:graphicData>
            </a:graphic>
          </wp:inline>
        </w:drawing>
      </w:r>
    </w:p>
    <w:p w:rsidR="00383888" w:rsidRPr="000615AB" w:rsidRDefault="00383888" w:rsidP="00383888">
      <w:pPr>
        <w:jc w:val="center"/>
        <w:rPr>
          <w:sz w:val="20"/>
        </w:rPr>
      </w:pPr>
    </w:p>
    <w:p w:rsidR="00383888" w:rsidRPr="000615AB" w:rsidRDefault="00383888" w:rsidP="00383888">
      <w:pPr>
        <w:jc w:val="center"/>
      </w:pPr>
    </w:p>
    <w:p w:rsidR="00383888" w:rsidRPr="000615AB" w:rsidRDefault="00383888" w:rsidP="00383888">
      <w:pPr>
        <w:jc w:val="center"/>
        <w:rPr>
          <w:sz w:val="20"/>
        </w:rPr>
      </w:pPr>
    </w:p>
    <w:p w:rsidR="00383888" w:rsidRPr="000615AB" w:rsidRDefault="00383888" w:rsidP="00383888">
      <w:pPr>
        <w:jc w:val="center"/>
      </w:pPr>
    </w:p>
    <w:p w:rsidR="00383888" w:rsidRPr="000615AB" w:rsidRDefault="00383888" w:rsidP="00383888">
      <w:pPr>
        <w:jc w:val="center"/>
      </w:pPr>
    </w:p>
    <w:p w:rsidR="00383888" w:rsidRPr="000615AB" w:rsidRDefault="006629DE" w:rsidP="00383888">
      <w:pPr>
        <w:jc w:val="center"/>
        <w:rPr>
          <w:sz w:val="20"/>
        </w:rPr>
      </w:pPr>
      <w:r w:rsidRPr="006629DE">
        <w:rPr>
          <w:noProof/>
          <w:lang w:val="en-US" w:eastAsia="en-US"/>
        </w:rPr>
        <w:drawing>
          <wp:inline distT="0" distB="0" distL="0" distR="0" wp14:anchorId="547D2612" wp14:editId="602A6DDC">
            <wp:extent cx="9253220" cy="5000240"/>
            <wp:effectExtent l="0" t="0" r="5080" b="0"/>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60">
                      <a:extLst>
                        <a:ext uri="{28A0092B-C50C-407E-A947-70E740481C1C}">
                          <a14:useLocalDpi xmlns:a14="http://schemas.microsoft.com/office/drawing/2010/main" val="0"/>
                        </a:ext>
                      </a:extLst>
                    </a:blip>
                    <a:srcRect/>
                    <a:stretch>
                      <a:fillRect/>
                    </a:stretch>
                  </pic:blipFill>
                  <pic:spPr bwMode="auto">
                    <a:xfrm>
                      <a:off x="0" y="0"/>
                      <a:ext cx="9253220" cy="5000240"/>
                    </a:xfrm>
                    <a:prstGeom prst="rect">
                      <a:avLst/>
                    </a:prstGeom>
                    <a:noFill/>
                    <a:ln>
                      <a:noFill/>
                    </a:ln>
                  </pic:spPr>
                </pic:pic>
              </a:graphicData>
            </a:graphic>
          </wp:inline>
        </w:drawing>
      </w:r>
    </w:p>
    <w:p w:rsidR="00383888" w:rsidRPr="000615AB" w:rsidRDefault="00383888" w:rsidP="00383888">
      <w:pPr>
        <w:jc w:val="center"/>
        <w:rPr>
          <w:sz w:val="20"/>
        </w:rPr>
      </w:pPr>
    </w:p>
    <w:p w:rsidR="00383888" w:rsidRPr="000615AB" w:rsidRDefault="00383888" w:rsidP="00383888">
      <w:pPr>
        <w:jc w:val="center"/>
        <w:rPr>
          <w:sz w:val="20"/>
        </w:rPr>
        <w:sectPr w:rsidR="00383888" w:rsidRPr="000615AB" w:rsidSect="00B47699">
          <w:headerReference w:type="default" r:id="rId261"/>
          <w:footerReference w:type="even" r:id="rId262"/>
          <w:footerReference w:type="default" r:id="rId263"/>
          <w:pgSz w:w="16840" w:h="11907" w:orient="landscape" w:code="9"/>
          <w:pgMar w:top="567" w:right="1134" w:bottom="794" w:left="1134" w:header="510" w:footer="794" w:gutter="0"/>
          <w:cols w:space="720"/>
        </w:sectPr>
      </w:pPr>
    </w:p>
    <w:p w:rsidR="00383888" w:rsidRPr="00C3705E" w:rsidRDefault="00383888" w:rsidP="00383888">
      <w:pPr>
        <w:pStyle w:val="Heading2"/>
        <w:tabs>
          <w:tab w:val="left" w:pos="1418"/>
        </w:tabs>
        <w:ind w:left="1418" w:hanging="1418"/>
        <w:rPr>
          <w:b/>
          <w:caps w:val="0"/>
          <w:szCs w:val="24"/>
          <w:lang w:val="es-ES_tradnl"/>
        </w:rPr>
      </w:pPr>
      <w:bookmarkStart w:id="112" w:name="_Toc358816734"/>
      <w:r w:rsidRPr="00C3705E">
        <w:rPr>
          <w:b/>
          <w:caps w:val="0"/>
          <w:szCs w:val="24"/>
          <w:lang w:val="es-ES_tradnl"/>
        </w:rPr>
        <w:lastRenderedPageBreak/>
        <w:t>ANEXO XI.</w:t>
      </w:r>
      <w:r w:rsidRPr="00C3705E">
        <w:rPr>
          <w:b/>
          <w:caps w:val="0"/>
          <w:szCs w:val="24"/>
          <w:lang w:val="es-ES_tradnl"/>
        </w:rPr>
        <w:tab/>
        <w:t>PRESUPUESTO PARA 2014/2015 POR RESULTADO PREVISTO</w:t>
      </w:r>
      <w:bookmarkEnd w:id="112"/>
      <w:r w:rsidR="006629DE">
        <w:rPr>
          <w:b/>
          <w:caps w:val="0"/>
          <w:szCs w:val="24"/>
          <w:lang w:val="es-ES_tradnl"/>
        </w:rPr>
        <w:br/>
      </w:r>
      <w:r w:rsidR="006629DE" w:rsidRPr="006629DE">
        <w:rPr>
          <w:caps w:val="0"/>
          <w:sz w:val="20"/>
          <w:szCs w:val="20"/>
          <w:lang w:val="es-ES_tradnl"/>
        </w:rPr>
        <w:t>(en miles de francos suizos)</w:t>
      </w:r>
    </w:p>
    <w:p w:rsidR="00383888" w:rsidRPr="000615AB" w:rsidRDefault="00383888" w:rsidP="00551FDA">
      <w:pPr>
        <w:rPr>
          <w:sz w:val="20"/>
        </w:rPr>
      </w:pPr>
    </w:p>
    <w:p w:rsidR="00383888" w:rsidRPr="000615AB" w:rsidRDefault="00383888" w:rsidP="00551FDA">
      <w:pPr>
        <w:rPr>
          <w:sz w:val="20"/>
        </w:rPr>
      </w:pPr>
    </w:p>
    <w:p w:rsidR="00551FDA" w:rsidRDefault="00551FDA" w:rsidP="00383888">
      <w:pPr>
        <w:jc w:val="center"/>
        <w:rPr>
          <w:sz w:val="20"/>
        </w:rPr>
      </w:pPr>
      <w:r w:rsidRPr="00551FDA">
        <w:rPr>
          <w:noProof/>
          <w:lang w:val="en-US" w:eastAsia="en-US"/>
        </w:rPr>
        <w:drawing>
          <wp:inline distT="0" distB="0" distL="0" distR="0" wp14:anchorId="5465DD19" wp14:editId="62DFEDFC">
            <wp:extent cx="5760085" cy="7270712"/>
            <wp:effectExtent l="0" t="0" r="0" b="698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0" y="0"/>
                      <a:ext cx="5760085" cy="7270712"/>
                    </a:xfrm>
                    <a:prstGeom prst="rect">
                      <a:avLst/>
                    </a:prstGeom>
                    <a:noFill/>
                    <a:ln>
                      <a:noFill/>
                    </a:ln>
                  </pic:spPr>
                </pic:pic>
              </a:graphicData>
            </a:graphic>
          </wp:inline>
        </w:drawing>
      </w:r>
    </w:p>
    <w:p w:rsidR="00551FDA" w:rsidRDefault="00551FDA">
      <w:pPr>
        <w:rPr>
          <w:sz w:val="20"/>
        </w:rPr>
      </w:pPr>
      <w:r>
        <w:rPr>
          <w:sz w:val="20"/>
        </w:rPr>
        <w:br w:type="page"/>
      </w:r>
    </w:p>
    <w:p w:rsidR="00551FDA" w:rsidRDefault="00551FDA" w:rsidP="00551FDA">
      <w:pPr>
        <w:rPr>
          <w:sz w:val="20"/>
        </w:rPr>
      </w:pPr>
      <w:r w:rsidRPr="00551FDA">
        <w:rPr>
          <w:noProof/>
          <w:lang w:val="en-US" w:eastAsia="en-US"/>
        </w:rPr>
        <w:lastRenderedPageBreak/>
        <w:drawing>
          <wp:inline distT="0" distB="0" distL="0" distR="0" wp14:anchorId="53609080" wp14:editId="3A944EAD">
            <wp:extent cx="5760085" cy="36780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0" y="0"/>
                      <a:ext cx="5760085" cy="367805"/>
                    </a:xfrm>
                    <a:prstGeom prst="rect">
                      <a:avLst/>
                    </a:prstGeom>
                    <a:noFill/>
                    <a:ln>
                      <a:noFill/>
                    </a:ln>
                  </pic:spPr>
                </pic:pic>
              </a:graphicData>
            </a:graphic>
          </wp:inline>
        </w:drawing>
      </w:r>
    </w:p>
    <w:p w:rsidR="00551FDA" w:rsidRPr="000615AB" w:rsidRDefault="00551FDA" w:rsidP="00F31A57">
      <w:pPr>
        <w:rPr>
          <w:sz w:val="20"/>
        </w:rPr>
      </w:pPr>
      <w:r w:rsidRPr="00551FDA">
        <w:rPr>
          <w:noProof/>
          <w:lang w:val="en-US" w:eastAsia="en-US"/>
        </w:rPr>
        <w:drawing>
          <wp:inline distT="0" distB="0" distL="0" distR="0" wp14:anchorId="684EEF38" wp14:editId="373C15D4">
            <wp:extent cx="5760085" cy="8912697"/>
            <wp:effectExtent l="0" t="0" r="0" b="317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6">
                      <a:extLst>
                        <a:ext uri="{28A0092B-C50C-407E-A947-70E740481C1C}">
                          <a14:useLocalDpi xmlns:a14="http://schemas.microsoft.com/office/drawing/2010/main" val="0"/>
                        </a:ext>
                      </a:extLst>
                    </a:blip>
                    <a:srcRect/>
                    <a:stretch>
                      <a:fillRect/>
                    </a:stretch>
                  </pic:blipFill>
                  <pic:spPr bwMode="auto">
                    <a:xfrm>
                      <a:off x="0" y="0"/>
                      <a:ext cx="5760085" cy="8912697"/>
                    </a:xfrm>
                    <a:prstGeom prst="rect">
                      <a:avLst/>
                    </a:prstGeom>
                    <a:noFill/>
                    <a:ln>
                      <a:noFill/>
                    </a:ln>
                  </pic:spPr>
                </pic:pic>
              </a:graphicData>
            </a:graphic>
          </wp:inline>
        </w:drawing>
      </w:r>
    </w:p>
    <w:p w:rsidR="00383888" w:rsidRPr="000615AB" w:rsidRDefault="00383888" w:rsidP="00F31A57">
      <w:pPr>
        <w:rPr>
          <w:sz w:val="20"/>
        </w:rPr>
        <w:sectPr w:rsidR="00383888" w:rsidRPr="000615AB" w:rsidSect="006005F5">
          <w:pgSz w:w="11907" w:h="16840" w:code="9"/>
          <w:pgMar w:top="624" w:right="1418" w:bottom="1134" w:left="1418" w:header="510" w:footer="794" w:gutter="0"/>
          <w:cols w:space="720"/>
        </w:sectPr>
      </w:pPr>
    </w:p>
    <w:p w:rsidR="00383888" w:rsidRPr="00C3705E" w:rsidRDefault="00383888" w:rsidP="00383888">
      <w:pPr>
        <w:pStyle w:val="Heading2"/>
        <w:tabs>
          <w:tab w:val="left" w:pos="1418"/>
        </w:tabs>
        <w:ind w:left="1418" w:hanging="1418"/>
        <w:jc w:val="center"/>
        <w:rPr>
          <w:b/>
          <w:caps w:val="0"/>
          <w:szCs w:val="24"/>
          <w:lang w:val="es-ES_tradnl"/>
        </w:rPr>
      </w:pPr>
      <w:bookmarkStart w:id="113" w:name="_Toc358816735"/>
      <w:r w:rsidRPr="00C3705E">
        <w:rPr>
          <w:b/>
          <w:caps w:val="0"/>
          <w:szCs w:val="24"/>
          <w:lang w:val="es-ES_tradnl"/>
        </w:rPr>
        <w:lastRenderedPageBreak/>
        <w:t>ANEXO XII.</w:t>
      </w:r>
      <w:r w:rsidRPr="00C3705E">
        <w:rPr>
          <w:b/>
          <w:caps w:val="0"/>
          <w:szCs w:val="24"/>
          <w:lang w:val="es-ES_tradnl"/>
        </w:rPr>
        <w:tab/>
        <w:t>ORGANIGRAMA DE LA OMPI</w:t>
      </w:r>
      <w:bookmarkEnd w:id="113"/>
    </w:p>
    <w:p w:rsidR="00383888" w:rsidRPr="000615AB" w:rsidRDefault="00C40A11" w:rsidP="00383888">
      <w:pPr>
        <w:jc w:val="center"/>
        <w:rPr>
          <w:sz w:val="20"/>
        </w:rPr>
      </w:pPr>
      <w:r>
        <w:rPr>
          <w:noProof/>
          <w:lang w:val="en-US" w:eastAsia="en-US"/>
        </w:rPr>
        <w:drawing>
          <wp:inline distT="0" distB="0" distL="0" distR="0" wp14:anchorId="0DF8A05D" wp14:editId="162CCC41">
            <wp:extent cx="8174990" cy="5800090"/>
            <wp:effectExtent l="0" t="0" r="0" b="0"/>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267">
                      <a:extLst>
                        <a:ext uri="{28A0092B-C50C-407E-A947-70E740481C1C}">
                          <a14:useLocalDpi xmlns:a14="http://schemas.microsoft.com/office/drawing/2010/main" val="0"/>
                        </a:ext>
                      </a:extLst>
                    </a:blip>
                    <a:srcRect/>
                    <a:stretch>
                      <a:fillRect/>
                    </a:stretch>
                  </pic:blipFill>
                  <pic:spPr bwMode="auto">
                    <a:xfrm>
                      <a:off x="0" y="0"/>
                      <a:ext cx="8174990" cy="5800090"/>
                    </a:xfrm>
                    <a:prstGeom prst="rect">
                      <a:avLst/>
                    </a:prstGeom>
                    <a:noFill/>
                    <a:ln>
                      <a:noFill/>
                    </a:ln>
                  </pic:spPr>
                </pic:pic>
              </a:graphicData>
            </a:graphic>
          </wp:inline>
        </w:drawing>
      </w:r>
    </w:p>
    <w:p w:rsidR="00383888" w:rsidRPr="000615AB" w:rsidRDefault="00383888" w:rsidP="00383888">
      <w:pPr>
        <w:rPr>
          <w:sz w:val="20"/>
        </w:rPr>
      </w:pPr>
    </w:p>
    <w:p w:rsidR="00383888" w:rsidRPr="000615AB" w:rsidRDefault="00383888" w:rsidP="00383888">
      <w:pPr>
        <w:rPr>
          <w:sz w:val="20"/>
        </w:rPr>
        <w:sectPr w:rsidR="00383888" w:rsidRPr="000615AB" w:rsidSect="00B47699">
          <w:headerReference w:type="even" r:id="rId268"/>
          <w:pgSz w:w="16840" w:h="11907" w:orient="landscape" w:code="9"/>
          <w:pgMar w:top="567" w:right="1134" w:bottom="794" w:left="1134" w:header="510" w:footer="794" w:gutter="0"/>
          <w:cols w:space="720"/>
        </w:sectPr>
      </w:pPr>
    </w:p>
    <w:p w:rsidR="00383888" w:rsidRPr="000615AB" w:rsidRDefault="00383888" w:rsidP="00383888">
      <w:pPr>
        <w:pStyle w:val="Heading1"/>
        <w:keepNext w:val="0"/>
        <w:rPr>
          <w:szCs w:val="20"/>
        </w:rPr>
      </w:pPr>
      <w:bookmarkStart w:id="114" w:name="_Toc358816736"/>
      <w:r w:rsidRPr="000615AB">
        <w:rPr>
          <w:szCs w:val="20"/>
        </w:rPr>
        <w:lastRenderedPageBreak/>
        <w:t>V.</w:t>
      </w:r>
      <w:r w:rsidRPr="000615AB">
        <w:rPr>
          <w:b w:val="0"/>
          <w:szCs w:val="20"/>
        </w:rPr>
        <w:tab/>
      </w:r>
      <w:r w:rsidRPr="000615AB">
        <w:rPr>
          <w:szCs w:val="20"/>
        </w:rPr>
        <w:t>APÉNDICES</w:t>
      </w:r>
      <w:bookmarkEnd w:id="114"/>
    </w:p>
    <w:p w:rsidR="00383888" w:rsidRPr="000615AB" w:rsidRDefault="00383888" w:rsidP="00383888">
      <w:pPr>
        <w:rPr>
          <w:sz w:val="20"/>
        </w:rPr>
      </w:pPr>
    </w:p>
    <w:p w:rsidR="00383888" w:rsidRPr="000615AB" w:rsidRDefault="00383888" w:rsidP="00383888">
      <w:pPr>
        <w:rPr>
          <w:sz w:val="20"/>
        </w:rPr>
      </w:pPr>
    </w:p>
    <w:tbl>
      <w:tblPr>
        <w:tblW w:w="9180" w:type="dxa"/>
        <w:tblLayout w:type="fixed"/>
        <w:tblLook w:val="0000" w:firstRow="0" w:lastRow="0" w:firstColumn="0" w:lastColumn="0" w:noHBand="0" w:noVBand="0"/>
      </w:tblPr>
      <w:tblGrid>
        <w:gridCol w:w="8188"/>
        <w:gridCol w:w="992"/>
      </w:tblGrid>
      <w:tr w:rsidR="00383888" w:rsidRPr="000261DB" w:rsidTr="00B47699">
        <w:trPr>
          <w:trHeight w:val="113"/>
        </w:trPr>
        <w:tc>
          <w:tcPr>
            <w:tcW w:w="8188" w:type="dxa"/>
          </w:tcPr>
          <w:p w:rsidR="00383888" w:rsidRPr="000261DB" w:rsidRDefault="00383888" w:rsidP="00B47699">
            <w:pPr>
              <w:widowControl w:val="0"/>
              <w:tabs>
                <w:tab w:val="left" w:pos="1418"/>
              </w:tabs>
              <w:ind w:left="567" w:hanging="567"/>
              <w:rPr>
                <w:sz w:val="20"/>
              </w:rPr>
            </w:pPr>
            <w:r w:rsidRPr="000261DB">
              <w:rPr>
                <w:sz w:val="20"/>
              </w:rPr>
              <w:t>Apéndice A</w:t>
            </w:r>
            <w:r>
              <w:rPr>
                <w:sz w:val="20"/>
              </w:rPr>
              <w:tab/>
            </w:r>
            <w:r w:rsidRPr="000261DB">
              <w:rPr>
                <w:sz w:val="20"/>
              </w:rPr>
              <w:t>Contribuciones de los Estados miembros</w:t>
            </w:r>
          </w:p>
          <w:p w:rsidR="00383888" w:rsidRPr="000261DB" w:rsidRDefault="00383888" w:rsidP="00B47699">
            <w:pPr>
              <w:widowControl w:val="0"/>
              <w:tabs>
                <w:tab w:val="left" w:pos="1134"/>
              </w:tabs>
              <w:ind w:left="567" w:hanging="567"/>
              <w:rPr>
                <w:sz w:val="20"/>
              </w:rPr>
            </w:pPr>
          </w:p>
        </w:tc>
        <w:tc>
          <w:tcPr>
            <w:tcW w:w="992" w:type="dxa"/>
          </w:tcPr>
          <w:p w:rsidR="00383888" w:rsidRPr="000261DB" w:rsidRDefault="00383888" w:rsidP="00B47699">
            <w:pPr>
              <w:widowControl w:val="0"/>
              <w:jc w:val="right"/>
              <w:rPr>
                <w:sz w:val="20"/>
              </w:rPr>
            </w:pPr>
          </w:p>
        </w:tc>
      </w:tr>
      <w:tr w:rsidR="00383888" w:rsidRPr="000261DB" w:rsidTr="00B47699">
        <w:trPr>
          <w:trHeight w:val="113"/>
        </w:trPr>
        <w:tc>
          <w:tcPr>
            <w:tcW w:w="8188" w:type="dxa"/>
          </w:tcPr>
          <w:p w:rsidR="00383888" w:rsidRPr="000261DB" w:rsidRDefault="00383888" w:rsidP="00B47699">
            <w:pPr>
              <w:widowControl w:val="0"/>
              <w:tabs>
                <w:tab w:val="left" w:pos="1418"/>
              </w:tabs>
              <w:ind w:left="567" w:hanging="567"/>
              <w:rPr>
                <w:sz w:val="20"/>
              </w:rPr>
            </w:pPr>
            <w:r w:rsidRPr="000261DB">
              <w:rPr>
                <w:sz w:val="20"/>
              </w:rPr>
              <w:t xml:space="preserve">Apéndice </w:t>
            </w:r>
            <w:r>
              <w:rPr>
                <w:sz w:val="20"/>
              </w:rPr>
              <w:t>B</w:t>
            </w:r>
            <w:r>
              <w:rPr>
                <w:sz w:val="20"/>
              </w:rPr>
              <w:tab/>
            </w:r>
            <w:r w:rsidRPr="000261DB">
              <w:rPr>
                <w:sz w:val="20"/>
              </w:rPr>
              <w:t>Definición de las rúbricas presupuestarias</w:t>
            </w:r>
          </w:p>
          <w:p w:rsidR="00383888" w:rsidRPr="000261DB" w:rsidRDefault="00383888" w:rsidP="00B47699">
            <w:pPr>
              <w:widowControl w:val="0"/>
              <w:tabs>
                <w:tab w:val="left" w:pos="1418"/>
              </w:tabs>
              <w:ind w:left="567" w:hanging="567"/>
              <w:rPr>
                <w:sz w:val="20"/>
              </w:rPr>
            </w:pPr>
          </w:p>
        </w:tc>
        <w:tc>
          <w:tcPr>
            <w:tcW w:w="992" w:type="dxa"/>
          </w:tcPr>
          <w:p w:rsidR="00383888" w:rsidRPr="000261DB" w:rsidRDefault="00383888" w:rsidP="00B47699">
            <w:pPr>
              <w:widowControl w:val="0"/>
              <w:tabs>
                <w:tab w:val="left" w:pos="1418"/>
              </w:tabs>
              <w:ind w:left="567" w:hanging="567"/>
              <w:rPr>
                <w:sz w:val="20"/>
              </w:rPr>
            </w:pPr>
          </w:p>
        </w:tc>
      </w:tr>
      <w:tr w:rsidR="00383888" w:rsidRPr="000261DB" w:rsidTr="00B47699">
        <w:trPr>
          <w:trHeight w:val="113"/>
        </w:trPr>
        <w:tc>
          <w:tcPr>
            <w:tcW w:w="8188" w:type="dxa"/>
          </w:tcPr>
          <w:p w:rsidR="00383888" w:rsidRPr="000261DB" w:rsidRDefault="00383888" w:rsidP="00B47699">
            <w:pPr>
              <w:widowControl w:val="0"/>
              <w:tabs>
                <w:tab w:val="left" w:pos="1418"/>
              </w:tabs>
              <w:ind w:left="567" w:hanging="567"/>
              <w:rPr>
                <w:sz w:val="20"/>
              </w:rPr>
            </w:pPr>
            <w:r w:rsidRPr="000261DB">
              <w:rPr>
                <w:sz w:val="20"/>
              </w:rPr>
              <w:t>Apéndice C</w:t>
            </w:r>
            <w:r>
              <w:rPr>
                <w:sz w:val="20"/>
              </w:rPr>
              <w:tab/>
            </w:r>
            <w:r w:rsidRPr="000261DB">
              <w:rPr>
                <w:sz w:val="20"/>
              </w:rPr>
              <w:t>Costos estándar de personal</w:t>
            </w:r>
          </w:p>
          <w:p w:rsidR="00383888" w:rsidRPr="000261DB" w:rsidRDefault="00383888" w:rsidP="00B47699">
            <w:pPr>
              <w:widowControl w:val="0"/>
              <w:tabs>
                <w:tab w:val="left" w:pos="1418"/>
              </w:tabs>
              <w:ind w:left="567" w:hanging="567"/>
              <w:rPr>
                <w:sz w:val="20"/>
              </w:rPr>
            </w:pPr>
          </w:p>
        </w:tc>
        <w:tc>
          <w:tcPr>
            <w:tcW w:w="992" w:type="dxa"/>
          </w:tcPr>
          <w:p w:rsidR="00383888" w:rsidRPr="000261DB" w:rsidRDefault="00383888" w:rsidP="00B47699">
            <w:pPr>
              <w:widowControl w:val="0"/>
              <w:tabs>
                <w:tab w:val="left" w:pos="1418"/>
              </w:tabs>
              <w:ind w:left="567" w:hanging="567"/>
              <w:rPr>
                <w:sz w:val="20"/>
              </w:rPr>
            </w:pPr>
          </w:p>
        </w:tc>
      </w:tr>
      <w:tr w:rsidR="00383888" w:rsidRPr="000261DB" w:rsidTr="00B47699">
        <w:trPr>
          <w:trHeight w:val="113"/>
        </w:trPr>
        <w:tc>
          <w:tcPr>
            <w:tcW w:w="8188" w:type="dxa"/>
          </w:tcPr>
          <w:p w:rsidR="00383888" w:rsidRPr="000261DB" w:rsidRDefault="00383888" w:rsidP="00B47699">
            <w:pPr>
              <w:widowControl w:val="0"/>
              <w:tabs>
                <w:tab w:val="left" w:pos="1418"/>
              </w:tabs>
              <w:ind w:left="567" w:hanging="567"/>
              <w:rPr>
                <w:sz w:val="20"/>
              </w:rPr>
            </w:pPr>
            <w:r w:rsidRPr="000261DB">
              <w:rPr>
                <w:sz w:val="20"/>
              </w:rPr>
              <w:t>Apéndice D</w:t>
            </w:r>
            <w:r>
              <w:rPr>
                <w:sz w:val="20"/>
              </w:rPr>
              <w:tab/>
            </w:r>
            <w:r w:rsidRPr="000261DB">
              <w:rPr>
                <w:sz w:val="20"/>
              </w:rPr>
              <w:t>Fórmulas de flexibilidad</w:t>
            </w:r>
          </w:p>
          <w:p w:rsidR="00383888" w:rsidRPr="000261DB" w:rsidRDefault="00383888" w:rsidP="00B47699">
            <w:pPr>
              <w:widowControl w:val="0"/>
              <w:tabs>
                <w:tab w:val="left" w:pos="1418"/>
              </w:tabs>
              <w:ind w:left="567" w:hanging="567"/>
              <w:rPr>
                <w:sz w:val="20"/>
              </w:rPr>
            </w:pPr>
          </w:p>
        </w:tc>
        <w:tc>
          <w:tcPr>
            <w:tcW w:w="992" w:type="dxa"/>
          </w:tcPr>
          <w:p w:rsidR="00383888" w:rsidRPr="000261DB" w:rsidRDefault="00383888" w:rsidP="00B47699">
            <w:pPr>
              <w:widowControl w:val="0"/>
              <w:tabs>
                <w:tab w:val="left" w:pos="1418"/>
              </w:tabs>
              <w:ind w:left="567" w:hanging="567"/>
              <w:rPr>
                <w:sz w:val="20"/>
              </w:rPr>
            </w:pPr>
          </w:p>
        </w:tc>
      </w:tr>
      <w:tr w:rsidR="00383888" w:rsidRPr="000615AB" w:rsidTr="00B47699">
        <w:trPr>
          <w:trHeight w:val="113"/>
        </w:trPr>
        <w:tc>
          <w:tcPr>
            <w:tcW w:w="8188" w:type="dxa"/>
          </w:tcPr>
          <w:p w:rsidR="00383888" w:rsidRPr="000615AB" w:rsidRDefault="00383888" w:rsidP="00B47699">
            <w:pPr>
              <w:widowControl w:val="0"/>
              <w:tabs>
                <w:tab w:val="left" w:pos="1418"/>
              </w:tabs>
              <w:ind w:left="567" w:hanging="567"/>
              <w:rPr>
                <w:sz w:val="20"/>
              </w:rPr>
            </w:pPr>
            <w:r w:rsidRPr="000261DB">
              <w:rPr>
                <w:sz w:val="20"/>
              </w:rPr>
              <w:t>Apéndice E</w:t>
            </w:r>
            <w:r>
              <w:rPr>
                <w:sz w:val="20"/>
              </w:rPr>
              <w:tab/>
            </w:r>
            <w:r w:rsidRPr="000261DB">
              <w:rPr>
                <w:sz w:val="20"/>
              </w:rPr>
              <w:t>Siglas y abreviaturas empleadas en el presente documento</w:t>
            </w:r>
          </w:p>
          <w:p w:rsidR="00383888" w:rsidRPr="000615AB" w:rsidRDefault="00383888" w:rsidP="00B47699">
            <w:pPr>
              <w:widowControl w:val="0"/>
              <w:tabs>
                <w:tab w:val="left" w:pos="1418"/>
              </w:tabs>
              <w:ind w:left="567" w:hanging="567"/>
              <w:rPr>
                <w:sz w:val="20"/>
              </w:rPr>
            </w:pPr>
          </w:p>
        </w:tc>
        <w:tc>
          <w:tcPr>
            <w:tcW w:w="992" w:type="dxa"/>
          </w:tcPr>
          <w:p w:rsidR="00383888" w:rsidRPr="000615AB" w:rsidRDefault="00383888" w:rsidP="00B47699">
            <w:pPr>
              <w:widowControl w:val="0"/>
              <w:tabs>
                <w:tab w:val="left" w:pos="1418"/>
              </w:tabs>
              <w:ind w:left="567" w:hanging="567"/>
              <w:rPr>
                <w:sz w:val="20"/>
              </w:rPr>
            </w:pPr>
          </w:p>
        </w:tc>
      </w:tr>
    </w:tbl>
    <w:p w:rsidR="00383888" w:rsidRPr="00C3705E" w:rsidRDefault="00383888" w:rsidP="00383888">
      <w:pPr>
        <w:pStyle w:val="Heading2"/>
        <w:tabs>
          <w:tab w:val="left" w:pos="-2268"/>
        </w:tabs>
        <w:rPr>
          <w:b/>
          <w:caps w:val="0"/>
          <w:szCs w:val="24"/>
          <w:lang w:val="es-ES_tradnl"/>
        </w:rPr>
      </w:pPr>
      <w:r w:rsidRPr="000615AB">
        <w:rPr>
          <w:sz w:val="20"/>
        </w:rPr>
        <w:br w:type="page"/>
      </w:r>
      <w:bookmarkStart w:id="115" w:name="_Toc358816737"/>
      <w:r w:rsidRPr="00C3705E">
        <w:rPr>
          <w:b/>
          <w:caps w:val="0"/>
          <w:szCs w:val="24"/>
          <w:lang w:val="es-ES_tradnl"/>
        </w:rPr>
        <w:lastRenderedPageBreak/>
        <w:t>APÉNDICE A</w:t>
      </w:r>
      <w:r w:rsidRPr="00C3705E">
        <w:rPr>
          <w:b/>
          <w:caps w:val="0"/>
          <w:szCs w:val="24"/>
          <w:lang w:val="es-ES_tradnl"/>
        </w:rPr>
        <w:br/>
        <w:t>CONTRIBUCIONES DE LOS ESTADOS MIEMBROS</w:t>
      </w:r>
      <w:bookmarkEnd w:id="115"/>
    </w:p>
    <w:p w:rsidR="00383888" w:rsidRPr="00E97219" w:rsidRDefault="00383888" w:rsidP="00383888">
      <w:pPr>
        <w:pStyle w:val="NormalArial"/>
      </w:pPr>
      <w:r>
        <w:t>(en francos suizos)</w:t>
      </w:r>
    </w:p>
    <w:p w:rsidR="00383888" w:rsidRPr="000615AB" w:rsidRDefault="00383888" w:rsidP="00383888">
      <w:pPr>
        <w:pStyle w:val="NormalArial"/>
      </w:pPr>
    </w:p>
    <w:tbl>
      <w:tblPr>
        <w:tblW w:w="9528" w:type="dxa"/>
        <w:tblInd w:w="-190" w:type="dxa"/>
        <w:tblLayout w:type="fixed"/>
        <w:tblCellMar>
          <w:left w:w="30" w:type="dxa"/>
          <w:right w:w="30" w:type="dxa"/>
        </w:tblCellMar>
        <w:tblLook w:val="0000" w:firstRow="0" w:lastRow="0" w:firstColumn="0" w:lastColumn="0" w:noHBand="0" w:noVBand="0"/>
      </w:tblPr>
      <w:tblGrid>
        <w:gridCol w:w="3055"/>
        <w:gridCol w:w="1125"/>
        <w:gridCol w:w="1210"/>
        <w:gridCol w:w="1320"/>
        <w:gridCol w:w="1430"/>
        <w:gridCol w:w="1388"/>
      </w:tblGrid>
      <w:tr w:rsidR="00383888" w:rsidRPr="000615AB" w:rsidTr="00B47699">
        <w:trPr>
          <w:trHeight w:val="200"/>
          <w:tblHeader/>
        </w:trPr>
        <w:tc>
          <w:tcPr>
            <w:tcW w:w="3055" w:type="dxa"/>
            <w:shd w:val="pct15" w:color="auto" w:fill="FFFFFF"/>
          </w:tcPr>
          <w:p w:rsidR="00383888" w:rsidRPr="000615AB" w:rsidRDefault="00383888" w:rsidP="00B47699">
            <w:pPr>
              <w:spacing w:before="60"/>
              <w:jc w:val="center"/>
              <w:rPr>
                <w:b/>
                <w:snapToGrid w:val="0"/>
                <w:sz w:val="16"/>
                <w:szCs w:val="16"/>
              </w:rPr>
            </w:pPr>
            <w:r w:rsidRPr="000615AB">
              <w:rPr>
                <w:b/>
                <w:snapToGrid w:val="0"/>
                <w:sz w:val="16"/>
                <w:szCs w:val="16"/>
              </w:rPr>
              <w:t>Estados miembros de una o más</w:t>
            </w:r>
          </w:p>
        </w:tc>
        <w:tc>
          <w:tcPr>
            <w:tcW w:w="1125" w:type="dxa"/>
            <w:vMerge w:val="restart"/>
            <w:shd w:val="pct15" w:color="auto" w:fill="FFFFFF"/>
            <w:vAlign w:val="center"/>
          </w:tcPr>
          <w:p w:rsidR="00383888" w:rsidRPr="000615AB" w:rsidRDefault="00383888" w:rsidP="00B47699">
            <w:pPr>
              <w:spacing w:before="60"/>
              <w:jc w:val="center"/>
              <w:rPr>
                <w:b/>
                <w:snapToGrid w:val="0"/>
                <w:sz w:val="16"/>
                <w:szCs w:val="16"/>
              </w:rPr>
            </w:pPr>
            <w:r w:rsidRPr="000615AB">
              <w:rPr>
                <w:b/>
                <w:snapToGrid w:val="0"/>
                <w:sz w:val="16"/>
                <w:szCs w:val="16"/>
              </w:rPr>
              <w:t>Clase de contribución</w:t>
            </w:r>
          </w:p>
        </w:tc>
        <w:tc>
          <w:tcPr>
            <w:tcW w:w="1210" w:type="dxa"/>
            <w:vMerge w:val="restart"/>
            <w:shd w:val="pct15" w:color="auto" w:fill="FFFFFF"/>
            <w:vAlign w:val="center"/>
          </w:tcPr>
          <w:p w:rsidR="00383888" w:rsidRPr="000615AB" w:rsidRDefault="00383888" w:rsidP="00B47699">
            <w:pPr>
              <w:spacing w:before="60"/>
              <w:jc w:val="center"/>
              <w:rPr>
                <w:b/>
                <w:snapToGrid w:val="0"/>
                <w:sz w:val="16"/>
                <w:szCs w:val="16"/>
              </w:rPr>
            </w:pPr>
          </w:p>
          <w:p w:rsidR="00383888" w:rsidRPr="000615AB" w:rsidRDefault="00383888" w:rsidP="00B47699">
            <w:pPr>
              <w:spacing w:before="60"/>
              <w:jc w:val="center"/>
              <w:rPr>
                <w:b/>
                <w:snapToGrid w:val="0"/>
                <w:sz w:val="16"/>
                <w:szCs w:val="16"/>
              </w:rPr>
            </w:pPr>
            <w:r w:rsidRPr="000615AB">
              <w:rPr>
                <w:b/>
                <w:snapToGrid w:val="0"/>
                <w:sz w:val="16"/>
                <w:szCs w:val="16"/>
              </w:rPr>
              <w:t>Unidades de contribución</w:t>
            </w:r>
          </w:p>
          <w:p w:rsidR="00383888" w:rsidRPr="000615AB" w:rsidRDefault="00383888" w:rsidP="00B47699">
            <w:pPr>
              <w:spacing w:before="60"/>
              <w:jc w:val="center"/>
              <w:rPr>
                <w:b/>
                <w:snapToGrid w:val="0"/>
                <w:sz w:val="16"/>
                <w:szCs w:val="16"/>
              </w:rPr>
            </w:pPr>
            <w:r w:rsidRPr="000615AB">
              <w:rPr>
                <w:b/>
                <w:snapToGrid w:val="0"/>
                <w:sz w:val="16"/>
                <w:szCs w:val="16"/>
              </w:rPr>
              <w:t>2014/15</w:t>
            </w:r>
          </w:p>
        </w:tc>
        <w:tc>
          <w:tcPr>
            <w:tcW w:w="1320" w:type="dxa"/>
            <w:vMerge w:val="restart"/>
            <w:shd w:val="pct15" w:color="auto" w:fill="FFFFFF"/>
            <w:vAlign w:val="center"/>
          </w:tcPr>
          <w:p w:rsidR="00383888" w:rsidRPr="000615AB" w:rsidRDefault="00383888" w:rsidP="00B47699">
            <w:pPr>
              <w:spacing w:before="60"/>
              <w:jc w:val="center"/>
              <w:rPr>
                <w:b/>
                <w:snapToGrid w:val="0"/>
                <w:sz w:val="16"/>
                <w:szCs w:val="16"/>
              </w:rPr>
            </w:pPr>
            <w:r w:rsidRPr="000615AB">
              <w:rPr>
                <w:b/>
                <w:snapToGrid w:val="0"/>
                <w:sz w:val="16"/>
                <w:szCs w:val="16"/>
              </w:rPr>
              <w:t>Contribución</w:t>
            </w:r>
            <w:r w:rsidRPr="000615AB">
              <w:rPr>
                <w:b/>
                <w:snapToGrid w:val="0"/>
                <w:sz w:val="16"/>
                <w:szCs w:val="16"/>
                <w:vertAlign w:val="superscript"/>
              </w:rPr>
              <w:t>1</w:t>
            </w:r>
          </w:p>
          <w:p w:rsidR="00383888" w:rsidRPr="000615AB" w:rsidRDefault="00383888" w:rsidP="00B47699">
            <w:pPr>
              <w:spacing w:before="60"/>
              <w:jc w:val="center"/>
              <w:rPr>
                <w:b/>
                <w:snapToGrid w:val="0"/>
                <w:sz w:val="16"/>
                <w:szCs w:val="16"/>
              </w:rPr>
            </w:pPr>
            <w:r w:rsidRPr="000615AB">
              <w:rPr>
                <w:b/>
                <w:snapToGrid w:val="0"/>
                <w:sz w:val="16"/>
                <w:szCs w:val="16"/>
              </w:rPr>
              <w:t>2014</w:t>
            </w:r>
          </w:p>
        </w:tc>
        <w:tc>
          <w:tcPr>
            <w:tcW w:w="1430" w:type="dxa"/>
            <w:vMerge w:val="restart"/>
            <w:shd w:val="pct15" w:color="auto" w:fill="FFFFFF"/>
            <w:vAlign w:val="center"/>
          </w:tcPr>
          <w:p w:rsidR="00383888" w:rsidRPr="000615AB" w:rsidRDefault="00383888" w:rsidP="00B47699">
            <w:pPr>
              <w:spacing w:before="60"/>
              <w:jc w:val="center"/>
              <w:rPr>
                <w:b/>
                <w:snapToGrid w:val="0"/>
                <w:sz w:val="16"/>
                <w:szCs w:val="16"/>
              </w:rPr>
            </w:pPr>
            <w:r w:rsidRPr="000615AB">
              <w:rPr>
                <w:b/>
                <w:snapToGrid w:val="0"/>
                <w:sz w:val="16"/>
                <w:szCs w:val="16"/>
              </w:rPr>
              <w:t>Contribución</w:t>
            </w:r>
            <w:r w:rsidRPr="000615AB">
              <w:rPr>
                <w:b/>
                <w:snapToGrid w:val="0"/>
                <w:sz w:val="16"/>
                <w:szCs w:val="16"/>
                <w:vertAlign w:val="superscript"/>
              </w:rPr>
              <w:t>1</w:t>
            </w:r>
          </w:p>
          <w:p w:rsidR="00383888" w:rsidRPr="000615AB" w:rsidRDefault="00383888" w:rsidP="00B47699">
            <w:pPr>
              <w:spacing w:before="60"/>
              <w:jc w:val="center"/>
              <w:rPr>
                <w:b/>
                <w:snapToGrid w:val="0"/>
                <w:sz w:val="16"/>
                <w:szCs w:val="16"/>
              </w:rPr>
            </w:pPr>
            <w:r w:rsidRPr="000615AB">
              <w:rPr>
                <w:b/>
                <w:snapToGrid w:val="0"/>
                <w:sz w:val="16"/>
                <w:szCs w:val="16"/>
              </w:rPr>
              <w:t>2014</w:t>
            </w:r>
          </w:p>
        </w:tc>
        <w:tc>
          <w:tcPr>
            <w:tcW w:w="1388" w:type="dxa"/>
            <w:vMerge w:val="restart"/>
            <w:shd w:val="pct15" w:color="auto" w:fill="FFFFFF"/>
            <w:vAlign w:val="center"/>
          </w:tcPr>
          <w:p w:rsidR="00383888" w:rsidRPr="000615AB" w:rsidRDefault="00383888" w:rsidP="00B47699">
            <w:pPr>
              <w:spacing w:before="60"/>
              <w:jc w:val="center"/>
              <w:rPr>
                <w:b/>
                <w:snapToGrid w:val="0"/>
                <w:sz w:val="16"/>
                <w:szCs w:val="16"/>
              </w:rPr>
            </w:pPr>
            <w:r w:rsidRPr="000615AB">
              <w:rPr>
                <w:b/>
                <w:snapToGrid w:val="0"/>
                <w:sz w:val="16"/>
                <w:szCs w:val="16"/>
              </w:rPr>
              <w:t>Contribuciones</w:t>
            </w:r>
          </w:p>
          <w:p w:rsidR="00383888" w:rsidRPr="000615AB" w:rsidRDefault="00383888" w:rsidP="00B47699">
            <w:pPr>
              <w:spacing w:before="60"/>
              <w:jc w:val="center"/>
              <w:rPr>
                <w:b/>
                <w:snapToGrid w:val="0"/>
                <w:sz w:val="16"/>
                <w:szCs w:val="16"/>
              </w:rPr>
            </w:pPr>
            <w:r w:rsidRPr="000615AB">
              <w:rPr>
                <w:b/>
                <w:snapToGrid w:val="0"/>
                <w:sz w:val="16"/>
                <w:szCs w:val="16"/>
              </w:rPr>
              <w:t>2014/15</w:t>
            </w:r>
          </w:p>
        </w:tc>
      </w:tr>
      <w:tr w:rsidR="00383888" w:rsidRPr="000615AB" w:rsidTr="00B47699">
        <w:trPr>
          <w:trHeight w:val="200"/>
          <w:tblHeader/>
        </w:trPr>
        <w:tc>
          <w:tcPr>
            <w:tcW w:w="3055" w:type="dxa"/>
            <w:shd w:val="pct15" w:color="auto" w:fill="FFFFFF"/>
          </w:tcPr>
          <w:p w:rsidR="00383888" w:rsidRPr="000615AB" w:rsidRDefault="00383888" w:rsidP="00B47699">
            <w:pPr>
              <w:pStyle w:val="Heading6"/>
              <w:tabs>
                <w:tab w:val="num" w:pos="0"/>
              </w:tabs>
              <w:ind w:left="-46" w:firstLine="46"/>
              <w:jc w:val="center"/>
              <w:rPr>
                <w:color w:val="auto"/>
                <w:sz w:val="17"/>
                <w:szCs w:val="17"/>
                <w:lang w:val="es-ES"/>
              </w:rPr>
            </w:pPr>
            <w:r w:rsidRPr="000615AB">
              <w:rPr>
                <w:caps w:val="0"/>
                <w:color w:val="auto"/>
                <w:sz w:val="17"/>
                <w:szCs w:val="17"/>
                <w:lang w:val="es-ES"/>
              </w:rPr>
              <w:t>Uniones financiadas por contribuciones</w:t>
            </w:r>
          </w:p>
        </w:tc>
        <w:tc>
          <w:tcPr>
            <w:tcW w:w="1125" w:type="dxa"/>
            <w:vMerge/>
            <w:shd w:val="pct15" w:color="auto" w:fill="FFFFFF"/>
          </w:tcPr>
          <w:p w:rsidR="00383888" w:rsidRPr="000615AB" w:rsidRDefault="00383888" w:rsidP="00B47699">
            <w:pPr>
              <w:spacing w:before="60"/>
              <w:jc w:val="center"/>
              <w:rPr>
                <w:b/>
                <w:snapToGrid w:val="0"/>
                <w:sz w:val="18"/>
                <w:szCs w:val="18"/>
              </w:rPr>
            </w:pPr>
          </w:p>
        </w:tc>
        <w:tc>
          <w:tcPr>
            <w:tcW w:w="1210" w:type="dxa"/>
            <w:vMerge/>
            <w:shd w:val="pct15" w:color="auto" w:fill="FFFFFF"/>
            <w:vAlign w:val="center"/>
          </w:tcPr>
          <w:p w:rsidR="00383888" w:rsidRPr="000615AB" w:rsidRDefault="00383888" w:rsidP="00B47699">
            <w:pPr>
              <w:spacing w:before="60"/>
              <w:jc w:val="center"/>
              <w:rPr>
                <w:b/>
                <w:snapToGrid w:val="0"/>
                <w:sz w:val="18"/>
                <w:szCs w:val="18"/>
              </w:rPr>
            </w:pPr>
          </w:p>
        </w:tc>
        <w:tc>
          <w:tcPr>
            <w:tcW w:w="1320" w:type="dxa"/>
            <w:vMerge/>
            <w:shd w:val="pct15" w:color="auto" w:fill="FFFFFF"/>
            <w:vAlign w:val="center"/>
          </w:tcPr>
          <w:p w:rsidR="00383888" w:rsidRPr="000615AB" w:rsidRDefault="00383888" w:rsidP="00B47699">
            <w:pPr>
              <w:spacing w:before="60"/>
              <w:jc w:val="center"/>
              <w:rPr>
                <w:b/>
                <w:snapToGrid w:val="0"/>
                <w:sz w:val="18"/>
                <w:szCs w:val="18"/>
              </w:rPr>
            </w:pPr>
          </w:p>
        </w:tc>
        <w:tc>
          <w:tcPr>
            <w:tcW w:w="1430" w:type="dxa"/>
            <w:vMerge/>
            <w:shd w:val="pct15" w:color="auto" w:fill="FFFFFF"/>
            <w:vAlign w:val="center"/>
          </w:tcPr>
          <w:p w:rsidR="00383888" w:rsidRPr="000615AB" w:rsidRDefault="00383888" w:rsidP="00B47699">
            <w:pPr>
              <w:spacing w:before="60"/>
              <w:jc w:val="center"/>
              <w:rPr>
                <w:b/>
                <w:snapToGrid w:val="0"/>
                <w:sz w:val="18"/>
                <w:szCs w:val="18"/>
              </w:rPr>
            </w:pPr>
          </w:p>
        </w:tc>
        <w:tc>
          <w:tcPr>
            <w:tcW w:w="1388" w:type="dxa"/>
            <w:vMerge/>
            <w:shd w:val="pct15" w:color="auto" w:fill="FFFFFF"/>
            <w:vAlign w:val="center"/>
          </w:tcPr>
          <w:p w:rsidR="00383888" w:rsidRPr="000615AB" w:rsidRDefault="00383888" w:rsidP="00B47699">
            <w:pPr>
              <w:spacing w:before="60"/>
              <w:jc w:val="center"/>
              <w:rPr>
                <w:b/>
                <w:snapToGrid w:val="0"/>
                <w:sz w:val="18"/>
                <w:szCs w:val="18"/>
              </w:rPr>
            </w:pPr>
          </w:p>
        </w:tc>
      </w:tr>
      <w:tr w:rsidR="00383888" w:rsidRPr="000615AB" w:rsidTr="00B47699">
        <w:trPr>
          <w:trHeight w:val="100"/>
          <w:tblHeader/>
        </w:trPr>
        <w:tc>
          <w:tcPr>
            <w:tcW w:w="3055" w:type="dxa"/>
          </w:tcPr>
          <w:p w:rsidR="00383888" w:rsidRPr="000615AB" w:rsidRDefault="00383888" w:rsidP="00B47699">
            <w:pPr>
              <w:jc w:val="right"/>
              <w:rPr>
                <w:snapToGrid w:val="0"/>
                <w:sz w:val="18"/>
                <w:szCs w:val="18"/>
              </w:rPr>
            </w:pPr>
          </w:p>
        </w:tc>
        <w:tc>
          <w:tcPr>
            <w:tcW w:w="1125" w:type="dxa"/>
          </w:tcPr>
          <w:p w:rsidR="00383888" w:rsidRPr="000615AB" w:rsidRDefault="00383888" w:rsidP="00B47699">
            <w:pPr>
              <w:jc w:val="center"/>
              <w:rPr>
                <w:snapToGrid w:val="0"/>
                <w:sz w:val="18"/>
                <w:szCs w:val="18"/>
              </w:rPr>
            </w:pPr>
          </w:p>
        </w:tc>
        <w:tc>
          <w:tcPr>
            <w:tcW w:w="1210" w:type="dxa"/>
          </w:tcPr>
          <w:p w:rsidR="00383888" w:rsidRPr="000615AB" w:rsidRDefault="00383888" w:rsidP="00B47699">
            <w:pPr>
              <w:jc w:val="right"/>
              <w:rPr>
                <w:snapToGrid w:val="0"/>
                <w:sz w:val="18"/>
                <w:szCs w:val="18"/>
              </w:rPr>
            </w:pPr>
          </w:p>
        </w:tc>
        <w:tc>
          <w:tcPr>
            <w:tcW w:w="1320" w:type="dxa"/>
          </w:tcPr>
          <w:p w:rsidR="00383888" w:rsidRPr="000615AB" w:rsidRDefault="00383888" w:rsidP="00B47699">
            <w:pPr>
              <w:jc w:val="right"/>
              <w:rPr>
                <w:snapToGrid w:val="0"/>
                <w:sz w:val="18"/>
                <w:szCs w:val="18"/>
              </w:rPr>
            </w:pPr>
          </w:p>
        </w:tc>
        <w:tc>
          <w:tcPr>
            <w:tcW w:w="1430" w:type="dxa"/>
          </w:tcPr>
          <w:p w:rsidR="00383888" w:rsidRPr="000615AB" w:rsidRDefault="00383888" w:rsidP="00B47699">
            <w:pPr>
              <w:jc w:val="right"/>
              <w:rPr>
                <w:snapToGrid w:val="0"/>
                <w:sz w:val="18"/>
                <w:szCs w:val="18"/>
              </w:rPr>
            </w:pPr>
          </w:p>
        </w:tc>
        <w:tc>
          <w:tcPr>
            <w:tcW w:w="1388" w:type="dxa"/>
          </w:tcPr>
          <w:p w:rsidR="00383888" w:rsidRPr="000615AB" w:rsidRDefault="00383888" w:rsidP="00B47699">
            <w:pPr>
              <w:jc w:val="right"/>
              <w:rPr>
                <w:snapToGrid w:val="0"/>
                <w:sz w:val="18"/>
                <w:szCs w:val="18"/>
              </w:rPr>
            </w:pPr>
          </w:p>
        </w:tc>
      </w:tr>
      <w:tr w:rsidR="00383888" w:rsidRPr="000615AB" w:rsidTr="00B47699">
        <w:tc>
          <w:tcPr>
            <w:tcW w:w="3055" w:type="dxa"/>
            <w:shd w:val="clear" w:color="auto" w:fill="E6E6E6"/>
          </w:tcPr>
          <w:p w:rsidR="00383888" w:rsidRPr="000615AB" w:rsidRDefault="00383888" w:rsidP="00B47699">
            <w:pPr>
              <w:rPr>
                <w:snapToGrid w:val="0"/>
                <w:sz w:val="18"/>
                <w:szCs w:val="18"/>
              </w:rPr>
            </w:pPr>
            <w:r w:rsidRPr="000615AB">
              <w:rPr>
                <w:b/>
                <w:snapToGrid w:val="0"/>
                <w:sz w:val="18"/>
                <w:szCs w:val="18"/>
              </w:rPr>
              <w:t>A</w:t>
            </w:r>
            <w:r w:rsidRPr="000615AB">
              <w:rPr>
                <w:snapToGrid w:val="0"/>
                <w:sz w:val="18"/>
                <w:szCs w:val="18"/>
              </w:rPr>
              <w:t>fganistán</w:t>
            </w:r>
            <w:r w:rsidRPr="000615AB">
              <w:rPr>
                <w:snapToGrid w:val="0"/>
                <w:sz w:val="18"/>
                <w:szCs w:val="18"/>
                <w:vertAlign w:val="superscript"/>
              </w:rPr>
              <w:t>2</w:t>
            </w:r>
          </w:p>
        </w:tc>
        <w:tc>
          <w:tcPr>
            <w:tcW w:w="1125" w:type="dxa"/>
            <w:shd w:val="clear" w:color="auto" w:fill="E6E6E6"/>
          </w:tcPr>
          <w:p w:rsidR="00383888" w:rsidRPr="000615AB" w:rsidRDefault="00383888" w:rsidP="00B47699">
            <w:pPr>
              <w:jc w:val="center"/>
              <w:rPr>
                <w:i/>
                <w:snapToGrid w:val="0"/>
                <w:sz w:val="18"/>
                <w:szCs w:val="18"/>
              </w:rPr>
            </w:pPr>
            <w:r w:rsidRPr="000615AB">
              <w:rPr>
                <w:i/>
                <w:snapToGrid w:val="0"/>
                <w:sz w:val="18"/>
                <w:szCs w:val="18"/>
              </w:rPr>
              <w:t>Ster</w:t>
            </w:r>
          </w:p>
        </w:tc>
        <w:tc>
          <w:tcPr>
            <w:tcW w:w="1210" w:type="dxa"/>
            <w:shd w:val="clear" w:color="auto" w:fill="E6E6E6"/>
          </w:tcPr>
          <w:p w:rsidR="00383888" w:rsidRPr="000615AB" w:rsidRDefault="00383888" w:rsidP="00B47699">
            <w:pPr>
              <w:jc w:val="right"/>
              <w:rPr>
                <w:snapToGrid w:val="0"/>
                <w:sz w:val="18"/>
                <w:szCs w:val="18"/>
              </w:rPr>
            </w:pPr>
            <w:r w:rsidRPr="000615AB">
              <w:rPr>
                <w:snapToGrid w:val="0"/>
                <w:sz w:val="18"/>
                <w:szCs w:val="18"/>
              </w:rPr>
              <w:t>0,03125</w:t>
            </w:r>
          </w:p>
        </w:tc>
        <w:tc>
          <w:tcPr>
            <w:tcW w:w="1320" w:type="dxa"/>
            <w:shd w:val="clear" w:color="auto" w:fill="E6E6E6"/>
          </w:tcPr>
          <w:p w:rsidR="00383888" w:rsidRPr="000615AB" w:rsidRDefault="00383888" w:rsidP="00B47699">
            <w:pPr>
              <w:jc w:val="right"/>
              <w:rPr>
                <w:snapToGrid w:val="0"/>
                <w:sz w:val="18"/>
                <w:szCs w:val="18"/>
              </w:rPr>
            </w:pPr>
            <w:r w:rsidRPr="000615AB">
              <w:rPr>
                <w:snapToGrid w:val="0"/>
                <w:sz w:val="18"/>
                <w:szCs w:val="18"/>
              </w:rPr>
              <w:t>1.424</w:t>
            </w:r>
          </w:p>
        </w:tc>
        <w:tc>
          <w:tcPr>
            <w:tcW w:w="1430" w:type="dxa"/>
            <w:shd w:val="clear" w:color="auto" w:fill="E6E6E6"/>
          </w:tcPr>
          <w:p w:rsidR="00383888" w:rsidRPr="000615AB" w:rsidRDefault="00383888" w:rsidP="00B47699">
            <w:pPr>
              <w:jc w:val="right"/>
              <w:rPr>
                <w:snapToGrid w:val="0"/>
                <w:sz w:val="18"/>
                <w:szCs w:val="18"/>
              </w:rPr>
            </w:pPr>
            <w:r w:rsidRPr="000615AB">
              <w:rPr>
                <w:snapToGrid w:val="0"/>
                <w:sz w:val="18"/>
                <w:szCs w:val="18"/>
              </w:rPr>
              <w:t>1.424</w:t>
            </w:r>
          </w:p>
        </w:tc>
        <w:tc>
          <w:tcPr>
            <w:tcW w:w="1388" w:type="dxa"/>
            <w:shd w:val="clear" w:color="auto" w:fill="E6E6E6"/>
          </w:tcPr>
          <w:p w:rsidR="00383888" w:rsidRPr="000615AB" w:rsidRDefault="00383888" w:rsidP="00B47699">
            <w:pPr>
              <w:jc w:val="right"/>
              <w:rPr>
                <w:snapToGrid w:val="0"/>
                <w:sz w:val="18"/>
                <w:szCs w:val="18"/>
              </w:rPr>
            </w:pPr>
            <w:r w:rsidRPr="000615AB">
              <w:rPr>
                <w:snapToGrid w:val="0"/>
                <w:sz w:val="18"/>
                <w:szCs w:val="18"/>
              </w:rPr>
              <w:t>2.848</w:t>
            </w:r>
          </w:p>
        </w:tc>
      </w:tr>
      <w:tr w:rsidR="00383888" w:rsidRPr="000615AB" w:rsidTr="00B47699">
        <w:tc>
          <w:tcPr>
            <w:tcW w:w="3055" w:type="dxa"/>
          </w:tcPr>
          <w:p w:rsidR="00383888" w:rsidRPr="000615AB" w:rsidRDefault="00383888" w:rsidP="00B47699">
            <w:pPr>
              <w:rPr>
                <w:snapToGrid w:val="0"/>
                <w:sz w:val="18"/>
                <w:szCs w:val="18"/>
              </w:rPr>
            </w:pPr>
            <w:r w:rsidRPr="000615AB">
              <w:rPr>
                <w:snapToGrid w:val="0"/>
                <w:sz w:val="18"/>
                <w:szCs w:val="18"/>
              </w:rPr>
              <w:t>Albania</w:t>
            </w:r>
          </w:p>
        </w:tc>
        <w:tc>
          <w:tcPr>
            <w:tcW w:w="1125" w:type="dxa"/>
          </w:tcPr>
          <w:p w:rsidR="00383888" w:rsidRPr="000615AB" w:rsidRDefault="00383888" w:rsidP="00B47699">
            <w:pPr>
              <w:jc w:val="center"/>
              <w:rPr>
                <w:snapToGrid w:val="0"/>
                <w:sz w:val="18"/>
                <w:szCs w:val="18"/>
              </w:rPr>
            </w:pPr>
            <w:r w:rsidRPr="000615AB">
              <w:rPr>
                <w:snapToGrid w:val="0"/>
                <w:sz w:val="18"/>
                <w:szCs w:val="18"/>
              </w:rPr>
              <w:t>IX</w:t>
            </w:r>
          </w:p>
        </w:tc>
        <w:tc>
          <w:tcPr>
            <w:tcW w:w="1210" w:type="dxa"/>
          </w:tcPr>
          <w:p w:rsidR="00383888" w:rsidRPr="000615AB" w:rsidRDefault="00383888" w:rsidP="00B47699">
            <w:pPr>
              <w:jc w:val="right"/>
              <w:rPr>
                <w:snapToGrid w:val="0"/>
                <w:sz w:val="18"/>
                <w:szCs w:val="18"/>
              </w:rPr>
            </w:pPr>
            <w:r w:rsidRPr="000615AB">
              <w:rPr>
                <w:snapToGrid w:val="0"/>
                <w:sz w:val="18"/>
                <w:szCs w:val="18"/>
              </w:rPr>
              <w:t>0,25</w:t>
            </w:r>
          </w:p>
        </w:tc>
        <w:tc>
          <w:tcPr>
            <w:tcW w:w="1320" w:type="dxa"/>
          </w:tcPr>
          <w:p w:rsidR="00383888" w:rsidRPr="000615AB" w:rsidRDefault="00383888" w:rsidP="00B47699">
            <w:pPr>
              <w:jc w:val="right"/>
              <w:rPr>
                <w:snapToGrid w:val="0"/>
                <w:sz w:val="18"/>
                <w:szCs w:val="18"/>
              </w:rPr>
            </w:pPr>
            <w:r w:rsidRPr="000615AB">
              <w:rPr>
                <w:snapToGrid w:val="0"/>
                <w:sz w:val="18"/>
                <w:szCs w:val="18"/>
              </w:rPr>
              <w:t xml:space="preserve">11.395 </w:t>
            </w:r>
          </w:p>
        </w:tc>
        <w:tc>
          <w:tcPr>
            <w:tcW w:w="1430" w:type="dxa"/>
          </w:tcPr>
          <w:p w:rsidR="00383888" w:rsidRPr="000615AB" w:rsidRDefault="00383888" w:rsidP="00B47699">
            <w:pPr>
              <w:jc w:val="right"/>
              <w:rPr>
                <w:snapToGrid w:val="0"/>
                <w:sz w:val="18"/>
                <w:szCs w:val="18"/>
              </w:rPr>
            </w:pPr>
            <w:r w:rsidRPr="000615AB">
              <w:rPr>
                <w:snapToGrid w:val="0"/>
                <w:sz w:val="18"/>
                <w:szCs w:val="18"/>
              </w:rPr>
              <w:t xml:space="preserve">11.395 </w:t>
            </w:r>
          </w:p>
        </w:tc>
        <w:tc>
          <w:tcPr>
            <w:tcW w:w="1388" w:type="dxa"/>
          </w:tcPr>
          <w:p w:rsidR="00383888" w:rsidRPr="000615AB" w:rsidRDefault="00383888" w:rsidP="00B47699">
            <w:pPr>
              <w:jc w:val="right"/>
              <w:rPr>
                <w:snapToGrid w:val="0"/>
                <w:sz w:val="18"/>
                <w:szCs w:val="18"/>
              </w:rPr>
            </w:pPr>
            <w:r w:rsidRPr="000615AB">
              <w:rPr>
                <w:snapToGrid w:val="0"/>
                <w:sz w:val="18"/>
                <w:szCs w:val="18"/>
              </w:rPr>
              <w:t xml:space="preserve">22.790 </w:t>
            </w:r>
          </w:p>
        </w:tc>
      </w:tr>
      <w:tr w:rsidR="00383888" w:rsidRPr="000615AB" w:rsidTr="00B47699">
        <w:tc>
          <w:tcPr>
            <w:tcW w:w="3055" w:type="dxa"/>
            <w:shd w:val="pct15" w:color="auto" w:fill="FFFFFF"/>
          </w:tcPr>
          <w:p w:rsidR="00383888" w:rsidRPr="000615AB" w:rsidRDefault="00383888" w:rsidP="00B47699">
            <w:pPr>
              <w:rPr>
                <w:snapToGrid w:val="0"/>
                <w:sz w:val="18"/>
                <w:szCs w:val="18"/>
              </w:rPr>
            </w:pPr>
            <w:r w:rsidRPr="000615AB">
              <w:rPr>
                <w:snapToGrid w:val="0"/>
                <w:sz w:val="18"/>
                <w:szCs w:val="18"/>
              </w:rPr>
              <w:t>Alemania</w:t>
            </w:r>
          </w:p>
        </w:tc>
        <w:tc>
          <w:tcPr>
            <w:tcW w:w="1125" w:type="dxa"/>
            <w:shd w:val="pct15" w:color="auto" w:fill="FFFFFF"/>
          </w:tcPr>
          <w:p w:rsidR="00383888" w:rsidRPr="000615AB" w:rsidRDefault="00383888" w:rsidP="00B47699">
            <w:pPr>
              <w:jc w:val="center"/>
              <w:rPr>
                <w:snapToGrid w:val="0"/>
                <w:sz w:val="18"/>
                <w:szCs w:val="18"/>
              </w:rPr>
            </w:pPr>
            <w:r w:rsidRPr="000615AB">
              <w:rPr>
                <w:snapToGrid w:val="0"/>
                <w:sz w:val="18"/>
                <w:szCs w:val="18"/>
              </w:rPr>
              <w:t>I</w:t>
            </w:r>
          </w:p>
        </w:tc>
        <w:tc>
          <w:tcPr>
            <w:tcW w:w="1210" w:type="dxa"/>
            <w:shd w:val="pct15" w:color="auto" w:fill="FFFFFF"/>
          </w:tcPr>
          <w:p w:rsidR="00383888" w:rsidRPr="000615AB" w:rsidRDefault="00383888" w:rsidP="00B47699">
            <w:pPr>
              <w:jc w:val="right"/>
              <w:rPr>
                <w:snapToGrid w:val="0"/>
                <w:sz w:val="18"/>
                <w:szCs w:val="18"/>
              </w:rPr>
            </w:pPr>
            <w:r w:rsidRPr="000615AB">
              <w:rPr>
                <w:snapToGrid w:val="0"/>
                <w:sz w:val="18"/>
                <w:szCs w:val="18"/>
              </w:rPr>
              <w:t>25</w:t>
            </w:r>
          </w:p>
        </w:tc>
        <w:tc>
          <w:tcPr>
            <w:tcW w:w="1320" w:type="dxa"/>
            <w:shd w:val="pct15" w:color="auto" w:fill="FFFFFF"/>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1.139.475 </w:t>
            </w:r>
          </w:p>
        </w:tc>
        <w:tc>
          <w:tcPr>
            <w:tcW w:w="1430" w:type="dxa"/>
            <w:shd w:val="pct15" w:color="auto" w:fill="FFFFFF"/>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1.139.475 </w:t>
            </w:r>
          </w:p>
        </w:tc>
        <w:tc>
          <w:tcPr>
            <w:tcW w:w="1388" w:type="dxa"/>
            <w:shd w:val="pct15" w:color="auto" w:fill="FFFFFF"/>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2.278.950 </w:t>
            </w:r>
          </w:p>
        </w:tc>
      </w:tr>
      <w:tr w:rsidR="00383888" w:rsidRPr="000615AB" w:rsidTr="00B47699">
        <w:tc>
          <w:tcPr>
            <w:tcW w:w="3055" w:type="dxa"/>
          </w:tcPr>
          <w:p w:rsidR="00383888" w:rsidRPr="000615AB" w:rsidRDefault="00383888" w:rsidP="00B47699">
            <w:pPr>
              <w:rPr>
                <w:snapToGrid w:val="0"/>
                <w:sz w:val="18"/>
                <w:szCs w:val="18"/>
                <w:vertAlign w:val="superscript"/>
              </w:rPr>
            </w:pPr>
            <w:r w:rsidRPr="000615AB">
              <w:rPr>
                <w:snapToGrid w:val="0"/>
                <w:sz w:val="18"/>
                <w:szCs w:val="18"/>
              </w:rPr>
              <w:t>Andorra</w:t>
            </w:r>
          </w:p>
        </w:tc>
        <w:tc>
          <w:tcPr>
            <w:tcW w:w="1125" w:type="dxa"/>
          </w:tcPr>
          <w:p w:rsidR="00383888" w:rsidRPr="000615AB" w:rsidRDefault="00383888" w:rsidP="00B47699">
            <w:pPr>
              <w:jc w:val="center"/>
              <w:rPr>
                <w:snapToGrid w:val="0"/>
                <w:sz w:val="18"/>
                <w:szCs w:val="18"/>
              </w:rPr>
            </w:pPr>
            <w:r w:rsidRPr="000615AB">
              <w:rPr>
                <w:snapToGrid w:val="0"/>
                <w:sz w:val="18"/>
                <w:szCs w:val="18"/>
              </w:rPr>
              <w:t>IX</w:t>
            </w:r>
          </w:p>
        </w:tc>
        <w:tc>
          <w:tcPr>
            <w:tcW w:w="1210" w:type="dxa"/>
          </w:tcPr>
          <w:p w:rsidR="00383888" w:rsidRPr="000615AB" w:rsidRDefault="00383888" w:rsidP="00B47699">
            <w:pPr>
              <w:jc w:val="right"/>
              <w:rPr>
                <w:snapToGrid w:val="0"/>
                <w:sz w:val="18"/>
                <w:szCs w:val="18"/>
              </w:rPr>
            </w:pPr>
            <w:r w:rsidRPr="000615AB">
              <w:rPr>
                <w:snapToGrid w:val="0"/>
                <w:sz w:val="18"/>
                <w:szCs w:val="18"/>
              </w:rPr>
              <w:t>0,25</w:t>
            </w:r>
          </w:p>
        </w:tc>
        <w:tc>
          <w:tcPr>
            <w:tcW w:w="1320" w:type="dxa"/>
          </w:tcPr>
          <w:p w:rsidR="00383888" w:rsidRPr="000615AB" w:rsidRDefault="00383888" w:rsidP="00B47699">
            <w:pPr>
              <w:jc w:val="right"/>
              <w:rPr>
                <w:snapToGrid w:val="0"/>
                <w:sz w:val="18"/>
                <w:szCs w:val="18"/>
              </w:rPr>
            </w:pPr>
            <w:r w:rsidRPr="000615AB">
              <w:rPr>
                <w:snapToGrid w:val="0"/>
                <w:sz w:val="18"/>
                <w:szCs w:val="18"/>
              </w:rPr>
              <w:t xml:space="preserve">11.395 </w:t>
            </w:r>
          </w:p>
        </w:tc>
        <w:tc>
          <w:tcPr>
            <w:tcW w:w="1430" w:type="dxa"/>
          </w:tcPr>
          <w:p w:rsidR="00383888" w:rsidRPr="000615AB" w:rsidRDefault="00383888" w:rsidP="00B47699">
            <w:pPr>
              <w:jc w:val="right"/>
              <w:rPr>
                <w:snapToGrid w:val="0"/>
                <w:sz w:val="18"/>
                <w:szCs w:val="18"/>
              </w:rPr>
            </w:pPr>
            <w:r w:rsidRPr="000615AB">
              <w:rPr>
                <w:snapToGrid w:val="0"/>
                <w:sz w:val="18"/>
                <w:szCs w:val="18"/>
              </w:rPr>
              <w:t xml:space="preserve">11.395 </w:t>
            </w:r>
          </w:p>
        </w:tc>
        <w:tc>
          <w:tcPr>
            <w:tcW w:w="1388" w:type="dxa"/>
          </w:tcPr>
          <w:p w:rsidR="00383888" w:rsidRPr="000615AB" w:rsidRDefault="00383888" w:rsidP="00B47699">
            <w:pPr>
              <w:jc w:val="right"/>
              <w:rPr>
                <w:snapToGrid w:val="0"/>
                <w:sz w:val="18"/>
                <w:szCs w:val="18"/>
              </w:rPr>
            </w:pPr>
            <w:r w:rsidRPr="000615AB">
              <w:rPr>
                <w:snapToGrid w:val="0"/>
                <w:sz w:val="18"/>
                <w:szCs w:val="18"/>
              </w:rPr>
              <w:t xml:space="preserve">22.790 </w:t>
            </w:r>
          </w:p>
        </w:tc>
      </w:tr>
      <w:tr w:rsidR="00383888" w:rsidRPr="000615AB" w:rsidTr="00B47699">
        <w:tc>
          <w:tcPr>
            <w:tcW w:w="3055" w:type="dxa"/>
            <w:shd w:val="pct15" w:color="auto" w:fill="FFFFFF"/>
          </w:tcPr>
          <w:p w:rsidR="00383888" w:rsidRPr="000615AB" w:rsidRDefault="00383888" w:rsidP="00B47699">
            <w:pPr>
              <w:rPr>
                <w:snapToGrid w:val="0"/>
                <w:sz w:val="18"/>
                <w:szCs w:val="18"/>
                <w:vertAlign w:val="superscript"/>
              </w:rPr>
            </w:pPr>
            <w:r w:rsidRPr="000615AB">
              <w:rPr>
                <w:snapToGrid w:val="0"/>
                <w:sz w:val="18"/>
                <w:szCs w:val="18"/>
              </w:rPr>
              <w:t xml:space="preserve">Angola </w:t>
            </w:r>
          </w:p>
        </w:tc>
        <w:tc>
          <w:tcPr>
            <w:tcW w:w="1125" w:type="dxa"/>
            <w:shd w:val="pct15" w:color="auto" w:fill="FFFFFF"/>
          </w:tcPr>
          <w:p w:rsidR="00383888" w:rsidRPr="000615AB" w:rsidRDefault="00383888" w:rsidP="00B47699">
            <w:pPr>
              <w:jc w:val="center"/>
              <w:rPr>
                <w:i/>
                <w:snapToGrid w:val="0"/>
                <w:sz w:val="18"/>
                <w:szCs w:val="18"/>
              </w:rPr>
            </w:pPr>
            <w:r w:rsidRPr="000615AB">
              <w:rPr>
                <w:snapToGrid w:val="0"/>
                <w:sz w:val="18"/>
                <w:szCs w:val="18"/>
              </w:rPr>
              <w:t>S</w:t>
            </w:r>
            <w:r w:rsidRPr="000615AB">
              <w:rPr>
                <w:i/>
                <w:snapToGrid w:val="0"/>
                <w:sz w:val="18"/>
                <w:szCs w:val="18"/>
              </w:rPr>
              <w:t>ter</w:t>
            </w:r>
          </w:p>
        </w:tc>
        <w:tc>
          <w:tcPr>
            <w:tcW w:w="1210" w:type="dxa"/>
            <w:shd w:val="pct15" w:color="auto" w:fill="FFFFFF"/>
          </w:tcPr>
          <w:p w:rsidR="00383888" w:rsidRPr="000615AB" w:rsidRDefault="00383888" w:rsidP="00B47699">
            <w:pPr>
              <w:jc w:val="right"/>
              <w:rPr>
                <w:snapToGrid w:val="0"/>
                <w:sz w:val="18"/>
                <w:szCs w:val="18"/>
              </w:rPr>
            </w:pPr>
            <w:r w:rsidRPr="000615AB">
              <w:rPr>
                <w:snapToGrid w:val="0"/>
                <w:sz w:val="18"/>
                <w:szCs w:val="18"/>
              </w:rPr>
              <w:t>0,03125</w:t>
            </w:r>
          </w:p>
        </w:tc>
        <w:tc>
          <w:tcPr>
            <w:tcW w:w="1320" w:type="dxa"/>
            <w:shd w:val="pct15" w:color="auto" w:fill="FFFFFF"/>
          </w:tcPr>
          <w:p w:rsidR="00383888" w:rsidRPr="000615AB" w:rsidRDefault="00383888" w:rsidP="00B47699">
            <w:pPr>
              <w:jc w:val="right"/>
              <w:rPr>
                <w:snapToGrid w:val="0"/>
                <w:sz w:val="18"/>
                <w:szCs w:val="18"/>
              </w:rPr>
            </w:pPr>
            <w:r w:rsidRPr="000615AB">
              <w:rPr>
                <w:snapToGrid w:val="0"/>
                <w:sz w:val="18"/>
                <w:szCs w:val="18"/>
              </w:rPr>
              <w:t xml:space="preserve">1.424 </w:t>
            </w:r>
          </w:p>
        </w:tc>
        <w:tc>
          <w:tcPr>
            <w:tcW w:w="1430" w:type="dxa"/>
            <w:shd w:val="pct15" w:color="auto" w:fill="FFFFFF"/>
          </w:tcPr>
          <w:p w:rsidR="00383888" w:rsidRPr="000615AB" w:rsidRDefault="00383888" w:rsidP="00B47699">
            <w:pPr>
              <w:jc w:val="right"/>
              <w:rPr>
                <w:snapToGrid w:val="0"/>
                <w:sz w:val="18"/>
                <w:szCs w:val="18"/>
              </w:rPr>
            </w:pPr>
            <w:r w:rsidRPr="000615AB">
              <w:rPr>
                <w:snapToGrid w:val="0"/>
                <w:sz w:val="18"/>
                <w:szCs w:val="18"/>
              </w:rPr>
              <w:t xml:space="preserve">1.424 </w:t>
            </w:r>
          </w:p>
        </w:tc>
        <w:tc>
          <w:tcPr>
            <w:tcW w:w="1388" w:type="dxa"/>
            <w:shd w:val="pct15" w:color="auto" w:fill="FFFFFF"/>
          </w:tcPr>
          <w:p w:rsidR="00383888" w:rsidRPr="000615AB" w:rsidRDefault="00383888" w:rsidP="00B47699">
            <w:pPr>
              <w:jc w:val="right"/>
              <w:rPr>
                <w:snapToGrid w:val="0"/>
                <w:sz w:val="18"/>
                <w:szCs w:val="18"/>
              </w:rPr>
            </w:pPr>
            <w:r w:rsidRPr="000615AB">
              <w:rPr>
                <w:snapToGrid w:val="0"/>
                <w:sz w:val="18"/>
                <w:szCs w:val="18"/>
              </w:rPr>
              <w:t xml:space="preserve">2.848 </w:t>
            </w:r>
          </w:p>
        </w:tc>
      </w:tr>
      <w:tr w:rsidR="00383888" w:rsidRPr="000615AB" w:rsidTr="00B47699">
        <w:tc>
          <w:tcPr>
            <w:tcW w:w="3055" w:type="dxa"/>
          </w:tcPr>
          <w:p w:rsidR="00383888" w:rsidRPr="000615AB" w:rsidRDefault="00383888" w:rsidP="00B47699">
            <w:pPr>
              <w:rPr>
                <w:snapToGrid w:val="0"/>
                <w:sz w:val="18"/>
                <w:szCs w:val="18"/>
              </w:rPr>
            </w:pPr>
            <w:r w:rsidRPr="000615AB">
              <w:rPr>
                <w:snapToGrid w:val="0"/>
                <w:sz w:val="18"/>
                <w:szCs w:val="18"/>
              </w:rPr>
              <w:t>Antigua y Barbuda</w:t>
            </w:r>
          </w:p>
        </w:tc>
        <w:tc>
          <w:tcPr>
            <w:tcW w:w="1125" w:type="dxa"/>
          </w:tcPr>
          <w:p w:rsidR="00383888" w:rsidRPr="000615AB" w:rsidRDefault="00383888" w:rsidP="00B47699">
            <w:pPr>
              <w:jc w:val="center"/>
              <w:rPr>
                <w:i/>
                <w:snapToGrid w:val="0"/>
                <w:sz w:val="18"/>
                <w:szCs w:val="18"/>
              </w:rPr>
            </w:pPr>
            <w:r w:rsidRPr="000615AB">
              <w:rPr>
                <w:snapToGrid w:val="0"/>
                <w:sz w:val="18"/>
                <w:szCs w:val="18"/>
              </w:rPr>
              <w:t>S</w:t>
            </w:r>
            <w:r w:rsidRPr="000615AB">
              <w:rPr>
                <w:i/>
                <w:snapToGrid w:val="0"/>
                <w:sz w:val="18"/>
                <w:szCs w:val="18"/>
              </w:rPr>
              <w:t>bis</w:t>
            </w:r>
          </w:p>
        </w:tc>
        <w:tc>
          <w:tcPr>
            <w:tcW w:w="1210" w:type="dxa"/>
          </w:tcPr>
          <w:p w:rsidR="00383888" w:rsidRPr="000615AB" w:rsidRDefault="00383888" w:rsidP="00B47699">
            <w:pPr>
              <w:jc w:val="right"/>
              <w:rPr>
                <w:snapToGrid w:val="0"/>
                <w:sz w:val="18"/>
                <w:szCs w:val="18"/>
              </w:rPr>
            </w:pPr>
            <w:r w:rsidRPr="000615AB">
              <w:rPr>
                <w:snapToGrid w:val="0"/>
                <w:sz w:val="18"/>
                <w:szCs w:val="18"/>
              </w:rPr>
              <w:t>0,0625</w:t>
            </w:r>
          </w:p>
        </w:tc>
        <w:tc>
          <w:tcPr>
            <w:tcW w:w="1320" w:type="dxa"/>
          </w:tcPr>
          <w:p w:rsidR="00383888" w:rsidRPr="000615AB" w:rsidRDefault="00383888" w:rsidP="00B47699">
            <w:pPr>
              <w:jc w:val="right"/>
              <w:rPr>
                <w:snapToGrid w:val="0"/>
                <w:sz w:val="18"/>
                <w:szCs w:val="18"/>
              </w:rPr>
            </w:pPr>
            <w:r w:rsidRPr="000615AB">
              <w:rPr>
                <w:snapToGrid w:val="0"/>
                <w:sz w:val="18"/>
                <w:szCs w:val="18"/>
              </w:rPr>
              <w:t xml:space="preserve">2.849 </w:t>
            </w:r>
          </w:p>
        </w:tc>
        <w:tc>
          <w:tcPr>
            <w:tcW w:w="1430" w:type="dxa"/>
          </w:tcPr>
          <w:p w:rsidR="00383888" w:rsidRPr="000615AB" w:rsidRDefault="00383888" w:rsidP="00B47699">
            <w:pPr>
              <w:jc w:val="right"/>
              <w:rPr>
                <w:snapToGrid w:val="0"/>
                <w:sz w:val="18"/>
                <w:szCs w:val="18"/>
              </w:rPr>
            </w:pPr>
            <w:r w:rsidRPr="000615AB">
              <w:rPr>
                <w:snapToGrid w:val="0"/>
                <w:sz w:val="18"/>
                <w:szCs w:val="18"/>
              </w:rPr>
              <w:t xml:space="preserve">2.849 </w:t>
            </w:r>
          </w:p>
        </w:tc>
        <w:tc>
          <w:tcPr>
            <w:tcW w:w="1388" w:type="dxa"/>
          </w:tcPr>
          <w:p w:rsidR="00383888" w:rsidRPr="000615AB" w:rsidRDefault="00383888" w:rsidP="00B47699">
            <w:pPr>
              <w:jc w:val="right"/>
              <w:rPr>
                <w:snapToGrid w:val="0"/>
                <w:sz w:val="18"/>
                <w:szCs w:val="18"/>
              </w:rPr>
            </w:pPr>
            <w:r w:rsidRPr="000615AB">
              <w:rPr>
                <w:snapToGrid w:val="0"/>
                <w:sz w:val="18"/>
                <w:szCs w:val="18"/>
              </w:rPr>
              <w:t xml:space="preserve">5.698 </w:t>
            </w:r>
          </w:p>
        </w:tc>
      </w:tr>
      <w:tr w:rsidR="00383888" w:rsidRPr="000615AB" w:rsidTr="00B47699">
        <w:tc>
          <w:tcPr>
            <w:tcW w:w="3055" w:type="dxa"/>
            <w:shd w:val="pct15" w:color="auto" w:fill="FFFFFF"/>
          </w:tcPr>
          <w:p w:rsidR="00383888" w:rsidRPr="000615AB" w:rsidRDefault="00383888" w:rsidP="00B47699">
            <w:pPr>
              <w:rPr>
                <w:snapToGrid w:val="0"/>
                <w:sz w:val="18"/>
                <w:szCs w:val="18"/>
                <w:vertAlign w:val="superscript"/>
              </w:rPr>
            </w:pPr>
            <w:r w:rsidRPr="000615AB">
              <w:rPr>
                <w:snapToGrid w:val="0"/>
                <w:sz w:val="18"/>
                <w:szCs w:val="18"/>
              </w:rPr>
              <w:t>Arabia Saudita</w:t>
            </w:r>
          </w:p>
        </w:tc>
        <w:tc>
          <w:tcPr>
            <w:tcW w:w="1125" w:type="dxa"/>
            <w:shd w:val="pct15" w:color="auto" w:fill="FFFFFF"/>
          </w:tcPr>
          <w:p w:rsidR="00383888" w:rsidRPr="000615AB" w:rsidRDefault="00383888" w:rsidP="00B47699">
            <w:pPr>
              <w:jc w:val="center"/>
              <w:rPr>
                <w:snapToGrid w:val="0"/>
                <w:sz w:val="18"/>
                <w:szCs w:val="18"/>
              </w:rPr>
            </w:pPr>
            <w:r w:rsidRPr="000615AB">
              <w:rPr>
                <w:snapToGrid w:val="0"/>
                <w:sz w:val="18"/>
                <w:szCs w:val="18"/>
              </w:rPr>
              <w:t>VII</w:t>
            </w:r>
          </w:p>
        </w:tc>
        <w:tc>
          <w:tcPr>
            <w:tcW w:w="1210" w:type="dxa"/>
            <w:shd w:val="pct15" w:color="auto" w:fill="FFFFFF"/>
          </w:tcPr>
          <w:p w:rsidR="00383888" w:rsidRPr="000615AB" w:rsidRDefault="00383888" w:rsidP="00B47699">
            <w:pPr>
              <w:jc w:val="right"/>
              <w:rPr>
                <w:snapToGrid w:val="0"/>
                <w:sz w:val="18"/>
                <w:szCs w:val="18"/>
              </w:rPr>
            </w:pPr>
            <w:r w:rsidRPr="000615AB">
              <w:rPr>
                <w:snapToGrid w:val="0"/>
                <w:sz w:val="18"/>
                <w:szCs w:val="18"/>
              </w:rPr>
              <w:t>1</w:t>
            </w:r>
          </w:p>
        </w:tc>
        <w:tc>
          <w:tcPr>
            <w:tcW w:w="1320" w:type="dxa"/>
            <w:shd w:val="pct15" w:color="auto" w:fill="FFFFFF"/>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45.579 </w:t>
            </w:r>
          </w:p>
        </w:tc>
        <w:tc>
          <w:tcPr>
            <w:tcW w:w="1430" w:type="dxa"/>
            <w:shd w:val="pct15" w:color="auto" w:fill="FFFFFF"/>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45.579 </w:t>
            </w:r>
          </w:p>
        </w:tc>
        <w:tc>
          <w:tcPr>
            <w:tcW w:w="1388" w:type="dxa"/>
            <w:shd w:val="pct15" w:color="auto" w:fill="FFFFFF"/>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91.158 </w:t>
            </w:r>
          </w:p>
        </w:tc>
      </w:tr>
      <w:tr w:rsidR="00383888" w:rsidRPr="000615AB" w:rsidTr="00B47699">
        <w:tc>
          <w:tcPr>
            <w:tcW w:w="3055" w:type="dxa"/>
            <w:shd w:val="clear" w:color="auto" w:fill="auto"/>
          </w:tcPr>
          <w:p w:rsidR="00383888" w:rsidRPr="000615AB" w:rsidRDefault="00383888" w:rsidP="00B47699">
            <w:pPr>
              <w:rPr>
                <w:snapToGrid w:val="0"/>
                <w:sz w:val="18"/>
                <w:szCs w:val="18"/>
              </w:rPr>
            </w:pPr>
            <w:r w:rsidRPr="000615AB">
              <w:rPr>
                <w:snapToGrid w:val="0"/>
                <w:sz w:val="18"/>
                <w:szCs w:val="18"/>
              </w:rPr>
              <w:t>Argelia</w:t>
            </w:r>
          </w:p>
        </w:tc>
        <w:tc>
          <w:tcPr>
            <w:tcW w:w="1125" w:type="dxa"/>
            <w:shd w:val="clear" w:color="auto" w:fill="auto"/>
          </w:tcPr>
          <w:p w:rsidR="00383888" w:rsidRPr="000615AB" w:rsidRDefault="00383888" w:rsidP="00B47699">
            <w:pPr>
              <w:jc w:val="center"/>
              <w:rPr>
                <w:snapToGrid w:val="0"/>
                <w:sz w:val="18"/>
                <w:szCs w:val="18"/>
              </w:rPr>
            </w:pPr>
            <w:r w:rsidRPr="000615AB">
              <w:rPr>
                <w:snapToGrid w:val="0"/>
                <w:sz w:val="18"/>
                <w:szCs w:val="18"/>
              </w:rPr>
              <w:t>IX</w:t>
            </w:r>
          </w:p>
        </w:tc>
        <w:tc>
          <w:tcPr>
            <w:tcW w:w="1210" w:type="dxa"/>
            <w:shd w:val="clear" w:color="auto" w:fill="auto"/>
          </w:tcPr>
          <w:p w:rsidR="00383888" w:rsidRPr="000615AB" w:rsidRDefault="00383888" w:rsidP="00B47699">
            <w:pPr>
              <w:jc w:val="right"/>
              <w:rPr>
                <w:snapToGrid w:val="0"/>
                <w:sz w:val="18"/>
                <w:szCs w:val="18"/>
              </w:rPr>
            </w:pPr>
            <w:r w:rsidRPr="000615AB">
              <w:rPr>
                <w:snapToGrid w:val="0"/>
                <w:sz w:val="18"/>
                <w:szCs w:val="18"/>
              </w:rPr>
              <w:t>0,25</w:t>
            </w:r>
          </w:p>
        </w:tc>
        <w:tc>
          <w:tcPr>
            <w:tcW w:w="1320" w:type="dxa"/>
            <w:shd w:val="clear" w:color="auto" w:fill="auto"/>
          </w:tcPr>
          <w:p w:rsidR="00383888" w:rsidRPr="000615AB" w:rsidRDefault="00383888" w:rsidP="00B47699">
            <w:pPr>
              <w:jc w:val="right"/>
              <w:rPr>
                <w:snapToGrid w:val="0"/>
                <w:sz w:val="18"/>
                <w:szCs w:val="18"/>
              </w:rPr>
            </w:pPr>
            <w:r w:rsidRPr="000615AB">
              <w:rPr>
                <w:snapToGrid w:val="0"/>
                <w:sz w:val="18"/>
                <w:szCs w:val="18"/>
              </w:rPr>
              <w:t xml:space="preserve">11.395 </w:t>
            </w:r>
          </w:p>
        </w:tc>
        <w:tc>
          <w:tcPr>
            <w:tcW w:w="1430" w:type="dxa"/>
            <w:shd w:val="clear" w:color="auto" w:fill="auto"/>
          </w:tcPr>
          <w:p w:rsidR="00383888" w:rsidRPr="000615AB" w:rsidRDefault="00383888" w:rsidP="00B47699">
            <w:pPr>
              <w:jc w:val="right"/>
              <w:rPr>
                <w:snapToGrid w:val="0"/>
                <w:sz w:val="18"/>
                <w:szCs w:val="18"/>
              </w:rPr>
            </w:pPr>
            <w:r w:rsidRPr="000615AB">
              <w:rPr>
                <w:snapToGrid w:val="0"/>
                <w:sz w:val="18"/>
                <w:szCs w:val="18"/>
              </w:rPr>
              <w:t>11.395</w:t>
            </w:r>
          </w:p>
        </w:tc>
        <w:tc>
          <w:tcPr>
            <w:tcW w:w="1388" w:type="dxa"/>
            <w:shd w:val="clear" w:color="auto" w:fill="auto"/>
          </w:tcPr>
          <w:p w:rsidR="00383888" w:rsidRPr="000615AB" w:rsidRDefault="00383888" w:rsidP="00B47699">
            <w:pPr>
              <w:jc w:val="right"/>
              <w:rPr>
                <w:snapToGrid w:val="0"/>
                <w:sz w:val="18"/>
                <w:szCs w:val="18"/>
              </w:rPr>
            </w:pPr>
            <w:r w:rsidRPr="000615AB">
              <w:rPr>
                <w:snapToGrid w:val="0"/>
                <w:sz w:val="18"/>
                <w:szCs w:val="18"/>
              </w:rPr>
              <w:t>22.790</w:t>
            </w:r>
          </w:p>
        </w:tc>
      </w:tr>
      <w:tr w:rsidR="00383888" w:rsidRPr="000615AB" w:rsidTr="00B47699">
        <w:tc>
          <w:tcPr>
            <w:tcW w:w="3055" w:type="dxa"/>
            <w:shd w:val="pct15" w:color="auto" w:fill="FFFFFF"/>
          </w:tcPr>
          <w:p w:rsidR="00383888" w:rsidRPr="000615AB" w:rsidRDefault="00383888" w:rsidP="00B47699">
            <w:pPr>
              <w:rPr>
                <w:snapToGrid w:val="0"/>
                <w:sz w:val="18"/>
                <w:szCs w:val="18"/>
              </w:rPr>
            </w:pPr>
            <w:r w:rsidRPr="000615AB">
              <w:rPr>
                <w:snapToGrid w:val="0"/>
                <w:sz w:val="18"/>
                <w:szCs w:val="18"/>
              </w:rPr>
              <w:t>Argentina</w:t>
            </w:r>
          </w:p>
        </w:tc>
        <w:tc>
          <w:tcPr>
            <w:tcW w:w="1125" w:type="dxa"/>
            <w:shd w:val="pct15" w:color="auto" w:fill="FFFFFF"/>
          </w:tcPr>
          <w:p w:rsidR="00383888" w:rsidRPr="000615AB" w:rsidRDefault="00383888" w:rsidP="00B47699">
            <w:pPr>
              <w:jc w:val="center"/>
              <w:rPr>
                <w:i/>
                <w:snapToGrid w:val="0"/>
                <w:sz w:val="18"/>
                <w:szCs w:val="18"/>
              </w:rPr>
            </w:pPr>
            <w:r w:rsidRPr="000615AB">
              <w:rPr>
                <w:snapToGrid w:val="0"/>
                <w:sz w:val="18"/>
                <w:szCs w:val="18"/>
              </w:rPr>
              <w:t>VI</w:t>
            </w:r>
            <w:r w:rsidRPr="000615AB">
              <w:rPr>
                <w:i/>
                <w:snapToGrid w:val="0"/>
                <w:sz w:val="18"/>
                <w:szCs w:val="18"/>
              </w:rPr>
              <w:t>bis</w:t>
            </w:r>
          </w:p>
        </w:tc>
        <w:tc>
          <w:tcPr>
            <w:tcW w:w="1210" w:type="dxa"/>
            <w:shd w:val="pct15" w:color="auto" w:fill="FFFFFF"/>
          </w:tcPr>
          <w:p w:rsidR="00383888" w:rsidRPr="000615AB" w:rsidRDefault="00383888" w:rsidP="00B47699">
            <w:pPr>
              <w:jc w:val="right"/>
              <w:rPr>
                <w:snapToGrid w:val="0"/>
                <w:sz w:val="18"/>
                <w:szCs w:val="18"/>
              </w:rPr>
            </w:pPr>
            <w:r w:rsidRPr="000615AB">
              <w:rPr>
                <w:snapToGrid w:val="0"/>
                <w:sz w:val="18"/>
                <w:szCs w:val="18"/>
              </w:rPr>
              <w:t>2</w:t>
            </w:r>
          </w:p>
        </w:tc>
        <w:tc>
          <w:tcPr>
            <w:tcW w:w="1320" w:type="dxa"/>
            <w:shd w:val="pct15" w:color="auto" w:fill="FFFFFF"/>
          </w:tcPr>
          <w:p w:rsidR="00383888" w:rsidRPr="000615AB" w:rsidRDefault="00383888" w:rsidP="00B47699">
            <w:pPr>
              <w:jc w:val="right"/>
              <w:rPr>
                <w:snapToGrid w:val="0"/>
                <w:sz w:val="18"/>
                <w:szCs w:val="18"/>
              </w:rPr>
            </w:pPr>
            <w:r w:rsidRPr="000615AB">
              <w:rPr>
                <w:snapToGrid w:val="0"/>
                <w:sz w:val="18"/>
                <w:szCs w:val="18"/>
              </w:rPr>
              <w:t xml:space="preserve">91.158 </w:t>
            </w:r>
          </w:p>
        </w:tc>
        <w:tc>
          <w:tcPr>
            <w:tcW w:w="1430" w:type="dxa"/>
            <w:shd w:val="pct15" w:color="auto" w:fill="FFFFFF"/>
          </w:tcPr>
          <w:p w:rsidR="00383888" w:rsidRPr="000615AB" w:rsidRDefault="00383888" w:rsidP="00B47699">
            <w:pPr>
              <w:jc w:val="right"/>
              <w:rPr>
                <w:snapToGrid w:val="0"/>
                <w:sz w:val="18"/>
                <w:szCs w:val="18"/>
              </w:rPr>
            </w:pPr>
            <w:r w:rsidRPr="000615AB">
              <w:rPr>
                <w:snapToGrid w:val="0"/>
                <w:sz w:val="18"/>
                <w:szCs w:val="18"/>
              </w:rPr>
              <w:t xml:space="preserve">91.158 </w:t>
            </w:r>
          </w:p>
        </w:tc>
        <w:tc>
          <w:tcPr>
            <w:tcW w:w="1388" w:type="dxa"/>
            <w:shd w:val="pct15" w:color="auto" w:fill="FFFFFF"/>
          </w:tcPr>
          <w:p w:rsidR="00383888" w:rsidRPr="000615AB" w:rsidRDefault="00383888" w:rsidP="00B47699">
            <w:pPr>
              <w:jc w:val="right"/>
              <w:rPr>
                <w:snapToGrid w:val="0"/>
                <w:sz w:val="18"/>
                <w:szCs w:val="18"/>
              </w:rPr>
            </w:pPr>
            <w:r w:rsidRPr="000615AB">
              <w:rPr>
                <w:snapToGrid w:val="0"/>
                <w:sz w:val="18"/>
                <w:szCs w:val="18"/>
              </w:rPr>
              <w:t xml:space="preserve">182.316 </w:t>
            </w:r>
          </w:p>
        </w:tc>
      </w:tr>
      <w:tr w:rsidR="00383888" w:rsidRPr="000615AB" w:rsidTr="00B47699">
        <w:tc>
          <w:tcPr>
            <w:tcW w:w="3055" w:type="dxa"/>
          </w:tcPr>
          <w:p w:rsidR="00383888" w:rsidRPr="000615AB" w:rsidRDefault="00383888" w:rsidP="00B47699">
            <w:pPr>
              <w:rPr>
                <w:snapToGrid w:val="0"/>
                <w:sz w:val="18"/>
                <w:szCs w:val="18"/>
              </w:rPr>
            </w:pPr>
            <w:r w:rsidRPr="000615AB">
              <w:rPr>
                <w:snapToGrid w:val="0"/>
                <w:sz w:val="18"/>
                <w:szCs w:val="18"/>
              </w:rPr>
              <w:t>Armenia</w:t>
            </w:r>
          </w:p>
        </w:tc>
        <w:tc>
          <w:tcPr>
            <w:tcW w:w="1125" w:type="dxa"/>
          </w:tcPr>
          <w:p w:rsidR="00383888" w:rsidRPr="000615AB" w:rsidRDefault="00383888" w:rsidP="00B47699">
            <w:pPr>
              <w:jc w:val="center"/>
              <w:rPr>
                <w:snapToGrid w:val="0"/>
                <w:sz w:val="18"/>
                <w:szCs w:val="18"/>
              </w:rPr>
            </w:pPr>
            <w:r w:rsidRPr="000615AB">
              <w:rPr>
                <w:snapToGrid w:val="0"/>
                <w:sz w:val="18"/>
                <w:szCs w:val="18"/>
              </w:rPr>
              <w:t>IX</w:t>
            </w:r>
          </w:p>
        </w:tc>
        <w:tc>
          <w:tcPr>
            <w:tcW w:w="1210" w:type="dxa"/>
          </w:tcPr>
          <w:p w:rsidR="00383888" w:rsidRPr="000615AB" w:rsidRDefault="00383888" w:rsidP="00B47699">
            <w:pPr>
              <w:jc w:val="right"/>
              <w:rPr>
                <w:snapToGrid w:val="0"/>
                <w:sz w:val="18"/>
                <w:szCs w:val="18"/>
              </w:rPr>
            </w:pPr>
            <w:r w:rsidRPr="000615AB">
              <w:rPr>
                <w:snapToGrid w:val="0"/>
                <w:sz w:val="18"/>
                <w:szCs w:val="18"/>
              </w:rPr>
              <w:t>0,25</w:t>
            </w:r>
          </w:p>
        </w:tc>
        <w:tc>
          <w:tcPr>
            <w:tcW w:w="1320" w:type="dxa"/>
          </w:tcPr>
          <w:p w:rsidR="00383888" w:rsidRPr="000615AB" w:rsidRDefault="00383888" w:rsidP="00B47699">
            <w:pPr>
              <w:jc w:val="right"/>
              <w:rPr>
                <w:snapToGrid w:val="0"/>
                <w:sz w:val="18"/>
                <w:szCs w:val="18"/>
              </w:rPr>
            </w:pPr>
            <w:r w:rsidRPr="000615AB">
              <w:rPr>
                <w:snapToGrid w:val="0"/>
                <w:sz w:val="18"/>
                <w:szCs w:val="18"/>
              </w:rPr>
              <w:t xml:space="preserve">11.395 </w:t>
            </w:r>
          </w:p>
        </w:tc>
        <w:tc>
          <w:tcPr>
            <w:tcW w:w="1430" w:type="dxa"/>
          </w:tcPr>
          <w:p w:rsidR="00383888" w:rsidRPr="000615AB" w:rsidRDefault="00383888" w:rsidP="00B47699">
            <w:pPr>
              <w:jc w:val="right"/>
              <w:rPr>
                <w:snapToGrid w:val="0"/>
                <w:sz w:val="18"/>
                <w:szCs w:val="18"/>
              </w:rPr>
            </w:pPr>
            <w:r w:rsidRPr="000615AB">
              <w:rPr>
                <w:snapToGrid w:val="0"/>
                <w:sz w:val="18"/>
                <w:szCs w:val="18"/>
              </w:rPr>
              <w:t xml:space="preserve">11.395 </w:t>
            </w:r>
          </w:p>
        </w:tc>
        <w:tc>
          <w:tcPr>
            <w:tcW w:w="1388" w:type="dxa"/>
          </w:tcPr>
          <w:p w:rsidR="00383888" w:rsidRPr="000615AB" w:rsidRDefault="00383888" w:rsidP="00B47699">
            <w:pPr>
              <w:jc w:val="right"/>
              <w:rPr>
                <w:snapToGrid w:val="0"/>
                <w:sz w:val="18"/>
                <w:szCs w:val="18"/>
              </w:rPr>
            </w:pPr>
            <w:r w:rsidRPr="000615AB">
              <w:rPr>
                <w:snapToGrid w:val="0"/>
                <w:sz w:val="18"/>
                <w:szCs w:val="18"/>
              </w:rPr>
              <w:t xml:space="preserve">22.790 </w:t>
            </w:r>
          </w:p>
        </w:tc>
      </w:tr>
      <w:tr w:rsidR="00383888" w:rsidRPr="000615AB" w:rsidTr="00B47699">
        <w:tc>
          <w:tcPr>
            <w:tcW w:w="3055" w:type="dxa"/>
            <w:shd w:val="pct15" w:color="auto" w:fill="FFFFFF"/>
          </w:tcPr>
          <w:p w:rsidR="00383888" w:rsidRPr="000615AB" w:rsidRDefault="00383888" w:rsidP="00B47699">
            <w:pPr>
              <w:rPr>
                <w:snapToGrid w:val="0"/>
                <w:sz w:val="18"/>
                <w:szCs w:val="18"/>
              </w:rPr>
            </w:pPr>
            <w:r w:rsidRPr="000615AB">
              <w:rPr>
                <w:snapToGrid w:val="0"/>
                <w:sz w:val="18"/>
                <w:szCs w:val="18"/>
              </w:rPr>
              <w:t>Australia</w:t>
            </w:r>
          </w:p>
        </w:tc>
        <w:tc>
          <w:tcPr>
            <w:tcW w:w="1125" w:type="dxa"/>
            <w:shd w:val="pct15" w:color="auto" w:fill="FFFFFF"/>
          </w:tcPr>
          <w:p w:rsidR="00383888" w:rsidRPr="000615AB" w:rsidRDefault="00383888" w:rsidP="00B47699">
            <w:pPr>
              <w:jc w:val="center"/>
              <w:rPr>
                <w:snapToGrid w:val="0"/>
                <w:sz w:val="18"/>
                <w:szCs w:val="18"/>
              </w:rPr>
            </w:pPr>
            <w:r w:rsidRPr="000615AB">
              <w:rPr>
                <w:snapToGrid w:val="0"/>
                <w:sz w:val="18"/>
                <w:szCs w:val="18"/>
              </w:rPr>
              <w:t>III</w:t>
            </w:r>
          </w:p>
        </w:tc>
        <w:tc>
          <w:tcPr>
            <w:tcW w:w="1210" w:type="dxa"/>
            <w:shd w:val="pct15" w:color="auto" w:fill="FFFFFF"/>
          </w:tcPr>
          <w:p w:rsidR="00383888" w:rsidRPr="000615AB" w:rsidRDefault="00383888" w:rsidP="00B47699">
            <w:pPr>
              <w:jc w:val="right"/>
              <w:rPr>
                <w:snapToGrid w:val="0"/>
                <w:sz w:val="18"/>
                <w:szCs w:val="18"/>
              </w:rPr>
            </w:pPr>
            <w:r w:rsidRPr="000615AB">
              <w:rPr>
                <w:snapToGrid w:val="0"/>
                <w:sz w:val="18"/>
                <w:szCs w:val="18"/>
              </w:rPr>
              <w:t>15</w:t>
            </w:r>
          </w:p>
        </w:tc>
        <w:tc>
          <w:tcPr>
            <w:tcW w:w="1320" w:type="dxa"/>
            <w:shd w:val="pct15" w:color="auto" w:fill="FFFFFF"/>
          </w:tcPr>
          <w:p w:rsidR="00383888" w:rsidRPr="000615AB" w:rsidRDefault="00383888" w:rsidP="00B47699">
            <w:pPr>
              <w:jc w:val="right"/>
              <w:rPr>
                <w:snapToGrid w:val="0"/>
                <w:sz w:val="18"/>
                <w:szCs w:val="18"/>
              </w:rPr>
            </w:pPr>
            <w:r w:rsidRPr="000615AB">
              <w:rPr>
                <w:snapToGrid w:val="0"/>
                <w:sz w:val="18"/>
                <w:szCs w:val="18"/>
              </w:rPr>
              <w:t xml:space="preserve">683.685 </w:t>
            </w:r>
          </w:p>
        </w:tc>
        <w:tc>
          <w:tcPr>
            <w:tcW w:w="1430" w:type="dxa"/>
            <w:shd w:val="pct15" w:color="auto" w:fill="FFFFFF"/>
          </w:tcPr>
          <w:p w:rsidR="00383888" w:rsidRPr="000615AB" w:rsidRDefault="00383888" w:rsidP="00B47699">
            <w:pPr>
              <w:jc w:val="right"/>
              <w:rPr>
                <w:snapToGrid w:val="0"/>
                <w:sz w:val="18"/>
                <w:szCs w:val="18"/>
              </w:rPr>
            </w:pPr>
            <w:r w:rsidRPr="000615AB">
              <w:rPr>
                <w:snapToGrid w:val="0"/>
                <w:sz w:val="18"/>
                <w:szCs w:val="18"/>
              </w:rPr>
              <w:t xml:space="preserve">683.685 </w:t>
            </w:r>
          </w:p>
        </w:tc>
        <w:tc>
          <w:tcPr>
            <w:tcW w:w="1388" w:type="dxa"/>
            <w:shd w:val="pct15" w:color="auto" w:fill="FFFFFF"/>
          </w:tcPr>
          <w:p w:rsidR="00383888" w:rsidRPr="000615AB" w:rsidRDefault="00383888" w:rsidP="00B47699">
            <w:pPr>
              <w:jc w:val="right"/>
              <w:rPr>
                <w:snapToGrid w:val="0"/>
                <w:sz w:val="18"/>
                <w:szCs w:val="18"/>
              </w:rPr>
            </w:pPr>
            <w:r w:rsidRPr="000615AB">
              <w:rPr>
                <w:snapToGrid w:val="0"/>
                <w:sz w:val="18"/>
                <w:szCs w:val="18"/>
              </w:rPr>
              <w:t xml:space="preserve">1.367.370 </w:t>
            </w:r>
          </w:p>
        </w:tc>
      </w:tr>
      <w:tr w:rsidR="00383888" w:rsidRPr="000615AB" w:rsidTr="00B47699">
        <w:tc>
          <w:tcPr>
            <w:tcW w:w="3055" w:type="dxa"/>
          </w:tcPr>
          <w:p w:rsidR="00383888" w:rsidRPr="000615AB" w:rsidRDefault="00383888" w:rsidP="00B47699">
            <w:pPr>
              <w:rPr>
                <w:snapToGrid w:val="0"/>
                <w:sz w:val="18"/>
                <w:szCs w:val="18"/>
              </w:rPr>
            </w:pPr>
            <w:r w:rsidRPr="000615AB">
              <w:rPr>
                <w:snapToGrid w:val="0"/>
                <w:sz w:val="18"/>
                <w:szCs w:val="18"/>
              </w:rPr>
              <w:t>Austria</w:t>
            </w:r>
          </w:p>
        </w:tc>
        <w:tc>
          <w:tcPr>
            <w:tcW w:w="1125" w:type="dxa"/>
          </w:tcPr>
          <w:p w:rsidR="00383888" w:rsidRPr="000615AB" w:rsidRDefault="00383888" w:rsidP="00B47699">
            <w:pPr>
              <w:jc w:val="center"/>
              <w:rPr>
                <w:i/>
                <w:snapToGrid w:val="0"/>
                <w:sz w:val="18"/>
                <w:szCs w:val="18"/>
              </w:rPr>
            </w:pPr>
            <w:r w:rsidRPr="000615AB">
              <w:rPr>
                <w:snapToGrid w:val="0"/>
                <w:sz w:val="18"/>
                <w:szCs w:val="18"/>
              </w:rPr>
              <w:t>IV</w:t>
            </w:r>
            <w:r w:rsidRPr="000615AB">
              <w:rPr>
                <w:i/>
                <w:snapToGrid w:val="0"/>
                <w:sz w:val="18"/>
                <w:szCs w:val="18"/>
              </w:rPr>
              <w:t>bis</w:t>
            </w:r>
          </w:p>
        </w:tc>
        <w:tc>
          <w:tcPr>
            <w:tcW w:w="1210" w:type="dxa"/>
          </w:tcPr>
          <w:p w:rsidR="00383888" w:rsidRPr="000615AB" w:rsidRDefault="00383888" w:rsidP="00B47699">
            <w:pPr>
              <w:jc w:val="right"/>
              <w:rPr>
                <w:snapToGrid w:val="0"/>
                <w:sz w:val="18"/>
                <w:szCs w:val="18"/>
              </w:rPr>
            </w:pPr>
            <w:r w:rsidRPr="000615AB">
              <w:rPr>
                <w:snapToGrid w:val="0"/>
                <w:sz w:val="18"/>
                <w:szCs w:val="18"/>
              </w:rPr>
              <w:t>7,5</w:t>
            </w:r>
          </w:p>
        </w:tc>
        <w:tc>
          <w:tcPr>
            <w:tcW w:w="1320" w:type="dxa"/>
          </w:tcPr>
          <w:p w:rsidR="00383888" w:rsidRPr="000615AB" w:rsidRDefault="00383888" w:rsidP="00B47699">
            <w:pPr>
              <w:jc w:val="right"/>
              <w:rPr>
                <w:snapToGrid w:val="0"/>
                <w:sz w:val="18"/>
                <w:szCs w:val="18"/>
              </w:rPr>
            </w:pPr>
            <w:r w:rsidRPr="000615AB">
              <w:rPr>
                <w:snapToGrid w:val="0"/>
                <w:sz w:val="18"/>
                <w:szCs w:val="18"/>
              </w:rPr>
              <w:t xml:space="preserve">341.842 </w:t>
            </w:r>
          </w:p>
        </w:tc>
        <w:tc>
          <w:tcPr>
            <w:tcW w:w="1430" w:type="dxa"/>
          </w:tcPr>
          <w:p w:rsidR="00383888" w:rsidRPr="000615AB" w:rsidRDefault="00383888" w:rsidP="00B47699">
            <w:pPr>
              <w:jc w:val="right"/>
              <w:rPr>
                <w:snapToGrid w:val="0"/>
                <w:sz w:val="18"/>
                <w:szCs w:val="18"/>
              </w:rPr>
            </w:pPr>
            <w:r w:rsidRPr="000615AB">
              <w:rPr>
                <w:snapToGrid w:val="0"/>
                <w:sz w:val="18"/>
                <w:szCs w:val="18"/>
              </w:rPr>
              <w:t xml:space="preserve">341.842 </w:t>
            </w:r>
          </w:p>
        </w:tc>
        <w:tc>
          <w:tcPr>
            <w:tcW w:w="1388" w:type="dxa"/>
          </w:tcPr>
          <w:p w:rsidR="00383888" w:rsidRPr="000615AB" w:rsidRDefault="00383888" w:rsidP="00B47699">
            <w:pPr>
              <w:jc w:val="right"/>
              <w:rPr>
                <w:snapToGrid w:val="0"/>
                <w:sz w:val="18"/>
                <w:szCs w:val="18"/>
              </w:rPr>
            </w:pPr>
            <w:r w:rsidRPr="000615AB">
              <w:rPr>
                <w:snapToGrid w:val="0"/>
                <w:sz w:val="18"/>
                <w:szCs w:val="18"/>
              </w:rPr>
              <w:t xml:space="preserve">683.684 </w:t>
            </w:r>
          </w:p>
        </w:tc>
      </w:tr>
      <w:tr w:rsidR="00383888" w:rsidRPr="000615AB" w:rsidTr="00B47699">
        <w:tc>
          <w:tcPr>
            <w:tcW w:w="3055" w:type="dxa"/>
            <w:shd w:val="pct15" w:color="auto" w:fill="FFFFFF"/>
          </w:tcPr>
          <w:p w:rsidR="00383888" w:rsidRPr="000615AB" w:rsidRDefault="00383888" w:rsidP="00B47699">
            <w:pPr>
              <w:rPr>
                <w:snapToGrid w:val="0"/>
                <w:sz w:val="18"/>
                <w:szCs w:val="18"/>
              </w:rPr>
            </w:pPr>
            <w:r w:rsidRPr="000615AB">
              <w:rPr>
                <w:snapToGrid w:val="0"/>
                <w:sz w:val="18"/>
                <w:szCs w:val="18"/>
              </w:rPr>
              <w:t>Azerbaiyán</w:t>
            </w:r>
          </w:p>
        </w:tc>
        <w:tc>
          <w:tcPr>
            <w:tcW w:w="1125" w:type="dxa"/>
            <w:shd w:val="pct15" w:color="auto" w:fill="FFFFFF"/>
          </w:tcPr>
          <w:p w:rsidR="00383888" w:rsidRPr="000615AB" w:rsidRDefault="00383888" w:rsidP="00B47699">
            <w:pPr>
              <w:jc w:val="center"/>
              <w:rPr>
                <w:snapToGrid w:val="0"/>
                <w:sz w:val="18"/>
                <w:szCs w:val="18"/>
              </w:rPr>
            </w:pPr>
            <w:r w:rsidRPr="000615AB">
              <w:rPr>
                <w:snapToGrid w:val="0"/>
                <w:sz w:val="18"/>
                <w:szCs w:val="18"/>
              </w:rPr>
              <w:t>IX</w:t>
            </w:r>
          </w:p>
        </w:tc>
        <w:tc>
          <w:tcPr>
            <w:tcW w:w="1210" w:type="dxa"/>
            <w:shd w:val="pct15" w:color="auto" w:fill="FFFFFF"/>
          </w:tcPr>
          <w:p w:rsidR="00383888" w:rsidRPr="000615AB" w:rsidRDefault="00383888" w:rsidP="00B47699">
            <w:pPr>
              <w:jc w:val="right"/>
              <w:rPr>
                <w:snapToGrid w:val="0"/>
                <w:sz w:val="18"/>
                <w:szCs w:val="18"/>
              </w:rPr>
            </w:pPr>
            <w:r w:rsidRPr="000615AB">
              <w:rPr>
                <w:snapToGrid w:val="0"/>
                <w:sz w:val="18"/>
                <w:szCs w:val="18"/>
              </w:rPr>
              <w:t>0,25</w:t>
            </w:r>
          </w:p>
        </w:tc>
        <w:tc>
          <w:tcPr>
            <w:tcW w:w="1320" w:type="dxa"/>
            <w:shd w:val="pct15" w:color="auto" w:fill="FFFFFF"/>
          </w:tcPr>
          <w:p w:rsidR="00383888" w:rsidRPr="000615AB" w:rsidRDefault="00383888" w:rsidP="00B47699">
            <w:pPr>
              <w:jc w:val="right"/>
              <w:rPr>
                <w:snapToGrid w:val="0"/>
                <w:sz w:val="18"/>
                <w:szCs w:val="18"/>
              </w:rPr>
            </w:pPr>
            <w:r w:rsidRPr="000615AB">
              <w:rPr>
                <w:snapToGrid w:val="0"/>
                <w:sz w:val="18"/>
                <w:szCs w:val="18"/>
              </w:rPr>
              <w:t xml:space="preserve">11.395 </w:t>
            </w:r>
          </w:p>
        </w:tc>
        <w:tc>
          <w:tcPr>
            <w:tcW w:w="1430" w:type="dxa"/>
            <w:shd w:val="pct15" w:color="auto" w:fill="FFFFFF"/>
          </w:tcPr>
          <w:p w:rsidR="00383888" w:rsidRPr="000615AB" w:rsidRDefault="00383888" w:rsidP="00B47699">
            <w:pPr>
              <w:jc w:val="right"/>
              <w:rPr>
                <w:snapToGrid w:val="0"/>
                <w:sz w:val="18"/>
                <w:szCs w:val="18"/>
              </w:rPr>
            </w:pPr>
            <w:r w:rsidRPr="000615AB">
              <w:rPr>
                <w:snapToGrid w:val="0"/>
                <w:sz w:val="18"/>
                <w:szCs w:val="18"/>
              </w:rPr>
              <w:t xml:space="preserve">11.395 </w:t>
            </w:r>
          </w:p>
        </w:tc>
        <w:tc>
          <w:tcPr>
            <w:tcW w:w="1388" w:type="dxa"/>
            <w:shd w:val="pct15" w:color="auto" w:fill="FFFFFF"/>
          </w:tcPr>
          <w:p w:rsidR="00383888" w:rsidRPr="000615AB" w:rsidRDefault="00383888" w:rsidP="00B47699">
            <w:pPr>
              <w:jc w:val="right"/>
              <w:rPr>
                <w:snapToGrid w:val="0"/>
                <w:sz w:val="18"/>
                <w:szCs w:val="18"/>
              </w:rPr>
            </w:pPr>
            <w:r w:rsidRPr="000615AB">
              <w:rPr>
                <w:snapToGrid w:val="0"/>
                <w:sz w:val="18"/>
                <w:szCs w:val="18"/>
              </w:rPr>
              <w:t xml:space="preserve">22.790 </w:t>
            </w:r>
          </w:p>
        </w:tc>
      </w:tr>
      <w:tr w:rsidR="00383888" w:rsidRPr="000615AB" w:rsidTr="00B47699">
        <w:tc>
          <w:tcPr>
            <w:tcW w:w="3055" w:type="dxa"/>
          </w:tcPr>
          <w:p w:rsidR="00383888" w:rsidRPr="000615AB" w:rsidRDefault="00383888" w:rsidP="00B47699">
            <w:pPr>
              <w:rPr>
                <w:snapToGrid w:val="0"/>
                <w:sz w:val="18"/>
                <w:szCs w:val="18"/>
              </w:rPr>
            </w:pPr>
            <w:r w:rsidRPr="000615AB">
              <w:rPr>
                <w:b/>
                <w:snapToGrid w:val="0"/>
                <w:sz w:val="18"/>
                <w:szCs w:val="18"/>
              </w:rPr>
              <w:t>B</w:t>
            </w:r>
            <w:r w:rsidRPr="000615AB">
              <w:rPr>
                <w:snapToGrid w:val="0"/>
                <w:sz w:val="18"/>
                <w:szCs w:val="18"/>
              </w:rPr>
              <w:t xml:space="preserve">ahamas </w:t>
            </w:r>
          </w:p>
        </w:tc>
        <w:tc>
          <w:tcPr>
            <w:tcW w:w="1125" w:type="dxa"/>
          </w:tcPr>
          <w:p w:rsidR="00383888" w:rsidRPr="000615AB" w:rsidRDefault="00383888" w:rsidP="00B47699">
            <w:pPr>
              <w:jc w:val="center"/>
              <w:rPr>
                <w:i/>
                <w:snapToGrid w:val="0"/>
                <w:sz w:val="18"/>
                <w:szCs w:val="18"/>
              </w:rPr>
            </w:pPr>
            <w:r w:rsidRPr="000615AB">
              <w:rPr>
                <w:snapToGrid w:val="0"/>
                <w:sz w:val="18"/>
                <w:szCs w:val="18"/>
              </w:rPr>
              <w:t>S</w:t>
            </w:r>
            <w:r w:rsidRPr="000615AB">
              <w:rPr>
                <w:i/>
                <w:snapToGrid w:val="0"/>
                <w:sz w:val="18"/>
                <w:szCs w:val="18"/>
              </w:rPr>
              <w:t>bis</w:t>
            </w:r>
          </w:p>
        </w:tc>
        <w:tc>
          <w:tcPr>
            <w:tcW w:w="1210" w:type="dxa"/>
          </w:tcPr>
          <w:p w:rsidR="00383888" w:rsidRPr="000615AB" w:rsidRDefault="00383888" w:rsidP="00B47699">
            <w:pPr>
              <w:jc w:val="right"/>
              <w:rPr>
                <w:snapToGrid w:val="0"/>
                <w:sz w:val="18"/>
                <w:szCs w:val="18"/>
              </w:rPr>
            </w:pPr>
            <w:r w:rsidRPr="000615AB">
              <w:rPr>
                <w:snapToGrid w:val="0"/>
                <w:sz w:val="18"/>
                <w:szCs w:val="18"/>
              </w:rPr>
              <w:t>0,0625</w:t>
            </w:r>
          </w:p>
        </w:tc>
        <w:tc>
          <w:tcPr>
            <w:tcW w:w="1320" w:type="dxa"/>
          </w:tcPr>
          <w:p w:rsidR="00383888" w:rsidRPr="000615AB" w:rsidRDefault="00383888" w:rsidP="00B47699">
            <w:pPr>
              <w:jc w:val="right"/>
              <w:rPr>
                <w:snapToGrid w:val="0"/>
                <w:sz w:val="18"/>
                <w:szCs w:val="18"/>
              </w:rPr>
            </w:pPr>
            <w:r w:rsidRPr="000615AB">
              <w:rPr>
                <w:snapToGrid w:val="0"/>
                <w:sz w:val="18"/>
                <w:szCs w:val="18"/>
              </w:rPr>
              <w:t xml:space="preserve">2.849 </w:t>
            </w:r>
          </w:p>
        </w:tc>
        <w:tc>
          <w:tcPr>
            <w:tcW w:w="1430" w:type="dxa"/>
          </w:tcPr>
          <w:p w:rsidR="00383888" w:rsidRPr="000615AB" w:rsidRDefault="00383888" w:rsidP="00B47699">
            <w:pPr>
              <w:jc w:val="right"/>
              <w:rPr>
                <w:snapToGrid w:val="0"/>
                <w:sz w:val="18"/>
                <w:szCs w:val="18"/>
              </w:rPr>
            </w:pPr>
            <w:r w:rsidRPr="000615AB">
              <w:rPr>
                <w:snapToGrid w:val="0"/>
                <w:sz w:val="18"/>
                <w:szCs w:val="18"/>
              </w:rPr>
              <w:t xml:space="preserve">2.849 </w:t>
            </w:r>
          </w:p>
        </w:tc>
        <w:tc>
          <w:tcPr>
            <w:tcW w:w="1388" w:type="dxa"/>
          </w:tcPr>
          <w:p w:rsidR="00383888" w:rsidRPr="000615AB" w:rsidRDefault="00383888" w:rsidP="00B47699">
            <w:pPr>
              <w:jc w:val="right"/>
              <w:rPr>
                <w:snapToGrid w:val="0"/>
                <w:sz w:val="18"/>
                <w:szCs w:val="18"/>
              </w:rPr>
            </w:pPr>
            <w:r w:rsidRPr="000615AB">
              <w:rPr>
                <w:snapToGrid w:val="0"/>
                <w:sz w:val="18"/>
                <w:szCs w:val="18"/>
              </w:rPr>
              <w:t xml:space="preserve">5.698 </w:t>
            </w:r>
          </w:p>
        </w:tc>
      </w:tr>
      <w:tr w:rsidR="00383888" w:rsidRPr="000615AB" w:rsidTr="00B47699">
        <w:tc>
          <w:tcPr>
            <w:tcW w:w="3055" w:type="dxa"/>
            <w:shd w:val="pct15" w:color="auto" w:fill="FFFFFF"/>
          </w:tcPr>
          <w:p w:rsidR="00383888" w:rsidRPr="000615AB" w:rsidRDefault="00383888" w:rsidP="00B47699">
            <w:pPr>
              <w:rPr>
                <w:snapToGrid w:val="0"/>
                <w:sz w:val="18"/>
                <w:szCs w:val="18"/>
              </w:rPr>
            </w:pPr>
            <w:r w:rsidRPr="000615AB">
              <w:rPr>
                <w:snapToGrid w:val="0"/>
                <w:sz w:val="18"/>
                <w:szCs w:val="18"/>
              </w:rPr>
              <w:t>Bahrein</w:t>
            </w:r>
          </w:p>
        </w:tc>
        <w:tc>
          <w:tcPr>
            <w:tcW w:w="1125" w:type="dxa"/>
            <w:shd w:val="pct15" w:color="auto" w:fill="FFFFFF"/>
          </w:tcPr>
          <w:p w:rsidR="00383888" w:rsidRPr="000615AB" w:rsidRDefault="00383888" w:rsidP="00B47699">
            <w:pPr>
              <w:jc w:val="center"/>
              <w:rPr>
                <w:i/>
                <w:snapToGrid w:val="0"/>
                <w:sz w:val="18"/>
                <w:szCs w:val="18"/>
              </w:rPr>
            </w:pPr>
            <w:r w:rsidRPr="000615AB">
              <w:rPr>
                <w:snapToGrid w:val="0"/>
                <w:sz w:val="18"/>
                <w:szCs w:val="18"/>
              </w:rPr>
              <w:t>S</w:t>
            </w:r>
          </w:p>
        </w:tc>
        <w:tc>
          <w:tcPr>
            <w:tcW w:w="1210" w:type="dxa"/>
            <w:shd w:val="pct15" w:color="auto" w:fill="FFFFFF"/>
          </w:tcPr>
          <w:p w:rsidR="00383888" w:rsidRPr="000615AB" w:rsidRDefault="00383888" w:rsidP="00B47699">
            <w:pPr>
              <w:jc w:val="right"/>
              <w:rPr>
                <w:snapToGrid w:val="0"/>
                <w:sz w:val="18"/>
                <w:szCs w:val="18"/>
              </w:rPr>
            </w:pPr>
            <w:r w:rsidRPr="000615AB">
              <w:rPr>
                <w:snapToGrid w:val="0"/>
                <w:sz w:val="18"/>
                <w:szCs w:val="18"/>
              </w:rPr>
              <w:t>0,125</w:t>
            </w:r>
          </w:p>
        </w:tc>
        <w:tc>
          <w:tcPr>
            <w:tcW w:w="1320" w:type="dxa"/>
            <w:shd w:val="pct15" w:color="auto" w:fill="FFFFFF"/>
          </w:tcPr>
          <w:p w:rsidR="00383888" w:rsidRPr="000615AB" w:rsidRDefault="00383888" w:rsidP="00B47699">
            <w:pPr>
              <w:jc w:val="right"/>
              <w:rPr>
                <w:snapToGrid w:val="0"/>
                <w:sz w:val="18"/>
                <w:szCs w:val="18"/>
              </w:rPr>
            </w:pPr>
            <w:r w:rsidRPr="000615AB">
              <w:rPr>
                <w:snapToGrid w:val="0"/>
                <w:sz w:val="18"/>
                <w:szCs w:val="18"/>
              </w:rPr>
              <w:t xml:space="preserve">5.697 </w:t>
            </w:r>
          </w:p>
        </w:tc>
        <w:tc>
          <w:tcPr>
            <w:tcW w:w="1430" w:type="dxa"/>
            <w:shd w:val="pct15" w:color="auto" w:fill="FFFFFF"/>
          </w:tcPr>
          <w:p w:rsidR="00383888" w:rsidRPr="000615AB" w:rsidRDefault="00383888" w:rsidP="00B47699">
            <w:pPr>
              <w:jc w:val="right"/>
              <w:rPr>
                <w:snapToGrid w:val="0"/>
                <w:sz w:val="18"/>
                <w:szCs w:val="18"/>
              </w:rPr>
            </w:pPr>
            <w:r w:rsidRPr="000615AB">
              <w:rPr>
                <w:snapToGrid w:val="0"/>
                <w:sz w:val="18"/>
                <w:szCs w:val="18"/>
              </w:rPr>
              <w:t xml:space="preserve">5.697 </w:t>
            </w:r>
          </w:p>
        </w:tc>
        <w:tc>
          <w:tcPr>
            <w:tcW w:w="1388" w:type="dxa"/>
            <w:shd w:val="pct15" w:color="auto" w:fill="FFFFFF"/>
          </w:tcPr>
          <w:p w:rsidR="00383888" w:rsidRPr="000615AB" w:rsidRDefault="00383888" w:rsidP="00B47699">
            <w:pPr>
              <w:jc w:val="right"/>
              <w:rPr>
                <w:snapToGrid w:val="0"/>
                <w:sz w:val="18"/>
                <w:szCs w:val="18"/>
              </w:rPr>
            </w:pPr>
            <w:r w:rsidRPr="000615AB">
              <w:rPr>
                <w:snapToGrid w:val="0"/>
                <w:sz w:val="18"/>
                <w:szCs w:val="18"/>
              </w:rPr>
              <w:t>11.394</w:t>
            </w:r>
          </w:p>
        </w:tc>
      </w:tr>
      <w:tr w:rsidR="00383888" w:rsidRPr="000615AB" w:rsidTr="00B47699">
        <w:tc>
          <w:tcPr>
            <w:tcW w:w="3055" w:type="dxa"/>
          </w:tcPr>
          <w:p w:rsidR="00383888" w:rsidRPr="000615AB" w:rsidRDefault="00383888" w:rsidP="00B47699">
            <w:pPr>
              <w:rPr>
                <w:snapToGrid w:val="0"/>
                <w:sz w:val="18"/>
                <w:szCs w:val="18"/>
              </w:rPr>
            </w:pPr>
            <w:r w:rsidRPr="000615AB">
              <w:rPr>
                <w:snapToGrid w:val="0"/>
                <w:sz w:val="18"/>
                <w:szCs w:val="18"/>
              </w:rPr>
              <w:t>Bangladesh</w:t>
            </w:r>
          </w:p>
        </w:tc>
        <w:tc>
          <w:tcPr>
            <w:tcW w:w="1125" w:type="dxa"/>
          </w:tcPr>
          <w:p w:rsidR="00383888" w:rsidRPr="000615AB" w:rsidRDefault="00383888" w:rsidP="00B47699">
            <w:pPr>
              <w:jc w:val="center"/>
              <w:rPr>
                <w:i/>
                <w:snapToGrid w:val="0"/>
                <w:sz w:val="18"/>
                <w:szCs w:val="18"/>
              </w:rPr>
            </w:pPr>
            <w:r w:rsidRPr="000615AB">
              <w:rPr>
                <w:snapToGrid w:val="0"/>
                <w:sz w:val="18"/>
                <w:szCs w:val="18"/>
              </w:rPr>
              <w:t>S</w:t>
            </w:r>
            <w:r w:rsidRPr="000615AB">
              <w:rPr>
                <w:i/>
                <w:snapToGrid w:val="0"/>
                <w:sz w:val="18"/>
                <w:szCs w:val="18"/>
              </w:rPr>
              <w:t>ter</w:t>
            </w:r>
          </w:p>
        </w:tc>
        <w:tc>
          <w:tcPr>
            <w:tcW w:w="1210" w:type="dxa"/>
          </w:tcPr>
          <w:p w:rsidR="00383888" w:rsidRPr="000615AB" w:rsidRDefault="00383888" w:rsidP="00B47699">
            <w:pPr>
              <w:jc w:val="right"/>
              <w:rPr>
                <w:snapToGrid w:val="0"/>
                <w:sz w:val="18"/>
                <w:szCs w:val="18"/>
              </w:rPr>
            </w:pPr>
            <w:r w:rsidRPr="000615AB">
              <w:rPr>
                <w:snapToGrid w:val="0"/>
                <w:sz w:val="18"/>
                <w:szCs w:val="18"/>
              </w:rPr>
              <w:t>0,03125</w:t>
            </w:r>
          </w:p>
        </w:tc>
        <w:tc>
          <w:tcPr>
            <w:tcW w:w="1320" w:type="dxa"/>
          </w:tcPr>
          <w:p w:rsidR="00383888" w:rsidRPr="000615AB" w:rsidRDefault="00383888" w:rsidP="00B47699">
            <w:pPr>
              <w:jc w:val="right"/>
              <w:rPr>
                <w:snapToGrid w:val="0"/>
                <w:sz w:val="18"/>
                <w:szCs w:val="18"/>
              </w:rPr>
            </w:pPr>
            <w:r w:rsidRPr="000615AB">
              <w:rPr>
                <w:snapToGrid w:val="0"/>
                <w:sz w:val="18"/>
                <w:szCs w:val="18"/>
              </w:rPr>
              <w:t xml:space="preserve">1.424 </w:t>
            </w:r>
          </w:p>
        </w:tc>
        <w:tc>
          <w:tcPr>
            <w:tcW w:w="1430" w:type="dxa"/>
          </w:tcPr>
          <w:p w:rsidR="00383888" w:rsidRPr="000615AB" w:rsidRDefault="00383888" w:rsidP="00B47699">
            <w:pPr>
              <w:jc w:val="right"/>
              <w:rPr>
                <w:snapToGrid w:val="0"/>
                <w:sz w:val="18"/>
                <w:szCs w:val="18"/>
              </w:rPr>
            </w:pPr>
            <w:r w:rsidRPr="000615AB">
              <w:rPr>
                <w:snapToGrid w:val="0"/>
                <w:sz w:val="18"/>
                <w:szCs w:val="18"/>
              </w:rPr>
              <w:t xml:space="preserve">1.424 </w:t>
            </w:r>
          </w:p>
        </w:tc>
        <w:tc>
          <w:tcPr>
            <w:tcW w:w="1388" w:type="dxa"/>
          </w:tcPr>
          <w:p w:rsidR="00383888" w:rsidRPr="000615AB" w:rsidRDefault="00383888" w:rsidP="00B47699">
            <w:pPr>
              <w:jc w:val="right"/>
              <w:rPr>
                <w:snapToGrid w:val="0"/>
                <w:sz w:val="18"/>
                <w:szCs w:val="18"/>
              </w:rPr>
            </w:pPr>
            <w:r w:rsidRPr="000615AB">
              <w:rPr>
                <w:snapToGrid w:val="0"/>
                <w:sz w:val="18"/>
                <w:szCs w:val="18"/>
              </w:rPr>
              <w:t xml:space="preserve">2.848 </w:t>
            </w:r>
          </w:p>
        </w:tc>
      </w:tr>
      <w:tr w:rsidR="00383888" w:rsidRPr="000615AB" w:rsidTr="00B47699">
        <w:tc>
          <w:tcPr>
            <w:tcW w:w="3055" w:type="dxa"/>
            <w:shd w:val="pct15" w:color="auto" w:fill="FFFFFF"/>
          </w:tcPr>
          <w:p w:rsidR="00383888" w:rsidRPr="000615AB" w:rsidRDefault="00383888" w:rsidP="00B47699">
            <w:pPr>
              <w:rPr>
                <w:snapToGrid w:val="0"/>
                <w:sz w:val="18"/>
                <w:szCs w:val="18"/>
              </w:rPr>
            </w:pPr>
            <w:r w:rsidRPr="000615AB">
              <w:rPr>
                <w:snapToGrid w:val="0"/>
                <w:sz w:val="18"/>
                <w:szCs w:val="18"/>
              </w:rPr>
              <w:t>Barbados</w:t>
            </w:r>
          </w:p>
        </w:tc>
        <w:tc>
          <w:tcPr>
            <w:tcW w:w="1125" w:type="dxa"/>
            <w:shd w:val="pct15" w:color="auto" w:fill="FFFFFF"/>
          </w:tcPr>
          <w:p w:rsidR="00383888" w:rsidRPr="000615AB" w:rsidRDefault="00383888" w:rsidP="00B47699">
            <w:pPr>
              <w:jc w:val="center"/>
              <w:rPr>
                <w:i/>
                <w:snapToGrid w:val="0"/>
                <w:sz w:val="18"/>
                <w:szCs w:val="18"/>
              </w:rPr>
            </w:pPr>
            <w:r w:rsidRPr="000615AB">
              <w:rPr>
                <w:snapToGrid w:val="0"/>
                <w:sz w:val="18"/>
                <w:szCs w:val="18"/>
              </w:rPr>
              <w:t>S</w:t>
            </w:r>
            <w:r w:rsidRPr="000615AB">
              <w:rPr>
                <w:i/>
                <w:snapToGrid w:val="0"/>
                <w:sz w:val="18"/>
                <w:szCs w:val="18"/>
              </w:rPr>
              <w:t>bis</w:t>
            </w:r>
          </w:p>
        </w:tc>
        <w:tc>
          <w:tcPr>
            <w:tcW w:w="1210" w:type="dxa"/>
            <w:shd w:val="pct15" w:color="auto" w:fill="FFFFFF"/>
          </w:tcPr>
          <w:p w:rsidR="00383888" w:rsidRPr="000615AB" w:rsidRDefault="00383888" w:rsidP="00B47699">
            <w:pPr>
              <w:jc w:val="right"/>
              <w:rPr>
                <w:snapToGrid w:val="0"/>
                <w:sz w:val="18"/>
                <w:szCs w:val="18"/>
              </w:rPr>
            </w:pPr>
            <w:r w:rsidRPr="000615AB">
              <w:rPr>
                <w:snapToGrid w:val="0"/>
                <w:sz w:val="18"/>
                <w:szCs w:val="18"/>
              </w:rPr>
              <w:t>0,0625</w:t>
            </w:r>
          </w:p>
        </w:tc>
        <w:tc>
          <w:tcPr>
            <w:tcW w:w="1320" w:type="dxa"/>
            <w:shd w:val="pct15" w:color="auto" w:fill="FFFFFF"/>
          </w:tcPr>
          <w:p w:rsidR="00383888" w:rsidRPr="000615AB" w:rsidRDefault="00383888" w:rsidP="00B47699">
            <w:pPr>
              <w:jc w:val="right"/>
              <w:rPr>
                <w:snapToGrid w:val="0"/>
                <w:sz w:val="18"/>
                <w:szCs w:val="18"/>
              </w:rPr>
            </w:pPr>
            <w:r w:rsidRPr="000615AB">
              <w:rPr>
                <w:snapToGrid w:val="0"/>
                <w:sz w:val="18"/>
                <w:szCs w:val="18"/>
              </w:rPr>
              <w:t xml:space="preserve">2.849 </w:t>
            </w:r>
          </w:p>
        </w:tc>
        <w:tc>
          <w:tcPr>
            <w:tcW w:w="1430" w:type="dxa"/>
            <w:shd w:val="pct15" w:color="auto" w:fill="FFFFFF"/>
          </w:tcPr>
          <w:p w:rsidR="00383888" w:rsidRPr="000615AB" w:rsidRDefault="00383888" w:rsidP="00B47699">
            <w:pPr>
              <w:jc w:val="right"/>
              <w:rPr>
                <w:snapToGrid w:val="0"/>
                <w:sz w:val="18"/>
                <w:szCs w:val="18"/>
              </w:rPr>
            </w:pPr>
            <w:r w:rsidRPr="000615AB">
              <w:rPr>
                <w:snapToGrid w:val="0"/>
                <w:sz w:val="18"/>
                <w:szCs w:val="18"/>
              </w:rPr>
              <w:t xml:space="preserve">2.849 </w:t>
            </w:r>
          </w:p>
        </w:tc>
        <w:tc>
          <w:tcPr>
            <w:tcW w:w="1388" w:type="dxa"/>
            <w:shd w:val="pct15" w:color="auto" w:fill="FFFFFF"/>
          </w:tcPr>
          <w:p w:rsidR="00383888" w:rsidRPr="000615AB" w:rsidRDefault="00383888" w:rsidP="00B47699">
            <w:pPr>
              <w:jc w:val="right"/>
              <w:rPr>
                <w:snapToGrid w:val="0"/>
                <w:sz w:val="18"/>
                <w:szCs w:val="18"/>
              </w:rPr>
            </w:pPr>
            <w:r w:rsidRPr="000615AB">
              <w:rPr>
                <w:snapToGrid w:val="0"/>
                <w:sz w:val="18"/>
                <w:szCs w:val="18"/>
              </w:rPr>
              <w:t xml:space="preserve">5.698 </w:t>
            </w:r>
          </w:p>
        </w:tc>
      </w:tr>
      <w:tr w:rsidR="00383888" w:rsidRPr="000615AB" w:rsidTr="00B47699">
        <w:tc>
          <w:tcPr>
            <w:tcW w:w="3055" w:type="dxa"/>
          </w:tcPr>
          <w:p w:rsidR="00383888" w:rsidRPr="000615AB" w:rsidRDefault="00383888" w:rsidP="00B47699">
            <w:pPr>
              <w:rPr>
                <w:snapToGrid w:val="0"/>
                <w:sz w:val="18"/>
                <w:szCs w:val="18"/>
              </w:rPr>
            </w:pPr>
            <w:r w:rsidRPr="000615AB">
              <w:rPr>
                <w:snapToGrid w:val="0"/>
                <w:sz w:val="18"/>
                <w:szCs w:val="18"/>
              </w:rPr>
              <w:t>Belarús</w:t>
            </w:r>
          </w:p>
        </w:tc>
        <w:tc>
          <w:tcPr>
            <w:tcW w:w="1125" w:type="dxa"/>
          </w:tcPr>
          <w:p w:rsidR="00383888" w:rsidRPr="000615AB" w:rsidRDefault="00383888" w:rsidP="00B47699">
            <w:pPr>
              <w:jc w:val="center"/>
              <w:rPr>
                <w:snapToGrid w:val="0"/>
                <w:sz w:val="18"/>
                <w:szCs w:val="18"/>
              </w:rPr>
            </w:pPr>
            <w:r w:rsidRPr="000615AB">
              <w:rPr>
                <w:snapToGrid w:val="0"/>
                <w:sz w:val="18"/>
                <w:szCs w:val="18"/>
              </w:rPr>
              <w:t>IX</w:t>
            </w:r>
          </w:p>
        </w:tc>
        <w:tc>
          <w:tcPr>
            <w:tcW w:w="1210" w:type="dxa"/>
          </w:tcPr>
          <w:p w:rsidR="00383888" w:rsidRPr="000615AB" w:rsidRDefault="00383888" w:rsidP="00B47699">
            <w:pPr>
              <w:jc w:val="right"/>
              <w:rPr>
                <w:snapToGrid w:val="0"/>
                <w:sz w:val="18"/>
                <w:szCs w:val="18"/>
              </w:rPr>
            </w:pPr>
            <w:r w:rsidRPr="000615AB">
              <w:rPr>
                <w:snapToGrid w:val="0"/>
                <w:sz w:val="18"/>
                <w:szCs w:val="18"/>
              </w:rPr>
              <w:t>0,25</w:t>
            </w:r>
          </w:p>
        </w:tc>
        <w:tc>
          <w:tcPr>
            <w:tcW w:w="1320" w:type="dxa"/>
          </w:tcPr>
          <w:p w:rsidR="00383888" w:rsidRPr="000615AB" w:rsidRDefault="00383888" w:rsidP="00B47699">
            <w:pPr>
              <w:jc w:val="right"/>
              <w:rPr>
                <w:snapToGrid w:val="0"/>
                <w:sz w:val="18"/>
                <w:szCs w:val="18"/>
              </w:rPr>
            </w:pPr>
            <w:r w:rsidRPr="000615AB">
              <w:rPr>
                <w:snapToGrid w:val="0"/>
                <w:sz w:val="18"/>
                <w:szCs w:val="18"/>
              </w:rPr>
              <w:t xml:space="preserve">11.395 </w:t>
            </w:r>
          </w:p>
        </w:tc>
        <w:tc>
          <w:tcPr>
            <w:tcW w:w="1430" w:type="dxa"/>
          </w:tcPr>
          <w:p w:rsidR="00383888" w:rsidRPr="000615AB" w:rsidRDefault="00383888" w:rsidP="00B47699">
            <w:pPr>
              <w:jc w:val="right"/>
              <w:rPr>
                <w:snapToGrid w:val="0"/>
                <w:sz w:val="18"/>
                <w:szCs w:val="18"/>
              </w:rPr>
            </w:pPr>
            <w:r w:rsidRPr="000615AB">
              <w:rPr>
                <w:snapToGrid w:val="0"/>
                <w:sz w:val="18"/>
                <w:szCs w:val="18"/>
              </w:rPr>
              <w:t xml:space="preserve">11.395 </w:t>
            </w:r>
          </w:p>
        </w:tc>
        <w:tc>
          <w:tcPr>
            <w:tcW w:w="1388" w:type="dxa"/>
          </w:tcPr>
          <w:p w:rsidR="00383888" w:rsidRPr="000615AB" w:rsidRDefault="00383888" w:rsidP="00B47699">
            <w:pPr>
              <w:jc w:val="right"/>
              <w:rPr>
                <w:snapToGrid w:val="0"/>
                <w:sz w:val="18"/>
                <w:szCs w:val="18"/>
              </w:rPr>
            </w:pPr>
            <w:r w:rsidRPr="000615AB">
              <w:rPr>
                <w:snapToGrid w:val="0"/>
                <w:sz w:val="18"/>
                <w:szCs w:val="18"/>
              </w:rPr>
              <w:t xml:space="preserve">22.790 </w:t>
            </w:r>
          </w:p>
        </w:tc>
      </w:tr>
      <w:tr w:rsidR="00383888" w:rsidRPr="000615AB" w:rsidTr="00B47699">
        <w:tc>
          <w:tcPr>
            <w:tcW w:w="3055" w:type="dxa"/>
            <w:shd w:val="pct15" w:color="auto" w:fill="FFFFFF"/>
          </w:tcPr>
          <w:p w:rsidR="00383888" w:rsidRPr="000615AB" w:rsidRDefault="00383888" w:rsidP="00B47699">
            <w:pPr>
              <w:rPr>
                <w:snapToGrid w:val="0"/>
                <w:sz w:val="18"/>
                <w:szCs w:val="18"/>
              </w:rPr>
            </w:pPr>
            <w:r w:rsidRPr="000615AB">
              <w:rPr>
                <w:snapToGrid w:val="0"/>
                <w:sz w:val="18"/>
                <w:szCs w:val="18"/>
              </w:rPr>
              <w:t>Bélgica</w:t>
            </w:r>
          </w:p>
        </w:tc>
        <w:tc>
          <w:tcPr>
            <w:tcW w:w="1125" w:type="dxa"/>
            <w:shd w:val="pct15" w:color="auto" w:fill="FFFFFF"/>
          </w:tcPr>
          <w:p w:rsidR="00383888" w:rsidRPr="000615AB" w:rsidRDefault="00383888" w:rsidP="00B47699">
            <w:pPr>
              <w:jc w:val="center"/>
              <w:rPr>
                <w:snapToGrid w:val="0"/>
                <w:sz w:val="18"/>
                <w:szCs w:val="18"/>
              </w:rPr>
            </w:pPr>
            <w:r w:rsidRPr="000615AB">
              <w:rPr>
                <w:snapToGrid w:val="0"/>
                <w:sz w:val="18"/>
                <w:szCs w:val="18"/>
              </w:rPr>
              <w:t>III</w:t>
            </w:r>
          </w:p>
        </w:tc>
        <w:tc>
          <w:tcPr>
            <w:tcW w:w="1210" w:type="dxa"/>
            <w:shd w:val="pct15" w:color="auto" w:fill="FFFFFF"/>
          </w:tcPr>
          <w:p w:rsidR="00383888" w:rsidRPr="000615AB" w:rsidRDefault="00383888" w:rsidP="00B47699">
            <w:pPr>
              <w:jc w:val="right"/>
              <w:rPr>
                <w:snapToGrid w:val="0"/>
                <w:sz w:val="18"/>
                <w:szCs w:val="18"/>
              </w:rPr>
            </w:pPr>
            <w:r w:rsidRPr="000615AB">
              <w:rPr>
                <w:snapToGrid w:val="0"/>
                <w:sz w:val="18"/>
                <w:szCs w:val="18"/>
              </w:rPr>
              <w:t>15</w:t>
            </w:r>
          </w:p>
        </w:tc>
        <w:tc>
          <w:tcPr>
            <w:tcW w:w="1320" w:type="dxa"/>
            <w:shd w:val="pct15" w:color="auto" w:fill="FFFFFF"/>
          </w:tcPr>
          <w:p w:rsidR="00383888" w:rsidRPr="000615AB" w:rsidRDefault="00383888" w:rsidP="00B47699">
            <w:pPr>
              <w:jc w:val="right"/>
              <w:rPr>
                <w:snapToGrid w:val="0"/>
                <w:sz w:val="18"/>
                <w:szCs w:val="18"/>
              </w:rPr>
            </w:pPr>
            <w:r w:rsidRPr="000615AB">
              <w:rPr>
                <w:snapToGrid w:val="0"/>
                <w:sz w:val="18"/>
                <w:szCs w:val="18"/>
              </w:rPr>
              <w:t xml:space="preserve">683.685 </w:t>
            </w:r>
          </w:p>
        </w:tc>
        <w:tc>
          <w:tcPr>
            <w:tcW w:w="1430" w:type="dxa"/>
            <w:shd w:val="pct15" w:color="auto" w:fill="FFFFFF"/>
          </w:tcPr>
          <w:p w:rsidR="00383888" w:rsidRPr="000615AB" w:rsidRDefault="00383888" w:rsidP="00B47699">
            <w:pPr>
              <w:jc w:val="right"/>
              <w:rPr>
                <w:snapToGrid w:val="0"/>
                <w:sz w:val="18"/>
                <w:szCs w:val="18"/>
              </w:rPr>
            </w:pPr>
            <w:r w:rsidRPr="000615AB">
              <w:rPr>
                <w:snapToGrid w:val="0"/>
                <w:sz w:val="18"/>
                <w:szCs w:val="18"/>
              </w:rPr>
              <w:t xml:space="preserve">683.685 </w:t>
            </w:r>
          </w:p>
        </w:tc>
        <w:tc>
          <w:tcPr>
            <w:tcW w:w="1388" w:type="dxa"/>
            <w:shd w:val="pct15" w:color="auto" w:fill="FFFFFF"/>
          </w:tcPr>
          <w:p w:rsidR="00383888" w:rsidRPr="000615AB" w:rsidRDefault="00383888" w:rsidP="00B47699">
            <w:pPr>
              <w:jc w:val="right"/>
              <w:rPr>
                <w:snapToGrid w:val="0"/>
                <w:sz w:val="18"/>
                <w:szCs w:val="18"/>
              </w:rPr>
            </w:pPr>
            <w:r w:rsidRPr="000615AB">
              <w:rPr>
                <w:snapToGrid w:val="0"/>
                <w:sz w:val="18"/>
                <w:szCs w:val="18"/>
              </w:rPr>
              <w:t xml:space="preserve">1.367.370 </w:t>
            </w:r>
          </w:p>
        </w:tc>
      </w:tr>
      <w:tr w:rsidR="00383888" w:rsidRPr="000615AB" w:rsidTr="00B47699">
        <w:tc>
          <w:tcPr>
            <w:tcW w:w="3055" w:type="dxa"/>
          </w:tcPr>
          <w:p w:rsidR="00383888" w:rsidRPr="000615AB" w:rsidRDefault="00383888" w:rsidP="00B47699">
            <w:pPr>
              <w:rPr>
                <w:snapToGrid w:val="0"/>
                <w:sz w:val="18"/>
                <w:szCs w:val="18"/>
              </w:rPr>
            </w:pPr>
            <w:r w:rsidRPr="000615AB">
              <w:rPr>
                <w:snapToGrid w:val="0"/>
                <w:sz w:val="18"/>
                <w:szCs w:val="18"/>
              </w:rPr>
              <w:t>Belice</w:t>
            </w:r>
          </w:p>
        </w:tc>
        <w:tc>
          <w:tcPr>
            <w:tcW w:w="1125" w:type="dxa"/>
          </w:tcPr>
          <w:p w:rsidR="00383888" w:rsidRPr="000615AB" w:rsidRDefault="00383888" w:rsidP="00B47699">
            <w:pPr>
              <w:jc w:val="center"/>
              <w:rPr>
                <w:i/>
                <w:snapToGrid w:val="0"/>
                <w:sz w:val="18"/>
                <w:szCs w:val="18"/>
              </w:rPr>
            </w:pPr>
            <w:r w:rsidRPr="000615AB">
              <w:rPr>
                <w:snapToGrid w:val="0"/>
                <w:sz w:val="18"/>
                <w:szCs w:val="18"/>
              </w:rPr>
              <w:t>S</w:t>
            </w:r>
            <w:r w:rsidRPr="000615AB">
              <w:rPr>
                <w:i/>
                <w:snapToGrid w:val="0"/>
                <w:sz w:val="18"/>
                <w:szCs w:val="18"/>
              </w:rPr>
              <w:t>bis</w:t>
            </w:r>
          </w:p>
        </w:tc>
        <w:tc>
          <w:tcPr>
            <w:tcW w:w="1210" w:type="dxa"/>
          </w:tcPr>
          <w:p w:rsidR="00383888" w:rsidRPr="000615AB" w:rsidRDefault="00383888" w:rsidP="00B47699">
            <w:pPr>
              <w:jc w:val="right"/>
              <w:rPr>
                <w:snapToGrid w:val="0"/>
                <w:sz w:val="18"/>
                <w:szCs w:val="18"/>
              </w:rPr>
            </w:pPr>
            <w:r w:rsidRPr="000615AB">
              <w:rPr>
                <w:snapToGrid w:val="0"/>
                <w:sz w:val="18"/>
                <w:szCs w:val="18"/>
              </w:rPr>
              <w:t>0,0625</w:t>
            </w:r>
          </w:p>
        </w:tc>
        <w:tc>
          <w:tcPr>
            <w:tcW w:w="1320" w:type="dxa"/>
          </w:tcPr>
          <w:p w:rsidR="00383888" w:rsidRPr="000615AB" w:rsidRDefault="00383888" w:rsidP="00B47699">
            <w:pPr>
              <w:jc w:val="right"/>
              <w:rPr>
                <w:snapToGrid w:val="0"/>
                <w:sz w:val="18"/>
                <w:szCs w:val="18"/>
              </w:rPr>
            </w:pPr>
            <w:r w:rsidRPr="000615AB">
              <w:rPr>
                <w:snapToGrid w:val="0"/>
                <w:sz w:val="18"/>
                <w:szCs w:val="18"/>
              </w:rPr>
              <w:t xml:space="preserve">2.849 </w:t>
            </w:r>
          </w:p>
        </w:tc>
        <w:tc>
          <w:tcPr>
            <w:tcW w:w="1430" w:type="dxa"/>
          </w:tcPr>
          <w:p w:rsidR="00383888" w:rsidRPr="000615AB" w:rsidRDefault="00383888" w:rsidP="00B47699">
            <w:pPr>
              <w:jc w:val="right"/>
              <w:rPr>
                <w:snapToGrid w:val="0"/>
                <w:sz w:val="18"/>
                <w:szCs w:val="18"/>
              </w:rPr>
            </w:pPr>
            <w:r w:rsidRPr="000615AB">
              <w:rPr>
                <w:snapToGrid w:val="0"/>
                <w:sz w:val="18"/>
                <w:szCs w:val="18"/>
              </w:rPr>
              <w:t xml:space="preserve">2.849 </w:t>
            </w:r>
          </w:p>
        </w:tc>
        <w:tc>
          <w:tcPr>
            <w:tcW w:w="1388" w:type="dxa"/>
          </w:tcPr>
          <w:p w:rsidR="00383888" w:rsidRPr="000615AB" w:rsidRDefault="00383888" w:rsidP="00B47699">
            <w:pPr>
              <w:jc w:val="right"/>
              <w:rPr>
                <w:snapToGrid w:val="0"/>
                <w:sz w:val="18"/>
                <w:szCs w:val="18"/>
              </w:rPr>
            </w:pPr>
            <w:r w:rsidRPr="000615AB">
              <w:rPr>
                <w:snapToGrid w:val="0"/>
                <w:sz w:val="18"/>
                <w:szCs w:val="18"/>
              </w:rPr>
              <w:t xml:space="preserve">5.698 </w:t>
            </w:r>
          </w:p>
        </w:tc>
      </w:tr>
      <w:tr w:rsidR="00383888" w:rsidRPr="000615AB" w:rsidTr="00B47699">
        <w:tc>
          <w:tcPr>
            <w:tcW w:w="3055" w:type="dxa"/>
            <w:shd w:val="pct15" w:color="auto" w:fill="FFFFFF"/>
          </w:tcPr>
          <w:p w:rsidR="00383888" w:rsidRPr="000615AB" w:rsidRDefault="00383888" w:rsidP="00B47699">
            <w:pPr>
              <w:rPr>
                <w:snapToGrid w:val="0"/>
                <w:sz w:val="18"/>
                <w:szCs w:val="18"/>
              </w:rPr>
            </w:pPr>
            <w:r w:rsidRPr="000615AB">
              <w:rPr>
                <w:snapToGrid w:val="0"/>
                <w:sz w:val="18"/>
                <w:szCs w:val="18"/>
              </w:rPr>
              <w:t>Benin</w:t>
            </w:r>
          </w:p>
        </w:tc>
        <w:tc>
          <w:tcPr>
            <w:tcW w:w="1125" w:type="dxa"/>
            <w:shd w:val="pct15" w:color="auto" w:fill="FFFFFF"/>
          </w:tcPr>
          <w:p w:rsidR="00383888" w:rsidRPr="000615AB" w:rsidRDefault="00383888" w:rsidP="00B47699">
            <w:pPr>
              <w:jc w:val="center"/>
              <w:rPr>
                <w:i/>
                <w:snapToGrid w:val="0"/>
                <w:sz w:val="18"/>
                <w:szCs w:val="18"/>
              </w:rPr>
            </w:pPr>
            <w:r w:rsidRPr="000615AB">
              <w:rPr>
                <w:snapToGrid w:val="0"/>
                <w:sz w:val="18"/>
                <w:szCs w:val="18"/>
              </w:rPr>
              <w:t>S</w:t>
            </w:r>
            <w:r w:rsidRPr="000615AB">
              <w:rPr>
                <w:i/>
                <w:snapToGrid w:val="0"/>
                <w:sz w:val="18"/>
                <w:szCs w:val="18"/>
              </w:rPr>
              <w:t>ter</w:t>
            </w:r>
          </w:p>
        </w:tc>
        <w:tc>
          <w:tcPr>
            <w:tcW w:w="1210" w:type="dxa"/>
            <w:shd w:val="pct15" w:color="auto" w:fill="FFFFFF"/>
          </w:tcPr>
          <w:p w:rsidR="00383888" w:rsidRPr="000615AB" w:rsidRDefault="00383888" w:rsidP="00B47699">
            <w:pPr>
              <w:jc w:val="right"/>
              <w:rPr>
                <w:snapToGrid w:val="0"/>
                <w:sz w:val="18"/>
                <w:szCs w:val="18"/>
              </w:rPr>
            </w:pPr>
            <w:r w:rsidRPr="000615AB">
              <w:rPr>
                <w:snapToGrid w:val="0"/>
                <w:sz w:val="18"/>
                <w:szCs w:val="18"/>
              </w:rPr>
              <w:t>0,03125</w:t>
            </w:r>
          </w:p>
        </w:tc>
        <w:tc>
          <w:tcPr>
            <w:tcW w:w="1320" w:type="dxa"/>
            <w:shd w:val="pct15" w:color="auto" w:fill="FFFFFF"/>
          </w:tcPr>
          <w:p w:rsidR="00383888" w:rsidRPr="000615AB" w:rsidRDefault="00383888" w:rsidP="00B47699">
            <w:pPr>
              <w:jc w:val="right"/>
              <w:rPr>
                <w:snapToGrid w:val="0"/>
                <w:sz w:val="18"/>
                <w:szCs w:val="18"/>
              </w:rPr>
            </w:pPr>
            <w:r w:rsidRPr="000615AB">
              <w:rPr>
                <w:snapToGrid w:val="0"/>
                <w:sz w:val="18"/>
                <w:szCs w:val="18"/>
              </w:rPr>
              <w:t xml:space="preserve">1.424 </w:t>
            </w:r>
          </w:p>
        </w:tc>
        <w:tc>
          <w:tcPr>
            <w:tcW w:w="1430" w:type="dxa"/>
            <w:shd w:val="pct15" w:color="auto" w:fill="FFFFFF"/>
          </w:tcPr>
          <w:p w:rsidR="00383888" w:rsidRPr="000615AB" w:rsidRDefault="00383888" w:rsidP="00B47699">
            <w:pPr>
              <w:jc w:val="right"/>
              <w:rPr>
                <w:snapToGrid w:val="0"/>
                <w:sz w:val="18"/>
                <w:szCs w:val="18"/>
              </w:rPr>
            </w:pPr>
            <w:r w:rsidRPr="000615AB">
              <w:rPr>
                <w:snapToGrid w:val="0"/>
                <w:sz w:val="18"/>
                <w:szCs w:val="18"/>
              </w:rPr>
              <w:t xml:space="preserve">1.424 </w:t>
            </w:r>
          </w:p>
        </w:tc>
        <w:tc>
          <w:tcPr>
            <w:tcW w:w="1388" w:type="dxa"/>
            <w:shd w:val="pct15" w:color="auto" w:fill="FFFFFF"/>
          </w:tcPr>
          <w:p w:rsidR="00383888" w:rsidRPr="000615AB" w:rsidRDefault="00383888" w:rsidP="00B47699">
            <w:pPr>
              <w:jc w:val="right"/>
              <w:rPr>
                <w:snapToGrid w:val="0"/>
                <w:sz w:val="18"/>
                <w:szCs w:val="18"/>
              </w:rPr>
            </w:pPr>
            <w:r w:rsidRPr="000615AB">
              <w:rPr>
                <w:snapToGrid w:val="0"/>
                <w:sz w:val="18"/>
                <w:szCs w:val="18"/>
              </w:rPr>
              <w:t xml:space="preserve">2.848 </w:t>
            </w:r>
          </w:p>
        </w:tc>
      </w:tr>
      <w:tr w:rsidR="00383888" w:rsidRPr="000615AB" w:rsidTr="00B47699">
        <w:tc>
          <w:tcPr>
            <w:tcW w:w="3055" w:type="dxa"/>
          </w:tcPr>
          <w:p w:rsidR="00383888" w:rsidRPr="000615AB" w:rsidRDefault="00383888" w:rsidP="00B47699">
            <w:pPr>
              <w:rPr>
                <w:snapToGrid w:val="0"/>
                <w:sz w:val="18"/>
                <w:szCs w:val="18"/>
              </w:rPr>
            </w:pPr>
            <w:r w:rsidRPr="000615AB">
              <w:rPr>
                <w:snapToGrid w:val="0"/>
                <w:sz w:val="18"/>
                <w:szCs w:val="18"/>
              </w:rPr>
              <w:t xml:space="preserve">Bhután </w:t>
            </w:r>
          </w:p>
        </w:tc>
        <w:tc>
          <w:tcPr>
            <w:tcW w:w="1125" w:type="dxa"/>
          </w:tcPr>
          <w:p w:rsidR="00383888" w:rsidRPr="000615AB" w:rsidRDefault="00383888" w:rsidP="00B47699">
            <w:pPr>
              <w:jc w:val="center"/>
              <w:rPr>
                <w:i/>
                <w:snapToGrid w:val="0"/>
                <w:sz w:val="18"/>
                <w:szCs w:val="18"/>
              </w:rPr>
            </w:pPr>
            <w:r w:rsidRPr="000615AB">
              <w:rPr>
                <w:snapToGrid w:val="0"/>
                <w:sz w:val="18"/>
                <w:szCs w:val="18"/>
              </w:rPr>
              <w:t>S</w:t>
            </w:r>
            <w:r w:rsidRPr="000615AB">
              <w:rPr>
                <w:i/>
                <w:snapToGrid w:val="0"/>
                <w:sz w:val="18"/>
                <w:szCs w:val="18"/>
              </w:rPr>
              <w:t>ter</w:t>
            </w:r>
          </w:p>
        </w:tc>
        <w:tc>
          <w:tcPr>
            <w:tcW w:w="1210" w:type="dxa"/>
          </w:tcPr>
          <w:p w:rsidR="00383888" w:rsidRPr="000615AB" w:rsidRDefault="00383888" w:rsidP="00B47699">
            <w:pPr>
              <w:jc w:val="right"/>
              <w:rPr>
                <w:snapToGrid w:val="0"/>
                <w:sz w:val="18"/>
                <w:szCs w:val="18"/>
              </w:rPr>
            </w:pPr>
            <w:r w:rsidRPr="000615AB">
              <w:rPr>
                <w:snapToGrid w:val="0"/>
                <w:sz w:val="18"/>
                <w:szCs w:val="18"/>
              </w:rPr>
              <w:t>0,03125</w:t>
            </w:r>
          </w:p>
        </w:tc>
        <w:tc>
          <w:tcPr>
            <w:tcW w:w="1320" w:type="dxa"/>
          </w:tcPr>
          <w:p w:rsidR="00383888" w:rsidRPr="000615AB" w:rsidRDefault="00383888" w:rsidP="00B47699">
            <w:pPr>
              <w:jc w:val="right"/>
              <w:rPr>
                <w:snapToGrid w:val="0"/>
                <w:sz w:val="18"/>
                <w:szCs w:val="18"/>
              </w:rPr>
            </w:pPr>
            <w:r w:rsidRPr="000615AB">
              <w:rPr>
                <w:snapToGrid w:val="0"/>
                <w:sz w:val="18"/>
                <w:szCs w:val="18"/>
              </w:rPr>
              <w:t xml:space="preserve">1.424 </w:t>
            </w:r>
          </w:p>
        </w:tc>
        <w:tc>
          <w:tcPr>
            <w:tcW w:w="1430" w:type="dxa"/>
          </w:tcPr>
          <w:p w:rsidR="00383888" w:rsidRPr="000615AB" w:rsidRDefault="00383888" w:rsidP="00B47699">
            <w:pPr>
              <w:jc w:val="right"/>
              <w:rPr>
                <w:snapToGrid w:val="0"/>
                <w:sz w:val="18"/>
                <w:szCs w:val="18"/>
              </w:rPr>
            </w:pPr>
            <w:r w:rsidRPr="000615AB">
              <w:rPr>
                <w:snapToGrid w:val="0"/>
                <w:sz w:val="18"/>
                <w:szCs w:val="18"/>
              </w:rPr>
              <w:t xml:space="preserve">1.424 </w:t>
            </w:r>
          </w:p>
        </w:tc>
        <w:tc>
          <w:tcPr>
            <w:tcW w:w="1388" w:type="dxa"/>
          </w:tcPr>
          <w:p w:rsidR="00383888" w:rsidRPr="000615AB" w:rsidRDefault="00383888" w:rsidP="00B47699">
            <w:pPr>
              <w:jc w:val="right"/>
              <w:rPr>
                <w:snapToGrid w:val="0"/>
                <w:sz w:val="18"/>
                <w:szCs w:val="18"/>
              </w:rPr>
            </w:pPr>
            <w:r w:rsidRPr="000615AB">
              <w:rPr>
                <w:snapToGrid w:val="0"/>
                <w:sz w:val="18"/>
                <w:szCs w:val="18"/>
              </w:rPr>
              <w:t xml:space="preserve">2.848 </w:t>
            </w:r>
          </w:p>
        </w:tc>
      </w:tr>
      <w:tr w:rsidR="00383888" w:rsidRPr="000615AB" w:rsidTr="00B47699">
        <w:tc>
          <w:tcPr>
            <w:tcW w:w="3055" w:type="dxa"/>
            <w:shd w:val="pct15" w:color="auto" w:fill="FFFFFF"/>
          </w:tcPr>
          <w:p w:rsidR="00383888" w:rsidRPr="000615AB" w:rsidRDefault="00383888" w:rsidP="00B47699">
            <w:pPr>
              <w:rPr>
                <w:snapToGrid w:val="0"/>
                <w:sz w:val="18"/>
                <w:szCs w:val="18"/>
              </w:rPr>
            </w:pPr>
            <w:r w:rsidRPr="000615AB">
              <w:rPr>
                <w:snapToGrid w:val="0"/>
                <w:sz w:val="18"/>
                <w:szCs w:val="18"/>
              </w:rPr>
              <w:t xml:space="preserve">Bolivia </w:t>
            </w:r>
            <w:r w:rsidRPr="000615AB">
              <w:rPr>
                <w:sz w:val="18"/>
                <w:szCs w:val="18"/>
              </w:rPr>
              <w:t>(Estado Plurinacional de)</w:t>
            </w:r>
          </w:p>
        </w:tc>
        <w:tc>
          <w:tcPr>
            <w:tcW w:w="1125" w:type="dxa"/>
            <w:shd w:val="pct15" w:color="auto" w:fill="FFFFFF"/>
          </w:tcPr>
          <w:p w:rsidR="00383888" w:rsidRPr="000615AB" w:rsidRDefault="00383888" w:rsidP="00B47699">
            <w:pPr>
              <w:jc w:val="center"/>
              <w:rPr>
                <w:i/>
                <w:snapToGrid w:val="0"/>
                <w:sz w:val="18"/>
                <w:szCs w:val="18"/>
              </w:rPr>
            </w:pPr>
            <w:r w:rsidRPr="000615AB">
              <w:rPr>
                <w:snapToGrid w:val="0"/>
                <w:sz w:val="18"/>
                <w:szCs w:val="18"/>
              </w:rPr>
              <w:t>S</w:t>
            </w:r>
            <w:r w:rsidRPr="000615AB">
              <w:rPr>
                <w:i/>
                <w:snapToGrid w:val="0"/>
                <w:sz w:val="18"/>
                <w:szCs w:val="18"/>
              </w:rPr>
              <w:t>bis</w:t>
            </w:r>
          </w:p>
        </w:tc>
        <w:tc>
          <w:tcPr>
            <w:tcW w:w="1210" w:type="dxa"/>
            <w:shd w:val="pct15" w:color="auto" w:fill="FFFFFF"/>
          </w:tcPr>
          <w:p w:rsidR="00383888" w:rsidRPr="000615AB" w:rsidRDefault="00383888" w:rsidP="00B47699">
            <w:pPr>
              <w:jc w:val="right"/>
              <w:rPr>
                <w:snapToGrid w:val="0"/>
                <w:sz w:val="18"/>
                <w:szCs w:val="18"/>
              </w:rPr>
            </w:pPr>
            <w:r w:rsidRPr="000615AB">
              <w:rPr>
                <w:snapToGrid w:val="0"/>
                <w:sz w:val="18"/>
                <w:szCs w:val="18"/>
              </w:rPr>
              <w:t>0,0625</w:t>
            </w:r>
          </w:p>
        </w:tc>
        <w:tc>
          <w:tcPr>
            <w:tcW w:w="1320" w:type="dxa"/>
            <w:shd w:val="pct15" w:color="auto" w:fill="FFFFFF"/>
          </w:tcPr>
          <w:p w:rsidR="00383888" w:rsidRPr="000615AB" w:rsidRDefault="00383888" w:rsidP="00B47699">
            <w:pPr>
              <w:jc w:val="right"/>
              <w:rPr>
                <w:snapToGrid w:val="0"/>
                <w:sz w:val="18"/>
                <w:szCs w:val="18"/>
              </w:rPr>
            </w:pPr>
            <w:r w:rsidRPr="000615AB">
              <w:rPr>
                <w:snapToGrid w:val="0"/>
                <w:sz w:val="18"/>
                <w:szCs w:val="18"/>
              </w:rPr>
              <w:t xml:space="preserve">2.849 </w:t>
            </w:r>
          </w:p>
        </w:tc>
        <w:tc>
          <w:tcPr>
            <w:tcW w:w="1430" w:type="dxa"/>
            <w:shd w:val="pct15" w:color="auto" w:fill="FFFFFF"/>
          </w:tcPr>
          <w:p w:rsidR="00383888" w:rsidRPr="000615AB" w:rsidRDefault="00383888" w:rsidP="00B47699">
            <w:pPr>
              <w:jc w:val="right"/>
              <w:rPr>
                <w:snapToGrid w:val="0"/>
                <w:sz w:val="18"/>
                <w:szCs w:val="18"/>
              </w:rPr>
            </w:pPr>
            <w:r w:rsidRPr="000615AB">
              <w:rPr>
                <w:snapToGrid w:val="0"/>
                <w:sz w:val="18"/>
                <w:szCs w:val="18"/>
              </w:rPr>
              <w:t xml:space="preserve">2.849 </w:t>
            </w:r>
          </w:p>
        </w:tc>
        <w:tc>
          <w:tcPr>
            <w:tcW w:w="1388" w:type="dxa"/>
            <w:shd w:val="pct15" w:color="auto" w:fill="FFFFFF"/>
          </w:tcPr>
          <w:p w:rsidR="00383888" w:rsidRPr="000615AB" w:rsidRDefault="00383888" w:rsidP="00B47699">
            <w:pPr>
              <w:jc w:val="right"/>
              <w:rPr>
                <w:snapToGrid w:val="0"/>
                <w:sz w:val="18"/>
                <w:szCs w:val="18"/>
              </w:rPr>
            </w:pPr>
            <w:r w:rsidRPr="000615AB">
              <w:rPr>
                <w:snapToGrid w:val="0"/>
                <w:sz w:val="18"/>
                <w:szCs w:val="18"/>
              </w:rPr>
              <w:t xml:space="preserve">5.698 </w:t>
            </w:r>
          </w:p>
        </w:tc>
      </w:tr>
      <w:tr w:rsidR="00383888" w:rsidRPr="000615AB" w:rsidTr="00B47699">
        <w:tc>
          <w:tcPr>
            <w:tcW w:w="3055" w:type="dxa"/>
          </w:tcPr>
          <w:p w:rsidR="00383888" w:rsidRPr="000615AB" w:rsidRDefault="00383888" w:rsidP="00B47699">
            <w:pPr>
              <w:rPr>
                <w:snapToGrid w:val="0"/>
                <w:sz w:val="18"/>
                <w:szCs w:val="18"/>
              </w:rPr>
            </w:pPr>
            <w:r w:rsidRPr="000615AB">
              <w:rPr>
                <w:snapToGrid w:val="0"/>
                <w:sz w:val="18"/>
                <w:szCs w:val="18"/>
              </w:rPr>
              <w:t>Bosnia y Herzegovina</w:t>
            </w:r>
          </w:p>
        </w:tc>
        <w:tc>
          <w:tcPr>
            <w:tcW w:w="1125" w:type="dxa"/>
          </w:tcPr>
          <w:p w:rsidR="00383888" w:rsidRPr="000615AB" w:rsidRDefault="00383888" w:rsidP="00B47699">
            <w:pPr>
              <w:jc w:val="center"/>
              <w:rPr>
                <w:i/>
                <w:snapToGrid w:val="0"/>
                <w:sz w:val="18"/>
                <w:szCs w:val="18"/>
              </w:rPr>
            </w:pPr>
            <w:r w:rsidRPr="000615AB">
              <w:rPr>
                <w:snapToGrid w:val="0"/>
                <w:sz w:val="18"/>
                <w:szCs w:val="18"/>
              </w:rPr>
              <w:t>S</w:t>
            </w:r>
            <w:r w:rsidRPr="000615AB">
              <w:rPr>
                <w:i/>
                <w:snapToGrid w:val="0"/>
                <w:sz w:val="18"/>
                <w:szCs w:val="18"/>
              </w:rPr>
              <w:t>bis</w:t>
            </w:r>
          </w:p>
        </w:tc>
        <w:tc>
          <w:tcPr>
            <w:tcW w:w="1210" w:type="dxa"/>
          </w:tcPr>
          <w:p w:rsidR="00383888" w:rsidRPr="000615AB" w:rsidRDefault="00383888" w:rsidP="00B47699">
            <w:pPr>
              <w:jc w:val="right"/>
              <w:rPr>
                <w:snapToGrid w:val="0"/>
                <w:sz w:val="18"/>
                <w:szCs w:val="18"/>
              </w:rPr>
            </w:pPr>
            <w:r w:rsidRPr="000615AB">
              <w:rPr>
                <w:snapToGrid w:val="0"/>
                <w:sz w:val="18"/>
                <w:szCs w:val="18"/>
              </w:rPr>
              <w:t>0,0625</w:t>
            </w:r>
          </w:p>
        </w:tc>
        <w:tc>
          <w:tcPr>
            <w:tcW w:w="1320" w:type="dxa"/>
          </w:tcPr>
          <w:p w:rsidR="00383888" w:rsidRPr="000615AB" w:rsidRDefault="00383888" w:rsidP="00B47699">
            <w:pPr>
              <w:jc w:val="right"/>
              <w:rPr>
                <w:snapToGrid w:val="0"/>
                <w:sz w:val="18"/>
                <w:szCs w:val="18"/>
              </w:rPr>
            </w:pPr>
            <w:r w:rsidRPr="000615AB">
              <w:rPr>
                <w:snapToGrid w:val="0"/>
                <w:sz w:val="18"/>
                <w:szCs w:val="18"/>
              </w:rPr>
              <w:t xml:space="preserve">2.849 </w:t>
            </w:r>
          </w:p>
        </w:tc>
        <w:tc>
          <w:tcPr>
            <w:tcW w:w="1430" w:type="dxa"/>
          </w:tcPr>
          <w:p w:rsidR="00383888" w:rsidRPr="000615AB" w:rsidRDefault="00383888" w:rsidP="00B47699">
            <w:pPr>
              <w:jc w:val="right"/>
              <w:rPr>
                <w:snapToGrid w:val="0"/>
                <w:sz w:val="18"/>
                <w:szCs w:val="18"/>
              </w:rPr>
            </w:pPr>
            <w:r w:rsidRPr="000615AB">
              <w:rPr>
                <w:snapToGrid w:val="0"/>
                <w:sz w:val="18"/>
                <w:szCs w:val="18"/>
              </w:rPr>
              <w:t xml:space="preserve">2.849 </w:t>
            </w:r>
          </w:p>
        </w:tc>
        <w:tc>
          <w:tcPr>
            <w:tcW w:w="1388" w:type="dxa"/>
          </w:tcPr>
          <w:p w:rsidR="00383888" w:rsidRPr="000615AB" w:rsidRDefault="00383888" w:rsidP="00B47699">
            <w:pPr>
              <w:jc w:val="right"/>
              <w:rPr>
                <w:snapToGrid w:val="0"/>
                <w:sz w:val="18"/>
                <w:szCs w:val="18"/>
              </w:rPr>
            </w:pPr>
            <w:r w:rsidRPr="000615AB">
              <w:rPr>
                <w:snapToGrid w:val="0"/>
                <w:sz w:val="18"/>
                <w:szCs w:val="18"/>
              </w:rPr>
              <w:t xml:space="preserve">5.698 </w:t>
            </w:r>
          </w:p>
        </w:tc>
      </w:tr>
      <w:tr w:rsidR="00383888" w:rsidRPr="000615AB" w:rsidTr="00B47699">
        <w:tc>
          <w:tcPr>
            <w:tcW w:w="3055" w:type="dxa"/>
            <w:shd w:val="pct15" w:color="auto" w:fill="FFFFFF"/>
          </w:tcPr>
          <w:p w:rsidR="00383888" w:rsidRPr="000615AB" w:rsidRDefault="00383888" w:rsidP="00B47699">
            <w:pPr>
              <w:rPr>
                <w:snapToGrid w:val="0"/>
                <w:sz w:val="18"/>
                <w:szCs w:val="18"/>
              </w:rPr>
            </w:pPr>
            <w:r w:rsidRPr="000615AB">
              <w:rPr>
                <w:snapToGrid w:val="0"/>
                <w:sz w:val="18"/>
                <w:szCs w:val="18"/>
              </w:rPr>
              <w:t>Botswana</w:t>
            </w:r>
          </w:p>
        </w:tc>
        <w:tc>
          <w:tcPr>
            <w:tcW w:w="1125" w:type="dxa"/>
            <w:shd w:val="pct15" w:color="auto" w:fill="FFFFFF"/>
          </w:tcPr>
          <w:p w:rsidR="00383888" w:rsidRPr="000615AB" w:rsidRDefault="00383888" w:rsidP="00B47699">
            <w:pPr>
              <w:jc w:val="center"/>
              <w:rPr>
                <w:i/>
                <w:snapToGrid w:val="0"/>
                <w:sz w:val="18"/>
                <w:szCs w:val="18"/>
              </w:rPr>
            </w:pPr>
            <w:r w:rsidRPr="000615AB">
              <w:rPr>
                <w:snapToGrid w:val="0"/>
                <w:sz w:val="18"/>
                <w:szCs w:val="18"/>
              </w:rPr>
              <w:t>S</w:t>
            </w:r>
            <w:r w:rsidRPr="000615AB">
              <w:rPr>
                <w:i/>
                <w:snapToGrid w:val="0"/>
                <w:sz w:val="18"/>
                <w:szCs w:val="18"/>
              </w:rPr>
              <w:t>bis</w:t>
            </w:r>
          </w:p>
        </w:tc>
        <w:tc>
          <w:tcPr>
            <w:tcW w:w="1210" w:type="dxa"/>
            <w:shd w:val="pct15" w:color="auto" w:fill="FFFFFF"/>
          </w:tcPr>
          <w:p w:rsidR="00383888" w:rsidRPr="000615AB" w:rsidRDefault="00383888" w:rsidP="00B47699">
            <w:pPr>
              <w:jc w:val="right"/>
              <w:rPr>
                <w:snapToGrid w:val="0"/>
                <w:sz w:val="18"/>
                <w:szCs w:val="18"/>
              </w:rPr>
            </w:pPr>
            <w:r w:rsidRPr="000615AB">
              <w:rPr>
                <w:snapToGrid w:val="0"/>
                <w:sz w:val="18"/>
                <w:szCs w:val="18"/>
              </w:rPr>
              <w:t>0,0625</w:t>
            </w:r>
          </w:p>
        </w:tc>
        <w:tc>
          <w:tcPr>
            <w:tcW w:w="1320" w:type="dxa"/>
            <w:shd w:val="pct15" w:color="auto" w:fill="FFFFFF"/>
          </w:tcPr>
          <w:p w:rsidR="00383888" w:rsidRPr="000615AB" w:rsidRDefault="00383888" w:rsidP="00B47699">
            <w:pPr>
              <w:jc w:val="right"/>
              <w:rPr>
                <w:snapToGrid w:val="0"/>
                <w:sz w:val="18"/>
                <w:szCs w:val="18"/>
              </w:rPr>
            </w:pPr>
            <w:r w:rsidRPr="000615AB">
              <w:rPr>
                <w:snapToGrid w:val="0"/>
                <w:sz w:val="18"/>
                <w:szCs w:val="18"/>
              </w:rPr>
              <w:t xml:space="preserve">2.849 </w:t>
            </w:r>
          </w:p>
        </w:tc>
        <w:tc>
          <w:tcPr>
            <w:tcW w:w="1430" w:type="dxa"/>
            <w:shd w:val="pct15" w:color="auto" w:fill="FFFFFF"/>
          </w:tcPr>
          <w:p w:rsidR="00383888" w:rsidRPr="000615AB" w:rsidRDefault="00383888" w:rsidP="00B47699">
            <w:pPr>
              <w:jc w:val="right"/>
              <w:rPr>
                <w:snapToGrid w:val="0"/>
                <w:sz w:val="18"/>
                <w:szCs w:val="18"/>
              </w:rPr>
            </w:pPr>
            <w:r w:rsidRPr="000615AB">
              <w:rPr>
                <w:snapToGrid w:val="0"/>
                <w:sz w:val="18"/>
                <w:szCs w:val="18"/>
              </w:rPr>
              <w:t xml:space="preserve">2.849 </w:t>
            </w:r>
          </w:p>
        </w:tc>
        <w:tc>
          <w:tcPr>
            <w:tcW w:w="1388" w:type="dxa"/>
            <w:shd w:val="pct15" w:color="auto" w:fill="FFFFFF"/>
          </w:tcPr>
          <w:p w:rsidR="00383888" w:rsidRPr="000615AB" w:rsidRDefault="00383888" w:rsidP="00B47699">
            <w:pPr>
              <w:jc w:val="right"/>
              <w:rPr>
                <w:snapToGrid w:val="0"/>
                <w:sz w:val="18"/>
                <w:szCs w:val="18"/>
              </w:rPr>
            </w:pPr>
            <w:r w:rsidRPr="000615AB">
              <w:rPr>
                <w:snapToGrid w:val="0"/>
                <w:sz w:val="18"/>
                <w:szCs w:val="18"/>
              </w:rPr>
              <w:t xml:space="preserve">5.698 </w:t>
            </w:r>
          </w:p>
        </w:tc>
      </w:tr>
      <w:tr w:rsidR="00383888" w:rsidRPr="000615AB" w:rsidTr="00B47699">
        <w:tc>
          <w:tcPr>
            <w:tcW w:w="3055" w:type="dxa"/>
          </w:tcPr>
          <w:p w:rsidR="00383888" w:rsidRPr="000615AB" w:rsidRDefault="00383888" w:rsidP="00B47699">
            <w:pPr>
              <w:rPr>
                <w:snapToGrid w:val="0"/>
                <w:sz w:val="18"/>
                <w:szCs w:val="18"/>
              </w:rPr>
            </w:pPr>
            <w:r w:rsidRPr="000615AB">
              <w:rPr>
                <w:snapToGrid w:val="0"/>
                <w:sz w:val="18"/>
                <w:szCs w:val="18"/>
              </w:rPr>
              <w:t>Brasil</w:t>
            </w:r>
          </w:p>
        </w:tc>
        <w:tc>
          <w:tcPr>
            <w:tcW w:w="1125" w:type="dxa"/>
          </w:tcPr>
          <w:p w:rsidR="00383888" w:rsidRPr="000615AB" w:rsidRDefault="00383888" w:rsidP="00B47699">
            <w:pPr>
              <w:jc w:val="center"/>
              <w:rPr>
                <w:i/>
                <w:snapToGrid w:val="0"/>
                <w:sz w:val="18"/>
                <w:szCs w:val="18"/>
              </w:rPr>
            </w:pPr>
            <w:r w:rsidRPr="000615AB">
              <w:rPr>
                <w:snapToGrid w:val="0"/>
                <w:sz w:val="18"/>
                <w:szCs w:val="18"/>
              </w:rPr>
              <w:t>VI</w:t>
            </w:r>
            <w:r w:rsidRPr="000615AB">
              <w:rPr>
                <w:i/>
                <w:snapToGrid w:val="0"/>
                <w:sz w:val="18"/>
                <w:szCs w:val="18"/>
              </w:rPr>
              <w:t>bis</w:t>
            </w:r>
          </w:p>
        </w:tc>
        <w:tc>
          <w:tcPr>
            <w:tcW w:w="1210" w:type="dxa"/>
          </w:tcPr>
          <w:p w:rsidR="00383888" w:rsidRPr="000615AB" w:rsidRDefault="00383888" w:rsidP="00B47699">
            <w:pPr>
              <w:jc w:val="right"/>
              <w:rPr>
                <w:snapToGrid w:val="0"/>
                <w:sz w:val="18"/>
                <w:szCs w:val="18"/>
              </w:rPr>
            </w:pPr>
            <w:r w:rsidRPr="000615AB">
              <w:rPr>
                <w:snapToGrid w:val="0"/>
                <w:sz w:val="18"/>
                <w:szCs w:val="18"/>
              </w:rPr>
              <w:t>2</w:t>
            </w:r>
          </w:p>
        </w:tc>
        <w:tc>
          <w:tcPr>
            <w:tcW w:w="1320" w:type="dxa"/>
          </w:tcPr>
          <w:p w:rsidR="00383888" w:rsidRPr="000615AB" w:rsidRDefault="00383888" w:rsidP="00B47699">
            <w:pPr>
              <w:jc w:val="right"/>
              <w:rPr>
                <w:snapToGrid w:val="0"/>
                <w:sz w:val="18"/>
                <w:szCs w:val="18"/>
              </w:rPr>
            </w:pPr>
            <w:r w:rsidRPr="000615AB">
              <w:rPr>
                <w:snapToGrid w:val="0"/>
                <w:sz w:val="18"/>
                <w:szCs w:val="18"/>
              </w:rPr>
              <w:t xml:space="preserve">91.158 </w:t>
            </w:r>
          </w:p>
        </w:tc>
        <w:tc>
          <w:tcPr>
            <w:tcW w:w="1430" w:type="dxa"/>
          </w:tcPr>
          <w:p w:rsidR="00383888" w:rsidRPr="000615AB" w:rsidRDefault="00383888" w:rsidP="00B47699">
            <w:pPr>
              <w:jc w:val="right"/>
              <w:rPr>
                <w:snapToGrid w:val="0"/>
                <w:sz w:val="18"/>
                <w:szCs w:val="18"/>
              </w:rPr>
            </w:pPr>
            <w:r w:rsidRPr="000615AB">
              <w:rPr>
                <w:snapToGrid w:val="0"/>
                <w:sz w:val="18"/>
                <w:szCs w:val="18"/>
              </w:rPr>
              <w:t xml:space="preserve">91.158 </w:t>
            </w:r>
          </w:p>
        </w:tc>
        <w:tc>
          <w:tcPr>
            <w:tcW w:w="1388" w:type="dxa"/>
          </w:tcPr>
          <w:p w:rsidR="00383888" w:rsidRPr="000615AB" w:rsidRDefault="00383888" w:rsidP="00B47699">
            <w:pPr>
              <w:jc w:val="right"/>
              <w:rPr>
                <w:snapToGrid w:val="0"/>
                <w:sz w:val="18"/>
                <w:szCs w:val="18"/>
              </w:rPr>
            </w:pPr>
            <w:r w:rsidRPr="000615AB">
              <w:rPr>
                <w:snapToGrid w:val="0"/>
                <w:sz w:val="18"/>
                <w:szCs w:val="18"/>
              </w:rPr>
              <w:t xml:space="preserve">182.316 </w:t>
            </w:r>
          </w:p>
        </w:tc>
      </w:tr>
      <w:tr w:rsidR="00383888" w:rsidRPr="000615AB" w:rsidTr="00B47699">
        <w:tc>
          <w:tcPr>
            <w:tcW w:w="3055" w:type="dxa"/>
            <w:shd w:val="pct15" w:color="auto" w:fill="FFFFFF"/>
            <w:vAlign w:val="center"/>
          </w:tcPr>
          <w:p w:rsidR="00383888" w:rsidRPr="000615AB" w:rsidRDefault="00383888" w:rsidP="00B47699">
            <w:pPr>
              <w:rPr>
                <w:snapToGrid w:val="0"/>
                <w:sz w:val="18"/>
                <w:szCs w:val="18"/>
                <w:vertAlign w:val="superscript"/>
              </w:rPr>
            </w:pPr>
            <w:r w:rsidRPr="000615AB">
              <w:rPr>
                <w:snapToGrid w:val="0"/>
                <w:sz w:val="18"/>
                <w:szCs w:val="18"/>
              </w:rPr>
              <w:t xml:space="preserve">Brunei Darussalam </w:t>
            </w:r>
          </w:p>
        </w:tc>
        <w:tc>
          <w:tcPr>
            <w:tcW w:w="1125" w:type="dxa"/>
            <w:shd w:val="pct15" w:color="auto" w:fill="FFFFFF"/>
            <w:vAlign w:val="center"/>
          </w:tcPr>
          <w:p w:rsidR="00383888" w:rsidRPr="000615AB" w:rsidRDefault="00383888" w:rsidP="00B47699">
            <w:pPr>
              <w:jc w:val="center"/>
              <w:rPr>
                <w:snapToGrid w:val="0"/>
                <w:sz w:val="18"/>
                <w:szCs w:val="18"/>
              </w:rPr>
            </w:pPr>
            <w:r w:rsidRPr="000615AB">
              <w:rPr>
                <w:snapToGrid w:val="0"/>
                <w:sz w:val="18"/>
                <w:szCs w:val="18"/>
              </w:rPr>
              <w:t>S</w:t>
            </w:r>
          </w:p>
        </w:tc>
        <w:tc>
          <w:tcPr>
            <w:tcW w:w="1210" w:type="dxa"/>
            <w:shd w:val="pct15" w:color="auto" w:fill="FFFFFF"/>
            <w:vAlign w:val="center"/>
          </w:tcPr>
          <w:p w:rsidR="00383888" w:rsidRPr="000615AB" w:rsidRDefault="00383888" w:rsidP="00B47699">
            <w:pPr>
              <w:jc w:val="right"/>
              <w:rPr>
                <w:snapToGrid w:val="0"/>
                <w:sz w:val="18"/>
                <w:szCs w:val="18"/>
              </w:rPr>
            </w:pPr>
            <w:r w:rsidRPr="000615AB">
              <w:rPr>
                <w:snapToGrid w:val="0"/>
                <w:sz w:val="18"/>
                <w:szCs w:val="18"/>
              </w:rPr>
              <w:t>0,125</w:t>
            </w:r>
          </w:p>
        </w:tc>
        <w:tc>
          <w:tcPr>
            <w:tcW w:w="1320" w:type="dxa"/>
            <w:shd w:val="pct15" w:color="auto" w:fill="FFFFFF"/>
            <w:vAlign w:val="center"/>
          </w:tcPr>
          <w:p w:rsidR="00383888" w:rsidRPr="000615AB" w:rsidRDefault="00383888" w:rsidP="00B47699">
            <w:pPr>
              <w:jc w:val="right"/>
              <w:rPr>
                <w:snapToGrid w:val="0"/>
                <w:sz w:val="18"/>
                <w:szCs w:val="18"/>
              </w:rPr>
            </w:pPr>
            <w:r w:rsidRPr="000615AB">
              <w:rPr>
                <w:snapToGrid w:val="0"/>
                <w:sz w:val="18"/>
                <w:szCs w:val="18"/>
              </w:rPr>
              <w:t xml:space="preserve">5.697 </w:t>
            </w:r>
          </w:p>
        </w:tc>
        <w:tc>
          <w:tcPr>
            <w:tcW w:w="1430" w:type="dxa"/>
            <w:shd w:val="pct15" w:color="auto" w:fill="FFFFFF"/>
            <w:vAlign w:val="center"/>
          </w:tcPr>
          <w:p w:rsidR="00383888" w:rsidRPr="000615AB" w:rsidRDefault="00383888" w:rsidP="00B47699">
            <w:pPr>
              <w:jc w:val="right"/>
              <w:rPr>
                <w:snapToGrid w:val="0"/>
                <w:sz w:val="18"/>
                <w:szCs w:val="18"/>
              </w:rPr>
            </w:pPr>
            <w:r w:rsidRPr="000615AB">
              <w:rPr>
                <w:snapToGrid w:val="0"/>
                <w:sz w:val="18"/>
                <w:szCs w:val="18"/>
              </w:rPr>
              <w:t xml:space="preserve">5.697 </w:t>
            </w:r>
          </w:p>
        </w:tc>
        <w:tc>
          <w:tcPr>
            <w:tcW w:w="1388" w:type="dxa"/>
            <w:shd w:val="pct15" w:color="auto" w:fill="FFFFFF"/>
            <w:vAlign w:val="center"/>
          </w:tcPr>
          <w:p w:rsidR="00383888" w:rsidRPr="000615AB" w:rsidRDefault="00383888" w:rsidP="00B47699">
            <w:pPr>
              <w:jc w:val="right"/>
              <w:rPr>
                <w:snapToGrid w:val="0"/>
                <w:sz w:val="18"/>
                <w:szCs w:val="18"/>
              </w:rPr>
            </w:pPr>
            <w:r w:rsidRPr="000615AB">
              <w:rPr>
                <w:snapToGrid w:val="0"/>
                <w:sz w:val="18"/>
                <w:szCs w:val="18"/>
              </w:rPr>
              <w:t xml:space="preserve">11.394 </w:t>
            </w:r>
          </w:p>
        </w:tc>
      </w:tr>
      <w:tr w:rsidR="00383888" w:rsidRPr="000615AB" w:rsidTr="00B47699">
        <w:tc>
          <w:tcPr>
            <w:tcW w:w="3055" w:type="dxa"/>
          </w:tcPr>
          <w:p w:rsidR="00383888" w:rsidRPr="000615AB" w:rsidRDefault="00383888" w:rsidP="00B47699">
            <w:pPr>
              <w:rPr>
                <w:snapToGrid w:val="0"/>
                <w:sz w:val="18"/>
                <w:szCs w:val="18"/>
              </w:rPr>
            </w:pPr>
            <w:r w:rsidRPr="000615AB">
              <w:rPr>
                <w:snapToGrid w:val="0"/>
                <w:sz w:val="18"/>
                <w:szCs w:val="18"/>
              </w:rPr>
              <w:t>Bulgaria</w:t>
            </w:r>
          </w:p>
        </w:tc>
        <w:tc>
          <w:tcPr>
            <w:tcW w:w="1125" w:type="dxa"/>
          </w:tcPr>
          <w:p w:rsidR="00383888" w:rsidRPr="000615AB" w:rsidRDefault="00383888" w:rsidP="00B47699">
            <w:pPr>
              <w:jc w:val="center"/>
              <w:rPr>
                <w:i/>
                <w:snapToGrid w:val="0"/>
                <w:sz w:val="18"/>
                <w:szCs w:val="18"/>
              </w:rPr>
            </w:pPr>
            <w:r w:rsidRPr="000615AB">
              <w:rPr>
                <w:snapToGrid w:val="0"/>
                <w:sz w:val="18"/>
                <w:szCs w:val="18"/>
              </w:rPr>
              <w:t>VI</w:t>
            </w:r>
            <w:r w:rsidRPr="000615AB">
              <w:rPr>
                <w:i/>
                <w:snapToGrid w:val="0"/>
                <w:sz w:val="18"/>
                <w:szCs w:val="18"/>
              </w:rPr>
              <w:t>bis</w:t>
            </w:r>
          </w:p>
        </w:tc>
        <w:tc>
          <w:tcPr>
            <w:tcW w:w="1210" w:type="dxa"/>
          </w:tcPr>
          <w:p w:rsidR="00383888" w:rsidRPr="000615AB" w:rsidRDefault="00383888" w:rsidP="00B47699">
            <w:pPr>
              <w:jc w:val="right"/>
              <w:rPr>
                <w:snapToGrid w:val="0"/>
                <w:sz w:val="18"/>
                <w:szCs w:val="18"/>
              </w:rPr>
            </w:pPr>
            <w:r w:rsidRPr="000615AB">
              <w:rPr>
                <w:snapToGrid w:val="0"/>
                <w:sz w:val="18"/>
                <w:szCs w:val="18"/>
              </w:rPr>
              <w:t>2</w:t>
            </w:r>
          </w:p>
        </w:tc>
        <w:tc>
          <w:tcPr>
            <w:tcW w:w="1320" w:type="dxa"/>
          </w:tcPr>
          <w:p w:rsidR="00383888" w:rsidRPr="000615AB" w:rsidRDefault="00383888" w:rsidP="00B47699">
            <w:pPr>
              <w:jc w:val="right"/>
              <w:rPr>
                <w:snapToGrid w:val="0"/>
                <w:sz w:val="18"/>
                <w:szCs w:val="18"/>
              </w:rPr>
            </w:pPr>
            <w:r w:rsidRPr="000615AB">
              <w:rPr>
                <w:snapToGrid w:val="0"/>
                <w:sz w:val="18"/>
                <w:szCs w:val="18"/>
              </w:rPr>
              <w:t xml:space="preserve">91.158 </w:t>
            </w:r>
          </w:p>
        </w:tc>
        <w:tc>
          <w:tcPr>
            <w:tcW w:w="1430" w:type="dxa"/>
          </w:tcPr>
          <w:p w:rsidR="00383888" w:rsidRPr="000615AB" w:rsidRDefault="00383888" w:rsidP="00B47699">
            <w:pPr>
              <w:jc w:val="right"/>
              <w:rPr>
                <w:snapToGrid w:val="0"/>
                <w:sz w:val="18"/>
                <w:szCs w:val="18"/>
              </w:rPr>
            </w:pPr>
            <w:r w:rsidRPr="000615AB">
              <w:rPr>
                <w:snapToGrid w:val="0"/>
                <w:sz w:val="18"/>
                <w:szCs w:val="18"/>
              </w:rPr>
              <w:t xml:space="preserve">91.158 </w:t>
            </w:r>
          </w:p>
        </w:tc>
        <w:tc>
          <w:tcPr>
            <w:tcW w:w="1388" w:type="dxa"/>
          </w:tcPr>
          <w:p w:rsidR="00383888" w:rsidRPr="000615AB" w:rsidRDefault="00383888" w:rsidP="00B47699">
            <w:pPr>
              <w:jc w:val="right"/>
              <w:rPr>
                <w:snapToGrid w:val="0"/>
                <w:sz w:val="18"/>
                <w:szCs w:val="18"/>
              </w:rPr>
            </w:pPr>
            <w:r w:rsidRPr="000615AB">
              <w:rPr>
                <w:snapToGrid w:val="0"/>
                <w:sz w:val="18"/>
                <w:szCs w:val="18"/>
              </w:rPr>
              <w:t xml:space="preserve">182.316 </w:t>
            </w:r>
          </w:p>
        </w:tc>
      </w:tr>
      <w:tr w:rsidR="00383888" w:rsidRPr="000615AB" w:rsidTr="00B47699">
        <w:tc>
          <w:tcPr>
            <w:tcW w:w="3055" w:type="dxa"/>
            <w:shd w:val="pct15" w:color="auto" w:fill="FFFFFF"/>
          </w:tcPr>
          <w:p w:rsidR="00383888" w:rsidRPr="000615AB" w:rsidRDefault="00383888" w:rsidP="00B47699">
            <w:pPr>
              <w:rPr>
                <w:snapToGrid w:val="0"/>
                <w:sz w:val="18"/>
                <w:szCs w:val="18"/>
              </w:rPr>
            </w:pPr>
            <w:r w:rsidRPr="000615AB">
              <w:rPr>
                <w:snapToGrid w:val="0"/>
                <w:sz w:val="18"/>
                <w:szCs w:val="18"/>
              </w:rPr>
              <w:t>Burkina Faso</w:t>
            </w:r>
          </w:p>
        </w:tc>
        <w:tc>
          <w:tcPr>
            <w:tcW w:w="1125" w:type="dxa"/>
            <w:shd w:val="pct15" w:color="auto" w:fill="FFFFFF"/>
          </w:tcPr>
          <w:p w:rsidR="00383888" w:rsidRPr="000615AB" w:rsidRDefault="00383888" w:rsidP="00B47699">
            <w:pPr>
              <w:jc w:val="center"/>
              <w:rPr>
                <w:i/>
                <w:snapToGrid w:val="0"/>
                <w:sz w:val="18"/>
                <w:szCs w:val="18"/>
              </w:rPr>
            </w:pPr>
            <w:r w:rsidRPr="000615AB">
              <w:rPr>
                <w:snapToGrid w:val="0"/>
                <w:sz w:val="18"/>
                <w:szCs w:val="18"/>
              </w:rPr>
              <w:t>S</w:t>
            </w:r>
            <w:r w:rsidRPr="000615AB">
              <w:rPr>
                <w:i/>
                <w:snapToGrid w:val="0"/>
                <w:sz w:val="18"/>
                <w:szCs w:val="18"/>
              </w:rPr>
              <w:t>ter</w:t>
            </w:r>
          </w:p>
        </w:tc>
        <w:tc>
          <w:tcPr>
            <w:tcW w:w="1210" w:type="dxa"/>
            <w:shd w:val="pct15" w:color="auto" w:fill="FFFFFF"/>
          </w:tcPr>
          <w:p w:rsidR="00383888" w:rsidRPr="000615AB" w:rsidRDefault="00383888" w:rsidP="00B47699">
            <w:pPr>
              <w:jc w:val="right"/>
              <w:rPr>
                <w:snapToGrid w:val="0"/>
                <w:sz w:val="18"/>
                <w:szCs w:val="18"/>
              </w:rPr>
            </w:pPr>
            <w:r w:rsidRPr="000615AB">
              <w:rPr>
                <w:snapToGrid w:val="0"/>
                <w:sz w:val="18"/>
                <w:szCs w:val="18"/>
              </w:rPr>
              <w:t>0,03125</w:t>
            </w:r>
          </w:p>
        </w:tc>
        <w:tc>
          <w:tcPr>
            <w:tcW w:w="1320" w:type="dxa"/>
            <w:shd w:val="pct15" w:color="auto" w:fill="FFFFFF"/>
          </w:tcPr>
          <w:p w:rsidR="00383888" w:rsidRPr="000615AB" w:rsidRDefault="00383888" w:rsidP="00B47699">
            <w:pPr>
              <w:jc w:val="right"/>
              <w:rPr>
                <w:snapToGrid w:val="0"/>
                <w:sz w:val="18"/>
                <w:szCs w:val="18"/>
              </w:rPr>
            </w:pPr>
            <w:r w:rsidRPr="000615AB">
              <w:rPr>
                <w:snapToGrid w:val="0"/>
                <w:sz w:val="18"/>
                <w:szCs w:val="18"/>
              </w:rPr>
              <w:t xml:space="preserve">1.424 </w:t>
            </w:r>
          </w:p>
        </w:tc>
        <w:tc>
          <w:tcPr>
            <w:tcW w:w="1430" w:type="dxa"/>
            <w:shd w:val="pct15" w:color="auto" w:fill="FFFFFF"/>
          </w:tcPr>
          <w:p w:rsidR="00383888" w:rsidRPr="000615AB" w:rsidRDefault="00383888" w:rsidP="00B47699">
            <w:pPr>
              <w:jc w:val="right"/>
              <w:rPr>
                <w:snapToGrid w:val="0"/>
                <w:sz w:val="18"/>
                <w:szCs w:val="18"/>
              </w:rPr>
            </w:pPr>
            <w:r w:rsidRPr="000615AB">
              <w:rPr>
                <w:snapToGrid w:val="0"/>
                <w:sz w:val="18"/>
                <w:szCs w:val="18"/>
              </w:rPr>
              <w:t xml:space="preserve">1.424 </w:t>
            </w:r>
          </w:p>
        </w:tc>
        <w:tc>
          <w:tcPr>
            <w:tcW w:w="1388" w:type="dxa"/>
            <w:shd w:val="pct15" w:color="auto" w:fill="FFFFFF"/>
          </w:tcPr>
          <w:p w:rsidR="00383888" w:rsidRPr="000615AB" w:rsidRDefault="00383888" w:rsidP="00B47699">
            <w:pPr>
              <w:jc w:val="right"/>
              <w:rPr>
                <w:snapToGrid w:val="0"/>
                <w:sz w:val="18"/>
                <w:szCs w:val="18"/>
              </w:rPr>
            </w:pPr>
            <w:r w:rsidRPr="000615AB">
              <w:rPr>
                <w:snapToGrid w:val="0"/>
                <w:sz w:val="18"/>
                <w:szCs w:val="18"/>
              </w:rPr>
              <w:t xml:space="preserve">2.848 </w:t>
            </w:r>
          </w:p>
        </w:tc>
      </w:tr>
      <w:tr w:rsidR="00383888" w:rsidRPr="000615AB" w:rsidTr="00B47699">
        <w:tc>
          <w:tcPr>
            <w:tcW w:w="3055" w:type="dxa"/>
          </w:tcPr>
          <w:p w:rsidR="00383888" w:rsidRPr="000615AB" w:rsidRDefault="00383888" w:rsidP="00B47699">
            <w:pPr>
              <w:rPr>
                <w:snapToGrid w:val="0"/>
                <w:sz w:val="18"/>
                <w:szCs w:val="18"/>
              </w:rPr>
            </w:pPr>
            <w:r w:rsidRPr="000615AB">
              <w:rPr>
                <w:snapToGrid w:val="0"/>
                <w:sz w:val="18"/>
                <w:szCs w:val="18"/>
              </w:rPr>
              <w:t>Burundi</w:t>
            </w:r>
          </w:p>
        </w:tc>
        <w:tc>
          <w:tcPr>
            <w:tcW w:w="1125" w:type="dxa"/>
          </w:tcPr>
          <w:p w:rsidR="00383888" w:rsidRPr="000615AB" w:rsidRDefault="00383888" w:rsidP="00B47699">
            <w:pPr>
              <w:jc w:val="center"/>
              <w:rPr>
                <w:i/>
                <w:snapToGrid w:val="0"/>
                <w:sz w:val="18"/>
                <w:szCs w:val="18"/>
              </w:rPr>
            </w:pPr>
            <w:r w:rsidRPr="000615AB">
              <w:rPr>
                <w:snapToGrid w:val="0"/>
                <w:sz w:val="18"/>
                <w:szCs w:val="18"/>
              </w:rPr>
              <w:t>S</w:t>
            </w:r>
            <w:r w:rsidRPr="000615AB">
              <w:rPr>
                <w:i/>
                <w:snapToGrid w:val="0"/>
                <w:sz w:val="18"/>
                <w:szCs w:val="18"/>
              </w:rPr>
              <w:t>ter</w:t>
            </w:r>
          </w:p>
        </w:tc>
        <w:tc>
          <w:tcPr>
            <w:tcW w:w="1210" w:type="dxa"/>
          </w:tcPr>
          <w:p w:rsidR="00383888" w:rsidRPr="000615AB" w:rsidRDefault="00383888" w:rsidP="00B47699">
            <w:pPr>
              <w:jc w:val="right"/>
              <w:rPr>
                <w:snapToGrid w:val="0"/>
                <w:sz w:val="18"/>
                <w:szCs w:val="18"/>
              </w:rPr>
            </w:pPr>
            <w:r w:rsidRPr="000615AB">
              <w:rPr>
                <w:snapToGrid w:val="0"/>
                <w:sz w:val="18"/>
                <w:szCs w:val="18"/>
              </w:rPr>
              <w:t>0,03125</w:t>
            </w:r>
          </w:p>
        </w:tc>
        <w:tc>
          <w:tcPr>
            <w:tcW w:w="1320" w:type="dxa"/>
          </w:tcPr>
          <w:p w:rsidR="00383888" w:rsidRPr="000615AB" w:rsidRDefault="00383888" w:rsidP="00B47699">
            <w:pPr>
              <w:jc w:val="right"/>
              <w:rPr>
                <w:snapToGrid w:val="0"/>
                <w:sz w:val="18"/>
                <w:szCs w:val="18"/>
              </w:rPr>
            </w:pPr>
            <w:r w:rsidRPr="000615AB">
              <w:rPr>
                <w:snapToGrid w:val="0"/>
                <w:sz w:val="18"/>
                <w:szCs w:val="18"/>
              </w:rPr>
              <w:t xml:space="preserve">1.424 </w:t>
            </w:r>
          </w:p>
        </w:tc>
        <w:tc>
          <w:tcPr>
            <w:tcW w:w="1430" w:type="dxa"/>
          </w:tcPr>
          <w:p w:rsidR="00383888" w:rsidRPr="000615AB" w:rsidRDefault="00383888" w:rsidP="00B47699">
            <w:pPr>
              <w:jc w:val="right"/>
              <w:rPr>
                <w:snapToGrid w:val="0"/>
                <w:sz w:val="18"/>
                <w:szCs w:val="18"/>
              </w:rPr>
            </w:pPr>
            <w:r w:rsidRPr="000615AB">
              <w:rPr>
                <w:snapToGrid w:val="0"/>
                <w:sz w:val="18"/>
                <w:szCs w:val="18"/>
              </w:rPr>
              <w:t xml:space="preserve">1.424 </w:t>
            </w:r>
          </w:p>
        </w:tc>
        <w:tc>
          <w:tcPr>
            <w:tcW w:w="1388" w:type="dxa"/>
          </w:tcPr>
          <w:p w:rsidR="00383888" w:rsidRPr="000615AB" w:rsidRDefault="00383888" w:rsidP="00B47699">
            <w:pPr>
              <w:jc w:val="right"/>
              <w:rPr>
                <w:snapToGrid w:val="0"/>
                <w:sz w:val="18"/>
                <w:szCs w:val="18"/>
              </w:rPr>
            </w:pPr>
            <w:r w:rsidRPr="000615AB">
              <w:rPr>
                <w:snapToGrid w:val="0"/>
                <w:sz w:val="18"/>
                <w:szCs w:val="18"/>
              </w:rPr>
              <w:t xml:space="preserve">2.848 </w:t>
            </w:r>
          </w:p>
        </w:tc>
      </w:tr>
      <w:tr w:rsidR="00383888" w:rsidRPr="000615AB" w:rsidTr="00B47699">
        <w:tc>
          <w:tcPr>
            <w:tcW w:w="3055" w:type="dxa"/>
            <w:shd w:val="pct15" w:color="auto" w:fill="auto"/>
          </w:tcPr>
          <w:p w:rsidR="00383888" w:rsidRPr="000615AB" w:rsidRDefault="00383888" w:rsidP="00B47699">
            <w:pPr>
              <w:rPr>
                <w:snapToGrid w:val="0"/>
                <w:sz w:val="18"/>
                <w:szCs w:val="18"/>
              </w:rPr>
            </w:pPr>
            <w:r w:rsidRPr="000615AB">
              <w:rPr>
                <w:b/>
                <w:snapToGrid w:val="0"/>
                <w:sz w:val="18"/>
                <w:szCs w:val="18"/>
              </w:rPr>
              <w:t>C</w:t>
            </w:r>
            <w:r w:rsidRPr="000615AB">
              <w:rPr>
                <w:snapToGrid w:val="0"/>
                <w:sz w:val="18"/>
                <w:szCs w:val="18"/>
              </w:rPr>
              <w:t>abo Verde</w:t>
            </w:r>
          </w:p>
        </w:tc>
        <w:tc>
          <w:tcPr>
            <w:tcW w:w="1125" w:type="dxa"/>
            <w:shd w:val="pct15" w:color="auto" w:fill="auto"/>
          </w:tcPr>
          <w:p w:rsidR="00383888" w:rsidRPr="000615AB" w:rsidRDefault="00383888" w:rsidP="00B47699">
            <w:pPr>
              <w:jc w:val="center"/>
              <w:rPr>
                <w:i/>
                <w:snapToGrid w:val="0"/>
                <w:sz w:val="18"/>
                <w:szCs w:val="18"/>
              </w:rPr>
            </w:pPr>
            <w:r w:rsidRPr="000615AB">
              <w:rPr>
                <w:snapToGrid w:val="0"/>
                <w:sz w:val="18"/>
                <w:szCs w:val="18"/>
              </w:rPr>
              <w:t>S</w:t>
            </w:r>
            <w:r w:rsidRPr="000615AB">
              <w:rPr>
                <w:i/>
                <w:snapToGrid w:val="0"/>
                <w:sz w:val="18"/>
                <w:szCs w:val="18"/>
              </w:rPr>
              <w:t>bis</w:t>
            </w:r>
          </w:p>
        </w:tc>
        <w:tc>
          <w:tcPr>
            <w:tcW w:w="1210" w:type="dxa"/>
            <w:shd w:val="pct15" w:color="auto" w:fill="auto"/>
          </w:tcPr>
          <w:p w:rsidR="00383888" w:rsidRPr="000615AB" w:rsidRDefault="00383888" w:rsidP="00B47699">
            <w:pPr>
              <w:jc w:val="right"/>
              <w:rPr>
                <w:snapToGrid w:val="0"/>
                <w:sz w:val="18"/>
                <w:szCs w:val="18"/>
              </w:rPr>
            </w:pPr>
            <w:r w:rsidRPr="000615AB">
              <w:rPr>
                <w:snapToGrid w:val="0"/>
                <w:sz w:val="18"/>
                <w:szCs w:val="18"/>
              </w:rPr>
              <w:t>0,0625</w:t>
            </w:r>
          </w:p>
        </w:tc>
        <w:tc>
          <w:tcPr>
            <w:tcW w:w="1320" w:type="dxa"/>
            <w:shd w:val="pct15" w:color="auto" w:fill="auto"/>
          </w:tcPr>
          <w:p w:rsidR="00383888" w:rsidRPr="000615AB" w:rsidRDefault="00383888" w:rsidP="00B47699">
            <w:pPr>
              <w:jc w:val="right"/>
              <w:rPr>
                <w:snapToGrid w:val="0"/>
                <w:sz w:val="18"/>
                <w:szCs w:val="18"/>
              </w:rPr>
            </w:pPr>
            <w:r w:rsidRPr="000615AB">
              <w:rPr>
                <w:snapToGrid w:val="0"/>
                <w:sz w:val="18"/>
                <w:szCs w:val="18"/>
              </w:rPr>
              <w:t>2.849</w:t>
            </w:r>
          </w:p>
        </w:tc>
        <w:tc>
          <w:tcPr>
            <w:tcW w:w="1430" w:type="dxa"/>
            <w:shd w:val="pct15" w:color="auto" w:fill="auto"/>
          </w:tcPr>
          <w:p w:rsidR="00383888" w:rsidRPr="000615AB" w:rsidRDefault="00383888" w:rsidP="00B47699">
            <w:pPr>
              <w:jc w:val="right"/>
              <w:rPr>
                <w:snapToGrid w:val="0"/>
                <w:sz w:val="18"/>
                <w:szCs w:val="18"/>
              </w:rPr>
            </w:pPr>
            <w:r w:rsidRPr="000615AB">
              <w:rPr>
                <w:snapToGrid w:val="0"/>
                <w:sz w:val="18"/>
                <w:szCs w:val="18"/>
              </w:rPr>
              <w:t xml:space="preserve">2.849 </w:t>
            </w:r>
          </w:p>
        </w:tc>
        <w:tc>
          <w:tcPr>
            <w:tcW w:w="1388" w:type="dxa"/>
            <w:shd w:val="pct15" w:color="auto" w:fill="auto"/>
          </w:tcPr>
          <w:p w:rsidR="00383888" w:rsidRPr="000615AB" w:rsidRDefault="00383888" w:rsidP="00B47699">
            <w:pPr>
              <w:jc w:val="right"/>
              <w:rPr>
                <w:snapToGrid w:val="0"/>
                <w:sz w:val="18"/>
                <w:szCs w:val="18"/>
              </w:rPr>
            </w:pPr>
            <w:r w:rsidRPr="000615AB">
              <w:rPr>
                <w:snapToGrid w:val="0"/>
                <w:sz w:val="18"/>
                <w:szCs w:val="18"/>
              </w:rPr>
              <w:t>5.698</w:t>
            </w:r>
          </w:p>
        </w:tc>
      </w:tr>
      <w:tr w:rsidR="00383888" w:rsidRPr="000615AB" w:rsidTr="00B47699">
        <w:tc>
          <w:tcPr>
            <w:tcW w:w="3055" w:type="dxa"/>
            <w:shd w:val="clear" w:color="auto" w:fill="FFFFFF"/>
          </w:tcPr>
          <w:p w:rsidR="00383888" w:rsidRPr="000615AB" w:rsidRDefault="00383888" w:rsidP="00B47699">
            <w:pPr>
              <w:rPr>
                <w:snapToGrid w:val="0"/>
                <w:sz w:val="18"/>
                <w:szCs w:val="18"/>
              </w:rPr>
            </w:pPr>
            <w:r w:rsidRPr="000615AB">
              <w:rPr>
                <w:snapToGrid w:val="0"/>
                <w:sz w:val="18"/>
                <w:szCs w:val="18"/>
              </w:rPr>
              <w:t xml:space="preserve">Camboya </w:t>
            </w:r>
          </w:p>
        </w:tc>
        <w:tc>
          <w:tcPr>
            <w:tcW w:w="1125" w:type="dxa"/>
            <w:shd w:val="clear" w:color="auto" w:fill="FFFFFF"/>
          </w:tcPr>
          <w:p w:rsidR="00383888" w:rsidRPr="000615AB" w:rsidRDefault="00383888" w:rsidP="00B47699">
            <w:pPr>
              <w:jc w:val="center"/>
              <w:rPr>
                <w:i/>
                <w:snapToGrid w:val="0"/>
                <w:sz w:val="18"/>
                <w:szCs w:val="18"/>
              </w:rPr>
            </w:pPr>
            <w:r w:rsidRPr="000615AB">
              <w:rPr>
                <w:snapToGrid w:val="0"/>
                <w:sz w:val="18"/>
                <w:szCs w:val="18"/>
              </w:rPr>
              <w:t>S</w:t>
            </w:r>
            <w:r w:rsidRPr="000615AB">
              <w:rPr>
                <w:i/>
                <w:snapToGrid w:val="0"/>
                <w:sz w:val="18"/>
                <w:szCs w:val="18"/>
              </w:rPr>
              <w:t>ter</w:t>
            </w:r>
          </w:p>
        </w:tc>
        <w:tc>
          <w:tcPr>
            <w:tcW w:w="1210" w:type="dxa"/>
            <w:shd w:val="clear" w:color="auto" w:fill="FFFFFF"/>
          </w:tcPr>
          <w:p w:rsidR="00383888" w:rsidRPr="000615AB" w:rsidRDefault="00383888" w:rsidP="00B47699">
            <w:pPr>
              <w:jc w:val="right"/>
              <w:rPr>
                <w:snapToGrid w:val="0"/>
                <w:sz w:val="18"/>
                <w:szCs w:val="18"/>
              </w:rPr>
            </w:pPr>
            <w:r w:rsidRPr="000615AB">
              <w:rPr>
                <w:snapToGrid w:val="0"/>
                <w:sz w:val="18"/>
                <w:szCs w:val="18"/>
              </w:rPr>
              <w:t>0,03125</w:t>
            </w:r>
          </w:p>
        </w:tc>
        <w:tc>
          <w:tcPr>
            <w:tcW w:w="1320" w:type="dxa"/>
            <w:shd w:val="clear" w:color="auto" w:fill="FFFFFF"/>
          </w:tcPr>
          <w:p w:rsidR="00383888" w:rsidRPr="000615AB" w:rsidRDefault="00383888" w:rsidP="00B47699">
            <w:pPr>
              <w:jc w:val="right"/>
              <w:rPr>
                <w:snapToGrid w:val="0"/>
                <w:sz w:val="18"/>
                <w:szCs w:val="18"/>
              </w:rPr>
            </w:pPr>
            <w:r w:rsidRPr="000615AB">
              <w:rPr>
                <w:snapToGrid w:val="0"/>
                <w:sz w:val="18"/>
                <w:szCs w:val="18"/>
              </w:rPr>
              <w:t xml:space="preserve">1.424 </w:t>
            </w:r>
          </w:p>
        </w:tc>
        <w:tc>
          <w:tcPr>
            <w:tcW w:w="1430" w:type="dxa"/>
            <w:shd w:val="clear" w:color="auto" w:fill="FFFFFF"/>
          </w:tcPr>
          <w:p w:rsidR="00383888" w:rsidRPr="000615AB" w:rsidRDefault="00383888" w:rsidP="00B47699">
            <w:pPr>
              <w:jc w:val="right"/>
              <w:rPr>
                <w:snapToGrid w:val="0"/>
                <w:sz w:val="18"/>
                <w:szCs w:val="18"/>
              </w:rPr>
            </w:pPr>
            <w:r w:rsidRPr="000615AB">
              <w:rPr>
                <w:snapToGrid w:val="0"/>
                <w:sz w:val="18"/>
                <w:szCs w:val="18"/>
              </w:rPr>
              <w:t xml:space="preserve">1.424 </w:t>
            </w:r>
          </w:p>
        </w:tc>
        <w:tc>
          <w:tcPr>
            <w:tcW w:w="1388" w:type="dxa"/>
            <w:shd w:val="clear" w:color="auto" w:fill="FFFFFF"/>
          </w:tcPr>
          <w:p w:rsidR="00383888" w:rsidRPr="000615AB" w:rsidRDefault="00383888" w:rsidP="00B47699">
            <w:pPr>
              <w:jc w:val="right"/>
              <w:rPr>
                <w:snapToGrid w:val="0"/>
                <w:sz w:val="18"/>
                <w:szCs w:val="18"/>
              </w:rPr>
            </w:pPr>
            <w:r w:rsidRPr="000615AB">
              <w:rPr>
                <w:snapToGrid w:val="0"/>
                <w:sz w:val="18"/>
                <w:szCs w:val="18"/>
              </w:rPr>
              <w:t xml:space="preserve">2.848 </w:t>
            </w:r>
          </w:p>
        </w:tc>
      </w:tr>
      <w:tr w:rsidR="00383888" w:rsidRPr="000615AB" w:rsidTr="00B47699">
        <w:tc>
          <w:tcPr>
            <w:tcW w:w="3055" w:type="dxa"/>
            <w:shd w:val="pct15" w:color="auto" w:fill="auto"/>
          </w:tcPr>
          <w:p w:rsidR="00383888" w:rsidRPr="000615AB" w:rsidRDefault="00383888" w:rsidP="00B47699">
            <w:pPr>
              <w:rPr>
                <w:snapToGrid w:val="0"/>
                <w:sz w:val="18"/>
                <w:szCs w:val="18"/>
              </w:rPr>
            </w:pPr>
            <w:r w:rsidRPr="000615AB">
              <w:rPr>
                <w:snapToGrid w:val="0"/>
                <w:sz w:val="18"/>
                <w:szCs w:val="18"/>
              </w:rPr>
              <w:t>Camerún</w:t>
            </w:r>
          </w:p>
        </w:tc>
        <w:tc>
          <w:tcPr>
            <w:tcW w:w="1125" w:type="dxa"/>
            <w:shd w:val="pct15" w:color="auto" w:fill="auto"/>
          </w:tcPr>
          <w:p w:rsidR="00383888" w:rsidRPr="000615AB" w:rsidRDefault="00383888" w:rsidP="00B47699">
            <w:pPr>
              <w:jc w:val="center"/>
              <w:rPr>
                <w:i/>
                <w:snapToGrid w:val="0"/>
                <w:sz w:val="18"/>
                <w:szCs w:val="18"/>
              </w:rPr>
            </w:pPr>
            <w:r w:rsidRPr="000615AB">
              <w:rPr>
                <w:snapToGrid w:val="0"/>
                <w:sz w:val="18"/>
                <w:szCs w:val="18"/>
              </w:rPr>
              <w:t>S</w:t>
            </w:r>
            <w:r w:rsidRPr="000615AB">
              <w:rPr>
                <w:i/>
                <w:snapToGrid w:val="0"/>
                <w:sz w:val="18"/>
                <w:szCs w:val="18"/>
              </w:rPr>
              <w:t>bis</w:t>
            </w:r>
          </w:p>
        </w:tc>
        <w:tc>
          <w:tcPr>
            <w:tcW w:w="1210" w:type="dxa"/>
            <w:shd w:val="pct15" w:color="auto" w:fill="auto"/>
          </w:tcPr>
          <w:p w:rsidR="00383888" w:rsidRPr="000615AB" w:rsidRDefault="00383888" w:rsidP="00B47699">
            <w:pPr>
              <w:jc w:val="right"/>
              <w:rPr>
                <w:snapToGrid w:val="0"/>
                <w:sz w:val="18"/>
                <w:szCs w:val="18"/>
              </w:rPr>
            </w:pPr>
            <w:r w:rsidRPr="000615AB">
              <w:rPr>
                <w:snapToGrid w:val="0"/>
                <w:sz w:val="18"/>
                <w:szCs w:val="18"/>
              </w:rPr>
              <w:t>0,0625</w:t>
            </w:r>
          </w:p>
        </w:tc>
        <w:tc>
          <w:tcPr>
            <w:tcW w:w="1320" w:type="dxa"/>
            <w:shd w:val="pct15" w:color="auto" w:fill="auto"/>
          </w:tcPr>
          <w:p w:rsidR="00383888" w:rsidRPr="000615AB" w:rsidRDefault="00383888" w:rsidP="00B47699">
            <w:pPr>
              <w:jc w:val="right"/>
              <w:rPr>
                <w:snapToGrid w:val="0"/>
                <w:sz w:val="18"/>
                <w:szCs w:val="18"/>
              </w:rPr>
            </w:pPr>
            <w:r w:rsidRPr="000615AB">
              <w:rPr>
                <w:snapToGrid w:val="0"/>
                <w:sz w:val="18"/>
                <w:szCs w:val="18"/>
              </w:rPr>
              <w:t xml:space="preserve">2.849 </w:t>
            </w:r>
          </w:p>
        </w:tc>
        <w:tc>
          <w:tcPr>
            <w:tcW w:w="1430" w:type="dxa"/>
            <w:shd w:val="pct15" w:color="auto" w:fill="auto"/>
          </w:tcPr>
          <w:p w:rsidR="00383888" w:rsidRPr="000615AB" w:rsidRDefault="00383888" w:rsidP="00B47699">
            <w:pPr>
              <w:jc w:val="right"/>
              <w:rPr>
                <w:snapToGrid w:val="0"/>
                <w:sz w:val="18"/>
                <w:szCs w:val="18"/>
              </w:rPr>
            </w:pPr>
            <w:r w:rsidRPr="000615AB">
              <w:rPr>
                <w:snapToGrid w:val="0"/>
                <w:sz w:val="18"/>
                <w:szCs w:val="18"/>
              </w:rPr>
              <w:t xml:space="preserve">2.849 </w:t>
            </w:r>
          </w:p>
        </w:tc>
        <w:tc>
          <w:tcPr>
            <w:tcW w:w="1388" w:type="dxa"/>
            <w:shd w:val="pct15" w:color="auto" w:fill="auto"/>
          </w:tcPr>
          <w:p w:rsidR="00383888" w:rsidRPr="000615AB" w:rsidRDefault="00383888" w:rsidP="00B47699">
            <w:pPr>
              <w:jc w:val="right"/>
              <w:rPr>
                <w:snapToGrid w:val="0"/>
                <w:sz w:val="18"/>
                <w:szCs w:val="18"/>
              </w:rPr>
            </w:pPr>
            <w:r w:rsidRPr="000615AB">
              <w:rPr>
                <w:snapToGrid w:val="0"/>
                <w:sz w:val="18"/>
                <w:szCs w:val="18"/>
              </w:rPr>
              <w:t xml:space="preserve">5.698 </w:t>
            </w:r>
          </w:p>
        </w:tc>
      </w:tr>
      <w:tr w:rsidR="00383888" w:rsidRPr="000615AB" w:rsidTr="00B47699">
        <w:tc>
          <w:tcPr>
            <w:tcW w:w="3055" w:type="dxa"/>
            <w:shd w:val="clear" w:color="auto" w:fill="FFFFFF"/>
          </w:tcPr>
          <w:p w:rsidR="00383888" w:rsidRPr="000615AB" w:rsidRDefault="00383888" w:rsidP="00B47699">
            <w:pPr>
              <w:rPr>
                <w:snapToGrid w:val="0"/>
                <w:sz w:val="18"/>
                <w:szCs w:val="18"/>
              </w:rPr>
            </w:pPr>
            <w:r w:rsidRPr="000615AB">
              <w:rPr>
                <w:snapToGrid w:val="0"/>
                <w:sz w:val="18"/>
                <w:szCs w:val="18"/>
              </w:rPr>
              <w:t>Canadá</w:t>
            </w:r>
          </w:p>
        </w:tc>
        <w:tc>
          <w:tcPr>
            <w:tcW w:w="1125" w:type="dxa"/>
            <w:shd w:val="clear" w:color="auto" w:fill="FFFFFF"/>
          </w:tcPr>
          <w:p w:rsidR="00383888" w:rsidRPr="000615AB" w:rsidRDefault="00383888" w:rsidP="00B47699">
            <w:pPr>
              <w:jc w:val="center"/>
              <w:rPr>
                <w:snapToGrid w:val="0"/>
                <w:sz w:val="18"/>
                <w:szCs w:val="18"/>
              </w:rPr>
            </w:pPr>
            <w:r w:rsidRPr="000615AB">
              <w:rPr>
                <w:snapToGrid w:val="0"/>
                <w:sz w:val="18"/>
                <w:szCs w:val="18"/>
              </w:rPr>
              <w:t>IV</w:t>
            </w:r>
          </w:p>
        </w:tc>
        <w:tc>
          <w:tcPr>
            <w:tcW w:w="1210" w:type="dxa"/>
            <w:shd w:val="clear" w:color="auto" w:fill="FFFFFF"/>
          </w:tcPr>
          <w:p w:rsidR="00383888" w:rsidRPr="000615AB" w:rsidRDefault="00383888" w:rsidP="00B47699">
            <w:pPr>
              <w:jc w:val="right"/>
              <w:rPr>
                <w:snapToGrid w:val="0"/>
                <w:sz w:val="18"/>
                <w:szCs w:val="18"/>
              </w:rPr>
            </w:pPr>
            <w:r w:rsidRPr="000615AB">
              <w:rPr>
                <w:snapToGrid w:val="0"/>
                <w:sz w:val="18"/>
                <w:szCs w:val="18"/>
              </w:rPr>
              <w:t>10</w:t>
            </w:r>
          </w:p>
        </w:tc>
        <w:tc>
          <w:tcPr>
            <w:tcW w:w="1320" w:type="dxa"/>
            <w:shd w:val="clear" w:color="auto" w:fill="FFFFFF"/>
          </w:tcPr>
          <w:p w:rsidR="00383888" w:rsidRPr="000615AB" w:rsidRDefault="00383888" w:rsidP="00B47699">
            <w:pPr>
              <w:jc w:val="right"/>
              <w:rPr>
                <w:snapToGrid w:val="0"/>
                <w:sz w:val="18"/>
                <w:szCs w:val="18"/>
              </w:rPr>
            </w:pPr>
            <w:r w:rsidRPr="000615AB">
              <w:rPr>
                <w:snapToGrid w:val="0"/>
                <w:sz w:val="18"/>
                <w:szCs w:val="18"/>
              </w:rPr>
              <w:t xml:space="preserve">455.790 </w:t>
            </w:r>
          </w:p>
        </w:tc>
        <w:tc>
          <w:tcPr>
            <w:tcW w:w="1430" w:type="dxa"/>
            <w:shd w:val="clear" w:color="auto" w:fill="FFFFFF"/>
          </w:tcPr>
          <w:p w:rsidR="00383888" w:rsidRPr="000615AB" w:rsidRDefault="00383888" w:rsidP="00B47699">
            <w:pPr>
              <w:jc w:val="right"/>
              <w:rPr>
                <w:snapToGrid w:val="0"/>
                <w:sz w:val="18"/>
                <w:szCs w:val="18"/>
              </w:rPr>
            </w:pPr>
            <w:r w:rsidRPr="000615AB">
              <w:rPr>
                <w:snapToGrid w:val="0"/>
                <w:sz w:val="18"/>
                <w:szCs w:val="18"/>
              </w:rPr>
              <w:t xml:space="preserve">455.790 </w:t>
            </w:r>
          </w:p>
        </w:tc>
        <w:tc>
          <w:tcPr>
            <w:tcW w:w="1388" w:type="dxa"/>
            <w:shd w:val="clear" w:color="auto" w:fill="FFFFFF"/>
          </w:tcPr>
          <w:p w:rsidR="00383888" w:rsidRPr="000615AB" w:rsidRDefault="00383888" w:rsidP="00B47699">
            <w:pPr>
              <w:jc w:val="right"/>
              <w:rPr>
                <w:snapToGrid w:val="0"/>
                <w:sz w:val="18"/>
                <w:szCs w:val="18"/>
              </w:rPr>
            </w:pPr>
            <w:r w:rsidRPr="000615AB">
              <w:rPr>
                <w:snapToGrid w:val="0"/>
                <w:sz w:val="18"/>
                <w:szCs w:val="18"/>
              </w:rPr>
              <w:t xml:space="preserve">911.580 </w:t>
            </w:r>
          </w:p>
        </w:tc>
      </w:tr>
      <w:tr w:rsidR="00383888" w:rsidRPr="000615AB" w:rsidTr="00B47699">
        <w:tc>
          <w:tcPr>
            <w:tcW w:w="3055" w:type="dxa"/>
            <w:shd w:val="pct15" w:color="auto" w:fill="auto"/>
          </w:tcPr>
          <w:p w:rsidR="00383888" w:rsidRPr="000615AB" w:rsidRDefault="00383888" w:rsidP="00B47699">
            <w:pPr>
              <w:rPr>
                <w:snapToGrid w:val="0"/>
                <w:sz w:val="18"/>
                <w:szCs w:val="18"/>
              </w:rPr>
            </w:pPr>
            <w:r w:rsidRPr="000615AB">
              <w:rPr>
                <w:snapToGrid w:val="0"/>
                <w:sz w:val="18"/>
                <w:szCs w:val="18"/>
              </w:rPr>
              <w:t>Chad</w:t>
            </w:r>
          </w:p>
        </w:tc>
        <w:tc>
          <w:tcPr>
            <w:tcW w:w="1125" w:type="dxa"/>
            <w:shd w:val="pct15" w:color="auto" w:fill="auto"/>
          </w:tcPr>
          <w:p w:rsidR="00383888" w:rsidRPr="000615AB" w:rsidRDefault="00383888" w:rsidP="00B47699">
            <w:pPr>
              <w:jc w:val="center"/>
              <w:rPr>
                <w:i/>
                <w:snapToGrid w:val="0"/>
                <w:sz w:val="18"/>
                <w:szCs w:val="18"/>
              </w:rPr>
            </w:pPr>
            <w:r w:rsidRPr="000615AB">
              <w:rPr>
                <w:snapToGrid w:val="0"/>
                <w:sz w:val="18"/>
                <w:szCs w:val="18"/>
              </w:rPr>
              <w:t>S</w:t>
            </w:r>
            <w:r w:rsidRPr="000615AB">
              <w:rPr>
                <w:i/>
                <w:snapToGrid w:val="0"/>
                <w:sz w:val="18"/>
                <w:szCs w:val="18"/>
              </w:rPr>
              <w:t>ter</w:t>
            </w:r>
          </w:p>
        </w:tc>
        <w:tc>
          <w:tcPr>
            <w:tcW w:w="1210" w:type="dxa"/>
            <w:shd w:val="pct15" w:color="auto" w:fill="auto"/>
          </w:tcPr>
          <w:p w:rsidR="00383888" w:rsidRPr="000615AB" w:rsidRDefault="00383888" w:rsidP="00B47699">
            <w:pPr>
              <w:jc w:val="right"/>
              <w:rPr>
                <w:snapToGrid w:val="0"/>
                <w:sz w:val="18"/>
                <w:szCs w:val="18"/>
              </w:rPr>
            </w:pPr>
            <w:r w:rsidRPr="000615AB">
              <w:rPr>
                <w:snapToGrid w:val="0"/>
                <w:sz w:val="18"/>
                <w:szCs w:val="18"/>
              </w:rPr>
              <w:t>0,03125</w:t>
            </w:r>
          </w:p>
        </w:tc>
        <w:tc>
          <w:tcPr>
            <w:tcW w:w="1320" w:type="dxa"/>
            <w:shd w:val="pct15" w:color="auto" w:fill="auto"/>
          </w:tcPr>
          <w:p w:rsidR="00383888" w:rsidRPr="000615AB" w:rsidRDefault="00383888" w:rsidP="00B47699">
            <w:pPr>
              <w:jc w:val="right"/>
              <w:rPr>
                <w:snapToGrid w:val="0"/>
                <w:sz w:val="18"/>
                <w:szCs w:val="18"/>
              </w:rPr>
            </w:pPr>
            <w:r w:rsidRPr="000615AB">
              <w:rPr>
                <w:snapToGrid w:val="0"/>
                <w:sz w:val="18"/>
                <w:szCs w:val="18"/>
              </w:rPr>
              <w:t xml:space="preserve">1.424 </w:t>
            </w:r>
          </w:p>
        </w:tc>
        <w:tc>
          <w:tcPr>
            <w:tcW w:w="1430" w:type="dxa"/>
            <w:shd w:val="pct15" w:color="auto" w:fill="auto"/>
          </w:tcPr>
          <w:p w:rsidR="00383888" w:rsidRPr="000615AB" w:rsidRDefault="00383888" w:rsidP="00B47699">
            <w:pPr>
              <w:jc w:val="right"/>
              <w:rPr>
                <w:snapToGrid w:val="0"/>
                <w:sz w:val="18"/>
                <w:szCs w:val="18"/>
              </w:rPr>
            </w:pPr>
            <w:r w:rsidRPr="000615AB">
              <w:rPr>
                <w:snapToGrid w:val="0"/>
                <w:sz w:val="18"/>
                <w:szCs w:val="18"/>
              </w:rPr>
              <w:t xml:space="preserve">1.424 </w:t>
            </w:r>
          </w:p>
        </w:tc>
        <w:tc>
          <w:tcPr>
            <w:tcW w:w="1388" w:type="dxa"/>
            <w:shd w:val="pct15" w:color="auto" w:fill="auto"/>
          </w:tcPr>
          <w:p w:rsidR="00383888" w:rsidRPr="000615AB" w:rsidRDefault="00383888" w:rsidP="00B47699">
            <w:pPr>
              <w:jc w:val="right"/>
              <w:rPr>
                <w:snapToGrid w:val="0"/>
                <w:sz w:val="18"/>
                <w:szCs w:val="18"/>
              </w:rPr>
            </w:pPr>
            <w:r w:rsidRPr="000615AB">
              <w:rPr>
                <w:snapToGrid w:val="0"/>
                <w:sz w:val="18"/>
                <w:szCs w:val="18"/>
              </w:rPr>
              <w:t xml:space="preserve">2.848 </w:t>
            </w:r>
          </w:p>
        </w:tc>
      </w:tr>
      <w:tr w:rsidR="00383888" w:rsidRPr="000615AB" w:rsidTr="00B47699">
        <w:tc>
          <w:tcPr>
            <w:tcW w:w="3055" w:type="dxa"/>
            <w:shd w:val="clear" w:color="auto" w:fill="FFFFFF"/>
          </w:tcPr>
          <w:p w:rsidR="00383888" w:rsidRPr="000615AB" w:rsidRDefault="00383888" w:rsidP="00B47699">
            <w:pPr>
              <w:rPr>
                <w:snapToGrid w:val="0"/>
                <w:sz w:val="18"/>
                <w:szCs w:val="18"/>
              </w:rPr>
            </w:pPr>
            <w:r w:rsidRPr="000615AB">
              <w:rPr>
                <w:snapToGrid w:val="0"/>
                <w:sz w:val="18"/>
                <w:szCs w:val="18"/>
              </w:rPr>
              <w:t>Chile</w:t>
            </w:r>
          </w:p>
        </w:tc>
        <w:tc>
          <w:tcPr>
            <w:tcW w:w="1125" w:type="dxa"/>
            <w:shd w:val="clear" w:color="auto" w:fill="FFFFFF"/>
          </w:tcPr>
          <w:p w:rsidR="00383888" w:rsidRPr="000615AB" w:rsidRDefault="00383888" w:rsidP="00B47699">
            <w:pPr>
              <w:jc w:val="center"/>
              <w:rPr>
                <w:snapToGrid w:val="0"/>
                <w:sz w:val="18"/>
                <w:szCs w:val="18"/>
              </w:rPr>
            </w:pPr>
            <w:r w:rsidRPr="000615AB">
              <w:rPr>
                <w:snapToGrid w:val="0"/>
                <w:sz w:val="18"/>
                <w:szCs w:val="18"/>
              </w:rPr>
              <w:t>IX</w:t>
            </w:r>
          </w:p>
        </w:tc>
        <w:tc>
          <w:tcPr>
            <w:tcW w:w="1210" w:type="dxa"/>
            <w:shd w:val="clear" w:color="auto" w:fill="FFFFFF"/>
          </w:tcPr>
          <w:p w:rsidR="00383888" w:rsidRPr="000615AB" w:rsidRDefault="00383888" w:rsidP="00B47699">
            <w:pPr>
              <w:jc w:val="right"/>
              <w:rPr>
                <w:snapToGrid w:val="0"/>
                <w:sz w:val="18"/>
                <w:szCs w:val="18"/>
              </w:rPr>
            </w:pPr>
            <w:r w:rsidRPr="000615AB">
              <w:rPr>
                <w:snapToGrid w:val="0"/>
                <w:sz w:val="18"/>
                <w:szCs w:val="18"/>
              </w:rPr>
              <w:t>0,25</w:t>
            </w:r>
          </w:p>
        </w:tc>
        <w:tc>
          <w:tcPr>
            <w:tcW w:w="1320" w:type="dxa"/>
            <w:shd w:val="clear" w:color="auto" w:fill="FFFFFF"/>
          </w:tcPr>
          <w:p w:rsidR="00383888" w:rsidRPr="000615AB" w:rsidRDefault="00383888" w:rsidP="00B47699">
            <w:pPr>
              <w:jc w:val="right"/>
              <w:rPr>
                <w:snapToGrid w:val="0"/>
                <w:sz w:val="18"/>
                <w:szCs w:val="18"/>
              </w:rPr>
            </w:pPr>
            <w:r w:rsidRPr="000615AB">
              <w:rPr>
                <w:snapToGrid w:val="0"/>
                <w:sz w:val="18"/>
                <w:szCs w:val="18"/>
              </w:rPr>
              <w:t xml:space="preserve">11.395 </w:t>
            </w:r>
          </w:p>
        </w:tc>
        <w:tc>
          <w:tcPr>
            <w:tcW w:w="1430" w:type="dxa"/>
            <w:shd w:val="clear" w:color="auto" w:fill="FFFFFF"/>
          </w:tcPr>
          <w:p w:rsidR="00383888" w:rsidRPr="000615AB" w:rsidRDefault="00383888" w:rsidP="00B47699">
            <w:pPr>
              <w:jc w:val="right"/>
              <w:rPr>
                <w:snapToGrid w:val="0"/>
                <w:sz w:val="18"/>
                <w:szCs w:val="18"/>
              </w:rPr>
            </w:pPr>
            <w:r w:rsidRPr="000615AB">
              <w:rPr>
                <w:snapToGrid w:val="0"/>
                <w:sz w:val="18"/>
                <w:szCs w:val="18"/>
              </w:rPr>
              <w:t xml:space="preserve">11.395 </w:t>
            </w:r>
          </w:p>
        </w:tc>
        <w:tc>
          <w:tcPr>
            <w:tcW w:w="1388" w:type="dxa"/>
            <w:shd w:val="clear" w:color="auto" w:fill="FFFFFF"/>
          </w:tcPr>
          <w:p w:rsidR="00383888" w:rsidRPr="000615AB" w:rsidRDefault="00383888" w:rsidP="00B47699">
            <w:pPr>
              <w:jc w:val="right"/>
              <w:rPr>
                <w:snapToGrid w:val="0"/>
                <w:sz w:val="18"/>
                <w:szCs w:val="18"/>
              </w:rPr>
            </w:pPr>
            <w:r w:rsidRPr="000615AB">
              <w:rPr>
                <w:snapToGrid w:val="0"/>
                <w:sz w:val="18"/>
                <w:szCs w:val="18"/>
              </w:rPr>
              <w:t xml:space="preserve">22.790 </w:t>
            </w:r>
          </w:p>
        </w:tc>
      </w:tr>
      <w:tr w:rsidR="00383888" w:rsidRPr="000615AB" w:rsidTr="00B47699">
        <w:tc>
          <w:tcPr>
            <w:tcW w:w="3055" w:type="dxa"/>
            <w:shd w:val="pct15" w:color="auto" w:fill="auto"/>
          </w:tcPr>
          <w:p w:rsidR="00383888" w:rsidRPr="000615AB" w:rsidRDefault="00383888" w:rsidP="00B47699">
            <w:pPr>
              <w:rPr>
                <w:snapToGrid w:val="0"/>
                <w:sz w:val="18"/>
                <w:szCs w:val="18"/>
              </w:rPr>
            </w:pPr>
            <w:r w:rsidRPr="000615AB">
              <w:rPr>
                <w:snapToGrid w:val="0"/>
                <w:sz w:val="18"/>
                <w:szCs w:val="18"/>
              </w:rPr>
              <w:t>China</w:t>
            </w:r>
          </w:p>
        </w:tc>
        <w:tc>
          <w:tcPr>
            <w:tcW w:w="1125" w:type="dxa"/>
            <w:shd w:val="pct15" w:color="auto" w:fill="auto"/>
          </w:tcPr>
          <w:p w:rsidR="00383888" w:rsidRPr="000615AB" w:rsidRDefault="00383888" w:rsidP="00B47699">
            <w:pPr>
              <w:jc w:val="center"/>
              <w:rPr>
                <w:i/>
                <w:snapToGrid w:val="0"/>
                <w:sz w:val="18"/>
                <w:szCs w:val="18"/>
              </w:rPr>
            </w:pPr>
            <w:r w:rsidRPr="000615AB">
              <w:rPr>
                <w:snapToGrid w:val="0"/>
                <w:sz w:val="18"/>
                <w:szCs w:val="18"/>
              </w:rPr>
              <w:t>IV</w:t>
            </w:r>
            <w:r w:rsidRPr="000615AB">
              <w:rPr>
                <w:i/>
                <w:snapToGrid w:val="0"/>
                <w:sz w:val="18"/>
                <w:szCs w:val="18"/>
              </w:rPr>
              <w:t>bis</w:t>
            </w:r>
          </w:p>
        </w:tc>
        <w:tc>
          <w:tcPr>
            <w:tcW w:w="1210" w:type="dxa"/>
            <w:shd w:val="pct15" w:color="auto" w:fill="auto"/>
          </w:tcPr>
          <w:p w:rsidR="00383888" w:rsidRPr="000615AB" w:rsidRDefault="00383888" w:rsidP="00B47699">
            <w:pPr>
              <w:jc w:val="right"/>
              <w:rPr>
                <w:snapToGrid w:val="0"/>
                <w:sz w:val="18"/>
                <w:szCs w:val="18"/>
              </w:rPr>
            </w:pPr>
            <w:r w:rsidRPr="000615AB">
              <w:rPr>
                <w:snapToGrid w:val="0"/>
                <w:sz w:val="18"/>
                <w:szCs w:val="18"/>
              </w:rPr>
              <w:t>7,5</w:t>
            </w:r>
          </w:p>
        </w:tc>
        <w:tc>
          <w:tcPr>
            <w:tcW w:w="1320" w:type="dxa"/>
            <w:shd w:val="pct15" w:color="auto" w:fill="auto"/>
          </w:tcPr>
          <w:p w:rsidR="00383888" w:rsidRPr="000615AB" w:rsidRDefault="00383888" w:rsidP="00B47699">
            <w:pPr>
              <w:jc w:val="right"/>
              <w:rPr>
                <w:snapToGrid w:val="0"/>
                <w:sz w:val="18"/>
                <w:szCs w:val="18"/>
              </w:rPr>
            </w:pPr>
            <w:r w:rsidRPr="000615AB">
              <w:rPr>
                <w:snapToGrid w:val="0"/>
                <w:sz w:val="18"/>
                <w:szCs w:val="18"/>
              </w:rPr>
              <w:t xml:space="preserve">341.842 </w:t>
            </w:r>
          </w:p>
        </w:tc>
        <w:tc>
          <w:tcPr>
            <w:tcW w:w="1430" w:type="dxa"/>
            <w:shd w:val="pct15" w:color="auto" w:fill="auto"/>
          </w:tcPr>
          <w:p w:rsidR="00383888" w:rsidRPr="000615AB" w:rsidRDefault="00383888" w:rsidP="00B47699">
            <w:pPr>
              <w:jc w:val="right"/>
              <w:rPr>
                <w:snapToGrid w:val="0"/>
                <w:sz w:val="18"/>
                <w:szCs w:val="18"/>
              </w:rPr>
            </w:pPr>
            <w:r w:rsidRPr="000615AB">
              <w:rPr>
                <w:snapToGrid w:val="0"/>
                <w:sz w:val="18"/>
                <w:szCs w:val="18"/>
              </w:rPr>
              <w:t xml:space="preserve">341.842 </w:t>
            </w:r>
          </w:p>
        </w:tc>
        <w:tc>
          <w:tcPr>
            <w:tcW w:w="1388" w:type="dxa"/>
            <w:shd w:val="pct15" w:color="auto" w:fill="auto"/>
          </w:tcPr>
          <w:p w:rsidR="00383888" w:rsidRPr="000615AB" w:rsidRDefault="00383888" w:rsidP="00B47699">
            <w:pPr>
              <w:jc w:val="right"/>
              <w:rPr>
                <w:snapToGrid w:val="0"/>
                <w:sz w:val="18"/>
                <w:szCs w:val="18"/>
              </w:rPr>
            </w:pPr>
            <w:r w:rsidRPr="000615AB">
              <w:rPr>
                <w:snapToGrid w:val="0"/>
                <w:sz w:val="18"/>
                <w:szCs w:val="18"/>
              </w:rPr>
              <w:t xml:space="preserve">683.684 </w:t>
            </w:r>
          </w:p>
        </w:tc>
      </w:tr>
      <w:tr w:rsidR="00383888" w:rsidRPr="000615AB" w:rsidTr="00B47699">
        <w:tc>
          <w:tcPr>
            <w:tcW w:w="3055" w:type="dxa"/>
          </w:tcPr>
          <w:p w:rsidR="00383888" w:rsidRPr="000615AB" w:rsidRDefault="00383888" w:rsidP="00B47699">
            <w:pPr>
              <w:rPr>
                <w:snapToGrid w:val="0"/>
                <w:sz w:val="18"/>
                <w:szCs w:val="18"/>
              </w:rPr>
            </w:pPr>
            <w:r w:rsidRPr="000615AB">
              <w:rPr>
                <w:snapToGrid w:val="0"/>
                <w:sz w:val="18"/>
                <w:szCs w:val="18"/>
              </w:rPr>
              <w:t>Chipre</w:t>
            </w:r>
          </w:p>
        </w:tc>
        <w:tc>
          <w:tcPr>
            <w:tcW w:w="1125" w:type="dxa"/>
          </w:tcPr>
          <w:p w:rsidR="00383888" w:rsidRPr="000615AB" w:rsidRDefault="00383888" w:rsidP="00B47699">
            <w:pPr>
              <w:jc w:val="center"/>
              <w:rPr>
                <w:snapToGrid w:val="0"/>
                <w:sz w:val="18"/>
                <w:szCs w:val="18"/>
              </w:rPr>
            </w:pPr>
            <w:r w:rsidRPr="000615AB">
              <w:rPr>
                <w:snapToGrid w:val="0"/>
                <w:sz w:val="18"/>
                <w:szCs w:val="18"/>
              </w:rPr>
              <w:t>S</w:t>
            </w:r>
          </w:p>
        </w:tc>
        <w:tc>
          <w:tcPr>
            <w:tcW w:w="1210" w:type="dxa"/>
          </w:tcPr>
          <w:p w:rsidR="00383888" w:rsidRPr="000615AB" w:rsidRDefault="00383888" w:rsidP="00B47699">
            <w:pPr>
              <w:jc w:val="right"/>
              <w:rPr>
                <w:snapToGrid w:val="0"/>
                <w:sz w:val="18"/>
                <w:szCs w:val="18"/>
              </w:rPr>
            </w:pPr>
            <w:r w:rsidRPr="000615AB">
              <w:rPr>
                <w:snapToGrid w:val="0"/>
                <w:sz w:val="18"/>
                <w:szCs w:val="18"/>
              </w:rPr>
              <w:t>0,125</w:t>
            </w:r>
          </w:p>
        </w:tc>
        <w:tc>
          <w:tcPr>
            <w:tcW w:w="1320" w:type="dxa"/>
          </w:tcPr>
          <w:p w:rsidR="00383888" w:rsidRPr="000615AB" w:rsidRDefault="00383888" w:rsidP="00B47699">
            <w:pPr>
              <w:jc w:val="right"/>
              <w:rPr>
                <w:snapToGrid w:val="0"/>
                <w:sz w:val="18"/>
                <w:szCs w:val="18"/>
              </w:rPr>
            </w:pPr>
            <w:r w:rsidRPr="000615AB">
              <w:rPr>
                <w:snapToGrid w:val="0"/>
                <w:sz w:val="18"/>
                <w:szCs w:val="18"/>
              </w:rPr>
              <w:t xml:space="preserve">5.697 </w:t>
            </w:r>
          </w:p>
        </w:tc>
        <w:tc>
          <w:tcPr>
            <w:tcW w:w="1430" w:type="dxa"/>
          </w:tcPr>
          <w:p w:rsidR="00383888" w:rsidRPr="000615AB" w:rsidRDefault="00383888" w:rsidP="00B47699">
            <w:pPr>
              <w:jc w:val="right"/>
              <w:rPr>
                <w:snapToGrid w:val="0"/>
                <w:sz w:val="18"/>
                <w:szCs w:val="18"/>
              </w:rPr>
            </w:pPr>
            <w:r w:rsidRPr="000615AB">
              <w:rPr>
                <w:snapToGrid w:val="0"/>
                <w:sz w:val="18"/>
                <w:szCs w:val="18"/>
              </w:rPr>
              <w:t xml:space="preserve">5.697 </w:t>
            </w:r>
          </w:p>
        </w:tc>
        <w:tc>
          <w:tcPr>
            <w:tcW w:w="1388" w:type="dxa"/>
          </w:tcPr>
          <w:p w:rsidR="00383888" w:rsidRPr="000615AB" w:rsidRDefault="00383888" w:rsidP="00B47699">
            <w:pPr>
              <w:jc w:val="right"/>
              <w:rPr>
                <w:snapToGrid w:val="0"/>
                <w:sz w:val="18"/>
                <w:szCs w:val="18"/>
              </w:rPr>
            </w:pPr>
            <w:r w:rsidRPr="000615AB">
              <w:rPr>
                <w:snapToGrid w:val="0"/>
                <w:sz w:val="18"/>
                <w:szCs w:val="18"/>
              </w:rPr>
              <w:t xml:space="preserve">11.394 </w:t>
            </w:r>
          </w:p>
        </w:tc>
      </w:tr>
      <w:tr w:rsidR="00383888" w:rsidRPr="000615AB" w:rsidTr="00B47699">
        <w:tc>
          <w:tcPr>
            <w:tcW w:w="3055" w:type="dxa"/>
            <w:shd w:val="pct15" w:color="auto" w:fill="FFFFFF"/>
          </w:tcPr>
          <w:p w:rsidR="00383888" w:rsidRPr="000615AB" w:rsidRDefault="00383888" w:rsidP="00B47699">
            <w:pPr>
              <w:rPr>
                <w:snapToGrid w:val="0"/>
                <w:sz w:val="18"/>
                <w:szCs w:val="18"/>
              </w:rPr>
            </w:pPr>
            <w:r w:rsidRPr="000615AB">
              <w:rPr>
                <w:snapToGrid w:val="0"/>
                <w:sz w:val="18"/>
                <w:szCs w:val="18"/>
              </w:rPr>
              <w:t>Colombia</w:t>
            </w:r>
          </w:p>
        </w:tc>
        <w:tc>
          <w:tcPr>
            <w:tcW w:w="1125" w:type="dxa"/>
            <w:shd w:val="pct15" w:color="auto" w:fill="FFFFFF"/>
          </w:tcPr>
          <w:p w:rsidR="00383888" w:rsidRPr="000615AB" w:rsidRDefault="00383888" w:rsidP="00B47699">
            <w:pPr>
              <w:jc w:val="center"/>
              <w:rPr>
                <w:snapToGrid w:val="0"/>
                <w:sz w:val="18"/>
                <w:szCs w:val="18"/>
              </w:rPr>
            </w:pPr>
            <w:r w:rsidRPr="000615AB">
              <w:rPr>
                <w:snapToGrid w:val="0"/>
                <w:sz w:val="18"/>
                <w:szCs w:val="18"/>
              </w:rPr>
              <w:t>IX</w:t>
            </w:r>
          </w:p>
        </w:tc>
        <w:tc>
          <w:tcPr>
            <w:tcW w:w="1210" w:type="dxa"/>
            <w:shd w:val="pct15" w:color="auto" w:fill="FFFFFF"/>
          </w:tcPr>
          <w:p w:rsidR="00383888" w:rsidRPr="000615AB" w:rsidRDefault="00383888" w:rsidP="00B47699">
            <w:pPr>
              <w:jc w:val="right"/>
              <w:rPr>
                <w:snapToGrid w:val="0"/>
                <w:sz w:val="18"/>
                <w:szCs w:val="18"/>
              </w:rPr>
            </w:pPr>
            <w:r w:rsidRPr="000615AB">
              <w:rPr>
                <w:snapToGrid w:val="0"/>
                <w:sz w:val="18"/>
                <w:szCs w:val="18"/>
              </w:rPr>
              <w:t>0,25</w:t>
            </w:r>
          </w:p>
        </w:tc>
        <w:tc>
          <w:tcPr>
            <w:tcW w:w="1320" w:type="dxa"/>
            <w:shd w:val="pct15" w:color="auto" w:fill="FFFFFF"/>
          </w:tcPr>
          <w:p w:rsidR="00383888" w:rsidRPr="000615AB" w:rsidRDefault="00383888" w:rsidP="00B47699">
            <w:pPr>
              <w:jc w:val="right"/>
              <w:rPr>
                <w:snapToGrid w:val="0"/>
                <w:sz w:val="18"/>
                <w:szCs w:val="18"/>
              </w:rPr>
            </w:pPr>
            <w:r w:rsidRPr="000615AB">
              <w:rPr>
                <w:snapToGrid w:val="0"/>
                <w:sz w:val="18"/>
                <w:szCs w:val="18"/>
              </w:rPr>
              <w:t xml:space="preserve">11.395 </w:t>
            </w:r>
          </w:p>
        </w:tc>
        <w:tc>
          <w:tcPr>
            <w:tcW w:w="1430" w:type="dxa"/>
            <w:shd w:val="pct15" w:color="auto" w:fill="FFFFFF"/>
          </w:tcPr>
          <w:p w:rsidR="00383888" w:rsidRPr="000615AB" w:rsidRDefault="00383888" w:rsidP="00B47699">
            <w:pPr>
              <w:jc w:val="right"/>
              <w:rPr>
                <w:snapToGrid w:val="0"/>
                <w:sz w:val="18"/>
                <w:szCs w:val="18"/>
              </w:rPr>
            </w:pPr>
            <w:r w:rsidRPr="000615AB">
              <w:rPr>
                <w:snapToGrid w:val="0"/>
                <w:sz w:val="18"/>
                <w:szCs w:val="18"/>
              </w:rPr>
              <w:t xml:space="preserve">11.395 </w:t>
            </w:r>
          </w:p>
        </w:tc>
        <w:tc>
          <w:tcPr>
            <w:tcW w:w="1388" w:type="dxa"/>
            <w:shd w:val="pct15" w:color="auto" w:fill="FFFFFF"/>
          </w:tcPr>
          <w:p w:rsidR="00383888" w:rsidRPr="000615AB" w:rsidRDefault="00383888" w:rsidP="00B47699">
            <w:pPr>
              <w:jc w:val="right"/>
              <w:rPr>
                <w:snapToGrid w:val="0"/>
                <w:sz w:val="18"/>
                <w:szCs w:val="18"/>
              </w:rPr>
            </w:pPr>
            <w:r w:rsidRPr="000615AB">
              <w:rPr>
                <w:snapToGrid w:val="0"/>
                <w:sz w:val="18"/>
                <w:szCs w:val="18"/>
              </w:rPr>
              <w:t xml:space="preserve">22.790 </w:t>
            </w:r>
          </w:p>
        </w:tc>
      </w:tr>
      <w:tr w:rsidR="00383888" w:rsidRPr="000615AB" w:rsidTr="00B47699">
        <w:tc>
          <w:tcPr>
            <w:tcW w:w="3055" w:type="dxa"/>
          </w:tcPr>
          <w:p w:rsidR="00383888" w:rsidRPr="000615AB" w:rsidRDefault="00383888" w:rsidP="00B47699">
            <w:pPr>
              <w:rPr>
                <w:snapToGrid w:val="0"/>
                <w:sz w:val="18"/>
                <w:szCs w:val="18"/>
              </w:rPr>
            </w:pPr>
            <w:r w:rsidRPr="000615AB">
              <w:rPr>
                <w:snapToGrid w:val="0"/>
                <w:sz w:val="18"/>
                <w:szCs w:val="18"/>
              </w:rPr>
              <w:t>Comoras</w:t>
            </w:r>
          </w:p>
        </w:tc>
        <w:tc>
          <w:tcPr>
            <w:tcW w:w="1125" w:type="dxa"/>
          </w:tcPr>
          <w:p w:rsidR="00383888" w:rsidRPr="000615AB" w:rsidRDefault="00383888" w:rsidP="00B47699">
            <w:pPr>
              <w:jc w:val="center"/>
              <w:rPr>
                <w:i/>
                <w:snapToGrid w:val="0"/>
                <w:sz w:val="18"/>
                <w:szCs w:val="18"/>
              </w:rPr>
            </w:pPr>
            <w:r w:rsidRPr="000615AB">
              <w:rPr>
                <w:snapToGrid w:val="0"/>
                <w:sz w:val="18"/>
                <w:szCs w:val="18"/>
              </w:rPr>
              <w:t>S</w:t>
            </w:r>
            <w:r w:rsidRPr="000615AB">
              <w:rPr>
                <w:i/>
                <w:snapToGrid w:val="0"/>
                <w:sz w:val="18"/>
                <w:szCs w:val="18"/>
              </w:rPr>
              <w:t>ter</w:t>
            </w:r>
          </w:p>
        </w:tc>
        <w:tc>
          <w:tcPr>
            <w:tcW w:w="1210" w:type="dxa"/>
          </w:tcPr>
          <w:p w:rsidR="00383888" w:rsidRPr="000615AB" w:rsidRDefault="00383888" w:rsidP="00B47699">
            <w:pPr>
              <w:jc w:val="right"/>
              <w:rPr>
                <w:snapToGrid w:val="0"/>
                <w:sz w:val="18"/>
                <w:szCs w:val="18"/>
              </w:rPr>
            </w:pPr>
            <w:r w:rsidRPr="000615AB">
              <w:rPr>
                <w:snapToGrid w:val="0"/>
                <w:sz w:val="18"/>
                <w:szCs w:val="18"/>
              </w:rPr>
              <w:t>0,03125</w:t>
            </w:r>
          </w:p>
        </w:tc>
        <w:tc>
          <w:tcPr>
            <w:tcW w:w="1320" w:type="dxa"/>
          </w:tcPr>
          <w:p w:rsidR="00383888" w:rsidRPr="000615AB" w:rsidRDefault="00383888" w:rsidP="00B47699">
            <w:pPr>
              <w:jc w:val="right"/>
              <w:rPr>
                <w:snapToGrid w:val="0"/>
                <w:sz w:val="18"/>
                <w:szCs w:val="18"/>
              </w:rPr>
            </w:pPr>
            <w:r w:rsidRPr="000615AB">
              <w:rPr>
                <w:snapToGrid w:val="0"/>
                <w:sz w:val="18"/>
                <w:szCs w:val="18"/>
              </w:rPr>
              <w:t>1.424</w:t>
            </w:r>
          </w:p>
        </w:tc>
        <w:tc>
          <w:tcPr>
            <w:tcW w:w="1430" w:type="dxa"/>
          </w:tcPr>
          <w:p w:rsidR="00383888" w:rsidRPr="000615AB" w:rsidRDefault="00383888" w:rsidP="00B47699">
            <w:pPr>
              <w:jc w:val="right"/>
              <w:rPr>
                <w:snapToGrid w:val="0"/>
                <w:sz w:val="18"/>
                <w:szCs w:val="18"/>
              </w:rPr>
            </w:pPr>
            <w:r w:rsidRPr="000615AB">
              <w:rPr>
                <w:snapToGrid w:val="0"/>
                <w:sz w:val="18"/>
                <w:szCs w:val="18"/>
              </w:rPr>
              <w:t>1.424</w:t>
            </w:r>
          </w:p>
        </w:tc>
        <w:tc>
          <w:tcPr>
            <w:tcW w:w="1388" w:type="dxa"/>
          </w:tcPr>
          <w:p w:rsidR="00383888" w:rsidRPr="000615AB" w:rsidRDefault="00383888" w:rsidP="00B47699">
            <w:pPr>
              <w:jc w:val="right"/>
              <w:rPr>
                <w:snapToGrid w:val="0"/>
                <w:sz w:val="18"/>
                <w:szCs w:val="18"/>
              </w:rPr>
            </w:pPr>
            <w:r w:rsidRPr="000615AB">
              <w:rPr>
                <w:snapToGrid w:val="0"/>
                <w:sz w:val="18"/>
                <w:szCs w:val="18"/>
              </w:rPr>
              <w:t>2.848</w:t>
            </w:r>
          </w:p>
        </w:tc>
      </w:tr>
      <w:tr w:rsidR="00383888" w:rsidRPr="000615AB" w:rsidTr="00B47699">
        <w:tc>
          <w:tcPr>
            <w:tcW w:w="3055" w:type="dxa"/>
            <w:shd w:val="pct15" w:color="auto" w:fill="FFFFFF"/>
          </w:tcPr>
          <w:p w:rsidR="00383888" w:rsidRPr="000615AB" w:rsidRDefault="00383888" w:rsidP="00B47699">
            <w:pPr>
              <w:rPr>
                <w:snapToGrid w:val="0"/>
                <w:sz w:val="18"/>
                <w:szCs w:val="18"/>
              </w:rPr>
            </w:pPr>
            <w:r w:rsidRPr="000615AB">
              <w:rPr>
                <w:snapToGrid w:val="0"/>
                <w:sz w:val="18"/>
                <w:szCs w:val="18"/>
              </w:rPr>
              <w:t xml:space="preserve">Congo </w:t>
            </w:r>
          </w:p>
        </w:tc>
        <w:tc>
          <w:tcPr>
            <w:tcW w:w="1125" w:type="dxa"/>
            <w:shd w:val="pct15" w:color="auto" w:fill="FFFFFF"/>
          </w:tcPr>
          <w:p w:rsidR="00383888" w:rsidRPr="000615AB" w:rsidRDefault="00383888" w:rsidP="00B47699">
            <w:pPr>
              <w:jc w:val="center"/>
              <w:rPr>
                <w:i/>
                <w:snapToGrid w:val="0"/>
                <w:sz w:val="18"/>
                <w:szCs w:val="18"/>
              </w:rPr>
            </w:pPr>
            <w:r w:rsidRPr="000615AB">
              <w:rPr>
                <w:snapToGrid w:val="0"/>
                <w:sz w:val="18"/>
                <w:szCs w:val="18"/>
              </w:rPr>
              <w:t>S</w:t>
            </w:r>
            <w:r w:rsidRPr="000615AB">
              <w:rPr>
                <w:i/>
                <w:snapToGrid w:val="0"/>
                <w:sz w:val="18"/>
                <w:szCs w:val="18"/>
              </w:rPr>
              <w:t>bis</w:t>
            </w:r>
          </w:p>
        </w:tc>
        <w:tc>
          <w:tcPr>
            <w:tcW w:w="1210" w:type="dxa"/>
            <w:shd w:val="pct15" w:color="auto" w:fill="FFFFFF"/>
          </w:tcPr>
          <w:p w:rsidR="00383888" w:rsidRPr="000615AB" w:rsidRDefault="00383888" w:rsidP="00B47699">
            <w:pPr>
              <w:jc w:val="right"/>
              <w:rPr>
                <w:snapToGrid w:val="0"/>
                <w:sz w:val="18"/>
                <w:szCs w:val="18"/>
              </w:rPr>
            </w:pPr>
            <w:r w:rsidRPr="000615AB">
              <w:rPr>
                <w:snapToGrid w:val="0"/>
                <w:sz w:val="18"/>
                <w:szCs w:val="18"/>
              </w:rPr>
              <w:t>0,0625</w:t>
            </w:r>
          </w:p>
        </w:tc>
        <w:tc>
          <w:tcPr>
            <w:tcW w:w="1320" w:type="dxa"/>
            <w:shd w:val="pct15" w:color="auto" w:fill="FFFFFF"/>
          </w:tcPr>
          <w:p w:rsidR="00383888" w:rsidRPr="000615AB" w:rsidRDefault="00383888" w:rsidP="00B47699">
            <w:pPr>
              <w:jc w:val="right"/>
              <w:rPr>
                <w:snapToGrid w:val="0"/>
                <w:sz w:val="18"/>
                <w:szCs w:val="18"/>
              </w:rPr>
            </w:pPr>
            <w:r w:rsidRPr="000615AB">
              <w:rPr>
                <w:snapToGrid w:val="0"/>
                <w:sz w:val="18"/>
                <w:szCs w:val="18"/>
              </w:rPr>
              <w:t xml:space="preserve">2.849 </w:t>
            </w:r>
          </w:p>
        </w:tc>
        <w:tc>
          <w:tcPr>
            <w:tcW w:w="1430" w:type="dxa"/>
            <w:shd w:val="pct15" w:color="auto" w:fill="FFFFFF"/>
          </w:tcPr>
          <w:p w:rsidR="00383888" w:rsidRPr="000615AB" w:rsidRDefault="00383888" w:rsidP="00B47699">
            <w:pPr>
              <w:jc w:val="right"/>
              <w:rPr>
                <w:snapToGrid w:val="0"/>
                <w:sz w:val="18"/>
                <w:szCs w:val="18"/>
              </w:rPr>
            </w:pPr>
            <w:r w:rsidRPr="000615AB">
              <w:rPr>
                <w:snapToGrid w:val="0"/>
                <w:sz w:val="18"/>
                <w:szCs w:val="18"/>
              </w:rPr>
              <w:t xml:space="preserve">2.849 </w:t>
            </w:r>
          </w:p>
        </w:tc>
        <w:tc>
          <w:tcPr>
            <w:tcW w:w="1388" w:type="dxa"/>
            <w:shd w:val="pct15" w:color="auto" w:fill="FFFFFF"/>
          </w:tcPr>
          <w:p w:rsidR="00383888" w:rsidRPr="000615AB" w:rsidRDefault="00383888" w:rsidP="00B47699">
            <w:pPr>
              <w:jc w:val="right"/>
              <w:rPr>
                <w:snapToGrid w:val="0"/>
                <w:sz w:val="18"/>
                <w:szCs w:val="18"/>
              </w:rPr>
            </w:pPr>
            <w:r w:rsidRPr="000615AB">
              <w:rPr>
                <w:snapToGrid w:val="0"/>
                <w:sz w:val="18"/>
                <w:szCs w:val="18"/>
              </w:rPr>
              <w:t xml:space="preserve">5.698 </w:t>
            </w:r>
          </w:p>
        </w:tc>
      </w:tr>
      <w:tr w:rsidR="00383888" w:rsidRPr="000615AB" w:rsidTr="00B47699">
        <w:tc>
          <w:tcPr>
            <w:tcW w:w="3055" w:type="dxa"/>
          </w:tcPr>
          <w:p w:rsidR="00383888" w:rsidRPr="000615AB" w:rsidRDefault="00383888" w:rsidP="00B47699">
            <w:pPr>
              <w:rPr>
                <w:snapToGrid w:val="0"/>
                <w:sz w:val="18"/>
                <w:szCs w:val="18"/>
              </w:rPr>
            </w:pPr>
            <w:r w:rsidRPr="000615AB">
              <w:rPr>
                <w:snapToGrid w:val="0"/>
                <w:sz w:val="18"/>
                <w:szCs w:val="18"/>
              </w:rPr>
              <w:t>Costa Rica</w:t>
            </w:r>
          </w:p>
        </w:tc>
        <w:tc>
          <w:tcPr>
            <w:tcW w:w="1125" w:type="dxa"/>
          </w:tcPr>
          <w:p w:rsidR="00383888" w:rsidRPr="000615AB" w:rsidRDefault="00383888" w:rsidP="00B47699">
            <w:pPr>
              <w:jc w:val="center"/>
              <w:rPr>
                <w:snapToGrid w:val="0"/>
                <w:sz w:val="18"/>
                <w:szCs w:val="18"/>
              </w:rPr>
            </w:pPr>
            <w:r w:rsidRPr="000615AB">
              <w:rPr>
                <w:snapToGrid w:val="0"/>
                <w:sz w:val="18"/>
                <w:szCs w:val="18"/>
              </w:rPr>
              <w:t>S</w:t>
            </w:r>
          </w:p>
        </w:tc>
        <w:tc>
          <w:tcPr>
            <w:tcW w:w="1210" w:type="dxa"/>
          </w:tcPr>
          <w:p w:rsidR="00383888" w:rsidRPr="000615AB" w:rsidRDefault="00383888" w:rsidP="00B47699">
            <w:pPr>
              <w:jc w:val="right"/>
              <w:rPr>
                <w:snapToGrid w:val="0"/>
                <w:sz w:val="18"/>
                <w:szCs w:val="18"/>
              </w:rPr>
            </w:pPr>
            <w:r w:rsidRPr="000615AB">
              <w:rPr>
                <w:snapToGrid w:val="0"/>
                <w:sz w:val="18"/>
                <w:szCs w:val="18"/>
              </w:rPr>
              <w:t>0,125</w:t>
            </w:r>
          </w:p>
        </w:tc>
        <w:tc>
          <w:tcPr>
            <w:tcW w:w="1320" w:type="dxa"/>
          </w:tcPr>
          <w:p w:rsidR="00383888" w:rsidRPr="000615AB" w:rsidRDefault="00383888" w:rsidP="00B47699">
            <w:pPr>
              <w:jc w:val="right"/>
              <w:rPr>
                <w:snapToGrid w:val="0"/>
                <w:sz w:val="18"/>
                <w:szCs w:val="18"/>
              </w:rPr>
            </w:pPr>
            <w:r w:rsidRPr="000615AB">
              <w:rPr>
                <w:snapToGrid w:val="0"/>
                <w:sz w:val="18"/>
                <w:szCs w:val="18"/>
              </w:rPr>
              <w:t xml:space="preserve">5.697 </w:t>
            </w:r>
          </w:p>
        </w:tc>
        <w:tc>
          <w:tcPr>
            <w:tcW w:w="1430" w:type="dxa"/>
          </w:tcPr>
          <w:p w:rsidR="00383888" w:rsidRPr="000615AB" w:rsidRDefault="00383888" w:rsidP="00B47699">
            <w:pPr>
              <w:jc w:val="right"/>
              <w:rPr>
                <w:snapToGrid w:val="0"/>
                <w:sz w:val="18"/>
                <w:szCs w:val="18"/>
              </w:rPr>
            </w:pPr>
            <w:r w:rsidRPr="000615AB">
              <w:rPr>
                <w:snapToGrid w:val="0"/>
                <w:sz w:val="18"/>
                <w:szCs w:val="18"/>
              </w:rPr>
              <w:t xml:space="preserve">5.697 </w:t>
            </w:r>
          </w:p>
        </w:tc>
        <w:tc>
          <w:tcPr>
            <w:tcW w:w="1388" w:type="dxa"/>
          </w:tcPr>
          <w:p w:rsidR="00383888" w:rsidRPr="000615AB" w:rsidRDefault="00383888" w:rsidP="00B47699">
            <w:pPr>
              <w:jc w:val="right"/>
              <w:rPr>
                <w:snapToGrid w:val="0"/>
                <w:sz w:val="18"/>
                <w:szCs w:val="18"/>
              </w:rPr>
            </w:pPr>
            <w:r w:rsidRPr="000615AB">
              <w:rPr>
                <w:snapToGrid w:val="0"/>
                <w:sz w:val="18"/>
                <w:szCs w:val="18"/>
              </w:rPr>
              <w:t xml:space="preserve">11.394 </w:t>
            </w:r>
          </w:p>
        </w:tc>
      </w:tr>
      <w:tr w:rsidR="00383888" w:rsidRPr="000615AB" w:rsidTr="00B47699">
        <w:tc>
          <w:tcPr>
            <w:tcW w:w="3055" w:type="dxa"/>
            <w:shd w:val="pct15" w:color="auto" w:fill="FFFFFF"/>
          </w:tcPr>
          <w:p w:rsidR="00383888" w:rsidRPr="000615AB" w:rsidRDefault="00383888" w:rsidP="00B47699">
            <w:pPr>
              <w:rPr>
                <w:snapToGrid w:val="0"/>
                <w:sz w:val="18"/>
                <w:szCs w:val="18"/>
              </w:rPr>
            </w:pPr>
            <w:r w:rsidRPr="000615AB">
              <w:rPr>
                <w:snapToGrid w:val="0"/>
                <w:sz w:val="18"/>
                <w:szCs w:val="18"/>
              </w:rPr>
              <w:t>Côte d'Ivoire</w:t>
            </w:r>
          </w:p>
        </w:tc>
        <w:tc>
          <w:tcPr>
            <w:tcW w:w="1125" w:type="dxa"/>
            <w:shd w:val="pct15" w:color="auto" w:fill="FFFFFF"/>
          </w:tcPr>
          <w:p w:rsidR="00383888" w:rsidRPr="000615AB" w:rsidRDefault="00383888" w:rsidP="00B47699">
            <w:pPr>
              <w:jc w:val="center"/>
              <w:rPr>
                <w:i/>
                <w:snapToGrid w:val="0"/>
                <w:sz w:val="18"/>
                <w:szCs w:val="18"/>
              </w:rPr>
            </w:pPr>
            <w:r w:rsidRPr="000615AB">
              <w:rPr>
                <w:snapToGrid w:val="0"/>
                <w:sz w:val="18"/>
                <w:szCs w:val="18"/>
              </w:rPr>
              <w:t>S</w:t>
            </w:r>
            <w:r w:rsidRPr="000615AB">
              <w:rPr>
                <w:i/>
                <w:snapToGrid w:val="0"/>
                <w:sz w:val="18"/>
                <w:szCs w:val="18"/>
              </w:rPr>
              <w:t>bis</w:t>
            </w:r>
          </w:p>
        </w:tc>
        <w:tc>
          <w:tcPr>
            <w:tcW w:w="1210" w:type="dxa"/>
            <w:shd w:val="pct15" w:color="auto" w:fill="FFFFFF"/>
          </w:tcPr>
          <w:p w:rsidR="00383888" w:rsidRPr="000615AB" w:rsidRDefault="00383888" w:rsidP="00B47699">
            <w:pPr>
              <w:jc w:val="right"/>
              <w:rPr>
                <w:snapToGrid w:val="0"/>
                <w:sz w:val="18"/>
                <w:szCs w:val="18"/>
              </w:rPr>
            </w:pPr>
            <w:r w:rsidRPr="000615AB">
              <w:rPr>
                <w:snapToGrid w:val="0"/>
                <w:sz w:val="18"/>
                <w:szCs w:val="18"/>
              </w:rPr>
              <w:t>0,0625</w:t>
            </w:r>
          </w:p>
        </w:tc>
        <w:tc>
          <w:tcPr>
            <w:tcW w:w="1320" w:type="dxa"/>
            <w:shd w:val="pct15" w:color="auto" w:fill="FFFFFF"/>
          </w:tcPr>
          <w:p w:rsidR="00383888" w:rsidRPr="000615AB" w:rsidRDefault="00383888" w:rsidP="00B47699">
            <w:pPr>
              <w:jc w:val="right"/>
              <w:rPr>
                <w:snapToGrid w:val="0"/>
                <w:sz w:val="18"/>
                <w:szCs w:val="18"/>
              </w:rPr>
            </w:pPr>
            <w:r w:rsidRPr="000615AB">
              <w:rPr>
                <w:snapToGrid w:val="0"/>
                <w:sz w:val="18"/>
                <w:szCs w:val="18"/>
              </w:rPr>
              <w:t xml:space="preserve">2.849 </w:t>
            </w:r>
          </w:p>
        </w:tc>
        <w:tc>
          <w:tcPr>
            <w:tcW w:w="1430" w:type="dxa"/>
            <w:shd w:val="pct15" w:color="auto" w:fill="FFFFFF"/>
          </w:tcPr>
          <w:p w:rsidR="00383888" w:rsidRPr="000615AB" w:rsidRDefault="00383888" w:rsidP="00B47699">
            <w:pPr>
              <w:jc w:val="right"/>
              <w:rPr>
                <w:snapToGrid w:val="0"/>
                <w:sz w:val="18"/>
                <w:szCs w:val="18"/>
              </w:rPr>
            </w:pPr>
            <w:r w:rsidRPr="000615AB">
              <w:rPr>
                <w:snapToGrid w:val="0"/>
                <w:sz w:val="18"/>
                <w:szCs w:val="18"/>
              </w:rPr>
              <w:t xml:space="preserve">2.849 </w:t>
            </w:r>
          </w:p>
        </w:tc>
        <w:tc>
          <w:tcPr>
            <w:tcW w:w="1388" w:type="dxa"/>
            <w:shd w:val="pct15" w:color="auto" w:fill="FFFFFF"/>
          </w:tcPr>
          <w:p w:rsidR="00383888" w:rsidRPr="000615AB" w:rsidRDefault="00383888" w:rsidP="00B47699">
            <w:pPr>
              <w:jc w:val="right"/>
              <w:rPr>
                <w:snapToGrid w:val="0"/>
                <w:sz w:val="18"/>
                <w:szCs w:val="18"/>
              </w:rPr>
            </w:pPr>
            <w:r w:rsidRPr="000615AB">
              <w:rPr>
                <w:snapToGrid w:val="0"/>
                <w:sz w:val="18"/>
                <w:szCs w:val="18"/>
              </w:rPr>
              <w:t xml:space="preserve">5.698 </w:t>
            </w:r>
          </w:p>
        </w:tc>
      </w:tr>
      <w:tr w:rsidR="00383888" w:rsidRPr="000615AB" w:rsidTr="00B47699">
        <w:tc>
          <w:tcPr>
            <w:tcW w:w="3055" w:type="dxa"/>
          </w:tcPr>
          <w:p w:rsidR="00383888" w:rsidRPr="000615AB" w:rsidRDefault="00383888" w:rsidP="00B47699">
            <w:pPr>
              <w:rPr>
                <w:snapToGrid w:val="0"/>
                <w:sz w:val="18"/>
                <w:szCs w:val="18"/>
              </w:rPr>
            </w:pPr>
            <w:r w:rsidRPr="000615AB">
              <w:rPr>
                <w:snapToGrid w:val="0"/>
                <w:sz w:val="18"/>
                <w:szCs w:val="18"/>
              </w:rPr>
              <w:t>Croacia</w:t>
            </w:r>
          </w:p>
        </w:tc>
        <w:tc>
          <w:tcPr>
            <w:tcW w:w="1125" w:type="dxa"/>
          </w:tcPr>
          <w:p w:rsidR="00383888" w:rsidRPr="000615AB" w:rsidRDefault="00383888" w:rsidP="00B47699">
            <w:pPr>
              <w:jc w:val="center"/>
              <w:rPr>
                <w:snapToGrid w:val="0"/>
                <w:sz w:val="18"/>
                <w:szCs w:val="18"/>
              </w:rPr>
            </w:pPr>
            <w:r w:rsidRPr="000615AB">
              <w:rPr>
                <w:snapToGrid w:val="0"/>
                <w:sz w:val="18"/>
                <w:szCs w:val="18"/>
              </w:rPr>
              <w:t>VIII</w:t>
            </w:r>
          </w:p>
        </w:tc>
        <w:tc>
          <w:tcPr>
            <w:tcW w:w="1210" w:type="dxa"/>
          </w:tcPr>
          <w:p w:rsidR="00383888" w:rsidRPr="000615AB" w:rsidRDefault="00383888" w:rsidP="00B47699">
            <w:pPr>
              <w:jc w:val="right"/>
              <w:rPr>
                <w:snapToGrid w:val="0"/>
                <w:sz w:val="18"/>
                <w:szCs w:val="18"/>
              </w:rPr>
            </w:pPr>
            <w:r w:rsidRPr="000615AB">
              <w:rPr>
                <w:snapToGrid w:val="0"/>
                <w:sz w:val="18"/>
                <w:szCs w:val="18"/>
              </w:rPr>
              <w:t>0,5</w:t>
            </w:r>
          </w:p>
        </w:tc>
        <w:tc>
          <w:tcPr>
            <w:tcW w:w="1320" w:type="dxa"/>
          </w:tcPr>
          <w:p w:rsidR="00383888" w:rsidRPr="000615AB" w:rsidRDefault="00383888" w:rsidP="00B47699">
            <w:pPr>
              <w:jc w:val="right"/>
              <w:rPr>
                <w:snapToGrid w:val="0"/>
                <w:sz w:val="18"/>
                <w:szCs w:val="18"/>
              </w:rPr>
            </w:pPr>
            <w:r w:rsidRPr="000615AB">
              <w:rPr>
                <w:snapToGrid w:val="0"/>
                <w:sz w:val="18"/>
                <w:szCs w:val="18"/>
              </w:rPr>
              <w:t xml:space="preserve">22.789 </w:t>
            </w:r>
          </w:p>
        </w:tc>
        <w:tc>
          <w:tcPr>
            <w:tcW w:w="1430" w:type="dxa"/>
          </w:tcPr>
          <w:p w:rsidR="00383888" w:rsidRPr="000615AB" w:rsidRDefault="00383888" w:rsidP="00B47699">
            <w:pPr>
              <w:jc w:val="right"/>
              <w:rPr>
                <w:snapToGrid w:val="0"/>
                <w:sz w:val="18"/>
                <w:szCs w:val="18"/>
              </w:rPr>
            </w:pPr>
            <w:r w:rsidRPr="000615AB">
              <w:rPr>
                <w:snapToGrid w:val="0"/>
                <w:sz w:val="18"/>
                <w:szCs w:val="18"/>
              </w:rPr>
              <w:t xml:space="preserve">22.789 </w:t>
            </w:r>
          </w:p>
        </w:tc>
        <w:tc>
          <w:tcPr>
            <w:tcW w:w="1388" w:type="dxa"/>
          </w:tcPr>
          <w:p w:rsidR="00383888" w:rsidRPr="000615AB" w:rsidRDefault="00383888" w:rsidP="00B47699">
            <w:pPr>
              <w:jc w:val="right"/>
              <w:rPr>
                <w:snapToGrid w:val="0"/>
                <w:sz w:val="18"/>
                <w:szCs w:val="18"/>
              </w:rPr>
            </w:pPr>
            <w:r w:rsidRPr="000615AB">
              <w:rPr>
                <w:snapToGrid w:val="0"/>
                <w:sz w:val="18"/>
                <w:szCs w:val="18"/>
              </w:rPr>
              <w:t xml:space="preserve">45.578 </w:t>
            </w:r>
          </w:p>
        </w:tc>
      </w:tr>
      <w:tr w:rsidR="00383888" w:rsidRPr="000615AB" w:rsidTr="00B47699">
        <w:tc>
          <w:tcPr>
            <w:tcW w:w="3055" w:type="dxa"/>
            <w:shd w:val="pct15" w:color="auto" w:fill="FFFFFF"/>
          </w:tcPr>
          <w:p w:rsidR="00383888" w:rsidRPr="000615AB" w:rsidRDefault="00383888" w:rsidP="00B47699">
            <w:pPr>
              <w:rPr>
                <w:snapToGrid w:val="0"/>
                <w:sz w:val="18"/>
                <w:szCs w:val="18"/>
              </w:rPr>
            </w:pPr>
            <w:r w:rsidRPr="000615AB">
              <w:rPr>
                <w:snapToGrid w:val="0"/>
                <w:sz w:val="18"/>
                <w:szCs w:val="18"/>
              </w:rPr>
              <w:t>Cuba</w:t>
            </w:r>
          </w:p>
        </w:tc>
        <w:tc>
          <w:tcPr>
            <w:tcW w:w="1125" w:type="dxa"/>
            <w:shd w:val="pct15" w:color="auto" w:fill="FFFFFF"/>
          </w:tcPr>
          <w:p w:rsidR="00383888" w:rsidRPr="000615AB" w:rsidRDefault="00383888" w:rsidP="00B47699">
            <w:pPr>
              <w:jc w:val="center"/>
              <w:rPr>
                <w:snapToGrid w:val="0"/>
                <w:sz w:val="18"/>
                <w:szCs w:val="18"/>
              </w:rPr>
            </w:pPr>
            <w:r w:rsidRPr="000615AB">
              <w:rPr>
                <w:snapToGrid w:val="0"/>
                <w:sz w:val="18"/>
                <w:szCs w:val="18"/>
              </w:rPr>
              <w:t>S</w:t>
            </w:r>
          </w:p>
        </w:tc>
        <w:tc>
          <w:tcPr>
            <w:tcW w:w="1210" w:type="dxa"/>
            <w:shd w:val="pct15" w:color="auto" w:fill="FFFFFF"/>
          </w:tcPr>
          <w:p w:rsidR="00383888" w:rsidRPr="000615AB" w:rsidRDefault="00383888" w:rsidP="00B47699">
            <w:pPr>
              <w:jc w:val="right"/>
              <w:rPr>
                <w:snapToGrid w:val="0"/>
                <w:sz w:val="18"/>
                <w:szCs w:val="18"/>
              </w:rPr>
            </w:pPr>
            <w:r w:rsidRPr="000615AB">
              <w:rPr>
                <w:snapToGrid w:val="0"/>
                <w:sz w:val="18"/>
                <w:szCs w:val="18"/>
              </w:rPr>
              <w:t>0,125</w:t>
            </w:r>
          </w:p>
        </w:tc>
        <w:tc>
          <w:tcPr>
            <w:tcW w:w="1320" w:type="dxa"/>
            <w:shd w:val="pct15" w:color="auto" w:fill="FFFFFF"/>
          </w:tcPr>
          <w:p w:rsidR="00383888" w:rsidRPr="000615AB" w:rsidRDefault="00383888" w:rsidP="00B47699">
            <w:pPr>
              <w:jc w:val="right"/>
              <w:rPr>
                <w:snapToGrid w:val="0"/>
                <w:sz w:val="18"/>
                <w:szCs w:val="18"/>
              </w:rPr>
            </w:pPr>
            <w:r w:rsidRPr="000615AB">
              <w:rPr>
                <w:snapToGrid w:val="0"/>
                <w:sz w:val="18"/>
                <w:szCs w:val="18"/>
              </w:rPr>
              <w:t xml:space="preserve">5.697 </w:t>
            </w:r>
          </w:p>
        </w:tc>
        <w:tc>
          <w:tcPr>
            <w:tcW w:w="1430" w:type="dxa"/>
            <w:shd w:val="pct15" w:color="auto" w:fill="FFFFFF"/>
          </w:tcPr>
          <w:p w:rsidR="00383888" w:rsidRPr="000615AB" w:rsidRDefault="00383888" w:rsidP="00B47699">
            <w:pPr>
              <w:jc w:val="right"/>
              <w:rPr>
                <w:snapToGrid w:val="0"/>
                <w:sz w:val="18"/>
                <w:szCs w:val="18"/>
              </w:rPr>
            </w:pPr>
            <w:r w:rsidRPr="000615AB">
              <w:rPr>
                <w:snapToGrid w:val="0"/>
                <w:sz w:val="18"/>
                <w:szCs w:val="18"/>
              </w:rPr>
              <w:t xml:space="preserve">5.697 </w:t>
            </w:r>
          </w:p>
        </w:tc>
        <w:tc>
          <w:tcPr>
            <w:tcW w:w="1388" w:type="dxa"/>
            <w:shd w:val="pct15" w:color="auto" w:fill="FFFFFF"/>
          </w:tcPr>
          <w:p w:rsidR="00383888" w:rsidRPr="000615AB" w:rsidRDefault="00383888" w:rsidP="00B47699">
            <w:pPr>
              <w:jc w:val="right"/>
              <w:rPr>
                <w:snapToGrid w:val="0"/>
                <w:sz w:val="18"/>
                <w:szCs w:val="18"/>
              </w:rPr>
            </w:pPr>
            <w:r w:rsidRPr="000615AB">
              <w:rPr>
                <w:snapToGrid w:val="0"/>
                <w:sz w:val="18"/>
                <w:szCs w:val="18"/>
              </w:rPr>
              <w:t xml:space="preserve">11.394 </w:t>
            </w:r>
          </w:p>
        </w:tc>
      </w:tr>
      <w:tr w:rsidR="00383888" w:rsidRPr="000615AB" w:rsidTr="00B47699">
        <w:tc>
          <w:tcPr>
            <w:tcW w:w="3055" w:type="dxa"/>
          </w:tcPr>
          <w:p w:rsidR="00383888" w:rsidRPr="000615AB" w:rsidRDefault="00383888" w:rsidP="00B47699">
            <w:pPr>
              <w:rPr>
                <w:snapToGrid w:val="0"/>
                <w:sz w:val="18"/>
                <w:szCs w:val="18"/>
              </w:rPr>
            </w:pPr>
            <w:r w:rsidRPr="000615AB">
              <w:rPr>
                <w:b/>
                <w:snapToGrid w:val="0"/>
                <w:sz w:val="18"/>
                <w:szCs w:val="18"/>
              </w:rPr>
              <w:t>D</w:t>
            </w:r>
            <w:r w:rsidRPr="000615AB">
              <w:rPr>
                <w:snapToGrid w:val="0"/>
                <w:sz w:val="18"/>
                <w:szCs w:val="18"/>
              </w:rPr>
              <w:t>inamarca</w:t>
            </w:r>
          </w:p>
        </w:tc>
        <w:tc>
          <w:tcPr>
            <w:tcW w:w="1125" w:type="dxa"/>
          </w:tcPr>
          <w:p w:rsidR="00383888" w:rsidRPr="000615AB" w:rsidRDefault="00383888" w:rsidP="00B47699">
            <w:pPr>
              <w:jc w:val="center"/>
              <w:rPr>
                <w:snapToGrid w:val="0"/>
                <w:sz w:val="18"/>
                <w:szCs w:val="18"/>
              </w:rPr>
            </w:pPr>
            <w:r w:rsidRPr="000615AB">
              <w:rPr>
                <w:snapToGrid w:val="0"/>
                <w:sz w:val="18"/>
                <w:szCs w:val="18"/>
              </w:rPr>
              <w:t>IV</w:t>
            </w:r>
          </w:p>
        </w:tc>
        <w:tc>
          <w:tcPr>
            <w:tcW w:w="1210" w:type="dxa"/>
          </w:tcPr>
          <w:p w:rsidR="00383888" w:rsidRPr="000615AB" w:rsidRDefault="00383888" w:rsidP="00B47699">
            <w:pPr>
              <w:jc w:val="right"/>
              <w:rPr>
                <w:snapToGrid w:val="0"/>
                <w:sz w:val="18"/>
                <w:szCs w:val="18"/>
              </w:rPr>
            </w:pPr>
            <w:r w:rsidRPr="000615AB">
              <w:rPr>
                <w:snapToGrid w:val="0"/>
                <w:sz w:val="18"/>
                <w:szCs w:val="18"/>
              </w:rPr>
              <w:t>10</w:t>
            </w:r>
          </w:p>
        </w:tc>
        <w:tc>
          <w:tcPr>
            <w:tcW w:w="1320" w:type="dxa"/>
          </w:tcPr>
          <w:p w:rsidR="00383888" w:rsidRPr="000615AB" w:rsidRDefault="00383888" w:rsidP="00B47699">
            <w:pPr>
              <w:jc w:val="right"/>
              <w:rPr>
                <w:snapToGrid w:val="0"/>
                <w:sz w:val="18"/>
                <w:szCs w:val="18"/>
              </w:rPr>
            </w:pPr>
            <w:r w:rsidRPr="000615AB">
              <w:rPr>
                <w:snapToGrid w:val="0"/>
                <w:sz w:val="18"/>
                <w:szCs w:val="18"/>
              </w:rPr>
              <w:t xml:space="preserve">455.790 </w:t>
            </w:r>
          </w:p>
        </w:tc>
        <w:tc>
          <w:tcPr>
            <w:tcW w:w="1430" w:type="dxa"/>
          </w:tcPr>
          <w:p w:rsidR="00383888" w:rsidRPr="000615AB" w:rsidRDefault="00383888" w:rsidP="00B47699">
            <w:pPr>
              <w:jc w:val="right"/>
              <w:rPr>
                <w:snapToGrid w:val="0"/>
                <w:sz w:val="18"/>
                <w:szCs w:val="18"/>
              </w:rPr>
            </w:pPr>
            <w:r w:rsidRPr="000615AB">
              <w:rPr>
                <w:snapToGrid w:val="0"/>
                <w:sz w:val="18"/>
                <w:szCs w:val="18"/>
              </w:rPr>
              <w:t xml:space="preserve">455.790 </w:t>
            </w:r>
          </w:p>
        </w:tc>
        <w:tc>
          <w:tcPr>
            <w:tcW w:w="1388" w:type="dxa"/>
          </w:tcPr>
          <w:p w:rsidR="00383888" w:rsidRPr="000615AB" w:rsidRDefault="00383888" w:rsidP="00B47699">
            <w:pPr>
              <w:jc w:val="right"/>
              <w:rPr>
                <w:snapToGrid w:val="0"/>
                <w:sz w:val="18"/>
                <w:szCs w:val="18"/>
              </w:rPr>
            </w:pPr>
            <w:r w:rsidRPr="000615AB">
              <w:rPr>
                <w:snapToGrid w:val="0"/>
                <w:sz w:val="18"/>
                <w:szCs w:val="18"/>
              </w:rPr>
              <w:t xml:space="preserve">911.580 </w:t>
            </w:r>
          </w:p>
        </w:tc>
      </w:tr>
      <w:tr w:rsidR="00383888" w:rsidRPr="000615AB" w:rsidTr="00B47699">
        <w:tc>
          <w:tcPr>
            <w:tcW w:w="3055" w:type="dxa"/>
            <w:shd w:val="pct15" w:color="auto" w:fill="FFFFFF"/>
          </w:tcPr>
          <w:p w:rsidR="00383888" w:rsidRPr="000615AB" w:rsidRDefault="00383888" w:rsidP="00B47699">
            <w:pPr>
              <w:rPr>
                <w:snapToGrid w:val="0"/>
                <w:sz w:val="18"/>
                <w:szCs w:val="18"/>
              </w:rPr>
            </w:pPr>
            <w:r w:rsidRPr="000615AB">
              <w:rPr>
                <w:snapToGrid w:val="0"/>
                <w:sz w:val="18"/>
                <w:szCs w:val="18"/>
              </w:rPr>
              <w:t>Djibouti</w:t>
            </w:r>
          </w:p>
        </w:tc>
        <w:tc>
          <w:tcPr>
            <w:tcW w:w="1125" w:type="dxa"/>
            <w:shd w:val="pct15" w:color="auto" w:fill="FFFFFF"/>
          </w:tcPr>
          <w:p w:rsidR="00383888" w:rsidRPr="000615AB" w:rsidRDefault="00383888" w:rsidP="00B47699">
            <w:pPr>
              <w:jc w:val="center"/>
              <w:rPr>
                <w:i/>
                <w:snapToGrid w:val="0"/>
                <w:sz w:val="18"/>
                <w:szCs w:val="18"/>
              </w:rPr>
            </w:pPr>
            <w:r w:rsidRPr="000615AB">
              <w:rPr>
                <w:snapToGrid w:val="0"/>
                <w:sz w:val="18"/>
                <w:szCs w:val="18"/>
              </w:rPr>
              <w:t>S</w:t>
            </w:r>
            <w:r w:rsidRPr="000615AB">
              <w:rPr>
                <w:i/>
                <w:snapToGrid w:val="0"/>
                <w:sz w:val="18"/>
                <w:szCs w:val="18"/>
              </w:rPr>
              <w:t>ter</w:t>
            </w:r>
          </w:p>
        </w:tc>
        <w:tc>
          <w:tcPr>
            <w:tcW w:w="1210" w:type="dxa"/>
            <w:shd w:val="pct15" w:color="auto" w:fill="FFFFFF"/>
          </w:tcPr>
          <w:p w:rsidR="00383888" w:rsidRPr="000615AB" w:rsidRDefault="00383888" w:rsidP="00B47699">
            <w:pPr>
              <w:jc w:val="right"/>
              <w:rPr>
                <w:snapToGrid w:val="0"/>
                <w:sz w:val="18"/>
                <w:szCs w:val="18"/>
              </w:rPr>
            </w:pPr>
            <w:r w:rsidRPr="000615AB">
              <w:rPr>
                <w:snapToGrid w:val="0"/>
                <w:sz w:val="18"/>
                <w:szCs w:val="18"/>
              </w:rPr>
              <w:t>0,03125</w:t>
            </w:r>
          </w:p>
        </w:tc>
        <w:tc>
          <w:tcPr>
            <w:tcW w:w="1320" w:type="dxa"/>
            <w:shd w:val="pct15" w:color="auto" w:fill="FFFFFF"/>
          </w:tcPr>
          <w:p w:rsidR="00383888" w:rsidRPr="000615AB" w:rsidRDefault="00383888" w:rsidP="00B47699">
            <w:pPr>
              <w:jc w:val="right"/>
              <w:rPr>
                <w:snapToGrid w:val="0"/>
                <w:sz w:val="18"/>
                <w:szCs w:val="18"/>
              </w:rPr>
            </w:pPr>
            <w:r w:rsidRPr="000615AB">
              <w:rPr>
                <w:snapToGrid w:val="0"/>
                <w:sz w:val="18"/>
                <w:szCs w:val="18"/>
              </w:rPr>
              <w:t xml:space="preserve">1.424 </w:t>
            </w:r>
          </w:p>
        </w:tc>
        <w:tc>
          <w:tcPr>
            <w:tcW w:w="1430" w:type="dxa"/>
            <w:shd w:val="pct15" w:color="auto" w:fill="FFFFFF"/>
          </w:tcPr>
          <w:p w:rsidR="00383888" w:rsidRPr="000615AB" w:rsidRDefault="00383888" w:rsidP="00B47699">
            <w:pPr>
              <w:jc w:val="right"/>
              <w:rPr>
                <w:snapToGrid w:val="0"/>
                <w:sz w:val="18"/>
                <w:szCs w:val="18"/>
              </w:rPr>
            </w:pPr>
            <w:r w:rsidRPr="000615AB">
              <w:rPr>
                <w:snapToGrid w:val="0"/>
                <w:sz w:val="18"/>
                <w:szCs w:val="18"/>
              </w:rPr>
              <w:t xml:space="preserve">1.424 </w:t>
            </w:r>
          </w:p>
        </w:tc>
        <w:tc>
          <w:tcPr>
            <w:tcW w:w="1388" w:type="dxa"/>
            <w:shd w:val="pct15" w:color="auto" w:fill="FFFFFF"/>
          </w:tcPr>
          <w:p w:rsidR="00383888" w:rsidRPr="000615AB" w:rsidRDefault="00383888" w:rsidP="00B47699">
            <w:pPr>
              <w:jc w:val="right"/>
              <w:rPr>
                <w:snapToGrid w:val="0"/>
                <w:sz w:val="18"/>
                <w:szCs w:val="18"/>
              </w:rPr>
            </w:pPr>
            <w:r w:rsidRPr="000615AB">
              <w:rPr>
                <w:snapToGrid w:val="0"/>
                <w:sz w:val="18"/>
                <w:szCs w:val="18"/>
              </w:rPr>
              <w:t xml:space="preserve">2.848 </w:t>
            </w:r>
          </w:p>
        </w:tc>
      </w:tr>
      <w:tr w:rsidR="00383888" w:rsidRPr="000615AB" w:rsidTr="00B47699">
        <w:tc>
          <w:tcPr>
            <w:tcW w:w="3055" w:type="dxa"/>
          </w:tcPr>
          <w:p w:rsidR="00383888" w:rsidRPr="000615AB" w:rsidRDefault="00383888" w:rsidP="00B47699">
            <w:pPr>
              <w:rPr>
                <w:snapToGrid w:val="0"/>
                <w:sz w:val="18"/>
                <w:szCs w:val="18"/>
              </w:rPr>
            </w:pPr>
            <w:r w:rsidRPr="000615AB">
              <w:rPr>
                <w:snapToGrid w:val="0"/>
                <w:sz w:val="18"/>
                <w:szCs w:val="18"/>
              </w:rPr>
              <w:t xml:space="preserve">Dominica </w:t>
            </w:r>
          </w:p>
        </w:tc>
        <w:tc>
          <w:tcPr>
            <w:tcW w:w="1125" w:type="dxa"/>
          </w:tcPr>
          <w:p w:rsidR="00383888" w:rsidRPr="000615AB" w:rsidRDefault="00383888" w:rsidP="00B47699">
            <w:pPr>
              <w:jc w:val="center"/>
              <w:rPr>
                <w:i/>
                <w:snapToGrid w:val="0"/>
                <w:sz w:val="18"/>
                <w:szCs w:val="18"/>
              </w:rPr>
            </w:pPr>
            <w:r w:rsidRPr="000615AB">
              <w:rPr>
                <w:snapToGrid w:val="0"/>
                <w:sz w:val="18"/>
                <w:szCs w:val="18"/>
              </w:rPr>
              <w:t>S</w:t>
            </w:r>
            <w:r w:rsidRPr="000615AB">
              <w:rPr>
                <w:i/>
                <w:snapToGrid w:val="0"/>
                <w:sz w:val="18"/>
                <w:szCs w:val="18"/>
              </w:rPr>
              <w:t>bis</w:t>
            </w:r>
          </w:p>
        </w:tc>
        <w:tc>
          <w:tcPr>
            <w:tcW w:w="1210" w:type="dxa"/>
          </w:tcPr>
          <w:p w:rsidR="00383888" w:rsidRPr="000615AB" w:rsidRDefault="00383888" w:rsidP="00B47699">
            <w:pPr>
              <w:jc w:val="right"/>
              <w:rPr>
                <w:snapToGrid w:val="0"/>
                <w:sz w:val="18"/>
                <w:szCs w:val="18"/>
              </w:rPr>
            </w:pPr>
            <w:r w:rsidRPr="000615AB">
              <w:rPr>
                <w:snapToGrid w:val="0"/>
                <w:sz w:val="18"/>
                <w:szCs w:val="18"/>
              </w:rPr>
              <w:t>0,0625</w:t>
            </w:r>
          </w:p>
        </w:tc>
        <w:tc>
          <w:tcPr>
            <w:tcW w:w="1320" w:type="dxa"/>
          </w:tcPr>
          <w:p w:rsidR="00383888" w:rsidRPr="000615AB" w:rsidRDefault="00383888" w:rsidP="00B47699">
            <w:pPr>
              <w:jc w:val="right"/>
              <w:rPr>
                <w:snapToGrid w:val="0"/>
                <w:sz w:val="18"/>
                <w:szCs w:val="18"/>
              </w:rPr>
            </w:pPr>
            <w:r w:rsidRPr="000615AB">
              <w:rPr>
                <w:snapToGrid w:val="0"/>
                <w:sz w:val="18"/>
                <w:szCs w:val="18"/>
              </w:rPr>
              <w:t xml:space="preserve">2.849 </w:t>
            </w:r>
          </w:p>
        </w:tc>
        <w:tc>
          <w:tcPr>
            <w:tcW w:w="1430" w:type="dxa"/>
          </w:tcPr>
          <w:p w:rsidR="00383888" w:rsidRPr="000615AB" w:rsidRDefault="00383888" w:rsidP="00B47699">
            <w:pPr>
              <w:jc w:val="right"/>
              <w:rPr>
                <w:snapToGrid w:val="0"/>
                <w:sz w:val="18"/>
                <w:szCs w:val="18"/>
              </w:rPr>
            </w:pPr>
            <w:r w:rsidRPr="000615AB">
              <w:rPr>
                <w:snapToGrid w:val="0"/>
                <w:sz w:val="18"/>
                <w:szCs w:val="18"/>
              </w:rPr>
              <w:t xml:space="preserve">2.849 </w:t>
            </w:r>
          </w:p>
        </w:tc>
        <w:tc>
          <w:tcPr>
            <w:tcW w:w="1388" w:type="dxa"/>
          </w:tcPr>
          <w:p w:rsidR="00383888" w:rsidRPr="000615AB" w:rsidRDefault="00383888" w:rsidP="00B47699">
            <w:pPr>
              <w:jc w:val="right"/>
              <w:rPr>
                <w:snapToGrid w:val="0"/>
                <w:sz w:val="18"/>
                <w:szCs w:val="18"/>
              </w:rPr>
            </w:pPr>
            <w:r w:rsidRPr="000615AB">
              <w:rPr>
                <w:snapToGrid w:val="0"/>
                <w:sz w:val="18"/>
                <w:szCs w:val="18"/>
              </w:rPr>
              <w:t xml:space="preserve">5.698 </w:t>
            </w:r>
          </w:p>
        </w:tc>
      </w:tr>
      <w:tr w:rsidR="00383888" w:rsidRPr="000615AB" w:rsidTr="00B47699">
        <w:tc>
          <w:tcPr>
            <w:tcW w:w="3055" w:type="dxa"/>
            <w:shd w:val="pct15" w:color="auto" w:fill="auto"/>
          </w:tcPr>
          <w:p w:rsidR="00383888" w:rsidRPr="000615AB" w:rsidRDefault="00383888" w:rsidP="00B47699">
            <w:pPr>
              <w:rPr>
                <w:snapToGrid w:val="0"/>
                <w:sz w:val="18"/>
                <w:szCs w:val="18"/>
              </w:rPr>
            </w:pPr>
            <w:r w:rsidRPr="000615AB">
              <w:rPr>
                <w:b/>
                <w:snapToGrid w:val="0"/>
                <w:sz w:val="18"/>
                <w:szCs w:val="18"/>
              </w:rPr>
              <w:t>E</w:t>
            </w:r>
            <w:r w:rsidRPr="000615AB">
              <w:rPr>
                <w:snapToGrid w:val="0"/>
                <w:sz w:val="18"/>
                <w:szCs w:val="18"/>
              </w:rPr>
              <w:t>cuador</w:t>
            </w:r>
          </w:p>
        </w:tc>
        <w:tc>
          <w:tcPr>
            <w:tcW w:w="1125" w:type="dxa"/>
            <w:shd w:val="pct15" w:color="auto" w:fill="auto"/>
          </w:tcPr>
          <w:p w:rsidR="00383888" w:rsidRPr="000615AB" w:rsidRDefault="00383888" w:rsidP="00B47699">
            <w:pPr>
              <w:jc w:val="center"/>
              <w:rPr>
                <w:i/>
                <w:snapToGrid w:val="0"/>
                <w:sz w:val="18"/>
                <w:szCs w:val="18"/>
              </w:rPr>
            </w:pPr>
            <w:r w:rsidRPr="000615AB">
              <w:rPr>
                <w:snapToGrid w:val="0"/>
                <w:sz w:val="18"/>
                <w:szCs w:val="18"/>
              </w:rPr>
              <w:t>S</w:t>
            </w:r>
          </w:p>
        </w:tc>
        <w:tc>
          <w:tcPr>
            <w:tcW w:w="1210" w:type="dxa"/>
            <w:shd w:val="pct15" w:color="auto" w:fill="auto"/>
          </w:tcPr>
          <w:p w:rsidR="00383888" w:rsidRPr="000615AB" w:rsidRDefault="00383888" w:rsidP="00B47699">
            <w:pPr>
              <w:jc w:val="right"/>
              <w:rPr>
                <w:snapToGrid w:val="0"/>
                <w:sz w:val="18"/>
                <w:szCs w:val="18"/>
              </w:rPr>
            </w:pPr>
            <w:r w:rsidRPr="000615AB">
              <w:rPr>
                <w:snapToGrid w:val="0"/>
                <w:sz w:val="18"/>
                <w:szCs w:val="18"/>
              </w:rPr>
              <w:t>0,125</w:t>
            </w:r>
          </w:p>
        </w:tc>
        <w:tc>
          <w:tcPr>
            <w:tcW w:w="1320" w:type="dxa"/>
            <w:shd w:val="pct15" w:color="auto" w:fill="auto"/>
          </w:tcPr>
          <w:p w:rsidR="00383888" w:rsidRPr="000615AB" w:rsidRDefault="00383888" w:rsidP="00B47699">
            <w:pPr>
              <w:jc w:val="right"/>
              <w:rPr>
                <w:snapToGrid w:val="0"/>
                <w:sz w:val="18"/>
                <w:szCs w:val="18"/>
              </w:rPr>
            </w:pPr>
            <w:r w:rsidRPr="000615AB">
              <w:rPr>
                <w:snapToGrid w:val="0"/>
                <w:sz w:val="18"/>
                <w:szCs w:val="18"/>
              </w:rPr>
              <w:t xml:space="preserve">5.697 </w:t>
            </w:r>
          </w:p>
        </w:tc>
        <w:tc>
          <w:tcPr>
            <w:tcW w:w="1430" w:type="dxa"/>
            <w:shd w:val="pct15" w:color="auto" w:fill="auto"/>
          </w:tcPr>
          <w:p w:rsidR="00383888" w:rsidRPr="000615AB" w:rsidRDefault="00383888" w:rsidP="00B47699">
            <w:pPr>
              <w:jc w:val="right"/>
              <w:rPr>
                <w:snapToGrid w:val="0"/>
                <w:sz w:val="18"/>
                <w:szCs w:val="18"/>
              </w:rPr>
            </w:pPr>
            <w:r w:rsidRPr="000615AB">
              <w:rPr>
                <w:snapToGrid w:val="0"/>
                <w:sz w:val="18"/>
                <w:szCs w:val="18"/>
              </w:rPr>
              <w:t xml:space="preserve">5.697 </w:t>
            </w:r>
          </w:p>
        </w:tc>
        <w:tc>
          <w:tcPr>
            <w:tcW w:w="1388" w:type="dxa"/>
            <w:shd w:val="pct15" w:color="auto" w:fill="auto"/>
          </w:tcPr>
          <w:p w:rsidR="00383888" w:rsidRPr="000615AB" w:rsidRDefault="00383888" w:rsidP="00B47699">
            <w:pPr>
              <w:jc w:val="right"/>
              <w:rPr>
                <w:snapToGrid w:val="0"/>
                <w:sz w:val="18"/>
                <w:szCs w:val="18"/>
              </w:rPr>
            </w:pPr>
            <w:r w:rsidRPr="000615AB">
              <w:rPr>
                <w:snapToGrid w:val="0"/>
                <w:sz w:val="18"/>
                <w:szCs w:val="18"/>
              </w:rPr>
              <w:t xml:space="preserve">11.394 </w:t>
            </w:r>
          </w:p>
        </w:tc>
      </w:tr>
      <w:tr w:rsidR="00383888" w:rsidRPr="000615AB" w:rsidTr="00B47699">
        <w:tc>
          <w:tcPr>
            <w:tcW w:w="3055" w:type="dxa"/>
            <w:shd w:val="clear" w:color="auto" w:fill="FFFFFF"/>
          </w:tcPr>
          <w:p w:rsidR="00383888" w:rsidRPr="000615AB" w:rsidRDefault="00383888" w:rsidP="00B47699">
            <w:pPr>
              <w:rPr>
                <w:snapToGrid w:val="0"/>
                <w:sz w:val="18"/>
                <w:szCs w:val="18"/>
              </w:rPr>
            </w:pPr>
            <w:r w:rsidRPr="000615AB">
              <w:rPr>
                <w:snapToGrid w:val="0"/>
                <w:sz w:val="18"/>
                <w:szCs w:val="18"/>
              </w:rPr>
              <w:t>Egipto</w:t>
            </w:r>
          </w:p>
        </w:tc>
        <w:tc>
          <w:tcPr>
            <w:tcW w:w="1125" w:type="dxa"/>
            <w:shd w:val="clear" w:color="auto" w:fill="FFFFFF"/>
          </w:tcPr>
          <w:p w:rsidR="00383888" w:rsidRPr="000615AB" w:rsidRDefault="00383888" w:rsidP="00B47699">
            <w:pPr>
              <w:jc w:val="center"/>
              <w:rPr>
                <w:snapToGrid w:val="0"/>
                <w:sz w:val="18"/>
                <w:szCs w:val="18"/>
              </w:rPr>
            </w:pPr>
            <w:r w:rsidRPr="000615AB">
              <w:rPr>
                <w:snapToGrid w:val="0"/>
                <w:sz w:val="18"/>
                <w:szCs w:val="18"/>
              </w:rPr>
              <w:t>IX</w:t>
            </w:r>
          </w:p>
        </w:tc>
        <w:tc>
          <w:tcPr>
            <w:tcW w:w="1210" w:type="dxa"/>
            <w:shd w:val="clear" w:color="auto" w:fill="FFFFFF"/>
          </w:tcPr>
          <w:p w:rsidR="00383888" w:rsidRPr="000615AB" w:rsidRDefault="00383888" w:rsidP="00B47699">
            <w:pPr>
              <w:jc w:val="right"/>
              <w:rPr>
                <w:snapToGrid w:val="0"/>
                <w:sz w:val="18"/>
                <w:szCs w:val="18"/>
              </w:rPr>
            </w:pPr>
            <w:r w:rsidRPr="000615AB">
              <w:rPr>
                <w:snapToGrid w:val="0"/>
                <w:sz w:val="18"/>
                <w:szCs w:val="18"/>
              </w:rPr>
              <w:t>0,25</w:t>
            </w:r>
          </w:p>
        </w:tc>
        <w:tc>
          <w:tcPr>
            <w:tcW w:w="1320" w:type="dxa"/>
            <w:shd w:val="clear" w:color="auto" w:fill="FFFFFF"/>
          </w:tcPr>
          <w:p w:rsidR="00383888" w:rsidRPr="000615AB" w:rsidRDefault="00383888" w:rsidP="00B47699">
            <w:pPr>
              <w:jc w:val="right"/>
              <w:rPr>
                <w:snapToGrid w:val="0"/>
                <w:sz w:val="18"/>
                <w:szCs w:val="18"/>
              </w:rPr>
            </w:pPr>
            <w:r w:rsidRPr="000615AB">
              <w:rPr>
                <w:snapToGrid w:val="0"/>
                <w:sz w:val="18"/>
                <w:szCs w:val="18"/>
              </w:rPr>
              <w:t>11.395</w:t>
            </w:r>
          </w:p>
        </w:tc>
        <w:tc>
          <w:tcPr>
            <w:tcW w:w="1430" w:type="dxa"/>
            <w:shd w:val="clear" w:color="auto" w:fill="FFFFFF"/>
          </w:tcPr>
          <w:p w:rsidR="00383888" w:rsidRPr="000615AB" w:rsidRDefault="00383888" w:rsidP="00B47699">
            <w:pPr>
              <w:jc w:val="right"/>
              <w:rPr>
                <w:snapToGrid w:val="0"/>
                <w:sz w:val="18"/>
                <w:szCs w:val="18"/>
              </w:rPr>
            </w:pPr>
            <w:r w:rsidRPr="000615AB">
              <w:rPr>
                <w:snapToGrid w:val="0"/>
                <w:sz w:val="18"/>
                <w:szCs w:val="18"/>
              </w:rPr>
              <w:t>11.395</w:t>
            </w:r>
          </w:p>
        </w:tc>
        <w:tc>
          <w:tcPr>
            <w:tcW w:w="1388" w:type="dxa"/>
            <w:shd w:val="clear" w:color="auto" w:fill="FFFFFF"/>
          </w:tcPr>
          <w:p w:rsidR="00383888" w:rsidRPr="000615AB" w:rsidRDefault="00383888" w:rsidP="00B47699">
            <w:pPr>
              <w:jc w:val="right"/>
              <w:rPr>
                <w:snapToGrid w:val="0"/>
                <w:sz w:val="18"/>
                <w:szCs w:val="18"/>
              </w:rPr>
            </w:pPr>
            <w:r w:rsidRPr="000615AB">
              <w:rPr>
                <w:snapToGrid w:val="0"/>
                <w:sz w:val="18"/>
                <w:szCs w:val="18"/>
              </w:rPr>
              <w:t xml:space="preserve">22.790 </w:t>
            </w:r>
          </w:p>
        </w:tc>
      </w:tr>
      <w:tr w:rsidR="00383888" w:rsidRPr="000615AB" w:rsidTr="00B47699">
        <w:tc>
          <w:tcPr>
            <w:tcW w:w="3055" w:type="dxa"/>
            <w:shd w:val="pct15" w:color="auto" w:fill="auto"/>
          </w:tcPr>
          <w:p w:rsidR="00383888" w:rsidRPr="000615AB" w:rsidRDefault="00383888" w:rsidP="00B47699">
            <w:pPr>
              <w:rPr>
                <w:snapToGrid w:val="0"/>
                <w:sz w:val="18"/>
                <w:szCs w:val="18"/>
              </w:rPr>
            </w:pPr>
            <w:r w:rsidRPr="000615AB">
              <w:rPr>
                <w:snapToGrid w:val="0"/>
                <w:sz w:val="18"/>
                <w:szCs w:val="18"/>
              </w:rPr>
              <w:t>El Salvador</w:t>
            </w:r>
          </w:p>
        </w:tc>
        <w:tc>
          <w:tcPr>
            <w:tcW w:w="1125" w:type="dxa"/>
            <w:shd w:val="pct15" w:color="auto" w:fill="auto"/>
          </w:tcPr>
          <w:p w:rsidR="00383888" w:rsidRPr="000615AB" w:rsidRDefault="00383888" w:rsidP="00B47699">
            <w:pPr>
              <w:jc w:val="center"/>
              <w:rPr>
                <w:i/>
                <w:snapToGrid w:val="0"/>
                <w:sz w:val="18"/>
                <w:szCs w:val="18"/>
              </w:rPr>
            </w:pPr>
            <w:r w:rsidRPr="000615AB">
              <w:rPr>
                <w:snapToGrid w:val="0"/>
                <w:sz w:val="18"/>
                <w:szCs w:val="18"/>
              </w:rPr>
              <w:t>S</w:t>
            </w:r>
            <w:r w:rsidRPr="000615AB">
              <w:rPr>
                <w:i/>
                <w:snapToGrid w:val="0"/>
                <w:sz w:val="18"/>
                <w:szCs w:val="18"/>
              </w:rPr>
              <w:t>bis</w:t>
            </w:r>
          </w:p>
        </w:tc>
        <w:tc>
          <w:tcPr>
            <w:tcW w:w="1210" w:type="dxa"/>
            <w:shd w:val="pct15" w:color="auto" w:fill="auto"/>
          </w:tcPr>
          <w:p w:rsidR="00383888" w:rsidRPr="000615AB" w:rsidRDefault="00383888" w:rsidP="00B47699">
            <w:pPr>
              <w:jc w:val="right"/>
              <w:rPr>
                <w:snapToGrid w:val="0"/>
                <w:sz w:val="18"/>
                <w:szCs w:val="18"/>
              </w:rPr>
            </w:pPr>
            <w:r w:rsidRPr="000615AB">
              <w:rPr>
                <w:snapToGrid w:val="0"/>
                <w:sz w:val="18"/>
                <w:szCs w:val="18"/>
              </w:rPr>
              <w:t>0,0625</w:t>
            </w:r>
          </w:p>
        </w:tc>
        <w:tc>
          <w:tcPr>
            <w:tcW w:w="1320" w:type="dxa"/>
            <w:shd w:val="pct15" w:color="auto" w:fill="auto"/>
          </w:tcPr>
          <w:p w:rsidR="00383888" w:rsidRPr="000615AB" w:rsidRDefault="00383888" w:rsidP="00B47699">
            <w:pPr>
              <w:jc w:val="right"/>
              <w:rPr>
                <w:snapToGrid w:val="0"/>
                <w:sz w:val="18"/>
                <w:szCs w:val="18"/>
              </w:rPr>
            </w:pPr>
            <w:r w:rsidRPr="000615AB">
              <w:rPr>
                <w:snapToGrid w:val="0"/>
                <w:sz w:val="18"/>
                <w:szCs w:val="18"/>
              </w:rPr>
              <w:t>2.849</w:t>
            </w:r>
          </w:p>
        </w:tc>
        <w:tc>
          <w:tcPr>
            <w:tcW w:w="1430" w:type="dxa"/>
            <w:shd w:val="pct15" w:color="auto" w:fill="auto"/>
          </w:tcPr>
          <w:p w:rsidR="00383888" w:rsidRPr="000615AB" w:rsidRDefault="00383888" w:rsidP="00B47699">
            <w:pPr>
              <w:jc w:val="right"/>
              <w:rPr>
                <w:snapToGrid w:val="0"/>
                <w:sz w:val="18"/>
                <w:szCs w:val="18"/>
              </w:rPr>
            </w:pPr>
            <w:r w:rsidRPr="000615AB">
              <w:rPr>
                <w:snapToGrid w:val="0"/>
                <w:sz w:val="18"/>
                <w:szCs w:val="18"/>
              </w:rPr>
              <w:t>2.849</w:t>
            </w:r>
          </w:p>
        </w:tc>
        <w:tc>
          <w:tcPr>
            <w:tcW w:w="1388" w:type="dxa"/>
            <w:shd w:val="pct15" w:color="auto" w:fill="auto"/>
          </w:tcPr>
          <w:p w:rsidR="00383888" w:rsidRPr="000615AB" w:rsidRDefault="00383888" w:rsidP="00B47699">
            <w:pPr>
              <w:jc w:val="right"/>
              <w:rPr>
                <w:snapToGrid w:val="0"/>
                <w:sz w:val="18"/>
                <w:szCs w:val="18"/>
              </w:rPr>
            </w:pPr>
            <w:r w:rsidRPr="000615AB">
              <w:rPr>
                <w:snapToGrid w:val="0"/>
                <w:sz w:val="18"/>
                <w:szCs w:val="18"/>
              </w:rPr>
              <w:t>5.698</w:t>
            </w:r>
          </w:p>
        </w:tc>
      </w:tr>
      <w:tr w:rsidR="00383888" w:rsidRPr="000615AB" w:rsidTr="00B47699">
        <w:tc>
          <w:tcPr>
            <w:tcW w:w="3055" w:type="dxa"/>
            <w:shd w:val="clear" w:color="auto" w:fill="FFFFFF"/>
          </w:tcPr>
          <w:p w:rsidR="00383888" w:rsidRPr="000615AB" w:rsidRDefault="00383888" w:rsidP="00B47699">
            <w:pPr>
              <w:rPr>
                <w:snapToGrid w:val="0"/>
                <w:sz w:val="18"/>
                <w:szCs w:val="18"/>
              </w:rPr>
            </w:pPr>
            <w:r w:rsidRPr="000615AB">
              <w:rPr>
                <w:snapToGrid w:val="0"/>
                <w:sz w:val="18"/>
                <w:szCs w:val="18"/>
              </w:rPr>
              <w:t xml:space="preserve">Emiratos Árabes Unidos </w:t>
            </w:r>
          </w:p>
        </w:tc>
        <w:tc>
          <w:tcPr>
            <w:tcW w:w="1125" w:type="dxa"/>
            <w:shd w:val="clear" w:color="auto" w:fill="FFFFFF"/>
          </w:tcPr>
          <w:p w:rsidR="00383888" w:rsidRPr="000615AB" w:rsidRDefault="00383888" w:rsidP="00B47699">
            <w:pPr>
              <w:jc w:val="center"/>
              <w:rPr>
                <w:snapToGrid w:val="0"/>
                <w:sz w:val="18"/>
                <w:szCs w:val="18"/>
              </w:rPr>
            </w:pPr>
            <w:r w:rsidRPr="000615AB">
              <w:rPr>
                <w:snapToGrid w:val="0"/>
                <w:sz w:val="18"/>
                <w:szCs w:val="18"/>
              </w:rPr>
              <w:t>IX</w:t>
            </w:r>
          </w:p>
        </w:tc>
        <w:tc>
          <w:tcPr>
            <w:tcW w:w="1210" w:type="dxa"/>
            <w:shd w:val="clear" w:color="auto" w:fill="FFFFFF"/>
          </w:tcPr>
          <w:p w:rsidR="00383888" w:rsidRPr="000615AB" w:rsidRDefault="00383888" w:rsidP="00B47699">
            <w:pPr>
              <w:jc w:val="right"/>
              <w:rPr>
                <w:snapToGrid w:val="0"/>
                <w:sz w:val="18"/>
                <w:szCs w:val="18"/>
              </w:rPr>
            </w:pPr>
            <w:r w:rsidRPr="000615AB">
              <w:rPr>
                <w:snapToGrid w:val="0"/>
                <w:sz w:val="18"/>
                <w:szCs w:val="18"/>
              </w:rPr>
              <w:t>0,25</w:t>
            </w:r>
          </w:p>
        </w:tc>
        <w:tc>
          <w:tcPr>
            <w:tcW w:w="1320" w:type="dxa"/>
            <w:shd w:val="clear" w:color="auto" w:fill="FFFFFF"/>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11.395 </w:t>
            </w:r>
          </w:p>
        </w:tc>
        <w:tc>
          <w:tcPr>
            <w:tcW w:w="1430" w:type="dxa"/>
            <w:shd w:val="clear" w:color="auto" w:fill="FFFFFF"/>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11.395 </w:t>
            </w:r>
          </w:p>
        </w:tc>
        <w:tc>
          <w:tcPr>
            <w:tcW w:w="1388" w:type="dxa"/>
            <w:shd w:val="clear" w:color="auto" w:fill="FFFFFF"/>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22.790 </w:t>
            </w:r>
          </w:p>
        </w:tc>
      </w:tr>
      <w:tr w:rsidR="00383888" w:rsidRPr="000615AB" w:rsidTr="00B47699">
        <w:tc>
          <w:tcPr>
            <w:tcW w:w="3055" w:type="dxa"/>
            <w:shd w:val="pct15" w:color="auto" w:fill="auto"/>
          </w:tcPr>
          <w:p w:rsidR="00383888" w:rsidRPr="000615AB" w:rsidRDefault="00383888" w:rsidP="00B47699">
            <w:pPr>
              <w:rPr>
                <w:snapToGrid w:val="0"/>
                <w:sz w:val="18"/>
                <w:szCs w:val="18"/>
                <w:vertAlign w:val="superscript"/>
              </w:rPr>
            </w:pPr>
            <w:r w:rsidRPr="000615AB">
              <w:rPr>
                <w:snapToGrid w:val="0"/>
                <w:sz w:val="18"/>
                <w:szCs w:val="18"/>
              </w:rPr>
              <w:t xml:space="preserve">Eritrea </w:t>
            </w:r>
            <w:r w:rsidRPr="000615AB">
              <w:rPr>
                <w:snapToGrid w:val="0"/>
                <w:sz w:val="18"/>
                <w:szCs w:val="18"/>
                <w:vertAlign w:val="superscript"/>
              </w:rPr>
              <w:t>2</w:t>
            </w:r>
          </w:p>
        </w:tc>
        <w:tc>
          <w:tcPr>
            <w:tcW w:w="1125" w:type="dxa"/>
            <w:shd w:val="pct15" w:color="auto" w:fill="auto"/>
          </w:tcPr>
          <w:p w:rsidR="00383888" w:rsidRPr="000615AB" w:rsidRDefault="00383888" w:rsidP="00B47699">
            <w:pPr>
              <w:jc w:val="center"/>
              <w:rPr>
                <w:i/>
                <w:snapToGrid w:val="0"/>
                <w:sz w:val="18"/>
                <w:szCs w:val="18"/>
              </w:rPr>
            </w:pPr>
            <w:r w:rsidRPr="000615AB">
              <w:rPr>
                <w:snapToGrid w:val="0"/>
                <w:sz w:val="18"/>
                <w:szCs w:val="18"/>
              </w:rPr>
              <w:t>S</w:t>
            </w:r>
            <w:r w:rsidRPr="000615AB">
              <w:rPr>
                <w:i/>
                <w:snapToGrid w:val="0"/>
                <w:sz w:val="18"/>
                <w:szCs w:val="18"/>
              </w:rPr>
              <w:t>ter</w:t>
            </w:r>
          </w:p>
        </w:tc>
        <w:tc>
          <w:tcPr>
            <w:tcW w:w="1210" w:type="dxa"/>
            <w:shd w:val="pct15" w:color="auto" w:fill="auto"/>
          </w:tcPr>
          <w:p w:rsidR="00383888" w:rsidRPr="000615AB" w:rsidRDefault="00383888" w:rsidP="00B47699">
            <w:pPr>
              <w:jc w:val="right"/>
              <w:rPr>
                <w:snapToGrid w:val="0"/>
                <w:sz w:val="18"/>
                <w:szCs w:val="18"/>
              </w:rPr>
            </w:pPr>
            <w:r w:rsidRPr="000615AB">
              <w:rPr>
                <w:snapToGrid w:val="0"/>
                <w:sz w:val="18"/>
                <w:szCs w:val="18"/>
              </w:rPr>
              <w:t>0,03125</w:t>
            </w:r>
          </w:p>
        </w:tc>
        <w:tc>
          <w:tcPr>
            <w:tcW w:w="1320"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1.424 </w:t>
            </w:r>
          </w:p>
        </w:tc>
        <w:tc>
          <w:tcPr>
            <w:tcW w:w="1430"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1.424 </w:t>
            </w:r>
          </w:p>
        </w:tc>
        <w:tc>
          <w:tcPr>
            <w:tcW w:w="1388"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2.848 </w:t>
            </w:r>
          </w:p>
        </w:tc>
      </w:tr>
      <w:tr w:rsidR="00383888" w:rsidRPr="000615AB" w:rsidTr="00B47699">
        <w:tc>
          <w:tcPr>
            <w:tcW w:w="3055" w:type="dxa"/>
            <w:shd w:val="clear" w:color="auto" w:fill="FFFFFF"/>
          </w:tcPr>
          <w:p w:rsidR="00383888" w:rsidRPr="000615AB" w:rsidRDefault="00383888" w:rsidP="00B47699">
            <w:pPr>
              <w:rPr>
                <w:snapToGrid w:val="0"/>
                <w:sz w:val="18"/>
                <w:szCs w:val="18"/>
              </w:rPr>
            </w:pPr>
            <w:r w:rsidRPr="000615AB">
              <w:rPr>
                <w:snapToGrid w:val="0"/>
                <w:sz w:val="18"/>
                <w:szCs w:val="18"/>
              </w:rPr>
              <w:t>Eslovaquia</w:t>
            </w:r>
          </w:p>
        </w:tc>
        <w:tc>
          <w:tcPr>
            <w:tcW w:w="1125" w:type="dxa"/>
            <w:shd w:val="clear" w:color="auto" w:fill="FFFFFF"/>
          </w:tcPr>
          <w:p w:rsidR="00383888" w:rsidRPr="000615AB" w:rsidRDefault="00383888" w:rsidP="00B47699">
            <w:pPr>
              <w:jc w:val="center"/>
              <w:rPr>
                <w:snapToGrid w:val="0"/>
                <w:sz w:val="18"/>
                <w:szCs w:val="18"/>
              </w:rPr>
            </w:pPr>
            <w:r w:rsidRPr="000615AB">
              <w:rPr>
                <w:snapToGrid w:val="0"/>
                <w:sz w:val="18"/>
                <w:szCs w:val="18"/>
              </w:rPr>
              <w:t>VI</w:t>
            </w:r>
          </w:p>
        </w:tc>
        <w:tc>
          <w:tcPr>
            <w:tcW w:w="1210" w:type="dxa"/>
            <w:shd w:val="clear" w:color="auto" w:fill="FFFFFF"/>
          </w:tcPr>
          <w:p w:rsidR="00383888" w:rsidRPr="000615AB" w:rsidRDefault="00383888" w:rsidP="00B47699">
            <w:pPr>
              <w:jc w:val="right"/>
              <w:rPr>
                <w:snapToGrid w:val="0"/>
                <w:sz w:val="18"/>
                <w:szCs w:val="18"/>
              </w:rPr>
            </w:pPr>
            <w:r w:rsidRPr="000615AB">
              <w:rPr>
                <w:snapToGrid w:val="0"/>
                <w:sz w:val="18"/>
                <w:szCs w:val="18"/>
              </w:rPr>
              <w:t>3</w:t>
            </w:r>
          </w:p>
        </w:tc>
        <w:tc>
          <w:tcPr>
            <w:tcW w:w="1320" w:type="dxa"/>
            <w:shd w:val="clear" w:color="auto" w:fill="FFFFFF"/>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136.737 </w:t>
            </w:r>
          </w:p>
        </w:tc>
        <w:tc>
          <w:tcPr>
            <w:tcW w:w="1430" w:type="dxa"/>
            <w:shd w:val="clear" w:color="auto" w:fill="FFFFFF"/>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136.737 </w:t>
            </w:r>
          </w:p>
        </w:tc>
        <w:tc>
          <w:tcPr>
            <w:tcW w:w="1388" w:type="dxa"/>
            <w:shd w:val="clear" w:color="auto" w:fill="FFFFFF"/>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273.474 </w:t>
            </w:r>
          </w:p>
        </w:tc>
      </w:tr>
      <w:tr w:rsidR="00383888" w:rsidRPr="000615AB" w:rsidTr="00B47699">
        <w:tc>
          <w:tcPr>
            <w:tcW w:w="3055" w:type="dxa"/>
            <w:shd w:val="pct15" w:color="auto" w:fill="auto"/>
          </w:tcPr>
          <w:p w:rsidR="00383888" w:rsidRPr="000615AB" w:rsidRDefault="00383888" w:rsidP="00B47699">
            <w:pPr>
              <w:rPr>
                <w:snapToGrid w:val="0"/>
                <w:sz w:val="18"/>
                <w:szCs w:val="18"/>
              </w:rPr>
            </w:pPr>
            <w:r w:rsidRPr="000615AB">
              <w:rPr>
                <w:snapToGrid w:val="0"/>
                <w:sz w:val="18"/>
                <w:szCs w:val="18"/>
              </w:rPr>
              <w:t>Eslovenia</w:t>
            </w:r>
          </w:p>
        </w:tc>
        <w:tc>
          <w:tcPr>
            <w:tcW w:w="1125" w:type="dxa"/>
            <w:shd w:val="pct15" w:color="auto" w:fill="auto"/>
          </w:tcPr>
          <w:p w:rsidR="00383888" w:rsidRPr="000615AB" w:rsidRDefault="00383888" w:rsidP="00B47699">
            <w:pPr>
              <w:jc w:val="center"/>
              <w:rPr>
                <w:snapToGrid w:val="0"/>
                <w:sz w:val="18"/>
                <w:szCs w:val="18"/>
              </w:rPr>
            </w:pPr>
            <w:r w:rsidRPr="000615AB">
              <w:rPr>
                <w:snapToGrid w:val="0"/>
                <w:sz w:val="18"/>
                <w:szCs w:val="18"/>
              </w:rPr>
              <w:t>VII</w:t>
            </w:r>
          </w:p>
        </w:tc>
        <w:tc>
          <w:tcPr>
            <w:tcW w:w="1210" w:type="dxa"/>
            <w:shd w:val="pct15" w:color="auto" w:fill="auto"/>
          </w:tcPr>
          <w:p w:rsidR="00383888" w:rsidRPr="000615AB" w:rsidRDefault="00383888" w:rsidP="00B47699">
            <w:pPr>
              <w:jc w:val="right"/>
              <w:rPr>
                <w:snapToGrid w:val="0"/>
                <w:sz w:val="18"/>
                <w:szCs w:val="18"/>
              </w:rPr>
            </w:pPr>
            <w:r w:rsidRPr="000615AB">
              <w:rPr>
                <w:snapToGrid w:val="0"/>
                <w:sz w:val="18"/>
                <w:szCs w:val="18"/>
              </w:rPr>
              <w:t>1</w:t>
            </w:r>
          </w:p>
        </w:tc>
        <w:tc>
          <w:tcPr>
            <w:tcW w:w="1320"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45.579 </w:t>
            </w:r>
          </w:p>
        </w:tc>
        <w:tc>
          <w:tcPr>
            <w:tcW w:w="1430"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45.579 </w:t>
            </w:r>
          </w:p>
        </w:tc>
        <w:tc>
          <w:tcPr>
            <w:tcW w:w="1388"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91.158 </w:t>
            </w:r>
          </w:p>
        </w:tc>
      </w:tr>
      <w:tr w:rsidR="00383888" w:rsidRPr="000615AB" w:rsidTr="00B47699">
        <w:tc>
          <w:tcPr>
            <w:tcW w:w="3055" w:type="dxa"/>
            <w:shd w:val="clear" w:color="auto" w:fill="FFFFFF"/>
          </w:tcPr>
          <w:p w:rsidR="00383888" w:rsidRPr="000615AB" w:rsidRDefault="00383888" w:rsidP="00B47699">
            <w:pPr>
              <w:rPr>
                <w:snapToGrid w:val="0"/>
                <w:sz w:val="18"/>
                <w:szCs w:val="18"/>
              </w:rPr>
            </w:pPr>
            <w:r w:rsidRPr="000615AB">
              <w:rPr>
                <w:snapToGrid w:val="0"/>
                <w:sz w:val="18"/>
                <w:szCs w:val="18"/>
              </w:rPr>
              <w:t>España</w:t>
            </w:r>
          </w:p>
        </w:tc>
        <w:tc>
          <w:tcPr>
            <w:tcW w:w="1125" w:type="dxa"/>
            <w:shd w:val="clear" w:color="auto" w:fill="FFFFFF"/>
          </w:tcPr>
          <w:p w:rsidR="00383888" w:rsidRPr="000615AB" w:rsidRDefault="00383888" w:rsidP="00B47699">
            <w:pPr>
              <w:jc w:val="center"/>
              <w:rPr>
                <w:snapToGrid w:val="0"/>
                <w:sz w:val="18"/>
                <w:szCs w:val="18"/>
              </w:rPr>
            </w:pPr>
            <w:r w:rsidRPr="000615AB">
              <w:rPr>
                <w:snapToGrid w:val="0"/>
                <w:sz w:val="18"/>
                <w:szCs w:val="18"/>
              </w:rPr>
              <w:t>IV</w:t>
            </w:r>
          </w:p>
        </w:tc>
        <w:tc>
          <w:tcPr>
            <w:tcW w:w="1210" w:type="dxa"/>
            <w:shd w:val="clear" w:color="auto" w:fill="FFFFFF"/>
          </w:tcPr>
          <w:p w:rsidR="00383888" w:rsidRPr="000615AB" w:rsidRDefault="00383888" w:rsidP="00B47699">
            <w:pPr>
              <w:jc w:val="right"/>
              <w:rPr>
                <w:snapToGrid w:val="0"/>
                <w:sz w:val="18"/>
                <w:szCs w:val="18"/>
              </w:rPr>
            </w:pPr>
            <w:r w:rsidRPr="000615AB">
              <w:rPr>
                <w:snapToGrid w:val="0"/>
                <w:sz w:val="18"/>
                <w:szCs w:val="18"/>
              </w:rPr>
              <w:t>10</w:t>
            </w:r>
          </w:p>
        </w:tc>
        <w:tc>
          <w:tcPr>
            <w:tcW w:w="1320" w:type="dxa"/>
            <w:shd w:val="clear" w:color="auto" w:fill="FFFFFF"/>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455.790 </w:t>
            </w:r>
          </w:p>
        </w:tc>
        <w:tc>
          <w:tcPr>
            <w:tcW w:w="1430" w:type="dxa"/>
            <w:shd w:val="clear" w:color="auto" w:fill="FFFFFF"/>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455.790 </w:t>
            </w:r>
          </w:p>
        </w:tc>
        <w:tc>
          <w:tcPr>
            <w:tcW w:w="1388" w:type="dxa"/>
            <w:shd w:val="clear" w:color="auto" w:fill="FFFFFF"/>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911.580 </w:t>
            </w:r>
          </w:p>
        </w:tc>
      </w:tr>
      <w:tr w:rsidR="00383888" w:rsidRPr="000615AB" w:rsidTr="00B47699">
        <w:tc>
          <w:tcPr>
            <w:tcW w:w="3055" w:type="dxa"/>
            <w:shd w:val="pct15" w:color="auto" w:fill="auto"/>
          </w:tcPr>
          <w:p w:rsidR="00383888" w:rsidRPr="000615AB" w:rsidRDefault="00383888" w:rsidP="00B47699">
            <w:pPr>
              <w:rPr>
                <w:snapToGrid w:val="0"/>
                <w:sz w:val="18"/>
                <w:szCs w:val="18"/>
              </w:rPr>
            </w:pPr>
            <w:r w:rsidRPr="000615AB">
              <w:rPr>
                <w:snapToGrid w:val="0"/>
                <w:sz w:val="18"/>
                <w:szCs w:val="18"/>
              </w:rPr>
              <w:t xml:space="preserve">Estados Unidos de América </w:t>
            </w:r>
          </w:p>
        </w:tc>
        <w:tc>
          <w:tcPr>
            <w:tcW w:w="1125" w:type="dxa"/>
            <w:shd w:val="pct15" w:color="auto" w:fill="auto"/>
          </w:tcPr>
          <w:p w:rsidR="00383888" w:rsidRPr="000615AB" w:rsidRDefault="00383888" w:rsidP="00B47699">
            <w:pPr>
              <w:jc w:val="center"/>
              <w:rPr>
                <w:snapToGrid w:val="0"/>
                <w:sz w:val="18"/>
                <w:szCs w:val="18"/>
              </w:rPr>
            </w:pPr>
            <w:r w:rsidRPr="000615AB">
              <w:rPr>
                <w:snapToGrid w:val="0"/>
                <w:sz w:val="18"/>
                <w:szCs w:val="18"/>
              </w:rPr>
              <w:t>I</w:t>
            </w:r>
          </w:p>
        </w:tc>
        <w:tc>
          <w:tcPr>
            <w:tcW w:w="1210" w:type="dxa"/>
            <w:shd w:val="pct15" w:color="auto" w:fill="auto"/>
          </w:tcPr>
          <w:p w:rsidR="00383888" w:rsidRPr="000615AB" w:rsidRDefault="00383888" w:rsidP="00B47699">
            <w:pPr>
              <w:jc w:val="right"/>
              <w:rPr>
                <w:snapToGrid w:val="0"/>
                <w:sz w:val="18"/>
                <w:szCs w:val="18"/>
              </w:rPr>
            </w:pPr>
            <w:r w:rsidRPr="000615AB">
              <w:rPr>
                <w:snapToGrid w:val="0"/>
                <w:sz w:val="18"/>
                <w:szCs w:val="18"/>
              </w:rPr>
              <w:t>25</w:t>
            </w:r>
          </w:p>
        </w:tc>
        <w:tc>
          <w:tcPr>
            <w:tcW w:w="1320"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1.139.475 </w:t>
            </w:r>
          </w:p>
        </w:tc>
        <w:tc>
          <w:tcPr>
            <w:tcW w:w="1430"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1.139.475 </w:t>
            </w:r>
          </w:p>
        </w:tc>
        <w:tc>
          <w:tcPr>
            <w:tcW w:w="1388"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2.278.950 </w:t>
            </w:r>
          </w:p>
        </w:tc>
      </w:tr>
      <w:tr w:rsidR="00383888" w:rsidRPr="000615AB" w:rsidTr="00B47699">
        <w:tc>
          <w:tcPr>
            <w:tcW w:w="3055" w:type="dxa"/>
            <w:shd w:val="clear" w:color="auto" w:fill="FFFFFF"/>
          </w:tcPr>
          <w:p w:rsidR="00383888" w:rsidRPr="000615AB" w:rsidRDefault="00383888" w:rsidP="00B47699">
            <w:pPr>
              <w:rPr>
                <w:snapToGrid w:val="0"/>
                <w:sz w:val="18"/>
                <w:szCs w:val="18"/>
              </w:rPr>
            </w:pPr>
            <w:r w:rsidRPr="000615AB">
              <w:rPr>
                <w:snapToGrid w:val="0"/>
                <w:sz w:val="18"/>
                <w:szCs w:val="18"/>
              </w:rPr>
              <w:lastRenderedPageBreak/>
              <w:t>Estonia</w:t>
            </w:r>
          </w:p>
        </w:tc>
        <w:tc>
          <w:tcPr>
            <w:tcW w:w="1125" w:type="dxa"/>
            <w:shd w:val="clear" w:color="auto" w:fill="FFFFFF"/>
          </w:tcPr>
          <w:p w:rsidR="00383888" w:rsidRPr="000615AB" w:rsidRDefault="00383888" w:rsidP="00B47699">
            <w:pPr>
              <w:jc w:val="center"/>
              <w:rPr>
                <w:snapToGrid w:val="0"/>
                <w:sz w:val="18"/>
                <w:szCs w:val="18"/>
              </w:rPr>
            </w:pPr>
            <w:r w:rsidRPr="000615AB">
              <w:rPr>
                <w:snapToGrid w:val="0"/>
                <w:sz w:val="18"/>
                <w:szCs w:val="18"/>
              </w:rPr>
              <w:t>IX</w:t>
            </w:r>
          </w:p>
        </w:tc>
        <w:tc>
          <w:tcPr>
            <w:tcW w:w="1210" w:type="dxa"/>
            <w:shd w:val="clear" w:color="auto" w:fill="FFFFFF"/>
          </w:tcPr>
          <w:p w:rsidR="00383888" w:rsidRPr="000615AB" w:rsidRDefault="00383888" w:rsidP="00B47699">
            <w:pPr>
              <w:jc w:val="right"/>
              <w:rPr>
                <w:snapToGrid w:val="0"/>
                <w:sz w:val="18"/>
                <w:szCs w:val="18"/>
              </w:rPr>
            </w:pPr>
            <w:r w:rsidRPr="000615AB">
              <w:rPr>
                <w:snapToGrid w:val="0"/>
                <w:sz w:val="18"/>
                <w:szCs w:val="18"/>
              </w:rPr>
              <w:t>0,25</w:t>
            </w:r>
          </w:p>
        </w:tc>
        <w:tc>
          <w:tcPr>
            <w:tcW w:w="1320" w:type="dxa"/>
            <w:shd w:val="clear" w:color="auto" w:fill="FFFFFF"/>
          </w:tcPr>
          <w:p w:rsidR="00383888" w:rsidRPr="000615AB" w:rsidRDefault="00383888" w:rsidP="00B47699">
            <w:pPr>
              <w:jc w:val="right"/>
              <w:rPr>
                <w:snapToGrid w:val="0"/>
                <w:sz w:val="18"/>
                <w:szCs w:val="18"/>
              </w:rPr>
            </w:pPr>
            <w:r w:rsidRPr="000615AB">
              <w:rPr>
                <w:snapToGrid w:val="0"/>
                <w:sz w:val="18"/>
                <w:szCs w:val="18"/>
              </w:rPr>
              <w:t xml:space="preserve">11.395 </w:t>
            </w:r>
          </w:p>
        </w:tc>
        <w:tc>
          <w:tcPr>
            <w:tcW w:w="1430" w:type="dxa"/>
            <w:shd w:val="clear" w:color="auto" w:fill="FFFFFF"/>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11.395 </w:t>
            </w:r>
          </w:p>
        </w:tc>
        <w:tc>
          <w:tcPr>
            <w:tcW w:w="1388" w:type="dxa"/>
            <w:shd w:val="clear" w:color="auto" w:fill="FFFFFF"/>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22.790 </w:t>
            </w:r>
          </w:p>
        </w:tc>
      </w:tr>
      <w:tr w:rsidR="00383888" w:rsidRPr="000615AB" w:rsidTr="00B47699">
        <w:tc>
          <w:tcPr>
            <w:tcW w:w="3055" w:type="dxa"/>
            <w:shd w:val="pct15" w:color="auto" w:fill="auto"/>
          </w:tcPr>
          <w:p w:rsidR="00383888" w:rsidRPr="000615AB" w:rsidRDefault="00383888" w:rsidP="00B47699">
            <w:pPr>
              <w:rPr>
                <w:snapToGrid w:val="0"/>
                <w:sz w:val="18"/>
                <w:szCs w:val="18"/>
                <w:vertAlign w:val="superscript"/>
              </w:rPr>
            </w:pPr>
            <w:r w:rsidRPr="000615AB">
              <w:rPr>
                <w:snapToGrid w:val="0"/>
                <w:sz w:val="18"/>
                <w:szCs w:val="18"/>
              </w:rPr>
              <w:t xml:space="preserve">Etiopía </w:t>
            </w:r>
            <w:r w:rsidRPr="000615AB">
              <w:rPr>
                <w:snapToGrid w:val="0"/>
                <w:sz w:val="18"/>
                <w:szCs w:val="18"/>
                <w:vertAlign w:val="superscript"/>
              </w:rPr>
              <w:t>2</w:t>
            </w:r>
          </w:p>
        </w:tc>
        <w:tc>
          <w:tcPr>
            <w:tcW w:w="1125" w:type="dxa"/>
            <w:shd w:val="pct15" w:color="auto" w:fill="auto"/>
          </w:tcPr>
          <w:p w:rsidR="00383888" w:rsidRPr="000615AB" w:rsidRDefault="00383888" w:rsidP="00B47699">
            <w:pPr>
              <w:jc w:val="center"/>
              <w:rPr>
                <w:i/>
                <w:snapToGrid w:val="0"/>
                <w:sz w:val="18"/>
                <w:szCs w:val="18"/>
              </w:rPr>
            </w:pPr>
            <w:r w:rsidRPr="000615AB">
              <w:rPr>
                <w:snapToGrid w:val="0"/>
                <w:sz w:val="18"/>
                <w:szCs w:val="18"/>
              </w:rPr>
              <w:t>S</w:t>
            </w:r>
            <w:r w:rsidRPr="000615AB">
              <w:rPr>
                <w:i/>
                <w:snapToGrid w:val="0"/>
                <w:sz w:val="18"/>
                <w:szCs w:val="18"/>
              </w:rPr>
              <w:t>ter</w:t>
            </w:r>
          </w:p>
        </w:tc>
        <w:tc>
          <w:tcPr>
            <w:tcW w:w="1210" w:type="dxa"/>
            <w:shd w:val="pct15" w:color="auto" w:fill="auto"/>
          </w:tcPr>
          <w:p w:rsidR="00383888" w:rsidRPr="000615AB" w:rsidRDefault="00383888" w:rsidP="00B47699">
            <w:pPr>
              <w:jc w:val="right"/>
              <w:rPr>
                <w:snapToGrid w:val="0"/>
                <w:sz w:val="18"/>
                <w:szCs w:val="18"/>
              </w:rPr>
            </w:pPr>
            <w:r w:rsidRPr="000615AB">
              <w:rPr>
                <w:snapToGrid w:val="0"/>
                <w:sz w:val="18"/>
                <w:szCs w:val="18"/>
              </w:rPr>
              <w:t>0,03125</w:t>
            </w:r>
          </w:p>
        </w:tc>
        <w:tc>
          <w:tcPr>
            <w:tcW w:w="1320" w:type="dxa"/>
            <w:shd w:val="pct15" w:color="auto" w:fill="auto"/>
          </w:tcPr>
          <w:p w:rsidR="00383888" w:rsidRPr="000615AB" w:rsidRDefault="00383888" w:rsidP="00B47699">
            <w:pPr>
              <w:jc w:val="right"/>
              <w:rPr>
                <w:snapToGrid w:val="0"/>
                <w:sz w:val="18"/>
                <w:szCs w:val="18"/>
              </w:rPr>
            </w:pPr>
            <w:r w:rsidRPr="000615AB">
              <w:rPr>
                <w:snapToGrid w:val="0"/>
                <w:sz w:val="18"/>
                <w:szCs w:val="18"/>
              </w:rPr>
              <w:t xml:space="preserve">1.424 </w:t>
            </w:r>
          </w:p>
        </w:tc>
        <w:tc>
          <w:tcPr>
            <w:tcW w:w="1430"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1.424 </w:t>
            </w:r>
          </w:p>
        </w:tc>
        <w:tc>
          <w:tcPr>
            <w:tcW w:w="1388"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2.848 </w:t>
            </w:r>
          </w:p>
        </w:tc>
      </w:tr>
      <w:tr w:rsidR="00383888" w:rsidRPr="000615AB" w:rsidTr="00B47699">
        <w:tc>
          <w:tcPr>
            <w:tcW w:w="3055" w:type="dxa"/>
            <w:shd w:val="clear" w:color="auto" w:fill="FFFFFF"/>
          </w:tcPr>
          <w:p w:rsidR="00383888" w:rsidRPr="000615AB" w:rsidRDefault="00383888" w:rsidP="00B47699">
            <w:pPr>
              <w:rPr>
                <w:snapToGrid w:val="0"/>
                <w:sz w:val="18"/>
                <w:szCs w:val="18"/>
              </w:rPr>
            </w:pPr>
            <w:r w:rsidRPr="000615AB">
              <w:rPr>
                <w:snapToGrid w:val="0"/>
                <w:sz w:val="18"/>
                <w:szCs w:val="18"/>
              </w:rPr>
              <w:t>ex República Yugoslava de Macedonia</w:t>
            </w:r>
          </w:p>
        </w:tc>
        <w:tc>
          <w:tcPr>
            <w:tcW w:w="1125" w:type="dxa"/>
            <w:shd w:val="clear" w:color="auto" w:fill="FFFFFF"/>
          </w:tcPr>
          <w:p w:rsidR="00383888" w:rsidRPr="000615AB" w:rsidRDefault="00383888" w:rsidP="00B47699">
            <w:pPr>
              <w:jc w:val="center"/>
              <w:rPr>
                <w:snapToGrid w:val="0"/>
                <w:sz w:val="18"/>
                <w:szCs w:val="18"/>
              </w:rPr>
            </w:pPr>
            <w:r w:rsidRPr="000615AB">
              <w:rPr>
                <w:snapToGrid w:val="0"/>
                <w:sz w:val="18"/>
                <w:szCs w:val="18"/>
              </w:rPr>
              <w:t>VIII</w:t>
            </w:r>
          </w:p>
        </w:tc>
        <w:tc>
          <w:tcPr>
            <w:tcW w:w="1210" w:type="dxa"/>
            <w:shd w:val="clear" w:color="auto" w:fill="FFFFFF"/>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0,5</w:t>
            </w:r>
          </w:p>
        </w:tc>
        <w:tc>
          <w:tcPr>
            <w:tcW w:w="1320" w:type="dxa"/>
            <w:shd w:val="clear" w:color="auto" w:fill="FFFFFF"/>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22.789 </w:t>
            </w:r>
          </w:p>
        </w:tc>
        <w:tc>
          <w:tcPr>
            <w:tcW w:w="1430" w:type="dxa"/>
            <w:shd w:val="clear" w:color="auto" w:fill="FFFFFF"/>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22.789 </w:t>
            </w:r>
          </w:p>
        </w:tc>
        <w:tc>
          <w:tcPr>
            <w:tcW w:w="1388" w:type="dxa"/>
            <w:shd w:val="clear" w:color="auto" w:fill="FFFFFF"/>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45.578 </w:t>
            </w:r>
          </w:p>
        </w:tc>
      </w:tr>
      <w:tr w:rsidR="00383888" w:rsidRPr="000615AB" w:rsidTr="00B47699">
        <w:tc>
          <w:tcPr>
            <w:tcW w:w="3055" w:type="dxa"/>
            <w:shd w:val="pct15" w:color="auto" w:fill="FFFFFF"/>
          </w:tcPr>
          <w:p w:rsidR="00383888" w:rsidRPr="000615AB" w:rsidRDefault="00383888" w:rsidP="00B47699">
            <w:pPr>
              <w:rPr>
                <w:snapToGrid w:val="0"/>
                <w:sz w:val="18"/>
                <w:szCs w:val="18"/>
              </w:rPr>
            </w:pPr>
            <w:r w:rsidRPr="000615AB">
              <w:rPr>
                <w:b/>
                <w:snapToGrid w:val="0"/>
                <w:sz w:val="18"/>
                <w:szCs w:val="18"/>
              </w:rPr>
              <w:t>F</w:t>
            </w:r>
            <w:r w:rsidRPr="000615AB">
              <w:rPr>
                <w:snapToGrid w:val="0"/>
                <w:sz w:val="18"/>
                <w:szCs w:val="18"/>
              </w:rPr>
              <w:t xml:space="preserve">ederación de Rusia </w:t>
            </w:r>
          </w:p>
        </w:tc>
        <w:tc>
          <w:tcPr>
            <w:tcW w:w="1125" w:type="dxa"/>
            <w:shd w:val="pct15" w:color="auto" w:fill="FFFFFF"/>
          </w:tcPr>
          <w:p w:rsidR="00383888" w:rsidRPr="000615AB" w:rsidRDefault="00383888" w:rsidP="00B47699">
            <w:pPr>
              <w:jc w:val="center"/>
              <w:rPr>
                <w:snapToGrid w:val="0"/>
                <w:sz w:val="18"/>
                <w:szCs w:val="18"/>
              </w:rPr>
            </w:pPr>
            <w:r w:rsidRPr="000615AB">
              <w:rPr>
                <w:snapToGrid w:val="0"/>
                <w:sz w:val="18"/>
                <w:szCs w:val="18"/>
              </w:rPr>
              <w:t>IV</w:t>
            </w:r>
          </w:p>
        </w:tc>
        <w:tc>
          <w:tcPr>
            <w:tcW w:w="1210" w:type="dxa"/>
            <w:shd w:val="pct15" w:color="auto" w:fill="FFFFFF"/>
          </w:tcPr>
          <w:p w:rsidR="00383888" w:rsidRPr="000615AB" w:rsidRDefault="00383888" w:rsidP="00B47699">
            <w:pPr>
              <w:jc w:val="right"/>
              <w:rPr>
                <w:snapToGrid w:val="0"/>
                <w:sz w:val="18"/>
                <w:szCs w:val="18"/>
              </w:rPr>
            </w:pPr>
            <w:r w:rsidRPr="000615AB">
              <w:rPr>
                <w:snapToGrid w:val="0"/>
                <w:sz w:val="18"/>
                <w:szCs w:val="18"/>
              </w:rPr>
              <w:t>10</w:t>
            </w:r>
          </w:p>
        </w:tc>
        <w:tc>
          <w:tcPr>
            <w:tcW w:w="1320" w:type="dxa"/>
            <w:shd w:val="pct15" w:color="auto" w:fill="FFFFFF"/>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455.790 </w:t>
            </w:r>
          </w:p>
        </w:tc>
        <w:tc>
          <w:tcPr>
            <w:tcW w:w="1430" w:type="dxa"/>
            <w:shd w:val="pct15" w:color="auto" w:fill="FFFFFF"/>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455.790 </w:t>
            </w:r>
          </w:p>
        </w:tc>
        <w:tc>
          <w:tcPr>
            <w:tcW w:w="1388" w:type="dxa"/>
            <w:shd w:val="pct15" w:color="auto" w:fill="FFFFFF"/>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911.580 </w:t>
            </w:r>
          </w:p>
        </w:tc>
      </w:tr>
      <w:tr w:rsidR="00383888" w:rsidRPr="000615AB" w:rsidTr="00B47699">
        <w:tc>
          <w:tcPr>
            <w:tcW w:w="3055" w:type="dxa"/>
            <w:shd w:val="clear" w:color="auto" w:fill="FFFFFF"/>
          </w:tcPr>
          <w:p w:rsidR="00383888" w:rsidRPr="000615AB" w:rsidRDefault="00383888" w:rsidP="00B47699">
            <w:pPr>
              <w:rPr>
                <w:snapToGrid w:val="0"/>
                <w:sz w:val="18"/>
                <w:szCs w:val="18"/>
              </w:rPr>
            </w:pPr>
            <w:r w:rsidRPr="000615AB">
              <w:rPr>
                <w:snapToGrid w:val="0"/>
                <w:sz w:val="18"/>
                <w:szCs w:val="18"/>
              </w:rPr>
              <w:t>Fiji</w:t>
            </w:r>
          </w:p>
        </w:tc>
        <w:tc>
          <w:tcPr>
            <w:tcW w:w="1125" w:type="dxa"/>
            <w:shd w:val="clear" w:color="auto" w:fill="FFFFFF"/>
          </w:tcPr>
          <w:p w:rsidR="00383888" w:rsidRPr="000615AB" w:rsidRDefault="00383888" w:rsidP="00B47699">
            <w:pPr>
              <w:jc w:val="center"/>
              <w:rPr>
                <w:i/>
                <w:snapToGrid w:val="0"/>
                <w:sz w:val="18"/>
                <w:szCs w:val="18"/>
              </w:rPr>
            </w:pPr>
            <w:r w:rsidRPr="000615AB">
              <w:rPr>
                <w:snapToGrid w:val="0"/>
                <w:sz w:val="18"/>
                <w:szCs w:val="18"/>
              </w:rPr>
              <w:t>S</w:t>
            </w:r>
            <w:r w:rsidRPr="000615AB">
              <w:rPr>
                <w:i/>
                <w:snapToGrid w:val="0"/>
                <w:sz w:val="18"/>
                <w:szCs w:val="18"/>
              </w:rPr>
              <w:t>bis</w:t>
            </w:r>
          </w:p>
        </w:tc>
        <w:tc>
          <w:tcPr>
            <w:tcW w:w="1210" w:type="dxa"/>
            <w:shd w:val="clear" w:color="auto" w:fill="FFFFFF"/>
          </w:tcPr>
          <w:p w:rsidR="00383888" w:rsidRPr="000615AB" w:rsidRDefault="00383888" w:rsidP="00B47699">
            <w:pPr>
              <w:jc w:val="right"/>
              <w:rPr>
                <w:snapToGrid w:val="0"/>
                <w:sz w:val="18"/>
                <w:szCs w:val="18"/>
              </w:rPr>
            </w:pPr>
            <w:r w:rsidRPr="000615AB">
              <w:rPr>
                <w:snapToGrid w:val="0"/>
                <w:sz w:val="18"/>
                <w:szCs w:val="18"/>
              </w:rPr>
              <w:t>0,0625</w:t>
            </w:r>
          </w:p>
        </w:tc>
        <w:tc>
          <w:tcPr>
            <w:tcW w:w="1320" w:type="dxa"/>
            <w:shd w:val="clear" w:color="auto" w:fill="FFFFFF"/>
          </w:tcPr>
          <w:p w:rsidR="00383888" w:rsidRPr="000615AB" w:rsidRDefault="00383888" w:rsidP="00B47699">
            <w:pPr>
              <w:jc w:val="right"/>
              <w:rPr>
                <w:snapToGrid w:val="0"/>
                <w:sz w:val="18"/>
                <w:szCs w:val="18"/>
              </w:rPr>
            </w:pPr>
            <w:r w:rsidRPr="000615AB">
              <w:rPr>
                <w:snapToGrid w:val="0"/>
                <w:sz w:val="18"/>
                <w:szCs w:val="18"/>
              </w:rPr>
              <w:t xml:space="preserve">2.849 </w:t>
            </w:r>
          </w:p>
        </w:tc>
        <w:tc>
          <w:tcPr>
            <w:tcW w:w="1430" w:type="dxa"/>
            <w:shd w:val="clear" w:color="auto" w:fill="FFFFFF"/>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2.849 </w:t>
            </w:r>
          </w:p>
        </w:tc>
        <w:tc>
          <w:tcPr>
            <w:tcW w:w="1388" w:type="dxa"/>
            <w:shd w:val="clear" w:color="auto" w:fill="FFFFFF"/>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5.698 </w:t>
            </w:r>
          </w:p>
        </w:tc>
      </w:tr>
      <w:tr w:rsidR="00383888" w:rsidRPr="000615AB" w:rsidTr="00B47699">
        <w:tc>
          <w:tcPr>
            <w:tcW w:w="3055" w:type="dxa"/>
            <w:shd w:val="pct15" w:color="auto" w:fill="auto"/>
          </w:tcPr>
          <w:p w:rsidR="00383888" w:rsidRPr="000615AB" w:rsidRDefault="00383888" w:rsidP="00B47699">
            <w:pPr>
              <w:rPr>
                <w:snapToGrid w:val="0"/>
                <w:sz w:val="18"/>
                <w:szCs w:val="18"/>
                <w:vertAlign w:val="superscript"/>
              </w:rPr>
            </w:pPr>
            <w:r w:rsidRPr="000615AB">
              <w:rPr>
                <w:snapToGrid w:val="0"/>
                <w:sz w:val="18"/>
                <w:szCs w:val="18"/>
              </w:rPr>
              <w:t>Filipinas</w:t>
            </w:r>
            <w:r w:rsidRPr="000615AB">
              <w:rPr>
                <w:snapToGrid w:val="0"/>
                <w:sz w:val="18"/>
                <w:szCs w:val="18"/>
                <w:vertAlign w:val="superscript"/>
              </w:rPr>
              <w:t xml:space="preserve"> </w:t>
            </w:r>
          </w:p>
        </w:tc>
        <w:tc>
          <w:tcPr>
            <w:tcW w:w="1125" w:type="dxa"/>
            <w:shd w:val="pct15" w:color="auto" w:fill="auto"/>
          </w:tcPr>
          <w:p w:rsidR="00383888" w:rsidRPr="000615AB" w:rsidRDefault="00383888" w:rsidP="00B47699">
            <w:pPr>
              <w:jc w:val="center"/>
              <w:rPr>
                <w:snapToGrid w:val="0"/>
                <w:sz w:val="18"/>
                <w:szCs w:val="18"/>
              </w:rPr>
            </w:pPr>
            <w:r w:rsidRPr="000615AB">
              <w:rPr>
                <w:snapToGrid w:val="0"/>
                <w:sz w:val="18"/>
                <w:szCs w:val="18"/>
              </w:rPr>
              <w:t>IX</w:t>
            </w:r>
          </w:p>
        </w:tc>
        <w:tc>
          <w:tcPr>
            <w:tcW w:w="1210" w:type="dxa"/>
            <w:shd w:val="pct15" w:color="auto" w:fill="auto"/>
          </w:tcPr>
          <w:p w:rsidR="00383888" w:rsidRPr="000615AB" w:rsidRDefault="00383888" w:rsidP="00B47699">
            <w:pPr>
              <w:jc w:val="right"/>
              <w:rPr>
                <w:snapToGrid w:val="0"/>
                <w:sz w:val="18"/>
                <w:szCs w:val="18"/>
              </w:rPr>
            </w:pPr>
            <w:r w:rsidRPr="000615AB">
              <w:rPr>
                <w:snapToGrid w:val="0"/>
                <w:sz w:val="18"/>
                <w:szCs w:val="18"/>
              </w:rPr>
              <w:t>0,25</w:t>
            </w:r>
          </w:p>
        </w:tc>
        <w:tc>
          <w:tcPr>
            <w:tcW w:w="1320"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11.395 </w:t>
            </w:r>
          </w:p>
        </w:tc>
        <w:tc>
          <w:tcPr>
            <w:tcW w:w="1430"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11.395 </w:t>
            </w:r>
          </w:p>
        </w:tc>
        <w:tc>
          <w:tcPr>
            <w:tcW w:w="1388"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22.790 </w:t>
            </w:r>
          </w:p>
        </w:tc>
      </w:tr>
      <w:tr w:rsidR="00383888" w:rsidRPr="000615AB" w:rsidTr="00B47699">
        <w:tc>
          <w:tcPr>
            <w:tcW w:w="3055" w:type="dxa"/>
            <w:shd w:val="clear" w:color="auto" w:fill="auto"/>
          </w:tcPr>
          <w:p w:rsidR="00383888" w:rsidRPr="000615AB" w:rsidRDefault="00383888" w:rsidP="00B47699">
            <w:pPr>
              <w:rPr>
                <w:snapToGrid w:val="0"/>
                <w:sz w:val="18"/>
                <w:szCs w:val="18"/>
              </w:rPr>
            </w:pPr>
            <w:r w:rsidRPr="000615AB">
              <w:rPr>
                <w:snapToGrid w:val="0"/>
                <w:sz w:val="18"/>
                <w:szCs w:val="18"/>
              </w:rPr>
              <w:t>Finlandia</w:t>
            </w:r>
          </w:p>
        </w:tc>
        <w:tc>
          <w:tcPr>
            <w:tcW w:w="1125" w:type="dxa"/>
            <w:shd w:val="clear" w:color="auto" w:fill="auto"/>
          </w:tcPr>
          <w:p w:rsidR="00383888" w:rsidRPr="000615AB" w:rsidRDefault="00383888" w:rsidP="00B47699">
            <w:pPr>
              <w:jc w:val="center"/>
              <w:rPr>
                <w:snapToGrid w:val="0"/>
                <w:sz w:val="18"/>
                <w:szCs w:val="18"/>
              </w:rPr>
            </w:pPr>
            <w:r w:rsidRPr="000615AB">
              <w:rPr>
                <w:snapToGrid w:val="0"/>
                <w:sz w:val="18"/>
                <w:szCs w:val="18"/>
              </w:rPr>
              <w:t>IV</w:t>
            </w:r>
          </w:p>
        </w:tc>
        <w:tc>
          <w:tcPr>
            <w:tcW w:w="1210" w:type="dxa"/>
            <w:shd w:val="clear" w:color="auto" w:fill="auto"/>
          </w:tcPr>
          <w:p w:rsidR="00383888" w:rsidRPr="000615AB" w:rsidRDefault="00383888" w:rsidP="00B47699">
            <w:pPr>
              <w:jc w:val="right"/>
              <w:rPr>
                <w:snapToGrid w:val="0"/>
                <w:sz w:val="18"/>
                <w:szCs w:val="18"/>
              </w:rPr>
            </w:pPr>
            <w:r w:rsidRPr="000615AB">
              <w:rPr>
                <w:snapToGrid w:val="0"/>
                <w:sz w:val="18"/>
                <w:szCs w:val="18"/>
              </w:rPr>
              <w:t>10</w:t>
            </w:r>
          </w:p>
        </w:tc>
        <w:tc>
          <w:tcPr>
            <w:tcW w:w="1320" w:type="dxa"/>
            <w:shd w:val="clear"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455.790 </w:t>
            </w:r>
          </w:p>
        </w:tc>
        <w:tc>
          <w:tcPr>
            <w:tcW w:w="1430" w:type="dxa"/>
            <w:shd w:val="clear"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455.790 </w:t>
            </w:r>
          </w:p>
        </w:tc>
        <w:tc>
          <w:tcPr>
            <w:tcW w:w="1388" w:type="dxa"/>
            <w:shd w:val="clear"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911.580 </w:t>
            </w:r>
          </w:p>
        </w:tc>
      </w:tr>
      <w:tr w:rsidR="00383888" w:rsidRPr="000615AB" w:rsidTr="00B47699">
        <w:tc>
          <w:tcPr>
            <w:tcW w:w="3055" w:type="dxa"/>
            <w:shd w:val="pct15" w:color="auto" w:fill="FFFFFF"/>
          </w:tcPr>
          <w:p w:rsidR="00383888" w:rsidRPr="000615AB" w:rsidRDefault="00383888" w:rsidP="00B47699">
            <w:pPr>
              <w:rPr>
                <w:snapToGrid w:val="0"/>
                <w:sz w:val="18"/>
                <w:szCs w:val="18"/>
              </w:rPr>
            </w:pPr>
            <w:r w:rsidRPr="000615AB">
              <w:rPr>
                <w:snapToGrid w:val="0"/>
                <w:sz w:val="18"/>
                <w:szCs w:val="18"/>
              </w:rPr>
              <w:t>Francia</w:t>
            </w:r>
          </w:p>
        </w:tc>
        <w:tc>
          <w:tcPr>
            <w:tcW w:w="1125" w:type="dxa"/>
            <w:shd w:val="pct15" w:color="auto" w:fill="FFFFFF"/>
          </w:tcPr>
          <w:p w:rsidR="00383888" w:rsidRPr="000615AB" w:rsidRDefault="00383888" w:rsidP="00B47699">
            <w:pPr>
              <w:jc w:val="center"/>
              <w:rPr>
                <w:snapToGrid w:val="0"/>
                <w:sz w:val="18"/>
                <w:szCs w:val="18"/>
              </w:rPr>
            </w:pPr>
            <w:r w:rsidRPr="000615AB">
              <w:rPr>
                <w:snapToGrid w:val="0"/>
                <w:sz w:val="18"/>
                <w:szCs w:val="18"/>
              </w:rPr>
              <w:t>I</w:t>
            </w:r>
          </w:p>
        </w:tc>
        <w:tc>
          <w:tcPr>
            <w:tcW w:w="1210" w:type="dxa"/>
            <w:shd w:val="pct15" w:color="auto" w:fill="FFFFFF"/>
          </w:tcPr>
          <w:p w:rsidR="00383888" w:rsidRPr="000615AB" w:rsidRDefault="00383888" w:rsidP="00B47699">
            <w:pPr>
              <w:jc w:val="right"/>
              <w:rPr>
                <w:snapToGrid w:val="0"/>
                <w:sz w:val="18"/>
                <w:szCs w:val="18"/>
              </w:rPr>
            </w:pPr>
            <w:r w:rsidRPr="000615AB">
              <w:rPr>
                <w:snapToGrid w:val="0"/>
                <w:sz w:val="18"/>
                <w:szCs w:val="18"/>
              </w:rPr>
              <w:t>25</w:t>
            </w:r>
          </w:p>
        </w:tc>
        <w:tc>
          <w:tcPr>
            <w:tcW w:w="1320" w:type="dxa"/>
            <w:shd w:val="pct15" w:color="auto" w:fill="FFFFFF"/>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1.139.475 </w:t>
            </w:r>
          </w:p>
        </w:tc>
        <w:tc>
          <w:tcPr>
            <w:tcW w:w="1430" w:type="dxa"/>
            <w:shd w:val="pct15" w:color="auto" w:fill="FFFFFF"/>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1.139.475 </w:t>
            </w:r>
          </w:p>
        </w:tc>
        <w:tc>
          <w:tcPr>
            <w:tcW w:w="1388" w:type="dxa"/>
            <w:shd w:val="pct15" w:color="auto" w:fill="FFFFFF"/>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2.278.950 </w:t>
            </w:r>
          </w:p>
        </w:tc>
      </w:tr>
      <w:tr w:rsidR="00383888" w:rsidRPr="000615AB" w:rsidTr="00B47699">
        <w:tc>
          <w:tcPr>
            <w:tcW w:w="3055" w:type="dxa"/>
          </w:tcPr>
          <w:p w:rsidR="00383888" w:rsidRPr="000615AB" w:rsidRDefault="00383888" w:rsidP="00B47699">
            <w:pPr>
              <w:rPr>
                <w:snapToGrid w:val="0"/>
                <w:sz w:val="18"/>
                <w:szCs w:val="18"/>
              </w:rPr>
            </w:pPr>
            <w:r w:rsidRPr="000615AB">
              <w:rPr>
                <w:b/>
                <w:snapToGrid w:val="0"/>
                <w:sz w:val="18"/>
                <w:szCs w:val="18"/>
              </w:rPr>
              <w:t>G</w:t>
            </w:r>
            <w:r w:rsidRPr="000615AB">
              <w:rPr>
                <w:snapToGrid w:val="0"/>
                <w:sz w:val="18"/>
                <w:szCs w:val="18"/>
              </w:rPr>
              <w:t>abón</w:t>
            </w:r>
          </w:p>
        </w:tc>
        <w:tc>
          <w:tcPr>
            <w:tcW w:w="1125" w:type="dxa"/>
          </w:tcPr>
          <w:p w:rsidR="00383888" w:rsidRPr="000615AB" w:rsidRDefault="00383888" w:rsidP="00B47699">
            <w:pPr>
              <w:jc w:val="center"/>
              <w:rPr>
                <w:i/>
                <w:snapToGrid w:val="0"/>
                <w:sz w:val="18"/>
                <w:szCs w:val="18"/>
              </w:rPr>
            </w:pPr>
            <w:r w:rsidRPr="000615AB">
              <w:rPr>
                <w:snapToGrid w:val="0"/>
                <w:sz w:val="18"/>
                <w:szCs w:val="18"/>
              </w:rPr>
              <w:t>S</w:t>
            </w:r>
          </w:p>
        </w:tc>
        <w:tc>
          <w:tcPr>
            <w:tcW w:w="1210" w:type="dxa"/>
          </w:tcPr>
          <w:p w:rsidR="00383888" w:rsidRPr="000615AB" w:rsidRDefault="00383888" w:rsidP="00B47699">
            <w:pPr>
              <w:jc w:val="right"/>
              <w:rPr>
                <w:snapToGrid w:val="0"/>
                <w:sz w:val="18"/>
                <w:szCs w:val="18"/>
              </w:rPr>
            </w:pPr>
            <w:r w:rsidRPr="000615AB">
              <w:rPr>
                <w:snapToGrid w:val="0"/>
                <w:sz w:val="18"/>
                <w:szCs w:val="18"/>
              </w:rPr>
              <w:t>0,125</w:t>
            </w:r>
          </w:p>
        </w:tc>
        <w:tc>
          <w:tcPr>
            <w:tcW w:w="1320" w:type="dxa"/>
          </w:tcPr>
          <w:p w:rsidR="00383888" w:rsidRPr="000615AB" w:rsidRDefault="00383888" w:rsidP="00B47699">
            <w:pPr>
              <w:jc w:val="right"/>
              <w:rPr>
                <w:snapToGrid w:val="0"/>
                <w:sz w:val="18"/>
                <w:szCs w:val="18"/>
              </w:rPr>
            </w:pPr>
            <w:r w:rsidRPr="000615AB">
              <w:rPr>
                <w:snapToGrid w:val="0"/>
                <w:sz w:val="18"/>
                <w:szCs w:val="18"/>
              </w:rPr>
              <w:t xml:space="preserve">5.697 </w:t>
            </w:r>
          </w:p>
        </w:tc>
        <w:tc>
          <w:tcPr>
            <w:tcW w:w="1430" w:type="dxa"/>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5.697 </w:t>
            </w:r>
          </w:p>
        </w:tc>
        <w:tc>
          <w:tcPr>
            <w:tcW w:w="1388" w:type="dxa"/>
          </w:tcPr>
          <w:p w:rsidR="00383888" w:rsidRPr="000615AB" w:rsidRDefault="00383888" w:rsidP="00B47699">
            <w:pPr>
              <w:jc w:val="right"/>
              <w:rPr>
                <w:snapToGrid w:val="0"/>
                <w:sz w:val="18"/>
                <w:szCs w:val="18"/>
              </w:rPr>
            </w:pPr>
            <w:r w:rsidRPr="000615AB">
              <w:rPr>
                <w:snapToGrid w:val="0"/>
                <w:sz w:val="18"/>
                <w:szCs w:val="18"/>
              </w:rPr>
              <w:t xml:space="preserve">11.394 </w:t>
            </w:r>
          </w:p>
        </w:tc>
      </w:tr>
      <w:tr w:rsidR="00383888" w:rsidRPr="000615AB" w:rsidTr="00B47699">
        <w:tc>
          <w:tcPr>
            <w:tcW w:w="3055" w:type="dxa"/>
            <w:shd w:val="pct15" w:color="auto" w:fill="FFFFFF"/>
          </w:tcPr>
          <w:p w:rsidR="00383888" w:rsidRPr="000615AB" w:rsidRDefault="00383888" w:rsidP="00B47699">
            <w:pPr>
              <w:rPr>
                <w:snapToGrid w:val="0"/>
                <w:sz w:val="18"/>
                <w:szCs w:val="18"/>
              </w:rPr>
            </w:pPr>
            <w:r w:rsidRPr="000615AB">
              <w:rPr>
                <w:snapToGrid w:val="0"/>
                <w:sz w:val="18"/>
                <w:szCs w:val="18"/>
              </w:rPr>
              <w:t xml:space="preserve">Gambia </w:t>
            </w:r>
          </w:p>
        </w:tc>
        <w:tc>
          <w:tcPr>
            <w:tcW w:w="1125" w:type="dxa"/>
            <w:shd w:val="pct15" w:color="auto" w:fill="FFFFFF"/>
          </w:tcPr>
          <w:p w:rsidR="00383888" w:rsidRPr="000615AB" w:rsidRDefault="00383888" w:rsidP="00B47699">
            <w:pPr>
              <w:jc w:val="center"/>
              <w:rPr>
                <w:i/>
                <w:snapToGrid w:val="0"/>
                <w:sz w:val="18"/>
                <w:szCs w:val="18"/>
              </w:rPr>
            </w:pPr>
            <w:r w:rsidRPr="000615AB">
              <w:rPr>
                <w:snapToGrid w:val="0"/>
                <w:sz w:val="18"/>
                <w:szCs w:val="18"/>
              </w:rPr>
              <w:t>S</w:t>
            </w:r>
            <w:r w:rsidRPr="000615AB">
              <w:rPr>
                <w:i/>
                <w:snapToGrid w:val="0"/>
                <w:sz w:val="18"/>
                <w:szCs w:val="18"/>
              </w:rPr>
              <w:t>ter</w:t>
            </w:r>
          </w:p>
        </w:tc>
        <w:tc>
          <w:tcPr>
            <w:tcW w:w="1210" w:type="dxa"/>
            <w:shd w:val="pct15" w:color="auto" w:fill="FFFFFF"/>
          </w:tcPr>
          <w:p w:rsidR="00383888" w:rsidRPr="000615AB" w:rsidRDefault="00383888" w:rsidP="00B47699">
            <w:pPr>
              <w:jc w:val="right"/>
              <w:rPr>
                <w:snapToGrid w:val="0"/>
                <w:sz w:val="18"/>
                <w:szCs w:val="18"/>
              </w:rPr>
            </w:pPr>
            <w:r w:rsidRPr="000615AB">
              <w:rPr>
                <w:snapToGrid w:val="0"/>
                <w:sz w:val="18"/>
                <w:szCs w:val="18"/>
              </w:rPr>
              <w:t>0,03125</w:t>
            </w:r>
          </w:p>
        </w:tc>
        <w:tc>
          <w:tcPr>
            <w:tcW w:w="1320" w:type="dxa"/>
            <w:shd w:val="pct15" w:color="auto" w:fill="FFFFFF"/>
          </w:tcPr>
          <w:p w:rsidR="00383888" w:rsidRPr="000615AB" w:rsidRDefault="00383888" w:rsidP="00B47699">
            <w:pPr>
              <w:jc w:val="right"/>
              <w:rPr>
                <w:snapToGrid w:val="0"/>
                <w:sz w:val="18"/>
                <w:szCs w:val="18"/>
              </w:rPr>
            </w:pPr>
            <w:r w:rsidRPr="000615AB">
              <w:rPr>
                <w:snapToGrid w:val="0"/>
                <w:sz w:val="18"/>
                <w:szCs w:val="18"/>
              </w:rPr>
              <w:t xml:space="preserve">1.424 </w:t>
            </w:r>
          </w:p>
        </w:tc>
        <w:tc>
          <w:tcPr>
            <w:tcW w:w="1430" w:type="dxa"/>
            <w:shd w:val="pct15" w:color="auto" w:fill="FFFFFF"/>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1.424 </w:t>
            </w:r>
          </w:p>
        </w:tc>
        <w:tc>
          <w:tcPr>
            <w:tcW w:w="1388" w:type="dxa"/>
            <w:shd w:val="pct15" w:color="auto" w:fill="FFFFFF"/>
          </w:tcPr>
          <w:p w:rsidR="00383888" w:rsidRPr="000615AB" w:rsidRDefault="00383888" w:rsidP="00B47699">
            <w:pPr>
              <w:jc w:val="right"/>
              <w:rPr>
                <w:snapToGrid w:val="0"/>
                <w:sz w:val="18"/>
                <w:szCs w:val="18"/>
              </w:rPr>
            </w:pPr>
            <w:r w:rsidRPr="000615AB">
              <w:rPr>
                <w:snapToGrid w:val="0"/>
                <w:sz w:val="18"/>
                <w:szCs w:val="18"/>
              </w:rPr>
              <w:t xml:space="preserve">2.848 </w:t>
            </w:r>
          </w:p>
        </w:tc>
      </w:tr>
      <w:tr w:rsidR="00383888" w:rsidRPr="000615AB" w:rsidTr="00B47699">
        <w:tc>
          <w:tcPr>
            <w:tcW w:w="3055" w:type="dxa"/>
          </w:tcPr>
          <w:p w:rsidR="00383888" w:rsidRPr="000615AB" w:rsidRDefault="00383888" w:rsidP="00B47699">
            <w:pPr>
              <w:rPr>
                <w:snapToGrid w:val="0"/>
                <w:sz w:val="18"/>
                <w:szCs w:val="18"/>
              </w:rPr>
            </w:pPr>
            <w:r w:rsidRPr="000615AB">
              <w:rPr>
                <w:snapToGrid w:val="0"/>
                <w:sz w:val="18"/>
                <w:szCs w:val="18"/>
              </w:rPr>
              <w:t>Georgia</w:t>
            </w:r>
          </w:p>
        </w:tc>
        <w:tc>
          <w:tcPr>
            <w:tcW w:w="1125" w:type="dxa"/>
          </w:tcPr>
          <w:p w:rsidR="00383888" w:rsidRPr="000615AB" w:rsidRDefault="00383888" w:rsidP="00B47699">
            <w:pPr>
              <w:jc w:val="center"/>
              <w:rPr>
                <w:snapToGrid w:val="0"/>
                <w:sz w:val="18"/>
                <w:szCs w:val="18"/>
              </w:rPr>
            </w:pPr>
            <w:r w:rsidRPr="000615AB">
              <w:rPr>
                <w:snapToGrid w:val="0"/>
                <w:sz w:val="18"/>
                <w:szCs w:val="18"/>
              </w:rPr>
              <w:t>IX</w:t>
            </w:r>
          </w:p>
        </w:tc>
        <w:tc>
          <w:tcPr>
            <w:tcW w:w="1210" w:type="dxa"/>
          </w:tcPr>
          <w:p w:rsidR="00383888" w:rsidRPr="000615AB" w:rsidRDefault="00383888" w:rsidP="00B47699">
            <w:pPr>
              <w:jc w:val="right"/>
              <w:rPr>
                <w:snapToGrid w:val="0"/>
                <w:sz w:val="18"/>
                <w:szCs w:val="18"/>
              </w:rPr>
            </w:pPr>
            <w:r w:rsidRPr="000615AB">
              <w:rPr>
                <w:snapToGrid w:val="0"/>
                <w:sz w:val="18"/>
                <w:szCs w:val="18"/>
              </w:rPr>
              <w:t>0,25</w:t>
            </w:r>
          </w:p>
        </w:tc>
        <w:tc>
          <w:tcPr>
            <w:tcW w:w="1320" w:type="dxa"/>
          </w:tcPr>
          <w:p w:rsidR="00383888" w:rsidRPr="000615AB" w:rsidRDefault="00383888" w:rsidP="00B47699">
            <w:pPr>
              <w:jc w:val="right"/>
              <w:rPr>
                <w:snapToGrid w:val="0"/>
                <w:sz w:val="18"/>
                <w:szCs w:val="18"/>
              </w:rPr>
            </w:pPr>
            <w:r w:rsidRPr="000615AB">
              <w:rPr>
                <w:snapToGrid w:val="0"/>
                <w:sz w:val="18"/>
                <w:szCs w:val="18"/>
              </w:rPr>
              <w:t xml:space="preserve">11.395 </w:t>
            </w:r>
          </w:p>
        </w:tc>
        <w:tc>
          <w:tcPr>
            <w:tcW w:w="1430" w:type="dxa"/>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11.395 </w:t>
            </w:r>
          </w:p>
        </w:tc>
        <w:tc>
          <w:tcPr>
            <w:tcW w:w="1388" w:type="dxa"/>
          </w:tcPr>
          <w:p w:rsidR="00383888" w:rsidRPr="000615AB" w:rsidRDefault="00383888" w:rsidP="00B47699">
            <w:pPr>
              <w:jc w:val="right"/>
              <w:rPr>
                <w:snapToGrid w:val="0"/>
                <w:sz w:val="18"/>
                <w:szCs w:val="18"/>
              </w:rPr>
            </w:pPr>
            <w:r w:rsidRPr="000615AB">
              <w:rPr>
                <w:snapToGrid w:val="0"/>
                <w:sz w:val="18"/>
                <w:szCs w:val="18"/>
              </w:rPr>
              <w:t xml:space="preserve">22.790 </w:t>
            </w:r>
          </w:p>
        </w:tc>
      </w:tr>
      <w:tr w:rsidR="00383888" w:rsidRPr="000615AB" w:rsidTr="00B47699">
        <w:tc>
          <w:tcPr>
            <w:tcW w:w="3055" w:type="dxa"/>
            <w:shd w:val="pct15" w:color="auto" w:fill="FFFFFF"/>
          </w:tcPr>
          <w:p w:rsidR="00383888" w:rsidRPr="000615AB" w:rsidRDefault="00383888" w:rsidP="00B47699">
            <w:pPr>
              <w:rPr>
                <w:snapToGrid w:val="0"/>
                <w:sz w:val="18"/>
                <w:szCs w:val="18"/>
              </w:rPr>
            </w:pPr>
            <w:r w:rsidRPr="000615AB">
              <w:rPr>
                <w:snapToGrid w:val="0"/>
                <w:sz w:val="18"/>
                <w:szCs w:val="18"/>
              </w:rPr>
              <w:t>Ghana</w:t>
            </w:r>
          </w:p>
        </w:tc>
        <w:tc>
          <w:tcPr>
            <w:tcW w:w="1125" w:type="dxa"/>
            <w:shd w:val="pct15" w:color="auto" w:fill="FFFFFF"/>
          </w:tcPr>
          <w:p w:rsidR="00383888" w:rsidRPr="000615AB" w:rsidRDefault="00383888" w:rsidP="00B47699">
            <w:pPr>
              <w:jc w:val="center"/>
              <w:rPr>
                <w:i/>
                <w:snapToGrid w:val="0"/>
                <w:sz w:val="18"/>
                <w:szCs w:val="18"/>
              </w:rPr>
            </w:pPr>
            <w:r w:rsidRPr="000615AB">
              <w:rPr>
                <w:snapToGrid w:val="0"/>
                <w:sz w:val="18"/>
                <w:szCs w:val="18"/>
              </w:rPr>
              <w:t>S</w:t>
            </w:r>
            <w:r w:rsidRPr="000615AB">
              <w:rPr>
                <w:i/>
                <w:snapToGrid w:val="0"/>
                <w:sz w:val="18"/>
                <w:szCs w:val="18"/>
              </w:rPr>
              <w:t>bis</w:t>
            </w:r>
          </w:p>
        </w:tc>
        <w:tc>
          <w:tcPr>
            <w:tcW w:w="1210" w:type="dxa"/>
            <w:shd w:val="pct15" w:color="auto" w:fill="FFFFFF"/>
          </w:tcPr>
          <w:p w:rsidR="00383888" w:rsidRPr="000615AB" w:rsidRDefault="00383888" w:rsidP="00B47699">
            <w:pPr>
              <w:jc w:val="right"/>
              <w:rPr>
                <w:snapToGrid w:val="0"/>
                <w:sz w:val="18"/>
                <w:szCs w:val="18"/>
              </w:rPr>
            </w:pPr>
            <w:r w:rsidRPr="000615AB">
              <w:rPr>
                <w:snapToGrid w:val="0"/>
                <w:sz w:val="18"/>
                <w:szCs w:val="18"/>
              </w:rPr>
              <w:t>0,0625</w:t>
            </w:r>
          </w:p>
        </w:tc>
        <w:tc>
          <w:tcPr>
            <w:tcW w:w="1320" w:type="dxa"/>
            <w:shd w:val="pct15" w:color="auto" w:fill="FFFFFF"/>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2.849 </w:t>
            </w:r>
          </w:p>
        </w:tc>
        <w:tc>
          <w:tcPr>
            <w:tcW w:w="1430" w:type="dxa"/>
            <w:shd w:val="pct15" w:color="auto" w:fill="FFFFFF"/>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2.849 </w:t>
            </w:r>
          </w:p>
        </w:tc>
        <w:tc>
          <w:tcPr>
            <w:tcW w:w="1388" w:type="dxa"/>
            <w:shd w:val="pct15" w:color="auto" w:fill="FFFFFF"/>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5.698 </w:t>
            </w:r>
          </w:p>
        </w:tc>
      </w:tr>
      <w:tr w:rsidR="00383888" w:rsidRPr="000615AB" w:rsidTr="00B47699">
        <w:tc>
          <w:tcPr>
            <w:tcW w:w="3055" w:type="dxa"/>
          </w:tcPr>
          <w:p w:rsidR="00383888" w:rsidRPr="000615AB" w:rsidRDefault="00383888" w:rsidP="00B47699">
            <w:pPr>
              <w:rPr>
                <w:snapToGrid w:val="0"/>
                <w:sz w:val="18"/>
                <w:szCs w:val="18"/>
              </w:rPr>
            </w:pPr>
            <w:r w:rsidRPr="000615AB">
              <w:rPr>
                <w:snapToGrid w:val="0"/>
                <w:sz w:val="18"/>
                <w:szCs w:val="18"/>
              </w:rPr>
              <w:t>Granada</w:t>
            </w:r>
          </w:p>
        </w:tc>
        <w:tc>
          <w:tcPr>
            <w:tcW w:w="1125" w:type="dxa"/>
          </w:tcPr>
          <w:p w:rsidR="00383888" w:rsidRPr="000615AB" w:rsidRDefault="00383888" w:rsidP="00B47699">
            <w:pPr>
              <w:jc w:val="center"/>
              <w:rPr>
                <w:i/>
                <w:snapToGrid w:val="0"/>
                <w:sz w:val="18"/>
                <w:szCs w:val="18"/>
              </w:rPr>
            </w:pPr>
            <w:r w:rsidRPr="000615AB">
              <w:rPr>
                <w:snapToGrid w:val="0"/>
                <w:sz w:val="18"/>
                <w:szCs w:val="18"/>
              </w:rPr>
              <w:t>S</w:t>
            </w:r>
            <w:r w:rsidRPr="000615AB">
              <w:rPr>
                <w:i/>
                <w:snapToGrid w:val="0"/>
                <w:sz w:val="18"/>
                <w:szCs w:val="18"/>
              </w:rPr>
              <w:t>bis</w:t>
            </w:r>
          </w:p>
        </w:tc>
        <w:tc>
          <w:tcPr>
            <w:tcW w:w="1210" w:type="dxa"/>
          </w:tcPr>
          <w:p w:rsidR="00383888" w:rsidRPr="000615AB" w:rsidRDefault="00383888" w:rsidP="00B47699">
            <w:pPr>
              <w:jc w:val="right"/>
              <w:rPr>
                <w:snapToGrid w:val="0"/>
                <w:sz w:val="18"/>
                <w:szCs w:val="18"/>
              </w:rPr>
            </w:pPr>
            <w:r w:rsidRPr="000615AB">
              <w:rPr>
                <w:snapToGrid w:val="0"/>
                <w:sz w:val="18"/>
                <w:szCs w:val="18"/>
              </w:rPr>
              <w:t>0,0625</w:t>
            </w:r>
          </w:p>
        </w:tc>
        <w:tc>
          <w:tcPr>
            <w:tcW w:w="1320" w:type="dxa"/>
          </w:tcPr>
          <w:p w:rsidR="00383888" w:rsidRPr="000615AB" w:rsidRDefault="00383888" w:rsidP="00B47699">
            <w:pPr>
              <w:jc w:val="right"/>
              <w:rPr>
                <w:snapToGrid w:val="0"/>
                <w:sz w:val="18"/>
                <w:szCs w:val="18"/>
              </w:rPr>
            </w:pPr>
            <w:r w:rsidRPr="000615AB">
              <w:rPr>
                <w:snapToGrid w:val="0"/>
                <w:sz w:val="18"/>
                <w:szCs w:val="18"/>
              </w:rPr>
              <w:t xml:space="preserve">2.849 </w:t>
            </w:r>
          </w:p>
        </w:tc>
        <w:tc>
          <w:tcPr>
            <w:tcW w:w="1430" w:type="dxa"/>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2.849 </w:t>
            </w:r>
          </w:p>
        </w:tc>
        <w:tc>
          <w:tcPr>
            <w:tcW w:w="1388" w:type="dxa"/>
          </w:tcPr>
          <w:p w:rsidR="00383888" w:rsidRPr="000615AB" w:rsidRDefault="00383888" w:rsidP="00B47699">
            <w:pPr>
              <w:jc w:val="right"/>
              <w:rPr>
                <w:snapToGrid w:val="0"/>
                <w:sz w:val="18"/>
                <w:szCs w:val="18"/>
              </w:rPr>
            </w:pPr>
            <w:r w:rsidRPr="000615AB">
              <w:rPr>
                <w:snapToGrid w:val="0"/>
                <w:sz w:val="18"/>
                <w:szCs w:val="18"/>
              </w:rPr>
              <w:t xml:space="preserve">5.698 </w:t>
            </w:r>
          </w:p>
        </w:tc>
      </w:tr>
      <w:tr w:rsidR="00383888" w:rsidRPr="000615AB" w:rsidTr="00B47699">
        <w:tc>
          <w:tcPr>
            <w:tcW w:w="3055" w:type="dxa"/>
            <w:shd w:val="pct15" w:color="auto" w:fill="FFFFFF"/>
          </w:tcPr>
          <w:p w:rsidR="00383888" w:rsidRPr="000615AB" w:rsidRDefault="00383888" w:rsidP="00B47699">
            <w:pPr>
              <w:rPr>
                <w:snapToGrid w:val="0"/>
                <w:sz w:val="18"/>
                <w:szCs w:val="18"/>
              </w:rPr>
            </w:pPr>
            <w:r w:rsidRPr="000615AB">
              <w:rPr>
                <w:snapToGrid w:val="0"/>
                <w:sz w:val="18"/>
                <w:szCs w:val="18"/>
              </w:rPr>
              <w:t>Grecia</w:t>
            </w:r>
          </w:p>
        </w:tc>
        <w:tc>
          <w:tcPr>
            <w:tcW w:w="1125" w:type="dxa"/>
            <w:shd w:val="pct15" w:color="auto" w:fill="FFFFFF"/>
          </w:tcPr>
          <w:p w:rsidR="00383888" w:rsidRPr="000615AB" w:rsidRDefault="00383888" w:rsidP="00B47699">
            <w:pPr>
              <w:jc w:val="center"/>
              <w:rPr>
                <w:snapToGrid w:val="0"/>
                <w:sz w:val="18"/>
                <w:szCs w:val="18"/>
              </w:rPr>
            </w:pPr>
            <w:r w:rsidRPr="000615AB">
              <w:rPr>
                <w:snapToGrid w:val="0"/>
                <w:sz w:val="18"/>
                <w:szCs w:val="18"/>
              </w:rPr>
              <w:t>VI</w:t>
            </w:r>
          </w:p>
        </w:tc>
        <w:tc>
          <w:tcPr>
            <w:tcW w:w="1210" w:type="dxa"/>
            <w:shd w:val="pct15" w:color="auto" w:fill="FFFFFF"/>
          </w:tcPr>
          <w:p w:rsidR="00383888" w:rsidRPr="000615AB" w:rsidRDefault="00383888" w:rsidP="00B47699">
            <w:pPr>
              <w:jc w:val="right"/>
              <w:rPr>
                <w:snapToGrid w:val="0"/>
                <w:sz w:val="18"/>
                <w:szCs w:val="18"/>
              </w:rPr>
            </w:pPr>
            <w:r w:rsidRPr="000615AB">
              <w:rPr>
                <w:snapToGrid w:val="0"/>
                <w:sz w:val="18"/>
                <w:szCs w:val="18"/>
              </w:rPr>
              <w:t>3</w:t>
            </w:r>
          </w:p>
        </w:tc>
        <w:tc>
          <w:tcPr>
            <w:tcW w:w="1320" w:type="dxa"/>
            <w:shd w:val="pct15" w:color="auto" w:fill="FFFFFF"/>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136.737 </w:t>
            </w:r>
          </w:p>
        </w:tc>
        <w:tc>
          <w:tcPr>
            <w:tcW w:w="1430" w:type="dxa"/>
            <w:shd w:val="pct15" w:color="auto" w:fill="FFFFFF"/>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136.737 </w:t>
            </w:r>
          </w:p>
        </w:tc>
        <w:tc>
          <w:tcPr>
            <w:tcW w:w="1388" w:type="dxa"/>
            <w:shd w:val="pct15" w:color="auto" w:fill="FFFFFF"/>
          </w:tcPr>
          <w:p w:rsidR="00383888" w:rsidRPr="000615AB" w:rsidRDefault="00383888" w:rsidP="00B47699">
            <w:pPr>
              <w:jc w:val="right"/>
              <w:rPr>
                <w:snapToGrid w:val="0"/>
                <w:sz w:val="18"/>
                <w:szCs w:val="18"/>
              </w:rPr>
            </w:pPr>
            <w:r w:rsidRPr="000615AB">
              <w:rPr>
                <w:snapToGrid w:val="0"/>
                <w:sz w:val="18"/>
                <w:szCs w:val="18"/>
              </w:rPr>
              <w:t xml:space="preserve">273.474 </w:t>
            </w:r>
          </w:p>
        </w:tc>
      </w:tr>
      <w:tr w:rsidR="00383888" w:rsidRPr="000615AB" w:rsidTr="00B47699">
        <w:tc>
          <w:tcPr>
            <w:tcW w:w="3055" w:type="dxa"/>
            <w:shd w:val="clear" w:color="auto" w:fill="FFFFFF"/>
          </w:tcPr>
          <w:p w:rsidR="00383888" w:rsidRPr="000615AB" w:rsidRDefault="00383888" w:rsidP="00B47699">
            <w:pPr>
              <w:rPr>
                <w:snapToGrid w:val="0"/>
                <w:sz w:val="18"/>
                <w:szCs w:val="18"/>
              </w:rPr>
            </w:pPr>
            <w:r w:rsidRPr="000615AB">
              <w:rPr>
                <w:snapToGrid w:val="0"/>
                <w:sz w:val="18"/>
                <w:szCs w:val="18"/>
              </w:rPr>
              <w:t>Guatemala</w:t>
            </w:r>
          </w:p>
        </w:tc>
        <w:tc>
          <w:tcPr>
            <w:tcW w:w="1125" w:type="dxa"/>
            <w:shd w:val="clear" w:color="auto" w:fill="FFFFFF"/>
          </w:tcPr>
          <w:p w:rsidR="00383888" w:rsidRPr="000615AB" w:rsidRDefault="00383888" w:rsidP="00B47699">
            <w:pPr>
              <w:jc w:val="center"/>
              <w:rPr>
                <w:snapToGrid w:val="0"/>
                <w:sz w:val="18"/>
                <w:szCs w:val="18"/>
              </w:rPr>
            </w:pPr>
            <w:r w:rsidRPr="000615AB">
              <w:rPr>
                <w:snapToGrid w:val="0"/>
                <w:sz w:val="18"/>
                <w:szCs w:val="18"/>
              </w:rPr>
              <w:t>S</w:t>
            </w:r>
          </w:p>
        </w:tc>
        <w:tc>
          <w:tcPr>
            <w:tcW w:w="1210" w:type="dxa"/>
            <w:shd w:val="clear" w:color="auto" w:fill="FFFFFF"/>
          </w:tcPr>
          <w:p w:rsidR="00383888" w:rsidRPr="000615AB" w:rsidRDefault="00383888" w:rsidP="00B47699">
            <w:pPr>
              <w:jc w:val="right"/>
              <w:rPr>
                <w:snapToGrid w:val="0"/>
                <w:sz w:val="18"/>
                <w:szCs w:val="18"/>
              </w:rPr>
            </w:pPr>
            <w:r w:rsidRPr="000615AB">
              <w:rPr>
                <w:snapToGrid w:val="0"/>
                <w:sz w:val="18"/>
                <w:szCs w:val="18"/>
              </w:rPr>
              <w:t>0,125</w:t>
            </w:r>
          </w:p>
        </w:tc>
        <w:tc>
          <w:tcPr>
            <w:tcW w:w="1320" w:type="dxa"/>
            <w:shd w:val="clear" w:color="auto" w:fill="FFFFFF"/>
          </w:tcPr>
          <w:p w:rsidR="00383888" w:rsidRPr="000615AB" w:rsidRDefault="00383888" w:rsidP="00B47699">
            <w:pPr>
              <w:jc w:val="right"/>
              <w:rPr>
                <w:snapToGrid w:val="0"/>
                <w:sz w:val="18"/>
                <w:szCs w:val="18"/>
              </w:rPr>
            </w:pPr>
            <w:r w:rsidRPr="000615AB">
              <w:rPr>
                <w:snapToGrid w:val="0"/>
                <w:sz w:val="18"/>
                <w:szCs w:val="18"/>
              </w:rPr>
              <w:t xml:space="preserve">5.697 </w:t>
            </w:r>
          </w:p>
        </w:tc>
        <w:tc>
          <w:tcPr>
            <w:tcW w:w="1430" w:type="dxa"/>
            <w:shd w:val="clear" w:color="auto" w:fill="FFFFFF"/>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5.697 </w:t>
            </w:r>
          </w:p>
        </w:tc>
        <w:tc>
          <w:tcPr>
            <w:tcW w:w="1388" w:type="dxa"/>
            <w:shd w:val="clear" w:color="auto" w:fill="FFFFFF"/>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11.394 </w:t>
            </w:r>
          </w:p>
        </w:tc>
      </w:tr>
      <w:tr w:rsidR="00383888" w:rsidRPr="000615AB" w:rsidTr="00B47699">
        <w:tc>
          <w:tcPr>
            <w:tcW w:w="3055" w:type="dxa"/>
            <w:shd w:val="pct15" w:color="auto" w:fill="FFFFFF"/>
          </w:tcPr>
          <w:p w:rsidR="00383888" w:rsidRPr="000615AB" w:rsidRDefault="00383888" w:rsidP="00B47699">
            <w:pPr>
              <w:rPr>
                <w:snapToGrid w:val="0"/>
                <w:sz w:val="18"/>
                <w:szCs w:val="18"/>
              </w:rPr>
            </w:pPr>
            <w:r w:rsidRPr="000615AB">
              <w:rPr>
                <w:snapToGrid w:val="0"/>
                <w:sz w:val="18"/>
                <w:szCs w:val="18"/>
              </w:rPr>
              <w:t>Guinea</w:t>
            </w:r>
          </w:p>
        </w:tc>
        <w:tc>
          <w:tcPr>
            <w:tcW w:w="1125" w:type="dxa"/>
            <w:shd w:val="pct15" w:color="auto" w:fill="FFFFFF"/>
          </w:tcPr>
          <w:p w:rsidR="00383888" w:rsidRPr="000615AB" w:rsidRDefault="00383888" w:rsidP="00B47699">
            <w:pPr>
              <w:jc w:val="center"/>
              <w:rPr>
                <w:i/>
                <w:snapToGrid w:val="0"/>
                <w:sz w:val="18"/>
                <w:szCs w:val="18"/>
              </w:rPr>
            </w:pPr>
            <w:r w:rsidRPr="000615AB">
              <w:rPr>
                <w:snapToGrid w:val="0"/>
                <w:sz w:val="18"/>
                <w:szCs w:val="18"/>
              </w:rPr>
              <w:t>S</w:t>
            </w:r>
            <w:r w:rsidRPr="000615AB">
              <w:rPr>
                <w:i/>
                <w:snapToGrid w:val="0"/>
                <w:sz w:val="18"/>
                <w:szCs w:val="18"/>
              </w:rPr>
              <w:t>ter</w:t>
            </w:r>
          </w:p>
        </w:tc>
        <w:tc>
          <w:tcPr>
            <w:tcW w:w="1210" w:type="dxa"/>
            <w:shd w:val="pct15" w:color="auto" w:fill="FFFFFF"/>
          </w:tcPr>
          <w:p w:rsidR="00383888" w:rsidRPr="000615AB" w:rsidRDefault="00383888" w:rsidP="00B47699">
            <w:pPr>
              <w:jc w:val="right"/>
              <w:rPr>
                <w:snapToGrid w:val="0"/>
                <w:sz w:val="18"/>
                <w:szCs w:val="18"/>
              </w:rPr>
            </w:pPr>
            <w:r w:rsidRPr="000615AB">
              <w:rPr>
                <w:snapToGrid w:val="0"/>
                <w:sz w:val="18"/>
                <w:szCs w:val="18"/>
              </w:rPr>
              <w:t>0,03125</w:t>
            </w:r>
          </w:p>
        </w:tc>
        <w:tc>
          <w:tcPr>
            <w:tcW w:w="1320" w:type="dxa"/>
            <w:shd w:val="pct15" w:color="auto" w:fill="FFFFFF"/>
          </w:tcPr>
          <w:p w:rsidR="00383888" w:rsidRPr="000615AB" w:rsidRDefault="00383888" w:rsidP="00B47699">
            <w:pPr>
              <w:jc w:val="right"/>
              <w:rPr>
                <w:snapToGrid w:val="0"/>
                <w:sz w:val="18"/>
                <w:szCs w:val="18"/>
              </w:rPr>
            </w:pPr>
            <w:r w:rsidRPr="000615AB">
              <w:rPr>
                <w:snapToGrid w:val="0"/>
                <w:sz w:val="18"/>
                <w:szCs w:val="18"/>
              </w:rPr>
              <w:t xml:space="preserve">1.424 </w:t>
            </w:r>
          </w:p>
        </w:tc>
        <w:tc>
          <w:tcPr>
            <w:tcW w:w="1430" w:type="dxa"/>
            <w:shd w:val="pct15" w:color="auto" w:fill="FFFFFF"/>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1.424 </w:t>
            </w:r>
          </w:p>
        </w:tc>
        <w:tc>
          <w:tcPr>
            <w:tcW w:w="1388" w:type="dxa"/>
            <w:shd w:val="pct15" w:color="auto" w:fill="FFFFFF"/>
          </w:tcPr>
          <w:p w:rsidR="00383888" w:rsidRPr="000615AB" w:rsidRDefault="00383888" w:rsidP="00B47699">
            <w:pPr>
              <w:jc w:val="right"/>
              <w:rPr>
                <w:snapToGrid w:val="0"/>
                <w:sz w:val="18"/>
                <w:szCs w:val="18"/>
              </w:rPr>
            </w:pPr>
            <w:r w:rsidRPr="000615AB">
              <w:rPr>
                <w:snapToGrid w:val="0"/>
                <w:sz w:val="18"/>
                <w:szCs w:val="18"/>
              </w:rPr>
              <w:t xml:space="preserve">2.848 </w:t>
            </w:r>
          </w:p>
        </w:tc>
      </w:tr>
      <w:tr w:rsidR="00383888" w:rsidRPr="000615AB" w:rsidTr="00B47699">
        <w:tc>
          <w:tcPr>
            <w:tcW w:w="3055" w:type="dxa"/>
            <w:shd w:val="clear" w:color="auto" w:fill="FFFFFF"/>
          </w:tcPr>
          <w:p w:rsidR="00383888" w:rsidRPr="000615AB" w:rsidRDefault="00383888" w:rsidP="00B47699">
            <w:pPr>
              <w:rPr>
                <w:snapToGrid w:val="0"/>
                <w:sz w:val="18"/>
                <w:szCs w:val="18"/>
              </w:rPr>
            </w:pPr>
            <w:r w:rsidRPr="000615AB">
              <w:rPr>
                <w:snapToGrid w:val="0"/>
                <w:sz w:val="18"/>
                <w:szCs w:val="18"/>
              </w:rPr>
              <w:t>Guinea Ecuatorial</w:t>
            </w:r>
          </w:p>
        </w:tc>
        <w:tc>
          <w:tcPr>
            <w:tcW w:w="1125" w:type="dxa"/>
            <w:shd w:val="clear" w:color="auto" w:fill="FFFFFF"/>
          </w:tcPr>
          <w:p w:rsidR="00383888" w:rsidRPr="000615AB" w:rsidRDefault="00383888" w:rsidP="00B47699">
            <w:pPr>
              <w:jc w:val="center"/>
              <w:rPr>
                <w:i/>
                <w:snapToGrid w:val="0"/>
                <w:sz w:val="18"/>
                <w:szCs w:val="18"/>
              </w:rPr>
            </w:pPr>
            <w:r w:rsidRPr="000615AB">
              <w:rPr>
                <w:snapToGrid w:val="0"/>
                <w:sz w:val="18"/>
                <w:szCs w:val="18"/>
              </w:rPr>
              <w:t>S</w:t>
            </w:r>
            <w:r w:rsidRPr="000615AB">
              <w:rPr>
                <w:i/>
                <w:snapToGrid w:val="0"/>
                <w:sz w:val="18"/>
                <w:szCs w:val="18"/>
              </w:rPr>
              <w:t>ter</w:t>
            </w:r>
          </w:p>
        </w:tc>
        <w:tc>
          <w:tcPr>
            <w:tcW w:w="1210" w:type="dxa"/>
            <w:shd w:val="clear" w:color="auto" w:fill="FFFFFF"/>
          </w:tcPr>
          <w:p w:rsidR="00383888" w:rsidRPr="000615AB" w:rsidRDefault="00383888" w:rsidP="00B47699">
            <w:pPr>
              <w:jc w:val="right"/>
              <w:rPr>
                <w:snapToGrid w:val="0"/>
                <w:sz w:val="18"/>
                <w:szCs w:val="18"/>
              </w:rPr>
            </w:pPr>
            <w:r w:rsidRPr="000615AB">
              <w:rPr>
                <w:snapToGrid w:val="0"/>
                <w:sz w:val="18"/>
                <w:szCs w:val="18"/>
              </w:rPr>
              <w:t>0,03125</w:t>
            </w:r>
          </w:p>
        </w:tc>
        <w:tc>
          <w:tcPr>
            <w:tcW w:w="1320" w:type="dxa"/>
            <w:shd w:val="clear" w:color="auto" w:fill="FFFFFF"/>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1.424 </w:t>
            </w:r>
          </w:p>
        </w:tc>
        <w:tc>
          <w:tcPr>
            <w:tcW w:w="1430" w:type="dxa"/>
            <w:shd w:val="clear" w:color="auto" w:fill="FFFFFF"/>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1.424 </w:t>
            </w:r>
          </w:p>
        </w:tc>
        <w:tc>
          <w:tcPr>
            <w:tcW w:w="1388" w:type="dxa"/>
            <w:shd w:val="clear" w:color="auto" w:fill="FFFFFF"/>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2.848 </w:t>
            </w:r>
          </w:p>
        </w:tc>
      </w:tr>
      <w:tr w:rsidR="00383888" w:rsidRPr="000615AB" w:rsidTr="00B47699">
        <w:tc>
          <w:tcPr>
            <w:tcW w:w="3055" w:type="dxa"/>
            <w:shd w:val="pct15" w:color="auto" w:fill="FFFFFF"/>
          </w:tcPr>
          <w:p w:rsidR="00383888" w:rsidRPr="000615AB" w:rsidRDefault="00383888" w:rsidP="00B47699">
            <w:pPr>
              <w:rPr>
                <w:snapToGrid w:val="0"/>
                <w:sz w:val="18"/>
                <w:szCs w:val="18"/>
              </w:rPr>
            </w:pPr>
            <w:r w:rsidRPr="000615AB">
              <w:rPr>
                <w:snapToGrid w:val="0"/>
                <w:sz w:val="18"/>
                <w:szCs w:val="18"/>
              </w:rPr>
              <w:t>Guinea-Bissau</w:t>
            </w:r>
          </w:p>
        </w:tc>
        <w:tc>
          <w:tcPr>
            <w:tcW w:w="1125" w:type="dxa"/>
            <w:shd w:val="pct15" w:color="auto" w:fill="FFFFFF"/>
          </w:tcPr>
          <w:p w:rsidR="00383888" w:rsidRPr="000615AB" w:rsidRDefault="00383888" w:rsidP="00B47699">
            <w:pPr>
              <w:jc w:val="center"/>
              <w:rPr>
                <w:i/>
                <w:snapToGrid w:val="0"/>
                <w:sz w:val="18"/>
                <w:szCs w:val="18"/>
              </w:rPr>
            </w:pPr>
            <w:r w:rsidRPr="000615AB">
              <w:rPr>
                <w:snapToGrid w:val="0"/>
                <w:sz w:val="18"/>
                <w:szCs w:val="18"/>
              </w:rPr>
              <w:t>S</w:t>
            </w:r>
            <w:r w:rsidRPr="000615AB">
              <w:rPr>
                <w:i/>
                <w:snapToGrid w:val="0"/>
                <w:sz w:val="18"/>
                <w:szCs w:val="18"/>
              </w:rPr>
              <w:t>ter</w:t>
            </w:r>
          </w:p>
        </w:tc>
        <w:tc>
          <w:tcPr>
            <w:tcW w:w="1210" w:type="dxa"/>
            <w:shd w:val="pct15" w:color="auto" w:fill="FFFFFF"/>
          </w:tcPr>
          <w:p w:rsidR="00383888" w:rsidRPr="000615AB" w:rsidRDefault="00383888" w:rsidP="00B47699">
            <w:pPr>
              <w:jc w:val="right"/>
              <w:rPr>
                <w:snapToGrid w:val="0"/>
                <w:sz w:val="18"/>
                <w:szCs w:val="18"/>
              </w:rPr>
            </w:pPr>
            <w:r w:rsidRPr="000615AB">
              <w:rPr>
                <w:snapToGrid w:val="0"/>
                <w:sz w:val="18"/>
                <w:szCs w:val="18"/>
              </w:rPr>
              <w:t>0,03125</w:t>
            </w:r>
          </w:p>
        </w:tc>
        <w:tc>
          <w:tcPr>
            <w:tcW w:w="1320" w:type="dxa"/>
            <w:shd w:val="pct15" w:color="auto" w:fill="FFFFFF"/>
          </w:tcPr>
          <w:p w:rsidR="00383888" w:rsidRPr="000615AB" w:rsidRDefault="00383888" w:rsidP="00B47699">
            <w:pPr>
              <w:jc w:val="right"/>
              <w:rPr>
                <w:snapToGrid w:val="0"/>
                <w:sz w:val="18"/>
                <w:szCs w:val="18"/>
              </w:rPr>
            </w:pPr>
            <w:r w:rsidRPr="000615AB">
              <w:rPr>
                <w:snapToGrid w:val="0"/>
                <w:sz w:val="18"/>
                <w:szCs w:val="18"/>
              </w:rPr>
              <w:t xml:space="preserve">1.424 </w:t>
            </w:r>
          </w:p>
        </w:tc>
        <w:tc>
          <w:tcPr>
            <w:tcW w:w="1430" w:type="dxa"/>
            <w:shd w:val="pct15" w:color="auto" w:fill="FFFFFF"/>
          </w:tcPr>
          <w:p w:rsidR="00383888" w:rsidRPr="000615AB" w:rsidRDefault="00383888" w:rsidP="00B47699">
            <w:pPr>
              <w:jc w:val="right"/>
              <w:rPr>
                <w:snapToGrid w:val="0"/>
                <w:sz w:val="18"/>
                <w:szCs w:val="18"/>
              </w:rPr>
            </w:pPr>
            <w:r w:rsidRPr="000615AB">
              <w:rPr>
                <w:snapToGrid w:val="0"/>
                <w:sz w:val="18"/>
                <w:szCs w:val="18"/>
              </w:rPr>
              <w:t xml:space="preserve">1.424 </w:t>
            </w:r>
          </w:p>
        </w:tc>
        <w:tc>
          <w:tcPr>
            <w:tcW w:w="1388" w:type="dxa"/>
            <w:shd w:val="pct15" w:color="auto" w:fill="FFFFFF"/>
          </w:tcPr>
          <w:p w:rsidR="00383888" w:rsidRPr="000615AB" w:rsidRDefault="00383888" w:rsidP="00B47699">
            <w:pPr>
              <w:jc w:val="right"/>
              <w:rPr>
                <w:snapToGrid w:val="0"/>
                <w:sz w:val="18"/>
                <w:szCs w:val="18"/>
              </w:rPr>
            </w:pPr>
            <w:r w:rsidRPr="000615AB">
              <w:rPr>
                <w:snapToGrid w:val="0"/>
                <w:sz w:val="18"/>
                <w:szCs w:val="18"/>
              </w:rPr>
              <w:t xml:space="preserve">2.848 </w:t>
            </w:r>
          </w:p>
        </w:tc>
      </w:tr>
      <w:tr w:rsidR="00383888" w:rsidRPr="000615AB" w:rsidTr="00B47699">
        <w:tc>
          <w:tcPr>
            <w:tcW w:w="3055" w:type="dxa"/>
          </w:tcPr>
          <w:p w:rsidR="00383888" w:rsidRPr="000615AB" w:rsidRDefault="00383888" w:rsidP="00B47699">
            <w:pPr>
              <w:rPr>
                <w:snapToGrid w:val="0"/>
                <w:sz w:val="18"/>
                <w:szCs w:val="18"/>
              </w:rPr>
            </w:pPr>
            <w:r w:rsidRPr="000615AB">
              <w:rPr>
                <w:snapToGrid w:val="0"/>
                <w:sz w:val="18"/>
                <w:szCs w:val="18"/>
              </w:rPr>
              <w:t>Guyana</w:t>
            </w:r>
          </w:p>
        </w:tc>
        <w:tc>
          <w:tcPr>
            <w:tcW w:w="1125" w:type="dxa"/>
          </w:tcPr>
          <w:p w:rsidR="00383888" w:rsidRPr="000615AB" w:rsidRDefault="00383888" w:rsidP="00B47699">
            <w:pPr>
              <w:jc w:val="center"/>
              <w:rPr>
                <w:i/>
                <w:snapToGrid w:val="0"/>
                <w:sz w:val="18"/>
                <w:szCs w:val="18"/>
              </w:rPr>
            </w:pPr>
            <w:r w:rsidRPr="000615AB">
              <w:rPr>
                <w:snapToGrid w:val="0"/>
                <w:sz w:val="18"/>
                <w:szCs w:val="18"/>
              </w:rPr>
              <w:t>S</w:t>
            </w:r>
            <w:r w:rsidRPr="000615AB">
              <w:rPr>
                <w:i/>
                <w:snapToGrid w:val="0"/>
                <w:sz w:val="18"/>
                <w:szCs w:val="18"/>
              </w:rPr>
              <w:t>bis</w:t>
            </w:r>
          </w:p>
        </w:tc>
        <w:tc>
          <w:tcPr>
            <w:tcW w:w="1210" w:type="dxa"/>
          </w:tcPr>
          <w:p w:rsidR="00383888" w:rsidRPr="000615AB" w:rsidRDefault="00383888" w:rsidP="00B47699">
            <w:pPr>
              <w:jc w:val="right"/>
              <w:rPr>
                <w:snapToGrid w:val="0"/>
                <w:sz w:val="18"/>
                <w:szCs w:val="18"/>
              </w:rPr>
            </w:pPr>
            <w:r w:rsidRPr="000615AB">
              <w:rPr>
                <w:snapToGrid w:val="0"/>
                <w:sz w:val="18"/>
                <w:szCs w:val="18"/>
              </w:rPr>
              <w:t>0,0625</w:t>
            </w:r>
          </w:p>
        </w:tc>
        <w:tc>
          <w:tcPr>
            <w:tcW w:w="1320" w:type="dxa"/>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2.849 </w:t>
            </w:r>
          </w:p>
        </w:tc>
        <w:tc>
          <w:tcPr>
            <w:tcW w:w="1430" w:type="dxa"/>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2.849 </w:t>
            </w:r>
          </w:p>
        </w:tc>
        <w:tc>
          <w:tcPr>
            <w:tcW w:w="1388" w:type="dxa"/>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5.698 </w:t>
            </w:r>
          </w:p>
        </w:tc>
      </w:tr>
      <w:tr w:rsidR="00383888" w:rsidRPr="000615AB" w:rsidTr="00B47699">
        <w:tc>
          <w:tcPr>
            <w:tcW w:w="3055" w:type="dxa"/>
            <w:shd w:val="pct15" w:color="auto" w:fill="FFFFFF"/>
          </w:tcPr>
          <w:p w:rsidR="00383888" w:rsidRPr="000615AB" w:rsidRDefault="00383888" w:rsidP="00B47699">
            <w:pPr>
              <w:rPr>
                <w:snapToGrid w:val="0"/>
                <w:sz w:val="18"/>
                <w:szCs w:val="18"/>
              </w:rPr>
            </w:pPr>
            <w:r w:rsidRPr="000615AB">
              <w:rPr>
                <w:b/>
                <w:snapToGrid w:val="0"/>
                <w:sz w:val="18"/>
                <w:szCs w:val="18"/>
              </w:rPr>
              <w:t>H</w:t>
            </w:r>
            <w:r w:rsidRPr="000615AB">
              <w:rPr>
                <w:snapToGrid w:val="0"/>
                <w:sz w:val="18"/>
                <w:szCs w:val="18"/>
              </w:rPr>
              <w:t>aití</w:t>
            </w:r>
          </w:p>
        </w:tc>
        <w:tc>
          <w:tcPr>
            <w:tcW w:w="1125" w:type="dxa"/>
            <w:shd w:val="pct15" w:color="auto" w:fill="FFFFFF"/>
          </w:tcPr>
          <w:p w:rsidR="00383888" w:rsidRPr="000615AB" w:rsidRDefault="00383888" w:rsidP="00B47699">
            <w:pPr>
              <w:jc w:val="center"/>
              <w:rPr>
                <w:i/>
                <w:snapToGrid w:val="0"/>
                <w:sz w:val="18"/>
                <w:szCs w:val="18"/>
              </w:rPr>
            </w:pPr>
            <w:r w:rsidRPr="000615AB">
              <w:rPr>
                <w:snapToGrid w:val="0"/>
                <w:sz w:val="18"/>
                <w:szCs w:val="18"/>
              </w:rPr>
              <w:t>S</w:t>
            </w:r>
            <w:r w:rsidRPr="000615AB">
              <w:rPr>
                <w:i/>
                <w:snapToGrid w:val="0"/>
                <w:sz w:val="18"/>
                <w:szCs w:val="18"/>
              </w:rPr>
              <w:t>ter</w:t>
            </w:r>
          </w:p>
        </w:tc>
        <w:tc>
          <w:tcPr>
            <w:tcW w:w="1210" w:type="dxa"/>
            <w:shd w:val="pct15" w:color="auto" w:fill="FFFFFF"/>
          </w:tcPr>
          <w:p w:rsidR="00383888" w:rsidRPr="000615AB" w:rsidRDefault="00383888" w:rsidP="00B47699">
            <w:pPr>
              <w:jc w:val="right"/>
              <w:rPr>
                <w:snapToGrid w:val="0"/>
                <w:sz w:val="18"/>
                <w:szCs w:val="18"/>
              </w:rPr>
            </w:pPr>
            <w:r w:rsidRPr="000615AB">
              <w:rPr>
                <w:snapToGrid w:val="0"/>
                <w:sz w:val="18"/>
                <w:szCs w:val="18"/>
              </w:rPr>
              <w:t>0,03125</w:t>
            </w:r>
          </w:p>
        </w:tc>
        <w:tc>
          <w:tcPr>
            <w:tcW w:w="1320" w:type="dxa"/>
            <w:shd w:val="pct15" w:color="auto" w:fill="FFFFFF"/>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1.424 </w:t>
            </w:r>
          </w:p>
        </w:tc>
        <w:tc>
          <w:tcPr>
            <w:tcW w:w="1430" w:type="dxa"/>
            <w:shd w:val="pct15" w:color="auto" w:fill="FFFFFF"/>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1.424 </w:t>
            </w:r>
          </w:p>
        </w:tc>
        <w:tc>
          <w:tcPr>
            <w:tcW w:w="1388" w:type="dxa"/>
            <w:shd w:val="pct15" w:color="auto" w:fill="FFFFFF"/>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2.848 </w:t>
            </w:r>
          </w:p>
        </w:tc>
      </w:tr>
      <w:tr w:rsidR="00383888" w:rsidRPr="000615AB" w:rsidTr="00B47699">
        <w:tc>
          <w:tcPr>
            <w:tcW w:w="3055" w:type="dxa"/>
            <w:shd w:val="clear" w:color="auto" w:fill="FFFFFF"/>
          </w:tcPr>
          <w:p w:rsidR="00383888" w:rsidRPr="000615AB" w:rsidRDefault="00383888" w:rsidP="00B47699">
            <w:pPr>
              <w:rPr>
                <w:snapToGrid w:val="0"/>
                <w:sz w:val="18"/>
                <w:szCs w:val="18"/>
              </w:rPr>
            </w:pPr>
            <w:r w:rsidRPr="000615AB">
              <w:rPr>
                <w:snapToGrid w:val="0"/>
                <w:sz w:val="18"/>
                <w:szCs w:val="18"/>
              </w:rPr>
              <w:t>Honduras</w:t>
            </w:r>
          </w:p>
        </w:tc>
        <w:tc>
          <w:tcPr>
            <w:tcW w:w="1125" w:type="dxa"/>
            <w:shd w:val="clear" w:color="auto" w:fill="FFFFFF"/>
          </w:tcPr>
          <w:p w:rsidR="00383888" w:rsidRPr="000615AB" w:rsidRDefault="00383888" w:rsidP="00B47699">
            <w:pPr>
              <w:jc w:val="center"/>
              <w:rPr>
                <w:i/>
                <w:snapToGrid w:val="0"/>
                <w:sz w:val="18"/>
                <w:szCs w:val="18"/>
              </w:rPr>
            </w:pPr>
            <w:r w:rsidRPr="000615AB">
              <w:rPr>
                <w:snapToGrid w:val="0"/>
                <w:sz w:val="18"/>
                <w:szCs w:val="18"/>
              </w:rPr>
              <w:t>S</w:t>
            </w:r>
            <w:r w:rsidRPr="000615AB">
              <w:rPr>
                <w:i/>
                <w:snapToGrid w:val="0"/>
                <w:sz w:val="18"/>
                <w:szCs w:val="18"/>
              </w:rPr>
              <w:t>bis</w:t>
            </w:r>
          </w:p>
        </w:tc>
        <w:tc>
          <w:tcPr>
            <w:tcW w:w="1210" w:type="dxa"/>
            <w:shd w:val="clear" w:color="auto" w:fill="FFFFFF"/>
          </w:tcPr>
          <w:p w:rsidR="00383888" w:rsidRPr="000615AB" w:rsidRDefault="00383888" w:rsidP="00B47699">
            <w:pPr>
              <w:jc w:val="right"/>
              <w:rPr>
                <w:snapToGrid w:val="0"/>
                <w:sz w:val="18"/>
                <w:szCs w:val="18"/>
              </w:rPr>
            </w:pPr>
            <w:r w:rsidRPr="000615AB">
              <w:rPr>
                <w:snapToGrid w:val="0"/>
                <w:sz w:val="18"/>
                <w:szCs w:val="18"/>
              </w:rPr>
              <w:t>0,0625</w:t>
            </w:r>
          </w:p>
        </w:tc>
        <w:tc>
          <w:tcPr>
            <w:tcW w:w="1320" w:type="dxa"/>
            <w:shd w:val="clear" w:color="auto" w:fill="FFFFFF"/>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2.849 </w:t>
            </w:r>
          </w:p>
        </w:tc>
        <w:tc>
          <w:tcPr>
            <w:tcW w:w="1430" w:type="dxa"/>
            <w:shd w:val="clear" w:color="auto" w:fill="FFFFFF"/>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2.849 </w:t>
            </w:r>
          </w:p>
        </w:tc>
        <w:tc>
          <w:tcPr>
            <w:tcW w:w="1388" w:type="dxa"/>
            <w:shd w:val="clear" w:color="auto" w:fill="FFFFFF"/>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5.698 </w:t>
            </w:r>
          </w:p>
        </w:tc>
      </w:tr>
      <w:tr w:rsidR="00383888" w:rsidRPr="000615AB" w:rsidTr="00B47699">
        <w:tc>
          <w:tcPr>
            <w:tcW w:w="3055" w:type="dxa"/>
            <w:shd w:val="pct15" w:color="auto" w:fill="auto"/>
          </w:tcPr>
          <w:p w:rsidR="00383888" w:rsidRPr="000615AB" w:rsidRDefault="00383888" w:rsidP="00B47699">
            <w:pPr>
              <w:rPr>
                <w:snapToGrid w:val="0"/>
                <w:sz w:val="18"/>
                <w:szCs w:val="18"/>
              </w:rPr>
            </w:pPr>
            <w:r w:rsidRPr="000615AB">
              <w:rPr>
                <w:snapToGrid w:val="0"/>
                <w:sz w:val="18"/>
                <w:szCs w:val="18"/>
              </w:rPr>
              <w:t>Hungría</w:t>
            </w:r>
          </w:p>
        </w:tc>
        <w:tc>
          <w:tcPr>
            <w:tcW w:w="1125" w:type="dxa"/>
            <w:shd w:val="pct15" w:color="auto" w:fill="auto"/>
          </w:tcPr>
          <w:p w:rsidR="00383888" w:rsidRPr="000615AB" w:rsidRDefault="00383888" w:rsidP="00B47699">
            <w:pPr>
              <w:jc w:val="center"/>
              <w:rPr>
                <w:snapToGrid w:val="0"/>
                <w:sz w:val="18"/>
                <w:szCs w:val="18"/>
              </w:rPr>
            </w:pPr>
            <w:r w:rsidRPr="000615AB">
              <w:rPr>
                <w:snapToGrid w:val="0"/>
                <w:sz w:val="18"/>
                <w:szCs w:val="18"/>
              </w:rPr>
              <w:t>VI</w:t>
            </w:r>
          </w:p>
        </w:tc>
        <w:tc>
          <w:tcPr>
            <w:tcW w:w="1210" w:type="dxa"/>
            <w:shd w:val="pct15" w:color="auto" w:fill="auto"/>
          </w:tcPr>
          <w:p w:rsidR="00383888" w:rsidRPr="000615AB" w:rsidRDefault="00383888" w:rsidP="00B47699">
            <w:pPr>
              <w:jc w:val="right"/>
              <w:rPr>
                <w:snapToGrid w:val="0"/>
                <w:sz w:val="18"/>
                <w:szCs w:val="18"/>
              </w:rPr>
            </w:pPr>
            <w:r w:rsidRPr="000615AB">
              <w:rPr>
                <w:snapToGrid w:val="0"/>
                <w:sz w:val="18"/>
                <w:szCs w:val="18"/>
              </w:rPr>
              <w:t>3</w:t>
            </w:r>
          </w:p>
        </w:tc>
        <w:tc>
          <w:tcPr>
            <w:tcW w:w="1320"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136.737 </w:t>
            </w:r>
          </w:p>
        </w:tc>
        <w:tc>
          <w:tcPr>
            <w:tcW w:w="1430"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136.737 </w:t>
            </w:r>
          </w:p>
        </w:tc>
        <w:tc>
          <w:tcPr>
            <w:tcW w:w="1388"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273.474 </w:t>
            </w:r>
          </w:p>
        </w:tc>
      </w:tr>
      <w:tr w:rsidR="00383888" w:rsidRPr="000615AB" w:rsidTr="00B47699">
        <w:tc>
          <w:tcPr>
            <w:tcW w:w="3055" w:type="dxa"/>
          </w:tcPr>
          <w:p w:rsidR="00383888" w:rsidRPr="000615AB" w:rsidRDefault="00383888" w:rsidP="00B47699">
            <w:pPr>
              <w:rPr>
                <w:snapToGrid w:val="0"/>
                <w:sz w:val="18"/>
                <w:szCs w:val="18"/>
              </w:rPr>
            </w:pPr>
            <w:r w:rsidRPr="000615AB">
              <w:rPr>
                <w:b/>
                <w:snapToGrid w:val="0"/>
                <w:sz w:val="18"/>
                <w:szCs w:val="18"/>
              </w:rPr>
              <w:t>I</w:t>
            </w:r>
            <w:r w:rsidRPr="000615AB">
              <w:rPr>
                <w:snapToGrid w:val="0"/>
                <w:sz w:val="18"/>
                <w:szCs w:val="18"/>
              </w:rPr>
              <w:t>ndia</w:t>
            </w:r>
          </w:p>
        </w:tc>
        <w:tc>
          <w:tcPr>
            <w:tcW w:w="1125" w:type="dxa"/>
          </w:tcPr>
          <w:p w:rsidR="00383888" w:rsidRPr="000615AB" w:rsidRDefault="00383888" w:rsidP="00B47699">
            <w:pPr>
              <w:jc w:val="center"/>
              <w:rPr>
                <w:i/>
                <w:snapToGrid w:val="0"/>
                <w:sz w:val="18"/>
                <w:szCs w:val="18"/>
              </w:rPr>
            </w:pPr>
            <w:r w:rsidRPr="000615AB">
              <w:rPr>
                <w:snapToGrid w:val="0"/>
                <w:sz w:val="18"/>
                <w:szCs w:val="18"/>
              </w:rPr>
              <w:t>VI</w:t>
            </w:r>
            <w:r w:rsidRPr="000615AB">
              <w:rPr>
                <w:i/>
                <w:snapToGrid w:val="0"/>
                <w:sz w:val="18"/>
                <w:szCs w:val="18"/>
              </w:rPr>
              <w:t>bis</w:t>
            </w:r>
          </w:p>
        </w:tc>
        <w:tc>
          <w:tcPr>
            <w:tcW w:w="1210" w:type="dxa"/>
          </w:tcPr>
          <w:p w:rsidR="00383888" w:rsidRPr="000615AB" w:rsidRDefault="00383888" w:rsidP="00B47699">
            <w:pPr>
              <w:jc w:val="right"/>
              <w:rPr>
                <w:snapToGrid w:val="0"/>
                <w:sz w:val="18"/>
                <w:szCs w:val="18"/>
              </w:rPr>
            </w:pPr>
            <w:r w:rsidRPr="000615AB">
              <w:rPr>
                <w:snapToGrid w:val="0"/>
                <w:sz w:val="18"/>
                <w:szCs w:val="18"/>
              </w:rPr>
              <w:t>2</w:t>
            </w:r>
          </w:p>
        </w:tc>
        <w:tc>
          <w:tcPr>
            <w:tcW w:w="1320" w:type="dxa"/>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91.158 </w:t>
            </w:r>
          </w:p>
        </w:tc>
        <w:tc>
          <w:tcPr>
            <w:tcW w:w="1430" w:type="dxa"/>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91.158 </w:t>
            </w:r>
          </w:p>
        </w:tc>
        <w:tc>
          <w:tcPr>
            <w:tcW w:w="1388" w:type="dxa"/>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182.316 </w:t>
            </w:r>
          </w:p>
        </w:tc>
      </w:tr>
      <w:tr w:rsidR="00383888" w:rsidRPr="000615AB" w:rsidTr="00B47699">
        <w:tc>
          <w:tcPr>
            <w:tcW w:w="3055" w:type="dxa"/>
            <w:shd w:val="pct15" w:color="auto" w:fill="FFFFFF"/>
          </w:tcPr>
          <w:p w:rsidR="00383888" w:rsidRPr="000615AB" w:rsidRDefault="00383888" w:rsidP="00B47699">
            <w:pPr>
              <w:rPr>
                <w:snapToGrid w:val="0"/>
                <w:sz w:val="18"/>
                <w:szCs w:val="18"/>
              </w:rPr>
            </w:pPr>
            <w:r w:rsidRPr="000615AB">
              <w:rPr>
                <w:snapToGrid w:val="0"/>
                <w:sz w:val="18"/>
                <w:szCs w:val="18"/>
              </w:rPr>
              <w:t>Indonesia</w:t>
            </w:r>
          </w:p>
        </w:tc>
        <w:tc>
          <w:tcPr>
            <w:tcW w:w="1125" w:type="dxa"/>
            <w:shd w:val="pct15" w:color="auto" w:fill="FFFFFF"/>
          </w:tcPr>
          <w:p w:rsidR="00383888" w:rsidRPr="000615AB" w:rsidRDefault="00383888" w:rsidP="00B47699">
            <w:pPr>
              <w:jc w:val="center"/>
              <w:rPr>
                <w:snapToGrid w:val="0"/>
                <w:sz w:val="18"/>
                <w:szCs w:val="18"/>
              </w:rPr>
            </w:pPr>
            <w:r w:rsidRPr="000615AB">
              <w:rPr>
                <w:snapToGrid w:val="0"/>
                <w:sz w:val="18"/>
                <w:szCs w:val="18"/>
              </w:rPr>
              <w:t>VII</w:t>
            </w:r>
          </w:p>
        </w:tc>
        <w:tc>
          <w:tcPr>
            <w:tcW w:w="1210" w:type="dxa"/>
            <w:shd w:val="pct15" w:color="auto" w:fill="FFFFFF"/>
          </w:tcPr>
          <w:p w:rsidR="00383888" w:rsidRPr="000615AB" w:rsidRDefault="00383888" w:rsidP="00B47699">
            <w:pPr>
              <w:jc w:val="right"/>
              <w:rPr>
                <w:snapToGrid w:val="0"/>
                <w:sz w:val="18"/>
                <w:szCs w:val="18"/>
              </w:rPr>
            </w:pPr>
            <w:r w:rsidRPr="000615AB">
              <w:rPr>
                <w:snapToGrid w:val="0"/>
                <w:sz w:val="18"/>
                <w:szCs w:val="18"/>
              </w:rPr>
              <w:t>1</w:t>
            </w:r>
          </w:p>
        </w:tc>
        <w:tc>
          <w:tcPr>
            <w:tcW w:w="1320" w:type="dxa"/>
            <w:shd w:val="pct15" w:color="auto" w:fill="FFFFFF"/>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45.579 </w:t>
            </w:r>
          </w:p>
        </w:tc>
        <w:tc>
          <w:tcPr>
            <w:tcW w:w="1430" w:type="dxa"/>
            <w:shd w:val="pct15" w:color="auto" w:fill="FFFFFF"/>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45.579 </w:t>
            </w:r>
          </w:p>
        </w:tc>
        <w:tc>
          <w:tcPr>
            <w:tcW w:w="1388" w:type="dxa"/>
            <w:shd w:val="pct15" w:color="auto" w:fill="FFFFFF"/>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91.158 </w:t>
            </w:r>
          </w:p>
        </w:tc>
      </w:tr>
      <w:tr w:rsidR="00383888" w:rsidRPr="000615AB" w:rsidTr="00B47699">
        <w:tc>
          <w:tcPr>
            <w:tcW w:w="3055" w:type="dxa"/>
          </w:tcPr>
          <w:p w:rsidR="00383888" w:rsidRPr="000615AB" w:rsidRDefault="00383888" w:rsidP="00B47699">
            <w:pPr>
              <w:rPr>
                <w:snapToGrid w:val="0"/>
                <w:sz w:val="18"/>
                <w:szCs w:val="18"/>
              </w:rPr>
            </w:pPr>
            <w:r w:rsidRPr="000615AB">
              <w:rPr>
                <w:snapToGrid w:val="0"/>
                <w:sz w:val="18"/>
                <w:szCs w:val="18"/>
              </w:rPr>
              <w:t>Irán (República Islámica del)</w:t>
            </w:r>
          </w:p>
        </w:tc>
        <w:tc>
          <w:tcPr>
            <w:tcW w:w="1125" w:type="dxa"/>
          </w:tcPr>
          <w:p w:rsidR="00383888" w:rsidRPr="000615AB" w:rsidRDefault="00383888" w:rsidP="00B47699">
            <w:pPr>
              <w:jc w:val="center"/>
              <w:rPr>
                <w:snapToGrid w:val="0"/>
                <w:sz w:val="18"/>
                <w:szCs w:val="18"/>
              </w:rPr>
            </w:pPr>
            <w:r w:rsidRPr="000615AB">
              <w:rPr>
                <w:snapToGrid w:val="0"/>
                <w:sz w:val="18"/>
                <w:szCs w:val="18"/>
              </w:rPr>
              <w:t>VII</w:t>
            </w:r>
          </w:p>
        </w:tc>
        <w:tc>
          <w:tcPr>
            <w:tcW w:w="1210" w:type="dxa"/>
          </w:tcPr>
          <w:p w:rsidR="00383888" w:rsidRPr="000615AB" w:rsidRDefault="00383888" w:rsidP="00B47699">
            <w:pPr>
              <w:jc w:val="right"/>
              <w:rPr>
                <w:snapToGrid w:val="0"/>
                <w:sz w:val="18"/>
                <w:szCs w:val="18"/>
              </w:rPr>
            </w:pPr>
            <w:r w:rsidRPr="000615AB">
              <w:rPr>
                <w:snapToGrid w:val="0"/>
                <w:sz w:val="18"/>
                <w:szCs w:val="18"/>
              </w:rPr>
              <w:t>1</w:t>
            </w:r>
          </w:p>
        </w:tc>
        <w:tc>
          <w:tcPr>
            <w:tcW w:w="1320" w:type="dxa"/>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45.579 </w:t>
            </w:r>
          </w:p>
        </w:tc>
        <w:tc>
          <w:tcPr>
            <w:tcW w:w="1430" w:type="dxa"/>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45.579 </w:t>
            </w:r>
          </w:p>
        </w:tc>
        <w:tc>
          <w:tcPr>
            <w:tcW w:w="1388" w:type="dxa"/>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91.158 </w:t>
            </w:r>
          </w:p>
        </w:tc>
      </w:tr>
      <w:tr w:rsidR="00383888" w:rsidRPr="000615AB" w:rsidTr="00B47699">
        <w:tc>
          <w:tcPr>
            <w:tcW w:w="3055" w:type="dxa"/>
            <w:shd w:val="pct15" w:color="auto" w:fill="FFFFFF"/>
          </w:tcPr>
          <w:p w:rsidR="00383888" w:rsidRPr="000615AB" w:rsidRDefault="00383888" w:rsidP="00B47699">
            <w:pPr>
              <w:rPr>
                <w:snapToGrid w:val="0"/>
                <w:sz w:val="18"/>
                <w:szCs w:val="18"/>
              </w:rPr>
            </w:pPr>
            <w:r w:rsidRPr="000615AB">
              <w:rPr>
                <w:snapToGrid w:val="0"/>
                <w:sz w:val="18"/>
                <w:szCs w:val="18"/>
              </w:rPr>
              <w:t>Iraq</w:t>
            </w:r>
          </w:p>
        </w:tc>
        <w:tc>
          <w:tcPr>
            <w:tcW w:w="1125" w:type="dxa"/>
            <w:shd w:val="pct15" w:color="auto" w:fill="FFFFFF"/>
          </w:tcPr>
          <w:p w:rsidR="00383888" w:rsidRPr="000615AB" w:rsidRDefault="00383888" w:rsidP="00B47699">
            <w:pPr>
              <w:jc w:val="center"/>
              <w:rPr>
                <w:i/>
                <w:snapToGrid w:val="0"/>
                <w:sz w:val="18"/>
                <w:szCs w:val="18"/>
              </w:rPr>
            </w:pPr>
            <w:r w:rsidRPr="000615AB">
              <w:rPr>
                <w:snapToGrid w:val="0"/>
                <w:sz w:val="18"/>
                <w:szCs w:val="18"/>
              </w:rPr>
              <w:t>S</w:t>
            </w:r>
          </w:p>
        </w:tc>
        <w:tc>
          <w:tcPr>
            <w:tcW w:w="1210" w:type="dxa"/>
            <w:shd w:val="pct15" w:color="auto" w:fill="FFFFFF"/>
          </w:tcPr>
          <w:p w:rsidR="00383888" w:rsidRPr="000615AB" w:rsidRDefault="00383888" w:rsidP="00B47699">
            <w:pPr>
              <w:jc w:val="right"/>
              <w:rPr>
                <w:snapToGrid w:val="0"/>
                <w:sz w:val="18"/>
                <w:szCs w:val="18"/>
              </w:rPr>
            </w:pPr>
            <w:r w:rsidRPr="000615AB">
              <w:rPr>
                <w:snapToGrid w:val="0"/>
                <w:sz w:val="18"/>
                <w:szCs w:val="18"/>
              </w:rPr>
              <w:t>0,125</w:t>
            </w:r>
          </w:p>
        </w:tc>
        <w:tc>
          <w:tcPr>
            <w:tcW w:w="1320" w:type="dxa"/>
            <w:shd w:val="pct15" w:color="auto" w:fill="FFFFFF"/>
          </w:tcPr>
          <w:p w:rsidR="00383888" w:rsidRPr="000615AB" w:rsidRDefault="00383888" w:rsidP="00B47699">
            <w:pPr>
              <w:jc w:val="right"/>
              <w:rPr>
                <w:snapToGrid w:val="0"/>
                <w:sz w:val="18"/>
                <w:szCs w:val="18"/>
              </w:rPr>
            </w:pPr>
            <w:r w:rsidRPr="000615AB">
              <w:rPr>
                <w:snapToGrid w:val="0"/>
                <w:sz w:val="18"/>
                <w:szCs w:val="18"/>
              </w:rPr>
              <w:t>5.697</w:t>
            </w:r>
          </w:p>
        </w:tc>
        <w:tc>
          <w:tcPr>
            <w:tcW w:w="1430" w:type="dxa"/>
            <w:shd w:val="pct15" w:color="auto" w:fill="FFFFFF"/>
          </w:tcPr>
          <w:p w:rsidR="00383888" w:rsidRPr="000615AB" w:rsidRDefault="00383888" w:rsidP="00B47699">
            <w:pPr>
              <w:jc w:val="right"/>
              <w:rPr>
                <w:snapToGrid w:val="0"/>
                <w:sz w:val="18"/>
                <w:szCs w:val="18"/>
              </w:rPr>
            </w:pPr>
            <w:r w:rsidRPr="000615AB">
              <w:rPr>
                <w:snapToGrid w:val="0"/>
                <w:sz w:val="18"/>
                <w:szCs w:val="18"/>
              </w:rPr>
              <w:t>5.697</w:t>
            </w:r>
          </w:p>
        </w:tc>
        <w:tc>
          <w:tcPr>
            <w:tcW w:w="1388" w:type="dxa"/>
            <w:shd w:val="pct15" w:color="auto" w:fill="FFFFFF"/>
          </w:tcPr>
          <w:p w:rsidR="00383888" w:rsidRPr="000615AB" w:rsidRDefault="00383888" w:rsidP="00B47699">
            <w:pPr>
              <w:jc w:val="right"/>
              <w:rPr>
                <w:snapToGrid w:val="0"/>
                <w:sz w:val="18"/>
                <w:szCs w:val="18"/>
              </w:rPr>
            </w:pPr>
            <w:r w:rsidRPr="000615AB">
              <w:rPr>
                <w:snapToGrid w:val="0"/>
                <w:sz w:val="18"/>
                <w:szCs w:val="18"/>
              </w:rPr>
              <w:t>11.394</w:t>
            </w:r>
          </w:p>
        </w:tc>
      </w:tr>
      <w:tr w:rsidR="00383888" w:rsidRPr="000615AB" w:rsidTr="00B47699">
        <w:tc>
          <w:tcPr>
            <w:tcW w:w="3055" w:type="dxa"/>
          </w:tcPr>
          <w:p w:rsidR="00383888" w:rsidRPr="000615AB" w:rsidRDefault="00383888" w:rsidP="00B47699">
            <w:pPr>
              <w:rPr>
                <w:snapToGrid w:val="0"/>
                <w:sz w:val="18"/>
                <w:szCs w:val="18"/>
              </w:rPr>
            </w:pPr>
            <w:r w:rsidRPr="000615AB">
              <w:rPr>
                <w:snapToGrid w:val="0"/>
                <w:sz w:val="18"/>
                <w:szCs w:val="18"/>
              </w:rPr>
              <w:t>Irlanda</w:t>
            </w:r>
          </w:p>
        </w:tc>
        <w:tc>
          <w:tcPr>
            <w:tcW w:w="1125" w:type="dxa"/>
          </w:tcPr>
          <w:p w:rsidR="00383888" w:rsidRPr="000615AB" w:rsidRDefault="00383888" w:rsidP="00B47699">
            <w:pPr>
              <w:jc w:val="center"/>
              <w:rPr>
                <w:snapToGrid w:val="0"/>
                <w:sz w:val="18"/>
                <w:szCs w:val="18"/>
              </w:rPr>
            </w:pPr>
            <w:r w:rsidRPr="000615AB">
              <w:rPr>
                <w:snapToGrid w:val="0"/>
                <w:sz w:val="18"/>
                <w:szCs w:val="18"/>
              </w:rPr>
              <w:t>IV</w:t>
            </w:r>
          </w:p>
        </w:tc>
        <w:tc>
          <w:tcPr>
            <w:tcW w:w="1210" w:type="dxa"/>
          </w:tcPr>
          <w:p w:rsidR="00383888" w:rsidRPr="000615AB" w:rsidRDefault="00383888" w:rsidP="00B47699">
            <w:pPr>
              <w:jc w:val="right"/>
              <w:rPr>
                <w:snapToGrid w:val="0"/>
                <w:sz w:val="18"/>
                <w:szCs w:val="18"/>
              </w:rPr>
            </w:pPr>
            <w:r w:rsidRPr="000615AB">
              <w:rPr>
                <w:snapToGrid w:val="0"/>
                <w:sz w:val="18"/>
                <w:szCs w:val="18"/>
              </w:rPr>
              <w:t>10</w:t>
            </w:r>
          </w:p>
        </w:tc>
        <w:tc>
          <w:tcPr>
            <w:tcW w:w="1320" w:type="dxa"/>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455.790 </w:t>
            </w:r>
          </w:p>
        </w:tc>
        <w:tc>
          <w:tcPr>
            <w:tcW w:w="1430" w:type="dxa"/>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455.790 </w:t>
            </w:r>
          </w:p>
        </w:tc>
        <w:tc>
          <w:tcPr>
            <w:tcW w:w="1388" w:type="dxa"/>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911.580 </w:t>
            </w:r>
          </w:p>
        </w:tc>
      </w:tr>
      <w:tr w:rsidR="00383888" w:rsidRPr="000615AB" w:rsidTr="00B47699">
        <w:tc>
          <w:tcPr>
            <w:tcW w:w="3055" w:type="dxa"/>
            <w:shd w:val="pct15" w:color="auto" w:fill="FFFFFF"/>
          </w:tcPr>
          <w:p w:rsidR="00383888" w:rsidRPr="000615AB" w:rsidRDefault="00383888" w:rsidP="00B47699">
            <w:pPr>
              <w:rPr>
                <w:snapToGrid w:val="0"/>
                <w:sz w:val="18"/>
                <w:szCs w:val="18"/>
              </w:rPr>
            </w:pPr>
            <w:r w:rsidRPr="000615AB">
              <w:rPr>
                <w:snapToGrid w:val="0"/>
                <w:sz w:val="18"/>
                <w:szCs w:val="18"/>
              </w:rPr>
              <w:t>Islandia</w:t>
            </w:r>
          </w:p>
        </w:tc>
        <w:tc>
          <w:tcPr>
            <w:tcW w:w="1125" w:type="dxa"/>
            <w:shd w:val="pct15" w:color="auto" w:fill="FFFFFF"/>
          </w:tcPr>
          <w:p w:rsidR="00383888" w:rsidRPr="000615AB" w:rsidRDefault="00383888" w:rsidP="00B47699">
            <w:pPr>
              <w:jc w:val="center"/>
              <w:rPr>
                <w:snapToGrid w:val="0"/>
                <w:sz w:val="18"/>
                <w:szCs w:val="18"/>
              </w:rPr>
            </w:pPr>
            <w:r w:rsidRPr="000615AB">
              <w:rPr>
                <w:snapToGrid w:val="0"/>
                <w:sz w:val="18"/>
                <w:szCs w:val="18"/>
              </w:rPr>
              <w:t>VIII</w:t>
            </w:r>
          </w:p>
        </w:tc>
        <w:tc>
          <w:tcPr>
            <w:tcW w:w="1210" w:type="dxa"/>
            <w:shd w:val="pct15" w:color="auto" w:fill="FFFFFF"/>
          </w:tcPr>
          <w:p w:rsidR="00383888" w:rsidRPr="000615AB" w:rsidRDefault="00383888" w:rsidP="00B47699">
            <w:pPr>
              <w:jc w:val="right"/>
              <w:rPr>
                <w:snapToGrid w:val="0"/>
                <w:sz w:val="18"/>
                <w:szCs w:val="18"/>
              </w:rPr>
            </w:pPr>
            <w:r w:rsidRPr="000615AB">
              <w:rPr>
                <w:snapToGrid w:val="0"/>
                <w:sz w:val="18"/>
                <w:szCs w:val="18"/>
              </w:rPr>
              <w:t>0,5</w:t>
            </w:r>
          </w:p>
        </w:tc>
        <w:tc>
          <w:tcPr>
            <w:tcW w:w="1320" w:type="dxa"/>
            <w:shd w:val="pct15" w:color="auto" w:fill="FFFFFF"/>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22.789 </w:t>
            </w:r>
          </w:p>
        </w:tc>
        <w:tc>
          <w:tcPr>
            <w:tcW w:w="1430" w:type="dxa"/>
            <w:shd w:val="pct15" w:color="auto" w:fill="FFFFFF"/>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22.789 </w:t>
            </w:r>
          </w:p>
        </w:tc>
        <w:tc>
          <w:tcPr>
            <w:tcW w:w="1388" w:type="dxa"/>
            <w:shd w:val="pct15" w:color="auto" w:fill="FFFFFF"/>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45.578 </w:t>
            </w:r>
          </w:p>
        </w:tc>
      </w:tr>
      <w:tr w:rsidR="00383888" w:rsidRPr="000615AB" w:rsidTr="00B47699">
        <w:tc>
          <w:tcPr>
            <w:tcW w:w="3055" w:type="dxa"/>
            <w:shd w:val="clear" w:color="auto" w:fill="FFFFFF"/>
          </w:tcPr>
          <w:p w:rsidR="00383888" w:rsidRPr="000615AB" w:rsidRDefault="00383888" w:rsidP="00B47699">
            <w:pPr>
              <w:rPr>
                <w:snapToGrid w:val="0"/>
                <w:sz w:val="18"/>
                <w:szCs w:val="18"/>
              </w:rPr>
            </w:pPr>
            <w:r w:rsidRPr="000615AB">
              <w:rPr>
                <w:snapToGrid w:val="0"/>
                <w:sz w:val="18"/>
                <w:szCs w:val="18"/>
              </w:rPr>
              <w:t>Israel</w:t>
            </w:r>
          </w:p>
        </w:tc>
        <w:tc>
          <w:tcPr>
            <w:tcW w:w="1125" w:type="dxa"/>
            <w:shd w:val="clear" w:color="auto" w:fill="FFFFFF"/>
          </w:tcPr>
          <w:p w:rsidR="00383888" w:rsidRPr="000615AB" w:rsidRDefault="00383888" w:rsidP="00B47699">
            <w:pPr>
              <w:jc w:val="center"/>
              <w:rPr>
                <w:i/>
                <w:snapToGrid w:val="0"/>
                <w:sz w:val="18"/>
                <w:szCs w:val="18"/>
              </w:rPr>
            </w:pPr>
            <w:r w:rsidRPr="000615AB">
              <w:rPr>
                <w:snapToGrid w:val="0"/>
                <w:sz w:val="18"/>
                <w:szCs w:val="18"/>
              </w:rPr>
              <w:t>VI</w:t>
            </w:r>
            <w:r w:rsidRPr="000615AB">
              <w:rPr>
                <w:i/>
                <w:snapToGrid w:val="0"/>
                <w:sz w:val="18"/>
                <w:szCs w:val="18"/>
              </w:rPr>
              <w:t>bis</w:t>
            </w:r>
          </w:p>
        </w:tc>
        <w:tc>
          <w:tcPr>
            <w:tcW w:w="1210" w:type="dxa"/>
            <w:shd w:val="clear" w:color="auto" w:fill="FFFFFF"/>
          </w:tcPr>
          <w:p w:rsidR="00383888" w:rsidRPr="000615AB" w:rsidRDefault="00383888" w:rsidP="00B47699">
            <w:pPr>
              <w:jc w:val="right"/>
              <w:rPr>
                <w:snapToGrid w:val="0"/>
                <w:sz w:val="18"/>
                <w:szCs w:val="18"/>
              </w:rPr>
            </w:pPr>
            <w:r w:rsidRPr="000615AB">
              <w:rPr>
                <w:snapToGrid w:val="0"/>
                <w:sz w:val="18"/>
                <w:szCs w:val="18"/>
              </w:rPr>
              <w:t>2</w:t>
            </w:r>
          </w:p>
        </w:tc>
        <w:tc>
          <w:tcPr>
            <w:tcW w:w="1320" w:type="dxa"/>
            <w:shd w:val="clear" w:color="auto" w:fill="FFFFFF"/>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91.158 </w:t>
            </w:r>
          </w:p>
        </w:tc>
        <w:tc>
          <w:tcPr>
            <w:tcW w:w="1430" w:type="dxa"/>
            <w:shd w:val="clear" w:color="auto" w:fill="FFFFFF"/>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91.158 </w:t>
            </w:r>
          </w:p>
        </w:tc>
        <w:tc>
          <w:tcPr>
            <w:tcW w:w="1388" w:type="dxa"/>
            <w:shd w:val="clear" w:color="auto" w:fill="FFFFFF"/>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182.316 </w:t>
            </w:r>
          </w:p>
        </w:tc>
      </w:tr>
      <w:tr w:rsidR="00383888" w:rsidRPr="000615AB" w:rsidTr="00B47699">
        <w:tc>
          <w:tcPr>
            <w:tcW w:w="3055" w:type="dxa"/>
            <w:shd w:val="pct15" w:color="auto" w:fill="auto"/>
          </w:tcPr>
          <w:p w:rsidR="00383888" w:rsidRPr="000615AB" w:rsidRDefault="00383888" w:rsidP="00B47699">
            <w:pPr>
              <w:rPr>
                <w:snapToGrid w:val="0"/>
                <w:sz w:val="18"/>
                <w:szCs w:val="18"/>
              </w:rPr>
            </w:pPr>
            <w:r w:rsidRPr="000615AB">
              <w:rPr>
                <w:snapToGrid w:val="0"/>
                <w:sz w:val="18"/>
                <w:szCs w:val="18"/>
              </w:rPr>
              <w:t>Italia</w:t>
            </w:r>
          </w:p>
        </w:tc>
        <w:tc>
          <w:tcPr>
            <w:tcW w:w="1125" w:type="dxa"/>
            <w:shd w:val="pct15" w:color="auto" w:fill="auto"/>
          </w:tcPr>
          <w:p w:rsidR="00383888" w:rsidRPr="000615AB" w:rsidRDefault="00383888" w:rsidP="00B47699">
            <w:pPr>
              <w:jc w:val="center"/>
              <w:rPr>
                <w:snapToGrid w:val="0"/>
                <w:sz w:val="18"/>
                <w:szCs w:val="18"/>
              </w:rPr>
            </w:pPr>
            <w:r w:rsidRPr="000615AB">
              <w:rPr>
                <w:snapToGrid w:val="0"/>
                <w:sz w:val="18"/>
                <w:szCs w:val="18"/>
              </w:rPr>
              <w:t>III</w:t>
            </w:r>
          </w:p>
        </w:tc>
        <w:tc>
          <w:tcPr>
            <w:tcW w:w="1210" w:type="dxa"/>
            <w:shd w:val="pct15" w:color="auto" w:fill="auto"/>
          </w:tcPr>
          <w:p w:rsidR="00383888" w:rsidRPr="000615AB" w:rsidRDefault="00383888" w:rsidP="00B47699">
            <w:pPr>
              <w:jc w:val="right"/>
              <w:rPr>
                <w:snapToGrid w:val="0"/>
                <w:sz w:val="18"/>
                <w:szCs w:val="18"/>
              </w:rPr>
            </w:pPr>
            <w:r w:rsidRPr="000615AB">
              <w:rPr>
                <w:snapToGrid w:val="0"/>
                <w:sz w:val="18"/>
                <w:szCs w:val="18"/>
              </w:rPr>
              <w:t>15</w:t>
            </w:r>
          </w:p>
        </w:tc>
        <w:tc>
          <w:tcPr>
            <w:tcW w:w="1320"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683.685 </w:t>
            </w:r>
          </w:p>
        </w:tc>
        <w:tc>
          <w:tcPr>
            <w:tcW w:w="1430"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683.685 </w:t>
            </w:r>
          </w:p>
        </w:tc>
        <w:tc>
          <w:tcPr>
            <w:tcW w:w="1388"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1.367.370 </w:t>
            </w:r>
          </w:p>
        </w:tc>
      </w:tr>
      <w:tr w:rsidR="00383888" w:rsidRPr="000615AB" w:rsidTr="00B47699">
        <w:tc>
          <w:tcPr>
            <w:tcW w:w="3055" w:type="dxa"/>
            <w:shd w:val="clear" w:color="auto" w:fill="FFFFFF"/>
          </w:tcPr>
          <w:p w:rsidR="00383888" w:rsidRPr="000615AB" w:rsidRDefault="00383888" w:rsidP="00B47699">
            <w:pPr>
              <w:rPr>
                <w:snapToGrid w:val="0"/>
                <w:sz w:val="18"/>
                <w:szCs w:val="18"/>
              </w:rPr>
            </w:pPr>
            <w:r w:rsidRPr="000615AB">
              <w:rPr>
                <w:b/>
                <w:snapToGrid w:val="0"/>
                <w:sz w:val="18"/>
                <w:szCs w:val="18"/>
              </w:rPr>
              <w:t>J</w:t>
            </w:r>
            <w:r w:rsidRPr="000615AB">
              <w:rPr>
                <w:snapToGrid w:val="0"/>
                <w:sz w:val="18"/>
                <w:szCs w:val="18"/>
              </w:rPr>
              <w:t>amaica</w:t>
            </w:r>
          </w:p>
        </w:tc>
        <w:tc>
          <w:tcPr>
            <w:tcW w:w="1125" w:type="dxa"/>
            <w:shd w:val="clear" w:color="auto" w:fill="FFFFFF"/>
          </w:tcPr>
          <w:p w:rsidR="00383888" w:rsidRPr="000615AB" w:rsidRDefault="00383888" w:rsidP="00B47699">
            <w:pPr>
              <w:jc w:val="center"/>
              <w:rPr>
                <w:i/>
                <w:snapToGrid w:val="0"/>
                <w:sz w:val="18"/>
                <w:szCs w:val="18"/>
              </w:rPr>
            </w:pPr>
            <w:r w:rsidRPr="000615AB">
              <w:rPr>
                <w:snapToGrid w:val="0"/>
                <w:sz w:val="18"/>
                <w:szCs w:val="18"/>
              </w:rPr>
              <w:t>S</w:t>
            </w:r>
            <w:r w:rsidRPr="000615AB">
              <w:rPr>
                <w:i/>
                <w:snapToGrid w:val="0"/>
                <w:sz w:val="18"/>
                <w:szCs w:val="18"/>
              </w:rPr>
              <w:t>bis</w:t>
            </w:r>
          </w:p>
        </w:tc>
        <w:tc>
          <w:tcPr>
            <w:tcW w:w="1210" w:type="dxa"/>
            <w:shd w:val="clear" w:color="auto" w:fill="FFFFFF"/>
          </w:tcPr>
          <w:p w:rsidR="00383888" w:rsidRPr="000615AB" w:rsidRDefault="00383888" w:rsidP="00B47699">
            <w:pPr>
              <w:jc w:val="right"/>
              <w:rPr>
                <w:snapToGrid w:val="0"/>
                <w:sz w:val="18"/>
                <w:szCs w:val="18"/>
              </w:rPr>
            </w:pPr>
            <w:r w:rsidRPr="000615AB">
              <w:rPr>
                <w:snapToGrid w:val="0"/>
                <w:sz w:val="18"/>
                <w:szCs w:val="18"/>
              </w:rPr>
              <w:t>0,0625</w:t>
            </w:r>
          </w:p>
        </w:tc>
        <w:tc>
          <w:tcPr>
            <w:tcW w:w="1320" w:type="dxa"/>
            <w:shd w:val="clear" w:color="auto" w:fill="FFFFFF"/>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2.849 </w:t>
            </w:r>
          </w:p>
        </w:tc>
        <w:tc>
          <w:tcPr>
            <w:tcW w:w="1430" w:type="dxa"/>
            <w:shd w:val="clear" w:color="auto" w:fill="FFFFFF"/>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2.849 </w:t>
            </w:r>
          </w:p>
        </w:tc>
        <w:tc>
          <w:tcPr>
            <w:tcW w:w="1388" w:type="dxa"/>
            <w:shd w:val="clear" w:color="auto" w:fill="FFFFFF"/>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5.698 </w:t>
            </w:r>
          </w:p>
        </w:tc>
      </w:tr>
      <w:tr w:rsidR="00383888" w:rsidRPr="000615AB" w:rsidTr="00B47699">
        <w:tc>
          <w:tcPr>
            <w:tcW w:w="3055" w:type="dxa"/>
            <w:shd w:val="pct15" w:color="auto" w:fill="auto"/>
          </w:tcPr>
          <w:p w:rsidR="00383888" w:rsidRPr="000615AB" w:rsidRDefault="00383888" w:rsidP="00B47699">
            <w:pPr>
              <w:rPr>
                <w:snapToGrid w:val="0"/>
                <w:sz w:val="18"/>
                <w:szCs w:val="18"/>
              </w:rPr>
            </w:pPr>
            <w:r w:rsidRPr="000615AB">
              <w:rPr>
                <w:snapToGrid w:val="0"/>
                <w:sz w:val="18"/>
                <w:szCs w:val="18"/>
              </w:rPr>
              <w:t>Japón</w:t>
            </w:r>
          </w:p>
        </w:tc>
        <w:tc>
          <w:tcPr>
            <w:tcW w:w="1125" w:type="dxa"/>
            <w:shd w:val="pct15" w:color="auto" w:fill="auto"/>
          </w:tcPr>
          <w:p w:rsidR="00383888" w:rsidRPr="000615AB" w:rsidRDefault="00383888" w:rsidP="00B47699">
            <w:pPr>
              <w:jc w:val="center"/>
              <w:rPr>
                <w:snapToGrid w:val="0"/>
                <w:sz w:val="18"/>
                <w:szCs w:val="18"/>
              </w:rPr>
            </w:pPr>
            <w:r w:rsidRPr="000615AB">
              <w:rPr>
                <w:snapToGrid w:val="0"/>
                <w:sz w:val="18"/>
                <w:szCs w:val="18"/>
              </w:rPr>
              <w:t>I</w:t>
            </w:r>
          </w:p>
        </w:tc>
        <w:tc>
          <w:tcPr>
            <w:tcW w:w="1210" w:type="dxa"/>
            <w:shd w:val="pct15" w:color="auto" w:fill="auto"/>
          </w:tcPr>
          <w:p w:rsidR="00383888" w:rsidRPr="000615AB" w:rsidRDefault="00383888" w:rsidP="00B47699">
            <w:pPr>
              <w:jc w:val="right"/>
              <w:rPr>
                <w:snapToGrid w:val="0"/>
                <w:sz w:val="18"/>
                <w:szCs w:val="18"/>
              </w:rPr>
            </w:pPr>
            <w:r w:rsidRPr="000615AB">
              <w:rPr>
                <w:snapToGrid w:val="0"/>
                <w:sz w:val="18"/>
                <w:szCs w:val="18"/>
              </w:rPr>
              <w:t>25</w:t>
            </w:r>
          </w:p>
        </w:tc>
        <w:tc>
          <w:tcPr>
            <w:tcW w:w="1320"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1.139.475 </w:t>
            </w:r>
          </w:p>
        </w:tc>
        <w:tc>
          <w:tcPr>
            <w:tcW w:w="1430"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1.139.475 </w:t>
            </w:r>
          </w:p>
        </w:tc>
        <w:tc>
          <w:tcPr>
            <w:tcW w:w="1388"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2.278.950 </w:t>
            </w:r>
          </w:p>
        </w:tc>
      </w:tr>
      <w:tr w:rsidR="00383888" w:rsidRPr="000615AB" w:rsidTr="00B47699">
        <w:tc>
          <w:tcPr>
            <w:tcW w:w="3055" w:type="dxa"/>
            <w:shd w:val="clear" w:color="auto" w:fill="auto"/>
          </w:tcPr>
          <w:p w:rsidR="00383888" w:rsidRPr="000615AB" w:rsidRDefault="00383888" w:rsidP="00B47699">
            <w:pPr>
              <w:rPr>
                <w:snapToGrid w:val="0"/>
                <w:sz w:val="18"/>
                <w:szCs w:val="18"/>
              </w:rPr>
            </w:pPr>
            <w:r w:rsidRPr="000615AB">
              <w:rPr>
                <w:snapToGrid w:val="0"/>
                <w:sz w:val="18"/>
                <w:szCs w:val="18"/>
              </w:rPr>
              <w:t>Jordania</w:t>
            </w:r>
          </w:p>
        </w:tc>
        <w:tc>
          <w:tcPr>
            <w:tcW w:w="1125" w:type="dxa"/>
            <w:shd w:val="clear" w:color="auto" w:fill="auto"/>
          </w:tcPr>
          <w:p w:rsidR="00383888" w:rsidRPr="000615AB" w:rsidRDefault="00383888" w:rsidP="00B47699">
            <w:pPr>
              <w:jc w:val="center"/>
              <w:rPr>
                <w:i/>
                <w:snapToGrid w:val="0"/>
                <w:sz w:val="18"/>
                <w:szCs w:val="18"/>
              </w:rPr>
            </w:pPr>
            <w:r w:rsidRPr="000615AB">
              <w:rPr>
                <w:snapToGrid w:val="0"/>
                <w:sz w:val="18"/>
                <w:szCs w:val="18"/>
              </w:rPr>
              <w:t>S</w:t>
            </w:r>
          </w:p>
        </w:tc>
        <w:tc>
          <w:tcPr>
            <w:tcW w:w="1210" w:type="dxa"/>
            <w:shd w:val="clear" w:color="auto" w:fill="auto"/>
          </w:tcPr>
          <w:p w:rsidR="00383888" w:rsidRPr="000615AB" w:rsidRDefault="00383888" w:rsidP="00B47699">
            <w:pPr>
              <w:jc w:val="right"/>
              <w:rPr>
                <w:snapToGrid w:val="0"/>
                <w:sz w:val="18"/>
                <w:szCs w:val="18"/>
              </w:rPr>
            </w:pPr>
            <w:r w:rsidRPr="000615AB">
              <w:rPr>
                <w:snapToGrid w:val="0"/>
                <w:sz w:val="18"/>
                <w:szCs w:val="18"/>
              </w:rPr>
              <w:t>0,125</w:t>
            </w:r>
          </w:p>
        </w:tc>
        <w:tc>
          <w:tcPr>
            <w:tcW w:w="1320" w:type="dxa"/>
            <w:shd w:val="clear"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5.697 </w:t>
            </w:r>
          </w:p>
        </w:tc>
        <w:tc>
          <w:tcPr>
            <w:tcW w:w="1430" w:type="dxa"/>
            <w:shd w:val="clear"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5.697 </w:t>
            </w:r>
          </w:p>
        </w:tc>
        <w:tc>
          <w:tcPr>
            <w:tcW w:w="1388" w:type="dxa"/>
            <w:shd w:val="clear"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11.394 </w:t>
            </w:r>
          </w:p>
        </w:tc>
      </w:tr>
      <w:tr w:rsidR="00383888" w:rsidRPr="000615AB" w:rsidTr="00B47699">
        <w:tc>
          <w:tcPr>
            <w:tcW w:w="3055" w:type="dxa"/>
            <w:shd w:val="pct15" w:color="auto" w:fill="auto"/>
          </w:tcPr>
          <w:p w:rsidR="00383888" w:rsidRPr="000615AB" w:rsidRDefault="00383888" w:rsidP="00B47699">
            <w:pPr>
              <w:rPr>
                <w:snapToGrid w:val="0"/>
                <w:sz w:val="18"/>
                <w:szCs w:val="18"/>
              </w:rPr>
            </w:pPr>
            <w:r w:rsidRPr="000615AB">
              <w:rPr>
                <w:b/>
                <w:snapToGrid w:val="0"/>
                <w:sz w:val="18"/>
                <w:szCs w:val="18"/>
              </w:rPr>
              <w:t>K</w:t>
            </w:r>
            <w:r w:rsidRPr="000615AB">
              <w:rPr>
                <w:snapToGrid w:val="0"/>
                <w:sz w:val="18"/>
                <w:szCs w:val="18"/>
              </w:rPr>
              <w:t>azajstán</w:t>
            </w:r>
          </w:p>
        </w:tc>
        <w:tc>
          <w:tcPr>
            <w:tcW w:w="1125" w:type="dxa"/>
            <w:shd w:val="pct15" w:color="auto" w:fill="auto"/>
          </w:tcPr>
          <w:p w:rsidR="00383888" w:rsidRPr="000615AB" w:rsidRDefault="00383888" w:rsidP="00B47699">
            <w:pPr>
              <w:jc w:val="center"/>
              <w:rPr>
                <w:snapToGrid w:val="0"/>
                <w:sz w:val="18"/>
                <w:szCs w:val="18"/>
              </w:rPr>
            </w:pPr>
            <w:r w:rsidRPr="000615AB">
              <w:rPr>
                <w:snapToGrid w:val="0"/>
                <w:sz w:val="18"/>
                <w:szCs w:val="18"/>
              </w:rPr>
              <w:t>IX</w:t>
            </w:r>
          </w:p>
        </w:tc>
        <w:tc>
          <w:tcPr>
            <w:tcW w:w="1210" w:type="dxa"/>
            <w:shd w:val="pct15" w:color="auto" w:fill="auto"/>
          </w:tcPr>
          <w:p w:rsidR="00383888" w:rsidRPr="000615AB" w:rsidRDefault="00383888" w:rsidP="00B47699">
            <w:pPr>
              <w:jc w:val="right"/>
              <w:rPr>
                <w:snapToGrid w:val="0"/>
                <w:sz w:val="18"/>
                <w:szCs w:val="18"/>
              </w:rPr>
            </w:pPr>
            <w:r w:rsidRPr="000615AB">
              <w:rPr>
                <w:snapToGrid w:val="0"/>
                <w:sz w:val="18"/>
                <w:szCs w:val="18"/>
              </w:rPr>
              <w:t>0,25</w:t>
            </w:r>
          </w:p>
        </w:tc>
        <w:tc>
          <w:tcPr>
            <w:tcW w:w="1320"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11.395 </w:t>
            </w:r>
          </w:p>
        </w:tc>
        <w:tc>
          <w:tcPr>
            <w:tcW w:w="1430"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11.395 </w:t>
            </w:r>
          </w:p>
        </w:tc>
        <w:tc>
          <w:tcPr>
            <w:tcW w:w="1388"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22.790 </w:t>
            </w:r>
          </w:p>
        </w:tc>
      </w:tr>
      <w:tr w:rsidR="00383888" w:rsidRPr="000615AB" w:rsidTr="00B47699">
        <w:tc>
          <w:tcPr>
            <w:tcW w:w="3055" w:type="dxa"/>
            <w:shd w:val="clear" w:color="auto" w:fill="auto"/>
          </w:tcPr>
          <w:p w:rsidR="00383888" w:rsidRPr="000615AB" w:rsidRDefault="00383888" w:rsidP="00B47699">
            <w:pPr>
              <w:rPr>
                <w:snapToGrid w:val="0"/>
                <w:sz w:val="18"/>
                <w:szCs w:val="18"/>
              </w:rPr>
            </w:pPr>
            <w:r w:rsidRPr="000615AB">
              <w:rPr>
                <w:snapToGrid w:val="0"/>
                <w:sz w:val="18"/>
                <w:szCs w:val="18"/>
              </w:rPr>
              <w:t>Kenya</w:t>
            </w:r>
          </w:p>
        </w:tc>
        <w:tc>
          <w:tcPr>
            <w:tcW w:w="1125" w:type="dxa"/>
            <w:shd w:val="clear" w:color="auto" w:fill="auto"/>
          </w:tcPr>
          <w:p w:rsidR="00383888" w:rsidRPr="000615AB" w:rsidRDefault="00383888" w:rsidP="00B47699">
            <w:pPr>
              <w:jc w:val="center"/>
              <w:rPr>
                <w:snapToGrid w:val="0"/>
                <w:sz w:val="18"/>
                <w:szCs w:val="18"/>
              </w:rPr>
            </w:pPr>
            <w:r w:rsidRPr="000615AB">
              <w:rPr>
                <w:snapToGrid w:val="0"/>
                <w:sz w:val="18"/>
                <w:szCs w:val="18"/>
              </w:rPr>
              <w:t>S</w:t>
            </w:r>
            <w:r w:rsidRPr="000615AB">
              <w:rPr>
                <w:i/>
                <w:snapToGrid w:val="0"/>
                <w:sz w:val="18"/>
                <w:szCs w:val="18"/>
              </w:rPr>
              <w:t>bis</w:t>
            </w:r>
          </w:p>
        </w:tc>
        <w:tc>
          <w:tcPr>
            <w:tcW w:w="1210" w:type="dxa"/>
            <w:shd w:val="clear" w:color="auto" w:fill="auto"/>
          </w:tcPr>
          <w:p w:rsidR="00383888" w:rsidRPr="000615AB" w:rsidRDefault="00383888" w:rsidP="00B47699">
            <w:pPr>
              <w:jc w:val="right"/>
              <w:rPr>
                <w:snapToGrid w:val="0"/>
                <w:sz w:val="18"/>
                <w:szCs w:val="18"/>
              </w:rPr>
            </w:pPr>
            <w:r w:rsidRPr="000615AB">
              <w:rPr>
                <w:snapToGrid w:val="0"/>
                <w:sz w:val="18"/>
                <w:szCs w:val="18"/>
              </w:rPr>
              <w:t>0,0625</w:t>
            </w:r>
          </w:p>
        </w:tc>
        <w:tc>
          <w:tcPr>
            <w:tcW w:w="1320" w:type="dxa"/>
            <w:shd w:val="clear"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2.849</w:t>
            </w:r>
          </w:p>
        </w:tc>
        <w:tc>
          <w:tcPr>
            <w:tcW w:w="1430" w:type="dxa"/>
            <w:shd w:val="clear"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2.849</w:t>
            </w:r>
          </w:p>
        </w:tc>
        <w:tc>
          <w:tcPr>
            <w:tcW w:w="1388" w:type="dxa"/>
            <w:shd w:val="clear"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5.698</w:t>
            </w:r>
          </w:p>
        </w:tc>
      </w:tr>
      <w:tr w:rsidR="00383888" w:rsidRPr="000615AB" w:rsidTr="00B47699">
        <w:tc>
          <w:tcPr>
            <w:tcW w:w="3055" w:type="dxa"/>
            <w:shd w:val="pct15" w:color="auto" w:fill="auto"/>
          </w:tcPr>
          <w:p w:rsidR="00383888" w:rsidRPr="000615AB" w:rsidRDefault="00383888" w:rsidP="00B47699">
            <w:pPr>
              <w:rPr>
                <w:snapToGrid w:val="0"/>
                <w:sz w:val="18"/>
                <w:szCs w:val="18"/>
              </w:rPr>
            </w:pPr>
            <w:r w:rsidRPr="000615AB">
              <w:rPr>
                <w:snapToGrid w:val="0"/>
                <w:sz w:val="18"/>
                <w:szCs w:val="18"/>
              </w:rPr>
              <w:t>Kirguistán</w:t>
            </w:r>
          </w:p>
        </w:tc>
        <w:tc>
          <w:tcPr>
            <w:tcW w:w="1125" w:type="dxa"/>
            <w:shd w:val="pct15" w:color="auto" w:fill="auto"/>
          </w:tcPr>
          <w:p w:rsidR="00383888" w:rsidRPr="000615AB" w:rsidRDefault="00383888" w:rsidP="00B47699">
            <w:pPr>
              <w:jc w:val="center"/>
              <w:rPr>
                <w:snapToGrid w:val="0"/>
                <w:sz w:val="18"/>
                <w:szCs w:val="18"/>
              </w:rPr>
            </w:pPr>
            <w:r w:rsidRPr="000615AB">
              <w:rPr>
                <w:snapToGrid w:val="0"/>
                <w:sz w:val="18"/>
                <w:szCs w:val="18"/>
              </w:rPr>
              <w:t>IX</w:t>
            </w:r>
          </w:p>
        </w:tc>
        <w:tc>
          <w:tcPr>
            <w:tcW w:w="1210" w:type="dxa"/>
            <w:shd w:val="pct15" w:color="auto" w:fill="auto"/>
          </w:tcPr>
          <w:p w:rsidR="00383888" w:rsidRPr="000615AB" w:rsidRDefault="00383888" w:rsidP="00B47699">
            <w:pPr>
              <w:jc w:val="right"/>
              <w:rPr>
                <w:snapToGrid w:val="0"/>
                <w:sz w:val="18"/>
                <w:szCs w:val="18"/>
              </w:rPr>
            </w:pPr>
            <w:r w:rsidRPr="000615AB">
              <w:rPr>
                <w:snapToGrid w:val="0"/>
                <w:sz w:val="18"/>
                <w:szCs w:val="18"/>
              </w:rPr>
              <w:t>0,25</w:t>
            </w:r>
          </w:p>
        </w:tc>
        <w:tc>
          <w:tcPr>
            <w:tcW w:w="1320"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11.395 </w:t>
            </w:r>
          </w:p>
        </w:tc>
        <w:tc>
          <w:tcPr>
            <w:tcW w:w="1430"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11.395 </w:t>
            </w:r>
          </w:p>
        </w:tc>
        <w:tc>
          <w:tcPr>
            <w:tcW w:w="1388"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22.790 </w:t>
            </w:r>
          </w:p>
        </w:tc>
      </w:tr>
      <w:tr w:rsidR="00383888" w:rsidRPr="000615AB" w:rsidTr="00B47699">
        <w:tc>
          <w:tcPr>
            <w:tcW w:w="3055" w:type="dxa"/>
            <w:shd w:val="clear" w:color="auto" w:fill="auto"/>
          </w:tcPr>
          <w:p w:rsidR="00383888" w:rsidRPr="000615AB" w:rsidRDefault="00383888" w:rsidP="00B47699">
            <w:pPr>
              <w:rPr>
                <w:snapToGrid w:val="0"/>
                <w:sz w:val="18"/>
                <w:szCs w:val="18"/>
              </w:rPr>
            </w:pPr>
            <w:r w:rsidRPr="000615AB">
              <w:rPr>
                <w:snapToGrid w:val="0"/>
                <w:sz w:val="18"/>
                <w:szCs w:val="18"/>
              </w:rPr>
              <w:t>Kiribati</w:t>
            </w:r>
          </w:p>
        </w:tc>
        <w:tc>
          <w:tcPr>
            <w:tcW w:w="1125" w:type="dxa"/>
            <w:shd w:val="clear" w:color="auto" w:fill="auto"/>
          </w:tcPr>
          <w:p w:rsidR="00383888" w:rsidRPr="000615AB" w:rsidRDefault="00383888" w:rsidP="00B47699">
            <w:pPr>
              <w:jc w:val="center"/>
              <w:rPr>
                <w:i/>
                <w:snapToGrid w:val="0"/>
                <w:sz w:val="18"/>
                <w:szCs w:val="18"/>
              </w:rPr>
            </w:pPr>
            <w:r w:rsidRPr="000615AB">
              <w:rPr>
                <w:snapToGrid w:val="0"/>
                <w:sz w:val="18"/>
                <w:szCs w:val="18"/>
              </w:rPr>
              <w:t>S</w:t>
            </w:r>
            <w:r w:rsidRPr="000615AB">
              <w:rPr>
                <w:i/>
                <w:snapToGrid w:val="0"/>
                <w:sz w:val="18"/>
                <w:szCs w:val="18"/>
              </w:rPr>
              <w:t>ter</w:t>
            </w:r>
          </w:p>
        </w:tc>
        <w:tc>
          <w:tcPr>
            <w:tcW w:w="1210" w:type="dxa"/>
            <w:shd w:val="clear" w:color="auto" w:fill="auto"/>
          </w:tcPr>
          <w:p w:rsidR="00383888" w:rsidRPr="000615AB" w:rsidRDefault="00383888" w:rsidP="00B47699">
            <w:pPr>
              <w:jc w:val="right"/>
              <w:rPr>
                <w:snapToGrid w:val="0"/>
                <w:sz w:val="18"/>
                <w:szCs w:val="18"/>
              </w:rPr>
            </w:pPr>
            <w:r w:rsidRPr="000615AB">
              <w:rPr>
                <w:snapToGrid w:val="0"/>
                <w:sz w:val="18"/>
                <w:szCs w:val="18"/>
              </w:rPr>
              <w:t>0,03125</w:t>
            </w:r>
          </w:p>
        </w:tc>
        <w:tc>
          <w:tcPr>
            <w:tcW w:w="1320" w:type="dxa"/>
            <w:shd w:val="clear" w:color="auto" w:fill="auto"/>
          </w:tcPr>
          <w:p w:rsidR="00383888" w:rsidRPr="000615AB" w:rsidRDefault="00383888" w:rsidP="00B47699">
            <w:pPr>
              <w:jc w:val="right"/>
              <w:rPr>
                <w:snapToGrid w:val="0"/>
                <w:sz w:val="18"/>
                <w:szCs w:val="18"/>
              </w:rPr>
            </w:pPr>
            <w:r w:rsidRPr="000615AB">
              <w:rPr>
                <w:snapToGrid w:val="0"/>
                <w:sz w:val="18"/>
                <w:szCs w:val="18"/>
              </w:rPr>
              <w:t xml:space="preserve">1.424 </w:t>
            </w:r>
          </w:p>
        </w:tc>
        <w:tc>
          <w:tcPr>
            <w:tcW w:w="1430" w:type="dxa"/>
            <w:shd w:val="clear" w:color="auto" w:fill="auto"/>
          </w:tcPr>
          <w:p w:rsidR="00383888" w:rsidRPr="000615AB" w:rsidRDefault="00383888" w:rsidP="00B47699">
            <w:pPr>
              <w:jc w:val="right"/>
              <w:rPr>
                <w:snapToGrid w:val="0"/>
                <w:sz w:val="18"/>
                <w:szCs w:val="18"/>
              </w:rPr>
            </w:pPr>
            <w:r w:rsidRPr="000615AB">
              <w:rPr>
                <w:snapToGrid w:val="0"/>
                <w:sz w:val="18"/>
                <w:szCs w:val="18"/>
              </w:rPr>
              <w:t xml:space="preserve">1.424 </w:t>
            </w:r>
          </w:p>
        </w:tc>
        <w:tc>
          <w:tcPr>
            <w:tcW w:w="1388" w:type="dxa"/>
            <w:shd w:val="clear" w:color="auto" w:fill="auto"/>
          </w:tcPr>
          <w:p w:rsidR="00383888" w:rsidRPr="000615AB" w:rsidRDefault="00383888" w:rsidP="00B47699">
            <w:pPr>
              <w:jc w:val="right"/>
              <w:rPr>
                <w:snapToGrid w:val="0"/>
                <w:sz w:val="18"/>
                <w:szCs w:val="18"/>
              </w:rPr>
            </w:pPr>
            <w:r w:rsidRPr="000615AB">
              <w:rPr>
                <w:snapToGrid w:val="0"/>
                <w:sz w:val="18"/>
                <w:szCs w:val="18"/>
              </w:rPr>
              <w:t xml:space="preserve">2.848 </w:t>
            </w:r>
          </w:p>
        </w:tc>
      </w:tr>
      <w:tr w:rsidR="00383888" w:rsidRPr="000615AB" w:rsidTr="00B47699">
        <w:tc>
          <w:tcPr>
            <w:tcW w:w="3055" w:type="dxa"/>
            <w:shd w:val="pct15" w:color="auto" w:fill="auto"/>
          </w:tcPr>
          <w:p w:rsidR="00383888" w:rsidRPr="000615AB" w:rsidRDefault="00383888" w:rsidP="00B47699">
            <w:pPr>
              <w:rPr>
                <w:snapToGrid w:val="0"/>
                <w:sz w:val="18"/>
                <w:szCs w:val="18"/>
                <w:vertAlign w:val="superscript"/>
              </w:rPr>
            </w:pPr>
            <w:r w:rsidRPr="000615AB">
              <w:rPr>
                <w:snapToGrid w:val="0"/>
                <w:sz w:val="18"/>
                <w:szCs w:val="18"/>
              </w:rPr>
              <w:t xml:space="preserve">Kuwait </w:t>
            </w:r>
            <w:r w:rsidRPr="000615AB">
              <w:rPr>
                <w:snapToGrid w:val="0"/>
                <w:sz w:val="18"/>
                <w:szCs w:val="18"/>
                <w:vertAlign w:val="superscript"/>
              </w:rPr>
              <w:t>2</w:t>
            </w:r>
          </w:p>
        </w:tc>
        <w:tc>
          <w:tcPr>
            <w:tcW w:w="1125" w:type="dxa"/>
            <w:shd w:val="pct15" w:color="auto" w:fill="auto"/>
          </w:tcPr>
          <w:p w:rsidR="00383888" w:rsidRPr="000615AB" w:rsidRDefault="00383888" w:rsidP="00B47699">
            <w:pPr>
              <w:jc w:val="center"/>
              <w:rPr>
                <w:snapToGrid w:val="0"/>
                <w:sz w:val="18"/>
                <w:szCs w:val="18"/>
              </w:rPr>
            </w:pPr>
            <w:r w:rsidRPr="000615AB">
              <w:rPr>
                <w:snapToGrid w:val="0"/>
                <w:sz w:val="18"/>
                <w:szCs w:val="18"/>
              </w:rPr>
              <w:t>IX</w:t>
            </w:r>
          </w:p>
        </w:tc>
        <w:tc>
          <w:tcPr>
            <w:tcW w:w="1210" w:type="dxa"/>
            <w:shd w:val="pct15" w:color="auto" w:fill="auto"/>
          </w:tcPr>
          <w:p w:rsidR="00383888" w:rsidRPr="000615AB" w:rsidRDefault="00383888" w:rsidP="00B47699">
            <w:pPr>
              <w:jc w:val="right"/>
              <w:rPr>
                <w:snapToGrid w:val="0"/>
                <w:sz w:val="18"/>
                <w:szCs w:val="18"/>
              </w:rPr>
            </w:pPr>
            <w:r w:rsidRPr="000615AB">
              <w:rPr>
                <w:snapToGrid w:val="0"/>
                <w:sz w:val="18"/>
                <w:szCs w:val="18"/>
              </w:rPr>
              <w:t>0,25</w:t>
            </w:r>
          </w:p>
        </w:tc>
        <w:tc>
          <w:tcPr>
            <w:tcW w:w="1320"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11.395 </w:t>
            </w:r>
          </w:p>
        </w:tc>
        <w:tc>
          <w:tcPr>
            <w:tcW w:w="1430"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11.395 </w:t>
            </w:r>
          </w:p>
        </w:tc>
        <w:tc>
          <w:tcPr>
            <w:tcW w:w="1388"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22.790 </w:t>
            </w:r>
          </w:p>
        </w:tc>
      </w:tr>
      <w:tr w:rsidR="00383888" w:rsidRPr="000615AB" w:rsidTr="00B47699">
        <w:tc>
          <w:tcPr>
            <w:tcW w:w="3055" w:type="dxa"/>
            <w:shd w:val="clear" w:color="auto" w:fill="auto"/>
          </w:tcPr>
          <w:p w:rsidR="00383888" w:rsidRPr="000615AB" w:rsidRDefault="00383888" w:rsidP="00B47699">
            <w:pPr>
              <w:rPr>
                <w:snapToGrid w:val="0"/>
                <w:sz w:val="18"/>
                <w:szCs w:val="18"/>
              </w:rPr>
            </w:pPr>
            <w:r w:rsidRPr="000615AB">
              <w:rPr>
                <w:b/>
                <w:snapToGrid w:val="0"/>
                <w:sz w:val="18"/>
                <w:szCs w:val="18"/>
              </w:rPr>
              <w:t>L</w:t>
            </w:r>
            <w:r w:rsidRPr="000615AB">
              <w:rPr>
                <w:snapToGrid w:val="0"/>
                <w:sz w:val="18"/>
                <w:szCs w:val="18"/>
              </w:rPr>
              <w:t>esotho</w:t>
            </w:r>
          </w:p>
        </w:tc>
        <w:tc>
          <w:tcPr>
            <w:tcW w:w="1125" w:type="dxa"/>
            <w:shd w:val="clear" w:color="auto" w:fill="auto"/>
          </w:tcPr>
          <w:p w:rsidR="00383888" w:rsidRPr="000615AB" w:rsidRDefault="00383888" w:rsidP="00B47699">
            <w:pPr>
              <w:jc w:val="center"/>
              <w:rPr>
                <w:i/>
                <w:snapToGrid w:val="0"/>
                <w:sz w:val="18"/>
                <w:szCs w:val="18"/>
              </w:rPr>
            </w:pPr>
            <w:r w:rsidRPr="000615AB">
              <w:rPr>
                <w:snapToGrid w:val="0"/>
                <w:sz w:val="18"/>
                <w:szCs w:val="18"/>
              </w:rPr>
              <w:t>S</w:t>
            </w:r>
            <w:r w:rsidRPr="000615AB">
              <w:rPr>
                <w:i/>
                <w:snapToGrid w:val="0"/>
                <w:sz w:val="18"/>
                <w:szCs w:val="18"/>
              </w:rPr>
              <w:t>ter</w:t>
            </w:r>
          </w:p>
        </w:tc>
        <w:tc>
          <w:tcPr>
            <w:tcW w:w="1210" w:type="dxa"/>
            <w:shd w:val="clear" w:color="auto" w:fill="auto"/>
          </w:tcPr>
          <w:p w:rsidR="00383888" w:rsidRPr="000615AB" w:rsidRDefault="00383888" w:rsidP="00B47699">
            <w:pPr>
              <w:jc w:val="right"/>
              <w:rPr>
                <w:snapToGrid w:val="0"/>
                <w:sz w:val="18"/>
                <w:szCs w:val="18"/>
              </w:rPr>
            </w:pPr>
            <w:r w:rsidRPr="000615AB">
              <w:rPr>
                <w:snapToGrid w:val="0"/>
                <w:sz w:val="18"/>
                <w:szCs w:val="18"/>
              </w:rPr>
              <w:t>0,03125</w:t>
            </w:r>
          </w:p>
        </w:tc>
        <w:tc>
          <w:tcPr>
            <w:tcW w:w="1320" w:type="dxa"/>
            <w:shd w:val="clear"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1.424 </w:t>
            </w:r>
          </w:p>
        </w:tc>
        <w:tc>
          <w:tcPr>
            <w:tcW w:w="1430" w:type="dxa"/>
            <w:shd w:val="clear"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1.424 </w:t>
            </w:r>
          </w:p>
        </w:tc>
        <w:tc>
          <w:tcPr>
            <w:tcW w:w="1388" w:type="dxa"/>
            <w:shd w:val="clear"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2.848 </w:t>
            </w:r>
          </w:p>
        </w:tc>
      </w:tr>
      <w:tr w:rsidR="00383888" w:rsidRPr="000615AB" w:rsidTr="00B47699">
        <w:tc>
          <w:tcPr>
            <w:tcW w:w="3055" w:type="dxa"/>
            <w:shd w:val="pct15" w:color="auto" w:fill="auto"/>
          </w:tcPr>
          <w:p w:rsidR="00383888" w:rsidRPr="000615AB" w:rsidRDefault="00383888" w:rsidP="00B47699">
            <w:pPr>
              <w:rPr>
                <w:snapToGrid w:val="0"/>
                <w:sz w:val="18"/>
                <w:szCs w:val="18"/>
              </w:rPr>
            </w:pPr>
            <w:r w:rsidRPr="000615AB">
              <w:rPr>
                <w:snapToGrid w:val="0"/>
                <w:sz w:val="18"/>
                <w:szCs w:val="18"/>
              </w:rPr>
              <w:t>Letonia</w:t>
            </w:r>
          </w:p>
        </w:tc>
        <w:tc>
          <w:tcPr>
            <w:tcW w:w="1125" w:type="dxa"/>
            <w:shd w:val="pct15" w:color="auto" w:fill="auto"/>
          </w:tcPr>
          <w:p w:rsidR="00383888" w:rsidRPr="000615AB" w:rsidRDefault="00383888" w:rsidP="00B47699">
            <w:pPr>
              <w:jc w:val="center"/>
              <w:rPr>
                <w:snapToGrid w:val="0"/>
                <w:sz w:val="18"/>
                <w:szCs w:val="18"/>
              </w:rPr>
            </w:pPr>
            <w:r w:rsidRPr="000615AB">
              <w:rPr>
                <w:snapToGrid w:val="0"/>
                <w:sz w:val="18"/>
                <w:szCs w:val="18"/>
              </w:rPr>
              <w:t>IX</w:t>
            </w:r>
          </w:p>
        </w:tc>
        <w:tc>
          <w:tcPr>
            <w:tcW w:w="1210" w:type="dxa"/>
            <w:shd w:val="pct15" w:color="auto" w:fill="auto"/>
          </w:tcPr>
          <w:p w:rsidR="00383888" w:rsidRPr="000615AB" w:rsidRDefault="00383888" w:rsidP="00B47699">
            <w:pPr>
              <w:jc w:val="right"/>
              <w:rPr>
                <w:snapToGrid w:val="0"/>
                <w:sz w:val="18"/>
                <w:szCs w:val="18"/>
              </w:rPr>
            </w:pPr>
            <w:r w:rsidRPr="000615AB">
              <w:rPr>
                <w:snapToGrid w:val="0"/>
                <w:sz w:val="18"/>
                <w:szCs w:val="18"/>
              </w:rPr>
              <w:t>0,25</w:t>
            </w:r>
          </w:p>
        </w:tc>
        <w:tc>
          <w:tcPr>
            <w:tcW w:w="1320"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11.395 </w:t>
            </w:r>
          </w:p>
        </w:tc>
        <w:tc>
          <w:tcPr>
            <w:tcW w:w="1430"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11.395 </w:t>
            </w:r>
          </w:p>
        </w:tc>
        <w:tc>
          <w:tcPr>
            <w:tcW w:w="1388"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22.790 </w:t>
            </w:r>
          </w:p>
        </w:tc>
      </w:tr>
      <w:tr w:rsidR="00383888" w:rsidRPr="000615AB" w:rsidTr="00B47699">
        <w:tc>
          <w:tcPr>
            <w:tcW w:w="3055" w:type="dxa"/>
            <w:shd w:val="clear" w:color="auto" w:fill="auto"/>
          </w:tcPr>
          <w:p w:rsidR="00383888" w:rsidRPr="000615AB" w:rsidRDefault="00383888" w:rsidP="00B47699">
            <w:pPr>
              <w:rPr>
                <w:snapToGrid w:val="0"/>
                <w:sz w:val="18"/>
                <w:szCs w:val="18"/>
              </w:rPr>
            </w:pPr>
            <w:r w:rsidRPr="000615AB">
              <w:rPr>
                <w:snapToGrid w:val="0"/>
                <w:sz w:val="18"/>
                <w:szCs w:val="18"/>
              </w:rPr>
              <w:t>Líbano</w:t>
            </w:r>
          </w:p>
        </w:tc>
        <w:tc>
          <w:tcPr>
            <w:tcW w:w="1125" w:type="dxa"/>
            <w:shd w:val="clear" w:color="auto" w:fill="auto"/>
          </w:tcPr>
          <w:p w:rsidR="00383888" w:rsidRPr="000615AB" w:rsidRDefault="00383888" w:rsidP="00B47699">
            <w:pPr>
              <w:jc w:val="center"/>
              <w:rPr>
                <w:i/>
                <w:snapToGrid w:val="0"/>
                <w:sz w:val="18"/>
                <w:szCs w:val="18"/>
              </w:rPr>
            </w:pPr>
            <w:r w:rsidRPr="000615AB">
              <w:rPr>
                <w:snapToGrid w:val="0"/>
                <w:sz w:val="18"/>
                <w:szCs w:val="18"/>
              </w:rPr>
              <w:t>S</w:t>
            </w:r>
          </w:p>
        </w:tc>
        <w:tc>
          <w:tcPr>
            <w:tcW w:w="1210" w:type="dxa"/>
            <w:shd w:val="clear" w:color="auto" w:fill="auto"/>
          </w:tcPr>
          <w:p w:rsidR="00383888" w:rsidRPr="000615AB" w:rsidRDefault="00383888" w:rsidP="00B47699">
            <w:pPr>
              <w:jc w:val="right"/>
              <w:rPr>
                <w:snapToGrid w:val="0"/>
                <w:sz w:val="18"/>
                <w:szCs w:val="18"/>
              </w:rPr>
            </w:pPr>
            <w:r w:rsidRPr="000615AB">
              <w:rPr>
                <w:snapToGrid w:val="0"/>
                <w:sz w:val="18"/>
                <w:szCs w:val="18"/>
              </w:rPr>
              <w:t>0,125</w:t>
            </w:r>
          </w:p>
        </w:tc>
        <w:tc>
          <w:tcPr>
            <w:tcW w:w="1320" w:type="dxa"/>
            <w:shd w:val="clear" w:color="auto" w:fill="auto"/>
          </w:tcPr>
          <w:p w:rsidR="00383888" w:rsidRPr="000615AB" w:rsidRDefault="00383888" w:rsidP="00B47699">
            <w:pPr>
              <w:jc w:val="right"/>
              <w:rPr>
                <w:snapToGrid w:val="0"/>
                <w:sz w:val="18"/>
                <w:szCs w:val="18"/>
              </w:rPr>
            </w:pPr>
            <w:r w:rsidRPr="000615AB">
              <w:rPr>
                <w:snapToGrid w:val="0"/>
                <w:sz w:val="18"/>
                <w:szCs w:val="18"/>
              </w:rPr>
              <w:t xml:space="preserve">5.697 </w:t>
            </w:r>
          </w:p>
        </w:tc>
        <w:tc>
          <w:tcPr>
            <w:tcW w:w="1430" w:type="dxa"/>
            <w:shd w:val="clear" w:color="auto" w:fill="auto"/>
          </w:tcPr>
          <w:p w:rsidR="00383888" w:rsidRPr="000615AB" w:rsidRDefault="00383888" w:rsidP="00B47699">
            <w:pPr>
              <w:jc w:val="right"/>
              <w:rPr>
                <w:snapToGrid w:val="0"/>
                <w:sz w:val="18"/>
                <w:szCs w:val="18"/>
              </w:rPr>
            </w:pPr>
            <w:r w:rsidRPr="000615AB">
              <w:rPr>
                <w:snapToGrid w:val="0"/>
                <w:sz w:val="18"/>
                <w:szCs w:val="18"/>
              </w:rPr>
              <w:t xml:space="preserve">5.697 </w:t>
            </w:r>
          </w:p>
        </w:tc>
        <w:tc>
          <w:tcPr>
            <w:tcW w:w="1388" w:type="dxa"/>
            <w:shd w:val="clear" w:color="auto" w:fill="auto"/>
          </w:tcPr>
          <w:p w:rsidR="00383888" w:rsidRPr="000615AB" w:rsidRDefault="00383888" w:rsidP="00B47699">
            <w:pPr>
              <w:jc w:val="right"/>
              <w:rPr>
                <w:snapToGrid w:val="0"/>
                <w:sz w:val="18"/>
                <w:szCs w:val="18"/>
              </w:rPr>
            </w:pPr>
            <w:r w:rsidRPr="000615AB">
              <w:rPr>
                <w:snapToGrid w:val="0"/>
                <w:sz w:val="18"/>
                <w:szCs w:val="18"/>
              </w:rPr>
              <w:t>11.394</w:t>
            </w:r>
          </w:p>
        </w:tc>
      </w:tr>
      <w:tr w:rsidR="00383888" w:rsidRPr="000615AB" w:rsidTr="00B47699">
        <w:tc>
          <w:tcPr>
            <w:tcW w:w="3055" w:type="dxa"/>
            <w:shd w:val="pct15" w:color="auto" w:fill="auto"/>
          </w:tcPr>
          <w:p w:rsidR="00383888" w:rsidRPr="000615AB" w:rsidRDefault="00383888" w:rsidP="00B47699">
            <w:pPr>
              <w:rPr>
                <w:snapToGrid w:val="0"/>
                <w:sz w:val="18"/>
                <w:szCs w:val="18"/>
              </w:rPr>
            </w:pPr>
            <w:r w:rsidRPr="000615AB">
              <w:rPr>
                <w:snapToGrid w:val="0"/>
                <w:sz w:val="18"/>
                <w:szCs w:val="18"/>
              </w:rPr>
              <w:t>Liberia</w:t>
            </w:r>
          </w:p>
        </w:tc>
        <w:tc>
          <w:tcPr>
            <w:tcW w:w="1125" w:type="dxa"/>
            <w:shd w:val="pct15" w:color="auto" w:fill="auto"/>
          </w:tcPr>
          <w:p w:rsidR="00383888" w:rsidRPr="000615AB" w:rsidRDefault="00383888" w:rsidP="00B47699">
            <w:pPr>
              <w:jc w:val="center"/>
              <w:rPr>
                <w:i/>
                <w:snapToGrid w:val="0"/>
                <w:sz w:val="18"/>
                <w:szCs w:val="18"/>
              </w:rPr>
            </w:pPr>
            <w:r w:rsidRPr="000615AB">
              <w:rPr>
                <w:snapToGrid w:val="0"/>
                <w:sz w:val="18"/>
                <w:szCs w:val="18"/>
              </w:rPr>
              <w:t>S</w:t>
            </w:r>
            <w:r w:rsidRPr="000615AB">
              <w:rPr>
                <w:i/>
                <w:snapToGrid w:val="0"/>
                <w:sz w:val="18"/>
                <w:szCs w:val="18"/>
              </w:rPr>
              <w:t>ter</w:t>
            </w:r>
          </w:p>
        </w:tc>
        <w:tc>
          <w:tcPr>
            <w:tcW w:w="1210" w:type="dxa"/>
            <w:shd w:val="pct15" w:color="auto" w:fill="auto"/>
          </w:tcPr>
          <w:p w:rsidR="00383888" w:rsidRPr="000615AB" w:rsidRDefault="00383888" w:rsidP="00B47699">
            <w:pPr>
              <w:jc w:val="right"/>
              <w:rPr>
                <w:snapToGrid w:val="0"/>
                <w:sz w:val="18"/>
                <w:szCs w:val="18"/>
              </w:rPr>
            </w:pPr>
            <w:r w:rsidRPr="000615AB">
              <w:rPr>
                <w:snapToGrid w:val="0"/>
                <w:sz w:val="18"/>
                <w:szCs w:val="18"/>
              </w:rPr>
              <w:t>0,03125</w:t>
            </w:r>
          </w:p>
        </w:tc>
        <w:tc>
          <w:tcPr>
            <w:tcW w:w="1320"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1.424 </w:t>
            </w:r>
          </w:p>
        </w:tc>
        <w:tc>
          <w:tcPr>
            <w:tcW w:w="1430"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1.424 </w:t>
            </w:r>
          </w:p>
        </w:tc>
        <w:tc>
          <w:tcPr>
            <w:tcW w:w="1388"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2.848 </w:t>
            </w:r>
          </w:p>
        </w:tc>
      </w:tr>
      <w:tr w:rsidR="00383888" w:rsidRPr="000615AB" w:rsidTr="00B47699">
        <w:tc>
          <w:tcPr>
            <w:tcW w:w="3055" w:type="dxa"/>
            <w:shd w:val="clear" w:color="auto" w:fill="auto"/>
          </w:tcPr>
          <w:p w:rsidR="00383888" w:rsidRPr="000615AB" w:rsidRDefault="00383888" w:rsidP="00B47699">
            <w:pPr>
              <w:rPr>
                <w:snapToGrid w:val="0"/>
                <w:sz w:val="18"/>
                <w:szCs w:val="18"/>
              </w:rPr>
            </w:pPr>
            <w:r w:rsidRPr="000615AB">
              <w:rPr>
                <w:snapToGrid w:val="0"/>
                <w:sz w:val="18"/>
                <w:szCs w:val="18"/>
              </w:rPr>
              <w:t xml:space="preserve">Libia </w:t>
            </w:r>
          </w:p>
        </w:tc>
        <w:tc>
          <w:tcPr>
            <w:tcW w:w="1125" w:type="dxa"/>
            <w:shd w:val="clear" w:color="auto" w:fill="auto"/>
          </w:tcPr>
          <w:p w:rsidR="00383888" w:rsidRPr="000615AB" w:rsidRDefault="00383888" w:rsidP="00B47699">
            <w:pPr>
              <w:jc w:val="center"/>
              <w:rPr>
                <w:snapToGrid w:val="0"/>
                <w:sz w:val="18"/>
                <w:szCs w:val="18"/>
              </w:rPr>
            </w:pPr>
            <w:r w:rsidRPr="000615AB">
              <w:rPr>
                <w:snapToGrid w:val="0"/>
                <w:sz w:val="18"/>
                <w:szCs w:val="18"/>
              </w:rPr>
              <w:t>IX</w:t>
            </w:r>
          </w:p>
        </w:tc>
        <w:tc>
          <w:tcPr>
            <w:tcW w:w="1210" w:type="dxa"/>
            <w:shd w:val="clear" w:color="auto" w:fill="auto"/>
          </w:tcPr>
          <w:p w:rsidR="00383888" w:rsidRPr="000615AB" w:rsidRDefault="00383888" w:rsidP="00B47699">
            <w:pPr>
              <w:jc w:val="right"/>
              <w:rPr>
                <w:snapToGrid w:val="0"/>
                <w:sz w:val="18"/>
                <w:szCs w:val="18"/>
              </w:rPr>
            </w:pPr>
            <w:r w:rsidRPr="000615AB">
              <w:rPr>
                <w:snapToGrid w:val="0"/>
                <w:sz w:val="18"/>
                <w:szCs w:val="18"/>
              </w:rPr>
              <w:t>0,25</w:t>
            </w:r>
          </w:p>
        </w:tc>
        <w:tc>
          <w:tcPr>
            <w:tcW w:w="1320" w:type="dxa"/>
            <w:shd w:val="clear" w:color="auto" w:fill="auto"/>
          </w:tcPr>
          <w:p w:rsidR="00383888" w:rsidRPr="000615AB" w:rsidRDefault="00383888" w:rsidP="00B47699">
            <w:pPr>
              <w:jc w:val="right"/>
              <w:rPr>
                <w:snapToGrid w:val="0"/>
                <w:sz w:val="18"/>
                <w:szCs w:val="18"/>
              </w:rPr>
            </w:pPr>
            <w:r w:rsidRPr="000615AB">
              <w:rPr>
                <w:snapToGrid w:val="0"/>
                <w:sz w:val="18"/>
                <w:szCs w:val="18"/>
              </w:rPr>
              <w:t>11.395</w:t>
            </w:r>
          </w:p>
        </w:tc>
        <w:tc>
          <w:tcPr>
            <w:tcW w:w="1430" w:type="dxa"/>
            <w:shd w:val="clear" w:color="auto" w:fill="auto"/>
          </w:tcPr>
          <w:p w:rsidR="00383888" w:rsidRPr="000615AB" w:rsidRDefault="00383888" w:rsidP="00B47699">
            <w:pPr>
              <w:jc w:val="right"/>
              <w:rPr>
                <w:snapToGrid w:val="0"/>
                <w:sz w:val="18"/>
                <w:szCs w:val="18"/>
              </w:rPr>
            </w:pPr>
            <w:r w:rsidRPr="000615AB">
              <w:rPr>
                <w:snapToGrid w:val="0"/>
                <w:sz w:val="18"/>
                <w:szCs w:val="18"/>
              </w:rPr>
              <w:t>11.395</w:t>
            </w:r>
          </w:p>
        </w:tc>
        <w:tc>
          <w:tcPr>
            <w:tcW w:w="1388" w:type="dxa"/>
            <w:shd w:val="clear" w:color="auto" w:fill="auto"/>
          </w:tcPr>
          <w:p w:rsidR="00383888" w:rsidRPr="000615AB" w:rsidRDefault="00383888" w:rsidP="00B47699">
            <w:pPr>
              <w:jc w:val="right"/>
              <w:rPr>
                <w:snapToGrid w:val="0"/>
                <w:sz w:val="18"/>
                <w:szCs w:val="18"/>
              </w:rPr>
            </w:pPr>
            <w:r w:rsidRPr="000615AB">
              <w:rPr>
                <w:snapToGrid w:val="0"/>
                <w:sz w:val="18"/>
                <w:szCs w:val="18"/>
              </w:rPr>
              <w:t>22.790</w:t>
            </w:r>
          </w:p>
        </w:tc>
      </w:tr>
      <w:tr w:rsidR="00383888" w:rsidRPr="000615AB" w:rsidTr="00B47699">
        <w:tc>
          <w:tcPr>
            <w:tcW w:w="3055" w:type="dxa"/>
            <w:shd w:val="pct15" w:color="auto" w:fill="auto"/>
          </w:tcPr>
          <w:p w:rsidR="00383888" w:rsidRPr="000615AB" w:rsidRDefault="00383888" w:rsidP="00B47699">
            <w:pPr>
              <w:rPr>
                <w:snapToGrid w:val="0"/>
                <w:sz w:val="18"/>
                <w:szCs w:val="18"/>
              </w:rPr>
            </w:pPr>
            <w:r w:rsidRPr="000615AB">
              <w:rPr>
                <w:snapToGrid w:val="0"/>
                <w:sz w:val="18"/>
                <w:szCs w:val="18"/>
              </w:rPr>
              <w:t>Liechtenstein</w:t>
            </w:r>
          </w:p>
        </w:tc>
        <w:tc>
          <w:tcPr>
            <w:tcW w:w="1125" w:type="dxa"/>
            <w:shd w:val="pct15" w:color="auto" w:fill="auto"/>
          </w:tcPr>
          <w:p w:rsidR="00383888" w:rsidRPr="000615AB" w:rsidRDefault="00383888" w:rsidP="00B47699">
            <w:pPr>
              <w:jc w:val="center"/>
              <w:rPr>
                <w:snapToGrid w:val="0"/>
                <w:sz w:val="18"/>
                <w:szCs w:val="18"/>
              </w:rPr>
            </w:pPr>
            <w:r w:rsidRPr="000615AB">
              <w:rPr>
                <w:snapToGrid w:val="0"/>
                <w:sz w:val="18"/>
                <w:szCs w:val="18"/>
              </w:rPr>
              <w:t>VIII</w:t>
            </w:r>
          </w:p>
        </w:tc>
        <w:tc>
          <w:tcPr>
            <w:tcW w:w="1210" w:type="dxa"/>
            <w:shd w:val="pct15" w:color="auto" w:fill="auto"/>
          </w:tcPr>
          <w:p w:rsidR="00383888" w:rsidRPr="000615AB" w:rsidRDefault="00383888" w:rsidP="00B47699">
            <w:pPr>
              <w:jc w:val="right"/>
              <w:rPr>
                <w:snapToGrid w:val="0"/>
                <w:sz w:val="18"/>
                <w:szCs w:val="18"/>
              </w:rPr>
            </w:pPr>
            <w:r w:rsidRPr="000615AB">
              <w:rPr>
                <w:snapToGrid w:val="0"/>
                <w:sz w:val="18"/>
                <w:szCs w:val="18"/>
              </w:rPr>
              <w:t>0,5</w:t>
            </w:r>
          </w:p>
        </w:tc>
        <w:tc>
          <w:tcPr>
            <w:tcW w:w="1320"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22.789 </w:t>
            </w:r>
          </w:p>
        </w:tc>
        <w:tc>
          <w:tcPr>
            <w:tcW w:w="1430"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22.789 </w:t>
            </w:r>
          </w:p>
        </w:tc>
        <w:tc>
          <w:tcPr>
            <w:tcW w:w="1388"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45.578 </w:t>
            </w:r>
          </w:p>
        </w:tc>
      </w:tr>
      <w:tr w:rsidR="00383888" w:rsidRPr="000615AB" w:rsidTr="00B47699">
        <w:tc>
          <w:tcPr>
            <w:tcW w:w="3055" w:type="dxa"/>
            <w:shd w:val="clear" w:color="auto" w:fill="auto"/>
          </w:tcPr>
          <w:p w:rsidR="00383888" w:rsidRPr="000615AB" w:rsidRDefault="00383888" w:rsidP="00B47699">
            <w:pPr>
              <w:rPr>
                <w:snapToGrid w:val="0"/>
                <w:sz w:val="18"/>
                <w:szCs w:val="18"/>
              </w:rPr>
            </w:pPr>
            <w:r w:rsidRPr="000615AB">
              <w:rPr>
                <w:snapToGrid w:val="0"/>
                <w:sz w:val="18"/>
                <w:szCs w:val="18"/>
              </w:rPr>
              <w:t>Lituania</w:t>
            </w:r>
          </w:p>
        </w:tc>
        <w:tc>
          <w:tcPr>
            <w:tcW w:w="1125" w:type="dxa"/>
            <w:shd w:val="clear" w:color="auto" w:fill="auto"/>
          </w:tcPr>
          <w:p w:rsidR="00383888" w:rsidRPr="000615AB" w:rsidRDefault="00383888" w:rsidP="00B47699">
            <w:pPr>
              <w:jc w:val="center"/>
              <w:rPr>
                <w:snapToGrid w:val="0"/>
                <w:sz w:val="18"/>
                <w:szCs w:val="18"/>
              </w:rPr>
            </w:pPr>
            <w:r w:rsidRPr="000615AB">
              <w:rPr>
                <w:snapToGrid w:val="0"/>
                <w:sz w:val="18"/>
                <w:szCs w:val="18"/>
              </w:rPr>
              <w:t>IX</w:t>
            </w:r>
          </w:p>
        </w:tc>
        <w:tc>
          <w:tcPr>
            <w:tcW w:w="1210" w:type="dxa"/>
            <w:shd w:val="clear" w:color="auto" w:fill="auto"/>
          </w:tcPr>
          <w:p w:rsidR="00383888" w:rsidRPr="000615AB" w:rsidRDefault="00383888" w:rsidP="00B47699">
            <w:pPr>
              <w:jc w:val="right"/>
              <w:rPr>
                <w:snapToGrid w:val="0"/>
                <w:sz w:val="18"/>
                <w:szCs w:val="18"/>
              </w:rPr>
            </w:pPr>
            <w:r w:rsidRPr="000615AB">
              <w:rPr>
                <w:snapToGrid w:val="0"/>
                <w:sz w:val="18"/>
                <w:szCs w:val="18"/>
              </w:rPr>
              <w:t>0,25</w:t>
            </w:r>
          </w:p>
        </w:tc>
        <w:tc>
          <w:tcPr>
            <w:tcW w:w="1320" w:type="dxa"/>
            <w:shd w:val="clear"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11.395 </w:t>
            </w:r>
          </w:p>
        </w:tc>
        <w:tc>
          <w:tcPr>
            <w:tcW w:w="1430" w:type="dxa"/>
            <w:shd w:val="clear"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11.395 </w:t>
            </w:r>
          </w:p>
        </w:tc>
        <w:tc>
          <w:tcPr>
            <w:tcW w:w="1388" w:type="dxa"/>
            <w:shd w:val="clear"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22.790 </w:t>
            </w:r>
          </w:p>
        </w:tc>
      </w:tr>
      <w:tr w:rsidR="00383888" w:rsidRPr="000615AB" w:rsidTr="00B47699">
        <w:tc>
          <w:tcPr>
            <w:tcW w:w="3055" w:type="dxa"/>
            <w:shd w:val="pct15" w:color="auto" w:fill="auto"/>
          </w:tcPr>
          <w:p w:rsidR="00383888" w:rsidRPr="000615AB" w:rsidRDefault="00383888" w:rsidP="00B47699">
            <w:pPr>
              <w:rPr>
                <w:snapToGrid w:val="0"/>
                <w:sz w:val="18"/>
                <w:szCs w:val="18"/>
              </w:rPr>
            </w:pPr>
            <w:r w:rsidRPr="000615AB">
              <w:rPr>
                <w:snapToGrid w:val="0"/>
                <w:sz w:val="18"/>
                <w:szCs w:val="18"/>
              </w:rPr>
              <w:t>Luxemburgo</w:t>
            </w:r>
          </w:p>
        </w:tc>
        <w:tc>
          <w:tcPr>
            <w:tcW w:w="1125" w:type="dxa"/>
            <w:shd w:val="pct15" w:color="auto" w:fill="auto"/>
          </w:tcPr>
          <w:p w:rsidR="00383888" w:rsidRPr="000615AB" w:rsidRDefault="00383888" w:rsidP="00B47699">
            <w:pPr>
              <w:jc w:val="center"/>
              <w:rPr>
                <w:snapToGrid w:val="0"/>
                <w:sz w:val="18"/>
                <w:szCs w:val="18"/>
              </w:rPr>
            </w:pPr>
            <w:r w:rsidRPr="000615AB">
              <w:rPr>
                <w:snapToGrid w:val="0"/>
                <w:sz w:val="18"/>
                <w:szCs w:val="18"/>
              </w:rPr>
              <w:t>VII</w:t>
            </w:r>
          </w:p>
        </w:tc>
        <w:tc>
          <w:tcPr>
            <w:tcW w:w="1210" w:type="dxa"/>
            <w:shd w:val="pct15" w:color="auto" w:fill="auto"/>
          </w:tcPr>
          <w:p w:rsidR="00383888" w:rsidRPr="000615AB" w:rsidRDefault="00383888" w:rsidP="00B47699">
            <w:pPr>
              <w:jc w:val="right"/>
              <w:rPr>
                <w:snapToGrid w:val="0"/>
                <w:sz w:val="18"/>
                <w:szCs w:val="18"/>
              </w:rPr>
            </w:pPr>
            <w:r w:rsidRPr="000615AB">
              <w:rPr>
                <w:snapToGrid w:val="0"/>
                <w:sz w:val="18"/>
                <w:szCs w:val="18"/>
              </w:rPr>
              <w:t>1</w:t>
            </w:r>
          </w:p>
        </w:tc>
        <w:tc>
          <w:tcPr>
            <w:tcW w:w="1320"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45.579 </w:t>
            </w:r>
          </w:p>
        </w:tc>
        <w:tc>
          <w:tcPr>
            <w:tcW w:w="1430"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45.579 </w:t>
            </w:r>
          </w:p>
        </w:tc>
        <w:tc>
          <w:tcPr>
            <w:tcW w:w="1388"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91.158 </w:t>
            </w:r>
          </w:p>
        </w:tc>
      </w:tr>
      <w:tr w:rsidR="00383888" w:rsidRPr="000615AB" w:rsidTr="00B47699">
        <w:tc>
          <w:tcPr>
            <w:tcW w:w="3055" w:type="dxa"/>
            <w:shd w:val="clear" w:color="auto" w:fill="auto"/>
          </w:tcPr>
          <w:p w:rsidR="00383888" w:rsidRPr="000615AB" w:rsidRDefault="00383888" w:rsidP="00B47699">
            <w:pPr>
              <w:rPr>
                <w:snapToGrid w:val="0"/>
                <w:sz w:val="18"/>
                <w:szCs w:val="18"/>
              </w:rPr>
            </w:pPr>
            <w:r w:rsidRPr="000615AB">
              <w:rPr>
                <w:b/>
                <w:snapToGrid w:val="0"/>
                <w:sz w:val="18"/>
                <w:szCs w:val="18"/>
              </w:rPr>
              <w:t>M</w:t>
            </w:r>
            <w:r w:rsidRPr="000615AB">
              <w:rPr>
                <w:snapToGrid w:val="0"/>
                <w:sz w:val="18"/>
                <w:szCs w:val="18"/>
              </w:rPr>
              <w:t>adagascar</w:t>
            </w:r>
          </w:p>
        </w:tc>
        <w:tc>
          <w:tcPr>
            <w:tcW w:w="1125" w:type="dxa"/>
            <w:shd w:val="clear" w:color="auto" w:fill="auto"/>
          </w:tcPr>
          <w:p w:rsidR="00383888" w:rsidRPr="000615AB" w:rsidRDefault="00383888" w:rsidP="00B47699">
            <w:pPr>
              <w:jc w:val="center"/>
              <w:rPr>
                <w:i/>
                <w:snapToGrid w:val="0"/>
                <w:sz w:val="18"/>
                <w:szCs w:val="18"/>
              </w:rPr>
            </w:pPr>
            <w:r w:rsidRPr="000615AB">
              <w:rPr>
                <w:snapToGrid w:val="0"/>
                <w:sz w:val="18"/>
                <w:szCs w:val="18"/>
              </w:rPr>
              <w:t>S</w:t>
            </w:r>
            <w:r w:rsidRPr="000615AB">
              <w:rPr>
                <w:i/>
                <w:snapToGrid w:val="0"/>
                <w:sz w:val="18"/>
                <w:szCs w:val="18"/>
              </w:rPr>
              <w:t>ter</w:t>
            </w:r>
          </w:p>
        </w:tc>
        <w:tc>
          <w:tcPr>
            <w:tcW w:w="1210" w:type="dxa"/>
            <w:shd w:val="clear" w:color="auto" w:fill="auto"/>
          </w:tcPr>
          <w:p w:rsidR="00383888" w:rsidRPr="000615AB" w:rsidRDefault="00383888" w:rsidP="00B47699">
            <w:pPr>
              <w:jc w:val="right"/>
              <w:rPr>
                <w:snapToGrid w:val="0"/>
                <w:sz w:val="18"/>
                <w:szCs w:val="18"/>
              </w:rPr>
            </w:pPr>
            <w:r w:rsidRPr="000615AB">
              <w:rPr>
                <w:snapToGrid w:val="0"/>
                <w:sz w:val="18"/>
                <w:szCs w:val="18"/>
              </w:rPr>
              <w:t>0,03125</w:t>
            </w:r>
          </w:p>
        </w:tc>
        <w:tc>
          <w:tcPr>
            <w:tcW w:w="1320" w:type="dxa"/>
            <w:shd w:val="clear"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1.424 </w:t>
            </w:r>
          </w:p>
        </w:tc>
        <w:tc>
          <w:tcPr>
            <w:tcW w:w="1430" w:type="dxa"/>
            <w:shd w:val="clear"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1.424 </w:t>
            </w:r>
          </w:p>
        </w:tc>
        <w:tc>
          <w:tcPr>
            <w:tcW w:w="1388" w:type="dxa"/>
            <w:shd w:val="clear"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2.848 </w:t>
            </w:r>
          </w:p>
        </w:tc>
      </w:tr>
      <w:tr w:rsidR="00383888" w:rsidRPr="000615AB" w:rsidTr="00B47699">
        <w:tc>
          <w:tcPr>
            <w:tcW w:w="3055" w:type="dxa"/>
            <w:shd w:val="pct15" w:color="auto" w:fill="auto"/>
          </w:tcPr>
          <w:p w:rsidR="00383888" w:rsidRPr="000615AB" w:rsidRDefault="00383888" w:rsidP="00B47699">
            <w:pPr>
              <w:rPr>
                <w:snapToGrid w:val="0"/>
                <w:sz w:val="18"/>
                <w:szCs w:val="18"/>
              </w:rPr>
            </w:pPr>
            <w:r w:rsidRPr="000615AB">
              <w:rPr>
                <w:snapToGrid w:val="0"/>
                <w:sz w:val="18"/>
                <w:szCs w:val="18"/>
              </w:rPr>
              <w:t>Malasia</w:t>
            </w:r>
          </w:p>
        </w:tc>
        <w:tc>
          <w:tcPr>
            <w:tcW w:w="1125" w:type="dxa"/>
            <w:shd w:val="pct15" w:color="auto" w:fill="auto"/>
          </w:tcPr>
          <w:p w:rsidR="00383888" w:rsidRPr="000615AB" w:rsidRDefault="00383888" w:rsidP="00B47699">
            <w:pPr>
              <w:jc w:val="center"/>
              <w:rPr>
                <w:snapToGrid w:val="0"/>
                <w:sz w:val="18"/>
                <w:szCs w:val="18"/>
              </w:rPr>
            </w:pPr>
            <w:r w:rsidRPr="000615AB">
              <w:rPr>
                <w:snapToGrid w:val="0"/>
                <w:sz w:val="18"/>
                <w:szCs w:val="18"/>
              </w:rPr>
              <w:t>VIII</w:t>
            </w:r>
          </w:p>
        </w:tc>
        <w:tc>
          <w:tcPr>
            <w:tcW w:w="1210" w:type="dxa"/>
            <w:shd w:val="pct15" w:color="auto" w:fill="auto"/>
          </w:tcPr>
          <w:p w:rsidR="00383888" w:rsidRPr="000615AB" w:rsidRDefault="00383888" w:rsidP="00B47699">
            <w:pPr>
              <w:jc w:val="right"/>
              <w:rPr>
                <w:snapToGrid w:val="0"/>
                <w:sz w:val="18"/>
                <w:szCs w:val="18"/>
              </w:rPr>
            </w:pPr>
            <w:r w:rsidRPr="000615AB">
              <w:rPr>
                <w:snapToGrid w:val="0"/>
                <w:sz w:val="18"/>
                <w:szCs w:val="18"/>
              </w:rPr>
              <w:t>0,5</w:t>
            </w:r>
          </w:p>
        </w:tc>
        <w:tc>
          <w:tcPr>
            <w:tcW w:w="1320"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22.789 </w:t>
            </w:r>
          </w:p>
        </w:tc>
        <w:tc>
          <w:tcPr>
            <w:tcW w:w="1430"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22.789 </w:t>
            </w:r>
          </w:p>
        </w:tc>
        <w:tc>
          <w:tcPr>
            <w:tcW w:w="1388"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45.578 </w:t>
            </w:r>
          </w:p>
        </w:tc>
      </w:tr>
      <w:tr w:rsidR="00383888" w:rsidRPr="000615AB" w:rsidTr="00B47699">
        <w:tc>
          <w:tcPr>
            <w:tcW w:w="3055" w:type="dxa"/>
            <w:shd w:val="clear" w:color="auto" w:fill="auto"/>
          </w:tcPr>
          <w:p w:rsidR="00383888" w:rsidRPr="000615AB" w:rsidRDefault="00383888" w:rsidP="00B47699">
            <w:pPr>
              <w:rPr>
                <w:snapToGrid w:val="0"/>
                <w:sz w:val="18"/>
                <w:szCs w:val="18"/>
              </w:rPr>
            </w:pPr>
            <w:r w:rsidRPr="000615AB">
              <w:rPr>
                <w:snapToGrid w:val="0"/>
                <w:sz w:val="18"/>
                <w:szCs w:val="18"/>
              </w:rPr>
              <w:t>Malawi</w:t>
            </w:r>
          </w:p>
        </w:tc>
        <w:tc>
          <w:tcPr>
            <w:tcW w:w="1125" w:type="dxa"/>
            <w:shd w:val="clear" w:color="auto" w:fill="auto"/>
          </w:tcPr>
          <w:p w:rsidR="00383888" w:rsidRPr="000615AB" w:rsidRDefault="00383888" w:rsidP="00B47699">
            <w:pPr>
              <w:jc w:val="center"/>
              <w:rPr>
                <w:i/>
                <w:snapToGrid w:val="0"/>
                <w:sz w:val="18"/>
                <w:szCs w:val="18"/>
              </w:rPr>
            </w:pPr>
            <w:r w:rsidRPr="000615AB">
              <w:rPr>
                <w:snapToGrid w:val="0"/>
                <w:sz w:val="18"/>
                <w:szCs w:val="18"/>
              </w:rPr>
              <w:t>S</w:t>
            </w:r>
            <w:r w:rsidRPr="000615AB">
              <w:rPr>
                <w:i/>
                <w:snapToGrid w:val="0"/>
                <w:sz w:val="18"/>
                <w:szCs w:val="18"/>
              </w:rPr>
              <w:t>ter</w:t>
            </w:r>
          </w:p>
        </w:tc>
        <w:tc>
          <w:tcPr>
            <w:tcW w:w="1210" w:type="dxa"/>
            <w:shd w:val="clear" w:color="auto" w:fill="auto"/>
          </w:tcPr>
          <w:p w:rsidR="00383888" w:rsidRPr="000615AB" w:rsidRDefault="00383888" w:rsidP="00B47699">
            <w:pPr>
              <w:jc w:val="right"/>
              <w:rPr>
                <w:snapToGrid w:val="0"/>
                <w:sz w:val="18"/>
                <w:szCs w:val="18"/>
              </w:rPr>
            </w:pPr>
            <w:r w:rsidRPr="000615AB">
              <w:rPr>
                <w:snapToGrid w:val="0"/>
                <w:sz w:val="18"/>
                <w:szCs w:val="18"/>
              </w:rPr>
              <w:t>0,03125</w:t>
            </w:r>
          </w:p>
        </w:tc>
        <w:tc>
          <w:tcPr>
            <w:tcW w:w="1320" w:type="dxa"/>
            <w:shd w:val="clear"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1.424 </w:t>
            </w:r>
          </w:p>
        </w:tc>
        <w:tc>
          <w:tcPr>
            <w:tcW w:w="1430" w:type="dxa"/>
            <w:shd w:val="clear"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1.424 </w:t>
            </w:r>
          </w:p>
        </w:tc>
        <w:tc>
          <w:tcPr>
            <w:tcW w:w="1388" w:type="dxa"/>
            <w:shd w:val="clear"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2.848 </w:t>
            </w:r>
          </w:p>
        </w:tc>
      </w:tr>
      <w:tr w:rsidR="00383888" w:rsidRPr="000615AB" w:rsidTr="00B47699">
        <w:tc>
          <w:tcPr>
            <w:tcW w:w="3055" w:type="dxa"/>
            <w:shd w:val="pct15" w:color="auto" w:fill="auto"/>
          </w:tcPr>
          <w:p w:rsidR="00383888" w:rsidRPr="000615AB" w:rsidRDefault="00383888" w:rsidP="00B47699">
            <w:pPr>
              <w:rPr>
                <w:snapToGrid w:val="0"/>
                <w:sz w:val="18"/>
                <w:szCs w:val="18"/>
              </w:rPr>
            </w:pPr>
            <w:r w:rsidRPr="000615AB">
              <w:rPr>
                <w:snapToGrid w:val="0"/>
                <w:sz w:val="18"/>
                <w:szCs w:val="18"/>
              </w:rPr>
              <w:t xml:space="preserve">Maldivas </w:t>
            </w:r>
            <w:r w:rsidRPr="000615AB">
              <w:rPr>
                <w:snapToGrid w:val="0"/>
                <w:sz w:val="18"/>
                <w:szCs w:val="18"/>
                <w:vertAlign w:val="superscript"/>
              </w:rPr>
              <w:t>2</w:t>
            </w:r>
          </w:p>
        </w:tc>
        <w:tc>
          <w:tcPr>
            <w:tcW w:w="1125" w:type="dxa"/>
            <w:shd w:val="pct15" w:color="auto" w:fill="auto"/>
          </w:tcPr>
          <w:p w:rsidR="00383888" w:rsidRPr="000615AB" w:rsidRDefault="00383888" w:rsidP="00B47699">
            <w:pPr>
              <w:jc w:val="center"/>
              <w:rPr>
                <w:i/>
                <w:snapToGrid w:val="0"/>
                <w:sz w:val="18"/>
                <w:szCs w:val="18"/>
              </w:rPr>
            </w:pPr>
            <w:r w:rsidRPr="000615AB">
              <w:rPr>
                <w:snapToGrid w:val="0"/>
                <w:sz w:val="18"/>
                <w:szCs w:val="18"/>
              </w:rPr>
              <w:t>S</w:t>
            </w:r>
            <w:r w:rsidRPr="000615AB">
              <w:rPr>
                <w:i/>
                <w:snapToGrid w:val="0"/>
                <w:sz w:val="18"/>
                <w:szCs w:val="18"/>
              </w:rPr>
              <w:t>bis</w:t>
            </w:r>
          </w:p>
        </w:tc>
        <w:tc>
          <w:tcPr>
            <w:tcW w:w="1210" w:type="dxa"/>
            <w:shd w:val="pct15" w:color="auto" w:fill="auto"/>
          </w:tcPr>
          <w:p w:rsidR="00383888" w:rsidRPr="000615AB" w:rsidRDefault="00383888" w:rsidP="00B47699">
            <w:pPr>
              <w:jc w:val="right"/>
              <w:rPr>
                <w:snapToGrid w:val="0"/>
                <w:sz w:val="18"/>
                <w:szCs w:val="18"/>
              </w:rPr>
            </w:pPr>
            <w:r w:rsidRPr="000615AB">
              <w:rPr>
                <w:snapToGrid w:val="0"/>
                <w:sz w:val="18"/>
                <w:szCs w:val="18"/>
              </w:rPr>
              <w:t>0,0625</w:t>
            </w:r>
          </w:p>
        </w:tc>
        <w:tc>
          <w:tcPr>
            <w:tcW w:w="1320" w:type="dxa"/>
            <w:shd w:val="pct15" w:color="auto" w:fill="auto"/>
          </w:tcPr>
          <w:p w:rsidR="00383888" w:rsidRPr="000615AB" w:rsidRDefault="00383888" w:rsidP="00B47699">
            <w:pPr>
              <w:jc w:val="right"/>
              <w:rPr>
                <w:snapToGrid w:val="0"/>
                <w:sz w:val="18"/>
                <w:szCs w:val="18"/>
              </w:rPr>
            </w:pPr>
            <w:r w:rsidRPr="000615AB">
              <w:rPr>
                <w:snapToGrid w:val="0"/>
                <w:sz w:val="18"/>
                <w:szCs w:val="18"/>
              </w:rPr>
              <w:t>2.849</w:t>
            </w:r>
          </w:p>
        </w:tc>
        <w:tc>
          <w:tcPr>
            <w:tcW w:w="1430" w:type="dxa"/>
            <w:shd w:val="pct15" w:color="auto" w:fill="auto"/>
          </w:tcPr>
          <w:p w:rsidR="00383888" w:rsidRPr="000615AB" w:rsidRDefault="00383888" w:rsidP="00B47699">
            <w:pPr>
              <w:jc w:val="right"/>
              <w:rPr>
                <w:snapToGrid w:val="0"/>
                <w:sz w:val="18"/>
                <w:szCs w:val="18"/>
              </w:rPr>
            </w:pPr>
            <w:r w:rsidRPr="000615AB">
              <w:rPr>
                <w:snapToGrid w:val="0"/>
                <w:sz w:val="18"/>
                <w:szCs w:val="18"/>
              </w:rPr>
              <w:t>2.849</w:t>
            </w:r>
          </w:p>
        </w:tc>
        <w:tc>
          <w:tcPr>
            <w:tcW w:w="1388" w:type="dxa"/>
            <w:shd w:val="pct15" w:color="auto" w:fill="auto"/>
          </w:tcPr>
          <w:p w:rsidR="00383888" w:rsidRPr="000615AB" w:rsidRDefault="00383888" w:rsidP="00B47699">
            <w:pPr>
              <w:jc w:val="right"/>
              <w:rPr>
                <w:snapToGrid w:val="0"/>
                <w:sz w:val="18"/>
                <w:szCs w:val="18"/>
              </w:rPr>
            </w:pPr>
            <w:r w:rsidRPr="000615AB">
              <w:rPr>
                <w:snapToGrid w:val="0"/>
                <w:sz w:val="18"/>
                <w:szCs w:val="18"/>
              </w:rPr>
              <w:t>5.698</w:t>
            </w:r>
          </w:p>
        </w:tc>
      </w:tr>
      <w:tr w:rsidR="00383888" w:rsidRPr="000615AB" w:rsidTr="00B47699">
        <w:tc>
          <w:tcPr>
            <w:tcW w:w="3055" w:type="dxa"/>
            <w:shd w:val="clear" w:color="auto" w:fill="auto"/>
          </w:tcPr>
          <w:p w:rsidR="00383888" w:rsidRPr="000615AB" w:rsidRDefault="00383888" w:rsidP="00B47699">
            <w:pPr>
              <w:rPr>
                <w:snapToGrid w:val="0"/>
                <w:sz w:val="18"/>
                <w:szCs w:val="18"/>
              </w:rPr>
            </w:pPr>
            <w:r w:rsidRPr="000615AB">
              <w:rPr>
                <w:snapToGrid w:val="0"/>
                <w:sz w:val="18"/>
                <w:szCs w:val="18"/>
              </w:rPr>
              <w:t>Malí</w:t>
            </w:r>
          </w:p>
        </w:tc>
        <w:tc>
          <w:tcPr>
            <w:tcW w:w="1125" w:type="dxa"/>
            <w:shd w:val="clear" w:color="auto" w:fill="auto"/>
          </w:tcPr>
          <w:p w:rsidR="00383888" w:rsidRPr="000615AB" w:rsidRDefault="00383888" w:rsidP="00B47699">
            <w:pPr>
              <w:jc w:val="center"/>
              <w:rPr>
                <w:i/>
                <w:snapToGrid w:val="0"/>
                <w:sz w:val="18"/>
                <w:szCs w:val="18"/>
              </w:rPr>
            </w:pPr>
            <w:r w:rsidRPr="000615AB">
              <w:rPr>
                <w:snapToGrid w:val="0"/>
                <w:sz w:val="18"/>
                <w:szCs w:val="18"/>
              </w:rPr>
              <w:t>S</w:t>
            </w:r>
            <w:r w:rsidRPr="000615AB">
              <w:rPr>
                <w:i/>
                <w:snapToGrid w:val="0"/>
                <w:sz w:val="18"/>
                <w:szCs w:val="18"/>
              </w:rPr>
              <w:t>ter</w:t>
            </w:r>
          </w:p>
        </w:tc>
        <w:tc>
          <w:tcPr>
            <w:tcW w:w="1210" w:type="dxa"/>
            <w:shd w:val="clear" w:color="auto" w:fill="auto"/>
          </w:tcPr>
          <w:p w:rsidR="00383888" w:rsidRPr="000615AB" w:rsidRDefault="00383888" w:rsidP="00B47699">
            <w:pPr>
              <w:jc w:val="right"/>
              <w:rPr>
                <w:snapToGrid w:val="0"/>
                <w:sz w:val="18"/>
                <w:szCs w:val="18"/>
              </w:rPr>
            </w:pPr>
            <w:r w:rsidRPr="000615AB">
              <w:rPr>
                <w:snapToGrid w:val="0"/>
                <w:sz w:val="18"/>
                <w:szCs w:val="18"/>
              </w:rPr>
              <w:t>0,03125</w:t>
            </w:r>
          </w:p>
        </w:tc>
        <w:tc>
          <w:tcPr>
            <w:tcW w:w="1320" w:type="dxa"/>
            <w:shd w:val="clear"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1.424 </w:t>
            </w:r>
          </w:p>
        </w:tc>
        <w:tc>
          <w:tcPr>
            <w:tcW w:w="1430" w:type="dxa"/>
            <w:shd w:val="clear"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1.424 </w:t>
            </w:r>
          </w:p>
        </w:tc>
        <w:tc>
          <w:tcPr>
            <w:tcW w:w="1388" w:type="dxa"/>
            <w:shd w:val="clear"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2.848 </w:t>
            </w:r>
          </w:p>
        </w:tc>
      </w:tr>
      <w:tr w:rsidR="00383888" w:rsidRPr="000615AB" w:rsidTr="00B47699">
        <w:tc>
          <w:tcPr>
            <w:tcW w:w="3055" w:type="dxa"/>
            <w:shd w:val="pct15" w:color="auto" w:fill="auto"/>
          </w:tcPr>
          <w:p w:rsidR="00383888" w:rsidRPr="000615AB" w:rsidRDefault="00383888" w:rsidP="00B47699">
            <w:pPr>
              <w:rPr>
                <w:snapToGrid w:val="0"/>
                <w:sz w:val="18"/>
                <w:szCs w:val="18"/>
              </w:rPr>
            </w:pPr>
            <w:r w:rsidRPr="000615AB">
              <w:rPr>
                <w:snapToGrid w:val="0"/>
                <w:sz w:val="18"/>
                <w:szCs w:val="18"/>
              </w:rPr>
              <w:t>Malta</w:t>
            </w:r>
          </w:p>
        </w:tc>
        <w:tc>
          <w:tcPr>
            <w:tcW w:w="1125" w:type="dxa"/>
            <w:shd w:val="pct15" w:color="auto" w:fill="auto"/>
          </w:tcPr>
          <w:p w:rsidR="00383888" w:rsidRPr="000615AB" w:rsidRDefault="00383888" w:rsidP="00B47699">
            <w:pPr>
              <w:jc w:val="center"/>
              <w:rPr>
                <w:i/>
                <w:snapToGrid w:val="0"/>
                <w:sz w:val="18"/>
                <w:szCs w:val="18"/>
              </w:rPr>
            </w:pPr>
            <w:r w:rsidRPr="000615AB">
              <w:rPr>
                <w:snapToGrid w:val="0"/>
                <w:sz w:val="18"/>
                <w:szCs w:val="18"/>
              </w:rPr>
              <w:t>S</w:t>
            </w:r>
            <w:r w:rsidRPr="000615AB">
              <w:rPr>
                <w:i/>
                <w:snapToGrid w:val="0"/>
                <w:sz w:val="18"/>
                <w:szCs w:val="18"/>
              </w:rPr>
              <w:t>bis</w:t>
            </w:r>
          </w:p>
        </w:tc>
        <w:tc>
          <w:tcPr>
            <w:tcW w:w="1210" w:type="dxa"/>
            <w:shd w:val="pct15" w:color="auto" w:fill="auto"/>
          </w:tcPr>
          <w:p w:rsidR="00383888" w:rsidRPr="000615AB" w:rsidRDefault="00383888" w:rsidP="00B47699">
            <w:pPr>
              <w:jc w:val="right"/>
              <w:rPr>
                <w:snapToGrid w:val="0"/>
                <w:sz w:val="18"/>
                <w:szCs w:val="18"/>
              </w:rPr>
            </w:pPr>
            <w:r w:rsidRPr="000615AB">
              <w:rPr>
                <w:snapToGrid w:val="0"/>
                <w:sz w:val="18"/>
                <w:szCs w:val="18"/>
              </w:rPr>
              <w:t>0,0625</w:t>
            </w:r>
          </w:p>
        </w:tc>
        <w:tc>
          <w:tcPr>
            <w:tcW w:w="1320"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2.849 </w:t>
            </w:r>
          </w:p>
        </w:tc>
        <w:tc>
          <w:tcPr>
            <w:tcW w:w="1430"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2.849 </w:t>
            </w:r>
          </w:p>
        </w:tc>
        <w:tc>
          <w:tcPr>
            <w:tcW w:w="1388"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5.698 </w:t>
            </w:r>
          </w:p>
        </w:tc>
      </w:tr>
      <w:tr w:rsidR="00383888" w:rsidRPr="000615AB" w:rsidTr="00B47699">
        <w:tc>
          <w:tcPr>
            <w:tcW w:w="3055" w:type="dxa"/>
            <w:shd w:val="clear" w:color="auto" w:fill="auto"/>
          </w:tcPr>
          <w:p w:rsidR="00383888" w:rsidRPr="000615AB" w:rsidRDefault="00383888" w:rsidP="00B47699">
            <w:pPr>
              <w:rPr>
                <w:snapToGrid w:val="0"/>
                <w:sz w:val="18"/>
                <w:szCs w:val="18"/>
              </w:rPr>
            </w:pPr>
            <w:r w:rsidRPr="000615AB">
              <w:rPr>
                <w:snapToGrid w:val="0"/>
                <w:sz w:val="18"/>
                <w:szCs w:val="18"/>
              </w:rPr>
              <w:t>Marruecos</w:t>
            </w:r>
          </w:p>
        </w:tc>
        <w:tc>
          <w:tcPr>
            <w:tcW w:w="1125" w:type="dxa"/>
            <w:shd w:val="clear" w:color="auto" w:fill="auto"/>
          </w:tcPr>
          <w:p w:rsidR="00383888" w:rsidRPr="000615AB" w:rsidRDefault="00383888" w:rsidP="00B47699">
            <w:pPr>
              <w:jc w:val="center"/>
              <w:rPr>
                <w:snapToGrid w:val="0"/>
                <w:sz w:val="18"/>
                <w:szCs w:val="18"/>
              </w:rPr>
            </w:pPr>
            <w:r w:rsidRPr="000615AB">
              <w:rPr>
                <w:snapToGrid w:val="0"/>
                <w:sz w:val="18"/>
                <w:szCs w:val="18"/>
              </w:rPr>
              <w:t>S</w:t>
            </w:r>
          </w:p>
        </w:tc>
        <w:tc>
          <w:tcPr>
            <w:tcW w:w="1210" w:type="dxa"/>
            <w:shd w:val="clear" w:color="auto" w:fill="auto"/>
          </w:tcPr>
          <w:p w:rsidR="00383888" w:rsidRPr="000615AB" w:rsidRDefault="00383888" w:rsidP="00B47699">
            <w:pPr>
              <w:jc w:val="right"/>
              <w:rPr>
                <w:snapToGrid w:val="0"/>
                <w:sz w:val="18"/>
                <w:szCs w:val="18"/>
              </w:rPr>
            </w:pPr>
            <w:r w:rsidRPr="000615AB">
              <w:rPr>
                <w:snapToGrid w:val="0"/>
                <w:sz w:val="18"/>
                <w:szCs w:val="18"/>
              </w:rPr>
              <w:t>0,125</w:t>
            </w:r>
          </w:p>
        </w:tc>
        <w:tc>
          <w:tcPr>
            <w:tcW w:w="1320" w:type="dxa"/>
            <w:shd w:val="clear"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5.697 </w:t>
            </w:r>
          </w:p>
        </w:tc>
        <w:tc>
          <w:tcPr>
            <w:tcW w:w="1430" w:type="dxa"/>
            <w:shd w:val="clear"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5.697 </w:t>
            </w:r>
          </w:p>
        </w:tc>
        <w:tc>
          <w:tcPr>
            <w:tcW w:w="1388" w:type="dxa"/>
            <w:shd w:val="clear"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11.394 </w:t>
            </w:r>
          </w:p>
        </w:tc>
      </w:tr>
      <w:tr w:rsidR="00383888" w:rsidRPr="000615AB" w:rsidTr="00B47699">
        <w:tc>
          <w:tcPr>
            <w:tcW w:w="3055" w:type="dxa"/>
            <w:shd w:val="pct15" w:color="auto" w:fill="auto"/>
          </w:tcPr>
          <w:p w:rsidR="00383888" w:rsidRPr="000615AB" w:rsidRDefault="00383888" w:rsidP="00B47699">
            <w:pPr>
              <w:rPr>
                <w:snapToGrid w:val="0"/>
                <w:sz w:val="18"/>
                <w:szCs w:val="18"/>
              </w:rPr>
            </w:pPr>
            <w:r w:rsidRPr="000615AB">
              <w:rPr>
                <w:snapToGrid w:val="0"/>
                <w:sz w:val="18"/>
                <w:szCs w:val="18"/>
              </w:rPr>
              <w:t>Mauricio</w:t>
            </w:r>
          </w:p>
        </w:tc>
        <w:tc>
          <w:tcPr>
            <w:tcW w:w="1125" w:type="dxa"/>
            <w:shd w:val="pct15" w:color="auto" w:fill="auto"/>
          </w:tcPr>
          <w:p w:rsidR="00383888" w:rsidRPr="000615AB" w:rsidRDefault="00383888" w:rsidP="00B47699">
            <w:pPr>
              <w:jc w:val="center"/>
              <w:rPr>
                <w:i/>
                <w:snapToGrid w:val="0"/>
                <w:sz w:val="18"/>
                <w:szCs w:val="18"/>
              </w:rPr>
            </w:pPr>
            <w:r w:rsidRPr="000615AB">
              <w:rPr>
                <w:snapToGrid w:val="0"/>
                <w:sz w:val="18"/>
                <w:szCs w:val="18"/>
              </w:rPr>
              <w:t>S</w:t>
            </w:r>
            <w:r w:rsidRPr="000615AB">
              <w:rPr>
                <w:i/>
                <w:snapToGrid w:val="0"/>
                <w:sz w:val="18"/>
                <w:szCs w:val="18"/>
              </w:rPr>
              <w:t>bis</w:t>
            </w:r>
          </w:p>
        </w:tc>
        <w:tc>
          <w:tcPr>
            <w:tcW w:w="1210" w:type="dxa"/>
            <w:shd w:val="pct15" w:color="auto" w:fill="auto"/>
          </w:tcPr>
          <w:p w:rsidR="00383888" w:rsidRPr="000615AB" w:rsidRDefault="00383888" w:rsidP="00B47699">
            <w:pPr>
              <w:jc w:val="right"/>
              <w:rPr>
                <w:snapToGrid w:val="0"/>
                <w:sz w:val="18"/>
                <w:szCs w:val="18"/>
              </w:rPr>
            </w:pPr>
            <w:r w:rsidRPr="000615AB">
              <w:rPr>
                <w:snapToGrid w:val="0"/>
                <w:sz w:val="18"/>
                <w:szCs w:val="18"/>
              </w:rPr>
              <w:t>0,0625</w:t>
            </w:r>
          </w:p>
        </w:tc>
        <w:tc>
          <w:tcPr>
            <w:tcW w:w="1320"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2.849 </w:t>
            </w:r>
          </w:p>
        </w:tc>
        <w:tc>
          <w:tcPr>
            <w:tcW w:w="1430"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2.849 </w:t>
            </w:r>
          </w:p>
        </w:tc>
        <w:tc>
          <w:tcPr>
            <w:tcW w:w="1388"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5.698 </w:t>
            </w:r>
          </w:p>
        </w:tc>
      </w:tr>
      <w:tr w:rsidR="00383888" w:rsidRPr="000615AB" w:rsidTr="00B47699">
        <w:tc>
          <w:tcPr>
            <w:tcW w:w="3055" w:type="dxa"/>
            <w:shd w:val="clear" w:color="auto" w:fill="auto"/>
          </w:tcPr>
          <w:p w:rsidR="00383888" w:rsidRPr="000615AB" w:rsidRDefault="00383888" w:rsidP="00B47699">
            <w:pPr>
              <w:rPr>
                <w:snapToGrid w:val="0"/>
                <w:sz w:val="18"/>
                <w:szCs w:val="18"/>
              </w:rPr>
            </w:pPr>
            <w:r w:rsidRPr="000615AB">
              <w:rPr>
                <w:snapToGrid w:val="0"/>
                <w:sz w:val="18"/>
                <w:szCs w:val="18"/>
              </w:rPr>
              <w:t>Mauritania</w:t>
            </w:r>
          </w:p>
        </w:tc>
        <w:tc>
          <w:tcPr>
            <w:tcW w:w="1125" w:type="dxa"/>
            <w:shd w:val="clear" w:color="auto" w:fill="auto"/>
          </w:tcPr>
          <w:p w:rsidR="00383888" w:rsidRPr="000615AB" w:rsidRDefault="00383888" w:rsidP="00B47699">
            <w:pPr>
              <w:jc w:val="center"/>
              <w:rPr>
                <w:i/>
                <w:snapToGrid w:val="0"/>
                <w:sz w:val="18"/>
                <w:szCs w:val="18"/>
              </w:rPr>
            </w:pPr>
            <w:r w:rsidRPr="000615AB">
              <w:rPr>
                <w:snapToGrid w:val="0"/>
                <w:sz w:val="18"/>
                <w:szCs w:val="18"/>
              </w:rPr>
              <w:t>S</w:t>
            </w:r>
            <w:r w:rsidRPr="000615AB">
              <w:rPr>
                <w:i/>
                <w:snapToGrid w:val="0"/>
                <w:sz w:val="18"/>
                <w:szCs w:val="18"/>
              </w:rPr>
              <w:t>ter</w:t>
            </w:r>
          </w:p>
        </w:tc>
        <w:tc>
          <w:tcPr>
            <w:tcW w:w="1210" w:type="dxa"/>
            <w:shd w:val="clear" w:color="auto" w:fill="auto"/>
          </w:tcPr>
          <w:p w:rsidR="00383888" w:rsidRPr="000615AB" w:rsidRDefault="00383888" w:rsidP="00B47699">
            <w:pPr>
              <w:jc w:val="right"/>
              <w:rPr>
                <w:snapToGrid w:val="0"/>
                <w:sz w:val="18"/>
                <w:szCs w:val="18"/>
              </w:rPr>
            </w:pPr>
            <w:r w:rsidRPr="000615AB">
              <w:rPr>
                <w:snapToGrid w:val="0"/>
                <w:sz w:val="18"/>
                <w:szCs w:val="18"/>
              </w:rPr>
              <w:t>0,03125</w:t>
            </w:r>
          </w:p>
        </w:tc>
        <w:tc>
          <w:tcPr>
            <w:tcW w:w="1320" w:type="dxa"/>
            <w:shd w:val="clear"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1.424 </w:t>
            </w:r>
          </w:p>
        </w:tc>
        <w:tc>
          <w:tcPr>
            <w:tcW w:w="1430" w:type="dxa"/>
            <w:shd w:val="clear"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1.424 </w:t>
            </w:r>
          </w:p>
        </w:tc>
        <w:tc>
          <w:tcPr>
            <w:tcW w:w="1388" w:type="dxa"/>
            <w:shd w:val="clear"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2.848 </w:t>
            </w:r>
          </w:p>
        </w:tc>
      </w:tr>
      <w:tr w:rsidR="00383888" w:rsidRPr="000615AB" w:rsidTr="00B47699">
        <w:tc>
          <w:tcPr>
            <w:tcW w:w="3055" w:type="dxa"/>
            <w:shd w:val="pct15" w:color="auto" w:fill="auto"/>
          </w:tcPr>
          <w:p w:rsidR="00383888" w:rsidRPr="000615AB" w:rsidRDefault="00383888" w:rsidP="00B47699">
            <w:pPr>
              <w:rPr>
                <w:snapToGrid w:val="0"/>
                <w:sz w:val="18"/>
                <w:szCs w:val="18"/>
              </w:rPr>
            </w:pPr>
            <w:r w:rsidRPr="000615AB">
              <w:rPr>
                <w:snapToGrid w:val="0"/>
                <w:sz w:val="18"/>
                <w:szCs w:val="18"/>
              </w:rPr>
              <w:t>México</w:t>
            </w:r>
          </w:p>
        </w:tc>
        <w:tc>
          <w:tcPr>
            <w:tcW w:w="1125" w:type="dxa"/>
            <w:shd w:val="pct15" w:color="auto" w:fill="auto"/>
          </w:tcPr>
          <w:p w:rsidR="00383888" w:rsidRPr="000615AB" w:rsidRDefault="00383888" w:rsidP="00B47699">
            <w:pPr>
              <w:jc w:val="center"/>
              <w:rPr>
                <w:i/>
                <w:snapToGrid w:val="0"/>
                <w:sz w:val="18"/>
                <w:szCs w:val="18"/>
              </w:rPr>
            </w:pPr>
            <w:r w:rsidRPr="000615AB">
              <w:rPr>
                <w:snapToGrid w:val="0"/>
                <w:sz w:val="18"/>
                <w:szCs w:val="18"/>
              </w:rPr>
              <w:t>IV</w:t>
            </w:r>
            <w:r w:rsidRPr="000615AB">
              <w:rPr>
                <w:i/>
                <w:snapToGrid w:val="0"/>
                <w:sz w:val="18"/>
                <w:szCs w:val="18"/>
              </w:rPr>
              <w:t>bis</w:t>
            </w:r>
          </w:p>
        </w:tc>
        <w:tc>
          <w:tcPr>
            <w:tcW w:w="1210" w:type="dxa"/>
            <w:shd w:val="pct15" w:color="auto" w:fill="auto"/>
          </w:tcPr>
          <w:p w:rsidR="00383888" w:rsidRPr="000615AB" w:rsidRDefault="00383888" w:rsidP="00B47699">
            <w:pPr>
              <w:jc w:val="right"/>
              <w:rPr>
                <w:snapToGrid w:val="0"/>
                <w:sz w:val="18"/>
                <w:szCs w:val="18"/>
              </w:rPr>
            </w:pPr>
            <w:r w:rsidRPr="000615AB">
              <w:rPr>
                <w:snapToGrid w:val="0"/>
                <w:sz w:val="18"/>
                <w:szCs w:val="18"/>
              </w:rPr>
              <w:t>7,5</w:t>
            </w:r>
          </w:p>
        </w:tc>
        <w:tc>
          <w:tcPr>
            <w:tcW w:w="1320"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341.842 </w:t>
            </w:r>
          </w:p>
        </w:tc>
        <w:tc>
          <w:tcPr>
            <w:tcW w:w="1430"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341.842 </w:t>
            </w:r>
          </w:p>
        </w:tc>
        <w:tc>
          <w:tcPr>
            <w:tcW w:w="1388"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683.684 </w:t>
            </w:r>
          </w:p>
        </w:tc>
      </w:tr>
      <w:tr w:rsidR="00383888" w:rsidRPr="000615AB" w:rsidTr="00B47699">
        <w:tc>
          <w:tcPr>
            <w:tcW w:w="3055" w:type="dxa"/>
            <w:shd w:val="clear" w:color="auto" w:fill="auto"/>
          </w:tcPr>
          <w:p w:rsidR="00383888" w:rsidRPr="000615AB" w:rsidRDefault="00383888" w:rsidP="00B47699">
            <w:pPr>
              <w:rPr>
                <w:snapToGrid w:val="0"/>
                <w:sz w:val="18"/>
                <w:szCs w:val="18"/>
              </w:rPr>
            </w:pPr>
            <w:r w:rsidRPr="000615AB">
              <w:rPr>
                <w:snapToGrid w:val="0"/>
                <w:sz w:val="18"/>
                <w:szCs w:val="18"/>
              </w:rPr>
              <w:t>Micronesia (Estados Federados de)</w:t>
            </w:r>
          </w:p>
        </w:tc>
        <w:tc>
          <w:tcPr>
            <w:tcW w:w="1125" w:type="dxa"/>
            <w:shd w:val="clear" w:color="auto" w:fill="auto"/>
          </w:tcPr>
          <w:p w:rsidR="00383888" w:rsidRPr="000615AB" w:rsidRDefault="00383888" w:rsidP="00B47699">
            <w:pPr>
              <w:jc w:val="center"/>
              <w:rPr>
                <w:i/>
                <w:snapToGrid w:val="0"/>
                <w:sz w:val="18"/>
                <w:szCs w:val="18"/>
              </w:rPr>
            </w:pPr>
            <w:r w:rsidRPr="000615AB">
              <w:rPr>
                <w:snapToGrid w:val="0"/>
                <w:sz w:val="18"/>
                <w:szCs w:val="18"/>
              </w:rPr>
              <w:t>S</w:t>
            </w:r>
            <w:r w:rsidRPr="000615AB">
              <w:rPr>
                <w:i/>
                <w:snapToGrid w:val="0"/>
                <w:sz w:val="18"/>
                <w:szCs w:val="18"/>
              </w:rPr>
              <w:t>bis</w:t>
            </w:r>
          </w:p>
        </w:tc>
        <w:tc>
          <w:tcPr>
            <w:tcW w:w="1210" w:type="dxa"/>
            <w:shd w:val="clear" w:color="auto" w:fill="auto"/>
          </w:tcPr>
          <w:p w:rsidR="00383888" w:rsidRPr="000615AB" w:rsidRDefault="00383888" w:rsidP="00B47699">
            <w:pPr>
              <w:jc w:val="right"/>
              <w:rPr>
                <w:snapToGrid w:val="0"/>
                <w:sz w:val="18"/>
                <w:szCs w:val="18"/>
              </w:rPr>
            </w:pPr>
            <w:r w:rsidRPr="000615AB">
              <w:rPr>
                <w:snapToGrid w:val="0"/>
                <w:sz w:val="18"/>
                <w:szCs w:val="18"/>
              </w:rPr>
              <w:t>0,0625</w:t>
            </w:r>
          </w:p>
        </w:tc>
        <w:tc>
          <w:tcPr>
            <w:tcW w:w="1320" w:type="dxa"/>
            <w:shd w:val="clear" w:color="auto" w:fill="auto"/>
          </w:tcPr>
          <w:p w:rsidR="00383888" w:rsidRPr="000615AB" w:rsidRDefault="00383888" w:rsidP="00B47699">
            <w:pPr>
              <w:jc w:val="right"/>
              <w:rPr>
                <w:snapToGrid w:val="0"/>
                <w:sz w:val="18"/>
                <w:szCs w:val="18"/>
              </w:rPr>
            </w:pPr>
            <w:r w:rsidRPr="000615AB">
              <w:rPr>
                <w:snapToGrid w:val="0"/>
                <w:sz w:val="18"/>
                <w:szCs w:val="18"/>
              </w:rPr>
              <w:t>2.849</w:t>
            </w:r>
          </w:p>
        </w:tc>
        <w:tc>
          <w:tcPr>
            <w:tcW w:w="1430" w:type="dxa"/>
            <w:shd w:val="clear" w:color="auto" w:fill="auto"/>
          </w:tcPr>
          <w:p w:rsidR="00383888" w:rsidRPr="000615AB" w:rsidRDefault="00383888" w:rsidP="00B47699">
            <w:pPr>
              <w:jc w:val="right"/>
              <w:rPr>
                <w:snapToGrid w:val="0"/>
                <w:sz w:val="18"/>
                <w:szCs w:val="18"/>
              </w:rPr>
            </w:pPr>
            <w:r w:rsidRPr="000615AB">
              <w:rPr>
                <w:snapToGrid w:val="0"/>
                <w:sz w:val="18"/>
                <w:szCs w:val="18"/>
              </w:rPr>
              <w:t>2.849</w:t>
            </w:r>
          </w:p>
        </w:tc>
        <w:tc>
          <w:tcPr>
            <w:tcW w:w="1388" w:type="dxa"/>
            <w:shd w:val="clear" w:color="auto" w:fill="auto"/>
          </w:tcPr>
          <w:p w:rsidR="00383888" w:rsidRPr="000615AB" w:rsidRDefault="00383888" w:rsidP="00B47699">
            <w:pPr>
              <w:jc w:val="right"/>
              <w:rPr>
                <w:snapToGrid w:val="0"/>
                <w:sz w:val="18"/>
                <w:szCs w:val="18"/>
              </w:rPr>
            </w:pPr>
            <w:r w:rsidRPr="000615AB">
              <w:rPr>
                <w:snapToGrid w:val="0"/>
                <w:sz w:val="18"/>
                <w:szCs w:val="18"/>
              </w:rPr>
              <w:t>5.698</w:t>
            </w:r>
          </w:p>
        </w:tc>
      </w:tr>
      <w:tr w:rsidR="00383888" w:rsidRPr="000615AB" w:rsidTr="00B47699">
        <w:tc>
          <w:tcPr>
            <w:tcW w:w="3055" w:type="dxa"/>
            <w:shd w:val="pct15" w:color="auto" w:fill="auto"/>
          </w:tcPr>
          <w:p w:rsidR="00383888" w:rsidRPr="000615AB" w:rsidRDefault="00383888" w:rsidP="00B47699">
            <w:pPr>
              <w:rPr>
                <w:snapToGrid w:val="0"/>
                <w:sz w:val="18"/>
                <w:szCs w:val="18"/>
              </w:rPr>
            </w:pPr>
            <w:r w:rsidRPr="000615AB">
              <w:rPr>
                <w:snapToGrid w:val="0"/>
                <w:sz w:val="18"/>
                <w:szCs w:val="18"/>
              </w:rPr>
              <w:t>Mónaco</w:t>
            </w:r>
          </w:p>
        </w:tc>
        <w:tc>
          <w:tcPr>
            <w:tcW w:w="1125" w:type="dxa"/>
            <w:shd w:val="pct15" w:color="auto" w:fill="auto"/>
          </w:tcPr>
          <w:p w:rsidR="00383888" w:rsidRPr="000615AB" w:rsidRDefault="00383888" w:rsidP="00B47699">
            <w:pPr>
              <w:jc w:val="center"/>
              <w:rPr>
                <w:snapToGrid w:val="0"/>
                <w:sz w:val="18"/>
                <w:szCs w:val="18"/>
              </w:rPr>
            </w:pPr>
            <w:r w:rsidRPr="000615AB">
              <w:rPr>
                <w:snapToGrid w:val="0"/>
                <w:sz w:val="18"/>
                <w:szCs w:val="18"/>
              </w:rPr>
              <w:t>VII</w:t>
            </w:r>
          </w:p>
        </w:tc>
        <w:tc>
          <w:tcPr>
            <w:tcW w:w="1210" w:type="dxa"/>
            <w:shd w:val="pct15" w:color="auto" w:fill="auto"/>
          </w:tcPr>
          <w:p w:rsidR="00383888" w:rsidRPr="000615AB" w:rsidRDefault="00383888" w:rsidP="00B47699">
            <w:pPr>
              <w:jc w:val="right"/>
              <w:rPr>
                <w:snapToGrid w:val="0"/>
                <w:sz w:val="18"/>
                <w:szCs w:val="18"/>
              </w:rPr>
            </w:pPr>
            <w:r w:rsidRPr="000615AB">
              <w:rPr>
                <w:snapToGrid w:val="0"/>
                <w:sz w:val="18"/>
                <w:szCs w:val="18"/>
              </w:rPr>
              <w:t>1</w:t>
            </w:r>
          </w:p>
        </w:tc>
        <w:tc>
          <w:tcPr>
            <w:tcW w:w="1320"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45.579 </w:t>
            </w:r>
          </w:p>
        </w:tc>
        <w:tc>
          <w:tcPr>
            <w:tcW w:w="1430"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45.579 </w:t>
            </w:r>
          </w:p>
        </w:tc>
        <w:tc>
          <w:tcPr>
            <w:tcW w:w="1388"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91.158 </w:t>
            </w:r>
          </w:p>
        </w:tc>
      </w:tr>
      <w:tr w:rsidR="00383888" w:rsidRPr="000615AB" w:rsidTr="00B47699">
        <w:tc>
          <w:tcPr>
            <w:tcW w:w="3055" w:type="dxa"/>
            <w:shd w:val="clear" w:color="auto" w:fill="auto"/>
          </w:tcPr>
          <w:p w:rsidR="00383888" w:rsidRPr="000615AB" w:rsidRDefault="00383888" w:rsidP="00B47699">
            <w:pPr>
              <w:rPr>
                <w:snapToGrid w:val="0"/>
                <w:sz w:val="18"/>
                <w:szCs w:val="18"/>
              </w:rPr>
            </w:pPr>
            <w:r w:rsidRPr="000615AB">
              <w:rPr>
                <w:snapToGrid w:val="0"/>
                <w:sz w:val="18"/>
                <w:szCs w:val="18"/>
              </w:rPr>
              <w:t>Mongolia</w:t>
            </w:r>
          </w:p>
        </w:tc>
        <w:tc>
          <w:tcPr>
            <w:tcW w:w="1125" w:type="dxa"/>
            <w:shd w:val="clear" w:color="auto" w:fill="auto"/>
          </w:tcPr>
          <w:p w:rsidR="00383888" w:rsidRPr="000615AB" w:rsidRDefault="00383888" w:rsidP="00B47699">
            <w:pPr>
              <w:jc w:val="center"/>
              <w:rPr>
                <w:i/>
                <w:snapToGrid w:val="0"/>
                <w:sz w:val="18"/>
                <w:szCs w:val="18"/>
              </w:rPr>
            </w:pPr>
            <w:r w:rsidRPr="000615AB">
              <w:rPr>
                <w:snapToGrid w:val="0"/>
                <w:sz w:val="18"/>
                <w:szCs w:val="18"/>
              </w:rPr>
              <w:t>S</w:t>
            </w:r>
            <w:r w:rsidRPr="000615AB">
              <w:rPr>
                <w:i/>
                <w:snapToGrid w:val="0"/>
                <w:sz w:val="18"/>
                <w:szCs w:val="18"/>
              </w:rPr>
              <w:t>bis</w:t>
            </w:r>
          </w:p>
        </w:tc>
        <w:tc>
          <w:tcPr>
            <w:tcW w:w="1210" w:type="dxa"/>
            <w:shd w:val="clear" w:color="auto" w:fill="auto"/>
          </w:tcPr>
          <w:p w:rsidR="00383888" w:rsidRPr="000615AB" w:rsidRDefault="00383888" w:rsidP="00B47699">
            <w:pPr>
              <w:jc w:val="right"/>
              <w:rPr>
                <w:snapToGrid w:val="0"/>
                <w:sz w:val="18"/>
                <w:szCs w:val="18"/>
              </w:rPr>
            </w:pPr>
            <w:r w:rsidRPr="000615AB">
              <w:rPr>
                <w:snapToGrid w:val="0"/>
                <w:sz w:val="18"/>
                <w:szCs w:val="18"/>
              </w:rPr>
              <w:t>0,0625</w:t>
            </w:r>
          </w:p>
        </w:tc>
        <w:tc>
          <w:tcPr>
            <w:tcW w:w="1320" w:type="dxa"/>
            <w:shd w:val="clear"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2.849 </w:t>
            </w:r>
          </w:p>
        </w:tc>
        <w:tc>
          <w:tcPr>
            <w:tcW w:w="1430" w:type="dxa"/>
            <w:shd w:val="clear"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2.849 </w:t>
            </w:r>
          </w:p>
        </w:tc>
        <w:tc>
          <w:tcPr>
            <w:tcW w:w="1388" w:type="dxa"/>
            <w:shd w:val="clear"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5.698 </w:t>
            </w:r>
          </w:p>
        </w:tc>
      </w:tr>
      <w:tr w:rsidR="00383888" w:rsidRPr="000615AB" w:rsidTr="00B47699">
        <w:tc>
          <w:tcPr>
            <w:tcW w:w="3055" w:type="dxa"/>
            <w:shd w:val="pct15" w:color="auto" w:fill="auto"/>
          </w:tcPr>
          <w:p w:rsidR="00383888" w:rsidRPr="000615AB" w:rsidRDefault="00383888" w:rsidP="00B47699">
            <w:pPr>
              <w:rPr>
                <w:snapToGrid w:val="0"/>
                <w:sz w:val="18"/>
                <w:szCs w:val="18"/>
              </w:rPr>
            </w:pPr>
            <w:r w:rsidRPr="000615AB">
              <w:rPr>
                <w:snapToGrid w:val="0"/>
                <w:sz w:val="18"/>
                <w:szCs w:val="18"/>
              </w:rPr>
              <w:t>Montenegro</w:t>
            </w:r>
          </w:p>
        </w:tc>
        <w:tc>
          <w:tcPr>
            <w:tcW w:w="1125" w:type="dxa"/>
            <w:shd w:val="pct15" w:color="auto" w:fill="auto"/>
          </w:tcPr>
          <w:p w:rsidR="00383888" w:rsidRPr="000615AB" w:rsidRDefault="00383888" w:rsidP="00B47699">
            <w:pPr>
              <w:jc w:val="center"/>
              <w:rPr>
                <w:snapToGrid w:val="0"/>
                <w:sz w:val="18"/>
                <w:szCs w:val="18"/>
              </w:rPr>
            </w:pPr>
            <w:r w:rsidRPr="000615AB">
              <w:rPr>
                <w:snapToGrid w:val="0"/>
                <w:sz w:val="18"/>
                <w:szCs w:val="18"/>
              </w:rPr>
              <w:t>IX</w:t>
            </w:r>
          </w:p>
        </w:tc>
        <w:tc>
          <w:tcPr>
            <w:tcW w:w="1210" w:type="dxa"/>
            <w:shd w:val="pct15" w:color="auto" w:fill="auto"/>
          </w:tcPr>
          <w:p w:rsidR="00383888" w:rsidRPr="000615AB" w:rsidRDefault="00383888" w:rsidP="00B47699">
            <w:pPr>
              <w:jc w:val="right"/>
              <w:rPr>
                <w:snapToGrid w:val="0"/>
                <w:sz w:val="18"/>
                <w:szCs w:val="18"/>
              </w:rPr>
            </w:pPr>
            <w:r w:rsidRPr="000615AB">
              <w:rPr>
                <w:snapToGrid w:val="0"/>
                <w:sz w:val="18"/>
                <w:szCs w:val="18"/>
              </w:rPr>
              <w:t>0,25</w:t>
            </w:r>
          </w:p>
        </w:tc>
        <w:tc>
          <w:tcPr>
            <w:tcW w:w="1320" w:type="dxa"/>
            <w:shd w:val="pct15" w:color="auto" w:fill="auto"/>
          </w:tcPr>
          <w:p w:rsidR="00383888" w:rsidRPr="000615AB" w:rsidRDefault="00383888" w:rsidP="00B47699">
            <w:pPr>
              <w:jc w:val="right"/>
              <w:rPr>
                <w:snapToGrid w:val="0"/>
                <w:sz w:val="18"/>
                <w:szCs w:val="18"/>
              </w:rPr>
            </w:pPr>
            <w:r w:rsidRPr="000615AB">
              <w:rPr>
                <w:snapToGrid w:val="0"/>
                <w:sz w:val="18"/>
                <w:szCs w:val="18"/>
              </w:rPr>
              <w:t>11.395</w:t>
            </w:r>
          </w:p>
        </w:tc>
        <w:tc>
          <w:tcPr>
            <w:tcW w:w="1430" w:type="dxa"/>
            <w:shd w:val="pct15" w:color="auto" w:fill="auto"/>
          </w:tcPr>
          <w:p w:rsidR="00383888" w:rsidRPr="000615AB" w:rsidRDefault="00383888" w:rsidP="00B47699">
            <w:pPr>
              <w:jc w:val="right"/>
              <w:rPr>
                <w:snapToGrid w:val="0"/>
                <w:sz w:val="18"/>
                <w:szCs w:val="18"/>
              </w:rPr>
            </w:pPr>
            <w:r w:rsidRPr="000615AB">
              <w:rPr>
                <w:snapToGrid w:val="0"/>
                <w:sz w:val="18"/>
                <w:szCs w:val="18"/>
              </w:rPr>
              <w:t>11.395</w:t>
            </w:r>
          </w:p>
        </w:tc>
        <w:tc>
          <w:tcPr>
            <w:tcW w:w="1388" w:type="dxa"/>
            <w:shd w:val="pct15" w:color="auto" w:fill="auto"/>
          </w:tcPr>
          <w:p w:rsidR="00383888" w:rsidRPr="000615AB" w:rsidRDefault="00383888" w:rsidP="00B47699">
            <w:pPr>
              <w:jc w:val="right"/>
              <w:rPr>
                <w:snapToGrid w:val="0"/>
                <w:sz w:val="18"/>
                <w:szCs w:val="18"/>
              </w:rPr>
            </w:pPr>
            <w:r w:rsidRPr="000615AB">
              <w:rPr>
                <w:snapToGrid w:val="0"/>
                <w:sz w:val="18"/>
                <w:szCs w:val="18"/>
              </w:rPr>
              <w:t>22.790</w:t>
            </w:r>
          </w:p>
        </w:tc>
      </w:tr>
      <w:tr w:rsidR="00383888" w:rsidRPr="000615AB" w:rsidTr="00B47699">
        <w:tc>
          <w:tcPr>
            <w:tcW w:w="3055" w:type="dxa"/>
            <w:shd w:val="clear" w:color="auto" w:fill="auto"/>
          </w:tcPr>
          <w:p w:rsidR="00383888" w:rsidRPr="000615AB" w:rsidRDefault="00383888" w:rsidP="00B47699">
            <w:pPr>
              <w:rPr>
                <w:snapToGrid w:val="0"/>
                <w:sz w:val="18"/>
                <w:szCs w:val="18"/>
                <w:vertAlign w:val="superscript"/>
              </w:rPr>
            </w:pPr>
            <w:r w:rsidRPr="000615AB">
              <w:rPr>
                <w:snapToGrid w:val="0"/>
                <w:sz w:val="18"/>
                <w:szCs w:val="18"/>
              </w:rPr>
              <w:t>Mozambique</w:t>
            </w:r>
            <w:r w:rsidRPr="000615AB">
              <w:rPr>
                <w:snapToGrid w:val="0"/>
                <w:sz w:val="18"/>
                <w:szCs w:val="18"/>
                <w:vertAlign w:val="superscript"/>
              </w:rPr>
              <w:t xml:space="preserve"> </w:t>
            </w:r>
          </w:p>
        </w:tc>
        <w:tc>
          <w:tcPr>
            <w:tcW w:w="1125" w:type="dxa"/>
            <w:shd w:val="clear" w:color="auto" w:fill="auto"/>
          </w:tcPr>
          <w:p w:rsidR="00383888" w:rsidRPr="000615AB" w:rsidRDefault="00383888" w:rsidP="00B47699">
            <w:pPr>
              <w:jc w:val="center"/>
              <w:rPr>
                <w:i/>
                <w:snapToGrid w:val="0"/>
                <w:sz w:val="18"/>
                <w:szCs w:val="18"/>
              </w:rPr>
            </w:pPr>
            <w:r w:rsidRPr="000615AB">
              <w:rPr>
                <w:snapToGrid w:val="0"/>
                <w:sz w:val="18"/>
                <w:szCs w:val="18"/>
              </w:rPr>
              <w:t>S</w:t>
            </w:r>
            <w:r w:rsidRPr="000615AB">
              <w:rPr>
                <w:i/>
                <w:snapToGrid w:val="0"/>
                <w:sz w:val="18"/>
                <w:szCs w:val="18"/>
              </w:rPr>
              <w:t>ter</w:t>
            </w:r>
          </w:p>
        </w:tc>
        <w:tc>
          <w:tcPr>
            <w:tcW w:w="1210" w:type="dxa"/>
            <w:shd w:val="clear" w:color="auto" w:fill="auto"/>
          </w:tcPr>
          <w:p w:rsidR="00383888" w:rsidRPr="000615AB" w:rsidRDefault="00383888" w:rsidP="00B47699">
            <w:pPr>
              <w:jc w:val="right"/>
              <w:rPr>
                <w:snapToGrid w:val="0"/>
                <w:sz w:val="18"/>
                <w:szCs w:val="18"/>
              </w:rPr>
            </w:pPr>
            <w:r w:rsidRPr="000615AB">
              <w:rPr>
                <w:snapToGrid w:val="0"/>
                <w:sz w:val="18"/>
                <w:szCs w:val="18"/>
              </w:rPr>
              <w:t>0,03125</w:t>
            </w:r>
          </w:p>
        </w:tc>
        <w:tc>
          <w:tcPr>
            <w:tcW w:w="1320" w:type="dxa"/>
            <w:shd w:val="clear"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1.424 </w:t>
            </w:r>
          </w:p>
        </w:tc>
        <w:tc>
          <w:tcPr>
            <w:tcW w:w="1430" w:type="dxa"/>
            <w:shd w:val="clear"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1.424 </w:t>
            </w:r>
          </w:p>
        </w:tc>
        <w:tc>
          <w:tcPr>
            <w:tcW w:w="1388" w:type="dxa"/>
            <w:shd w:val="clear"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2.848 </w:t>
            </w:r>
          </w:p>
        </w:tc>
      </w:tr>
      <w:tr w:rsidR="00383888" w:rsidRPr="000615AB" w:rsidTr="00B47699">
        <w:tc>
          <w:tcPr>
            <w:tcW w:w="3055" w:type="dxa"/>
            <w:shd w:val="pct15" w:color="auto" w:fill="auto"/>
          </w:tcPr>
          <w:p w:rsidR="00383888" w:rsidRPr="000615AB" w:rsidRDefault="00383888" w:rsidP="00B47699">
            <w:pPr>
              <w:rPr>
                <w:snapToGrid w:val="0"/>
                <w:sz w:val="18"/>
                <w:szCs w:val="18"/>
                <w:vertAlign w:val="superscript"/>
              </w:rPr>
            </w:pPr>
            <w:r w:rsidRPr="000615AB">
              <w:rPr>
                <w:snapToGrid w:val="0"/>
                <w:sz w:val="18"/>
                <w:szCs w:val="18"/>
              </w:rPr>
              <w:t xml:space="preserve">Myanmar </w:t>
            </w:r>
            <w:r w:rsidRPr="000615AB">
              <w:rPr>
                <w:snapToGrid w:val="0"/>
                <w:sz w:val="18"/>
                <w:szCs w:val="18"/>
                <w:vertAlign w:val="superscript"/>
              </w:rPr>
              <w:t>2</w:t>
            </w:r>
          </w:p>
        </w:tc>
        <w:tc>
          <w:tcPr>
            <w:tcW w:w="1125" w:type="dxa"/>
            <w:shd w:val="pct15" w:color="auto" w:fill="auto"/>
          </w:tcPr>
          <w:p w:rsidR="00383888" w:rsidRPr="000615AB" w:rsidRDefault="00383888" w:rsidP="00B47699">
            <w:pPr>
              <w:jc w:val="center"/>
              <w:rPr>
                <w:i/>
                <w:snapToGrid w:val="0"/>
                <w:sz w:val="18"/>
                <w:szCs w:val="18"/>
              </w:rPr>
            </w:pPr>
            <w:r w:rsidRPr="000615AB">
              <w:rPr>
                <w:snapToGrid w:val="0"/>
                <w:sz w:val="18"/>
                <w:szCs w:val="18"/>
              </w:rPr>
              <w:t>S</w:t>
            </w:r>
            <w:r w:rsidRPr="000615AB">
              <w:rPr>
                <w:i/>
                <w:snapToGrid w:val="0"/>
                <w:sz w:val="18"/>
                <w:szCs w:val="18"/>
              </w:rPr>
              <w:t>ter</w:t>
            </w:r>
          </w:p>
        </w:tc>
        <w:tc>
          <w:tcPr>
            <w:tcW w:w="1210" w:type="dxa"/>
            <w:shd w:val="pct15" w:color="auto" w:fill="auto"/>
          </w:tcPr>
          <w:p w:rsidR="00383888" w:rsidRPr="000615AB" w:rsidRDefault="00383888" w:rsidP="00B47699">
            <w:pPr>
              <w:jc w:val="right"/>
              <w:rPr>
                <w:snapToGrid w:val="0"/>
                <w:sz w:val="18"/>
                <w:szCs w:val="18"/>
              </w:rPr>
            </w:pPr>
            <w:r w:rsidRPr="000615AB">
              <w:rPr>
                <w:snapToGrid w:val="0"/>
                <w:sz w:val="18"/>
                <w:szCs w:val="18"/>
              </w:rPr>
              <w:t>0,03125</w:t>
            </w:r>
          </w:p>
        </w:tc>
        <w:tc>
          <w:tcPr>
            <w:tcW w:w="1320"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1.424 </w:t>
            </w:r>
          </w:p>
        </w:tc>
        <w:tc>
          <w:tcPr>
            <w:tcW w:w="1430"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1.424 </w:t>
            </w:r>
          </w:p>
        </w:tc>
        <w:tc>
          <w:tcPr>
            <w:tcW w:w="1388"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2.848 </w:t>
            </w:r>
          </w:p>
        </w:tc>
      </w:tr>
      <w:tr w:rsidR="00383888" w:rsidRPr="000615AB" w:rsidTr="00B47699">
        <w:tc>
          <w:tcPr>
            <w:tcW w:w="3055" w:type="dxa"/>
            <w:shd w:val="clear" w:color="auto" w:fill="auto"/>
          </w:tcPr>
          <w:p w:rsidR="00383888" w:rsidRPr="000615AB" w:rsidRDefault="00383888" w:rsidP="00B47699">
            <w:pPr>
              <w:rPr>
                <w:snapToGrid w:val="0"/>
                <w:sz w:val="18"/>
                <w:szCs w:val="18"/>
              </w:rPr>
            </w:pPr>
            <w:r w:rsidRPr="000615AB">
              <w:rPr>
                <w:b/>
                <w:snapToGrid w:val="0"/>
                <w:sz w:val="18"/>
                <w:szCs w:val="18"/>
              </w:rPr>
              <w:lastRenderedPageBreak/>
              <w:t>N</w:t>
            </w:r>
            <w:r w:rsidRPr="000615AB">
              <w:rPr>
                <w:snapToGrid w:val="0"/>
                <w:sz w:val="18"/>
                <w:szCs w:val="18"/>
              </w:rPr>
              <w:t>amibia</w:t>
            </w:r>
          </w:p>
        </w:tc>
        <w:tc>
          <w:tcPr>
            <w:tcW w:w="1125" w:type="dxa"/>
            <w:shd w:val="clear" w:color="auto" w:fill="auto"/>
          </w:tcPr>
          <w:p w:rsidR="00383888" w:rsidRPr="000615AB" w:rsidRDefault="00383888" w:rsidP="00B47699">
            <w:pPr>
              <w:jc w:val="center"/>
              <w:rPr>
                <w:i/>
                <w:snapToGrid w:val="0"/>
                <w:sz w:val="18"/>
                <w:szCs w:val="18"/>
              </w:rPr>
            </w:pPr>
            <w:r w:rsidRPr="000615AB">
              <w:rPr>
                <w:snapToGrid w:val="0"/>
                <w:sz w:val="18"/>
                <w:szCs w:val="18"/>
              </w:rPr>
              <w:t>S</w:t>
            </w:r>
            <w:r w:rsidRPr="000615AB">
              <w:rPr>
                <w:i/>
                <w:snapToGrid w:val="0"/>
                <w:sz w:val="18"/>
                <w:szCs w:val="18"/>
              </w:rPr>
              <w:t>bis</w:t>
            </w:r>
          </w:p>
        </w:tc>
        <w:tc>
          <w:tcPr>
            <w:tcW w:w="1210" w:type="dxa"/>
            <w:shd w:val="clear" w:color="auto" w:fill="auto"/>
          </w:tcPr>
          <w:p w:rsidR="00383888" w:rsidRPr="000615AB" w:rsidRDefault="00383888" w:rsidP="00B47699">
            <w:pPr>
              <w:jc w:val="right"/>
              <w:rPr>
                <w:snapToGrid w:val="0"/>
                <w:sz w:val="18"/>
                <w:szCs w:val="18"/>
              </w:rPr>
            </w:pPr>
            <w:r w:rsidRPr="000615AB">
              <w:rPr>
                <w:snapToGrid w:val="0"/>
                <w:sz w:val="18"/>
                <w:szCs w:val="18"/>
              </w:rPr>
              <w:t>0,0625</w:t>
            </w:r>
          </w:p>
        </w:tc>
        <w:tc>
          <w:tcPr>
            <w:tcW w:w="1320" w:type="dxa"/>
            <w:shd w:val="clear"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2.849 </w:t>
            </w:r>
          </w:p>
        </w:tc>
        <w:tc>
          <w:tcPr>
            <w:tcW w:w="1430" w:type="dxa"/>
            <w:shd w:val="clear"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2.849 </w:t>
            </w:r>
          </w:p>
        </w:tc>
        <w:tc>
          <w:tcPr>
            <w:tcW w:w="1388" w:type="dxa"/>
            <w:shd w:val="clear"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5.698 </w:t>
            </w:r>
          </w:p>
        </w:tc>
      </w:tr>
      <w:tr w:rsidR="00383888" w:rsidRPr="000615AB" w:rsidTr="00B47699">
        <w:tc>
          <w:tcPr>
            <w:tcW w:w="3055" w:type="dxa"/>
            <w:shd w:val="pct15" w:color="auto" w:fill="auto"/>
          </w:tcPr>
          <w:p w:rsidR="00383888" w:rsidRPr="000615AB" w:rsidRDefault="00383888" w:rsidP="00B47699">
            <w:pPr>
              <w:rPr>
                <w:snapToGrid w:val="0"/>
                <w:sz w:val="18"/>
                <w:szCs w:val="18"/>
                <w:vertAlign w:val="superscript"/>
              </w:rPr>
            </w:pPr>
            <w:r w:rsidRPr="000615AB">
              <w:rPr>
                <w:snapToGrid w:val="0"/>
                <w:sz w:val="18"/>
                <w:szCs w:val="18"/>
              </w:rPr>
              <w:t xml:space="preserve">Nepal </w:t>
            </w:r>
          </w:p>
        </w:tc>
        <w:tc>
          <w:tcPr>
            <w:tcW w:w="1125" w:type="dxa"/>
            <w:shd w:val="pct15" w:color="auto" w:fill="auto"/>
          </w:tcPr>
          <w:p w:rsidR="00383888" w:rsidRPr="000615AB" w:rsidRDefault="00383888" w:rsidP="00B47699">
            <w:pPr>
              <w:jc w:val="center"/>
              <w:rPr>
                <w:i/>
                <w:snapToGrid w:val="0"/>
                <w:sz w:val="18"/>
                <w:szCs w:val="18"/>
              </w:rPr>
            </w:pPr>
            <w:r w:rsidRPr="000615AB">
              <w:rPr>
                <w:snapToGrid w:val="0"/>
                <w:sz w:val="18"/>
                <w:szCs w:val="18"/>
              </w:rPr>
              <w:t>S</w:t>
            </w:r>
            <w:r w:rsidRPr="000615AB">
              <w:rPr>
                <w:i/>
                <w:snapToGrid w:val="0"/>
                <w:sz w:val="18"/>
                <w:szCs w:val="18"/>
              </w:rPr>
              <w:t>ter</w:t>
            </w:r>
          </w:p>
        </w:tc>
        <w:tc>
          <w:tcPr>
            <w:tcW w:w="1210" w:type="dxa"/>
            <w:shd w:val="pct15" w:color="auto" w:fill="auto"/>
          </w:tcPr>
          <w:p w:rsidR="00383888" w:rsidRPr="000615AB" w:rsidRDefault="00383888" w:rsidP="00B47699">
            <w:pPr>
              <w:jc w:val="right"/>
              <w:rPr>
                <w:snapToGrid w:val="0"/>
                <w:sz w:val="18"/>
                <w:szCs w:val="18"/>
              </w:rPr>
            </w:pPr>
            <w:r w:rsidRPr="000615AB">
              <w:rPr>
                <w:snapToGrid w:val="0"/>
                <w:sz w:val="18"/>
                <w:szCs w:val="18"/>
              </w:rPr>
              <w:t>0,03125</w:t>
            </w:r>
          </w:p>
        </w:tc>
        <w:tc>
          <w:tcPr>
            <w:tcW w:w="1320"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1.424 </w:t>
            </w:r>
          </w:p>
        </w:tc>
        <w:tc>
          <w:tcPr>
            <w:tcW w:w="1430"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1.424 </w:t>
            </w:r>
          </w:p>
        </w:tc>
        <w:tc>
          <w:tcPr>
            <w:tcW w:w="1388"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2.848 </w:t>
            </w:r>
          </w:p>
        </w:tc>
      </w:tr>
      <w:tr w:rsidR="00383888" w:rsidRPr="000615AB" w:rsidTr="00B47699">
        <w:tc>
          <w:tcPr>
            <w:tcW w:w="3055" w:type="dxa"/>
            <w:shd w:val="clear" w:color="auto" w:fill="auto"/>
          </w:tcPr>
          <w:p w:rsidR="00383888" w:rsidRPr="000615AB" w:rsidRDefault="00383888" w:rsidP="00B47699">
            <w:pPr>
              <w:rPr>
                <w:snapToGrid w:val="0"/>
                <w:sz w:val="18"/>
                <w:szCs w:val="18"/>
              </w:rPr>
            </w:pPr>
            <w:r w:rsidRPr="000615AB">
              <w:rPr>
                <w:snapToGrid w:val="0"/>
                <w:sz w:val="18"/>
                <w:szCs w:val="18"/>
              </w:rPr>
              <w:t>Nicaragua</w:t>
            </w:r>
          </w:p>
        </w:tc>
        <w:tc>
          <w:tcPr>
            <w:tcW w:w="1125" w:type="dxa"/>
            <w:shd w:val="clear" w:color="auto" w:fill="auto"/>
          </w:tcPr>
          <w:p w:rsidR="00383888" w:rsidRPr="000615AB" w:rsidRDefault="00383888" w:rsidP="00B47699">
            <w:pPr>
              <w:jc w:val="center"/>
              <w:rPr>
                <w:i/>
                <w:snapToGrid w:val="0"/>
                <w:sz w:val="18"/>
                <w:szCs w:val="18"/>
              </w:rPr>
            </w:pPr>
            <w:r w:rsidRPr="000615AB">
              <w:rPr>
                <w:snapToGrid w:val="0"/>
                <w:sz w:val="18"/>
                <w:szCs w:val="18"/>
              </w:rPr>
              <w:t>S</w:t>
            </w:r>
            <w:r w:rsidRPr="000615AB">
              <w:rPr>
                <w:i/>
                <w:snapToGrid w:val="0"/>
                <w:sz w:val="18"/>
                <w:szCs w:val="18"/>
              </w:rPr>
              <w:t>bis</w:t>
            </w:r>
          </w:p>
        </w:tc>
        <w:tc>
          <w:tcPr>
            <w:tcW w:w="1210" w:type="dxa"/>
            <w:shd w:val="clear" w:color="auto" w:fill="auto"/>
          </w:tcPr>
          <w:p w:rsidR="00383888" w:rsidRPr="000615AB" w:rsidRDefault="00383888" w:rsidP="00B47699">
            <w:pPr>
              <w:jc w:val="right"/>
              <w:rPr>
                <w:snapToGrid w:val="0"/>
                <w:sz w:val="18"/>
                <w:szCs w:val="18"/>
              </w:rPr>
            </w:pPr>
            <w:r w:rsidRPr="000615AB">
              <w:rPr>
                <w:snapToGrid w:val="0"/>
                <w:sz w:val="18"/>
                <w:szCs w:val="18"/>
              </w:rPr>
              <w:t>0,0625</w:t>
            </w:r>
          </w:p>
        </w:tc>
        <w:tc>
          <w:tcPr>
            <w:tcW w:w="1320" w:type="dxa"/>
            <w:shd w:val="clear"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2.849 </w:t>
            </w:r>
          </w:p>
        </w:tc>
        <w:tc>
          <w:tcPr>
            <w:tcW w:w="1430" w:type="dxa"/>
            <w:shd w:val="clear"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2.849 </w:t>
            </w:r>
          </w:p>
        </w:tc>
        <w:tc>
          <w:tcPr>
            <w:tcW w:w="1388" w:type="dxa"/>
            <w:shd w:val="clear"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5.698 </w:t>
            </w:r>
          </w:p>
        </w:tc>
      </w:tr>
      <w:tr w:rsidR="00383888" w:rsidRPr="000615AB" w:rsidTr="00B47699">
        <w:tc>
          <w:tcPr>
            <w:tcW w:w="3055" w:type="dxa"/>
            <w:shd w:val="pct15" w:color="auto" w:fill="auto"/>
          </w:tcPr>
          <w:p w:rsidR="00383888" w:rsidRPr="000615AB" w:rsidRDefault="00383888" w:rsidP="00B47699">
            <w:pPr>
              <w:rPr>
                <w:snapToGrid w:val="0"/>
                <w:sz w:val="18"/>
                <w:szCs w:val="18"/>
              </w:rPr>
            </w:pPr>
            <w:r w:rsidRPr="000615AB">
              <w:rPr>
                <w:snapToGrid w:val="0"/>
                <w:sz w:val="18"/>
                <w:szCs w:val="18"/>
              </w:rPr>
              <w:t xml:space="preserve">Níger </w:t>
            </w:r>
          </w:p>
        </w:tc>
        <w:tc>
          <w:tcPr>
            <w:tcW w:w="1125" w:type="dxa"/>
            <w:shd w:val="pct15" w:color="auto" w:fill="auto"/>
          </w:tcPr>
          <w:p w:rsidR="00383888" w:rsidRPr="000615AB" w:rsidRDefault="00383888" w:rsidP="00B47699">
            <w:pPr>
              <w:jc w:val="center"/>
              <w:rPr>
                <w:i/>
                <w:snapToGrid w:val="0"/>
                <w:sz w:val="18"/>
                <w:szCs w:val="18"/>
              </w:rPr>
            </w:pPr>
            <w:r w:rsidRPr="000615AB">
              <w:rPr>
                <w:snapToGrid w:val="0"/>
                <w:sz w:val="18"/>
                <w:szCs w:val="18"/>
              </w:rPr>
              <w:t>S</w:t>
            </w:r>
            <w:r w:rsidRPr="000615AB">
              <w:rPr>
                <w:i/>
                <w:snapToGrid w:val="0"/>
                <w:sz w:val="18"/>
                <w:szCs w:val="18"/>
              </w:rPr>
              <w:t>ter</w:t>
            </w:r>
          </w:p>
        </w:tc>
        <w:tc>
          <w:tcPr>
            <w:tcW w:w="1210" w:type="dxa"/>
            <w:shd w:val="pct15" w:color="auto" w:fill="auto"/>
          </w:tcPr>
          <w:p w:rsidR="00383888" w:rsidRPr="000615AB" w:rsidRDefault="00383888" w:rsidP="00B47699">
            <w:pPr>
              <w:jc w:val="right"/>
              <w:rPr>
                <w:snapToGrid w:val="0"/>
                <w:sz w:val="18"/>
                <w:szCs w:val="18"/>
              </w:rPr>
            </w:pPr>
            <w:r w:rsidRPr="000615AB">
              <w:rPr>
                <w:snapToGrid w:val="0"/>
                <w:sz w:val="18"/>
                <w:szCs w:val="18"/>
              </w:rPr>
              <w:t>0,03125</w:t>
            </w:r>
          </w:p>
        </w:tc>
        <w:tc>
          <w:tcPr>
            <w:tcW w:w="1320"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1.424 </w:t>
            </w:r>
          </w:p>
        </w:tc>
        <w:tc>
          <w:tcPr>
            <w:tcW w:w="1430"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1.424 </w:t>
            </w:r>
          </w:p>
        </w:tc>
        <w:tc>
          <w:tcPr>
            <w:tcW w:w="1388"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2.848 </w:t>
            </w:r>
          </w:p>
        </w:tc>
      </w:tr>
      <w:tr w:rsidR="00383888" w:rsidRPr="000615AB" w:rsidTr="00B47699">
        <w:tc>
          <w:tcPr>
            <w:tcW w:w="3055" w:type="dxa"/>
            <w:shd w:val="clear" w:color="auto" w:fill="auto"/>
          </w:tcPr>
          <w:p w:rsidR="00383888" w:rsidRPr="000615AB" w:rsidRDefault="00383888" w:rsidP="00B47699">
            <w:pPr>
              <w:rPr>
                <w:snapToGrid w:val="0"/>
                <w:sz w:val="18"/>
                <w:szCs w:val="18"/>
              </w:rPr>
            </w:pPr>
            <w:r w:rsidRPr="000615AB">
              <w:rPr>
                <w:snapToGrid w:val="0"/>
                <w:sz w:val="18"/>
                <w:szCs w:val="18"/>
              </w:rPr>
              <w:t>Nigeria</w:t>
            </w:r>
          </w:p>
        </w:tc>
        <w:tc>
          <w:tcPr>
            <w:tcW w:w="1125" w:type="dxa"/>
            <w:shd w:val="clear" w:color="auto" w:fill="auto"/>
          </w:tcPr>
          <w:p w:rsidR="00383888" w:rsidRPr="000615AB" w:rsidRDefault="00383888" w:rsidP="00B47699">
            <w:pPr>
              <w:jc w:val="center"/>
              <w:rPr>
                <w:snapToGrid w:val="0"/>
                <w:sz w:val="18"/>
                <w:szCs w:val="18"/>
              </w:rPr>
            </w:pPr>
            <w:r w:rsidRPr="000615AB">
              <w:rPr>
                <w:snapToGrid w:val="0"/>
                <w:sz w:val="18"/>
                <w:szCs w:val="18"/>
              </w:rPr>
              <w:t>S</w:t>
            </w:r>
          </w:p>
        </w:tc>
        <w:tc>
          <w:tcPr>
            <w:tcW w:w="1210" w:type="dxa"/>
            <w:shd w:val="clear" w:color="auto" w:fill="auto"/>
          </w:tcPr>
          <w:p w:rsidR="00383888" w:rsidRPr="000615AB" w:rsidRDefault="00383888" w:rsidP="00B47699">
            <w:pPr>
              <w:jc w:val="right"/>
              <w:rPr>
                <w:snapToGrid w:val="0"/>
                <w:sz w:val="18"/>
                <w:szCs w:val="18"/>
              </w:rPr>
            </w:pPr>
            <w:r w:rsidRPr="000615AB">
              <w:rPr>
                <w:snapToGrid w:val="0"/>
                <w:sz w:val="18"/>
                <w:szCs w:val="18"/>
              </w:rPr>
              <w:t>0,125</w:t>
            </w:r>
          </w:p>
        </w:tc>
        <w:tc>
          <w:tcPr>
            <w:tcW w:w="1320" w:type="dxa"/>
            <w:shd w:val="clear"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5.697 </w:t>
            </w:r>
          </w:p>
        </w:tc>
        <w:tc>
          <w:tcPr>
            <w:tcW w:w="1430" w:type="dxa"/>
            <w:shd w:val="clear"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5.697 </w:t>
            </w:r>
          </w:p>
        </w:tc>
        <w:tc>
          <w:tcPr>
            <w:tcW w:w="1388" w:type="dxa"/>
            <w:shd w:val="clear"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11.394 </w:t>
            </w:r>
          </w:p>
        </w:tc>
      </w:tr>
      <w:tr w:rsidR="00383888" w:rsidRPr="000615AB" w:rsidTr="00B47699">
        <w:tc>
          <w:tcPr>
            <w:tcW w:w="3055" w:type="dxa"/>
            <w:shd w:val="pct15" w:color="auto" w:fill="auto"/>
          </w:tcPr>
          <w:p w:rsidR="00383888" w:rsidRPr="000615AB" w:rsidRDefault="00383888" w:rsidP="00B47699">
            <w:pPr>
              <w:rPr>
                <w:snapToGrid w:val="0"/>
                <w:sz w:val="18"/>
                <w:szCs w:val="18"/>
              </w:rPr>
            </w:pPr>
            <w:r w:rsidRPr="000615AB">
              <w:rPr>
                <w:snapToGrid w:val="0"/>
                <w:sz w:val="18"/>
                <w:szCs w:val="18"/>
              </w:rPr>
              <w:t>Noruega</w:t>
            </w:r>
          </w:p>
        </w:tc>
        <w:tc>
          <w:tcPr>
            <w:tcW w:w="1125" w:type="dxa"/>
            <w:shd w:val="pct15" w:color="auto" w:fill="auto"/>
          </w:tcPr>
          <w:p w:rsidR="00383888" w:rsidRPr="000615AB" w:rsidRDefault="00383888" w:rsidP="00B47699">
            <w:pPr>
              <w:jc w:val="center"/>
              <w:rPr>
                <w:snapToGrid w:val="0"/>
                <w:sz w:val="18"/>
                <w:szCs w:val="18"/>
              </w:rPr>
            </w:pPr>
            <w:r w:rsidRPr="000615AB">
              <w:rPr>
                <w:snapToGrid w:val="0"/>
                <w:sz w:val="18"/>
                <w:szCs w:val="18"/>
              </w:rPr>
              <w:t>IV</w:t>
            </w:r>
          </w:p>
        </w:tc>
        <w:tc>
          <w:tcPr>
            <w:tcW w:w="1210" w:type="dxa"/>
            <w:shd w:val="pct15" w:color="auto" w:fill="auto"/>
          </w:tcPr>
          <w:p w:rsidR="00383888" w:rsidRPr="000615AB" w:rsidRDefault="00383888" w:rsidP="00B47699">
            <w:pPr>
              <w:jc w:val="right"/>
              <w:rPr>
                <w:snapToGrid w:val="0"/>
                <w:sz w:val="18"/>
                <w:szCs w:val="18"/>
              </w:rPr>
            </w:pPr>
            <w:r w:rsidRPr="000615AB">
              <w:rPr>
                <w:snapToGrid w:val="0"/>
                <w:sz w:val="18"/>
                <w:szCs w:val="18"/>
              </w:rPr>
              <w:t>10</w:t>
            </w:r>
          </w:p>
        </w:tc>
        <w:tc>
          <w:tcPr>
            <w:tcW w:w="1320"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455.790 </w:t>
            </w:r>
          </w:p>
        </w:tc>
        <w:tc>
          <w:tcPr>
            <w:tcW w:w="1430"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455.790 </w:t>
            </w:r>
          </w:p>
        </w:tc>
        <w:tc>
          <w:tcPr>
            <w:tcW w:w="1388"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911.580 </w:t>
            </w:r>
          </w:p>
        </w:tc>
      </w:tr>
      <w:tr w:rsidR="00383888" w:rsidRPr="000615AB" w:rsidTr="00B47699">
        <w:tc>
          <w:tcPr>
            <w:tcW w:w="3055" w:type="dxa"/>
            <w:shd w:val="clear" w:color="auto" w:fill="auto"/>
          </w:tcPr>
          <w:p w:rsidR="00383888" w:rsidRPr="000615AB" w:rsidRDefault="00383888" w:rsidP="00B47699">
            <w:pPr>
              <w:rPr>
                <w:snapToGrid w:val="0"/>
                <w:sz w:val="18"/>
                <w:szCs w:val="18"/>
              </w:rPr>
            </w:pPr>
            <w:r w:rsidRPr="000615AB">
              <w:rPr>
                <w:snapToGrid w:val="0"/>
                <w:sz w:val="18"/>
                <w:szCs w:val="18"/>
              </w:rPr>
              <w:t>Nueva Zelandia</w:t>
            </w:r>
          </w:p>
        </w:tc>
        <w:tc>
          <w:tcPr>
            <w:tcW w:w="1125" w:type="dxa"/>
            <w:shd w:val="clear" w:color="auto" w:fill="auto"/>
          </w:tcPr>
          <w:p w:rsidR="00383888" w:rsidRPr="000615AB" w:rsidRDefault="00383888" w:rsidP="00B47699">
            <w:pPr>
              <w:jc w:val="center"/>
              <w:rPr>
                <w:snapToGrid w:val="0"/>
                <w:sz w:val="18"/>
                <w:szCs w:val="18"/>
              </w:rPr>
            </w:pPr>
            <w:r w:rsidRPr="000615AB">
              <w:rPr>
                <w:snapToGrid w:val="0"/>
                <w:sz w:val="18"/>
                <w:szCs w:val="18"/>
              </w:rPr>
              <w:t>VI</w:t>
            </w:r>
          </w:p>
        </w:tc>
        <w:tc>
          <w:tcPr>
            <w:tcW w:w="1210" w:type="dxa"/>
            <w:shd w:val="clear" w:color="auto" w:fill="auto"/>
          </w:tcPr>
          <w:p w:rsidR="00383888" w:rsidRPr="000615AB" w:rsidRDefault="00383888" w:rsidP="00B47699">
            <w:pPr>
              <w:jc w:val="right"/>
              <w:rPr>
                <w:snapToGrid w:val="0"/>
                <w:sz w:val="18"/>
                <w:szCs w:val="18"/>
              </w:rPr>
            </w:pPr>
            <w:r w:rsidRPr="000615AB">
              <w:rPr>
                <w:snapToGrid w:val="0"/>
                <w:sz w:val="18"/>
                <w:szCs w:val="18"/>
              </w:rPr>
              <w:t>3</w:t>
            </w:r>
          </w:p>
        </w:tc>
        <w:tc>
          <w:tcPr>
            <w:tcW w:w="1320" w:type="dxa"/>
            <w:shd w:val="clear"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136.737 </w:t>
            </w:r>
          </w:p>
        </w:tc>
        <w:tc>
          <w:tcPr>
            <w:tcW w:w="1430" w:type="dxa"/>
            <w:shd w:val="clear"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136.737 </w:t>
            </w:r>
          </w:p>
        </w:tc>
        <w:tc>
          <w:tcPr>
            <w:tcW w:w="1388" w:type="dxa"/>
            <w:shd w:val="clear"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273.474 </w:t>
            </w:r>
          </w:p>
        </w:tc>
      </w:tr>
      <w:tr w:rsidR="00383888" w:rsidRPr="000615AB" w:rsidTr="00B47699">
        <w:tc>
          <w:tcPr>
            <w:tcW w:w="3055" w:type="dxa"/>
            <w:shd w:val="pct15" w:color="auto" w:fill="auto"/>
          </w:tcPr>
          <w:p w:rsidR="00383888" w:rsidRPr="000615AB" w:rsidRDefault="00383888" w:rsidP="00B47699">
            <w:pPr>
              <w:rPr>
                <w:snapToGrid w:val="0"/>
                <w:sz w:val="18"/>
                <w:szCs w:val="18"/>
                <w:vertAlign w:val="superscript"/>
              </w:rPr>
            </w:pPr>
            <w:r w:rsidRPr="000615AB">
              <w:rPr>
                <w:b/>
                <w:snapToGrid w:val="0"/>
                <w:sz w:val="18"/>
                <w:szCs w:val="18"/>
              </w:rPr>
              <w:t>O</w:t>
            </w:r>
            <w:r w:rsidRPr="000615AB">
              <w:rPr>
                <w:snapToGrid w:val="0"/>
                <w:sz w:val="18"/>
                <w:szCs w:val="18"/>
              </w:rPr>
              <w:t>mán</w:t>
            </w:r>
            <w:r w:rsidRPr="000615AB">
              <w:rPr>
                <w:snapToGrid w:val="0"/>
                <w:sz w:val="18"/>
                <w:szCs w:val="18"/>
                <w:vertAlign w:val="superscript"/>
              </w:rPr>
              <w:t xml:space="preserve"> </w:t>
            </w:r>
          </w:p>
        </w:tc>
        <w:tc>
          <w:tcPr>
            <w:tcW w:w="1125" w:type="dxa"/>
            <w:shd w:val="pct15" w:color="auto" w:fill="auto"/>
          </w:tcPr>
          <w:p w:rsidR="00383888" w:rsidRPr="000615AB" w:rsidRDefault="00383888" w:rsidP="00B47699">
            <w:pPr>
              <w:jc w:val="center"/>
              <w:rPr>
                <w:snapToGrid w:val="0"/>
                <w:sz w:val="18"/>
                <w:szCs w:val="18"/>
              </w:rPr>
            </w:pPr>
            <w:r w:rsidRPr="000615AB">
              <w:rPr>
                <w:snapToGrid w:val="0"/>
                <w:sz w:val="18"/>
                <w:szCs w:val="18"/>
              </w:rPr>
              <w:t>IX</w:t>
            </w:r>
          </w:p>
        </w:tc>
        <w:tc>
          <w:tcPr>
            <w:tcW w:w="1210" w:type="dxa"/>
            <w:shd w:val="pct15" w:color="auto" w:fill="auto"/>
          </w:tcPr>
          <w:p w:rsidR="00383888" w:rsidRPr="000615AB" w:rsidRDefault="00383888" w:rsidP="00B47699">
            <w:pPr>
              <w:jc w:val="right"/>
              <w:rPr>
                <w:snapToGrid w:val="0"/>
                <w:sz w:val="18"/>
                <w:szCs w:val="18"/>
              </w:rPr>
            </w:pPr>
            <w:r w:rsidRPr="000615AB">
              <w:rPr>
                <w:snapToGrid w:val="0"/>
                <w:sz w:val="18"/>
                <w:szCs w:val="18"/>
              </w:rPr>
              <w:t>0,25</w:t>
            </w:r>
          </w:p>
        </w:tc>
        <w:tc>
          <w:tcPr>
            <w:tcW w:w="1320"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11.395 </w:t>
            </w:r>
          </w:p>
        </w:tc>
        <w:tc>
          <w:tcPr>
            <w:tcW w:w="1430"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11.395 </w:t>
            </w:r>
          </w:p>
        </w:tc>
        <w:tc>
          <w:tcPr>
            <w:tcW w:w="1388"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22.790 </w:t>
            </w:r>
          </w:p>
        </w:tc>
      </w:tr>
      <w:tr w:rsidR="00383888" w:rsidRPr="000615AB" w:rsidTr="00B47699">
        <w:tc>
          <w:tcPr>
            <w:tcW w:w="3055" w:type="dxa"/>
            <w:shd w:val="clear" w:color="auto" w:fill="auto"/>
          </w:tcPr>
          <w:p w:rsidR="00383888" w:rsidRPr="000615AB" w:rsidRDefault="00383888" w:rsidP="00B47699">
            <w:pPr>
              <w:rPr>
                <w:snapToGrid w:val="0"/>
                <w:sz w:val="18"/>
                <w:szCs w:val="18"/>
              </w:rPr>
            </w:pPr>
            <w:r w:rsidRPr="000615AB">
              <w:rPr>
                <w:b/>
                <w:snapToGrid w:val="0"/>
                <w:sz w:val="18"/>
                <w:szCs w:val="18"/>
              </w:rPr>
              <w:t>P</w:t>
            </w:r>
            <w:r w:rsidRPr="000615AB">
              <w:rPr>
                <w:snapToGrid w:val="0"/>
                <w:sz w:val="18"/>
                <w:szCs w:val="18"/>
              </w:rPr>
              <w:t>aíses Bajos</w:t>
            </w:r>
          </w:p>
        </w:tc>
        <w:tc>
          <w:tcPr>
            <w:tcW w:w="1125" w:type="dxa"/>
            <w:shd w:val="clear" w:color="auto" w:fill="auto"/>
          </w:tcPr>
          <w:p w:rsidR="00383888" w:rsidRPr="000615AB" w:rsidRDefault="00383888" w:rsidP="00B47699">
            <w:pPr>
              <w:jc w:val="center"/>
              <w:rPr>
                <w:snapToGrid w:val="0"/>
                <w:sz w:val="18"/>
                <w:szCs w:val="18"/>
              </w:rPr>
            </w:pPr>
            <w:r w:rsidRPr="000615AB">
              <w:rPr>
                <w:snapToGrid w:val="0"/>
                <w:sz w:val="18"/>
                <w:szCs w:val="18"/>
              </w:rPr>
              <w:t>III</w:t>
            </w:r>
          </w:p>
        </w:tc>
        <w:tc>
          <w:tcPr>
            <w:tcW w:w="1210" w:type="dxa"/>
            <w:shd w:val="clear" w:color="auto" w:fill="auto"/>
          </w:tcPr>
          <w:p w:rsidR="00383888" w:rsidRPr="000615AB" w:rsidRDefault="00383888" w:rsidP="00B47699">
            <w:pPr>
              <w:jc w:val="right"/>
              <w:rPr>
                <w:snapToGrid w:val="0"/>
                <w:sz w:val="18"/>
                <w:szCs w:val="18"/>
              </w:rPr>
            </w:pPr>
            <w:r w:rsidRPr="000615AB">
              <w:rPr>
                <w:snapToGrid w:val="0"/>
                <w:sz w:val="18"/>
                <w:szCs w:val="18"/>
              </w:rPr>
              <w:t>15</w:t>
            </w:r>
          </w:p>
        </w:tc>
        <w:tc>
          <w:tcPr>
            <w:tcW w:w="1320" w:type="dxa"/>
            <w:shd w:val="clear"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683.685 </w:t>
            </w:r>
          </w:p>
        </w:tc>
        <w:tc>
          <w:tcPr>
            <w:tcW w:w="1430" w:type="dxa"/>
            <w:shd w:val="clear"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683.685 </w:t>
            </w:r>
          </w:p>
        </w:tc>
        <w:tc>
          <w:tcPr>
            <w:tcW w:w="1388" w:type="dxa"/>
            <w:shd w:val="clear"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1.367.370 </w:t>
            </w:r>
          </w:p>
        </w:tc>
      </w:tr>
      <w:tr w:rsidR="00383888" w:rsidRPr="000615AB" w:rsidTr="00B47699">
        <w:tc>
          <w:tcPr>
            <w:tcW w:w="3055" w:type="dxa"/>
            <w:shd w:val="pct15" w:color="auto" w:fill="auto"/>
          </w:tcPr>
          <w:p w:rsidR="00383888" w:rsidRPr="000615AB" w:rsidRDefault="00383888" w:rsidP="00B47699">
            <w:pPr>
              <w:rPr>
                <w:snapToGrid w:val="0"/>
                <w:sz w:val="18"/>
                <w:szCs w:val="18"/>
              </w:rPr>
            </w:pPr>
            <w:r w:rsidRPr="000615AB">
              <w:rPr>
                <w:snapToGrid w:val="0"/>
                <w:sz w:val="18"/>
                <w:szCs w:val="18"/>
              </w:rPr>
              <w:t>Pakistán</w:t>
            </w:r>
          </w:p>
        </w:tc>
        <w:tc>
          <w:tcPr>
            <w:tcW w:w="1125" w:type="dxa"/>
            <w:shd w:val="pct15" w:color="auto" w:fill="auto"/>
          </w:tcPr>
          <w:p w:rsidR="00383888" w:rsidRPr="000615AB" w:rsidRDefault="00383888" w:rsidP="00B47699">
            <w:pPr>
              <w:jc w:val="center"/>
              <w:rPr>
                <w:snapToGrid w:val="0"/>
                <w:sz w:val="18"/>
                <w:szCs w:val="18"/>
              </w:rPr>
            </w:pPr>
            <w:r w:rsidRPr="000615AB">
              <w:rPr>
                <w:snapToGrid w:val="0"/>
                <w:sz w:val="18"/>
                <w:szCs w:val="18"/>
              </w:rPr>
              <w:t>S</w:t>
            </w:r>
          </w:p>
        </w:tc>
        <w:tc>
          <w:tcPr>
            <w:tcW w:w="1210" w:type="dxa"/>
            <w:shd w:val="pct15" w:color="auto" w:fill="auto"/>
          </w:tcPr>
          <w:p w:rsidR="00383888" w:rsidRPr="000615AB" w:rsidRDefault="00383888" w:rsidP="00B47699">
            <w:pPr>
              <w:jc w:val="right"/>
              <w:rPr>
                <w:snapToGrid w:val="0"/>
                <w:sz w:val="18"/>
                <w:szCs w:val="18"/>
              </w:rPr>
            </w:pPr>
            <w:r w:rsidRPr="000615AB">
              <w:rPr>
                <w:snapToGrid w:val="0"/>
                <w:sz w:val="18"/>
                <w:szCs w:val="18"/>
              </w:rPr>
              <w:t>0,125</w:t>
            </w:r>
          </w:p>
        </w:tc>
        <w:tc>
          <w:tcPr>
            <w:tcW w:w="1320"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5.697 </w:t>
            </w:r>
          </w:p>
        </w:tc>
        <w:tc>
          <w:tcPr>
            <w:tcW w:w="1430"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5.697 </w:t>
            </w:r>
          </w:p>
        </w:tc>
        <w:tc>
          <w:tcPr>
            <w:tcW w:w="1388"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11.394 </w:t>
            </w:r>
          </w:p>
        </w:tc>
      </w:tr>
      <w:tr w:rsidR="00383888" w:rsidRPr="000615AB" w:rsidTr="00B47699">
        <w:tc>
          <w:tcPr>
            <w:tcW w:w="3055" w:type="dxa"/>
            <w:shd w:val="clear" w:color="auto" w:fill="auto"/>
          </w:tcPr>
          <w:p w:rsidR="00383888" w:rsidRPr="000615AB" w:rsidRDefault="00383888" w:rsidP="00B47699">
            <w:pPr>
              <w:rPr>
                <w:snapToGrid w:val="0"/>
                <w:sz w:val="18"/>
                <w:szCs w:val="18"/>
              </w:rPr>
            </w:pPr>
            <w:r w:rsidRPr="000615AB">
              <w:rPr>
                <w:snapToGrid w:val="0"/>
                <w:sz w:val="18"/>
                <w:szCs w:val="18"/>
              </w:rPr>
              <w:t>Panamá</w:t>
            </w:r>
          </w:p>
        </w:tc>
        <w:tc>
          <w:tcPr>
            <w:tcW w:w="1125" w:type="dxa"/>
            <w:shd w:val="clear" w:color="auto" w:fill="auto"/>
          </w:tcPr>
          <w:p w:rsidR="00383888" w:rsidRPr="000615AB" w:rsidRDefault="00383888" w:rsidP="00B47699">
            <w:pPr>
              <w:jc w:val="center"/>
              <w:rPr>
                <w:i/>
                <w:snapToGrid w:val="0"/>
                <w:sz w:val="18"/>
                <w:szCs w:val="18"/>
              </w:rPr>
            </w:pPr>
            <w:r w:rsidRPr="000615AB">
              <w:rPr>
                <w:snapToGrid w:val="0"/>
                <w:sz w:val="18"/>
                <w:szCs w:val="18"/>
              </w:rPr>
              <w:t>S</w:t>
            </w:r>
          </w:p>
        </w:tc>
        <w:tc>
          <w:tcPr>
            <w:tcW w:w="1210" w:type="dxa"/>
            <w:shd w:val="clear" w:color="auto" w:fill="auto"/>
          </w:tcPr>
          <w:p w:rsidR="00383888" w:rsidRPr="000615AB" w:rsidRDefault="00383888" w:rsidP="00B47699">
            <w:pPr>
              <w:jc w:val="right"/>
              <w:rPr>
                <w:snapToGrid w:val="0"/>
                <w:sz w:val="18"/>
                <w:szCs w:val="18"/>
              </w:rPr>
            </w:pPr>
            <w:r w:rsidRPr="000615AB">
              <w:rPr>
                <w:snapToGrid w:val="0"/>
                <w:sz w:val="18"/>
                <w:szCs w:val="18"/>
              </w:rPr>
              <w:t>0,125</w:t>
            </w:r>
          </w:p>
        </w:tc>
        <w:tc>
          <w:tcPr>
            <w:tcW w:w="1320" w:type="dxa"/>
            <w:shd w:val="clear"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5.697 </w:t>
            </w:r>
          </w:p>
        </w:tc>
        <w:tc>
          <w:tcPr>
            <w:tcW w:w="1430" w:type="dxa"/>
            <w:shd w:val="clear"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5.697 </w:t>
            </w:r>
          </w:p>
        </w:tc>
        <w:tc>
          <w:tcPr>
            <w:tcW w:w="1388" w:type="dxa"/>
            <w:shd w:val="clear"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11.394 </w:t>
            </w:r>
          </w:p>
        </w:tc>
      </w:tr>
      <w:tr w:rsidR="00383888" w:rsidRPr="000615AB" w:rsidTr="00B47699">
        <w:tc>
          <w:tcPr>
            <w:tcW w:w="3055" w:type="dxa"/>
            <w:shd w:val="pct15" w:color="auto" w:fill="auto"/>
          </w:tcPr>
          <w:p w:rsidR="00383888" w:rsidRPr="000615AB" w:rsidRDefault="00383888" w:rsidP="00B47699">
            <w:pPr>
              <w:rPr>
                <w:snapToGrid w:val="0"/>
                <w:sz w:val="18"/>
                <w:szCs w:val="18"/>
              </w:rPr>
            </w:pPr>
            <w:r w:rsidRPr="000615AB">
              <w:rPr>
                <w:snapToGrid w:val="0"/>
                <w:sz w:val="18"/>
                <w:szCs w:val="18"/>
              </w:rPr>
              <w:t xml:space="preserve">Papua Nueva Guinea </w:t>
            </w:r>
          </w:p>
        </w:tc>
        <w:tc>
          <w:tcPr>
            <w:tcW w:w="1125" w:type="dxa"/>
            <w:shd w:val="pct15" w:color="auto" w:fill="auto"/>
          </w:tcPr>
          <w:p w:rsidR="00383888" w:rsidRPr="000615AB" w:rsidRDefault="00383888" w:rsidP="00B47699">
            <w:pPr>
              <w:jc w:val="center"/>
              <w:rPr>
                <w:i/>
                <w:snapToGrid w:val="0"/>
                <w:sz w:val="18"/>
                <w:szCs w:val="18"/>
              </w:rPr>
            </w:pPr>
            <w:r w:rsidRPr="000615AB">
              <w:rPr>
                <w:snapToGrid w:val="0"/>
                <w:sz w:val="18"/>
                <w:szCs w:val="18"/>
              </w:rPr>
              <w:t>S</w:t>
            </w:r>
            <w:r w:rsidRPr="000615AB">
              <w:rPr>
                <w:i/>
                <w:snapToGrid w:val="0"/>
                <w:sz w:val="18"/>
                <w:szCs w:val="18"/>
              </w:rPr>
              <w:t>bis</w:t>
            </w:r>
          </w:p>
        </w:tc>
        <w:tc>
          <w:tcPr>
            <w:tcW w:w="1210" w:type="dxa"/>
            <w:shd w:val="pct15" w:color="auto" w:fill="auto"/>
          </w:tcPr>
          <w:p w:rsidR="00383888" w:rsidRPr="000615AB" w:rsidRDefault="00383888" w:rsidP="00B47699">
            <w:pPr>
              <w:jc w:val="right"/>
              <w:rPr>
                <w:snapToGrid w:val="0"/>
                <w:sz w:val="18"/>
                <w:szCs w:val="18"/>
              </w:rPr>
            </w:pPr>
            <w:r w:rsidRPr="000615AB">
              <w:rPr>
                <w:snapToGrid w:val="0"/>
                <w:sz w:val="18"/>
                <w:szCs w:val="18"/>
              </w:rPr>
              <w:t>0,0625</w:t>
            </w:r>
          </w:p>
        </w:tc>
        <w:tc>
          <w:tcPr>
            <w:tcW w:w="1320"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2.849 </w:t>
            </w:r>
          </w:p>
        </w:tc>
        <w:tc>
          <w:tcPr>
            <w:tcW w:w="1430"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2.849 </w:t>
            </w:r>
          </w:p>
        </w:tc>
        <w:tc>
          <w:tcPr>
            <w:tcW w:w="1388"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5.698 </w:t>
            </w:r>
          </w:p>
        </w:tc>
      </w:tr>
      <w:tr w:rsidR="00383888" w:rsidRPr="000615AB" w:rsidTr="00B47699">
        <w:tc>
          <w:tcPr>
            <w:tcW w:w="3055" w:type="dxa"/>
            <w:shd w:val="clear" w:color="auto" w:fill="auto"/>
          </w:tcPr>
          <w:p w:rsidR="00383888" w:rsidRPr="000615AB" w:rsidRDefault="00383888" w:rsidP="00B47699">
            <w:pPr>
              <w:rPr>
                <w:snapToGrid w:val="0"/>
                <w:sz w:val="18"/>
                <w:szCs w:val="18"/>
              </w:rPr>
            </w:pPr>
            <w:r w:rsidRPr="000615AB">
              <w:rPr>
                <w:snapToGrid w:val="0"/>
                <w:sz w:val="18"/>
                <w:szCs w:val="18"/>
              </w:rPr>
              <w:t>Paraguay</w:t>
            </w:r>
          </w:p>
        </w:tc>
        <w:tc>
          <w:tcPr>
            <w:tcW w:w="1125" w:type="dxa"/>
            <w:shd w:val="clear" w:color="auto" w:fill="auto"/>
          </w:tcPr>
          <w:p w:rsidR="00383888" w:rsidRPr="000615AB" w:rsidRDefault="00383888" w:rsidP="00B47699">
            <w:pPr>
              <w:jc w:val="center"/>
              <w:rPr>
                <w:i/>
                <w:snapToGrid w:val="0"/>
                <w:sz w:val="18"/>
                <w:szCs w:val="18"/>
              </w:rPr>
            </w:pPr>
            <w:r w:rsidRPr="000615AB">
              <w:rPr>
                <w:snapToGrid w:val="0"/>
                <w:sz w:val="18"/>
                <w:szCs w:val="18"/>
              </w:rPr>
              <w:t>S</w:t>
            </w:r>
            <w:r w:rsidRPr="000615AB">
              <w:rPr>
                <w:i/>
                <w:snapToGrid w:val="0"/>
                <w:sz w:val="18"/>
                <w:szCs w:val="18"/>
              </w:rPr>
              <w:t>bis</w:t>
            </w:r>
          </w:p>
        </w:tc>
        <w:tc>
          <w:tcPr>
            <w:tcW w:w="1210" w:type="dxa"/>
            <w:shd w:val="clear" w:color="auto" w:fill="auto"/>
          </w:tcPr>
          <w:p w:rsidR="00383888" w:rsidRPr="000615AB" w:rsidRDefault="00383888" w:rsidP="00B47699">
            <w:pPr>
              <w:jc w:val="right"/>
              <w:rPr>
                <w:snapToGrid w:val="0"/>
                <w:sz w:val="18"/>
                <w:szCs w:val="18"/>
              </w:rPr>
            </w:pPr>
            <w:r w:rsidRPr="000615AB">
              <w:rPr>
                <w:snapToGrid w:val="0"/>
                <w:sz w:val="18"/>
                <w:szCs w:val="18"/>
              </w:rPr>
              <w:t>0,0625</w:t>
            </w:r>
          </w:p>
        </w:tc>
        <w:tc>
          <w:tcPr>
            <w:tcW w:w="1320" w:type="dxa"/>
            <w:shd w:val="clear"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2.849 </w:t>
            </w:r>
          </w:p>
        </w:tc>
        <w:tc>
          <w:tcPr>
            <w:tcW w:w="1430" w:type="dxa"/>
            <w:shd w:val="clear"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2.849 </w:t>
            </w:r>
          </w:p>
        </w:tc>
        <w:tc>
          <w:tcPr>
            <w:tcW w:w="1388" w:type="dxa"/>
            <w:shd w:val="clear"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5.698 </w:t>
            </w:r>
          </w:p>
        </w:tc>
      </w:tr>
      <w:tr w:rsidR="00383888" w:rsidRPr="000615AB" w:rsidTr="00B47699">
        <w:tc>
          <w:tcPr>
            <w:tcW w:w="3055" w:type="dxa"/>
            <w:shd w:val="pct15" w:color="auto" w:fill="auto"/>
          </w:tcPr>
          <w:p w:rsidR="00383888" w:rsidRPr="000615AB" w:rsidRDefault="00383888" w:rsidP="00B47699">
            <w:pPr>
              <w:rPr>
                <w:snapToGrid w:val="0"/>
                <w:sz w:val="18"/>
                <w:szCs w:val="18"/>
              </w:rPr>
            </w:pPr>
            <w:r w:rsidRPr="000615AB">
              <w:rPr>
                <w:snapToGrid w:val="0"/>
                <w:sz w:val="18"/>
                <w:szCs w:val="18"/>
              </w:rPr>
              <w:t>Perú</w:t>
            </w:r>
          </w:p>
        </w:tc>
        <w:tc>
          <w:tcPr>
            <w:tcW w:w="1125" w:type="dxa"/>
            <w:shd w:val="pct15" w:color="auto" w:fill="auto"/>
          </w:tcPr>
          <w:p w:rsidR="00383888" w:rsidRPr="000615AB" w:rsidRDefault="00383888" w:rsidP="00B47699">
            <w:pPr>
              <w:jc w:val="center"/>
              <w:rPr>
                <w:snapToGrid w:val="0"/>
                <w:sz w:val="18"/>
                <w:szCs w:val="18"/>
              </w:rPr>
            </w:pPr>
            <w:r w:rsidRPr="000615AB">
              <w:rPr>
                <w:snapToGrid w:val="0"/>
                <w:sz w:val="18"/>
                <w:szCs w:val="18"/>
              </w:rPr>
              <w:t>IX</w:t>
            </w:r>
          </w:p>
        </w:tc>
        <w:tc>
          <w:tcPr>
            <w:tcW w:w="1210" w:type="dxa"/>
            <w:shd w:val="pct15" w:color="auto" w:fill="auto"/>
          </w:tcPr>
          <w:p w:rsidR="00383888" w:rsidRPr="000615AB" w:rsidRDefault="00383888" w:rsidP="00B47699">
            <w:pPr>
              <w:jc w:val="right"/>
              <w:rPr>
                <w:snapToGrid w:val="0"/>
                <w:sz w:val="18"/>
                <w:szCs w:val="18"/>
              </w:rPr>
            </w:pPr>
            <w:r w:rsidRPr="000615AB">
              <w:rPr>
                <w:snapToGrid w:val="0"/>
                <w:sz w:val="18"/>
                <w:szCs w:val="18"/>
              </w:rPr>
              <w:t>0,25</w:t>
            </w:r>
          </w:p>
        </w:tc>
        <w:tc>
          <w:tcPr>
            <w:tcW w:w="1320" w:type="dxa"/>
            <w:shd w:val="pct15" w:color="auto" w:fill="auto"/>
          </w:tcPr>
          <w:p w:rsidR="00383888" w:rsidRPr="000615AB" w:rsidRDefault="00383888" w:rsidP="00B47699">
            <w:pPr>
              <w:jc w:val="right"/>
              <w:rPr>
                <w:snapToGrid w:val="0"/>
                <w:sz w:val="18"/>
                <w:szCs w:val="18"/>
              </w:rPr>
            </w:pPr>
            <w:r w:rsidRPr="000615AB">
              <w:rPr>
                <w:snapToGrid w:val="0"/>
                <w:sz w:val="18"/>
                <w:szCs w:val="18"/>
              </w:rPr>
              <w:t xml:space="preserve">11.395 </w:t>
            </w:r>
          </w:p>
        </w:tc>
        <w:tc>
          <w:tcPr>
            <w:tcW w:w="1430" w:type="dxa"/>
            <w:shd w:val="pct15" w:color="auto" w:fill="auto"/>
          </w:tcPr>
          <w:p w:rsidR="00383888" w:rsidRPr="000615AB" w:rsidRDefault="00383888" w:rsidP="00B47699">
            <w:pPr>
              <w:jc w:val="right"/>
              <w:rPr>
                <w:snapToGrid w:val="0"/>
                <w:sz w:val="18"/>
                <w:szCs w:val="18"/>
              </w:rPr>
            </w:pPr>
            <w:r w:rsidRPr="000615AB">
              <w:rPr>
                <w:snapToGrid w:val="0"/>
                <w:sz w:val="18"/>
                <w:szCs w:val="18"/>
              </w:rPr>
              <w:t xml:space="preserve">11.395 </w:t>
            </w:r>
          </w:p>
        </w:tc>
        <w:tc>
          <w:tcPr>
            <w:tcW w:w="1388" w:type="dxa"/>
            <w:shd w:val="pct15" w:color="auto" w:fill="auto"/>
          </w:tcPr>
          <w:p w:rsidR="00383888" w:rsidRPr="000615AB" w:rsidRDefault="00383888" w:rsidP="00B47699">
            <w:pPr>
              <w:jc w:val="right"/>
              <w:rPr>
                <w:snapToGrid w:val="0"/>
                <w:sz w:val="18"/>
                <w:szCs w:val="18"/>
              </w:rPr>
            </w:pPr>
            <w:r w:rsidRPr="000615AB">
              <w:rPr>
                <w:snapToGrid w:val="0"/>
                <w:sz w:val="18"/>
                <w:szCs w:val="18"/>
              </w:rPr>
              <w:t xml:space="preserve">22.790 </w:t>
            </w:r>
          </w:p>
        </w:tc>
      </w:tr>
      <w:tr w:rsidR="00383888" w:rsidRPr="000615AB" w:rsidTr="00B47699">
        <w:tc>
          <w:tcPr>
            <w:tcW w:w="3055" w:type="dxa"/>
            <w:shd w:val="clear" w:color="auto" w:fill="auto"/>
          </w:tcPr>
          <w:p w:rsidR="00383888" w:rsidRPr="000615AB" w:rsidRDefault="00383888" w:rsidP="00B47699">
            <w:pPr>
              <w:rPr>
                <w:snapToGrid w:val="0"/>
                <w:sz w:val="18"/>
                <w:szCs w:val="18"/>
              </w:rPr>
            </w:pPr>
            <w:r w:rsidRPr="000615AB">
              <w:rPr>
                <w:snapToGrid w:val="0"/>
                <w:sz w:val="18"/>
                <w:szCs w:val="18"/>
              </w:rPr>
              <w:t>Polonia</w:t>
            </w:r>
          </w:p>
        </w:tc>
        <w:tc>
          <w:tcPr>
            <w:tcW w:w="1125" w:type="dxa"/>
            <w:shd w:val="clear" w:color="auto" w:fill="auto"/>
          </w:tcPr>
          <w:p w:rsidR="00383888" w:rsidRPr="000615AB" w:rsidRDefault="00383888" w:rsidP="00B47699">
            <w:pPr>
              <w:jc w:val="center"/>
              <w:rPr>
                <w:snapToGrid w:val="0"/>
                <w:sz w:val="18"/>
                <w:szCs w:val="18"/>
              </w:rPr>
            </w:pPr>
            <w:r w:rsidRPr="000615AB">
              <w:rPr>
                <w:snapToGrid w:val="0"/>
                <w:sz w:val="18"/>
                <w:szCs w:val="18"/>
              </w:rPr>
              <w:t>VI</w:t>
            </w:r>
          </w:p>
        </w:tc>
        <w:tc>
          <w:tcPr>
            <w:tcW w:w="1210" w:type="dxa"/>
            <w:shd w:val="clear" w:color="auto" w:fill="auto"/>
          </w:tcPr>
          <w:p w:rsidR="00383888" w:rsidRPr="000615AB" w:rsidRDefault="00383888" w:rsidP="00B47699">
            <w:pPr>
              <w:jc w:val="right"/>
              <w:rPr>
                <w:snapToGrid w:val="0"/>
                <w:sz w:val="18"/>
                <w:szCs w:val="18"/>
              </w:rPr>
            </w:pPr>
            <w:r w:rsidRPr="000615AB">
              <w:rPr>
                <w:snapToGrid w:val="0"/>
                <w:sz w:val="18"/>
                <w:szCs w:val="18"/>
              </w:rPr>
              <w:t>3</w:t>
            </w:r>
          </w:p>
        </w:tc>
        <w:tc>
          <w:tcPr>
            <w:tcW w:w="1320" w:type="dxa"/>
            <w:shd w:val="clear"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136.737 </w:t>
            </w:r>
          </w:p>
        </w:tc>
        <w:tc>
          <w:tcPr>
            <w:tcW w:w="1430" w:type="dxa"/>
            <w:shd w:val="clear"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136.737 </w:t>
            </w:r>
          </w:p>
        </w:tc>
        <w:tc>
          <w:tcPr>
            <w:tcW w:w="1388" w:type="dxa"/>
            <w:shd w:val="clear"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273.474 </w:t>
            </w:r>
          </w:p>
        </w:tc>
      </w:tr>
      <w:tr w:rsidR="00383888" w:rsidRPr="000615AB" w:rsidTr="00B47699">
        <w:tc>
          <w:tcPr>
            <w:tcW w:w="3055" w:type="dxa"/>
            <w:shd w:val="pct15" w:color="auto" w:fill="auto"/>
          </w:tcPr>
          <w:p w:rsidR="00383888" w:rsidRPr="000615AB" w:rsidRDefault="00383888" w:rsidP="00B47699">
            <w:pPr>
              <w:rPr>
                <w:snapToGrid w:val="0"/>
                <w:sz w:val="18"/>
                <w:szCs w:val="18"/>
              </w:rPr>
            </w:pPr>
            <w:r w:rsidRPr="000615AB">
              <w:rPr>
                <w:snapToGrid w:val="0"/>
                <w:sz w:val="18"/>
                <w:szCs w:val="18"/>
              </w:rPr>
              <w:t>Portugal</w:t>
            </w:r>
          </w:p>
        </w:tc>
        <w:tc>
          <w:tcPr>
            <w:tcW w:w="1125" w:type="dxa"/>
            <w:shd w:val="pct15" w:color="auto" w:fill="auto"/>
          </w:tcPr>
          <w:p w:rsidR="00383888" w:rsidRPr="000615AB" w:rsidRDefault="00383888" w:rsidP="00B47699">
            <w:pPr>
              <w:jc w:val="center"/>
              <w:rPr>
                <w:i/>
                <w:snapToGrid w:val="0"/>
                <w:sz w:val="18"/>
                <w:szCs w:val="18"/>
              </w:rPr>
            </w:pPr>
            <w:r w:rsidRPr="000615AB">
              <w:rPr>
                <w:snapToGrid w:val="0"/>
                <w:sz w:val="18"/>
                <w:szCs w:val="18"/>
              </w:rPr>
              <w:t>IV</w:t>
            </w:r>
            <w:r w:rsidRPr="000615AB">
              <w:rPr>
                <w:i/>
                <w:snapToGrid w:val="0"/>
                <w:sz w:val="18"/>
                <w:szCs w:val="18"/>
              </w:rPr>
              <w:t>bis</w:t>
            </w:r>
          </w:p>
        </w:tc>
        <w:tc>
          <w:tcPr>
            <w:tcW w:w="1210" w:type="dxa"/>
            <w:shd w:val="pct15" w:color="auto" w:fill="auto"/>
          </w:tcPr>
          <w:p w:rsidR="00383888" w:rsidRPr="000615AB" w:rsidRDefault="00383888" w:rsidP="00B47699">
            <w:pPr>
              <w:jc w:val="right"/>
              <w:rPr>
                <w:snapToGrid w:val="0"/>
                <w:sz w:val="18"/>
                <w:szCs w:val="18"/>
              </w:rPr>
            </w:pPr>
            <w:r w:rsidRPr="000615AB">
              <w:rPr>
                <w:snapToGrid w:val="0"/>
                <w:sz w:val="18"/>
                <w:szCs w:val="18"/>
              </w:rPr>
              <w:t>7,5</w:t>
            </w:r>
          </w:p>
        </w:tc>
        <w:tc>
          <w:tcPr>
            <w:tcW w:w="1320"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341.842 </w:t>
            </w:r>
          </w:p>
        </w:tc>
        <w:tc>
          <w:tcPr>
            <w:tcW w:w="1430"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341.842 </w:t>
            </w:r>
          </w:p>
        </w:tc>
        <w:tc>
          <w:tcPr>
            <w:tcW w:w="1388"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683.684 </w:t>
            </w:r>
          </w:p>
        </w:tc>
      </w:tr>
      <w:tr w:rsidR="00383888" w:rsidRPr="000615AB" w:rsidTr="00B47699">
        <w:tc>
          <w:tcPr>
            <w:tcW w:w="3055" w:type="dxa"/>
            <w:shd w:val="clear" w:color="auto" w:fill="auto"/>
          </w:tcPr>
          <w:p w:rsidR="00383888" w:rsidRPr="000615AB" w:rsidRDefault="00383888" w:rsidP="00B47699">
            <w:pPr>
              <w:rPr>
                <w:snapToGrid w:val="0"/>
                <w:sz w:val="18"/>
                <w:szCs w:val="18"/>
              </w:rPr>
            </w:pPr>
            <w:r w:rsidRPr="000615AB">
              <w:rPr>
                <w:b/>
                <w:snapToGrid w:val="0"/>
                <w:sz w:val="18"/>
                <w:szCs w:val="18"/>
              </w:rPr>
              <w:t>Q</w:t>
            </w:r>
            <w:r w:rsidRPr="000615AB">
              <w:rPr>
                <w:snapToGrid w:val="0"/>
                <w:sz w:val="18"/>
                <w:szCs w:val="18"/>
              </w:rPr>
              <w:t xml:space="preserve">atar </w:t>
            </w:r>
          </w:p>
        </w:tc>
        <w:tc>
          <w:tcPr>
            <w:tcW w:w="1125" w:type="dxa"/>
            <w:shd w:val="clear" w:color="auto" w:fill="auto"/>
          </w:tcPr>
          <w:p w:rsidR="00383888" w:rsidRPr="000615AB" w:rsidRDefault="00383888" w:rsidP="00B47699">
            <w:pPr>
              <w:jc w:val="center"/>
              <w:rPr>
                <w:snapToGrid w:val="0"/>
                <w:sz w:val="18"/>
                <w:szCs w:val="18"/>
              </w:rPr>
            </w:pPr>
            <w:r w:rsidRPr="000615AB">
              <w:rPr>
                <w:snapToGrid w:val="0"/>
                <w:sz w:val="18"/>
                <w:szCs w:val="18"/>
              </w:rPr>
              <w:t>IX</w:t>
            </w:r>
          </w:p>
        </w:tc>
        <w:tc>
          <w:tcPr>
            <w:tcW w:w="1210" w:type="dxa"/>
            <w:shd w:val="clear" w:color="auto" w:fill="auto"/>
          </w:tcPr>
          <w:p w:rsidR="00383888" w:rsidRPr="000615AB" w:rsidRDefault="00383888" w:rsidP="00B47699">
            <w:pPr>
              <w:jc w:val="right"/>
              <w:rPr>
                <w:snapToGrid w:val="0"/>
                <w:sz w:val="18"/>
                <w:szCs w:val="18"/>
              </w:rPr>
            </w:pPr>
            <w:r w:rsidRPr="000615AB">
              <w:rPr>
                <w:snapToGrid w:val="0"/>
                <w:sz w:val="18"/>
                <w:szCs w:val="18"/>
              </w:rPr>
              <w:t>0,25</w:t>
            </w:r>
          </w:p>
        </w:tc>
        <w:tc>
          <w:tcPr>
            <w:tcW w:w="1320" w:type="dxa"/>
            <w:shd w:val="clear" w:color="auto" w:fill="auto"/>
          </w:tcPr>
          <w:p w:rsidR="00383888" w:rsidRPr="000615AB" w:rsidRDefault="00383888" w:rsidP="00B47699">
            <w:pPr>
              <w:jc w:val="right"/>
              <w:rPr>
                <w:snapToGrid w:val="0"/>
                <w:sz w:val="18"/>
                <w:szCs w:val="18"/>
              </w:rPr>
            </w:pPr>
            <w:r w:rsidRPr="000615AB">
              <w:rPr>
                <w:snapToGrid w:val="0"/>
                <w:sz w:val="18"/>
                <w:szCs w:val="18"/>
              </w:rPr>
              <w:t>11.395</w:t>
            </w:r>
          </w:p>
        </w:tc>
        <w:tc>
          <w:tcPr>
            <w:tcW w:w="1430" w:type="dxa"/>
            <w:shd w:val="clear" w:color="auto" w:fill="auto"/>
          </w:tcPr>
          <w:p w:rsidR="00383888" w:rsidRPr="000615AB" w:rsidRDefault="00383888" w:rsidP="00B47699">
            <w:pPr>
              <w:jc w:val="right"/>
              <w:rPr>
                <w:snapToGrid w:val="0"/>
                <w:sz w:val="18"/>
                <w:szCs w:val="18"/>
              </w:rPr>
            </w:pPr>
            <w:r w:rsidRPr="000615AB">
              <w:rPr>
                <w:snapToGrid w:val="0"/>
                <w:sz w:val="18"/>
                <w:szCs w:val="18"/>
              </w:rPr>
              <w:t>11.395</w:t>
            </w:r>
          </w:p>
        </w:tc>
        <w:tc>
          <w:tcPr>
            <w:tcW w:w="1388" w:type="dxa"/>
            <w:shd w:val="clear" w:color="auto" w:fill="auto"/>
          </w:tcPr>
          <w:p w:rsidR="00383888" w:rsidRPr="000615AB" w:rsidRDefault="00383888" w:rsidP="00B47699">
            <w:pPr>
              <w:jc w:val="right"/>
              <w:rPr>
                <w:snapToGrid w:val="0"/>
                <w:sz w:val="18"/>
                <w:szCs w:val="18"/>
              </w:rPr>
            </w:pPr>
            <w:r w:rsidRPr="000615AB">
              <w:rPr>
                <w:snapToGrid w:val="0"/>
                <w:sz w:val="18"/>
                <w:szCs w:val="18"/>
              </w:rPr>
              <w:t>22.790</w:t>
            </w:r>
          </w:p>
        </w:tc>
      </w:tr>
      <w:tr w:rsidR="00383888" w:rsidRPr="000615AB" w:rsidTr="00B47699">
        <w:tc>
          <w:tcPr>
            <w:tcW w:w="3055" w:type="dxa"/>
            <w:shd w:val="pct15" w:color="auto" w:fill="auto"/>
          </w:tcPr>
          <w:p w:rsidR="00383888" w:rsidRPr="000615AB" w:rsidRDefault="00383888" w:rsidP="00B47699">
            <w:pPr>
              <w:rPr>
                <w:snapToGrid w:val="0"/>
                <w:sz w:val="18"/>
                <w:szCs w:val="18"/>
              </w:rPr>
            </w:pPr>
            <w:r w:rsidRPr="000615AB">
              <w:rPr>
                <w:b/>
                <w:snapToGrid w:val="0"/>
                <w:sz w:val="18"/>
                <w:szCs w:val="18"/>
              </w:rPr>
              <w:t>R</w:t>
            </w:r>
            <w:r w:rsidRPr="000615AB">
              <w:rPr>
                <w:snapToGrid w:val="0"/>
                <w:sz w:val="18"/>
                <w:szCs w:val="18"/>
              </w:rPr>
              <w:t>eino Unido</w:t>
            </w:r>
          </w:p>
        </w:tc>
        <w:tc>
          <w:tcPr>
            <w:tcW w:w="1125" w:type="dxa"/>
            <w:shd w:val="pct15" w:color="auto" w:fill="auto"/>
          </w:tcPr>
          <w:p w:rsidR="00383888" w:rsidRPr="000615AB" w:rsidRDefault="00383888" w:rsidP="00B47699">
            <w:pPr>
              <w:jc w:val="center"/>
              <w:rPr>
                <w:snapToGrid w:val="0"/>
                <w:sz w:val="18"/>
                <w:szCs w:val="18"/>
              </w:rPr>
            </w:pPr>
            <w:r w:rsidRPr="000615AB">
              <w:rPr>
                <w:snapToGrid w:val="0"/>
                <w:sz w:val="18"/>
                <w:szCs w:val="18"/>
              </w:rPr>
              <w:t>I</w:t>
            </w:r>
          </w:p>
        </w:tc>
        <w:tc>
          <w:tcPr>
            <w:tcW w:w="1210" w:type="dxa"/>
            <w:shd w:val="pct15" w:color="auto" w:fill="auto"/>
          </w:tcPr>
          <w:p w:rsidR="00383888" w:rsidRPr="000615AB" w:rsidRDefault="00383888" w:rsidP="00B47699">
            <w:pPr>
              <w:jc w:val="right"/>
              <w:rPr>
                <w:snapToGrid w:val="0"/>
                <w:sz w:val="18"/>
                <w:szCs w:val="18"/>
              </w:rPr>
            </w:pPr>
            <w:r w:rsidRPr="000615AB">
              <w:rPr>
                <w:snapToGrid w:val="0"/>
                <w:sz w:val="18"/>
                <w:szCs w:val="18"/>
              </w:rPr>
              <w:t>25</w:t>
            </w:r>
          </w:p>
        </w:tc>
        <w:tc>
          <w:tcPr>
            <w:tcW w:w="1320"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1.139.475 </w:t>
            </w:r>
          </w:p>
        </w:tc>
        <w:tc>
          <w:tcPr>
            <w:tcW w:w="1430"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1.139.475 </w:t>
            </w:r>
          </w:p>
        </w:tc>
        <w:tc>
          <w:tcPr>
            <w:tcW w:w="1388"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2.278.950 </w:t>
            </w:r>
          </w:p>
        </w:tc>
      </w:tr>
      <w:tr w:rsidR="00383888" w:rsidRPr="000615AB" w:rsidTr="00B47699">
        <w:tc>
          <w:tcPr>
            <w:tcW w:w="3055" w:type="dxa"/>
            <w:shd w:val="clear" w:color="auto" w:fill="auto"/>
          </w:tcPr>
          <w:p w:rsidR="00383888" w:rsidRPr="000615AB" w:rsidRDefault="00383888" w:rsidP="00B47699">
            <w:pPr>
              <w:rPr>
                <w:snapToGrid w:val="0"/>
                <w:sz w:val="18"/>
                <w:szCs w:val="18"/>
              </w:rPr>
            </w:pPr>
            <w:r w:rsidRPr="000615AB">
              <w:rPr>
                <w:snapToGrid w:val="0"/>
                <w:sz w:val="18"/>
                <w:szCs w:val="18"/>
              </w:rPr>
              <w:t xml:space="preserve">República Árabe Siria </w:t>
            </w:r>
          </w:p>
        </w:tc>
        <w:tc>
          <w:tcPr>
            <w:tcW w:w="1125" w:type="dxa"/>
            <w:shd w:val="clear" w:color="auto" w:fill="auto"/>
          </w:tcPr>
          <w:p w:rsidR="00383888" w:rsidRPr="000615AB" w:rsidRDefault="00383888" w:rsidP="00B47699">
            <w:pPr>
              <w:jc w:val="center"/>
              <w:rPr>
                <w:snapToGrid w:val="0"/>
                <w:sz w:val="18"/>
                <w:szCs w:val="18"/>
              </w:rPr>
            </w:pPr>
            <w:r w:rsidRPr="000615AB">
              <w:rPr>
                <w:snapToGrid w:val="0"/>
                <w:sz w:val="18"/>
                <w:szCs w:val="18"/>
              </w:rPr>
              <w:t>S</w:t>
            </w:r>
          </w:p>
        </w:tc>
        <w:tc>
          <w:tcPr>
            <w:tcW w:w="1210" w:type="dxa"/>
            <w:shd w:val="clear" w:color="auto" w:fill="auto"/>
          </w:tcPr>
          <w:p w:rsidR="00383888" w:rsidRPr="000615AB" w:rsidRDefault="00383888" w:rsidP="00B47699">
            <w:pPr>
              <w:jc w:val="right"/>
              <w:rPr>
                <w:snapToGrid w:val="0"/>
                <w:sz w:val="18"/>
                <w:szCs w:val="18"/>
              </w:rPr>
            </w:pPr>
            <w:r w:rsidRPr="000615AB">
              <w:rPr>
                <w:snapToGrid w:val="0"/>
                <w:sz w:val="18"/>
                <w:szCs w:val="18"/>
              </w:rPr>
              <w:t>0,125</w:t>
            </w:r>
          </w:p>
        </w:tc>
        <w:tc>
          <w:tcPr>
            <w:tcW w:w="1320" w:type="dxa"/>
            <w:shd w:val="clear" w:color="auto" w:fill="auto"/>
          </w:tcPr>
          <w:p w:rsidR="00383888" w:rsidRPr="000615AB" w:rsidRDefault="00383888" w:rsidP="00B47699">
            <w:pPr>
              <w:jc w:val="right"/>
              <w:rPr>
                <w:snapToGrid w:val="0"/>
                <w:sz w:val="18"/>
                <w:szCs w:val="18"/>
              </w:rPr>
            </w:pPr>
            <w:r w:rsidRPr="000615AB">
              <w:rPr>
                <w:snapToGrid w:val="0"/>
                <w:sz w:val="18"/>
                <w:szCs w:val="18"/>
              </w:rPr>
              <w:t>5.697</w:t>
            </w:r>
          </w:p>
        </w:tc>
        <w:tc>
          <w:tcPr>
            <w:tcW w:w="1430" w:type="dxa"/>
            <w:shd w:val="clear" w:color="auto" w:fill="auto"/>
          </w:tcPr>
          <w:p w:rsidR="00383888" w:rsidRPr="000615AB" w:rsidRDefault="00383888" w:rsidP="00B47699">
            <w:pPr>
              <w:jc w:val="right"/>
              <w:rPr>
                <w:snapToGrid w:val="0"/>
                <w:sz w:val="18"/>
                <w:szCs w:val="18"/>
              </w:rPr>
            </w:pPr>
            <w:r w:rsidRPr="000615AB">
              <w:rPr>
                <w:snapToGrid w:val="0"/>
                <w:sz w:val="18"/>
                <w:szCs w:val="18"/>
              </w:rPr>
              <w:t>5.697</w:t>
            </w:r>
          </w:p>
        </w:tc>
        <w:tc>
          <w:tcPr>
            <w:tcW w:w="1388" w:type="dxa"/>
            <w:shd w:val="clear" w:color="auto" w:fill="auto"/>
          </w:tcPr>
          <w:p w:rsidR="00383888" w:rsidRPr="000615AB" w:rsidRDefault="00383888" w:rsidP="00B47699">
            <w:pPr>
              <w:jc w:val="right"/>
              <w:rPr>
                <w:snapToGrid w:val="0"/>
                <w:sz w:val="18"/>
                <w:szCs w:val="18"/>
              </w:rPr>
            </w:pPr>
            <w:r w:rsidRPr="000615AB">
              <w:rPr>
                <w:snapToGrid w:val="0"/>
                <w:sz w:val="18"/>
                <w:szCs w:val="18"/>
              </w:rPr>
              <w:t>11.394</w:t>
            </w:r>
          </w:p>
        </w:tc>
      </w:tr>
      <w:tr w:rsidR="00383888" w:rsidRPr="000615AB" w:rsidTr="00B47699">
        <w:tc>
          <w:tcPr>
            <w:tcW w:w="3055" w:type="dxa"/>
            <w:shd w:val="pct15" w:color="auto" w:fill="auto"/>
          </w:tcPr>
          <w:p w:rsidR="00383888" w:rsidRPr="000615AB" w:rsidRDefault="00383888" w:rsidP="00B47699">
            <w:pPr>
              <w:rPr>
                <w:snapToGrid w:val="0"/>
                <w:sz w:val="18"/>
                <w:szCs w:val="18"/>
              </w:rPr>
            </w:pPr>
            <w:r w:rsidRPr="000615AB">
              <w:rPr>
                <w:snapToGrid w:val="0"/>
                <w:sz w:val="18"/>
                <w:szCs w:val="18"/>
              </w:rPr>
              <w:t xml:space="preserve">República Centroafricana </w:t>
            </w:r>
          </w:p>
        </w:tc>
        <w:tc>
          <w:tcPr>
            <w:tcW w:w="1125" w:type="dxa"/>
            <w:shd w:val="pct15" w:color="auto" w:fill="auto"/>
          </w:tcPr>
          <w:p w:rsidR="00383888" w:rsidRPr="000615AB" w:rsidRDefault="00383888" w:rsidP="00B47699">
            <w:pPr>
              <w:jc w:val="center"/>
              <w:rPr>
                <w:i/>
                <w:snapToGrid w:val="0"/>
                <w:sz w:val="18"/>
                <w:szCs w:val="18"/>
              </w:rPr>
            </w:pPr>
            <w:r w:rsidRPr="000615AB">
              <w:rPr>
                <w:snapToGrid w:val="0"/>
                <w:sz w:val="18"/>
                <w:szCs w:val="18"/>
              </w:rPr>
              <w:t>S</w:t>
            </w:r>
            <w:r w:rsidRPr="000615AB">
              <w:rPr>
                <w:i/>
                <w:snapToGrid w:val="0"/>
                <w:sz w:val="18"/>
                <w:szCs w:val="18"/>
              </w:rPr>
              <w:t>ter</w:t>
            </w:r>
          </w:p>
        </w:tc>
        <w:tc>
          <w:tcPr>
            <w:tcW w:w="1210" w:type="dxa"/>
            <w:shd w:val="pct15" w:color="auto" w:fill="auto"/>
          </w:tcPr>
          <w:p w:rsidR="00383888" w:rsidRPr="000615AB" w:rsidRDefault="00383888" w:rsidP="00B47699">
            <w:pPr>
              <w:jc w:val="right"/>
              <w:rPr>
                <w:snapToGrid w:val="0"/>
                <w:sz w:val="18"/>
                <w:szCs w:val="18"/>
              </w:rPr>
            </w:pPr>
            <w:r w:rsidRPr="000615AB">
              <w:rPr>
                <w:snapToGrid w:val="0"/>
                <w:sz w:val="18"/>
                <w:szCs w:val="18"/>
              </w:rPr>
              <w:t>0,03125</w:t>
            </w:r>
          </w:p>
        </w:tc>
        <w:tc>
          <w:tcPr>
            <w:tcW w:w="1320" w:type="dxa"/>
            <w:shd w:val="pct15" w:color="auto" w:fill="auto"/>
          </w:tcPr>
          <w:p w:rsidR="00383888" w:rsidRPr="000615AB" w:rsidRDefault="00383888" w:rsidP="00B47699">
            <w:pPr>
              <w:jc w:val="right"/>
              <w:rPr>
                <w:snapToGrid w:val="0"/>
                <w:sz w:val="18"/>
                <w:szCs w:val="18"/>
              </w:rPr>
            </w:pPr>
            <w:r w:rsidRPr="000615AB">
              <w:rPr>
                <w:snapToGrid w:val="0"/>
                <w:sz w:val="18"/>
                <w:szCs w:val="18"/>
              </w:rPr>
              <w:t xml:space="preserve">1.424 </w:t>
            </w:r>
          </w:p>
        </w:tc>
        <w:tc>
          <w:tcPr>
            <w:tcW w:w="1430" w:type="dxa"/>
            <w:shd w:val="pct15" w:color="auto" w:fill="auto"/>
          </w:tcPr>
          <w:p w:rsidR="00383888" w:rsidRPr="000615AB" w:rsidRDefault="00383888" w:rsidP="00B47699">
            <w:pPr>
              <w:jc w:val="right"/>
              <w:rPr>
                <w:snapToGrid w:val="0"/>
                <w:sz w:val="18"/>
                <w:szCs w:val="18"/>
              </w:rPr>
            </w:pPr>
            <w:r w:rsidRPr="000615AB">
              <w:rPr>
                <w:snapToGrid w:val="0"/>
                <w:sz w:val="18"/>
                <w:szCs w:val="18"/>
              </w:rPr>
              <w:t xml:space="preserve">1.424 </w:t>
            </w:r>
          </w:p>
        </w:tc>
        <w:tc>
          <w:tcPr>
            <w:tcW w:w="1388" w:type="dxa"/>
            <w:shd w:val="pct15" w:color="auto" w:fill="auto"/>
          </w:tcPr>
          <w:p w:rsidR="00383888" w:rsidRPr="000615AB" w:rsidRDefault="00383888" w:rsidP="00B47699">
            <w:pPr>
              <w:jc w:val="right"/>
              <w:rPr>
                <w:snapToGrid w:val="0"/>
                <w:sz w:val="18"/>
                <w:szCs w:val="18"/>
              </w:rPr>
            </w:pPr>
            <w:r w:rsidRPr="000615AB">
              <w:rPr>
                <w:snapToGrid w:val="0"/>
                <w:sz w:val="18"/>
                <w:szCs w:val="18"/>
              </w:rPr>
              <w:t xml:space="preserve">2.848 </w:t>
            </w:r>
          </w:p>
        </w:tc>
      </w:tr>
      <w:tr w:rsidR="00383888" w:rsidRPr="000615AB" w:rsidTr="00B47699">
        <w:tc>
          <w:tcPr>
            <w:tcW w:w="3055" w:type="dxa"/>
            <w:shd w:val="clear" w:color="auto" w:fill="auto"/>
          </w:tcPr>
          <w:p w:rsidR="00383888" w:rsidRPr="000615AB" w:rsidRDefault="00383888" w:rsidP="00B47699">
            <w:pPr>
              <w:rPr>
                <w:snapToGrid w:val="0"/>
                <w:sz w:val="18"/>
                <w:szCs w:val="18"/>
              </w:rPr>
            </w:pPr>
            <w:r w:rsidRPr="000615AB">
              <w:rPr>
                <w:snapToGrid w:val="0"/>
                <w:sz w:val="18"/>
                <w:szCs w:val="18"/>
              </w:rPr>
              <w:t xml:space="preserve">República Checa </w:t>
            </w:r>
          </w:p>
        </w:tc>
        <w:tc>
          <w:tcPr>
            <w:tcW w:w="1125" w:type="dxa"/>
            <w:shd w:val="clear" w:color="auto" w:fill="auto"/>
          </w:tcPr>
          <w:p w:rsidR="00383888" w:rsidRPr="000615AB" w:rsidRDefault="00383888" w:rsidP="00B47699">
            <w:pPr>
              <w:jc w:val="center"/>
              <w:rPr>
                <w:snapToGrid w:val="0"/>
                <w:sz w:val="18"/>
                <w:szCs w:val="18"/>
              </w:rPr>
            </w:pPr>
            <w:r w:rsidRPr="000615AB">
              <w:rPr>
                <w:snapToGrid w:val="0"/>
                <w:sz w:val="18"/>
                <w:szCs w:val="18"/>
              </w:rPr>
              <w:t>VI</w:t>
            </w:r>
          </w:p>
        </w:tc>
        <w:tc>
          <w:tcPr>
            <w:tcW w:w="1210" w:type="dxa"/>
            <w:shd w:val="clear" w:color="auto" w:fill="auto"/>
          </w:tcPr>
          <w:p w:rsidR="00383888" w:rsidRPr="000615AB" w:rsidRDefault="00383888" w:rsidP="00B47699">
            <w:pPr>
              <w:jc w:val="right"/>
              <w:rPr>
                <w:snapToGrid w:val="0"/>
                <w:sz w:val="18"/>
                <w:szCs w:val="18"/>
              </w:rPr>
            </w:pPr>
            <w:r w:rsidRPr="000615AB">
              <w:rPr>
                <w:snapToGrid w:val="0"/>
                <w:sz w:val="18"/>
                <w:szCs w:val="18"/>
              </w:rPr>
              <w:t>3</w:t>
            </w:r>
          </w:p>
        </w:tc>
        <w:tc>
          <w:tcPr>
            <w:tcW w:w="1320" w:type="dxa"/>
            <w:shd w:val="clear" w:color="auto" w:fill="auto"/>
          </w:tcPr>
          <w:p w:rsidR="00383888" w:rsidRPr="000615AB" w:rsidRDefault="00383888" w:rsidP="00B47699">
            <w:pPr>
              <w:jc w:val="right"/>
              <w:rPr>
                <w:snapToGrid w:val="0"/>
                <w:sz w:val="18"/>
                <w:szCs w:val="18"/>
              </w:rPr>
            </w:pPr>
            <w:r w:rsidRPr="000615AB">
              <w:rPr>
                <w:snapToGrid w:val="0"/>
                <w:sz w:val="18"/>
                <w:szCs w:val="18"/>
              </w:rPr>
              <w:t xml:space="preserve">136.737 </w:t>
            </w:r>
          </w:p>
        </w:tc>
        <w:tc>
          <w:tcPr>
            <w:tcW w:w="1430" w:type="dxa"/>
            <w:shd w:val="clear" w:color="auto" w:fill="auto"/>
          </w:tcPr>
          <w:p w:rsidR="00383888" w:rsidRPr="000615AB" w:rsidRDefault="00383888" w:rsidP="00B47699">
            <w:pPr>
              <w:jc w:val="right"/>
              <w:rPr>
                <w:snapToGrid w:val="0"/>
                <w:sz w:val="18"/>
                <w:szCs w:val="18"/>
              </w:rPr>
            </w:pPr>
            <w:r w:rsidRPr="000615AB">
              <w:rPr>
                <w:snapToGrid w:val="0"/>
                <w:sz w:val="18"/>
                <w:szCs w:val="18"/>
              </w:rPr>
              <w:t xml:space="preserve">136.737 </w:t>
            </w:r>
          </w:p>
        </w:tc>
        <w:tc>
          <w:tcPr>
            <w:tcW w:w="1388" w:type="dxa"/>
            <w:shd w:val="clear" w:color="auto" w:fill="auto"/>
          </w:tcPr>
          <w:p w:rsidR="00383888" w:rsidRPr="000615AB" w:rsidRDefault="00383888" w:rsidP="00B47699">
            <w:pPr>
              <w:jc w:val="right"/>
              <w:rPr>
                <w:snapToGrid w:val="0"/>
                <w:sz w:val="18"/>
                <w:szCs w:val="18"/>
              </w:rPr>
            </w:pPr>
            <w:r w:rsidRPr="000615AB">
              <w:rPr>
                <w:snapToGrid w:val="0"/>
                <w:sz w:val="18"/>
                <w:szCs w:val="18"/>
              </w:rPr>
              <w:t xml:space="preserve">273.474 </w:t>
            </w:r>
          </w:p>
        </w:tc>
      </w:tr>
      <w:tr w:rsidR="00383888" w:rsidRPr="000615AB" w:rsidTr="00B47699">
        <w:tc>
          <w:tcPr>
            <w:tcW w:w="3055" w:type="dxa"/>
            <w:shd w:val="pct15" w:color="auto" w:fill="auto"/>
          </w:tcPr>
          <w:p w:rsidR="00383888" w:rsidRPr="000615AB" w:rsidRDefault="00383888" w:rsidP="00B47699">
            <w:pPr>
              <w:rPr>
                <w:snapToGrid w:val="0"/>
                <w:sz w:val="18"/>
                <w:szCs w:val="18"/>
              </w:rPr>
            </w:pPr>
            <w:r w:rsidRPr="000615AB">
              <w:rPr>
                <w:snapToGrid w:val="0"/>
                <w:sz w:val="18"/>
                <w:szCs w:val="18"/>
              </w:rPr>
              <w:t xml:space="preserve">República de Corea </w:t>
            </w:r>
          </w:p>
        </w:tc>
        <w:tc>
          <w:tcPr>
            <w:tcW w:w="1125" w:type="dxa"/>
            <w:shd w:val="pct15" w:color="auto" w:fill="auto"/>
          </w:tcPr>
          <w:p w:rsidR="00383888" w:rsidRPr="000615AB" w:rsidRDefault="00383888" w:rsidP="00B47699">
            <w:pPr>
              <w:jc w:val="center"/>
              <w:rPr>
                <w:i/>
                <w:snapToGrid w:val="0"/>
                <w:sz w:val="18"/>
                <w:szCs w:val="18"/>
              </w:rPr>
            </w:pPr>
            <w:r w:rsidRPr="000615AB">
              <w:rPr>
                <w:snapToGrid w:val="0"/>
                <w:sz w:val="18"/>
                <w:szCs w:val="18"/>
              </w:rPr>
              <w:t>IV</w:t>
            </w:r>
            <w:r w:rsidRPr="000615AB">
              <w:rPr>
                <w:i/>
                <w:snapToGrid w:val="0"/>
                <w:sz w:val="18"/>
                <w:szCs w:val="18"/>
              </w:rPr>
              <w:t>bis</w:t>
            </w:r>
          </w:p>
        </w:tc>
        <w:tc>
          <w:tcPr>
            <w:tcW w:w="1210" w:type="dxa"/>
            <w:shd w:val="pct15" w:color="auto" w:fill="auto"/>
          </w:tcPr>
          <w:p w:rsidR="00383888" w:rsidRPr="000615AB" w:rsidRDefault="00383888" w:rsidP="00B47699">
            <w:pPr>
              <w:jc w:val="right"/>
              <w:rPr>
                <w:snapToGrid w:val="0"/>
                <w:sz w:val="18"/>
                <w:szCs w:val="18"/>
              </w:rPr>
            </w:pPr>
            <w:r w:rsidRPr="000615AB">
              <w:rPr>
                <w:snapToGrid w:val="0"/>
                <w:sz w:val="18"/>
                <w:szCs w:val="18"/>
              </w:rPr>
              <w:t>7,5</w:t>
            </w:r>
          </w:p>
        </w:tc>
        <w:tc>
          <w:tcPr>
            <w:tcW w:w="1320"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341.842 </w:t>
            </w:r>
          </w:p>
        </w:tc>
        <w:tc>
          <w:tcPr>
            <w:tcW w:w="1430"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341.842 </w:t>
            </w:r>
          </w:p>
        </w:tc>
        <w:tc>
          <w:tcPr>
            <w:tcW w:w="1388"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683.684 </w:t>
            </w:r>
          </w:p>
        </w:tc>
      </w:tr>
      <w:tr w:rsidR="00383888" w:rsidRPr="000615AB" w:rsidTr="00B47699">
        <w:tc>
          <w:tcPr>
            <w:tcW w:w="3055" w:type="dxa"/>
            <w:shd w:val="clear" w:color="auto" w:fill="auto"/>
          </w:tcPr>
          <w:p w:rsidR="00383888" w:rsidRPr="000615AB" w:rsidRDefault="00383888" w:rsidP="00B47699">
            <w:pPr>
              <w:rPr>
                <w:snapToGrid w:val="0"/>
                <w:sz w:val="18"/>
                <w:szCs w:val="18"/>
              </w:rPr>
            </w:pPr>
            <w:r w:rsidRPr="000615AB">
              <w:rPr>
                <w:snapToGrid w:val="0"/>
                <w:sz w:val="18"/>
                <w:szCs w:val="18"/>
              </w:rPr>
              <w:t xml:space="preserve">República de Moldova </w:t>
            </w:r>
          </w:p>
        </w:tc>
        <w:tc>
          <w:tcPr>
            <w:tcW w:w="1125" w:type="dxa"/>
            <w:shd w:val="clear" w:color="auto" w:fill="auto"/>
          </w:tcPr>
          <w:p w:rsidR="00383888" w:rsidRPr="000615AB" w:rsidRDefault="00383888" w:rsidP="00B47699">
            <w:pPr>
              <w:jc w:val="center"/>
              <w:rPr>
                <w:snapToGrid w:val="0"/>
                <w:sz w:val="18"/>
                <w:szCs w:val="18"/>
              </w:rPr>
            </w:pPr>
            <w:r w:rsidRPr="000615AB">
              <w:rPr>
                <w:snapToGrid w:val="0"/>
                <w:sz w:val="18"/>
                <w:szCs w:val="18"/>
              </w:rPr>
              <w:t>IX</w:t>
            </w:r>
          </w:p>
        </w:tc>
        <w:tc>
          <w:tcPr>
            <w:tcW w:w="1210" w:type="dxa"/>
            <w:shd w:val="clear" w:color="auto" w:fill="auto"/>
          </w:tcPr>
          <w:p w:rsidR="00383888" w:rsidRPr="000615AB" w:rsidRDefault="00383888" w:rsidP="00B47699">
            <w:pPr>
              <w:jc w:val="right"/>
              <w:rPr>
                <w:snapToGrid w:val="0"/>
                <w:sz w:val="18"/>
                <w:szCs w:val="18"/>
              </w:rPr>
            </w:pPr>
            <w:r w:rsidRPr="000615AB">
              <w:rPr>
                <w:snapToGrid w:val="0"/>
                <w:sz w:val="18"/>
                <w:szCs w:val="18"/>
              </w:rPr>
              <w:t>0,25</w:t>
            </w:r>
          </w:p>
        </w:tc>
        <w:tc>
          <w:tcPr>
            <w:tcW w:w="1320" w:type="dxa"/>
            <w:shd w:val="clear"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11.395 </w:t>
            </w:r>
          </w:p>
        </w:tc>
        <w:tc>
          <w:tcPr>
            <w:tcW w:w="1430" w:type="dxa"/>
            <w:shd w:val="clear"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11.395 </w:t>
            </w:r>
          </w:p>
        </w:tc>
        <w:tc>
          <w:tcPr>
            <w:tcW w:w="1388" w:type="dxa"/>
            <w:shd w:val="clear"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22.790</w:t>
            </w:r>
          </w:p>
        </w:tc>
      </w:tr>
      <w:tr w:rsidR="00383888" w:rsidRPr="000615AB" w:rsidTr="00B47699">
        <w:tc>
          <w:tcPr>
            <w:tcW w:w="3055" w:type="dxa"/>
            <w:shd w:val="pct15" w:color="auto" w:fill="auto"/>
          </w:tcPr>
          <w:p w:rsidR="00383888" w:rsidRPr="000615AB" w:rsidRDefault="00383888" w:rsidP="00B47699">
            <w:pPr>
              <w:rPr>
                <w:snapToGrid w:val="0"/>
                <w:sz w:val="18"/>
                <w:szCs w:val="18"/>
              </w:rPr>
            </w:pPr>
            <w:r w:rsidRPr="000615AB">
              <w:rPr>
                <w:snapToGrid w:val="0"/>
                <w:sz w:val="18"/>
                <w:szCs w:val="18"/>
              </w:rPr>
              <w:t xml:space="preserve">República Democrática del Congo </w:t>
            </w:r>
          </w:p>
        </w:tc>
        <w:tc>
          <w:tcPr>
            <w:tcW w:w="1125" w:type="dxa"/>
            <w:shd w:val="pct15" w:color="auto" w:fill="auto"/>
          </w:tcPr>
          <w:p w:rsidR="00383888" w:rsidRPr="000615AB" w:rsidRDefault="00383888" w:rsidP="00B47699">
            <w:pPr>
              <w:jc w:val="center"/>
              <w:rPr>
                <w:i/>
                <w:snapToGrid w:val="0"/>
                <w:sz w:val="18"/>
                <w:szCs w:val="18"/>
              </w:rPr>
            </w:pPr>
            <w:r w:rsidRPr="000615AB">
              <w:rPr>
                <w:snapToGrid w:val="0"/>
                <w:sz w:val="18"/>
                <w:szCs w:val="18"/>
              </w:rPr>
              <w:t>S</w:t>
            </w:r>
            <w:r w:rsidRPr="000615AB">
              <w:rPr>
                <w:i/>
                <w:snapToGrid w:val="0"/>
                <w:sz w:val="18"/>
                <w:szCs w:val="18"/>
              </w:rPr>
              <w:t>ter</w:t>
            </w:r>
          </w:p>
        </w:tc>
        <w:tc>
          <w:tcPr>
            <w:tcW w:w="1210" w:type="dxa"/>
            <w:shd w:val="pct15" w:color="auto" w:fill="auto"/>
          </w:tcPr>
          <w:p w:rsidR="00383888" w:rsidRPr="000615AB" w:rsidRDefault="00383888" w:rsidP="00B47699">
            <w:pPr>
              <w:jc w:val="right"/>
              <w:rPr>
                <w:snapToGrid w:val="0"/>
                <w:sz w:val="18"/>
                <w:szCs w:val="18"/>
              </w:rPr>
            </w:pPr>
            <w:r w:rsidRPr="000615AB">
              <w:rPr>
                <w:snapToGrid w:val="0"/>
                <w:sz w:val="18"/>
                <w:szCs w:val="18"/>
              </w:rPr>
              <w:t>0,03125</w:t>
            </w:r>
          </w:p>
        </w:tc>
        <w:tc>
          <w:tcPr>
            <w:tcW w:w="1320" w:type="dxa"/>
            <w:shd w:val="pct15" w:color="auto" w:fill="auto"/>
          </w:tcPr>
          <w:p w:rsidR="00383888" w:rsidRPr="000615AB" w:rsidRDefault="00383888" w:rsidP="00B47699">
            <w:pPr>
              <w:jc w:val="right"/>
              <w:rPr>
                <w:snapToGrid w:val="0"/>
                <w:sz w:val="18"/>
                <w:szCs w:val="18"/>
              </w:rPr>
            </w:pPr>
            <w:r w:rsidRPr="000615AB">
              <w:rPr>
                <w:snapToGrid w:val="0"/>
                <w:sz w:val="18"/>
                <w:szCs w:val="18"/>
              </w:rPr>
              <w:t xml:space="preserve">1.424 </w:t>
            </w:r>
          </w:p>
        </w:tc>
        <w:tc>
          <w:tcPr>
            <w:tcW w:w="1430" w:type="dxa"/>
            <w:shd w:val="pct15" w:color="auto" w:fill="auto"/>
          </w:tcPr>
          <w:p w:rsidR="00383888" w:rsidRPr="000615AB" w:rsidRDefault="00383888" w:rsidP="00B47699">
            <w:pPr>
              <w:jc w:val="right"/>
              <w:rPr>
                <w:snapToGrid w:val="0"/>
                <w:sz w:val="18"/>
                <w:szCs w:val="18"/>
              </w:rPr>
            </w:pPr>
            <w:r w:rsidRPr="000615AB">
              <w:rPr>
                <w:snapToGrid w:val="0"/>
                <w:sz w:val="18"/>
                <w:szCs w:val="18"/>
              </w:rPr>
              <w:t xml:space="preserve">1.424 </w:t>
            </w:r>
          </w:p>
        </w:tc>
        <w:tc>
          <w:tcPr>
            <w:tcW w:w="1388" w:type="dxa"/>
            <w:shd w:val="pct15" w:color="auto" w:fill="auto"/>
          </w:tcPr>
          <w:p w:rsidR="00383888" w:rsidRPr="000615AB" w:rsidRDefault="00383888" w:rsidP="00B47699">
            <w:pPr>
              <w:jc w:val="right"/>
              <w:rPr>
                <w:snapToGrid w:val="0"/>
                <w:sz w:val="18"/>
                <w:szCs w:val="18"/>
              </w:rPr>
            </w:pPr>
            <w:r w:rsidRPr="000615AB">
              <w:rPr>
                <w:snapToGrid w:val="0"/>
                <w:sz w:val="18"/>
                <w:szCs w:val="18"/>
              </w:rPr>
              <w:t xml:space="preserve">2.848 </w:t>
            </w:r>
          </w:p>
        </w:tc>
      </w:tr>
      <w:tr w:rsidR="00383888" w:rsidRPr="000615AB" w:rsidTr="00B47699">
        <w:tc>
          <w:tcPr>
            <w:tcW w:w="3055" w:type="dxa"/>
            <w:shd w:val="clear" w:color="auto" w:fill="auto"/>
          </w:tcPr>
          <w:p w:rsidR="00383888" w:rsidRPr="000615AB" w:rsidRDefault="00383888" w:rsidP="00B47699">
            <w:pPr>
              <w:rPr>
                <w:snapToGrid w:val="0"/>
                <w:sz w:val="18"/>
                <w:szCs w:val="18"/>
              </w:rPr>
            </w:pPr>
            <w:r w:rsidRPr="000615AB">
              <w:rPr>
                <w:snapToGrid w:val="0"/>
                <w:sz w:val="18"/>
                <w:szCs w:val="18"/>
              </w:rPr>
              <w:t>República Democrática Popular Lao</w:t>
            </w:r>
          </w:p>
        </w:tc>
        <w:tc>
          <w:tcPr>
            <w:tcW w:w="1125" w:type="dxa"/>
            <w:shd w:val="clear" w:color="auto" w:fill="auto"/>
          </w:tcPr>
          <w:p w:rsidR="00383888" w:rsidRPr="000615AB" w:rsidRDefault="00383888" w:rsidP="00B47699">
            <w:pPr>
              <w:jc w:val="center"/>
              <w:rPr>
                <w:i/>
                <w:snapToGrid w:val="0"/>
                <w:sz w:val="18"/>
                <w:szCs w:val="18"/>
              </w:rPr>
            </w:pPr>
            <w:r w:rsidRPr="000615AB">
              <w:rPr>
                <w:snapToGrid w:val="0"/>
                <w:sz w:val="18"/>
                <w:szCs w:val="18"/>
              </w:rPr>
              <w:t>S</w:t>
            </w:r>
            <w:r w:rsidRPr="000615AB">
              <w:rPr>
                <w:i/>
                <w:snapToGrid w:val="0"/>
                <w:sz w:val="18"/>
                <w:szCs w:val="18"/>
              </w:rPr>
              <w:t>ter</w:t>
            </w:r>
          </w:p>
        </w:tc>
        <w:tc>
          <w:tcPr>
            <w:tcW w:w="1210" w:type="dxa"/>
            <w:shd w:val="clear" w:color="auto" w:fill="auto"/>
          </w:tcPr>
          <w:p w:rsidR="00383888" w:rsidRPr="000615AB" w:rsidRDefault="00383888" w:rsidP="00B47699">
            <w:pPr>
              <w:jc w:val="right"/>
              <w:rPr>
                <w:snapToGrid w:val="0"/>
                <w:sz w:val="18"/>
                <w:szCs w:val="18"/>
              </w:rPr>
            </w:pPr>
            <w:r w:rsidRPr="000615AB">
              <w:rPr>
                <w:snapToGrid w:val="0"/>
                <w:sz w:val="18"/>
                <w:szCs w:val="18"/>
              </w:rPr>
              <w:t>0,03125</w:t>
            </w:r>
          </w:p>
        </w:tc>
        <w:tc>
          <w:tcPr>
            <w:tcW w:w="1320" w:type="dxa"/>
            <w:shd w:val="clear"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1.424 </w:t>
            </w:r>
          </w:p>
        </w:tc>
        <w:tc>
          <w:tcPr>
            <w:tcW w:w="1430" w:type="dxa"/>
            <w:shd w:val="clear"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1.424 </w:t>
            </w:r>
          </w:p>
        </w:tc>
        <w:tc>
          <w:tcPr>
            <w:tcW w:w="1388" w:type="dxa"/>
            <w:shd w:val="clear"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2.848 </w:t>
            </w:r>
          </w:p>
        </w:tc>
      </w:tr>
      <w:tr w:rsidR="00383888" w:rsidRPr="000615AB" w:rsidTr="00B47699">
        <w:tc>
          <w:tcPr>
            <w:tcW w:w="3055" w:type="dxa"/>
            <w:shd w:val="pct15" w:color="auto" w:fill="auto"/>
          </w:tcPr>
          <w:p w:rsidR="00383888" w:rsidRPr="000615AB" w:rsidRDefault="00383888" w:rsidP="00B47699">
            <w:pPr>
              <w:rPr>
                <w:snapToGrid w:val="0"/>
                <w:sz w:val="18"/>
                <w:szCs w:val="18"/>
              </w:rPr>
            </w:pPr>
            <w:r w:rsidRPr="000615AB">
              <w:rPr>
                <w:snapToGrid w:val="0"/>
                <w:sz w:val="18"/>
                <w:szCs w:val="18"/>
              </w:rPr>
              <w:t xml:space="preserve">República Dominicana </w:t>
            </w:r>
          </w:p>
        </w:tc>
        <w:tc>
          <w:tcPr>
            <w:tcW w:w="1125" w:type="dxa"/>
            <w:shd w:val="pct15" w:color="auto" w:fill="auto"/>
          </w:tcPr>
          <w:p w:rsidR="00383888" w:rsidRPr="000615AB" w:rsidRDefault="00383888" w:rsidP="00B47699">
            <w:pPr>
              <w:jc w:val="center"/>
              <w:rPr>
                <w:snapToGrid w:val="0"/>
                <w:sz w:val="18"/>
                <w:szCs w:val="18"/>
              </w:rPr>
            </w:pPr>
            <w:r w:rsidRPr="000615AB">
              <w:rPr>
                <w:snapToGrid w:val="0"/>
                <w:sz w:val="18"/>
                <w:szCs w:val="18"/>
              </w:rPr>
              <w:t>S</w:t>
            </w:r>
          </w:p>
        </w:tc>
        <w:tc>
          <w:tcPr>
            <w:tcW w:w="1210" w:type="dxa"/>
            <w:shd w:val="pct15" w:color="auto" w:fill="auto"/>
          </w:tcPr>
          <w:p w:rsidR="00383888" w:rsidRPr="000615AB" w:rsidRDefault="00383888" w:rsidP="00B47699">
            <w:pPr>
              <w:jc w:val="right"/>
              <w:rPr>
                <w:snapToGrid w:val="0"/>
                <w:sz w:val="18"/>
                <w:szCs w:val="18"/>
              </w:rPr>
            </w:pPr>
            <w:r w:rsidRPr="000615AB">
              <w:rPr>
                <w:snapToGrid w:val="0"/>
                <w:sz w:val="18"/>
                <w:szCs w:val="18"/>
              </w:rPr>
              <w:t>0,125</w:t>
            </w:r>
          </w:p>
        </w:tc>
        <w:tc>
          <w:tcPr>
            <w:tcW w:w="1320" w:type="dxa"/>
            <w:shd w:val="pct15" w:color="auto" w:fill="auto"/>
          </w:tcPr>
          <w:p w:rsidR="00383888" w:rsidRPr="000615AB" w:rsidRDefault="00383888" w:rsidP="00B47699">
            <w:pPr>
              <w:jc w:val="right"/>
              <w:rPr>
                <w:snapToGrid w:val="0"/>
                <w:sz w:val="18"/>
                <w:szCs w:val="18"/>
              </w:rPr>
            </w:pPr>
            <w:r w:rsidRPr="000615AB">
              <w:rPr>
                <w:snapToGrid w:val="0"/>
                <w:sz w:val="18"/>
                <w:szCs w:val="18"/>
              </w:rPr>
              <w:t xml:space="preserve">5.697 </w:t>
            </w:r>
          </w:p>
        </w:tc>
        <w:tc>
          <w:tcPr>
            <w:tcW w:w="1430" w:type="dxa"/>
            <w:shd w:val="pct15" w:color="auto" w:fill="auto"/>
          </w:tcPr>
          <w:p w:rsidR="00383888" w:rsidRPr="000615AB" w:rsidRDefault="00383888" w:rsidP="00B47699">
            <w:pPr>
              <w:jc w:val="right"/>
              <w:rPr>
                <w:snapToGrid w:val="0"/>
                <w:sz w:val="18"/>
                <w:szCs w:val="18"/>
              </w:rPr>
            </w:pPr>
            <w:r w:rsidRPr="000615AB">
              <w:rPr>
                <w:snapToGrid w:val="0"/>
                <w:sz w:val="18"/>
                <w:szCs w:val="18"/>
              </w:rPr>
              <w:t xml:space="preserve">5.697 </w:t>
            </w:r>
          </w:p>
        </w:tc>
        <w:tc>
          <w:tcPr>
            <w:tcW w:w="1388" w:type="dxa"/>
            <w:shd w:val="pct15" w:color="auto" w:fill="auto"/>
          </w:tcPr>
          <w:p w:rsidR="00383888" w:rsidRPr="000615AB" w:rsidRDefault="00383888" w:rsidP="00B47699">
            <w:pPr>
              <w:jc w:val="right"/>
              <w:rPr>
                <w:snapToGrid w:val="0"/>
                <w:sz w:val="18"/>
                <w:szCs w:val="18"/>
              </w:rPr>
            </w:pPr>
            <w:r w:rsidRPr="000615AB">
              <w:rPr>
                <w:snapToGrid w:val="0"/>
                <w:sz w:val="18"/>
                <w:szCs w:val="18"/>
              </w:rPr>
              <w:t xml:space="preserve">11.394 </w:t>
            </w:r>
          </w:p>
        </w:tc>
      </w:tr>
      <w:tr w:rsidR="00383888" w:rsidRPr="000615AB" w:rsidTr="00B47699">
        <w:tc>
          <w:tcPr>
            <w:tcW w:w="3055" w:type="dxa"/>
            <w:shd w:val="clear" w:color="auto" w:fill="auto"/>
          </w:tcPr>
          <w:p w:rsidR="00383888" w:rsidRPr="000615AB" w:rsidRDefault="00383888" w:rsidP="00B47699">
            <w:pPr>
              <w:rPr>
                <w:snapToGrid w:val="0"/>
                <w:sz w:val="18"/>
                <w:szCs w:val="18"/>
              </w:rPr>
            </w:pPr>
            <w:r w:rsidRPr="000615AB">
              <w:rPr>
                <w:snapToGrid w:val="0"/>
                <w:sz w:val="18"/>
                <w:szCs w:val="18"/>
              </w:rPr>
              <w:t>República Popular Democrática de Corea</w:t>
            </w:r>
          </w:p>
        </w:tc>
        <w:tc>
          <w:tcPr>
            <w:tcW w:w="1125" w:type="dxa"/>
            <w:shd w:val="clear" w:color="auto" w:fill="auto"/>
          </w:tcPr>
          <w:p w:rsidR="00383888" w:rsidRPr="000615AB" w:rsidRDefault="00383888" w:rsidP="00B47699">
            <w:pPr>
              <w:jc w:val="center"/>
              <w:rPr>
                <w:i/>
                <w:snapToGrid w:val="0"/>
                <w:sz w:val="18"/>
                <w:szCs w:val="18"/>
              </w:rPr>
            </w:pPr>
            <w:r w:rsidRPr="000615AB">
              <w:rPr>
                <w:snapToGrid w:val="0"/>
                <w:sz w:val="18"/>
                <w:szCs w:val="18"/>
              </w:rPr>
              <w:t>S</w:t>
            </w:r>
            <w:r w:rsidRPr="000615AB">
              <w:rPr>
                <w:i/>
                <w:snapToGrid w:val="0"/>
                <w:sz w:val="18"/>
                <w:szCs w:val="18"/>
              </w:rPr>
              <w:t>bis</w:t>
            </w:r>
          </w:p>
        </w:tc>
        <w:tc>
          <w:tcPr>
            <w:tcW w:w="1210" w:type="dxa"/>
            <w:shd w:val="clear" w:color="auto" w:fill="auto"/>
          </w:tcPr>
          <w:p w:rsidR="00383888" w:rsidRPr="000615AB" w:rsidRDefault="00383888" w:rsidP="00B47699">
            <w:pPr>
              <w:jc w:val="right"/>
              <w:rPr>
                <w:snapToGrid w:val="0"/>
                <w:sz w:val="18"/>
                <w:szCs w:val="18"/>
              </w:rPr>
            </w:pPr>
            <w:r w:rsidRPr="000615AB">
              <w:rPr>
                <w:snapToGrid w:val="0"/>
                <w:sz w:val="18"/>
                <w:szCs w:val="18"/>
              </w:rPr>
              <w:t>0,0625</w:t>
            </w:r>
          </w:p>
        </w:tc>
        <w:tc>
          <w:tcPr>
            <w:tcW w:w="1320" w:type="dxa"/>
            <w:shd w:val="clear" w:color="auto" w:fill="auto"/>
          </w:tcPr>
          <w:p w:rsidR="00383888" w:rsidRPr="000615AB" w:rsidRDefault="00383888" w:rsidP="00B47699">
            <w:pPr>
              <w:jc w:val="right"/>
              <w:rPr>
                <w:snapToGrid w:val="0"/>
                <w:sz w:val="18"/>
                <w:szCs w:val="18"/>
              </w:rPr>
            </w:pPr>
            <w:r w:rsidRPr="000615AB">
              <w:rPr>
                <w:snapToGrid w:val="0"/>
                <w:sz w:val="18"/>
                <w:szCs w:val="18"/>
              </w:rPr>
              <w:t xml:space="preserve">2.849 </w:t>
            </w:r>
          </w:p>
        </w:tc>
        <w:tc>
          <w:tcPr>
            <w:tcW w:w="1430" w:type="dxa"/>
            <w:shd w:val="clear" w:color="auto" w:fill="auto"/>
          </w:tcPr>
          <w:p w:rsidR="00383888" w:rsidRPr="000615AB" w:rsidRDefault="00383888" w:rsidP="00B47699">
            <w:pPr>
              <w:jc w:val="right"/>
              <w:rPr>
                <w:snapToGrid w:val="0"/>
                <w:sz w:val="18"/>
                <w:szCs w:val="18"/>
              </w:rPr>
            </w:pPr>
            <w:r w:rsidRPr="000615AB">
              <w:rPr>
                <w:snapToGrid w:val="0"/>
                <w:sz w:val="18"/>
                <w:szCs w:val="18"/>
              </w:rPr>
              <w:t xml:space="preserve">2.849 </w:t>
            </w:r>
          </w:p>
        </w:tc>
        <w:tc>
          <w:tcPr>
            <w:tcW w:w="1388" w:type="dxa"/>
            <w:shd w:val="clear" w:color="auto" w:fill="auto"/>
          </w:tcPr>
          <w:p w:rsidR="00383888" w:rsidRPr="000615AB" w:rsidRDefault="00383888" w:rsidP="00B47699">
            <w:pPr>
              <w:jc w:val="right"/>
              <w:rPr>
                <w:snapToGrid w:val="0"/>
                <w:sz w:val="18"/>
                <w:szCs w:val="18"/>
              </w:rPr>
            </w:pPr>
            <w:r w:rsidRPr="000615AB">
              <w:rPr>
                <w:snapToGrid w:val="0"/>
                <w:sz w:val="18"/>
                <w:szCs w:val="18"/>
              </w:rPr>
              <w:t xml:space="preserve">5.698 </w:t>
            </w:r>
          </w:p>
        </w:tc>
      </w:tr>
      <w:tr w:rsidR="00383888" w:rsidRPr="000615AB" w:rsidTr="00B47699">
        <w:tc>
          <w:tcPr>
            <w:tcW w:w="3055" w:type="dxa"/>
            <w:shd w:val="pct15" w:color="auto" w:fill="auto"/>
          </w:tcPr>
          <w:p w:rsidR="00383888" w:rsidRPr="000615AB" w:rsidRDefault="00383888" w:rsidP="00B47699">
            <w:pPr>
              <w:rPr>
                <w:snapToGrid w:val="0"/>
                <w:sz w:val="18"/>
                <w:szCs w:val="18"/>
              </w:rPr>
            </w:pPr>
            <w:r w:rsidRPr="000615AB">
              <w:rPr>
                <w:snapToGrid w:val="0"/>
                <w:sz w:val="18"/>
                <w:szCs w:val="18"/>
              </w:rPr>
              <w:t xml:space="preserve">República Unida de Tanzanía </w:t>
            </w:r>
          </w:p>
        </w:tc>
        <w:tc>
          <w:tcPr>
            <w:tcW w:w="1125" w:type="dxa"/>
            <w:shd w:val="pct15" w:color="auto" w:fill="auto"/>
          </w:tcPr>
          <w:p w:rsidR="00383888" w:rsidRPr="000615AB" w:rsidRDefault="00383888" w:rsidP="00B47699">
            <w:pPr>
              <w:jc w:val="center"/>
              <w:rPr>
                <w:i/>
                <w:snapToGrid w:val="0"/>
                <w:sz w:val="18"/>
                <w:szCs w:val="18"/>
              </w:rPr>
            </w:pPr>
            <w:r w:rsidRPr="000615AB">
              <w:rPr>
                <w:snapToGrid w:val="0"/>
                <w:sz w:val="18"/>
                <w:szCs w:val="18"/>
              </w:rPr>
              <w:t>S</w:t>
            </w:r>
            <w:r w:rsidRPr="000615AB">
              <w:rPr>
                <w:i/>
                <w:snapToGrid w:val="0"/>
                <w:sz w:val="18"/>
                <w:szCs w:val="18"/>
              </w:rPr>
              <w:t>ter</w:t>
            </w:r>
          </w:p>
        </w:tc>
        <w:tc>
          <w:tcPr>
            <w:tcW w:w="1210" w:type="dxa"/>
            <w:shd w:val="pct15" w:color="auto" w:fill="auto"/>
          </w:tcPr>
          <w:p w:rsidR="00383888" w:rsidRPr="000615AB" w:rsidRDefault="00383888" w:rsidP="00B47699">
            <w:pPr>
              <w:jc w:val="right"/>
              <w:rPr>
                <w:snapToGrid w:val="0"/>
                <w:sz w:val="18"/>
                <w:szCs w:val="18"/>
              </w:rPr>
            </w:pPr>
            <w:r w:rsidRPr="000615AB">
              <w:rPr>
                <w:snapToGrid w:val="0"/>
                <w:sz w:val="18"/>
                <w:szCs w:val="18"/>
              </w:rPr>
              <w:t>0,03125</w:t>
            </w:r>
          </w:p>
        </w:tc>
        <w:tc>
          <w:tcPr>
            <w:tcW w:w="1320"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1.424 </w:t>
            </w:r>
          </w:p>
        </w:tc>
        <w:tc>
          <w:tcPr>
            <w:tcW w:w="1430"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1.424 </w:t>
            </w:r>
          </w:p>
        </w:tc>
        <w:tc>
          <w:tcPr>
            <w:tcW w:w="1388"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2.848 </w:t>
            </w:r>
          </w:p>
        </w:tc>
      </w:tr>
      <w:tr w:rsidR="00383888" w:rsidRPr="000615AB" w:rsidTr="00B47699">
        <w:tc>
          <w:tcPr>
            <w:tcW w:w="3055" w:type="dxa"/>
            <w:shd w:val="clear" w:color="auto" w:fill="auto"/>
          </w:tcPr>
          <w:p w:rsidR="00383888" w:rsidRPr="000615AB" w:rsidRDefault="00383888" w:rsidP="00B47699">
            <w:pPr>
              <w:rPr>
                <w:snapToGrid w:val="0"/>
                <w:sz w:val="18"/>
                <w:szCs w:val="18"/>
              </w:rPr>
            </w:pPr>
            <w:r w:rsidRPr="000615AB">
              <w:rPr>
                <w:snapToGrid w:val="0"/>
                <w:sz w:val="18"/>
                <w:szCs w:val="18"/>
              </w:rPr>
              <w:t>Rumania</w:t>
            </w:r>
          </w:p>
        </w:tc>
        <w:tc>
          <w:tcPr>
            <w:tcW w:w="1125" w:type="dxa"/>
            <w:shd w:val="clear" w:color="auto" w:fill="auto"/>
          </w:tcPr>
          <w:p w:rsidR="00383888" w:rsidRPr="000615AB" w:rsidRDefault="00383888" w:rsidP="00B47699">
            <w:pPr>
              <w:jc w:val="center"/>
              <w:rPr>
                <w:i/>
                <w:snapToGrid w:val="0"/>
                <w:sz w:val="18"/>
                <w:szCs w:val="18"/>
              </w:rPr>
            </w:pPr>
            <w:r w:rsidRPr="000615AB">
              <w:rPr>
                <w:snapToGrid w:val="0"/>
                <w:sz w:val="18"/>
                <w:szCs w:val="18"/>
              </w:rPr>
              <w:t>VI</w:t>
            </w:r>
            <w:r w:rsidRPr="000615AB">
              <w:rPr>
                <w:i/>
                <w:snapToGrid w:val="0"/>
                <w:sz w:val="18"/>
                <w:szCs w:val="18"/>
              </w:rPr>
              <w:t>bis</w:t>
            </w:r>
          </w:p>
        </w:tc>
        <w:tc>
          <w:tcPr>
            <w:tcW w:w="1210" w:type="dxa"/>
            <w:shd w:val="clear" w:color="auto" w:fill="auto"/>
          </w:tcPr>
          <w:p w:rsidR="00383888" w:rsidRPr="000615AB" w:rsidRDefault="00383888" w:rsidP="00B47699">
            <w:pPr>
              <w:jc w:val="right"/>
              <w:rPr>
                <w:snapToGrid w:val="0"/>
                <w:sz w:val="18"/>
                <w:szCs w:val="18"/>
              </w:rPr>
            </w:pPr>
            <w:r w:rsidRPr="000615AB">
              <w:rPr>
                <w:snapToGrid w:val="0"/>
                <w:sz w:val="18"/>
                <w:szCs w:val="18"/>
              </w:rPr>
              <w:t>2</w:t>
            </w:r>
          </w:p>
        </w:tc>
        <w:tc>
          <w:tcPr>
            <w:tcW w:w="1320" w:type="dxa"/>
            <w:shd w:val="clear"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91.158 </w:t>
            </w:r>
          </w:p>
        </w:tc>
        <w:tc>
          <w:tcPr>
            <w:tcW w:w="1430" w:type="dxa"/>
            <w:shd w:val="clear"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91.158 </w:t>
            </w:r>
          </w:p>
        </w:tc>
        <w:tc>
          <w:tcPr>
            <w:tcW w:w="1388" w:type="dxa"/>
            <w:shd w:val="clear"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182.316 </w:t>
            </w:r>
          </w:p>
        </w:tc>
      </w:tr>
      <w:tr w:rsidR="00383888" w:rsidRPr="000615AB" w:rsidTr="00B47699">
        <w:tc>
          <w:tcPr>
            <w:tcW w:w="3055" w:type="dxa"/>
            <w:shd w:val="pct15" w:color="auto" w:fill="auto"/>
          </w:tcPr>
          <w:p w:rsidR="00383888" w:rsidRPr="000615AB" w:rsidRDefault="00383888" w:rsidP="00B47699">
            <w:pPr>
              <w:rPr>
                <w:snapToGrid w:val="0"/>
                <w:sz w:val="18"/>
                <w:szCs w:val="18"/>
              </w:rPr>
            </w:pPr>
            <w:r w:rsidRPr="000615AB">
              <w:rPr>
                <w:snapToGrid w:val="0"/>
                <w:sz w:val="18"/>
                <w:szCs w:val="18"/>
              </w:rPr>
              <w:t>Rwanda</w:t>
            </w:r>
          </w:p>
        </w:tc>
        <w:tc>
          <w:tcPr>
            <w:tcW w:w="1125" w:type="dxa"/>
            <w:shd w:val="pct15" w:color="auto" w:fill="auto"/>
          </w:tcPr>
          <w:p w:rsidR="00383888" w:rsidRPr="000615AB" w:rsidRDefault="00383888" w:rsidP="00B47699">
            <w:pPr>
              <w:jc w:val="center"/>
              <w:rPr>
                <w:i/>
                <w:snapToGrid w:val="0"/>
                <w:sz w:val="18"/>
                <w:szCs w:val="18"/>
              </w:rPr>
            </w:pPr>
            <w:r w:rsidRPr="000615AB">
              <w:rPr>
                <w:snapToGrid w:val="0"/>
                <w:sz w:val="18"/>
                <w:szCs w:val="18"/>
              </w:rPr>
              <w:t>S</w:t>
            </w:r>
            <w:r w:rsidRPr="000615AB">
              <w:rPr>
                <w:i/>
                <w:snapToGrid w:val="0"/>
                <w:sz w:val="18"/>
                <w:szCs w:val="18"/>
              </w:rPr>
              <w:t>ter</w:t>
            </w:r>
          </w:p>
        </w:tc>
        <w:tc>
          <w:tcPr>
            <w:tcW w:w="1210" w:type="dxa"/>
            <w:shd w:val="pct15" w:color="auto" w:fill="auto"/>
          </w:tcPr>
          <w:p w:rsidR="00383888" w:rsidRPr="000615AB" w:rsidRDefault="00383888" w:rsidP="00B47699">
            <w:pPr>
              <w:jc w:val="right"/>
              <w:rPr>
                <w:snapToGrid w:val="0"/>
                <w:sz w:val="18"/>
                <w:szCs w:val="18"/>
              </w:rPr>
            </w:pPr>
            <w:r w:rsidRPr="000615AB">
              <w:rPr>
                <w:snapToGrid w:val="0"/>
                <w:sz w:val="18"/>
                <w:szCs w:val="18"/>
              </w:rPr>
              <w:t>0,03125</w:t>
            </w:r>
          </w:p>
        </w:tc>
        <w:tc>
          <w:tcPr>
            <w:tcW w:w="1320"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1.424 </w:t>
            </w:r>
          </w:p>
        </w:tc>
        <w:tc>
          <w:tcPr>
            <w:tcW w:w="1430"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1.424 </w:t>
            </w:r>
          </w:p>
        </w:tc>
        <w:tc>
          <w:tcPr>
            <w:tcW w:w="1388"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2.848 </w:t>
            </w:r>
          </w:p>
        </w:tc>
      </w:tr>
      <w:tr w:rsidR="00383888" w:rsidRPr="000615AB" w:rsidTr="00B47699">
        <w:tc>
          <w:tcPr>
            <w:tcW w:w="3055" w:type="dxa"/>
            <w:shd w:val="clear" w:color="auto" w:fill="auto"/>
          </w:tcPr>
          <w:p w:rsidR="00383888" w:rsidRPr="000615AB" w:rsidRDefault="00383888" w:rsidP="00B47699">
            <w:pPr>
              <w:rPr>
                <w:snapToGrid w:val="0"/>
                <w:sz w:val="18"/>
                <w:szCs w:val="18"/>
              </w:rPr>
            </w:pPr>
            <w:r w:rsidRPr="000615AB">
              <w:rPr>
                <w:b/>
                <w:snapToGrid w:val="0"/>
                <w:sz w:val="18"/>
                <w:szCs w:val="18"/>
              </w:rPr>
              <w:t>S</w:t>
            </w:r>
            <w:r w:rsidRPr="000615AB">
              <w:rPr>
                <w:snapToGrid w:val="0"/>
                <w:sz w:val="18"/>
                <w:szCs w:val="18"/>
              </w:rPr>
              <w:t>aint Kitts y Nevis</w:t>
            </w:r>
          </w:p>
        </w:tc>
        <w:tc>
          <w:tcPr>
            <w:tcW w:w="1125" w:type="dxa"/>
            <w:shd w:val="clear" w:color="auto" w:fill="auto"/>
          </w:tcPr>
          <w:p w:rsidR="00383888" w:rsidRPr="000615AB" w:rsidRDefault="00383888" w:rsidP="00B47699">
            <w:pPr>
              <w:jc w:val="center"/>
              <w:rPr>
                <w:i/>
                <w:snapToGrid w:val="0"/>
                <w:sz w:val="18"/>
                <w:szCs w:val="18"/>
              </w:rPr>
            </w:pPr>
            <w:r w:rsidRPr="000615AB">
              <w:rPr>
                <w:snapToGrid w:val="0"/>
                <w:sz w:val="18"/>
                <w:szCs w:val="18"/>
              </w:rPr>
              <w:t>S</w:t>
            </w:r>
            <w:r w:rsidRPr="000615AB">
              <w:rPr>
                <w:i/>
                <w:snapToGrid w:val="0"/>
                <w:sz w:val="18"/>
                <w:szCs w:val="18"/>
              </w:rPr>
              <w:t>bis</w:t>
            </w:r>
          </w:p>
        </w:tc>
        <w:tc>
          <w:tcPr>
            <w:tcW w:w="1210" w:type="dxa"/>
            <w:shd w:val="clear" w:color="auto" w:fill="auto"/>
          </w:tcPr>
          <w:p w:rsidR="00383888" w:rsidRPr="000615AB" w:rsidRDefault="00383888" w:rsidP="00B47699">
            <w:pPr>
              <w:jc w:val="right"/>
              <w:rPr>
                <w:snapToGrid w:val="0"/>
                <w:sz w:val="18"/>
                <w:szCs w:val="18"/>
              </w:rPr>
            </w:pPr>
            <w:r w:rsidRPr="000615AB">
              <w:rPr>
                <w:snapToGrid w:val="0"/>
                <w:sz w:val="18"/>
                <w:szCs w:val="18"/>
              </w:rPr>
              <w:t>0,0625</w:t>
            </w:r>
          </w:p>
        </w:tc>
        <w:tc>
          <w:tcPr>
            <w:tcW w:w="1320" w:type="dxa"/>
            <w:shd w:val="clear"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2.849 </w:t>
            </w:r>
          </w:p>
        </w:tc>
        <w:tc>
          <w:tcPr>
            <w:tcW w:w="1430" w:type="dxa"/>
            <w:shd w:val="clear"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2.849 </w:t>
            </w:r>
          </w:p>
        </w:tc>
        <w:tc>
          <w:tcPr>
            <w:tcW w:w="1388" w:type="dxa"/>
            <w:shd w:val="clear"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5.698 </w:t>
            </w:r>
          </w:p>
        </w:tc>
      </w:tr>
      <w:tr w:rsidR="00383888" w:rsidRPr="000615AB" w:rsidTr="00B47699">
        <w:tc>
          <w:tcPr>
            <w:tcW w:w="3055" w:type="dxa"/>
            <w:shd w:val="pct15" w:color="auto" w:fill="auto"/>
          </w:tcPr>
          <w:p w:rsidR="00383888" w:rsidRPr="000615AB" w:rsidRDefault="00383888" w:rsidP="00B47699">
            <w:pPr>
              <w:rPr>
                <w:snapToGrid w:val="0"/>
                <w:sz w:val="18"/>
                <w:szCs w:val="18"/>
                <w:vertAlign w:val="superscript"/>
              </w:rPr>
            </w:pPr>
            <w:r w:rsidRPr="000615AB">
              <w:rPr>
                <w:snapToGrid w:val="0"/>
                <w:sz w:val="18"/>
                <w:szCs w:val="18"/>
              </w:rPr>
              <w:t xml:space="preserve">Samoa </w:t>
            </w:r>
          </w:p>
        </w:tc>
        <w:tc>
          <w:tcPr>
            <w:tcW w:w="1125" w:type="dxa"/>
            <w:shd w:val="pct15" w:color="auto" w:fill="auto"/>
          </w:tcPr>
          <w:p w:rsidR="00383888" w:rsidRPr="000615AB" w:rsidRDefault="00383888" w:rsidP="00B47699">
            <w:pPr>
              <w:jc w:val="center"/>
              <w:rPr>
                <w:i/>
                <w:snapToGrid w:val="0"/>
                <w:sz w:val="18"/>
                <w:szCs w:val="18"/>
              </w:rPr>
            </w:pPr>
            <w:r w:rsidRPr="000615AB">
              <w:rPr>
                <w:snapToGrid w:val="0"/>
                <w:sz w:val="18"/>
                <w:szCs w:val="18"/>
              </w:rPr>
              <w:t>S</w:t>
            </w:r>
            <w:r w:rsidRPr="000615AB">
              <w:rPr>
                <w:i/>
                <w:snapToGrid w:val="0"/>
                <w:sz w:val="18"/>
                <w:szCs w:val="18"/>
              </w:rPr>
              <w:t>ter</w:t>
            </w:r>
          </w:p>
        </w:tc>
        <w:tc>
          <w:tcPr>
            <w:tcW w:w="1210" w:type="dxa"/>
            <w:shd w:val="pct15" w:color="auto" w:fill="auto"/>
          </w:tcPr>
          <w:p w:rsidR="00383888" w:rsidRPr="000615AB" w:rsidRDefault="00383888" w:rsidP="00B47699">
            <w:pPr>
              <w:jc w:val="right"/>
              <w:rPr>
                <w:snapToGrid w:val="0"/>
                <w:sz w:val="18"/>
                <w:szCs w:val="18"/>
              </w:rPr>
            </w:pPr>
            <w:r w:rsidRPr="000615AB">
              <w:rPr>
                <w:snapToGrid w:val="0"/>
                <w:sz w:val="18"/>
                <w:szCs w:val="18"/>
              </w:rPr>
              <w:t>0,03125</w:t>
            </w:r>
          </w:p>
        </w:tc>
        <w:tc>
          <w:tcPr>
            <w:tcW w:w="1320"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1.424 </w:t>
            </w:r>
          </w:p>
        </w:tc>
        <w:tc>
          <w:tcPr>
            <w:tcW w:w="1430"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1.424 </w:t>
            </w:r>
          </w:p>
        </w:tc>
        <w:tc>
          <w:tcPr>
            <w:tcW w:w="1388"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2.848 </w:t>
            </w:r>
          </w:p>
        </w:tc>
      </w:tr>
      <w:tr w:rsidR="00383888" w:rsidRPr="000615AB" w:rsidTr="00B47699">
        <w:tc>
          <w:tcPr>
            <w:tcW w:w="3055" w:type="dxa"/>
            <w:shd w:val="clear" w:color="auto" w:fill="auto"/>
          </w:tcPr>
          <w:p w:rsidR="00383888" w:rsidRPr="000615AB" w:rsidRDefault="00383888" w:rsidP="00B47699">
            <w:pPr>
              <w:rPr>
                <w:snapToGrid w:val="0"/>
                <w:sz w:val="18"/>
                <w:szCs w:val="18"/>
              </w:rPr>
            </w:pPr>
            <w:r w:rsidRPr="000615AB">
              <w:rPr>
                <w:snapToGrid w:val="0"/>
                <w:sz w:val="18"/>
                <w:szCs w:val="18"/>
              </w:rPr>
              <w:t>San Marino</w:t>
            </w:r>
          </w:p>
        </w:tc>
        <w:tc>
          <w:tcPr>
            <w:tcW w:w="1125" w:type="dxa"/>
            <w:shd w:val="clear" w:color="auto" w:fill="auto"/>
          </w:tcPr>
          <w:p w:rsidR="00383888" w:rsidRPr="000615AB" w:rsidRDefault="00383888" w:rsidP="00B47699">
            <w:pPr>
              <w:jc w:val="center"/>
              <w:rPr>
                <w:snapToGrid w:val="0"/>
                <w:sz w:val="18"/>
                <w:szCs w:val="18"/>
              </w:rPr>
            </w:pPr>
            <w:r w:rsidRPr="000615AB">
              <w:rPr>
                <w:snapToGrid w:val="0"/>
                <w:sz w:val="18"/>
                <w:szCs w:val="18"/>
              </w:rPr>
              <w:t>IX</w:t>
            </w:r>
          </w:p>
        </w:tc>
        <w:tc>
          <w:tcPr>
            <w:tcW w:w="1210" w:type="dxa"/>
            <w:shd w:val="clear" w:color="auto" w:fill="auto"/>
          </w:tcPr>
          <w:p w:rsidR="00383888" w:rsidRPr="000615AB" w:rsidRDefault="00383888" w:rsidP="00B47699">
            <w:pPr>
              <w:jc w:val="right"/>
              <w:rPr>
                <w:snapToGrid w:val="0"/>
                <w:sz w:val="18"/>
                <w:szCs w:val="18"/>
              </w:rPr>
            </w:pPr>
            <w:r w:rsidRPr="000615AB">
              <w:rPr>
                <w:snapToGrid w:val="0"/>
                <w:sz w:val="18"/>
                <w:szCs w:val="18"/>
              </w:rPr>
              <w:t>0,25</w:t>
            </w:r>
          </w:p>
        </w:tc>
        <w:tc>
          <w:tcPr>
            <w:tcW w:w="1320" w:type="dxa"/>
            <w:shd w:val="clear"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11.395 </w:t>
            </w:r>
          </w:p>
        </w:tc>
        <w:tc>
          <w:tcPr>
            <w:tcW w:w="1430" w:type="dxa"/>
            <w:shd w:val="clear"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11.395 </w:t>
            </w:r>
          </w:p>
        </w:tc>
        <w:tc>
          <w:tcPr>
            <w:tcW w:w="1388" w:type="dxa"/>
            <w:shd w:val="clear"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22.790 </w:t>
            </w:r>
          </w:p>
        </w:tc>
      </w:tr>
      <w:tr w:rsidR="00383888" w:rsidRPr="000615AB" w:rsidTr="00B47699">
        <w:tc>
          <w:tcPr>
            <w:tcW w:w="3055" w:type="dxa"/>
            <w:shd w:val="pct15" w:color="auto" w:fill="auto"/>
          </w:tcPr>
          <w:p w:rsidR="00383888" w:rsidRPr="000615AB" w:rsidRDefault="00383888" w:rsidP="00B47699">
            <w:pPr>
              <w:rPr>
                <w:snapToGrid w:val="0"/>
                <w:sz w:val="18"/>
                <w:szCs w:val="18"/>
              </w:rPr>
            </w:pPr>
            <w:r w:rsidRPr="000615AB">
              <w:rPr>
                <w:snapToGrid w:val="0"/>
                <w:sz w:val="18"/>
                <w:szCs w:val="18"/>
              </w:rPr>
              <w:t>San Vicente y las Granadinas</w:t>
            </w:r>
          </w:p>
        </w:tc>
        <w:tc>
          <w:tcPr>
            <w:tcW w:w="1125" w:type="dxa"/>
            <w:shd w:val="pct15" w:color="auto" w:fill="auto"/>
          </w:tcPr>
          <w:p w:rsidR="00383888" w:rsidRPr="000615AB" w:rsidRDefault="00383888" w:rsidP="00B47699">
            <w:pPr>
              <w:jc w:val="center"/>
              <w:rPr>
                <w:i/>
                <w:snapToGrid w:val="0"/>
                <w:sz w:val="18"/>
                <w:szCs w:val="18"/>
              </w:rPr>
            </w:pPr>
            <w:r w:rsidRPr="000615AB">
              <w:rPr>
                <w:snapToGrid w:val="0"/>
                <w:sz w:val="18"/>
                <w:szCs w:val="18"/>
              </w:rPr>
              <w:t>S</w:t>
            </w:r>
            <w:r w:rsidRPr="000615AB">
              <w:rPr>
                <w:i/>
                <w:snapToGrid w:val="0"/>
                <w:sz w:val="18"/>
                <w:szCs w:val="18"/>
              </w:rPr>
              <w:t>bis</w:t>
            </w:r>
          </w:p>
        </w:tc>
        <w:tc>
          <w:tcPr>
            <w:tcW w:w="1210" w:type="dxa"/>
            <w:shd w:val="pct15" w:color="auto" w:fill="auto"/>
          </w:tcPr>
          <w:p w:rsidR="00383888" w:rsidRPr="000615AB" w:rsidRDefault="00383888" w:rsidP="00B47699">
            <w:pPr>
              <w:jc w:val="right"/>
              <w:rPr>
                <w:snapToGrid w:val="0"/>
                <w:sz w:val="18"/>
                <w:szCs w:val="18"/>
              </w:rPr>
            </w:pPr>
            <w:r w:rsidRPr="000615AB">
              <w:rPr>
                <w:snapToGrid w:val="0"/>
                <w:sz w:val="18"/>
                <w:szCs w:val="18"/>
              </w:rPr>
              <w:t>0,0625</w:t>
            </w:r>
          </w:p>
        </w:tc>
        <w:tc>
          <w:tcPr>
            <w:tcW w:w="1320"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2.849 </w:t>
            </w:r>
          </w:p>
        </w:tc>
        <w:tc>
          <w:tcPr>
            <w:tcW w:w="1430"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2.849 </w:t>
            </w:r>
          </w:p>
        </w:tc>
        <w:tc>
          <w:tcPr>
            <w:tcW w:w="1388"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5.698 </w:t>
            </w:r>
          </w:p>
        </w:tc>
      </w:tr>
      <w:tr w:rsidR="00383888" w:rsidRPr="000615AB" w:rsidTr="00B47699">
        <w:tc>
          <w:tcPr>
            <w:tcW w:w="3055" w:type="dxa"/>
            <w:shd w:val="clear" w:color="auto" w:fill="auto"/>
          </w:tcPr>
          <w:p w:rsidR="00383888" w:rsidRPr="000615AB" w:rsidRDefault="00383888" w:rsidP="00B47699">
            <w:pPr>
              <w:rPr>
                <w:snapToGrid w:val="0"/>
                <w:sz w:val="18"/>
                <w:szCs w:val="18"/>
              </w:rPr>
            </w:pPr>
            <w:r w:rsidRPr="000615AB">
              <w:rPr>
                <w:snapToGrid w:val="0"/>
                <w:sz w:val="18"/>
                <w:szCs w:val="18"/>
              </w:rPr>
              <w:t>Santa Lucía</w:t>
            </w:r>
          </w:p>
        </w:tc>
        <w:tc>
          <w:tcPr>
            <w:tcW w:w="1125" w:type="dxa"/>
            <w:shd w:val="clear" w:color="auto" w:fill="auto"/>
          </w:tcPr>
          <w:p w:rsidR="00383888" w:rsidRPr="000615AB" w:rsidRDefault="00383888" w:rsidP="00B47699">
            <w:pPr>
              <w:jc w:val="center"/>
              <w:rPr>
                <w:i/>
                <w:snapToGrid w:val="0"/>
                <w:sz w:val="18"/>
                <w:szCs w:val="18"/>
              </w:rPr>
            </w:pPr>
            <w:r w:rsidRPr="000615AB">
              <w:rPr>
                <w:snapToGrid w:val="0"/>
                <w:sz w:val="18"/>
                <w:szCs w:val="18"/>
              </w:rPr>
              <w:t>S</w:t>
            </w:r>
            <w:r w:rsidRPr="000615AB">
              <w:rPr>
                <w:i/>
                <w:snapToGrid w:val="0"/>
                <w:sz w:val="18"/>
                <w:szCs w:val="18"/>
              </w:rPr>
              <w:t>bis</w:t>
            </w:r>
          </w:p>
        </w:tc>
        <w:tc>
          <w:tcPr>
            <w:tcW w:w="1210" w:type="dxa"/>
            <w:shd w:val="clear" w:color="auto" w:fill="auto"/>
          </w:tcPr>
          <w:p w:rsidR="00383888" w:rsidRPr="000615AB" w:rsidRDefault="00383888" w:rsidP="00B47699">
            <w:pPr>
              <w:jc w:val="right"/>
              <w:rPr>
                <w:snapToGrid w:val="0"/>
                <w:sz w:val="18"/>
                <w:szCs w:val="18"/>
              </w:rPr>
            </w:pPr>
            <w:r w:rsidRPr="000615AB">
              <w:rPr>
                <w:snapToGrid w:val="0"/>
                <w:sz w:val="18"/>
                <w:szCs w:val="18"/>
              </w:rPr>
              <w:t>0,0625</w:t>
            </w:r>
          </w:p>
        </w:tc>
        <w:tc>
          <w:tcPr>
            <w:tcW w:w="1320" w:type="dxa"/>
            <w:shd w:val="clear"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2.849 </w:t>
            </w:r>
          </w:p>
        </w:tc>
        <w:tc>
          <w:tcPr>
            <w:tcW w:w="1430" w:type="dxa"/>
            <w:shd w:val="clear"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2.849 </w:t>
            </w:r>
          </w:p>
        </w:tc>
        <w:tc>
          <w:tcPr>
            <w:tcW w:w="1388" w:type="dxa"/>
            <w:shd w:val="clear"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5.698 </w:t>
            </w:r>
          </w:p>
        </w:tc>
      </w:tr>
      <w:tr w:rsidR="00383888" w:rsidRPr="000615AB" w:rsidTr="00B47699">
        <w:tc>
          <w:tcPr>
            <w:tcW w:w="3055" w:type="dxa"/>
            <w:shd w:val="pct15" w:color="auto" w:fill="auto"/>
          </w:tcPr>
          <w:p w:rsidR="00383888" w:rsidRPr="000615AB" w:rsidRDefault="00383888" w:rsidP="00B47699">
            <w:pPr>
              <w:rPr>
                <w:snapToGrid w:val="0"/>
                <w:sz w:val="18"/>
                <w:szCs w:val="18"/>
              </w:rPr>
            </w:pPr>
            <w:r w:rsidRPr="000615AB">
              <w:rPr>
                <w:snapToGrid w:val="0"/>
                <w:sz w:val="18"/>
                <w:szCs w:val="18"/>
              </w:rPr>
              <w:t xml:space="preserve">Santa Sede </w:t>
            </w:r>
          </w:p>
        </w:tc>
        <w:tc>
          <w:tcPr>
            <w:tcW w:w="1125" w:type="dxa"/>
            <w:shd w:val="pct15" w:color="auto" w:fill="auto"/>
          </w:tcPr>
          <w:p w:rsidR="00383888" w:rsidRPr="000615AB" w:rsidRDefault="00383888" w:rsidP="00B47699">
            <w:pPr>
              <w:jc w:val="center"/>
              <w:rPr>
                <w:snapToGrid w:val="0"/>
                <w:sz w:val="18"/>
                <w:szCs w:val="18"/>
              </w:rPr>
            </w:pPr>
            <w:r w:rsidRPr="000615AB">
              <w:rPr>
                <w:snapToGrid w:val="0"/>
                <w:sz w:val="18"/>
                <w:szCs w:val="18"/>
              </w:rPr>
              <w:t>IX</w:t>
            </w:r>
          </w:p>
        </w:tc>
        <w:tc>
          <w:tcPr>
            <w:tcW w:w="1210" w:type="dxa"/>
            <w:shd w:val="pct15" w:color="auto" w:fill="auto"/>
          </w:tcPr>
          <w:p w:rsidR="00383888" w:rsidRPr="000615AB" w:rsidRDefault="00383888" w:rsidP="00B47699">
            <w:pPr>
              <w:jc w:val="right"/>
              <w:rPr>
                <w:snapToGrid w:val="0"/>
                <w:sz w:val="18"/>
                <w:szCs w:val="18"/>
              </w:rPr>
            </w:pPr>
            <w:r w:rsidRPr="000615AB">
              <w:rPr>
                <w:snapToGrid w:val="0"/>
                <w:sz w:val="18"/>
                <w:szCs w:val="18"/>
              </w:rPr>
              <w:t>0,25</w:t>
            </w:r>
          </w:p>
        </w:tc>
        <w:tc>
          <w:tcPr>
            <w:tcW w:w="1320"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11.395 </w:t>
            </w:r>
          </w:p>
        </w:tc>
        <w:tc>
          <w:tcPr>
            <w:tcW w:w="1430"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11.395 </w:t>
            </w:r>
          </w:p>
        </w:tc>
        <w:tc>
          <w:tcPr>
            <w:tcW w:w="1388"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22.790 </w:t>
            </w:r>
          </w:p>
        </w:tc>
      </w:tr>
      <w:tr w:rsidR="00383888" w:rsidRPr="000615AB" w:rsidTr="00B47699">
        <w:tc>
          <w:tcPr>
            <w:tcW w:w="3055" w:type="dxa"/>
            <w:shd w:val="clear" w:color="auto" w:fill="auto"/>
          </w:tcPr>
          <w:p w:rsidR="00383888" w:rsidRPr="000615AB" w:rsidRDefault="00383888" w:rsidP="00B47699">
            <w:pPr>
              <w:rPr>
                <w:snapToGrid w:val="0"/>
                <w:sz w:val="18"/>
                <w:szCs w:val="18"/>
              </w:rPr>
            </w:pPr>
            <w:r w:rsidRPr="000615AB">
              <w:rPr>
                <w:snapToGrid w:val="0"/>
                <w:sz w:val="18"/>
                <w:szCs w:val="18"/>
              </w:rPr>
              <w:t>Santo Tomé y Príncipe</w:t>
            </w:r>
          </w:p>
        </w:tc>
        <w:tc>
          <w:tcPr>
            <w:tcW w:w="1125" w:type="dxa"/>
            <w:shd w:val="clear" w:color="auto" w:fill="auto"/>
          </w:tcPr>
          <w:p w:rsidR="00383888" w:rsidRPr="000615AB" w:rsidRDefault="00383888" w:rsidP="00B47699">
            <w:pPr>
              <w:jc w:val="center"/>
              <w:rPr>
                <w:i/>
                <w:snapToGrid w:val="0"/>
                <w:sz w:val="18"/>
                <w:szCs w:val="18"/>
              </w:rPr>
            </w:pPr>
            <w:r w:rsidRPr="000615AB">
              <w:rPr>
                <w:snapToGrid w:val="0"/>
                <w:sz w:val="18"/>
                <w:szCs w:val="18"/>
              </w:rPr>
              <w:t>S</w:t>
            </w:r>
            <w:r w:rsidRPr="000615AB">
              <w:rPr>
                <w:i/>
                <w:snapToGrid w:val="0"/>
                <w:sz w:val="18"/>
                <w:szCs w:val="18"/>
              </w:rPr>
              <w:t>ter</w:t>
            </w:r>
          </w:p>
        </w:tc>
        <w:tc>
          <w:tcPr>
            <w:tcW w:w="1210" w:type="dxa"/>
            <w:shd w:val="clear" w:color="auto" w:fill="auto"/>
          </w:tcPr>
          <w:p w:rsidR="00383888" w:rsidRPr="000615AB" w:rsidRDefault="00383888" w:rsidP="00B47699">
            <w:pPr>
              <w:jc w:val="right"/>
              <w:rPr>
                <w:snapToGrid w:val="0"/>
                <w:sz w:val="18"/>
                <w:szCs w:val="18"/>
              </w:rPr>
            </w:pPr>
            <w:r w:rsidRPr="000615AB">
              <w:rPr>
                <w:snapToGrid w:val="0"/>
                <w:sz w:val="18"/>
                <w:szCs w:val="18"/>
              </w:rPr>
              <w:t>0,03125</w:t>
            </w:r>
          </w:p>
        </w:tc>
        <w:tc>
          <w:tcPr>
            <w:tcW w:w="1320" w:type="dxa"/>
            <w:shd w:val="clear"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1.424 </w:t>
            </w:r>
          </w:p>
        </w:tc>
        <w:tc>
          <w:tcPr>
            <w:tcW w:w="1430" w:type="dxa"/>
            <w:shd w:val="clear"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1.424 </w:t>
            </w:r>
          </w:p>
        </w:tc>
        <w:tc>
          <w:tcPr>
            <w:tcW w:w="1388" w:type="dxa"/>
            <w:shd w:val="clear"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2.848 </w:t>
            </w:r>
          </w:p>
        </w:tc>
      </w:tr>
      <w:tr w:rsidR="00383888" w:rsidRPr="000615AB" w:rsidTr="00B47699">
        <w:tc>
          <w:tcPr>
            <w:tcW w:w="3055" w:type="dxa"/>
            <w:shd w:val="pct15" w:color="auto" w:fill="auto"/>
          </w:tcPr>
          <w:p w:rsidR="00383888" w:rsidRPr="000615AB" w:rsidRDefault="00383888" w:rsidP="00B47699">
            <w:pPr>
              <w:rPr>
                <w:snapToGrid w:val="0"/>
                <w:sz w:val="18"/>
                <w:szCs w:val="18"/>
              </w:rPr>
            </w:pPr>
            <w:r w:rsidRPr="000615AB">
              <w:rPr>
                <w:snapToGrid w:val="0"/>
                <w:sz w:val="18"/>
                <w:szCs w:val="18"/>
              </w:rPr>
              <w:t>Senegal</w:t>
            </w:r>
          </w:p>
        </w:tc>
        <w:tc>
          <w:tcPr>
            <w:tcW w:w="1125" w:type="dxa"/>
            <w:shd w:val="pct15" w:color="auto" w:fill="auto"/>
          </w:tcPr>
          <w:p w:rsidR="00383888" w:rsidRPr="000615AB" w:rsidRDefault="00383888" w:rsidP="00B47699">
            <w:pPr>
              <w:jc w:val="center"/>
              <w:rPr>
                <w:i/>
                <w:iCs/>
                <w:snapToGrid w:val="0"/>
                <w:sz w:val="18"/>
                <w:szCs w:val="18"/>
              </w:rPr>
            </w:pPr>
            <w:r w:rsidRPr="000615AB">
              <w:rPr>
                <w:i/>
                <w:iCs/>
                <w:snapToGrid w:val="0"/>
                <w:sz w:val="18"/>
                <w:szCs w:val="18"/>
              </w:rPr>
              <w:t>Ster</w:t>
            </w:r>
          </w:p>
        </w:tc>
        <w:tc>
          <w:tcPr>
            <w:tcW w:w="1210" w:type="dxa"/>
            <w:shd w:val="pct15" w:color="auto" w:fill="auto"/>
          </w:tcPr>
          <w:p w:rsidR="00383888" w:rsidRPr="000615AB" w:rsidRDefault="00383888" w:rsidP="00B47699">
            <w:pPr>
              <w:jc w:val="right"/>
              <w:rPr>
                <w:snapToGrid w:val="0"/>
                <w:sz w:val="18"/>
                <w:szCs w:val="18"/>
              </w:rPr>
            </w:pPr>
            <w:r w:rsidRPr="000615AB">
              <w:rPr>
                <w:snapToGrid w:val="0"/>
                <w:sz w:val="18"/>
                <w:szCs w:val="18"/>
              </w:rPr>
              <w:t>0,03125</w:t>
            </w:r>
          </w:p>
        </w:tc>
        <w:tc>
          <w:tcPr>
            <w:tcW w:w="1320" w:type="dxa"/>
            <w:shd w:val="pct15" w:color="auto" w:fill="auto"/>
          </w:tcPr>
          <w:p w:rsidR="00383888" w:rsidRPr="000615AB" w:rsidRDefault="00383888" w:rsidP="00B47699">
            <w:pPr>
              <w:jc w:val="right"/>
              <w:rPr>
                <w:snapToGrid w:val="0"/>
                <w:sz w:val="18"/>
                <w:szCs w:val="18"/>
              </w:rPr>
            </w:pPr>
            <w:r w:rsidRPr="000615AB">
              <w:rPr>
                <w:snapToGrid w:val="0"/>
                <w:sz w:val="18"/>
                <w:szCs w:val="18"/>
              </w:rPr>
              <w:t>1.424</w:t>
            </w:r>
          </w:p>
        </w:tc>
        <w:tc>
          <w:tcPr>
            <w:tcW w:w="1430" w:type="dxa"/>
            <w:shd w:val="pct15" w:color="auto" w:fill="auto"/>
          </w:tcPr>
          <w:p w:rsidR="00383888" w:rsidRPr="000615AB" w:rsidRDefault="00383888" w:rsidP="00B47699">
            <w:pPr>
              <w:jc w:val="right"/>
              <w:rPr>
                <w:snapToGrid w:val="0"/>
                <w:sz w:val="18"/>
                <w:szCs w:val="18"/>
              </w:rPr>
            </w:pPr>
            <w:r w:rsidRPr="000615AB">
              <w:rPr>
                <w:snapToGrid w:val="0"/>
                <w:sz w:val="18"/>
                <w:szCs w:val="18"/>
              </w:rPr>
              <w:t>1.424</w:t>
            </w:r>
          </w:p>
        </w:tc>
        <w:tc>
          <w:tcPr>
            <w:tcW w:w="1388" w:type="dxa"/>
            <w:shd w:val="pct15" w:color="auto" w:fill="auto"/>
          </w:tcPr>
          <w:p w:rsidR="00383888" w:rsidRPr="000615AB" w:rsidRDefault="00383888" w:rsidP="00B47699">
            <w:pPr>
              <w:jc w:val="right"/>
              <w:rPr>
                <w:snapToGrid w:val="0"/>
                <w:sz w:val="18"/>
                <w:szCs w:val="18"/>
              </w:rPr>
            </w:pPr>
            <w:r w:rsidRPr="000615AB">
              <w:rPr>
                <w:snapToGrid w:val="0"/>
                <w:sz w:val="18"/>
                <w:szCs w:val="18"/>
              </w:rPr>
              <w:t>2.848</w:t>
            </w:r>
          </w:p>
        </w:tc>
      </w:tr>
      <w:tr w:rsidR="00383888" w:rsidRPr="000615AB" w:rsidTr="00B47699">
        <w:tc>
          <w:tcPr>
            <w:tcW w:w="3055" w:type="dxa"/>
            <w:shd w:val="clear" w:color="auto" w:fill="auto"/>
          </w:tcPr>
          <w:p w:rsidR="00383888" w:rsidRPr="000615AB" w:rsidRDefault="00383888" w:rsidP="00B47699">
            <w:pPr>
              <w:rPr>
                <w:snapToGrid w:val="0"/>
                <w:sz w:val="18"/>
                <w:szCs w:val="18"/>
              </w:rPr>
            </w:pPr>
            <w:r w:rsidRPr="000615AB">
              <w:rPr>
                <w:snapToGrid w:val="0"/>
                <w:sz w:val="18"/>
                <w:szCs w:val="18"/>
              </w:rPr>
              <w:t>Serbia</w:t>
            </w:r>
          </w:p>
        </w:tc>
        <w:tc>
          <w:tcPr>
            <w:tcW w:w="1125" w:type="dxa"/>
            <w:shd w:val="clear" w:color="auto" w:fill="auto"/>
          </w:tcPr>
          <w:p w:rsidR="00383888" w:rsidRPr="000615AB" w:rsidRDefault="00383888" w:rsidP="00B47699">
            <w:pPr>
              <w:jc w:val="center"/>
              <w:rPr>
                <w:i/>
                <w:snapToGrid w:val="0"/>
                <w:sz w:val="18"/>
                <w:szCs w:val="18"/>
              </w:rPr>
            </w:pPr>
            <w:r w:rsidRPr="000615AB">
              <w:rPr>
                <w:snapToGrid w:val="0"/>
                <w:sz w:val="18"/>
                <w:szCs w:val="18"/>
              </w:rPr>
              <w:t>VIII</w:t>
            </w:r>
          </w:p>
        </w:tc>
        <w:tc>
          <w:tcPr>
            <w:tcW w:w="1210" w:type="dxa"/>
            <w:shd w:val="clear" w:color="auto" w:fill="auto"/>
          </w:tcPr>
          <w:p w:rsidR="00383888" w:rsidRPr="000615AB" w:rsidRDefault="00383888" w:rsidP="00B47699">
            <w:pPr>
              <w:jc w:val="right"/>
              <w:rPr>
                <w:snapToGrid w:val="0"/>
                <w:sz w:val="18"/>
                <w:szCs w:val="18"/>
              </w:rPr>
            </w:pPr>
            <w:r w:rsidRPr="000615AB">
              <w:rPr>
                <w:snapToGrid w:val="0"/>
                <w:sz w:val="18"/>
                <w:szCs w:val="18"/>
              </w:rPr>
              <w:t>0,5</w:t>
            </w:r>
          </w:p>
        </w:tc>
        <w:tc>
          <w:tcPr>
            <w:tcW w:w="1320" w:type="dxa"/>
            <w:shd w:val="clear" w:color="auto" w:fill="auto"/>
          </w:tcPr>
          <w:p w:rsidR="00383888" w:rsidRPr="000615AB" w:rsidRDefault="00383888" w:rsidP="00B47699">
            <w:pPr>
              <w:jc w:val="right"/>
              <w:rPr>
                <w:snapToGrid w:val="0"/>
                <w:sz w:val="18"/>
                <w:szCs w:val="18"/>
              </w:rPr>
            </w:pPr>
            <w:r w:rsidRPr="000615AB">
              <w:rPr>
                <w:snapToGrid w:val="0"/>
                <w:sz w:val="18"/>
                <w:szCs w:val="18"/>
              </w:rPr>
              <w:t>22.789</w:t>
            </w:r>
          </w:p>
        </w:tc>
        <w:tc>
          <w:tcPr>
            <w:tcW w:w="1430" w:type="dxa"/>
            <w:shd w:val="clear" w:color="auto" w:fill="auto"/>
          </w:tcPr>
          <w:p w:rsidR="00383888" w:rsidRPr="000615AB" w:rsidRDefault="00383888" w:rsidP="00B47699">
            <w:pPr>
              <w:jc w:val="right"/>
              <w:rPr>
                <w:snapToGrid w:val="0"/>
                <w:sz w:val="18"/>
                <w:szCs w:val="18"/>
              </w:rPr>
            </w:pPr>
            <w:r w:rsidRPr="000615AB">
              <w:rPr>
                <w:snapToGrid w:val="0"/>
                <w:sz w:val="18"/>
                <w:szCs w:val="18"/>
              </w:rPr>
              <w:t>22.789</w:t>
            </w:r>
          </w:p>
        </w:tc>
        <w:tc>
          <w:tcPr>
            <w:tcW w:w="1388" w:type="dxa"/>
            <w:shd w:val="clear" w:color="auto" w:fill="auto"/>
          </w:tcPr>
          <w:p w:rsidR="00383888" w:rsidRPr="000615AB" w:rsidRDefault="00383888" w:rsidP="00B47699">
            <w:pPr>
              <w:jc w:val="right"/>
              <w:rPr>
                <w:snapToGrid w:val="0"/>
                <w:sz w:val="18"/>
                <w:szCs w:val="18"/>
              </w:rPr>
            </w:pPr>
            <w:r w:rsidRPr="000615AB">
              <w:rPr>
                <w:snapToGrid w:val="0"/>
                <w:sz w:val="18"/>
                <w:szCs w:val="18"/>
              </w:rPr>
              <w:t>45.578</w:t>
            </w:r>
          </w:p>
        </w:tc>
      </w:tr>
      <w:tr w:rsidR="00383888" w:rsidRPr="000615AB" w:rsidTr="00B47699">
        <w:tc>
          <w:tcPr>
            <w:tcW w:w="3055" w:type="dxa"/>
            <w:shd w:val="pct15" w:color="auto" w:fill="auto"/>
          </w:tcPr>
          <w:p w:rsidR="00383888" w:rsidRPr="000615AB" w:rsidRDefault="00383888" w:rsidP="00B47699">
            <w:pPr>
              <w:rPr>
                <w:snapToGrid w:val="0"/>
                <w:sz w:val="18"/>
                <w:szCs w:val="18"/>
                <w:vertAlign w:val="superscript"/>
              </w:rPr>
            </w:pPr>
            <w:r w:rsidRPr="000615AB">
              <w:rPr>
                <w:snapToGrid w:val="0"/>
                <w:sz w:val="18"/>
                <w:szCs w:val="18"/>
              </w:rPr>
              <w:t xml:space="preserve">Seychelles </w:t>
            </w:r>
          </w:p>
        </w:tc>
        <w:tc>
          <w:tcPr>
            <w:tcW w:w="1125" w:type="dxa"/>
            <w:shd w:val="pct15" w:color="auto" w:fill="auto"/>
          </w:tcPr>
          <w:p w:rsidR="00383888" w:rsidRPr="000615AB" w:rsidRDefault="00383888" w:rsidP="00B47699">
            <w:pPr>
              <w:jc w:val="center"/>
              <w:rPr>
                <w:i/>
                <w:snapToGrid w:val="0"/>
                <w:sz w:val="18"/>
                <w:szCs w:val="18"/>
              </w:rPr>
            </w:pPr>
            <w:r w:rsidRPr="000615AB">
              <w:rPr>
                <w:snapToGrid w:val="0"/>
                <w:sz w:val="18"/>
                <w:szCs w:val="18"/>
              </w:rPr>
              <w:t>S</w:t>
            </w:r>
            <w:r w:rsidRPr="000615AB">
              <w:rPr>
                <w:i/>
                <w:snapToGrid w:val="0"/>
                <w:sz w:val="18"/>
                <w:szCs w:val="18"/>
              </w:rPr>
              <w:t>bis</w:t>
            </w:r>
          </w:p>
        </w:tc>
        <w:tc>
          <w:tcPr>
            <w:tcW w:w="1210" w:type="dxa"/>
            <w:shd w:val="pct15" w:color="auto" w:fill="auto"/>
          </w:tcPr>
          <w:p w:rsidR="00383888" w:rsidRPr="000615AB" w:rsidRDefault="00383888" w:rsidP="00B47699">
            <w:pPr>
              <w:jc w:val="right"/>
              <w:rPr>
                <w:snapToGrid w:val="0"/>
                <w:sz w:val="18"/>
                <w:szCs w:val="18"/>
              </w:rPr>
            </w:pPr>
            <w:r w:rsidRPr="000615AB">
              <w:rPr>
                <w:snapToGrid w:val="0"/>
                <w:sz w:val="18"/>
                <w:szCs w:val="18"/>
              </w:rPr>
              <w:t>0,0625</w:t>
            </w:r>
          </w:p>
        </w:tc>
        <w:tc>
          <w:tcPr>
            <w:tcW w:w="1320"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2.849 </w:t>
            </w:r>
          </w:p>
        </w:tc>
        <w:tc>
          <w:tcPr>
            <w:tcW w:w="1430"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2.849 </w:t>
            </w:r>
          </w:p>
        </w:tc>
        <w:tc>
          <w:tcPr>
            <w:tcW w:w="1388"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5.698 </w:t>
            </w:r>
          </w:p>
        </w:tc>
      </w:tr>
      <w:tr w:rsidR="00383888" w:rsidRPr="000615AB" w:rsidTr="00B47699">
        <w:tc>
          <w:tcPr>
            <w:tcW w:w="3055" w:type="dxa"/>
            <w:shd w:val="clear" w:color="auto" w:fill="auto"/>
          </w:tcPr>
          <w:p w:rsidR="00383888" w:rsidRPr="000615AB" w:rsidRDefault="00383888" w:rsidP="00B47699">
            <w:pPr>
              <w:rPr>
                <w:snapToGrid w:val="0"/>
                <w:sz w:val="18"/>
                <w:szCs w:val="18"/>
              </w:rPr>
            </w:pPr>
            <w:r w:rsidRPr="000615AB">
              <w:rPr>
                <w:snapToGrid w:val="0"/>
                <w:sz w:val="18"/>
                <w:szCs w:val="18"/>
              </w:rPr>
              <w:t>Sierra Leona</w:t>
            </w:r>
          </w:p>
        </w:tc>
        <w:tc>
          <w:tcPr>
            <w:tcW w:w="1125" w:type="dxa"/>
            <w:shd w:val="clear" w:color="auto" w:fill="auto"/>
          </w:tcPr>
          <w:p w:rsidR="00383888" w:rsidRPr="000615AB" w:rsidRDefault="00383888" w:rsidP="00B47699">
            <w:pPr>
              <w:jc w:val="center"/>
              <w:rPr>
                <w:i/>
                <w:snapToGrid w:val="0"/>
                <w:sz w:val="18"/>
                <w:szCs w:val="18"/>
              </w:rPr>
            </w:pPr>
            <w:r w:rsidRPr="000615AB">
              <w:rPr>
                <w:snapToGrid w:val="0"/>
                <w:sz w:val="18"/>
                <w:szCs w:val="18"/>
              </w:rPr>
              <w:t>S</w:t>
            </w:r>
            <w:r w:rsidRPr="000615AB">
              <w:rPr>
                <w:i/>
                <w:snapToGrid w:val="0"/>
                <w:sz w:val="18"/>
                <w:szCs w:val="18"/>
              </w:rPr>
              <w:t>ter</w:t>
            </w:r>
          </w:p>
        </w:tc>
        <w:tc>
          <w:tcPr>
            <w:tcW w:w="1210" w:type="dxa"/>
            <w:shd w:val="clear" w:color="auto" w:fill="auto"/>
          </w:tcPr>
          <w:p w:rsidR="00383888" w:rsidRPr="000615AB" w:rsidRDefault="00383888" w:rsidP="00B47699">
            <w:pPr>
              <w:jc w:val="right"/>
              <w:rPr>
                <w:snapToGrid w:val="0"/>
                <w:sz w:val="18"/>
                <w:szCs w:val="18"/>
              </w:rPr>
            </w:pPr>
            <w:r w:rsidRPr="000615AB">
              <w:rPr>
                <w:snapToGrid w:val="0"/>
                <w:sz w:val="18"/>
                <w:szCs w:val="18"/>
              </w:rPr>
              <w:t>0,03125</w:t>
            </w:r>
          </w:p>
        </w:tc>
        <w:tc>
          <w:tcPr>
            <w:tcW w:w="1320" w:type="dxa"/>
            <w:shd w:val="clear"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1.424 </w:t>
            </w:r>
          </w:p>
        </w:tc>
        <w:tc>
          <w:tcPr>
            <w:tcW w:w="1430" w:type="dxa"/>
            <w:shd w:val="clear"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1.424 </w:t>
            </w:r>
          </w:p>
        </w:tc>
        <w:tc>
          <w:tcPr>
            <w:tcW w:w="1388" w:type="dxa"/>
            <w:shd w:val="clear"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2.848 </w:t>
            </w:r>
          </w:p>
        </w:tc>
      </w:tr>
      <w:tr w:rsidR="00383888" w:rsidRPr="000615AB" w:rsidTr="00B47699">
        <w:tc>
          <w:tcPr>
            <w:tcW w:w="3055" w:type="dxa"/>
            <w:shd w:val="pct15" w:color="auto" w:fill="auto"/>
          </w:tcPr>
          <w:p w:rsidR="00383888" w:rsidRPr="000615AB" w:rsidRDefault="00383888" w:rsidP="00B47699">
            <w:pPr>
              <w:rPr>
                <w:snapToGrid w:val="0"/>
                <w:sz w:val="18"/>
                <w:szCs w:val="18"/>
              </w:rPr>
            </w:pPr>
            <w:r w:rsidRPr="000615AB">
              <w:rPr>
                <w:snapToGrid w:val="0"/>
                <w:sz w:val="18"/>
                <w:szCs w:val="18"/>
              </w:rPr>
              <w:t>Singapur</w:t>
            </w:r>
          </w:p>
        </w:tc>
        <w:tc>
          <w:tcPr>
            <w:tcW w:w="1125" w:type="dxa"/>
            <w:shd w:val="pct15" w:color="auto" w:fill="auto"/>
          </w:tcPr>
          <w:p w:rsidR="00383888" w:rsidRPr="000615AB" w:rsidRDefault="00383888" w:rsidP="00B47699">
            <w:pPr>
              <w:jc w:val="center"/>
              <w:rPr>
                <w:snapToGrid w:val="0"/>
                <w:sz w:val="18"/>
                <w:szCs w:val="18"/>
              </w:rPr>
            </w:pPr>
            <w:r w:rsidRPr="000615AB">
              <w:rPr>
                <w:snapToGrid w:val="0"/>
                <w:sz w:val="18"/>
                <w:szCs w:val="18"/>
              </w:rPr>
              <w:t>IX</w:t>
            </w:r>
          </w:p>
        </w:tc>
        <w:tc>
          <w:tcPr>
            <w:tcW w:w="1210" w:type="dxa"/>
            <w:shd w:val="pct15" w:color="auto" w:fill="auto"/>
          </w:tcPr>
          <w:p w:rsidR="00383888" w:rsidRPr="000615AB" w:rsidRDefault="00383888" w:rsidP="00B47699">
            <w:pPr>
              <w:jc w:val="right"/>
              <w:rPr>
                <w:snapToGrid w:val="0"/>
                <w:sz w:val="18"/>
                <w:szCs w:val="18"/>
              </w:rPr>
            </w:pPr>
            <w:r w:rsidRPr="000615AB">
              <w:rPr>
                <w:snapToGrid w:val="0"/>
                <w:sz w:val="18"/>
                <w:szCs w:val="18"/>
              </w:rPr>
              <w:t>0,25</w:t>
            </w:r>
          </w:p>
        </w:tc>
        <w:tc>
          <w:tcPr>
            <w:tcW w:w="1320"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11.395 </w:t>
            </w:r>
          </w:p>
        </w:tc>
        <w:tc>
          <w:tcPr>
            <w:tcW w:w="1430"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11.395 </w:t>
            </w:r>
          </w:p>
        </w:tc>
        <w:tc>
          <w:tcPr>
            <w:tcW w:w="1388"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22.790 </w:t>
            </w:r>
          </w:p>
        </w:tc>
      </w:tr>
      <w:tr w:rsidR="00383888" w:rsidRPr="000615AB" w:rsidTr="00B47699">
        <w:tc>
          <w:tcPr>
            <w:tcW w:w="3055" w:type="dxa"/>
            <w:shd w:val="clear" w:color="auto" w:fill="auto"/>
          </w:tcPr>
          <w:p w:rsidR="00383888" w:rsidRPr="000615AB" w:rsidRDefault="00383888" w:rsidP="00B47699">
            <w:pPr>
              <w:rPr>
                <w:snapToGrid w:val="0"/>
                <w:sz w:val="18"/>
                <w:szCs w:val="18"/>
                <w:vertAlign w:val="superscript"/>
              </w:rPr>
            </w:pPr>
            <w:r w:rsidRPr="000615AB">
              <w:rPr>
                <w:snapToGrid w:val="0"/>
                <w:sz w:val="18"/>
                <w:szCs w:val="18"/>
              </w:rPr>
              <w:t xml:space="preserve">Somalia </w:t>
            </w:r>
            <w:r w:rsidRPr="000615AB">
              <w:rPr>
                <w:snapToGrid w:val="0"/>
                <w:sz w:val="18"/>
                <w:szCs w:val="18"/>
                <w:vertAlign w:val="superscript"/>
              </w:rPr>
              <w:t>2</w:t>
            </w:r>
          </w:p>
        </w:tc>
        <w:tc>
          <w:tcPr>
            <w:tcW w:w="1125" w:type="dxa"/>
            <w:shd w:val="clear" w:color="auto" w:fill="auto"/>
          </w:tcPr>
          <w:p w:rsidR="00383888" w:rsidRPr="000615AB" w:rsidRDefault="00383888" w:rsidP="00B47699">
            <w:pPr>
              <w:jc w:val="center"/>
              <w:rPr>
                <w:i/>
                <w:snapToGrid w:val="0"/>
                <w:sz w:val="18"/>
                <w:szCs w:val="18"/>
              </w:rPr>
            </w:pPr>
            <w:r w:rsidRPr="000615AB">
              <w:rPr>
                <w:snapToGrid w:val="0"/>
                <w:sz w:val="18"/>
                <w:szCs w:val="18"/>
              </w:rPr>
              <w:t>S</w:t>
            </w:r>
            <w:r w:rsidRPr="000615AB">
              <w:rPr>
                <w:i/>
                <w:snapToGrid w:val="0"/>
                <w:sz w:val="18"/>
                <w:szCs w:val="18"/>
              </w:rPr>
              <w:t>ter</w:t>
            </w:r>
          </w:p>
        </w:tc>
        <w:tc>
          <w:tcPr>
            <w:tcW w:w="1210" w:type="dxa"/>
            <w:shd w:val="clear" w:color="auto" w:fill="auto"/>
          </w:tcPr>
          <w:p w:rsidR="00383888" w:rsidRPr="000615AB" w:rsidRDefault="00383888" w:rsidP="00B47699">
            <w:pPr>
              <w:jc w:val="right"/>
              <w:rPr>
                <w:snapToGrid w:val="0"/>
                <w:sz w:val="18"/>
                <w:szCs w:val="18"/>
              </w:rPr>
            </w:pPr>
            <w:r w:rsidRPr="000615AB">
              <w:rPr>
                <w:snapToGrid w:val="0"/>
                <w:sz w:val="18"/>
                <w:szCs w:val="18"/>
              </w:rPr>
              <w:t>0,03125</w:t>
            </w:r>
          </w:p>
        </w:tc>
        <w:tc>
          <w:tcPr>
            <w:tcW w:w="1320" w:type="dxa"/>
            <w:shd w:val="clear"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1.424 </w:t>
            </w:r>
          </w:p>
        </w:tc>
        <w:tc>
          <w:tcPr>
            <w:tcW w:w="1430" w:type="dxa"/>
            <w:shd w:val="clear"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1.424 </w:t>
            </w:r>
          </w:p>
        </w:tc>
        <w:tc>
          <w:tcPr>
            <w:tcW w:w="1388" w:type="dxa"/>
            <w:shd w:val="clear"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2.848 </w:t>
            </w:r>
          </w:p>
        </w:tc>
      </w:tr>
      <w:tr w:rsidR="00383888" w:rsidRPr="000615AB" w:rsidTr="00B47699">
        <w:tc>
          <w:tcPr>
            <w:tcW w:w="3055" w:type="dxa"/>
            <w:shd w:val="pct15" w:color="auto" w:fill="auto"/>
          </w:tcPr>
          <w:p w:rsidR="00383888" w:rsidRPr="000615AB" w:rsidRDefault="00383888" w:rsidP="00B47699">
            <w:pPr>
              <w:rPr>
                <w:snapToGrid w:val="0"/>
                <w:sz w:val="18"/>
                <w:szCs w:val="18"/>
              </w:rPr>
            </w:pPr>
            <w:r w:rsidRPr="000615AB">
              <w:rPr>
                <w:snapToGrid w:val="0"/>
                <w:sz w:val="18"/>
                <w:szCs w:val="18"/>
              </w:rPr>
              <w:t>Sri Lanka</w:t>
            </w:r>
          </w:p>
        </w:tc>
        <w:tc>
          <w:tcPr>
            <w:tcW w:w="1125" w:type="dxa"/>
            <w:shd w:val="pct15" w:color="auto" w:fill="auto"/>
          </w:tcPr>
          <w:p w:rsidR="00383888" w:rsidRPr="000615AB" w:rsidRDefault="00383888" w:rsidP="00B47699">
            <w:pPr>
              <w:jc w:val="center"/>
              <w:rPr>
                <w:i/>
                <w:snapToGrid w:val="0"/>
                <w:sz w:val="18"/>
                <w:szCs w:val="18"/>
              </w:rPr>
            </w:pPr>
            <w:r w:rsidRPr="000615AB">
              <w:rPr>
                <w:snapToGrid w:val="0"/>
                <w:sz w:val="18"/>
                <w:szCs w:val="18"/>
              </w:rPr>
              <w:t>S</w:t>
            </w:r>
          </w:p>
        </w:tc>
        <w:tc>
          <w:tcPr>
            <w:tcW w:w="1210" w:type="dxa"/>
            <w:shd w:val="pct15" w:color="auto" w:fill="auto"/>
          </w:tcPr>
          <w:p w:rsidR="00383888" w:rsidRPr="000615AB" w:rsidRDefault="00383888" w:rsidP="00B47699">
            <w:pPr>
              <w:jc w:val="right"/>
              <w:rPr>
                <w:snapToGrid w:val="0"/>
                <w:sz w:val="18"/>
                <w:szCs w:val="18"/>
              </w:rPr>
            </w:pPr>
            <w:r w:rsidRPr="000615AB">
              <w:rPr>
                <w:snapToGrid w:val="0"/>
                <w:sz w:val="18"/>
                <w:szCs w:val="18"/>
              </w:rPr>
              <w:t>0,125</w:t>
            </w:r>
          </w:p>
        </w:tc>
        <w:tc>
          <w:tcPr>
            <w:tcW w:w="1320"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5.697 </w:t>
            </w:r>
          </w:p>
        </w:tc>
        <w:tc>
          <w:tcPr>
            <w:tcW w:w="1430"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5.697 </w:t>
            </w:r>
          </w:p>
        </w:tc>
        <w:tc>
          <w:tcPr>
            <w:tcW w:w="1388"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11.394 </w:t>
            </w:r>
          </w:p>
        </w:tc>
      </w:tr>
      <w:tr w:rsidR="00383888" w:rsidRPr="000615AB" w:rsidTr="00B47699">
        <w:tc>
          <w:tcPr>
            <w:tcW w:w="3055" w:type="dxa"/>
            <w:shd w:val="clear" w:color="auto" w:fill="auto"/>
          </w:tcPr>
          <w:p w:rsidR="00383888" w:rsidRPr="000615AB" w:rsidRDefault="00383888" w:rsidP="00B47699">
            <w:pPr>
              <w:rPr>
                <w:snapToGrid w:val="0"/>
                <w:sz w:val="18"/>
                <w:szCs w:val="18"/>
              </w:rPr>
            </w:pPr>
            <w:r w:rsidRPr="000615AB">
              <w:rPr>
                <w:snapToGrid w:val="0"/>
                <w:sz w:val="18"/>
                <w:szCs w:val="18"/>
              </w:rPr>
              <w:t>Sudáfrica</w:t>
            </w:r>
          </w:p>
        </w:tc>
        <w:tc>
          <w:tcPr>
            <w:tcW w:w="1125" w:type="dxa"/>
            <w:shd w:val="clear" w:color="auto" w:fill="auto"/>
          </w:tcPr>
          <w:p w:rsidR="00383888" w:rsidRPr="000615AB" w:rsidRDefault="00383888" w:rsidP="00B47699">
            <w:pPr>
              <w:jc w:val="center"/>
              <w:rPr>
                <w:i/>
                <w:snapToGrid w:val="0"/>
                <w:sz w:val="18"/>
                <w:szCs w:val="18"/>
              </w:rPr>
            </w:pPr>
            <w:r w:rsidRPr="000615AB">
              <w:rPr>
                <w:snapToGrid w:val="0"/>
                <w:sz w:val="18"/>
                <w:szCs w:val="18"/>
              </w:rPr>
              <w:t>IV</w:t>
            </w:r>
            <w:r w:rsidRPr="000615AB">
              <w:rPr>
                <w:i/>
                <w:snapToGrid w:val="0"/>
                <w:sz w:val="18"/>
                <w:szCs w:val="18"/>
              </w:rPr>
              <w:t>bis</w:t>
            </w:r>
          </w:p>
        </w:tc>
        <w:tc>
          <w:tcPr>
            <w:tcW w:w="1210" w:type="dxa"/>
            <w:shd w:val="clear" w:color="auto" w:fill="auto"/>
          </w:tcPr>
          <w:p w:rsidR="00383888" w:rsidRPr="000615AB" w:rsidRDefault="00383888" w:rsidP="00B47699">
            <w:pPr>
              <w:jc w:val="right"/>
              <w:rPr>
                <w:snapToGrid w:val="0"/>
                <w:sz w:val="18"/>
                <w:szCs w:val="18"/>
              </w:rPr>
            </w:pPr>
            <w:r w:rsidRPr="000615AB">
              <w:rPr>
                <w:snapToGrid w:val="0"/>
                <w:sz w:val="18"/>
                <w:szCs w:val="18"/>
              </w:rPr>
              <w:t>7,5</w:t>
            </w:r>
          </w:p>
        </w:tc>
        <w:tc>
          <w:tcPr>
            <w:tcW w:w="1320" w:type="dxa"/>
            <w:shd w:val="clear"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341.842 </w:t>
            </w:r>
          </w:p>
        </w:tc>
        <w:tc>
          <w:tcPr>
            <w:tcW w:w="1430" w:type="dxa"/>
            <w:shd w:val="clear"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341.842 </w:t>
            </w:r>
          </w:p>
        </w:tc>
        <w:tc>
          <w:tcPr>
            <w:tcW w:w="1388" w:type="dxa"/>
            <w:shd w:val="clear"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683.684 </w:t>
            </w:r>
          </w:p>
        </w:tc>
      </w:tr>
      <w:tr w:rsidR="00383888" w:rsidRPr="000615AB" w:rsidTr="00B47699">
        <w:tc>
          <w:tcPr>
            <w:tcW w:w="3055" w:type="dxa"/>
            <w:shd w:val="pct15" w:color="auto" w:fill="auto"/>
          </w:tcPr>
          <w:p w:rsidR="00383888" w:rsidRPr="000615AB" w:rsidRDefault="00383888" w:rsidP="00B47699">
            <w:pPr>
              <w:rPr>
                <w:snapToGrid w:val="0"/>
                <w:sz w:val="18"/>
                <w:szCs w:val="18"/>
              </w:rPr>
            </w:pPr>
            <w:r w:rsidRPr="000615AB">
              <w:rPr>
                <w:snapToGrid w:val="0"/>
                <w:sz w:val="18"/>
                <w:szCs w:val="18"/>
              </w:rPr>
              <w:t xml:space="preserve">Sudán </w:t>
            </w:r>
          </w:p>
        </w:tc>
        <w:tc>
          <w:tcPr>
            <w:tcW w:w="1125" w:type="dxa"/>
            <w:shd w:val="pct15" w:color="auto" w:fill="auto"/>
          </w:tcPr>
          <w:p w:rsidR="00383888" w:rsidRPr="000615AB" w:rsidRDefault="00383888" w:rsidP="00B47699">
            <w:pPr>
              <w:jc w:val="center"/>
              <w:rPr>
                <w:i/>
                <w:snapToGrid w:val="0"/>
                <w:sz w:val="18"/>
                <w:szCs w:val="18"/>
              </w:rPr>
            </w:pPr>
            <w:r w:rsidRPr="000615AB">
              <w:rPr>
                <w:snapToGrid w:val="0"/>
                <w:sz w:val="18"/>
                <w:szCs w:val="18"/>
              </w:rPr>
              <w:t>S</w:t>
            </w:r>
            <w:r w:rsidRPr="000615AB">
              <w:rPr>
                <w:i/>
                <w:snapToGrid w:val="0"/>
                <w:sz w:val="18"/>
                <w:szCs w:val="18"/>
              </w:rPr>
              <w:t>ter</w:t>
            </w:r>
          </w:p>
        </w:tc>
        <w:tc>
          <w:tcPr>
            <w:tcW w:w="1210" w:type="dxa"/>
            <w:shd w:val="pct15" w:color="auto" w:fill="auto"/>
          </w:tcPr>
          <w:p w:rsidR="00383888" w:rsidRPr="000615AB" w:rsidRDefault="00383888" w:rsidP="00B47699">
            <w:pPr>
              <w:jc w:val="right"/>
              <w:rPr>
                <w:snapToGrid w:val="0"/>
                <w:sz w:val="18"/>
                <w:szCs w:val="18"/>
              </w:rPr>
            </w:pPr>
            <w:r w:rsidRPr="000615AB">
              <w:rPr>
                <w:snapToGrid w:val="0"/>
                <w:sz w:val="18"/>
                <w:szCs w:val="18"/>
              </w:rPr>
              <w:t>0,03125</w:t>
            </w:r>
          </w:p>
        </w:tc>
        <w:tc>
          <w:tcPr>
            <w:tcW w:w="1320"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1.424 </w:t>
            </w:r>
          </w:p>
        </w:tc>
        <w:tc>
          <w:tcPr>
            <w:tcW w:w="1430"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1.424 </w:t>
            </w:r>
          </w:p>
        </w:tc>
        <w:tc>
          <w:tcPr>
            <w:tcW w:w="1388"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2.848 </w:t>
            </w:r>
          </w:p>
        </w:tc>
      </w:tr>
      <w:tr w:rsidR="00383888" w:rsidRPr="000615AB" w:rsidTr="00B47699">
        <w:tc>
          <w:tcPr>
            <w:tcW w:w="3055" w:type="dxa"/>
            <w:shd w:val="clear" w:color="auto" w:fill="auto"/>
          </w:tcPr>
          <w:p w:rsidR="00383888" w:rsidRPr="000615AB" w:rsidRDefault="00383888" w:rsidP="00B47699">
            <w:pPr>
              <w:rPr>
                <w:snapToGrid w:val="0"/>
                <w:sz w:val="18"/>
                <w:szCs w:val="18"/>
              </w:rPr>
            </w:pPr>
            <w:r w:rsidRPr="000615AB">
              <w:rPr>
                <w:snapToGrid w:val="0"/>
                <w:sz w:val="18"/>
                <w:szCs w:val="18"/>
              </w:rPr>
              <w:t>Suecia</w:t>
            </w:r>
          </w:p>
        </w:tc>
        <w:tc>
          <w:tcPr>
            <w:tcW w:w="1125" w:type="dxa"/>
            <w:shd w:val="clear" w:color="auto" w:fill="auto"/>
          </w:tcPr>
          <w:p w:rsidR="00383888" w:rsidRPr="000615AB" w:rsidRDefault="00383888" w:rsidP="00B47699">
            <w:pPr>
              <w:jc w:val="center"/>
              <w:rPr>
                <w:snapToGrid w:val="0"/>
                <w:sz w:val="18"/>
                <w:szCs w:val="18"/>
              </w:rPr>
            </w:pPr>
            <w:r w:rsidRPr="000615AB">
              <w:rPr>
                <w:snapToGrid w:val="0"/>
                <w:sz w:val="18"/>
                <w:szCs w:val="18"/>
              </w:rPr>
              <w:t>III</w:t>
            </w:r>
          </w:p>
        </w:tc>
        <w:tc>
          <w:tcPr>
            <w:tcW w:w="1210" w:type="dxa"/>
            <w:shd w:val="clear" w:color="auto" w:fill="auto"/>
          </w:tcPr>
          <w:p w:rsidR="00383888" w:rsidRPr="000615AB" w:rsidRDefault="00383888" w:rsidP="00B47699">
            <w:pPr>
              <w:jc w:val="right"/>
              <w:rPr>
                <w:snapToGrid w:val="0"/>
                <w:sz w:val="18"/>
                <w:szCs w:val="18"/>
              </w:rPr>
            </w:pPr>
            <w:r w:rsidRPr="000615AB">
              <w:rPr>
                <w:snapToGrid w:val="0"/>
                <w:sz w:val="18"/>
                <w:szCs w:val="18"/>
              </w:rPr>
              <w:t>15</w:t>
            </w:r>
          </w:p>
        </w:tc>
        <w:tc>
          <w:tcPr>
            <w:tcW w:w="1320" w:type="dxa"/>
            <w:shd w:val="clear"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683.685 </w:t>
            </w:r>
          </w:p>
        </w:tc>
        <w:tc>
          <w:tcPr>
            <w:tcW w:w="1430" w:type="dxa"/>
            <w:shd w:val="clear"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683.685 </w:t>
            </w:r>
          </w:p>
        </w:tc>
        <w:tc>
          <w:tcPr>
            <w:tcW w:w="1388" w:type="dxa"/>
            <w:shd w:val="clear"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1.367.370 </w:t>
            </w:r>
          </w:p>
        </w:tc>
      </w:tr>
      <w:tr w:rsidR="00383888" w:rsidRPr="000615AB" w:rsidTr="00B47699">
        <w:tc>
          <w:tcPr>
            <w:tcW w:w="3055" w:type="dxa"/>
            <w:shd w:val="pct15" w:color="auto" w:fill="auto"/>
          </w:tcPr>
          <w:p w:rsidR="00383888" w:rsidRPr="000615AB" w:rsidRDefault="00383888" w:rsidP="00B47699">
            <w:pPr>
              <w:rPr>
                <w:snapToGrid w:val="0"/>
                <w:sz w:val="18"/>
                <w:szCs w:val="18"/>
              </w:rPr>
            </w:pPr>
            <w:r w:rsidRPr="000615AB">
              <w:rPr>
                <w:snapToGrid w:val="0"/>
                <w:sz w:val="18"/>
                <w:szCs w:val="18"/>
              </w:rPr>
              <w:t>Suiza</w:t>
            </w:r>
          </w:p>
        </w:tc>
        <w:tc>
          <w:tcPr>
            <w:tcW w:w="1125" w:type="dxa"/>
            <w:shd w:val="pct15" w:color="auto" w:fill="auto"/>
          </w:tcPr>
          <w:p w:rsidR="00383888" w:rsidRPr="000615AB" w:rsidRDefault="00383888" w:rsidP="00B47699">
            <w:pPr>
              <w:jc w:val="center"/>
              <w:rPr>
                <w:snapToGrid w:val="0"/>
                <w:sz w:val="18"/>
                <w:szCs w:val="18"/>
              </w:rPr>
            </w:pPr>
            <w:r w:rsidRPr="000615AB">
              <w:rPr>
                <w:snapToGrid w:val="0"/>
                <w:sz w:val="18"/>
                <w:szCs w:val="18"/>
              </w:rPr>
              <w:t>III</w:t>
            </w:r>
          </w:p>
        </w:tc>
        <w:tc>
          <w:tcPr>
            <w:tcW w:w="1210" w:type="dxa"/>
            <w:shd w:val="pct15" w:color="auto" w:fill="auto"/>
          </w:tcPr>
          <w:p w:rsidR="00383888" w:rsidRPr="000615AB" w:rsidRDefault="00383888" w:rsidP="00B47699">
            <w:pPr>
              <w:jc w:val="right"/>
              <w:rPr>
                <w:snapToGrid w:val="0"/>
                <w:sz w:val="18"/>
                <w:szCs w:val="18"/>
              </w:rPr>
            </w:pPr>
            <w:r w:rsidRPr="000615AB">
              <w:rPr>
                <w:snapToGrid w:val="0"/>
                <w:sz w:val="18"/>
                <w:szCs w:val="18"/>
              </w:rPr>
              <w:t>15</w:t>
            </w:r>
          </w:p>
        </w:tc>
        <w:tc>
          <w:tcPr>
            <w:tcW w:w="1320"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683.685 </w:t>
            </w:r>
          </w:p>
        </w:tc>
        <w:tc>
          <w:tcPr>
            <w:tcW w:w="1430"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683.685 </w:t>
            </w:r>
          </w:p>
        </w:tc>
        <w:tc>
          <w:tcPr>
            <w:tcW w:w="1388"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1.367.370 </w:t>
            </w:r>
          </w:p>
        </w:tc>
      </w:tr>
      <w:tr w:rsidR="00383888" w:rsidRPr="000615AB" w:rsidTr="00B47699">
        <w:tc>
          <w:tcPr>
            <w:tcW w:w="3055" w:type="dxa"/>
            <w:shd w:val="clear" w:color="auto" w:fill="auto"/>
          </w:tcPr>
          <w:p w:rsidR="00383888" w:rsidRPr="000615AB" w:rsidRDefault="00383888" w:rsidP="00B47699">
            <w:pPr>
              <w:rPr>
                <w:snapToGrid w:val="0"/>
                <w:sz w:val="18"/>
                <w:szCs w:val="18"/>
              </w:rPr>
            </w:pPr>
            <w:r w:rsidRPr="000615AB">
              <w:rPr>
                <w:snapToGrid w:val="0"/>
                <w:sz w:val="18"/>
                <w:szCs w:val="18"/>
              </w:rPr>
              <w:t>Suriname</w:t>
            </w:r>
          </w:p>
        </w:tc>
        <w:tc>
          <w:tcPr>
            <w:tcW w:w="1125" w:type="dxa"/>
            <w:shd w:val="clear" w:color="auto" w:fill="auto"/>
          </w:tcPr>
          <w:p w:rsidR="00383888" w:rsidRPr="000615AB" w:rsidRDefault="00383888" w:rsidP="00B47699">
            <w:pPr>
              <w:jc w:val="center"/>
              <w:rPr>
                <w:i/>
                <w:snapToGrid w:val="0"/>
                <w:sz w:val="18"/>
                <w:szCs w:val="18"/>
              </w:rPr>
            </w:pPr>
            <w:r w:rsidRPr="000615AB">
              <w:rPr>
                <w:snapToGrid w:val="0"/>
                <w:sz w:val="18"/>
                <w:szCs w:val="18"/>
              </w:rPr>
              <w:t>S</w:t>
            </w:r>
            <w:r w:rsidRPr="000615AB">
              <w:rPr>
                <w:i/>
                <w:snapToGrid w:val="0"/>
                <w:sz w:val="18"/>
                <w:szCs w:val="18"/>
              </w:rPr>
              <w:t>bis</w:t>
            </w:r>
          </w:p>
        </w:tc>
        <w:tc>
          <w:tcPr>
            <w:tcW w:w="1210" w:type="dxa"/>
            <w:shd w:val="clear" w:color="auto" w:fill="auto"/>
          </w:tcPr>
          <w:p w:rsidR="00383888" w:rsidRPr="000615AB" w:rsidRDefault="00383888" w:rsidP="00B47699">
            <w:pPr>
              <w:jc w:val="right"/>
              <w:rPr>
                <w:snapToGrid w:val="0"/>
                <w:sz w:val="18"/>
                <w:szCs w:val="18"/>
              </w:rPr>
            </w:pPr>
            <w:r w:rsidRPr="000615AB">
              <w:rPr>
                <w:snapToGrid w:val="0"/>
                <w:sz w:val="18"/>
                <w:szCs w:val="18"/>
              </w:rPr>
              <w:t>0,0625</w:t>
            </w:r>
          </w:p>
        </w:tc>
        <w:tc>
          <w:tcPr>
            <w:tcW w:w="1320" w:type="dxa"/>
            <w:shd w:val="clear"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2.849 </w:t>
            </w:r>
          </w:p>
        </w:tc>
        <w:tc>
          <w:tcPr>
            <w:tcW w:w="1430" w:type="dxa"/>
            <w:shd w:val="clear"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2.849 </w:t>
            </w:r>
          </w:p>
        </w:tc>
        <w:tc>
          <w:tcPr>
            <w:tcW w:w="1388" w:type="dxa"/>
            <w:shd w:val="clear"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5.698 </w:t>
            </w:r>
          </w:p>
        </w:tc>
      </w:tr>
      <w:tr w:rsidR="00383888" w:rsidRPr="000615AB" w:rsidTr="00B47699">
        <w:tc>
          <w:tcPr>
            <w:tcW w:w="3055" w:type="dxa"/>
            <w:shd w:val="pct15" w:color="auto" w:fill="auto"/>
          </w:tcPr>
          <w:p w:rsidR="00383888" w:rsidRPr="000615AB" w:rsidRDefault="00383888" w:rsidP="00B47699">
            <w:pPr>
              <w:rPr>
                <w:snapToGrid w:val="0"/>
                <w:sz w:val="18"/>
                <w:szCs w:val="18"/>
              </w:rPr>
            </w:pPr>
            <w:r w:rsidRPr="000615AB">
              <w:rPr>
                <w:snapToGrid w:val="0"/>
                <w:sz w:val="18"/>
                <w:szCs w:val="18"/>
              </w:rPr>
              <w:t>Swazilandia</w:t>
            </w:r>
          </w:p>
        </w:tc>
        <w:tc>
          <w:tcPr>
            <w:tcW w:w="1125" w:type="dxa"/>
            <w:shd w:val="pct15" w:color="auto" w:fill="auto"/>
          </w:tcPr>
          <w:p w:rsidR="00383888" w:rsidRPr="000615AB" w:rsidRDefault="00383888" w:rsidP="00B47699">
            <w:pPr>
              <w:jc w:val="center"/>
              <w:rPr>
                <w:i/>
                <w:snapToGrid w:val="0"/>
                <w:sz w:val="18"/>
                <w:szCs w:val="18"/>
              </w:rPr>
            </w:pPr>
            <w:r w:rsidRPr="000615AB">
              <w:rPr>
                <w:snapToGrid w:val="0"/>
                <w:sz w:val="18"/>
                <w:szCs w:val="18"/>
              </w:rPr>
              <w:t>S</w:t>
            </w:r>
            <w:r w:rsidRPr="000615AB">
              <w:rPr>
                <w:i/>
                <w:snapToGrid w:val="0"/>
                <w:sz w:val="18"/>
                <w:szCs w:val="18"/>
              </w:rPr>
              <w:t>bis</w:t>
            </w:r>
          </w:p>
        </w:tc>
        <w:tc>
          <w:tcPr>
            <w:tcW w:w="1210" w:type="dxa"/>
            <w:shd w:val="pct15" w:color="auto" w:fill="auto"/>
          </w:tcPr>
          <w:p w:rsidR="00383888" w:rsidRPr="000615AB" w:rsidRDefault="00383888" w:rsidP="00B47699">
            <w:pPr>
              <w:jc w:val="right"/>
              <w:rPr>
                <w:snapToGrid w:val="0"/>
                <w:sz w:val="18"/>
                <w:szCs w:val="18"/>
              </w:rPr>
            </w:pPr>
            <w:r w:rsidRPr="000615AB">
              <w:rPr>
                <w:snapToGrid w:val="0"/>
                <w:sz w:val="18"/>
                <w:szCs w:val="18"/>
              </w:rPr>
              <w:t>0,0625</w:t>
            </w:r>
          </w:p>
        </w:tc>
        <w:tc>
          <w:tcPr>
            <w:tcW w:w="1320"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2.849 </w:t>
            </w:r>
          </w:p>
        </w:tc>
        <w:tc>
          <w:tcPr>
            <w:tcW w:w="1430"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2.849 </w:t>
            </w:r>
          </w:p>
        </w:tc>
        <w:tc>
          <w:tcPr>
            <w:tcW w:w="1388"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5.698 </w:t>
            </w:r>
          </w:p>
        </w:tc>
      </w:tr>
      <w:tr w:rsidR="00383888" w:rsidRPr="000615AB" w:rsidTr="00B47699">
        <w:tc>
          <w:tcPr>
            <w:tcW w:w="3055" w:type="dxa"/>
            <w:shd w:val="clear" w:color="auto" w:fill="auto"/>
          </w:tcPr>
          <w:p w:rsidR="00383888" w:rsidRPr="000615AB" w:rsidRDefault="00383888" w:rsidP="00B47699">
            <w:pPr>
              <w:rPr>
                <w:snapToGrid w:val="0"/>
                <w:sz w:val="18"/>
                <w:szCs w:val="18"/>
              </w:rPr>
            </w:pPr>
            <w:r w:rsidRPr="000615AB">
              <w:rPr>
                <w:b/>
                <w:snapToGrid w:val="0"/>
                <w:sz w:val="18"/>
                <w:szCs w:val="18"/>
              </w:rPr>
              <w:t>T</w:t>
            </w:r>
            <w:r w:rsidRPr="000615AB">
              <w:rPr>
                <w:snapToGrid w:val="0"/>
                <w:sz w:val="18"/>
                <w:szCs w:val="18"/>
              </w:rPr>
              <w:t>ailandia</w:t>
            </w:r>
          </w:p>
        </w:tc>
        <w:tc>
          <w:tcPr>
            <w:tcW w:w="1125" w:type="dxa"/>
            <w:shd w:val="clear" w:color="auto" w:fill="auto"/>
          </w:tcPr>
          <w:p w:rsidR="00383888" w:rsidRPr="000615AB" w:rsidRDefault="00383888" w:rsidP="00B47699">
            <w:pPr>
              <w:jc w:val="center"/>
              <w:rPr>
                <w:snapToGrid w:val="0"/>
                <w:sz w:val="18"/>
                <w:szCs w:val="18"/>
              </w:rPr>
            </w:pPr>
            <w:r w:rsidRPr="000615AB">
              <w:rPr>
                <w:snapToGrid w:val="0"/>
                <w:sz w:val="18"/>
                <w:szCs w:val="18"/>
              </w:rPr>
              <w:t>IX</w:t>
            </w:r>
          </w:p>
        </w:tc>
        <w:tc>
          <w:tcPr>
            <w:tcW w:w="1210" w:type="dxa"/>
            <w:shd w:val="clear" w:color="auto" w:fill="auto"/>
          </w:tcPr>
          <w:p w:rsidR="00383888" w:rsidRPr="000615AB" w:rsidRDefault="00383888" w:rsidP="00B47699">
            <w:pPr>
              <w:jc w:val="right"/>
              <w:rPr>
                <w:snapToGrid w:val="0"/>
                <w:sz w:val="18"/>
                <w:szCs w:val="18"/>
              </w:rPr>
            </w:pPr>
            <w:r w:rsidRPr="000615AB">
              <w:rPr>
                <w:snapToGrid w:val="0"/>
                <w:sz w:val="18"/>
                <w:szCs w:val="18"/>
              </w:rPr>
              <w:t>0,25</w:t>
            </w:r>
          </w:p>
        </w:tc>
        <w:tc>
          <w:tcPr>
            <w:tcW w:w="1320" w:type="dxa"/>
            <w:shd w:val="clear"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11.395 </w:t>
            </w:r>
          </w:p>
        </w:tc>
        <w:tc>
          <w:tcPr>
            <w:tcW w:w="1430" w:type="dxa"/>
            <w:shd w:val="clear"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11.395 </w:t>
            </w:r>
          </w:p>
        </w:tc>
        <w:tc>
          <w:tcPr>
            <w:tcW w:w="1388" w:type="dxa"/>
            <w:shd w:val="clear"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22.790 </w:t>
            </w:r>
          </w:p>
        </w:tc>
      </w:tr>
      <w:tr w:rsidR="00383888" w:rsidRPr="000615AB" w:rsidTr="00B47699">
        <w:tc>
          <w:tcPr>
            <w:tcW w:w="3055" w:type="dxa"/>
            <w:shd w:val="pct15" w:color="auto" w:fill="auto"/>
          </w:tcPr>
          <w:p w:rsidR="00383888" w:rsidRPr="000615AB" w:rsidRDefault="00383888" w:rsidP="00B47699">
            <w:pPr>
              <w:rPr>
                <w:snapToGrid w:val="0"/>
                <w:sz w:val="18"/>
                <w:szCs w:val="18"/>
              </w:rPr>
            </w:pPr>
            <w:r w:rsidRPr="000615AB">
              <w:rPr>
                <w:snapToGrid w:val="0"/>
                <w:sz w:val="18"/>
                <w:szCs w:val="18"/>
              </w:rPr>
              <w:t>Tayikistán</w:t>
            </w:r>
          </w:p>
        </w:tc>
        <w:tc>
          <w:tcPr>
            <w:tcW w:w="1125" w:type="dxa"/>
            <w:shd w:val="pct15" w:color="auto" w:fill="auto"/>
          </w:tcPr>
          <w:p w:rsidR="00383888" w:rsidRPr="000615AB" w:rsidRDefault="00383888" w:rsidP="00B47699">
            <w:pPr>
              <w:jc w:val="center"/>
              <w:rPr>
                <w:snapToGrid w:val="0"/>
                <w:sz w:val="18"/>
                <w:szCs w:val="18"/>
              </w:rPr>
            </w:pPr>
            <w:r w:rsidRPr="000615AB">
              <w:rPr>
                <w:snapToGrid w:val="0"/>
                <w:sz w:val="18"/>
                <w:szCs w:val="18"/>
              </w:rPr>
              <w:t>IX</w:t>
            </w:r>
          </w:p>
        </w:tc>
        <w:tc>
          <w:tcPr>
            <w:tcW w:w="1210" w:type="dxa"/>
            <w:shd w:val="pct15" w:color="auto" w:fill="auto"/>
          </w:tcPr>
          <w:p w:rsidR="00383888" w:rsidRPr="000615AB" w:rsidRDefault="00383888" w:rsidP="00B47699">
            <w:pPr>
              <w:jc w:val="right"/>
              <w:rPr>
                <w:snapToGrid w:val="0"/>
                <w:sz w:val="18"/>
                <w:szCs w:val="18"/>
              </w:rPr>
            </w:pPr>
            <w:r w:rsidRPr="000615AB">
              <w:rPr>
                <w:snapToGrid w:val="0"/>
                <w:sz w:val="18"/>
                <w:szCs w:val="18"/>
              </w:rPr>
              <w:t>0,25</w:t>
            </w:r>
          </w:p>
        </w:tc>
        <w:tc>
          <w:tcPr>
            <w:tcW w:w="1320"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11.395 </w:t>
            </w:r>
          </w:p>
        </w:tc>
        <w:tc>
          <w:tcPr>
            <w:tcW w:w="1430"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11.395 </w:t>
            </w:r>
          </w:p>
        </w:tc>
        <w:tc>
          <w:tcPr>
            <w:tcW w:w="1388"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22.790 </w:t>
            </w:r>
          </w:p>
        </w:tc>
      </w:tr>
      <w:tr w:rsidR="00383888" w:rsidRPr="000615AB" w:rsidTr="00B47699">
        <w:tc>
          <w:tcPr>
            <w:tcW w:w="3055" w:type="dxa"/>
            <w:shd w:val="clear" w:color="auto" w:fill="auto"/>
          </w:tcPr>
          <w:p w:rsidR="00383888" w:rsidRPr="000615AB" w:rsidRDefault="00383888" w:rsidP="00B47699">
            <w:pPr>
              <w:rPr>
                <w:snapToGrid w:val="0"/>
                <w:sz w:val="18"/>
                <w:szCs w:val="18"/>
              </w:rPr>
            </w:pPr>
            <w:r w:rsidRPr="000615AB">
              <w:rPr>
                <w:snapToGrid w:val="0"/>
                <w:sz w:val="18"/>
                <w:szCs w:val="18"/>
              </w:rPr>
              <w:t>Togo</w:t>
            </w:r>
          </w:p>
        </w:tc>
        <w:tc>
          <w:tcPr>
            <w:tcW w:w="1125" w:type="dxa"/>
            <w:shd w:val="clear" w:color="auto" w:fill="auto"/>
          </w:tcPr>
          <w:p w:rsidR="00383888" w:rsidRPr="000615AB" w:rsidRDefault="00383888" w:rsidP="00B47699">
            <w:pPr>
              <w:jc w:val="center"/>
              <w:rPr>
                <w:i/>
                <w:snapToGrid w:val="0"/>
                <w:sz w:val="18"/>
                <w:szCs w:val="18"/>
              </w:rPr>
            </w:pPr>
            <w:r w:rsidRPr="000615AB">
              <w:rPr>
                <w:snapToGrid w:val="0"/>
                <w:sz w:val="18"/>
                <w:szCs w:val="18"/>
              </w:rPr>
              <w:t>S</w:t>
            </w:r>
            <w:r w:rsidRPr="000615AB">
              <w:rPr>
                <w:i/>
                <w:snapToGrid w:val="0"/>
                <w:sz w:val="18"/>
                <w:szCs w:val="18"/>
              </w:rPr>
              <w:t>ter</w:t>
            </w:r>
          </w:p>
        </w:tc>
        <w:tc>
          <w:tcPr>
            <w:tcW w:w="1210" w:type="dxa"/>
            <w:shd w:val="clear" w:color="auto" w:fill="auto"/>
          </w:tcPr>
          <w:p w:rsidR="00383888" w:rsidRPr="000615AB" w:rsidRDefault="00383888" w:rsidP="00B47699">
            <w:pPr>
              <w:jc w:val="right"/>
              <w:rPr>
                <w:snapToGrid w:val="0"/>
                <w:sz w:val="18"/>
                <w:szCs w:val="18"/>
              </w:rPr>
            </w:pPr>
            <w:r w:rsidRPr="000615AB">
              <w:rPr>
                <w:snapToGrid w:val="0"/>
                <w:sz w:val="18"/>
                <w:szCs w:val="18"/>
              </w:rPr>
              <w:t>0,03125</w:t>
            </w:r>
          </w:p>
        </w:tc>
        <w:tc>
          <w:tcPr>
            <w:tcW w:w="1320" w:type="dxa"/>
            <w:shd w:val="clear"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1.424 </w:t>
            </w:r>
          </w:p>
        </w:tc>
        <w:tc>
          <w:tcPr>
            <w:tcW w:w="1430" w:type="dxa"/>
            <w:shd w:val="clear"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1.424 </w:t>
            </w:r>
          </w:p>
        </w:tc>
        <w:tc>
          <w:tcPr>
            <w:tcW w:w="1388" w:type="dxa"/>
            <w:shd w:val="clear"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2.848 </w:t>
            </w:r>
          </w:p>
        </w:tc>
      </w:tr>
      <w:tr w:rsidR="00383888" w:rsidRPr="000615AB" w:rsidTr="00B47699">
        <w:tc>
          <w:tcPr>
            <w:tcW w:w="3055" w:type="dxa"/>
            <w:shd w:val="pct15" w:color="auto" w:fill="auto"/>
          </w:tcPr>
          <w:p w:rsidR="00383888" w:rsidRPr="000615AB" w:rsidRDefault="00383888" w:rsidP="00B47699">
            <w:pPr>
              <w:rPr>
                <w:snapToGrid w:val="0"/>
                <w:sz w:val="18"/>
                <w:szCs w:val="18"/>
              </w:rPr>
            </w:pPr>
            <w:r w:rsidRPr="000615AB">
              <w:rPr>
                <w:snapToGrid w:val="0"/>
                <w:sz w:val="18"/>
                <w:szCs w:val="18"/>
              </w:rPr>
              <w:t>Tonga</w:t>
            </w:r>
          </w:p>
        </w:tc>
        <w:tc>
          <w:tcPr>
            <w:tcW w:w="1125" w:type="dxa"/>
            <w:shd w:val="pct15" w:color="auto" w:fill="auto"/>
          </w:tcPr>
          <w:p w:rsidR="00383888" w:rsidRPr="000615AB" w:rsidRDefault="00383888" w:rsidP="00B47699">
            <w:pPr>
              <w:jc w:val="center"/>
              <w:rPr>
                <w:i/>
                <w:snapToGrid w:val="0"/>
                <w:sz w:val="18"/>
                <w:szCs w:val="18"/>
              </w:rPr>
            </w:pPr>
            <w:r w:rsidRPr="000615AB">
              <w:rPr>
                <w:snapToGrid w:val="0"/>
                <w:sz w:val="18"/>
                <w:szCs w:val="18"/>
              </w:rPr>
              <w:t>S</w:t>
            </w:r>
            <w:r w:rsidRPr="000615AB">
              <w:rPr>
                <w:i/>
                <w:snapToGrid w:val="0"/>
                <w:sz w:val="18"/>
                <w:szCs w:val="18"/>
              </w:rPr>
              <w:t>bis</w:t>
            </w:r>
          </w:p>
        </w:tc>
        <w:tc>
          <w:tcPr>
            <w:tcW w:w="1210" w:type="dxa"/>
            <w:shd w:val="pct15" w:color="auto" w:fill="auto"/>
          </w:tcPr>
          <w:p w:rsidR="00383888" w:rsidRPr="000615AB" w:rsidRDefault="00383888" w:rsidP="00B47699">
            <w:pPr>
              <w:jc w:val="right"/>
              <w:rPr>
                <w:snapToGrid w:val="0"/>
                <w:sz w:val="18"/>
                <w:szCs w:val="18"/>
              </w:rPr>
            </w:pPr>
            <w:r w:rsidRPr="000615AB">
              <w:rPr>
                <w:snapToGrid w:val="0"/>
                <w:sz w:val="18"/>
                <w:szCs w:val="18"/>
              </w:rPr>
              <w:t>0,0625</w:t>
            </w:r>
          </w:p>
        </w:tc>
        <w:tc>
          <w:tcPr>
            <w:tcW w:w="1320"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2.849 </w:t>
            </w:r>
          </w:p>
        </w:tc>
        <w:tc>
          <w:tcPr>
            <w:tcW w:w="1430"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2.849</w:t>
            </w:r>
          </w:p>
        </w:tc>
        <w:tc>
          <w:tcPr>
            <w:tcW w:w="1388"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5.698 </w:t>
            </w:r>
          </w:p>
        </w:tc>
      </w:tr>
      <w:tr w:rsidR="00383888" w:rsidRPr="000615AB" w:rsidTr="00B47699">
        <w:tc>
          <w:tcPr>
            <w:tcW w:w="3055" w:type="dxa"/>
            <w:shd w:val="clear" w:color="auto" w:fill="auto"/>
          </w:tcPr>
          <w:p w:rsidR="00383888" w:rsidRPr="000615AB" w:rsidRDefault="00383888" w:rsidP="00B47699">
            <w:pPr>
              <w:rPr>
                <w:snapToGrid w:val="0"/>
                <w:sz w:val="18"/>
                <w:szCs w:val="18"/>
              </w:rPr>
            </w:pPr>
            <w:r w:rsidRPr="000615AB">
              <w:rPr>
                <w:snapToGrid w:val="0"/>
                <w:sz w:val="18"/>
                <w:szCs w:val="18"/>
              </w:rPr>
              <w:t>Trinidad y Tabago</w:t>
            </w:r>
          </w:p>
        </w:tc>
        <w:tc>
          <w:tcPr>
            <w:tcW w:w="1125" w:type="dxa"/>
            <w:shd w:val="clear" w:color="auto" w:fill="auto"/>
          </w:tcPr>
          <w:p w:rsidR="00383888" w:rsidRPr="000615AB" w:rsidRDefault="00383888" w:rsidP="00B47699">
            <w:pPr>
              <w:jc w:val="center"/>
              <w:rPr>
                <w:i/>
                <w:snapToGrid w:val="0"/>
                <w:sz w:val="18"/>
                <w:szCs w:val="18"/>
              </w:rPr>
            </w:pPr>
            <w:r w:rsidRPr="000615AB">
              <w:rPr>
                <w:snapToGrid w:val="0"/>
                <w:sz w:val="18"/>
                <w:szCs w:val="18"/>
              </w:rPr>
              <w:t>S</w:t>
            </w:r>
          </w:p>
        </w:tc>
        <w:tc>
          <w:tcPr>
            <w:tcW w:w="1210" w:type="dxa"/>
            <w:shd w:val="clear" w:color="auto" w:fill="auto"/>
          </w:tcPr>
          <w:p w:rsidR="00383888" w:rsidRPr="000615AB" w:rsidRDefault="00383888" w:rsidP="00B47699">
            <w:pPr>
              <w:jc w:val="right"/>
              <w:rPr>
                <w:snapToGrid w:val="0"/>
                <w:sz w:val="18"/>
                <w:szCs w:val="18"/>
              </w:rPr>
            </w:pPr>
            <w:r w:rsidRPr="000615AB">
              <w:rPr>
                <w:snapToGrid w:val="0"/>
                <w:sz w:val="18"/>
                <w:szCs w:val="18"/>
              </w:rPr>
              <w:t>0,125</w:t>
            </w:r>
          </w:p>
        </w:tc>
        <w:tc>
          <w:tcPr>
            <w:tcW w:w="1320" w:type="dxa"/>
            <w:shd w:val="clear"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5.697 </w:t>
            </w:r>
          </w:p>
        </w:tc>
        <w:tc>
          <w:tcPr>
            <w:tcW w:w="1430" w:type="dxa"/>
            <w:shd w:val="clear"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5.697 </w:t>
            </w:r>
          </w:p>
        </w:tc>
        <w:tc>
          <w:tcPr>
            <w:tcW w:w="1388" w:type="dxa"/>
            <w:shd w:val="clear"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11.394</w:t>
            </w:r>
          </w:p>
        </w:tc>
      </w:tr>
      <w:tr w:rsidR="00383888" w:rsidRPr="000615AB" w:rsidTr="00B47699">
        <w:tc>
          <w:tcPr>
            <w:tcW w:w="3055" w:type="dxa"/>
            <w:shd w:val="pct15" w:color="auto" w:fill="auto"/>
          </w:tcPr>
          <w:p w:rsidR="00383888" w:rsidRPr="000615AB" w:rsidRDefault="00383888" w:rsidP="00B47699">
            <w:pPr>
              <w:rPr>
                <w:snapToGrid w:val="0"/>
                <w:sz w:val="18"/>
                <w:szCs w:val="18"/>
              </w:rPr>
            </w:pPr>
            <w:r w:rsidRPr="000615AB">
              <w:rPr>
                <w:snapToGrid w:val="0"/>
                <w:sz w:val="18"/>
                <w:szCs w:val="18"/>
              </w:rPr>
              <w:t>Túnez</w:t>
            </w:r>
          </w:p>
        </w:tc>
        <w:tc>
          <w:tcPr>
            <w:tcW w:w="1125" w:type="dxa"/>
            <w:shd w:val="pct15" w:color="auto" w:fill="auto"/>
          </w:tcPr>
          <w:p w:rsidR="00383888" w:rsidRPr="000615AB" w:rsidRDefault="00383888" w:rsidP="00B47699">
            <w:pPr>
              <w:jc w:val="center"/>
              <w:rPr>
                <w:snapToGrid w:val="0"/>
                <w:sz w:val="18"/>
                <w:szCs w:val="18"/>
              </w:rPr>
            </w:pPr>
            <w:r w:rsidRPr="000615AB">
              <w:rPr>
                <w:snapToGrid w:val="0"/>
                <w:sz w:val="18"/>
                <w:szCs w:val="18"/>
              </w:rPr>
              <w:t>S</w:t>
            </w:r>
          </w:p>
        </w:tc>
        <w:tc>
          <w:tcPr>
            <w:tcW w:w="1210" w:type="dxa"/>
            <w:shd w:val="pct15" w:color="auto" w:fill="auto"/>
          </w:tcPr>
          <w:p w:rsidR="00383888" w:rsidRPr="000615AB" w:rsidRDefault="00383888" w:rsidP="00B47699">
            <w:pPr>
              <w:jc w:val="right"/>
              <w:rPr>
                <w:snapToGrid w:val="0"/>
                <w:sz w:val="18"/>
                <w:szCs w:val="18"/>
              </w:rPr>
            </w:pPr>
            <w:r w:rsidRPr="000615AB">
              <w:rPr>
                <w:snapToGrid w:val="0"/>
                <w:sz w:val="18"/>
                <w:szCs w:val="18"/>
              </w:rPr>
              <w:t>0,125</w:t>
            </w:r>
          </w:p>
        </w:tc>
        <w:tc>
          <w:tcPr>
            <w:tcW w:w="1320"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5.697 </w:t>
            </w:r>
          </w:p>
        </w:tc>
        <w:tc>
          <w:tcPr>
            <w:tcW w:w="1430"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5.697 </w:t>
            </w:r>
          </w:p>
        </w:tc>
        <w:tc>
          <w:tcPr>
            <w:tcW w:w="1388"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11.394 </w:t>
            </w:r>
          </w:p>
        </w:tc>
      </w:tr>
      <w:tr w:rsidR="00383888" w:rsidRPr="000615AB" w:rsidTr="00B47699">
        <w:tc>
          <w:tcPr>
            <w:tcW w:w="3055" w:type="dxa"/>
            <w:shd w:val="clear" w:color="auto" w:fill="auto"/>
          </w:tcPr>
          <w:p w:rsidR="00383888" w:rsidRPr="000615AB" w:rsidRDefault="00383888" w:rsidP="00B47699">
            <w:pPr>
              <w:rPr>
                <w:snapToGrid w:val="0"/>
                <w:sz w:val="18"/>
                <w:szCs w:val="18"/>
              </w:rPr>
            </w:pPr>
            <w:r w:rsidRPr="000615AB">
              <w:rPr>
                <w:snapToGrid w:val="0"/>
                <w:sz w:val="18"/>
                <w:szCs w:val="18"/>
              </w:rPr>
              <w:t>Turkmenistán</w:t>
            </w:r>
          </w:p>
        </w:tc>
        <w:tc>
          <w:tcPr>
            <w:tcW w:w="1125" w:type="dxa"/>
            <w:shd w:val="clear" w:color="auto" w:fill="auto"/>
          </w:tcPr>
          <w:p w:rsidR="00383888" w:rsidRPr="000615AB" w:rsidRDefault="00383888" w:rsidP="00B47699">
            <w:pPr>
              <w:jc w:val="center"/>
              <w:rPr>
                <w:snapToGrid w:val="0"/>
                <w:sz w:val="18"/>
                <w:szCs w:val="18"/>
              </w:rPr>
            </w:pPr>
            <w:r w:rsidRPr="000615AB">
              <w:rPr>
                <w:snapToGrid w:val="0"/>
                <w:sz w:val="18"/>
                <w:szCs w:val="18"/>
              </w:rPr>
              <w:t>IX</w:t>
            </w:r>
          </w:p>
        </w:tc>
        <w:tc>
          <w:tcPr>
            <w:tcW w:w="1210" w:type="dxa"/>
            <w:shd w:val="clear" w:color="auto" w:fill="auto"/>
          </w:tcPr>
          <w:p w:rsidR="00383888" w:rsidRPr="000615AB" w:rsidRDefault="00383888" w:rsidP="00B47699">
            <w:pPr>
              <w:jc w:val="right"/>
              <w:rPr>
                <w:snapToGrid w:val="0"/>
                <w:sz w:val="18"/>
                <w:szCs w:val="18"/>
              </w:rPr>
            </w:pPr>
            <w:r w:rsidRPr="000615AB">
              <w:rPr>
                <w:snapToGrid w:val="0"/>
                <w:sz w:val="18"/>
                <w:szCs w:val="18"/>
              </w:rPr>
              <w:t>0,25</w:t>
            </w:r>
          </w:p>
        </w:tc>
        <w:tc>
          <w:tcPr>
            <w:tcW w:w="1320" w:type="dxa"/>
            <w:shd w:val="clear"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11.395 </w:t>
            </w:r>
          </w:p>
        </w:tc>
        <w:tc>
          <w:tcPr>
            <w:tcW w:w="1430" w:type="dxa"/>
            <w:shd w:val="clear"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11.395 </w:t>
            </w:r>
          </w:p>
        </w:tc>
        <w:tc>
          <w:tcPr>
            <w:tcW w:w="1388" w:type="dxa"/>
            <w:shd w:val="clear"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22.790 </w:t>
            </w:r>
          </w:p>
        </w:tc>
      </w:tr>
      <w:tr w:rsidR="00383888" w:rsidRPr="000615AB" w:rsidTr="00B47699">
        <w:tc>
          <w:tcPr>
            <w:tcW w:w="3055" w:type="dxa"/>
            <w:shd w:val="pct15" w:color="auto" w:fill="auto"/>
          </w:tcPr>
          <w:p w:rsidR="00383888" w:rsidRPr="000615AB" w:rsidRDefault="00383888" w:rsidP="00B47699">
            <w:pPr>
              <w:rPr>
                <w:snapToGrid w:val="0"/>
                <w:sz w:val="18"/>
                <w:szCs w:val="18"/>
              </w:rPr>
            </w:pPr>
            <w:r w:rsidRPr="000615AB">
              <w:rPr>
                <w:snapToGrid w:val="0"/>
                <w:sz w:val="18"/>
                <w:szCs w:val="18"/>
              </w:rPr>
              <w:t>Turquía</w:t>
            </w:r>
          </w:p>
        </w:tc>
        <w:tc>
          <w:tcPr>
            <w:tcW w:w="1125" w:type="dxa"/>
            <w:shd w:val="pct15" w:color="auto" w:fill="auto"/>
          </w:tcPr>
          <w:p w:rsidR="00383888" w:rsidRPr="000615AB" w:rsidRDefault="00383888" w:rsidP="00B47699">
            <w:pPr>
              <w:jc w:val="center"/>
              <w:rPr>
                <w:i/>
                <w:snapToGrid w:val="0"/>
                <w:sz w:val="18"/>
                <w:szCs w:val="18"/>
              </w:rPr>
            </w:pPr>
            <w:r w:rsidRPr="000615AB">
              <w:rPr>
                <w:snapToGrid w:val="0"/>
                <w:sz w:val="18"/>
                <w:szCs w:val="18"/>
              </w:rPr>
              <w:t>VI</w:t>
            </w:r>
            <w:r w:rsidRPr="000615AB">
              <w:rPr>
                <w:i/>
                <w:snapToGrid w:val="0"/>
                <w:sz w:val="18"/>
                <w:szCs w:val="18"/>
              </w:rPr>
              <w:t>bis</w:t>
            </w:r>
          </w:p>
        </w:tc>
        <w:tc>
          <w:tcPr>
            <w:tcW w:w="1210" w:type="dxa"/>
            <w:shd w:val="pct15" w:color="auto" w:fill="auto"/>
          </w:tcPr>
          <w:p w:rsidR="00383888" w:rsidRPr="000615AB" w:rsidRDefault="00383888" w:rsidP="00B47699">
            <w:pPr>
              <w:jc w:val="right"/>
              <w:rPr>
                <w:snapToGrid w:val="0"/>
                <w:sz w:val="18"/>
                <w:szCs w:val="18"/>
              </w:rPr>
            </w:pPr>
            <w:r w:rsidRPr="000615AB">
              <w:rPr>
                <w:snapToGrid w:val="0"/>
                <w:sz w:val="18"/>
                <w:szCs w:val="18"/>
              </w:rPr>
              <w:t>2</w:t>
            </w:r>
          </w:p>
        </w:tc>
        <w:tc>
          <w:tcPr>
            <w:tcW w:w="1320"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91.158 </w:t>
            </w:r>
          </w:p>
        </w:tc>
        <w:tc>
          <w:tcPr>
            <w:tcW w:w="1430"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91.158 </w:t>
            </w:r>
          </w:p>
        </w:tc>
        <w:tc>
          <w:tcPr>
            <w:tcW w:w="1388"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182.316 </w:t>
            </w:r>
          </w:p>
        </w:tc>
      </w:tr>
      <w:tr w:rsidR="00383888" w:rsidRPr="000615AB" w:rsidTr="00B47699">
        <w:tc>
          <w:tcPr>
            <w:tcW w:w="3055" w:type="dxa"/>
            <w:shd w:val="clear" w:color="auto" w:fill="auto"/>
          </w:tcPr>
          <w:p w:rsidR="00383888" w:rsidRPr="000615AB" w:rsidRDefault="00383888" w:rsidP="00B47699">
            <w:pPr>
              <w:keepNext/>
              <w:rPr>
                <w:snapToGrid w:val="0"/>
                <w:sz w:val="18"/>
                <w:szCs w:val="18"/>
              </w:rPr>
            </w:pPr>
            <w:r w:rsidRPr="000615AB">
              <w:rPr>
                <w:b/>
                <w:snapToGrid w:val="0"/>
                <w:sz w:val="18"/>
                <w:szCs w:val="18"/>
              </w:rPr>
              <w:t>U</w:t>
            </w:r>
            <w:r w:rsidRPr="000615AB">
              <w:rPr>
                <w:snapToGrid w:val="0"/>
                <w:sz w:val="18"/>
                <w:szCs w:val="18"/>
              </w:rPr>
              <w:t>crania</w:t>
            </w:r>
          </w:p>
        </w:tc>
        <w:tc>
          <w:tcPr>
            <w:tcW w:w="1125" w:type="dxa"/>
            <w:shd w:val="clear" w:color="auto" w:fill="auto"/>
          </w:tcPr>
          <w:p w:rsidR="00383888" w:rsidRPr="000615AB" w:rsidRDefault="00383888" w:rsidP="00B47699">
            <w:pPr>
              <w:keepNext/>
              <w:jc w:val="center"/>
              <w:rPr>
                <w:snapToGrid w:val="0"/>
                <w:sz w:val="18"/>
                <w:szCs w:val="18"/>
              </w:rPr>
            </w:pPr>
            <w:r w:rsidRPr="000615AB">
              <w:rPr>
                <w:snapToGrid w:val="0"/>
                <w:sz w:val="18"/>
                <w:szCs w:val="18"/>
              </w:rPr>
              <w:t>IX</w:t>
            </w:r>
          </w:p>
        </w:tc>
        <w:tc>
          <w:tcPr>
            <w:tcW w:w="1210" w:type="dxa"/>
            <w:shd w:val="clear" w:color="auto" w:fill="auto"/>
          </w:tcPr>
          <w:p w:rsidR="00383888" w:rsidRPr="000615AB" w:rsidRDefault="00383888" w:rsidP="00B47699">
            <w:pPr>
              <w:jc w:val="right"/>
              <w:rPr>
                <w:snapToGrid w:val="0"/>
                <w:sz w:val="18"/>
                <w:szCs w:val="18"/>
              </w:rPr>
            </w:pPr>
            <w:r w:rsidRPr="000615AB">
              <w:rPr>
                <w:snapToGrid w:val="0"/>
                <w:sz w:val="18"/>
                <w:szCs w:val="18"/>
              </w:rPr>
              <w:t>0,25</w:t>
            </w:r>
          </w:p>
        </w:tc>
        <w:tc>
          <w:tcPr>
            <w:tcW w:w="1320" w:type="dxa"/>
            <w:shd w:val="clear"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11.395 </w:t>
            </w:r>
          </w:p>
        </w:tc>
        <w:tc>
          <w:tcPr>
            <w:tcW w:w="1430" w:type="dxa"/>
            <w:shd w:val="clear"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11.395 </w:t>
            </w:r>
          </w:p>
        </w:tc>
        <w:tc>
          <w:tcPr>
            <w:tcW w:w="1388" w:type="dxa"/>
            <w:shd w:val="clear"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22.790 </w:t>
            </w:r>
          </w:p>
        </w:tc>
      </w:tr>
      <w:tr w:rsidR="00383888" w:rsidRPr="000615AB" w:rsidTr="00B47699">
        <w:tc>
          <w:tcPr>
            <w:tcW w:w="3055" w:type="dxa"/>
            <w:shd w:val="pct15" w:color="auto" w:fill="auto"/>
          </w:tcPr>
          <w:p w:rsidR="00383888" w:rsidRPr="000615AB" w:rsidRDefault="00383888" w:rsidP="00B47699">
            <w:pPr>
              <w:keepNext/>
              <w:rPr>
                <w:snapToGrid w:val="0"/>
                <w:sz w:val="18"/>
                <w:szCs w:val="18"/>
              </w:rPr>
            </w:pPr>
            <w:r w:rsidRPr="000615AB">
              <w:rPr>
                <w:snapToGrid w:val="0"/>
                <w:sz w:val="18"/>
                <w:szCs w:val="18"/>
              </w:rPr>
              <w:t>Uganda</w:t>
            </w:r>
          </w:p>
        </w:tc>
        <w:tc>
          <w:tcPr>
            <w:tcW w:w="1125" w:type="dxa"/>
            <w:shd w:val="pct15" w:color="auto" w:fill="auto"/>
          </w:tcPr>
          <w:p w:rsidR="00383888" w:rsidRPr="000615AB" w:rsidRDefault="00383888" w:rsidP="00B47699">
            <w:pPr>
              <w:keepNext/>
              <w:jc w:val="center"/>
              <w:rPr>
                <w:i/>
                <w:snapToGrid w:val="0"/>
                <w:sz w:val="18"/>
                <w:szCs w:val="18"/>
              </w:rPr>
            </w:pPr>
            <w:r w:rsidRPr="000615AB">
              <w:rPr>
                <w:snapToGrid w:val="0"/>
                <w:sz w:val="18"/>
                <w:szCs w:val="18"/>
              </w:rPr>
              <w:t>S</w:t>
            </w:r>
            <w:r w:rsidRPr="000615AB">
              <w:rPr>
                <w:i/>
                <w:snapToGrid w:val="0"/>
                <w:sz w:val="18"/>
                <w:szCs w:val="18"/>
              </w:rPr>
              <w:t>ter</w:t>
            </w:r>
          </w:p>
        </w:tc>
        <w:tc>
          <w:tcPr>
            <w:tcW w:w="1210" w:type="dxa"/>
            <w:shd w:val="pct15" w:color="auto" w:fill="auto"/>
          </w:tcPr>
          <w:p w:rsidR="00383888" w:rsidRPr="000615AB" w:rsidRDefault="00383888" w:rsidP="00B47699">
            <w:pPr>
              <w:jc w:val="right"/>
              <w:rPr>
                <w:snapToGrid w:val="0"/>
                <w:sz w:val="18"/>
                <w:szCs w:val="18"/>
              </w:rPr>
            </w:pPr>
            <w:r w:rsidRPr="000615AB">
              <w:rPr>
                <w:snapToGrid w:val="0"/>
                <w:sz w:val="18"/>
                <w:szCs w:val="18"/>
              </w:rPr>
              <w:t>0,03125</w:t>
            </w:r>
          </w:p>
        </w:tc>
        <w:tc>
          <w:tcPr>
            <w:tcW w:w="1320"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1.424 </w:t>
            </w:r>
          </w:p>
        </w:tc>
        <w:tc>
          <w:tcPr>
            <w:tcW w:w="1430"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1.424 </w:t>
            </w:r>
          </w:p>
        </w:tc>
        <w:tc>
          <w:tcPr>
            <w:tcW w:w="1388"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2.848 </w:t>
            </w:r>
          </w:p>
        </w:tc>
      </w:tr>
      <w:tr w:rsidR="00383888" w:rsidRPr="000615AB" w:rsidTr="00B47699">
        <w:tc>
          <w:tcPr>
            <w:tcW w:w="3055" w:type="dxa"/>
            <w:shd w:val="clear" w:color="auto" w:fill="auto"/>
          </w:tcPr>
          <w:p w:rsidR="00383888" w:rsidRPr="000615AB" w:rsidRDefault="00383888" w:rsidP="00B47699">
            <w:pPr>
              <w:rPr>
                <w:snapToGrid w:val="0"/>
                <w:sz w:val="18"/>
                <w:szCs w:val="18"/>
              </w:rPr>
            </w:pPr>
            <w:r w:rsidRPr="000615AB">
              <w:rPr>
                <w:snapToGrid w:val="0"/>
                <w:sz w:val="18"/>
                <w:szCs w:val="18"/>
              </w:rPr>
              <w:t>Uruguay</w:t>
            </w:r>
          </w:p>
        </w:tc>
        <w:tc>
          <w:tcPr>
            <w:tcW w:w="1125" w:type="dxa"/>
            <w:shd w:val="clear" w:color="auto" w:fill="auto"/>
          </w:tcPr>
          <w:p w:rsidR="00383888" w:rsidRPr="000615AB" w:rsidRDefault="00383888" w:rsidP="00B47699">
            <w:pPr>
              <w:jc w:val="center"/>
              <w:rPr>
                <w:snapToGrid w:val="0"/>
                <w:sz w:val="18"/>
                <w:szCs w:val="18"/>
              </w:rPr>
            </w:pPr>
            <w:r w:rsidRPr="000615AB">
              <w:rPr>
                <w:snapToGrid w:val="0"/>
                <w:sz w:val="18"/>
                <w:szCs w:val="18"/>
              </w:rPr>
              <w:t>S</w:t>
            </w:r>
          </w:p>
        </w:tc>
        <w:tc>
          <w:tcPr>
            <w:tcW w:w="1210" w:type="dxa"/>
            <w:shd w:val="clear" w:color="auto" w:fill="auto"/>
          </w:tcPr>
          <w:p w:rsidR="00383888" w:rsidRPr="000615AB" w:rsidRDefault="00383888" w:rsidP="00B47699">
            <w:pPr>
              <w:jc w:val="right"/>
              <w:rPr>
                <w:snapToGrid w:val="0"/>
                <w:sz w:val="18"/>
                <w:szCs w:val="18"/>
              </w:rPr>
            </w:pPr>
            <w:r w:rsidRPr="000615AB">
              <w:rPr>
                <w:snapToGrid w:val="0"/>
                <w:sz w:val="18"/>
                <w:szCs w:val="18"/>
              </w:rPr>
              <w:t>0,125</w:t>
            </w:r>
          </w:p>
        </w:tc>
        <w:tc>
          <w:tcPr>
            <w:tcW w:w="1320" w:type="dxa"/>
            <w:shd w:val="clear"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5.697 </w:t>
            </w:r>
          </w:p>
        </w:tc>
        <w:tc>
          <w:tcPr>
            <w:tcW w:w="1430" w:type="dxa"/>
            <w:shd w:val="clear"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5.697 </w:t>
            </w:r>
          </w:p>
        </w:tc>
        <w:tc>
          <w:tcPr>
            <w:tcW w:w="1388" w:type="dxa"/>
            <w:shd w:val="clear"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11.394 </w:t>
            </w:r>
          </w:p>
        </w:tc>
      </w:tr>
      <w:tr w:rsidR="00383888" w:rsidRPr="000615AB" w:rsidTr="00B47699">
        <w:tc>
          <w:tcPr>
            <w:tcW w:w="3055" w:type="dxa"/>
            <w:shd w:val="pct15" w:color="auto" w:fill="auto"/>
          </w:tcPr>
          <w:p w:rsidR="00383888" w:rsidRPr="000615AB" w:rsidRDefault="00383888" w:rsidP="00B47699">
            <w:pPr>
              <w:rPr>
                <w:snapToGrid w:val="0"/>
                <w:sz w:val="18"/>
                <w:szCs w:val="18"/>
              </w:rPr>
            </w:pPr>
            <w:r w:rsidRPr="000615AB">
              <w:rPr>
                <w:snapToGrid w:val="0"/>
                <w:sz w:val="18"/>
                <w:szCs w:val="18"/>
              </w:rPr>
              <w:t>Uzbekistán</w:t>
            </w:r>
          </w:p>
        </w:tc>
        <w:tc>
          <w:tcPr>
            <w:tcW w:w="1125" w:type="dxa"/>
            <w:shd w:val="pct15" w:color="auto" w:fill="auto"/>
          </w:tcPr>
          <w:p w:rsidR="00383888" w:rsidRPr="000615AB" w:rsidRDefault="00383888" w:rsidP="00B47699">
            <w:pPr>
              <w:jc w:val="center"/>
              <w:rPr>
                <w:snapToGrid w:val="0"/>
                <w:sz w:val="18"/>
                <w:szCs w:val="18"/>
              </w:rPr>
            </w:pPr>
            <w:r w:rsidRPr="000615AB">
              <w:rPr>
                <w:snapToGrid w:val="0"/>
                <w:sz w:val="18"/>
                <w:szCs w:val="18"/>
              </w:rPr>
              <w:t>IX</w:t>
            </w:r>
          </w:p>
        </w:tc>
        <w:tc>
          <w:tcPr>
            <w:tcW w:w="1210" w:type="dxa"/>
            <w:shd w:val="pct15" w:color="auto" w:fill="auto"/>
          </w:tcPr>
          <w:p w:rsidR="00383888" w:rsidRPr="000615AB" w:rsidRDefault="00383888" w:rsidP="00B47699">
            <w:pPr>
              <w:jc w:val="right"/>
              <w:rPr>
                <w:snapToGrid w:val="0"/>
                <w:sz w:val="18"/>
                <w:szCs w:val="18"/>
              </w:rPr>
            </w:pPr>
            <w:r w:rsidRPr="000615AB">
              <w:rPr>
                <w:snapToGrid w:val="0"/>
                <w:sz w:val="18"/>
                <w:szCs w:val="18"/>
              </w:rPr>
              <w:t>0,25</w:t>
            </w:r>
          </w:p>
        </w:tc>
        <w:tc>
          <w:tcPr>
            <w:tcW w:w="1320" w:type="dxa"/>
            <w:shd w:val="pct15" w:color="auto" w:fill="auto"/>
          </w:tcPr>
          <w:p w:rsidR="00383888" w:rsidRPr="000615AB" w:rsidRDefault="00383888" w:rsidP="00B47699">
            <w:pPr>
              <w:jc w:val="right"/>
              <w:rPr>
                <w:snapToGrid w:val="0"/>
                <w:sz w:val="18"/>
                <w:szCs w:val="18"/>
              </w:rPr>
            </w:pPr>
            <w:r w:rsidRPr="000615AB">
              <w:rPr>
                <w:snapToGrid w:val="0"/>
                <w:sz w:val="18"/>
                <w:szCs w:val="18"/>
              </w:rPr>
              <w:t>11.395</w:t>
            </w:r>
          </w:p>
        </w:tc>
        <w:tc>
          <w:tcPr>
            <w:tcW w:w="1430" w:type="dxa"/>
            <w:shd w:val="pct15" w:color="auto" w:fill="auto"/>
          </w:tcPr>
          <w:p w:rsidR="00383888" w:rsidRPr="000615AB" w:rsidRDefault="00383888" w:rsidP="00B47699">
            <w:pPr>
              <w:jc w:val="right"/>
              <w:rPr>
                <w:snapToGrid w:val="0"/>
                <w:sz w:val="18"/>
                <w:szCs w:val="18"/>
              </w:rPr>
            </w:pPr>
            <w:r w:rsidRPr="000615AB">
              <w:rPr>
                <w:snapToGrid w:val="0"/>
                <w:sz w:val="18"/>
                <w:szCs w:val="18"/>
              </w:rPr>
              <w:t>11.395</w:t>
            </w:r>
          </w:p>
        </w:tc>
        <w:tc>
          <w:tcPr>
            <w:tcW w:w="1388" w:type="dxa"/>
            <w:shd w:val="pct15" w:color="auto" w:fill="auto"/>
          </w:tcPr>
          <w:p w:rsidR="00383888" w:rsidRPr="000615AB" w:rsidRDefault="00383888" w:rsidP="00B47699">
            <w:pPr>
              <w:jc w:val="right"/>
              <w:rPr>
                <w:snapToGrid w:val="0"/>
                <w:sz w:val="18"/>
                <w:szCs w:val="18"/>
              </w:rPr>
            </w:pPr>
            <w:r w:rsidRPr="000615AB">
              <w:rPr>
                <w:snapToGrid w:val="0"/>
                <w:sz w:val="18"/>
                <w:szCs w:val="18"/>
              </w:rPr>
              <w:t>22.790</w:t>
            </w:r>
          </w:p>
        </w:tc>
      </w:tr>
      <w:tr w:rsidR="00383888" w:rsidRPr="000615AB" w:rsidTr="00B47699">
        <w:tc>
          <w:tcPr>
            <w:tcW w:w="3055" w:type="dxa"/>
            <w:shd w:val="clear" w:color="auto" w:fill="auto"/>
          </w:tcPr>
          <w:p w:rsidR="00383888" w:rsidRPr="000615AB" w:rsidRDefault="00383888" w:rsidP="00B47699">
            <w:pPr>
              <w:rPr>
                <w:snapToGrid w:val="0"/>
                <w:sz w:val="18"/>
                <w:szCs w:val="18"/>
              </w:rPr>
            </w:pPr>
            <w:r w:rsidRPr="000615AB">
              <w:rPr>
                <w:b/>
                <w:snapToGrid w:val="0"/>
                <w:sz w:val="18"/>
                <w:szCs w:val="18"/>
              </w:rPr>
              <w:lastRenderedPageBreak/>
              <w:t>V</w:t>
            </w:r>
            <w:r w:rsidRPr="000615AB">
              <w:rPr>
                <w:snapToGrid w:val="0"/>
                <w:sz w:val="18"/>
                <w:szCs w:val="18"/>
              </w:rPr>
              <w:t>anuatu</w:t>
            </w:r>
          </w:p>
        </w:tc>
        <w:tc>
          <w:tcPr>
            <w:tcW w:w="1125" w:type="dxa"/>
            <w:shd w:val="clear" w:color="auto" w:fill="auto"/>
          </w:tcPr>
          <w:p w:rsidR="00383888" w:rsidRPr="000615AB" w:rsidRDefault="00383888" w:rsidP="00B47699">
            <w:pPr>
              <w:jc w:val="center"/>
              <w:rPr>
                <w:snapToGrid w:val="0"/>
                <w:sz w:val="18"/>
                <w:szCs w:val="18"/>
              </w:rPr>
            </w:pPr>
            <w:r w:rsidRPr="000615AB">
              <w:rPr>
                <w:snapToGrid w:val="0"/>
                <w:sz w:val="18"/>
                <w:szCs w:val="18"/>
              </w:rPr>
              <w:t>S</w:t>
            </w:r>
            <w:r w:rsidRPr="000615AB">
              <w:rPr>
                <w:i/>
                <w:snapToGrid w:val="0"/>
                <w:sz w:val="18"/>
                <w:szCs w:val="18"/>
              </w:rPr>
              <w:t>ter</w:t>
            </w:r>
          </w:p>
        </w:tc>
        <w:tc>
          <w:tcPr>
            <w:tcW w:w="1210" w:type="dxa"/>
            <w:shd w:val="clear" w:color="auto" w:fill="auto"/>
          </w:tcPr>
          <w:p w:rsidR="00383888" w:rsidRPr="000615AB" w:rsidRDefault="00383888" w:rsidP="00B47699">
            <w:pPr>
              <w:jc w:val="right"/>
              <w:rPr>
                <w:snapToGrid w:val="0"/>
                <w:sz w:val="18"/>
                <w:szCs w:val="18"/>
              </w:rPr>
            </w:pPr>
            <w:r w:rsidRPr="000615AB">
              <w:rPr>
                <w:snapToGrid w:val="0"/>
                <w:sz w:val="18"/>
                <w:szCs w:val="18"/>
              </w:rPr>
              <w:t>0,03125</w:t>
            </w:r>
          </w:p>
        </w:tc>
        <w:tc>
          <w:tcPr>
            <w:tcW w:w="1320" w:type="dxa"/>
            <w:shd w:val="clear" w:color="auto" w:fill="auto"/>
          </w:tcPr>
          <w:p w:rsidR="00383888" w:rsidRPr="000615AB" w:rsidRDefault="00383888" w:rsidP="00B47699">
            <w:pPr>
              <w:jc w:val="right"/>
              <w:rPr>
                <w:snapToGrid w:val="0"/>
                <w:sz w:val="18"/>
                <w:szCs w:val="18"/>
              </w:rPr>
            </w:pPr>
            <w:r w:rsidRPr="000615AB">
              <w:rPr>
                <w:snapToGrid w:val="0"/>
                <w:sz w:val="18"/>
                <w:szCs w:val="18"/>
              </w:rPr>
              <w:t>1.424</w:t>
            </w:r>
          </w:p>
        </w:tc>
        <w:tc>
          <w:tcPr>
            <w:tcW w:w="1430" w:type="dxa"/>
            <w:shd w:val="clear" w:color="auto" w:fill="auto"/>
          </w:tcPr>
          <w:p w:rsidR="00383888" w:rsidRPr="000615AB" w:rsidRDefault="00383888" w:rsidP="00B47699">
            <w:pPr>
              <w:jc w:val="right"/>
              <w:rPr>
                <w:snapToGrid w:val="0"/>
                <w:sz w:val="18"/>
                <w:szCs w:val="18"/>
              </w:rPr>
            </w:pPr>
            <w:r w:rsidRPr="000615AB">
              <w:rPr>
                <w:snapToGrid w:val="0"/>
                <w:sz w:val="18"/>
                <w:szCs w:val="18"/>
              </w:rPr>
              <w:t>1.424</w:t>
            </w:r>
          </w:p>
        </w:tc>
        <w:tc>
          <w:tcPr>
            <w:tcW w:w="1388" w:type="dxa"/>
            <w:shd w:val="clear" w:color="auto" w:fill="auto"/>
          </w:tcPr>
          <w:p w:rsidR="00383888" w:rsidRPr="000615AB" w:rsidRDefault="00383888" w:rsidP="00B47699">
            <w:pPr>
              <w:jc w:val="right"/>
              <w:rPr>
                <w:snapToGrid w:val="0"/>
                <w:sz w:val="18"/>
                <w:szCs w:val="18"/>
              </w:rPr>
            </w:pPr>
            <w:r w:rsidRPr="000615AB">
              <w:rPr>
                <w:snapToGrid w:val="0"/>
                <w:sz w:val="18"/>
                <w:szCs w:val="18"/>
              </w:rPr>
              <w:t>2.848</w:t>
            </w:r>
          </w:p>
        </w:tc>
      </w:tr>
      <w:tr w:rsidR="00383888" w:rsidRPr="000615AB" w:rsidTr="00B47699">
        <w:tc>
          <w:tcPr>
            <w:tcW w:w="3055" w:type="dxa"/>
            <w:shd w:val="pct15" w:color="auto" w:fill="auto"/>
          </w:tcPr>
          <w:p w:rsidR="00383888" w:rsidRPr="000615AB" w:rsidRDefault="00383888" w:rsidP="00B47699">
            <w:pPr>
              <w:rPr>
                <w:snapToGrid w:val="0"/>
                <w:sz w:val="18"/>
                <w:szCs w:val="18"/>
              </w:rPr>
            </w:pPr>
            <w:r w:rsidRPr="000615AB">
              <w:rPr>
                <w:snapToGrid w:val="0"/>
                <w:sz w:val="18"/>
                <w:szCs w:val="18"/>
              </w:rPr>
              <w:t>Venezuela (República Bolivariana de)</w:t>
            </w:r>
          </w:p>
        </w:tc>
        <w:tc>
          <w:tcPr>
            <w:tcW w:w="1125" w:type="dxa"/>
            <w:shd w:val="pct15" w:color="auto" w:fill="auto"/>
          </w:tcPr>
          <w:p w:rsidR="00383888" w:rsidRPr="000615AB" w:rsidRDefault="00383888" w:rsidP="00B47699">
            <w:pPr>
              <w:jc w:val="center"/>
              <w:rPr>
                <w:snapToGrid w:val="0"/>
                <w:sz w:val="18"/>
                <w:szCs w:val="18"/>
              </w:rPr>
            </w:pPr>
            <w:r w:rsidRPr="000615AB">
              <w:rPr>
                <w:snapToGrid w:val="0"/>
                <w:sz w:val="18"/>
                <w:szCs w:val="18"/>
              </w:rPr>
              <w:t>IX</w:t>
            </w:r>
          </w:p>
        </w:tc>
        <w:tc>
          <w:tcPr>
            <w:tcW w:w="1210" w:type="dxa"/>
            <w:shd w:val="pct15" w:color="auto" w:fill="auto"/>
          </w:tcPr>
          <w:p w:rsidR="00383888" w:rsidRPr="000615AB" w:rsidRDefault="00383888" w:rsidP="00B47699">
            <w:pPr>
              <w:jc w:val="right"/>
              <w:rPr>
                <w:snapToGrid w:val="0"/>
                <w:sz w:val="18"/>
                <w:szCs w:val="18"/>
              </w:rPr>
            </w:pPr>
            <w:r w:rsidRPr="000615AB">
              <w:rPr>
                <w:snapToGrid w:val="0"/>
                <w:sz w:val="18"/>
                <w:szCs w:val="18"/>
              </w:rPr>
              <w:t>0,25</w:t>
            </w:r>
          </w:p>
        </w:tc>
        <w:tc>
          <w:tcPr>
            <w:tcW w:w="1320"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11.395 </w:t>
            </w:r>
          </w:p>
        </w:tc>
        <w:tc>
          <w:tcPr>
            <w:tcW w:w="1430"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11.395 </w:t>
            </w:r>
          </w:p>
        </w:tc>
        <w:tc>
          <w:tcPr>
            <w:tcW w:w="1388"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22.790 </w:t>
            </w:r>
          </w:p>
        </w:tc>
      </w:tr>
      <w:tr w:rsidR="00383888" w:rsidRPr="000615AB" w:rsidTr="00B47699">
        <w:tc>
          <w:tcPr>
            <w:tcW w:w="3055" w:type="dxa"/>
            <w:shd w:val="clear" w:color="auto" w:fill="auto"/>
          </w:tcPr>
          <w:p w:rsidR="00383888" w:rsidRPr="000615AB" w:rsidRDefault="00383888" w:rsidP="00B47699">
            <w:pPr>
              <w:rPr>
                <w:snapToGrid w:val="0"/>
                <w:sz w:val="18"/>
                <w:szCs w:val="18"/>
              </w:rPr>
            </w:pPr>
            <w:r w:rsidRPr="000615AB">
              <w:rPr>
                <w:snapToGrid w:val="0"/>
                <w:sz w:val="18"/>
                <w:szCs w:val="18"/>
              </w:rPr>
              <w:t>Viet Nam</w:t>
            </w:r>
          </w:p>
        </w:tc>
        <w:tc>
          <w:tcPr>
            <w:tcW w:w="1125" w:type="dxa"/>
            <w:shd w:val="clear" w:color="auto" w:fill="auto"/>
          </w:tcPr>
          <w:p w:rsidR="00383888" w:rsidRPr="000615AB" w:rsidRDefault="00383888" w:rsidP="00B47699">
            <w:pPr>
              <w:jc w:val="center"/>
              <w:rPr>
                <w:i/>
                <w:snapToGrid w:val="0"/>
                <w:sz w:val="18"/>
                <w:szCs w:val="18"/>
              </w:rPr>
            </w:pPr>
            <w:r w:rsidRPr="000615AB">
              <w:rPr>
                <w:snapToGrid w:val="0"/>
                <w:sz w:val="18"/>
                <w:szCs w:val="18"/>
              </w:rPr>
              <w:t>S</w:t>
            </w:r>
          </w:p>
        </w:tc>
        <w:tc>
          <w:tcPr>
            <w:tcW w:w="1210" w:type="dxa"/>
            <w:shd w:val="clear" w:color="auto" w:fill="auto"/>
          </w:tcPr>
          <w:p w:rsidR="00383888" w:rsidRPr="000615AB" w:rsidRDefault="00383888" w:rsidP="00B47699">
            <w:pPr>
              <w:jc w:val="right"/>
              <w:rPr>
                <w:snapToGrid w:val="0"/>
                <w:sz w:val="18"/>
                <w:szCs w:val="18"/>
              </w:rPr>
            </w:pPr>
            <w:r w:rsidRPr="000615AB">
              <w:rPr>
                <w:snapToGrid w:val="0"/>
                <w:sz w:val="18"/>
                <w:szCs w:val="18"/>
              </w:rPr>
              <w:t>0,125</w:t>
            </w:r>
          </w:p>
        </w:tc>
        <w:tc>
          <w:tcPr>
            <w:tcW w:w="1320" w:type="dxa"/>
            <w:shd w:val="clear"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5.697 </w:t>
            </w:r>
          </w:p>
        </w:tc>
        <w:tc>
          <w:tcPr>
            <w:tcW w:w="1430" w:type="dxa"/>
            <w:shd w:val="clear"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5.697 </w:t>
            </w:r>
          </w:p>
        </w:tc>
        <w:tc>
          <w:tcPr>
            <w:tcW w:w="1388" w:type="dxa"/>
            <w:shd w:val="clear" w:color="auto" w:fill="auto"/>
          </w:tcPr>
          <w:p w:rsidR="00383888" w:rsidRPr="000615AB" w:rsidRDefault="00383888" w:rsidP="00B47699">
            <w:pPr>
              <w:jc w:val="right"/>
              <w:rPr>
                <w:snapToGrid w:val="0"/>
                <w:sz w:val="18"/>
                <w:szCs w:val="18"/>
              </w:rPr>
            </w:pPr>
            <w:r w:rsidRPr="000615AB">
              <w:rPr>
                <w:snapToGrid w:val="0"/>
                <w:sz w:val="18"/>
                <w:szCs w:val="18"/>
              </w:rPr>
              <w:t>11.394</w:t>
            </w:r>
          </w:p>
        </w:tc>
      </w:tr>
      <w:tr w:rsidR="00383888" w:rsidRPr="000615AB" w:rsidTr="00B47699">
        <w:tc>
          <w:tcPr>
            <w:tcW w:w="3055" w:type="dxa"/>
            <w:shd w:val="pct15" w:color="auto" w:fill="auto"/>
          </w:tcPr>
          <w:p w:rsidR="00383888" w:rsidRPr="000615AB" w:rsidRDefault="00383888" w:rsidP="00B47699">
            <w:pPr>
              <w:rPr>
                <w:snapToGrid w:val="0"/>
                <w:sz w:val="18"/>
                <w:szCs w:val="18"/>
                <w:vertAlign w:val="superscript"/>
              </w:rPr>
            </w:pPr>
            <w:r w:rsidRPr="000615AB">
              <w:rPr>
                <w:b/>
                <w:snapToGrid w:val="0"/>
                <w:sz w:val="18"/>
                <w:szCs w:val="18"/>
              </w:rPr>
              <w:t>Y</w:t>
            </w:r>
            <w:r w:rsidRPr="000615AB">
              <w:rPr>
                <w:snapToGrid w:val="0"/>
                <w:sz w:val="18"/>
                <w:szCs w:val="18"/>
              </w:rPr>
              <w:t xml:space="preserve">emen </w:t>
            </w:r>
          </w:p>
        </w:tc>
        <w:tc>
          <w:tcPr>
            <w:tcW w:w="1125" w:type="dxa"/>
            <w:shd w:val="pct15" w:color="auto" w:fill="auto"/>
          </w:tcPr>
          <w:p w:rsidR="00383888" w:rsidRPr="000615AB" w:rsidRDefault="00383888" w:rsidP="00B47699">
            <w:pPr>
              <w:jc w:val="center"/>
              <w:rPr>
                <w:i/>
                <w:snapToGrid w:val="0"/>
                <w:sz w:val="18"/>
                <w:szCs w:val="18"/>
              </w:rPr>
            </w:pPr>
            <w:r w:rsidRPr="000615AB">
              <w:rPr>
                <w:snapToGrid w:val="0"/>
                <w:sz w:val="18"/>
                <w:szCs w:val="18"/>
              </w:rPr>
              <w:t>S</w:t>
            </w:r>
            <w:r w:rsidRPr="000615AB">
              <w:rPr>
                <w:i/>
                <w:snapToGrid w:val="0"/>
                <w:sz w:val="18"/>
                <w:szCs w:val="18"/>
              </w:rPr>
              <w:t>ter</w:t>
            </w:r>
          </w:p>
        </w:tc>
        <w:tc>
          <w:tcPr>
            <w:tcW w:w="1210" w:type="dxa"/>
            <w:shd w:val="pct15" w:color="auto" w:fill="auto"/>
          </w:tcPr>
          <w:p w:rsidR="00383888" w:rsidRPr="000615AB" w:rsidRDefault="00383888" w:rsidP="00B47699">
            <w:pPr>
              <w:jc w:val="right"/>
              <w:rPr>
                <w:snapToGrid w:val="0"/>
                <w:sz w:val="18"/>
                <w:szCs w:val="18"/>
              </w:rPr>
            </w:pPr>
            <w:r w:rsidRPr="000615AB">
              <w:rPr>
                <w:snapToGrid w:val="0"/>
                <w:sz w:val="18"/>
                <w:szCs w:val="18"/>
              </w:rPr>
              <w:t>0,03125</w:t>
            </w:r>
          </w:p>
        </w:tc>
        <w:tc>
          <w:tcPr>
            <w:tcW w:w="1320"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1.424 </w:t>
            </w:r>
          </w:p>
        </w:tc>
        <w:tc>
          <w:tcPr>
            <w:tcW w:w="1430"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1.424 </w:t>
            </w:r>
          </w:p>
        </w:tc>
        <w:tc>
          <w:tcPr>
            <w:tcW w:w="1388"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2.848 </w:t>
            </w:r>
          </w:p>
        </w:tc>
      </w:tr>
      <w:tr w:rsidR="00383888" w:rsidRPr="000615AB" w:rsidTr="00B47699">
        <w:tc>
          <w:tcPr>
            <w:tcW w:w="3055" w:type="dxa"/>
            <w:shd w:val="clear" w:color="auto" w:fill="auto"/>
          </w:tcPr>
          <w:p w:rsidR="00383888" w:rsidRPr="000615AB" w:rsidRDefault="00383888" w:rsidP="00B47699">
            <w:pPr>
              <w:rPr>
                <w:snapToGrid w:val="0"/>
                <w:sz w:val="18"/>
                <w:szCs w:val="18"/>
              </w:rPr>
            </w:pPr>
            <w:r w:rsidRPr="000615AB">
              <w:rPr>
                <w:b/>
                <w:snapToGrid w:val="0"/>
                <w:sz w:val="18"/>
                <w:szCs w:val="18"/>
              </w:rPr>
              <w:t>Z</w:t>
            </w:r>
            <w:r w:rsidRPr="000615AB">
              <w:rPr>
                <w:snapToGrid w:val="0"/>
                <w:sz w:val="18"/>
                <w:szCs w:val="18"/>
              </w:rPr>
              <w:t>ambia</w:t>
            </w:r>
          </w:p>
        </w:tc>
        <w:tc>
          <w:tcPr>
            <w:tcW w:w="1125" w:type="dxa"/>
            <w:shd w:val="clear" w:color="auto" w:fill="auto"/>
          </w:tcPr>
          <w:p w:rsidR="00383888" w:rsidRPr="000615AB" w:rsidRDefault="00383888" w:rsidP="00B47699">
            <w:pPr>
              <w:jc w:val="center"/>
              <w:rPr>
                <w:i/>
                <w:snapToGrid w:val="0"/>
                <w:sz w:val="18"/>
                <w:szCs w:val="18"/>
              </w:rPr>
            </w:pPr>
            <w:r w:rsidRPr="000615AB">
              <w:rPr>
                <w:snapToGrid w:val="0"/>
                <w:sz w:val="18"/>
                <w:szCs w:val="18"/>
              </w:rPr>
              <w:t>S</w:t>
            </w:r>
            <w:r w:rsidRPr="000615AB">
              <w:rPr>
                <w:i/>
                <w:snapToGrid w:val="0"/>
                <w:sz w:val="18"/>
                <w:szCs w:val="18"/>
              </w:rPr>
              <w:t>ter</w:t>
            </w:r>
          </w:p>
        </w:tc>
        <w:tc>
          <w:tcPr>
            <w:tcW w:w="1210" w:type="dxa"/>
            <w:shd w:val="clear" w:color="auto" w:fill="auto"/>
          </w:tcPr>
          <w:p w:rsidR="00383888" w:rsidRPr="000615AB" w:rsidRDefault="00383888" w:rsidP="00B47699">
            <w:pPr>
              <w:jc w:val="right"/>
              <w:rPr>
                <w:snapToGrid w:val="0"/>
                <w:sz w:val="18"/>
                <w:szCs w:val="18"/>
              </w:rPr>
            </w:pPr>
            <w:r w:rsidRPr="000615AB">
              <w:rPr>
                <w:snapToGrid w:val="0"/>
                <w:sz w:val="18"/>
                <w:szCs w:val="18"/>
              </w:rPr>
              <w:t>0,03125</w:t>
            </w:r>
          </w:p>
        </w:tc>
        <w:tc>
          <w:tcPr>
            <w:tcW w:w="1320" w:type="dxa"/>
            <w:shd w:val="clear"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1.424 </w:t>
            </w:r>
          </w:p>
        </w:tc>
        <w:tc>
          <w:tcPr>
            <w:tcW w:w="1430" w:type="dxa"/>
            <w:shd w:val="clear"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1.424 </w:t>
            </w:r>
          </w:p>
        </w:tc>
        <w:tc>
          <w:tcPr>
            <w:tcW w:w="1388" w:type="dxa"/>
            <w:shd w:val="clear"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2.848 </w:t>
            </w:r>
          </w:p>
        </w:tc>
      </w:tr>
      <w:tr w:rsidR="00383888" w:rsidRPr="000615AB" w:rsidTr="00B47699">
        <w:tc>
          <w:tcPr>
            <w:tcW w:w="3055" w:type="dxa"/>
            <w:shd w:val="pct15" w:color="auto" w:fill="auto"/>
          </w:tcPr>
          <w:p w:rsidR="00383888" w:rsidRPr="000615AB" w:rsidRDefault="00383888" w:rsidP="00B47699">
            <w:pPr>
              <w:rPr>
                <w:snapToGrid w:val="0"/>
                <w:sz w:val="18"/>
                <w:szCs w:val="18"/>
              </w:rPr>
            </w:pPr>
            <w:r w:rsidRPr="000615AB">
              <w:rPr>
                <w:snapToGrid w:val="0"/>
                <w:sz w:val="18"/>
                <w:szCs w:val="18"/>
              </w:rPr>
              <w:t>Zimbabwe</w:t>
            </w:r>
          </w:p>
        </w:tc>
        <w:tc>
          <w:tcPr>
            <w:tcW w:w="1125" w:type="dxa"/>
            <w:shd w:val="pct15" w:color="auto" w:fill="auto"/>
          </w:tcPr>
          <w:p w:rsidR="00383888" w:rsidRPr="000615AB" w:rsidRDefault="00383888" w:rsidP="00B47699">
            <w:pPr>
              <w:jc w:val="center"/>
              <w:rPr>
                <w:i/>
                <w:snapToGrid w:val="0"/>
                <w:sz w:val="18"/>
                <w:szCs w:val="18"/>
              </w:rPr>
            </w:pPr>
            <w:r w:rsidRPr="000615AB">
              <w:rPr>
                <w:snapToGrid w:val="0"/>
                <w:sz w:val="18"/>
                <w:szCs w:val="18"/>
              </w:rPr>
              <w:t>S</w:t>
            </w:r>
            <w:r w:rsidRPr="000615AB">
              <w:rPr>
                <w:i/>
                <w:snapToGrid w:val="0"/>
                <w:sz w:val="18"/>
                <w:szCs w:val="18"/>
              </w:rPr>
              <w:t>bis</w:t>
            </w:r>
          </w:p>
        </w:tc>
        <w:tc>
          <w:tcPr>
            <w:tcW w:w="1210" w:type="dxa"/>
            <w:shd w:val="pct15" w:color="auto" w:fill="auto"/>
          </w:tcPr>
          <w:p w:rsidR="00383888" w:rsidRPr="000615AB" w:rsidRDefault="00383888" w:rsidP="00B47699">
            <w:pPr>
              <w:jc w:val="right"/>
              <w:rPr>
                <w:snapToGrid w:val="0"/>
                <w:sz w:val="18"/>
                <w:szCs w:val="18"/>
              </w:rPr>
            </w:pPr>
            <w:r w:rsidRPr="000615AB">
              <w:rPr>
                <w:snapToGrid w:val="0"/>
                <w:sz w:val="18"/>
                <w:szCs w:val="18"/>
              </w:rPr>
              <w:t>0,0625</w:t>
            </w:r>
          </w:p>
        </w:tc>
        <w:tc>
          <w:tcPr>
            <w:tcW w:w="1320"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2.849 </w:t>
            </w:r>
          </w:p>
        </w:tc>
        <w:tc>
          <w:tcPr>
            <w:tcW w:w="1430"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2.849 </w:t>
            </w:r>
          </w:p>
        </w:tc>
        <w:tc>
          <w:tcPr>
            <w:tcW w:w="1388" w:type="dxa"/>
            <w:shd w:val="pct15" w:color="auto" w:fill="auto"/>
          </w:tcPr>
          <w:p w:rsidR="00383888" w:rsidRPr="000615AB" w:rsidRDefault="00383888" w:rsidP="00B47699">
            <w:pPr>
              <w:jc w:val="right"/>
              <w:rPr>
                <w:snapToGrid w:val="0"/>
                <w:sz w:val="18"/>
                <w:szCs w:val="18"/>
              </w:rPr>
            </w:pPr>
            <w:r>
              <w:rPr>
                <w:snapToGrid w:val="0"/>
                <w:sz w:val="18"/>
                <w:szCs w:val="18"/>
              </w:rPr>
              <w:t xml:space="preserve">    </w:t>
            </w:r>
            <w:r w:rsidRPr="000615AB">
              <w:rPr>
                <w:snapToGrid w:val="0"/>
                <w:sz w:val="18"/>
                <w:szCs w:val="18"/>
              </w:rPr>
              <w:t xml:space="preserve"> 5.698 </w:t>
            </w:r>
          </w:p>
        </w:tc>
      </w:tr>
      <w:tr w:rsidR="00383888" w:rsidRPr="000615AB" w:rsidTr="00B47699">
        <w:tc>
          <w:tcPr>
            <w:tcW w:w="3055" w:type="dxa"/>
            <w:shd w:val="clear" w:color="auto" w:fill="FFFFFF"/>
          </w:tcPr>
          <w:p w:rsidR="00383888" w:rsidRPr="000615AB" w:rsidRDefault="00383888" w:rsidP="00B47699">
            <w:pPr>
              <w:rPr>
                <w:b/>
                <w:snapToGrid w:val="0"/>
                <w:sz w:val="18"/>
                <w:szCs w:val="18"/>
                <w:vertAlign w:val="superscript"/>
              </w:rPr>
            </w:pPr>
            <w:r w:rsidRPr="000615AB">
              <w:rPr>
                <w:b/>
                <w:snapToGrid w:val="0"/>
                <w:sz w:val="18"/>
                <w:szCs w:val="18"/>
              </w:rPr>
              <w:t xml:space="preserve">Total de contribuciones </w:t>
            </w:r>
          </w:p>
        </w:tc>
        <w:tc>
          <w:tcPr>
            <w:tcW w:w="1125" w:type="dxa"/>
            <w:shd w:val="clear" w:color="auto" w:fill="FFFFFF"/>
          </w:tcPr>
          <w:p w:rsidR="00383888" w:rsidRPr="000615AB" w:rsidRDefault="00383888" w:rsidP="00B47699">
            <w:pPr>
              <w:jc w:val="right"/>
              <w:rPr>
                <w:b/>
                <w:snapToGrid w:val="0"/>
                <w:sz w:val="18"/>
                <w:szCs w:val="18"/>
              </w:rPr>
            </w:pPr>
          </w:p>
        </w:tc>
        <w:tc>
          <w:tcPr>
            <w:tcW w:w="1210" w:type="dxa"/>
            <w:shd w:val="clear" w:color="auto" w:fill="FFFFFF"/>
          </w:tcPr>
          <w:p w:rsidR="00383888" w:rsidRPr="000615AB" w:rsidRDefault="00383888" w:rsidP="00B47699">
            <w:pPr>
              <w:jc w:val="right"/>
              <w:rPr>
                <w:b/>
                <w:snapToGrid w:val="0"/>
                <w:sz w:val="18"/>
                <w:szCs w:val="18"/>
              </w:rPr>
            </w:pPr>
          </w:p>
        </w:tc>
        <w:tc>
          <w:tcPr>
            <w:tcW w:w="1320" w:type="dxa"/>
            <w:shd w:val="clear" w:color="auto" w:fill="FFFFFF"/>
          </w:tcPr>
          <w:p w:rsidR="00383888" w:rsidRPr="000615AB" w:rsidRDefault="00383888" w:rsidP="00B47699">
            <w:pPr>
              <w:jc w:val="right"/>
              <w:rPr>
                <w:b/>
                <w:snapToGrid w:val="0"/>
                <w:sz w:val="18"/>
                <w:szCs w:val="18"/>
              </w:rPr>
            </w:pPr>
            <w:r w:rsidRPr="000615AB">
              <w:rPr>
                <w:b/>
                <w:snapToGrid w:val="0"/>
                <w:sz w:val="18"/>
                <w:szCs w:val="18"/>
              </w:rPr>
              <w:t>17.583.514</w:t>
            </w:r>
          </w:p>
        </w:tc>
        <w:tc>
          <w:tcPr>
            <w:tcW w:w="1430" w:type="dxa"/>
            <w:shd w:val="clear" w:color="auto" w:fill="FFFFFF"/>
          </w:tcPr>
          <w:p w:rsidR="00383888" w:rsidRPr="000615AB" w:rsidRDefault="00383888" w:rsidP="00B47699">
            <w:pPr>
              <w:jc w:val="right"/>
              <w:rPr>
                <w:b/>
                <w:snapToGrid w:val="0"/>
                <w:sz w:val="18"/>
                <w:szCs w:val="18"/>
              </w:rPr>
            </w:pPr>
            <w:r w:rsidRPr="000615AB">
              <w:rPr>
                <w:b/>
                <w:snapToGrid w:val="0"/>
                <w:sz w:val="18"/>
                <w:szCs w:val="18"/>
              </w:rPr>
              <w:t>17.583.514</w:t>
            </w:r>
          </w:p>
        </w:tc>
        <w:tc>
          <w:tcPr>
            <w:tcW w:w="1388" w:type="dxa"/>
            <w:shd w:val="clear" w:color="auto" w:fill="FFFFFF"/>
          </w:tcPr>
          <w:p w:rsidR="00383888" w:rsidRPr="000615AB" w:rsidRDefault="00383888" w:rsidP="00B47699">
            <w:pPr>
              <w:jc w:val="right"/>
              <w:rPr>
                <w:b/>
                <w:snapToGrid w:val="0"/>
                <w:sz w:val="18"/>
                <w:szCs w:val="18"/>
              </w:rPr>
            </w:pPr>
            <w:r w:rsidRPr="000615AB">
              <w:rPr>
                <w:b/>
                <w:snapToGrid w:val="0"/>
                <w:sz w:val="18"/>
                <w:szCs w:val="18"/>
              </w:rPr>
              <w:t>35.167.028</w:t>
            </w:r>
          </w:p>
        </w:tc>
      </w:tr>
    </w:tbl>
    <w:p w:rsidR="00383888" w:rsidRPr="000615AB" w:rsidRDefault="00383888" w:rsidP="00383888">
      <w:pPr>
        <w:tabs>
          <w:tab w:val="left" w:pos="714"/>
        </w:tabs>
        <w:jc w:val="both"/>
        <w:rPr>
          <w:snapToGrid w:val="0"/>
          <w:sz w:val="19"/>
          <w:szCs w:val="19"/>
          <w:highlight w:val="yellow"/>
        </w:rPr>
      </w:pPr>
    </w:p>
    <w:p w:rsidR="00383888" w:rsidRPr="0075560F" w:rsidRDefault="00383888" w:rsidP="00383888">
      <w:pPr>
        <w:tabs>
          <w:tab w:val="left" w:pos="567"/>
        </w:tabs>
        <w:ind w:left="567" w:hanging="567"/>
        <w:jc w:val="both"/>
        <w:rPr>
          <w:snapToGrid w:val="0"/>
          <w:sz w:val="19"/>
          <w:szCs w:val="19"/>
          <w:lang w:val="es-ES_tradnl"/>
        </w:rPr>
      </w:pPr>
      <w:r w:rsidRPr="000615AB">
        <w:rPr>
          <w:snapToGrid w:val="0"/>
          <w:sz w:val="19"/>
          <w:szCs w:val="19"/>
          <w:vertAlign w:val="superscript"/>
        </w:rPr>
        <w:t>1</w:t>
      </w:r>
      <w:r w:rsidRPr="0075560F">
        <w:rPr>
          <w:snapToGrid w:val="0"/>
          <w:sz w:val="19"/>
          <w:szCs w:val="19"/>
          <w:lang w:val="es-ES_tradnl"/>
        </w:rPr>
        <w:tab/>
      </w:r>
      <w:r w:rsidRPr="0075560F">
        <w:rPr>
          <w:rFonts w:ascii="ArialMT" w:hAnsi="ArialMT" w:cs="ArialMT"/>
          <w:sz w:val="18"/>
          <w:szCs w:val="18"/>
          <w:lang w:val="es-ES_tradnl"/>
        </w:rPr>
        <w:t xml:space="preserve">El valor de la unidad para los años 2014 y 2015 </w:t>
      </w:r>
      <w:r>
        <w:rPr>
          <w:rFonts w:ascii="ArialMT" w:hAnsi="ArialMT" w:cs="ArialMT"/>
          <w:sz w:val="18"/>
          <w:szCs w:val="18"/>
          <w:lang w:val="es-ES_tradnl"/>
        </w:rPr>
        <w:t xml:space="preserve">es de </w:t>
      </w:r>
      <w:r w:rsidRPr="0075560F">
        <w:rPr>
          <w:rFonts w:ascii="ArialMT" w:hAnsi="ArialMT" w:cs="ArialMT"/>
          <w:sz w:val="18"/>
          <w:szCs w:val="18"/>
          <w:lang w:val="es-ES_tradnl"/>
        </w:rPr>
        <w:t>45.579 francos suizos</w:t>
      </w:r>
      <w:r>
        <w:rPr>
          <w:rFonts w:ascii="ArialMT" w:hAnsi="ArialMT" w:cs="ArialMT"/>
          <w:sz w:val="18"/>
          <w:szCs w:val="18"/>
          <w:lang w:val="es-ES_tradnl"/>
        </w:rPr>
        <w:t>, sin variación con respecto a l</w:t>
      </w:r>
      <w:r w:rsidRPr="0075560F">
        <w:rPr>
          <w:rFonts w:ascii="ArialMT" w:hAnsi="ArialMT" w:cs="ArialMT"/>
          <w:sz w:val="18"/>
          <w:szCs w:val="18"/>
          <w:lang w:val="es-ES_tradnl"/>
        </w:rPr>
        <w:t>os años 2012 y 2013.</w:t>
      </w:r>
    </w:p>
    <w:p w:rsidR="00383888" w:rsidRPr="0075560F" w:rsidRDefault="00383888" w:rsidP="00383888">
      <w:pPr>
        <w:tabs>
          <w:tab w:val="left" w:pos="567"/>
        </w:tabs>
        <w:ind w:left="567" w:hanging="567"/>
        <w:jc w:val="both"/>
        <w:rPr>
          <w:snapToGrid w:val="0"/>
          <w:sz w:val="19"/>
          <w:szCs w:val="19"/>
          <w:lang w:val="es-ES_tradnl"/>
        </w:rPr>
      </w:pPr>
      <w:r w:rsidRPr="0075560F">
        <w:rPr>
          <w:snapToGrid w:val="0"/>
          <w:sz w:val="19"/>
          <w:szCs w:val="19"/>
          <w:vertAlign w:val="superscript"/>
          <w:lang w:val="es-ES_tradnl"/>
        </w:rPr>
        <w:t>2</w:t>
      </w:r>
      <w:r w:rsidRPr="0075560F">
        <w:rPr>
          <w:snapToGrid w:val="0"/>
          <w:sz w:val="19"/>
          <w:szCs w:val="19"/>
          <w:lang w:val="es-ES_tradnl"/>
        </w:rPr>
        <w:tab/>
      </w:r>
      <w:r w:rsidRPr="0075560F">
        <w:rPr>
          <w:rFonts w:ascii="ArialMT" w:hAnsi="ArialMT" w:cs="ArialMT"/>
          <w:sz w:val="18"/>
          <w:szCs w:val="18"/>
          <w:lang w:val="es-ES_tradnl"/>
        </w:rPr>
        <w:t>Estados miembros de la OMPI que no son miembros de la Unión.</w:t>
      </w:r>
    </w:p>
    <w:p w:rsidR="00383888" w:rsidRPr="0075560F" w:rsidRDefault="00383888" w:rsidP="00383888">
      <w:pPr>
        <w:tabs>
          <w:tab w:val="left" w:pos="714"/>
        </w:tabs>
        <w:jc w:val="both"/>
        <w:rPr>
          <w:snapToGrid w:val="0"/>
          <w:sz w:val="19"/>
          <w:szCs w:val="19"/>
          <w:highlight w:val="yellow"/>
          <w:lang w:val="es-ES_tradnl"/>
        </w:rPr>
      </w:pPr>
    </w:p>
    <w:p w:rsidR="00383888" w:rsidRPr="0075560F" w:rsidRDefault="00383888" w:rsidP="00383888">
      <w:pPr>
        <w:pStyle w:val="BodyTextIndent2"/>
        <w:tabs>
          <w:tab w:val="left" w:pos="0"/>
          <w:tab w:val="left" w:pos="330"/>
        </w:tabs>
        <w:spacing w:after="160"/>
        <w:rPr>
          <w:rFonts w:cs="Arial"/>
          <w:color w:val="auto"/>
          <w:sz w:val="19"/>
          <w:szCs w:val="19"/>
          <w:lang w:val="es-ES_tradnl"/>
        </w:rPr>
      </w:pPr>
    </w:p>
    <w:p w:rsidR="00383888" w:rsidRPr="00AE2EB2" w:rsidRDefault="00383888" w:rsidP="00383888">
      <w:pPr>
        <w:pStyle w:val="BodyTextIndent2"/>
        <w:tabs>
          <w:tab w:val="left" w:pos="284"/>
        </w:tabs>
        <w:spacing w:after="160"/>
        <w:rPr>
          <w:rFonts w:cs="Arial"/>
          <w:color w:val="auto"/>
          <w:sz w:val="19"/>
          <w:szCs w:val="19"/>
          <w:lang w:val="es-ES"/>
        </w:rPr>
      </w:pPr>
    </w:p>
    <w:p w:rsidR="00383888" w:rsidRPr="000615AB" w:rsidRDefault="00383888" w:rsidP="00383888">
      <w:pPr>
        <w:rPr>
          <w:sz w:val="19"/>
          <w:szCs w:val="19"/>
        </w:rPr>
        <w:sectPr w:rsidR="00383888" w:rsidRPr="000615AB" w:rsidSect="00B47699">
          <w:headerReference w:type="even" r:id="rId269"/>
          <w:headerReference w:type="default" r:id="rId270"/>
          <w:footerReference w:type="even" r:id="rId271"/>
          <w:footerReference w:type="default" r:id="rId272"/>
          <w:pgSz w:w="11907" w:h="16840" w:code="9"/>
          <w:pgMar w:top="567" w:right="1418" w:bottom="1418" w:left="1418" w:header="510" w:footer="851" w:gutter="0"/>
          <w:cols w:space="720"/>
        </w:sectPr>
      </w:pPr>
    </w:p>
    <w:p w:rsidR="00383888" w:rsidRPr="00C3705E" w:rsidRDefault="00383888" w:rsidP="00383888">
      <w:pPr>
        <w:pStyle w:val="Heading2"/>
        <w:tabs>
          <w:tab w:val="left" w:pos="-2268"/>
        </w:tabs>
        <w:rPr>
          <w:b/>
          <w:caps w:val="0"/>
          <w:szCs w:val="24"/>
          <w:lang w:val="es-ES_tradnl"/>
        </w:rPr>
      </w:pPr>
      <w:bookmarkStart w:id="116" w:name="_Toc358816738"/>
      <w:r w:rsidRPr="00C3705E">
        <w:rPr>
          <w:b/>
          <w:caps w:val="0"/>
          <w:szCs w:val="24"/>
          <w:lang w:val="es-ES_tradnl"/>
        </w:rPr>
        <w:lastRenderedPageBreak/>
        <w:t>APÉNDICE B</w:t>
      </w:r>
      <w:r w:rsidRPr="00C3705E">
        <w:rPr>
          <w:b/>
          <w:caps w:val="0"/>
          <w:szCs w:val="24"/>
          <w:lang w:val="es-ES_tradnl"/>
        </w:rPr>
        <w:br/>
        <w:t>DEFINICIÓN DE LAS RÚBRICAS PRESUPUESTARIAS</w:t>
      </w:r>
      <w:bookmarkEnd w:id="116"/>
    </w:p>
    <w:p w:rsidR="00383888" w:rsidRPr="006C2D91" w:rsidRDefault="00383888" w:rsidP="00383888">
      <w:pPr>
        <w:pStyle w:val="Header"/>
        <w:tabs>
          <w:tab w:val="clear" w:pos="4536"/>
          <w:tab w:val="clear" w:pos="9072"/>
        </w:tabs>
        <w:rPr>
          <w:sz w:val="20"/>
        </w:rPr>
      </w:pPr>
    </w:p>
    <w:p w:rsidR="00383888" w:rsidRPr="006C2D91" w:rsidRDefault="00383888" w:rsidP="00383888">
      <w:pPr>
        <w:pStyle w:val="Header"/>
        <w:tabs>
          <w:tab w:val="clear" w:pos="4536"/>
          <w:tab w:val="clear" w:pos="9072"/>
        </w:tabs>
        <w:rPr>
          <w:sz w:val="20"/>
        </w:rPr>
      </w:pPr>
    </w:p>
    <w:p w:rsidR="00383888" w:rsidRPr="000615AB" w:rsidRDefault="00383888" w:rsidP="00383888">
      <w:pPr>
        <w:ind w:right="91"/>
        <w:rPr>
          <w:b/>
          <w:sz w:val="20"/>
        </w:rPr>
      </w:pPr>
      <w:r w:rsidRPr="000615AB">
        <w:rPr>
          <w:b/>
          <w:sz w:val="20"/>
        </w:rPr>
        <w:t>FUENTES DE INGRESOS</w:t>
      </w:r>
    </w:p>
    <w:p w:rsidR="00383888" w:rsidRPr="000615AB" w:rsidRDefault="00383888" w:rsidP="00383888">
      <w:pPr>
        <w:ind w:right="91"/>
        <w:jc w:val="both"/>
        <w:rPr>
          <w:sz w:val="20"/>
        </w:rPr>
      </w:pPr>
    </w:p>
    <w:p w:rsidR="00383888" w:rsidRPr="000615AB" w:rsidRDefault="00383888" w:rsidP="00383888">
      <w:pPr>
        <w:tabs>
          <w:tab w:val="left" w:pos="567"/>
        </w:tabs>
        <w:ind w:left="567" w:right="91"/>
        <w:jc w:val="both"/>
        <w:rPr>
          <w:sz w:val="20"/>
        </w:rPr>
      </w:pPr>
      <w:r w:rsidRPr="000615AB">
        <w:rPr>
          <w:b/>
          <w:bCs/>
          <w:i/>
          <w:iCs/>
          <w:sz w:val="20"/>
        </w:rPr>
        <w:t>Contribuciones</w:t>
      </w:r>
      <w:r w:rsidRPr="000615AB">
        <w:rPr>
          <w:bCs/>
          <w:i/>
          <w:iCs/>
          <w:sz w:val="20"/>
        </w:rPr>
        <w:t>:</w:t>
      </w:r>
      <w:r w:rsidRPr="000615AB">
        <w:rPr>
          <w:bCs/>
          <w:iCs/>
          <w:sz w:val="20"/>
        </w:rPr>
        <w:t xml:space="preserve">  Contribuciones de los Estados miembros a la Organización con arreglo al sistema de contribución única.</w:t>
      </w:r>
    </w:p>
    <w:p w:rsidR="00383888" w:rsidRPr="00AE2EB2" w:rsidRDefault="00383888" w:rsidP="00383888">
      <w:pPr>
        <w:pStyle w:val="zanxtext"/>
        <w:spacing w:before="0"/>
        <w:ind w:right="91"/>
        <w:jc w:val="both"/>
        <w:rPr>
          <w:rFonts w:ascii="Arial" w:hAnsi="Arial" w:cs="Arial"/>
          <w:sz w:val="20"/>
          <w:lang w:val="es-ES"/>
        </w:rPr>
      </w:pPr>
    </w:p>
    <w:p w:rsidR="00383888" w:rsidRPr="00D22B96" w:rsidRDefault="00383888" w:rsidP="00383888">
      <w:pPr>
        <w:tabs>
          <w:tab w:val="left" w:pos="567"/>
        </w:tabs>
        <w:ind w:left="567" w:right="91"/>
        <w:jc w:val="both"/>
        <w:rPr>
          <w:bCs/>
          <w:iCs/>
          <w:sz w:val="20"/>
        </w:rPr>
      </w:pPr>
      <w:r w:rsidRPr="000615AB">
        <w:rPr>
          <w:b/>
          <w:bCs/>
          <w:i/>
          <w:iCs/>
          <w:sz w:val="20"/>
        </w:rPr>
        <w:t xml:space="preserve">Tasas: </w:t>
      </w:r>
      <w:r w:rsidRPr="000615AB">
        <w:rPr>
          <w:bCs/>
          <w:iCs/>
          <w:sz w:val="20"/>
        </w:rPr>
        <w:t xml:space="preserve"> Tasas pagaderas a la Oficina Internacional en relación con los sistemas del PCT, de Madrid, de La Haya y de Lisboa</w:t>
      </w:r>
      <w:r w:rsidRPr="00D22B96">
        <w:rPr>
          <w:bCs/>
          <w:iCs/>
          <w:sz w:val="20"/>
        </w:rPr>
        <w:t>.</w:t>
      </w:r>
    </w:p>
    <w:p w:rsidR="00383888" w:rsidRPr="00AE2EB2" w:rsidRDefault="00383888" w:rsidP="00383888">
      <w:pPr>
        <w:pStyle w:val="zanxtext"/>
        <w:spacing w:before="0"/>
        <w:ind w:right="91"/>
        <w:jc w:val="both"/>
        <w:rPr>
          <w:rFonts w:ascii="Arial" w:hAnsi="Arial" w:cs="Arial"/>
          <w:sz w:val="20"/>
          <w:lang w:val="es-ES"/>
        </w:rPr>
      </w:pPr>
    </w:p>
    <w:p w:rsidR="00383888" w:rsidRPr="000615AB" w:rsidRDefault="00383888" w:rsidP="00383888">
      <w:pPr>
        <w:tabs>
          <w:tab w:val="left" w:pos="567"/>
        </w:tabs>
        <w:ind w:left="567" w:right="91"/>
        <w:jc w:val="both"/>
        <w:rPr>
          <w:b/>
          <w:bCs/>
          <w:i/>
          <w:iCs/>
          <w:sz w:val="20"/>
        </w:rPr>
      </w:pPr>
      <w:r w:rsidRPr="000615AB">
        <w:rPr>
          <w:b/>
          <w:bCs/>
          <w:i/>
          <w:iCs/>
          <w:sz w:val="20"/>
        </w:rPr>
        <w:t>Arbitraje</w:t>
      </w:r>
      <w:r w:rsidRPr="000615AB">
        <w:rPr>
          <w:bCs/>
          <w:i/>
          <w:iCs/>
          <w:sz w:val="20"/>
        </w:rPr>
        <w:t>:</w:t>
      </w:r>
      <w:r w:rsidRPr="000615AB">
        <w:rPr>
          <w:bCs/>
          <w:iCs/>
          <w:sz w:val="20"/>
        </w:rPr>
        <w:t xml:space="preserve"> Tasas en concepto de servicios de arbitraje en casos relacionados con nombres de dominio y tasas de inscripción en conferencias del Centro de Arbitraje y Mediación de la OMPI.</w:t>
      </w:r>
    </w:p>
    <w:p w:rsidR="00383888" w:rsidRPr="000615AB" w:rsidRDefault="00383888" w:rsidP="00383888">
      <w:pPr>
        <w:tabs>
          <w:tab w:val="left" w:pos="567"/>
        </w:tabs>
        <w:ind w:left="567" w:right="91"/>
        <w:jc w:val="both"/>
        <w:rPr>
          <w:b/>
          <w:bCs/>
          <w:i/>
          <w:iCs/>
          <w:sz w:val="20"/>
        </w:rPr>
      </w:pPr>
    </w:p>
    <w:p w:rsidR="00383888" w:rsidRPr="000615AB" w:rsidRDefault="00383888" w:rsidP="00383888">
      <w:pPr>
        <w:tabs>
          <w:tab w:val="left" w:pos="567"/>
        </w:tabs>
        <w:ind w:left="567" w:right="91"/>
        <w:jc w:val="both"/>
        <w:rPr>
          <w:sz w:val="20"/>
        </w:rPr>
      </w:pPr>
      <w:r w:rsidRPr="000615AB">
        <w:rPr>
          <w:b/>
          <w:bCs/>
          <w:i/>
          <w:iCs/>
          <w:sz w:val="20"/>
        </w:rPr>
        <w:t>Intereses</w:t>
      </w:r>
      <w:r w:rsidRPr="000615AB">
        <w:rPr>
          <w:bCs/>
          <w:iCs/>
          <w:sz w:val="20"/>
        </w:rPr>
        <w:t>:  Ingresos derivados de intereses generados por depósitos de capital.</w:t>
      </w:r>
    </w:p>
    <w:p w:rsidR="00383888" w:rsidRPr="00AE2EB2" w:rsidRDefault="00383888" w:rsidP="00383888">
      <w:pPr>
        <w:pStyle w:val="zanxtext"/>
        <w:spacing w:before="0"/>
        <w:ind w:right="91"/>
        <w:jc w:val="both"/>
        <w:rPr>
          <w:rFonts w:ascii="Arial" w:hAnsi="Arial" w:cs="Arial"/>
          <w:sz w:val="20"/>
          <w:lang w:val="es-ES"/>
        </w:rPr>
      </w:pPr>
    </w:p>
    <w:p w:rsidR="00383888" w:rsidRPr="000615AB" w:rsidRDefault="00383888" w:rsidP="00383888">
      <w:pPr>
        <w:tabs>
          <w:tab w:val="left" w:pos="567"/>
        </w:tabs>
        <w:ind w:left="567" w:right="91"/>
        <w:jc w:val="both"/>
        <w:rPr>
          <w:sz w:val="20"/>
        </w:rPr>
      </w:pPr>
      <w:r w:rsidRPr="000615AB">
        <w:rPr>
          <w:b/>
          <w:bCs/>
          <w:i/>
          <w:iCs/>
          <w:sz w:val="20"/>
        </w:rPr>
        <w:t>Publicaciones</w:t>
      </w:r>
      <w:r w:rsidRPr="000615AB">
        <w:rPr>
          <w:bCs/>
          <w:iCs/>
          <w:sz w:val="20"/>
        </w:rPr>
        <w:t>:  Ingresos procedentes de la venta de publicaciones y de suscripciones a las publicaciones periódicas de la Secretaría en papel, CD-ROM y otros soportes.</w:t>
      </w:r>
    </w:p>
    <w:p w:rsidR="00383888" w:rsidRPr="00AE2EB2" w:rsidRDefault="00383888" w:rsidP="00383888">
      <w:pPr>
        <w:pStyle w:val="zanxtext"/>
        <w:spacing w:before="0"/>
        <w:ind w:right="91"/>
        <w:jc w:val="both"/>
        <w:rPr>
          <w:rFonts w:ascii="Arial" w:hAnsi="Arial" w:cs="Arial"/>
          <w:sz w:val="20"/>
          <w:lang w:val="es-ES"/>
        </w:rPr>
      </w:pPr>
    </w:p>
    <w:p w:rsidR="00383888" w:rsidRPr="000615AB" w:rsidRDefault="00383888" w:rsidP="00383888">
      <w:pPr>
        <w:tabs>
          <w:tab w:val="left" w:pos="567"/>
        </w:tabs>
        <w:ind w:left="567" w:right="91"/>
        <w:jc w:val="both"/>
        <w:rPr>
          <w:sz w:val="20"/>
        </w:rPr>
      </w:pPr>
      <w:r w:rsidRPr="000615AB">
        <w:rPr>
          <w:b/>
          <w:bCs/>
          <w:i/>
          <w:iCs/>
          <w:sz w:val="20"/>
        </w:rPr>
        <w:t>Otros ingresos</w:t>
      </w:r>
      <w:r w:rsidRPr="000615AB">
        <w:rPr>
          <w:bCs/>
          <w:iCs/>
          <w:sz w:val="20"/>
        </w:rPr>
        <w:t>:  Tasas de inscripción en conferencias y cursos de formación, gastos de apoyo en relación con actividades extrapresupuestarias realizadas por la OMPI y financiadas por el PNUD y mediante fondos fiduciarios, ajustes contables (créditos) en relación con años anteriores y ajustes por variación de los tipos de cambio (créditos), alquiler de locales de la OMPI, pagos de la UPOV a la OMPI por servicios administrativos de apoyo.</w:t>
      </w:r>
    </w:p>
    <w:p w:rsidR="00383888" w:rsidRPr="00AE2EB2" w:rsidRDefault="00383888" w:rsidP="00383888">
      <w:pPr>
        <w:pStyle w:val="zanxtext"/>
        <w:spacing w:before="0"/>
        <w:ind w:right="91"/>
        <w:jc w:val="both"/>
        <w:rPr>
          <w:rFonts w:ascii="Arial" w:hAnsi="Arial" w:cs="Arial"/>
          <w:sz w:val="20"/>
          <w:lang w:val="es-ES"/>
        </w:rPr>
      </w:pPr>
    </w:p>
    <w:p w:rsidR="00383888" w:rsidRPr="00AE2EB2" w:rsidRDefault="00383888" w:rsidP="00383888">
      <w:pPr>
        <w:pStyle w:val="zanxtext"/>
        <w:spacing w:before="0"/>
        <w:ind w:right="91"/>
        <w:jc w:val="both"/>
        <w:rPr>
          <w:rFonts w:ascii="Arial" w:hAnsi="Arial" w:cs="Arial"/>
          <w:sz w:val="20"/>
          <w:lang w:val="es-ES"/>
        </w:rPr>
      </w:pPr>
    </w:p>
    <w:p w:rsidR="00383888" w:rsidRPr="000615AB" w:rsidRDefault="00383888" w:rsidP="00383888">
      <w:pPr>
        <w:pStyle w:val="Footer"/>
        <w:ind w:right="91"/>
        <w:jc w:val="both"/>
        <w:rPr>
          <w:b/>
          <w:sz w:val="20"/>
        </w:rPr>
      </w:pPr>
      <w:r w:rsidRPr="000615AB">
        <w:rPr>
          <w:b/>
          <w:sz w:val="20"/>
        </w:rPr>
        <w:t>OBJETOS DE GASTO</w:t>
      </w:r>
    </w:p>
    <w:p w:rsidR="00383888" w:rsidRPr="00AE2EB2" w:rsidRDefault="00383888" w:rsidP="00383888">
      <w:pPr>
        <w:pStyle w:val="zanxtext"/>
        <w:spacing w:before="0"/>
        <w:ind w:right="91"/>
        <w:jc w:val="both"/>
        <w:rPr>
          <w:rFonts w:ascii="Arial" w:hAnsi="Arial" w:cs="Arial"/>
          <w:sz w:val="20"/>
          <w:lang w:val="es-ES"/>
        </w:rPr>
      </w:pPr>
    </w:p>
    <w:p w:rsidR="00383888" w:rsidRPr="00AE2EB2" w:rsidRDefault="00383888" w:rsidP="00383888">
      <w:pPr>
        <w:pStyle w:val="zanxtext"/>
        <w:spacing w:before="0"/>
        <w:ind w:right="91"/>
        <w:jc w:val="both"/>
        <w:rPr>
          <w:rFonts w:ascii="Arial" w:hAnsi="Arial" w:cs="Arial"/>
          <w:bCs/>
          <w:sz w:val="20"/>
          <w:lang w:val="es-ES"/>
        </w:rPr>
      </w:pPr>
      <w:r w:rsidRPr="00AE2EB2">
        <w:rPr>
          <w:rFonts w:ascii="Arial" w:hAnsi="Arial" w:cs="Arial"/>
          <w:bCs/>
          <w:sz w:val="20"/>
          <w:lang w:val="es-ES"/>
        </w:rPr>
        <w:t>RECURSOS DE PERSONAL</w:t>
      </w:r>
    </w:p>
    <w:p w:rsidR="00383888" w:rsidRPr="00AE2EB2" w:rsidRDefault="00383888" w:rsidP="00383888">
      <w:pPr>
        <w:pStyle w:val="zanxtext"/>
        <w:spacing w:before="0"/>
        <w:ind w:right="91"/>
        <w:jc w:val="both"/>
        <w:rPr>
          <w:rFonts w:ascii="Arial" w:hAnsi="Arial" w:cs="Arial"/>
          <w:b/>
          <w:sz w:val="20"/>
          <w:u w:val="single"/>
          <w:lang w:val="es-ES"/>
        </w:rPr>
      </w:pPr>
    </w:p>
    <w:p w:rsidR="00383888" w:rsidRPr="000615AB" w:rsidRDefault="00383888" w:rsidP="00383888">
      <w:pPr>
        <w:tabs>
          <w:tab w:val="left" w:pos="567"/>
        </w:tabs>
        <w:ind w:left="567" w:right="91"/>
        <w:jc w:val="both"/>
        <w:rPr>
          <w:sz w:val="20"/>
        </w:rPr>
      </w:pPr>
      <w:r w:rsidRPr="000615AB">
        <w:rPr>
          <w:b/>
          <w:i/>
          <w:sz w:val="20"/>
        </w:rPr>
        <w:t>Puestos:</w:t>
      </w:r>
      <w:r w:rsidRPr="000615AB">
        <w:rPr>
          <w:sz w:val="20"/>
        </w:rPr>
        <w:t xml:space="preserve">  Remuneración recibida por los miembros del personal, en particular, sueldos, reajuste por lugar de destino, subsidios por personas a cargo, primas de idiomas y horas extraordinarias, subsidios de no residente, primas por destino y subsidio por gastos de representación.</w:t>
      </w:r>
    </w:p>
    <w:p w:rsidR="00383888" w:rsidRPr="000615AB" w:rsidRDefault="00383888" w:rsidP="00383888">
      <w:pPr>
        <w:tabs>
          <w:tab w:val="left" w:pos="567"/>
        </w:tabs>
        <w:ind w:left="567" w:right="91"/>
        <w:jc w:val="both"/>
        <w:rPr>
          <w:i/>
          <w:sz w:val="20"/>
        </w:rPr>
      </w:pPr>
    </w:p>
    <w:p w:rsidR="00383888" w:rsidRPr="000615AB" w:rsidRDefault="00383888" w:rsidP="00383888">
      <w:pPr>
        <w:tabs>
          <w:tab w:val="left" w:pos="567"/>
        </w:tabs>
        <w:ind w:left="567" w:right="91"/>
        <w:jc w:val="both"/>
        <w:rPr>
          <w:sz w:val="20"/>
        </w:rPr>
      </w:pPr>
      <w:r w:rsidRPr="000615AB">
        <w:rPr>
          <w:b/>
          <w:bCs/>
          <w:iCs/>
          <w:sz w:val="20"/>
        </w:rPr>
        <w:t>Personal Temporero</w:t>
      </w:r>
      <w:r w:rsidRPr="000615AB">
        <w:rPr>
          <w:bCs/>
          <w:iCs/>
          <w:sz w:val="20"/>
        </w:rPr>
        <w:t>:  Remuneración y subsidios pagados a profesionales o empleados de servicios generales con contratos de corta duración.</w:t>
      </w:r>
    </w:p>
    <w:p w:rsidR="00383888" w:rsidRPr="000615AB" w:rsidRDefault="00383888" w:rsidP="00383888">
      <w:pPr>
        <w:tabs>
          <w:tab w:val="left" w:pos="567"/>
        </w:tabs>
        <w:ind w:right="91"/>
        <w:jc w:val="both"/>
        <w:rPr>
          <w:sz w:val="20"/>
        </w:rPr>
      </w:pPr>
    </w:p>
    <w:p w:rsidR="00383888" w:rsidRPr="00D22B96" w:rsidRDefault="00383888" w:rsidP="00383888">
      <w:pPr>
        <w:tabs>
          <w:tab w:val="left" w:pos="567"/>
        </w:tabs>
        <w:ind w:left="567" w:right="91"/>
        <w:jc w:val="both"/>
        <w:rPr>
          <w:bCs/>
          <w:iCs/>
          <w:sz w:val="20"/>
        </w:rPr>
      </w:pPr>
      <w:r w:rsidRPr="000615AB">
        <w:rPr>
          <w:b/>
          <w:bCs/>
          <w:i/>
          <w:iCs/>
          <w:sz w:val="20"/>
        </w:rPr>
        <w:t>Otros costos de persona</w:t>
      </w:r>
      <w:r w:rsidRPr="000615AB">
        <w:rPr>
          <w:bCs/>
          <w:iCs/>
          <w:sz w:val="20"/>
        </w:rPr>
        <w:t>l:  Reservas para seguros de accidente, para cambios en la contribución a la Caja Cerrada de Pensiones y para indemnización en caso de litigio</w:t>
      </w:r>
      <w:r w:rsidRPr="00D22B96">
        <w:rPr>
          <w:bCs/>
          <w:iCs/>
          <w:sz w:val="20"/>
        </w:rPr>
        <w:t>.</w:t>
      </w:r>
    </w:p>
    <w:p w:rsidR="00383888" w:rsidRPr="000615AB" w:rsidRDefault="00383888" w:rsidP="00383888">
      <w:pPr>
        <w:jc w:val="both"/>
        <w:rPr>
          <w:b/>
          <w:bCs/>
          <w:sz w:val="20"/>
        </w:rPr>
      </w:pPr>
    </w:p>
    <w:p w:rsidR="00383888" w:rsidRPr="000615AB" w:rsidRDefault="00383888" w:rsidP="00383888">
      <w:pPr>
        <w:jc w:val="both"/>
        <w:rPr>
          <w:sz w:val="20"/>
        </w:rPr>
      </w:pPr>
    </w:p>
    <w:p w:rsidR="00383888" w:rsidRPr="000615AB" w:rsidRDefault="00383888" w:rsidP="00383888">
      <w:pPr>
        <w:jc w:val="both"/>
        <w:rPr>
          <w:b/>
          <w:sz w:val="20"/>
        </w:rPr>
      </w:pPr>
      <w:r w:rsidRPr="000615AB">
        <w:rPr>
          <w:b/>
          <w:sz w:val="20"/>
        </w:rPr>
        <w:t>Recursos no correspondientes a personal</w:t>
      </w:r>
    </w:p>
    <w:p w:rsidR="00383888" w:rsidRPr="000615AB" w:rsidRDefault="00383888" w:rsidP="00383888">
      <w:pPr>
        <w:jc w:val="both"/>
        <w:rPr>
          <w:sz w:val="20"/>
        </w:rPr>
      </w:pPr>
    </w:p>
    <w:p w:rsidR="00383888" w:rsidRPr="000615AB" w:rsidRDefault="00383888" w:rsidP="00383888">
      <w:pPr>
        <w:jc w:val="both"/>
        <w:rPr>
          <w:b/>
          <w:bCs/>
          <w:sz w:val="20"/>
        </w:rPr>
      </w:pPr>
      <w:r w:rsidRPr="000615AB">
        <w:rPr>
          <w:b/>
          <w:bCs/>
          <w:sz w:val="20"/>
        </w:rPr>
        <w:t>Pasantías y becas de la OMPI</w:t>
      </w:r>
    </w:p>
    <w:p w:rsidR="00383888" w:rsidRPr="000615AB" w:rsidRDefault="00383888" w:rsidP="00383888">
      <w:pPr>
        <w:jc w:val="both"/>
        <w:rPr>
          <w:sz w:val="20"/>
        </w:rPr>
      </w:pPr>
    </w:p>
    <w:p w:rsidR="00383888" w:rsidRPr="00D22B96" w:rsidRDefault="00383888" w:rsidP="00FE7D9C">
      <w:pPr>
        <w:numPr>
          <w:ilvl w:val="0"/>
          <w:numId w:val="59"/>
        </w:numPr>
        <w:tabs>
          <w:tab w:val="clear" w:pos="1287"/>
          <w:tab w:val="num" w:pos="567"/>
        </w:tabs>
        <w:ind w:left="567" w:hanging="283"/>
        <w:jc w:val="both"/>
        <w:rPr>
          <w:bCs/>
          <w:iCs/>
          <w:sz w:val="20"/>
        </w:rPr>
      </w:pPr>
      <w:r w:rsidRPr="000615AB">
        <w:rPr>
          <w:b/>
          <w:bCs/>
          <w:i/>
          <w:iCs/>
          <w:sz w:val="20"/>
        </w:rPr>
        <w:t>Pasantías</w:t>
      </w:r>
      <w:r w:rsidRPr="000615AB">
        <w:rPr>
          <w:bCs/>
          <w:iCs/>
          <w:sz w:val="20"/>
        </w:rPr>
        <w:t>:  Remuneración y subsidios pagados a los pasantes</w:t>
      </w:r>
      <w:r w:rsidRPr="00D22B96">
        <w:rPr>
          <w:bCs/>
          <w:iCs/>
          <w:sz w:val="20"/>
        </w:rPr>
        <w:t>.</w:t>
      </w:r>
    </w:p>
    <w:p w:rsidR="00383888" w:rsidRPr="000615AB" w:rsidRDefault="00383888" w:rsidP="00383888">
      <w:pPr>
        <w:ind w:left="567"/>
        <w:jc w:val="both"/>
        <w:rPr>
          <w:b/>
          <w:sz w:val="20"/>
        </w:rPr>
      </w:pPr>
    </w:p>
    <w:p w:rsidR="00383888" w:rsidRPr="00D22B96" w:rsidRDefault="00383888" w:rsidP="00FE7D9C">
      <w:pPr>
        <w:numPr>
          <w:ilvl w:val="0"/>
          <w:numId w:val="59"/>
        </w:numPr>
        <w:tabs>
          <w:tab w:val="clear" w:pos="1287"/>
          <w:tab w:val="num" w:pos="567"/>
        </w:tabs>
        <w:ind w:left="567" w:hanging="283"/>
        <w:jc w:val="both"/>
        <w:rPr>
          <w:bCs/>
          <w:iCs/>
          <w:sz w:val="20"/>
        </w:rPr>
      </w:pPr>
      <w:r w:rsidRPr="000615AB">
        <w:rPr>
          <w:b/>
          <w:bCs/>
          <w:i/>
          <w:iCs/>
          <w:sz w:val="20"/>
        </w:rPr>
        <w:t>Becas de la OMPI</w:t>
      </w:r>
      <w:r w:rsidRPr="000615AB">
        <w:rPr>
          <w:bCs/>
          <w:i/>
          <w:iCs/>
          <w:sz w:val="20"/>
        </w:rPr>
        <w:t>:</w:t>
      </w:r>
      <w:r w:rsidRPr="000615AB">
        <w:rPr>
          <w:bCs/>
          <w:iCs/>
          <w:sz w:val="20"/>
        </w:rPr>
        <w:t xml:space="preserve">  gastos relacionados con una actividad de formación para la cual se concede una beca monetaria a personas cualificadas para que puedan cumplir objetivos especiales de aprendizaje</w:t>
      </w:r>
      <w:r w:rsidRPr="00D22B96">
        <w:rPr>
          <w:bCs/>
          <w:iCs/>
          <w:sz w:val="20"/>
        </w:rPr>
        <w:t>.</w:t>
      </w:r>
    </w:p>
    <w:p w:rsidR="00383888" w:rsidRPr="000615AB" w:rsidRDefault="00383888" w:rsidP="00383888">
      <w:pPr>
        <w:rPr>
          <w:b/>
          <w:bCs/>
          <w:sz w:val="20"/>
        </w:rPr>
      </w:pPr>
      <w:bookmarkStart w:id="117" w:name="RANGE!A3"/>
    </w:p>
    <w:bookmarkEnd w:id="117"/>
    <w:p w:rsidR="00383888" w:rsidRPr="000615AB" w:rsidRDefault="00383888" w:rsidP="00383888">
      <w:pPr>
        <w:rPr>
          <w:b/>
          <w:bCs/>
          <w:sz w:val="20"/>
        </w:rPr>
      </w:pPr>
      <w:r w:rsidRPr="000615AB">
        <w:rPr>
          <w:b/>
          <w:bCs/>
          <w:sz w:val="20"/>
        </w:rPr>
        <w:t>Viajes y becas para cursos</w:t>
      </w:r>
    </w:p>
    <w:p w:rsidR="00383888" w:rsidRPr="000615AB" w:rsidRDefault="00383888" w:rsidP="00383888">
      <w:pPr>
        <w:rPr>
          <w:b/>
          <w:sz w:val="20"/>
        </w:rPr>
      </w:pPr>
    </w:p>
    <w:p w:rsidR="00383888" w:rsidRPr="000615AB" w:rsidRDefault="00383888" w:rsidP="00FE7D9C">
      <w:pPr>
        <w:numPr>
          <w:ilvl w:val="0"/>
          <w:numId w:val="60"/>
        </w:numPr>
        <w:tabs>
          <w:tab w:val="clear" w:pos="1120"/>
          <w:tab w:val="num" w:pos="567"/>
        </w:tabs>
        <w:ind w:left="567" w:hanging="283"/>
        <w:jc w:val="both"/>
        <w:rPr>
          <w:sz w:val="20"/>
        </w:rPr>
      </w:pPr>
      <w:r w:rsidRPr="000615AB">
        <w:rPr>
          <w:b/>
          <w:bCs/>
          <w:i/>
          <w:iCs/>
          <w:sz w:val="20"/>
        </w:rPr>
        <w:t>Misiones del personal</w:t>
      </w:r>
      <w:r w:rsidRPr="000615AB">
        <w:rPr>
          <w:bCs/>
          <w:iCs/>
          <w:sz w:val="20"/>
        </w:rPr>
        <w:t>:  Gastos de viaje y dietas para el personal que efectúe viajes oficiales.</w:t>
      </w:r>
    </w:p>
    <w:p w:rsidR="00383888" w:rsidRPr="000615AB" w:rsidRDefault="00383888" w:rsidP="00383888">
      <w:pPr>
        <w:tabs>
          <w:tab w:val="num" w:pos="567"/>
        </w:tabs>
        <w:ind w:left="567" w:hanging="283"/>
        <w:jc w:val="both"/>
        <w:rPr>
          <w:sz w:val="20"/>
        </w:rPr>
      </w:pPr>
    </w:p>
    <w:p w:rsidR="00383888" w:rsidRPr="000615AB" w:rsidRDefault="00383888" w:rsidP="00FE7D9C">
      <w:pPr>
        <w:numPr>
          <w:ilvl w:val="0"/>
          <w:numId w:val="60"/>
        </w:numPr>
        <w:tabs>
          <w:tab w:val="clear" w:pos="1120"/>
          <w:tab w:val="num" w:pos="567"/>
        </w:tabs>
        <w:ind w:left="567" w:hanging="283"/>
        <w:jc w:val="both"/>
        <w:rPr>
          <w:sz w:val="20"/>
        </w:rPr>
      </w:pPr>
      <w:r w:rsidRPr="000615AB">
        <w:rPr>
          <w:b/>
          <w:bCs/>
          <w:i/>
          <w:iCs/>
          <w:sz w:val="20"/>
        </w:rPr>
        <w:lastRenderedPageBreak/>
        <w:t>Viajes de terceros</w:t>
      </w:r>
      <w:r w:rsidRPr="000615AB">
        <w:rPr>
          <w:bCs/>
          <w:iCs/>
          <w:sz w:val="20"/>
        </w:rPr>
        <w:t>:  Gastos de viajes y dietas para terceros, por ejemplo, funcionarios gubernamentales, participantes y conferenciantes que asistan a las reuniones financiadas por la OMPI.</w:t>
      </w:r>
    </w:p>
    <w:p w:rsidR="00383888" w:rsidRPr="000615AB" w:rsidRDefault="00383888" w:rsidP="00383888">
      <w:pPr>
        <w:tabs>
          <w:tab w:val="num" w:pos="567"/>
        </w:tabs>
        <w:ind w:left="567" w:hanging="283"/>
        <w:jc w:val="both"/>
        <w:rPr>
          <w:sz w:val="20"/>
        </w:rPr>
      </w:pPr>
    </w:p>
    <w:p w:rsidR="00383888" w:rsidRPr="00D22B96" w:rsidRDefault="00383888" w:rsidP="00FE7D9C">
      <w:pPr>
        <w:numPr>
          <w:ilvl w:val="0"/>
          <w:numId w:val="60"/>
        </w:numPr>
        <w:tabs>
          <w:tab w:val="clear" w:pos="1120"/>
          <w:tab w:val="num" w:pos="567"/>
        </w:tabs>
        <w:ind w:left="567" w:hanging="283"/>
        <w:jc w:val="both"/>
        <w:rPr>
          <w:bCs/>
          <w:iCs/>
          <w:sz w:val="20"/>
        </w:rPr>
      </w:pPr>
      <w:r w:rsidRPr="000615AB">
        <w:rPr>
          <w:b/>
          <w:bCs/>
          <w:i/>
          <w:iCs/>
          <w:sz w:val="20"/>
        </w:rPr>
        <w:t>Becas para cursos</w:t>
      </w:r>
      <w:r w:rsidRPr="000615AB">
        <w:rPr>
          <w:bCs/>
          <w:iCs/>
          <w:sz w:val="20"/>
        </w:rPr>
        <w:t>:  Gastos de viaje y dietas y costos de formación y otros en relación con la asistencia a cursos y seminarios y con becas y pasantías</w:t>
      </w:r>
      <w:r w:rsidRPr="00D22B96">
        <w:rPr>
          <w:bCs/>
          <w:iCs/>
          <w:sz w:val="20"/>
        </w:rPr>
        <w:t>.</w:t>
      </w:r>
    </w:p>
    <w:p w:rsidR="00383888" w:rsidRPr="000615AB" w:rsidRDefault="00383888" w:rsidP="00383888">
      <w:pPr>
        <w:jc w:val="both"/>
        <w:rPr>
          <w:sz w:val="20"/>
        </w:rPr>
      </w:pPr>
    </w:p>
    <w:p w:rsidR="00383888" w:rsidRPr="000615AB" w:rsidRDefault="00383888" w:rsidP="00383888">
      <w:pPr>
        <w:rPr>
          <w:b/>
          <w:bCs/>
          <w:sz w:val="20"/>
        </w:rPr>
      </w:pPr>
    </w:p>
    <w:p w:rsidR="00383888" w:rsidRPr="000615AB" w:rsidRDefault="00383888" w:rsidP="00383888">
      <w:pPr>
        <w:rPr>
          <w:b/>
          <w:bCs/>
          <w:sz w:val="20"/>
        </w:rPr>
      </w:pPr>
      <w:r w:rsidRPr="000615AB">
        <w:rPr>
          <w:b/>
          <w:bCs/>
          <w:sz w:val="20"/>
        </w:rPr>
        <w:t>Servicios contractuales</w:t>
      </w:r>
    </w:p>
    <w:p w:rsidR="00383888" w:rsidRPr="000615AB" w:rsidRDefault="00383888" w:rsidP="00383888">
      <w:pPr>
        <w:rPr>
          <w:sz w:val="20"/>
        </w:rPr>
      </w:pPr>
    </w:p>
    <w:p w:rsidR="00383888" w:rsidRPr="00D22B96" w:rsidRDefault="00383888" w:rsidP="00FE7D9C">
      <w:pPr>
        <w:numPr>
          <w:ilvl w:val="0"/>
          <w:numId w:val="60"/>
        </w:numPr>
        <w:tabs>
          <w:tab w:val="clear" w:pos="1120"/>
        </w:tabs>
        <w:ind w:left="567" w:hanging="283"/>
        <w:rPr>
          <w:bCs/>
          <w:iCs/>
          <w:sz w:val="20"/>
        </w:rPr>
      </w:pPr>
      <w:r w:rsidRPr="000615AB">
        <w:rPr>
          <w:b/>
          <w:bCs/>
          <w:i/>
          <w:iCs/>
          <w:sz w:val="20"/>
        </w:rPr>
        <w:t>Conferencias</w:t>
      </w:r>
      <w:r w:rsidRPr="000615AB">
        <w:rPr>
          <w:bCs/>
          <w:iCs/>
          <w:sz w:val="20"/>
        </w:rPr>
        <w:t>:  Remuneración, gastos de viaje y dietas para intérpretes;  alquiler de locales para conferencias y de equipo para la interpretación;  refrigerios y recepciones;  y costos por servicios directamente relacionados con la organización de conferencias</w:t>
      </w:r>
      <w:r w:rsidRPr="00D22B96">
        <w:rPr>
          <w:bCs/>
          <w:iCs/>
          <w:sz w:val="20"/>
        </w:rPr>
        <w:t>.</w:t>
      </w:r>
    </w:p>
    <w:p w:rsidR="00383888" w:rsidRPr="000615AB" w:rsidRDefault="00383888" w:rsidP="00383888">
      <w:pPr>
        <w:ind w:left="567" w:hanging="283"/>
        <w:rPr>
          <w:sz w:val="20"/>
        </w:rPr>
      </w:pPr>
    </w:p>
    <w:p w:rsidR="00383888" w:rsidRPr="000615AB" w:rsidRDefault="00383888" w:rsidP="00FE7D9C">
      <w:pPr>
        <w:numPr>
          <w:ilvl w:val="0"/>
          <w:numId w:val="60"/>
        </w:numPr>
        <w:tabs>
          <w:tab w:val="clear" w:pos="1120"/>
        </w:tabs>
        <w:ind w:left="567" w:hanging="283"/>
        <w:jc w:val="both"/>
        <w:rPr>
          <w:sz w:val="20"/>
        </w:rPr>
      </w:pPr>
      <w:r w:rsidRPr="000615AB">
        <w:rPr>
          <w:b/>
          <w:bCs/>
          <w:i/>
          <w:iCs/>
          <w:sz w:val="20"/>
        </w:rPr>
        <w:t>Publicaciones</w:t>
      </w:r>
      <w:r w:rsidRPr="000615AB">
        <w:rPr>
          <w:bCs/>
          <w:iCs/>
          <w:sz w:val="20"/>
        </w:rPr>
        <w:t>:  Impresión y encuadernación a cargo de terceros;  revistas;  papel e impresión;  otro material impreso:  impresión de artículos publicados en revistas;  folletos;  tratados;  colecciones de textos;  manuales;  formularios de trabajo y otro material impreso;  producción de CD–ROM, vídeos, cintas magnéticas y otras formas de publicación electrónica.</w:t>
      </w:r>
    </w:p>
    <w:p w:rsidR="00383888" w:rsidRPr="000615AB" w:rsidRDefault="00383888" w:rsidP="00383888">
      <w:pPr>
        <w:ind w:left="567" w:firstLineChars="200" w:firstLine="400"/>
        <w:jc w:val="both"/>
        <w:rPr>
          <w:sz w:val="20"/>
        </w:rPr>
      </w:pPr>
    </w:p>
    <w:p w:rsidR="00383888" w:rsidRPr="00D22B96" w:rsidRDefault="00383888" w:rsidP="00FE7D9C">
      <w:pPr>
        <w:numPr>
          <w:ilvl w:val="0"/>
          <w:numId w:val="60"/>
        </w:numPr>
        <w:tabs>
          <w:tab w:val="clear" w:pos="1120"/>
        </w:tabs>
        <w:ind w:left="567" w:hanging="283"/>
        <w:jc w:val="both"/>
        <w:rPr>
          <w:sz w:val="20"/>
        </w:rPr>
      </w:pPr>
      <w:r w:rsidRPr="000615AB">
        <w:rPr>
          <w:b/>
          <w:bCs/>
          <w:i/>
          <w:iCs/>
          <w:sz w:val="20"/>
        </w:rPr>
        <w:t>Servicios contractuales individuales</w:t>
      </w:r>
      <w:r w:rsidRPr="000615AB">
        <w:rPr>
          <w:sz w:val="20"/>
        </w:rPr>
        <w:t>:  Se refiere a la remuneración pagada en concepto de servicios contractuales individuales</w:t>
      </w:r>
      <w:r w:rsidRPr="00D22B96">
        <w:rPr>
          <w:sz w:val="20"/>
        </w:rPr>
        <w:t>.</w:t>
      </w:r>
    </w:p>
    <w:p w:rsidR="00383888" w:rsidRPr="000615AB" w:rsidRDefault="00383888" w:rsidP="00383888">
      <w:pPr>
        <w:ind w:left="567" w:hanging="283"/>
        <w:jc w:val="both"/>
        <w:rPr>
          <w:sz w:val="20"/>
        </w:rPr>
      </w:pPr>
    </w:p>
    <w:p w:rsidR="00383888" w:rsidRPr="000615AB" w:rsidRDefault="00383888" w:rsidP="00FE7D9C">
      <w:pPr>
        <w:numPr>
          <w:ilvl w:val="0"/>
          <w:numId w:val="60"/>
        </w:numPr>
        <w:tabs>
          <w:tab w:val="clear" w:pos="1120"/>
        </w:tabs>
        <w:ind w:left="567" w:hanging="283"/>
        <w:jc w:val="both"/>
        <w:rPr>
          <w:sz w:val="20"/>
        </w:rPr>
      </w:pPr>
      <w:r w:rsidRPr="000615AB">
        <w:rPr>
          <w:b/>
          <w:bCs/>
          <w:i/>
          <w:iCs/>
          <w:sz w:val="20"/>
        </w:rPr>
        <w:t xml:space="preserve">Otros servicios contractuales:  </w:t>
      </w:r>
      <w:r w:rsidRPr="000615AB">
        <w:rPr>
          <w:sz w:val="20"/>
        </w:rPr>
        <w:t>Engloba los servicios contractuales restantes prestados por prestadores comerciales e institucionales de servicios.</w:t>
      </w:r>
    </w:p>
    <w:p w:rsidR="00383888" w:rsidRPr="000615AB" w:rsidRDefault="00383888" w:rsidP="00383888">
      <w:pPr>
        <w:jc w:val="both"/>
        <w:rPr>
          <w:sz w:val="20"/>
        </w:rPr>
      </w:pPr>
    </w:p>
    <w:p w:rsidR="00383888" w:rsidRPr="000615AB" w:rsidRDefault="00383888" w:rsidP="00383888">
      <w:pPr>
        <w:keepNext/>
        <w:keepLines/>
        <w:jc w:val="both"/>
        <w:rPr>
          <w:b/>
          <w:bCs/>
          <w:sz w:val="20"/>
        </w:rPr>
      </w:pPr>
    </w:p>
    <w:p w:rsidR="00383888" w:rsidRPr="000615AB" w:rsidRDefault="00383888" w:rsidP="00383888">
      <w:pPr>
        <w:keepNext/>
        <w:keepLines/>
        <w:jc w:val="both"/>
        <w:rPr>
          <w:b/>
          <w:bCs/>
          <w:sz w:val="20"/>
        </w:rPr>
      </w:pPr>
      <w:r w:rsidRPr="000615AB">
        <w:rPr>
          <w:b/>
          <w:bCs/>
          <w:sz w:val="20"/>
        </w:rPr>
        <w:t>Gastos de operación</w:t>
      </w:r>
    </w:p>
    <w:p w:rsidR="00383888" w:rsidRPr="000615AB" w:rsidRDefault="00383888" w:rsidP="00383888">
      <w:pPr>
        <w:keepNext/>
        <w:keepLines/>
        <w:jc w:val="both"/>
        <w:rPr>
          <w:sz w:val="20"/>
        </w:rPr>
      </w:pPr>
    </w:p>
    <w:p w:rsidR="00383888" w:rsidRPr="000615AB" w:rsidRDefault="00383888" w:rsidP="00FE7D9C">
      <w:pPr>
        <w:keepNext/>
        <w:keepLines/>
        <w:numPr>
          <w:ilvl w:val="0"/>
          <w:numId w:val="61"/>
        </w:numPr>
        <w:tabs>
          <w:tab w:val="clear" w:pos="1160"/>
          <w:tab w:val="num" w:pos="567"/>
        </w:tabs>
        <w:ind w:left="567" w:hanging="283"/>
        <w:jc w:val="both"/>
        <w:rPr>
          <w:sz w:val="20"/>
        </w:rPr>
      </w:pPr>
      <w:r w:rsidRPr="000615AB">
        <w:rPr>
          <w:b/>
          <w:bCs/>
          <w:i/>
          <w:iCs/>
          <w:sz w:val="20"/>
        </w:rPr>
        <w:t>Locales y mantenimiento</w:t>
      </w:r>
      <w:r w:rsidRPr="000615AB">
        <w:rPr>
          <w:bCs/>
          <w:iCs/>
          <w:sz w:val="20"/>
        </w:rPr>
        <w:t>:  Adquisición, alquiler, mejora y mantenimiento del espacio de oficinas y alquiler o mantenimiento del equipo inmobiliario;  reembolso del préstamo relativo a la construcción del nuevo edificio;  consultores externos contratados para la gestión de las obras del nuevo edificio.</w:t>
      </w:r>
    </w:p>
    <w:p w:rsidR="00383888" w:rsidRPr="000615AB" w:rsidRDefault="00383888" w:rsidP="00383888">
      <w:pPr>
        <w:tabs>
          <w:tab w:val="num" w:pos="567"/>
        </w:tabs>
        <w:ind w:left="567" w:hanging="283"/>
        <w:jc w:val="both"/>
        <w:rPr>
          <w:sz w:val="20"/>
        </w:rPr>
      </w:pPr>
    </w:p>
    <w:p w:rsidR="00383888" w:rsidRPr="00D22B96" w:rsidRDefault="00383888" w:rsidP="00FE7D9C">
      <w:pPr>
        <w:numPr>
          <w:ilvl w:val="0"/>
          <w:numId w:val="61"/>
        </w:numPr>
        <w:tabs>
          <w:tab w:val="clear" w:pos="1160"/>
          <w:tab w:val="num" w:pos="567"/>
        </w:tabs>
        <w:ind w:left="567" w:hanging="283"/>
        <w:jc w:val="both"/>
        <w:rPr>
          <w:bCs/>
          <w:iCs/>
          <w:sz w:val="20"/>
        </w:rPr>
      </w:pPr>
      <w:r w:rsidRPr="000615AB">
        <w:rPr>
          <w:b/>
          <w:bCs/>
          <w:i/>
          <w:iCs/>
          <w:sz w:val="20"/>
        </w:rPr>
        <w:t>Comunicación</w:t>
      </w:r>
      <w:r w:rsidRPr="000615AB">
        <w:rPr>
          <w:bCs/>
          <w:iCs/>
          <w:sz w:val="20"/>
        </w:rPr>
        <w:t>:  Gastos de comunicación como los gastos de teléfono, Internet, fax y correo, franqueo y transporte de documentos</w:t>
      </w:r>
      <w:r w:rsidRPr="00D22B96">
        <w:rPr>
          <w:bCs/>
          <w:iCs/>
          <w:sz w:val="20"/>
        </w:rPr>
        <w:t>.</w:t>
      </w:r>
    </w:p>
    <w:p w:rsidR="00383888" w:rsidRPr="000615AB" w:rsidRDefault="00383888" w:rsidP="00383888">
      <w:pPr>
        <w:tabs>
          <w:tab w:val="num" w:pos="567"/>
        </w:tabs>
        <w:ind w:left="567" w:firstLineChars="200" w:firstLine="400"/>
        <w:jc w:val="both"/>
        <w:rPr>
          <w:sz w:val="20"/>
        </w:rPr>
      </w:pPr>
    </w:p>
    <w:p w:rsidR="00383888" w:rsidRPr="00D22B96" w:rsidRDefault="00383888" w:rsidP="00FE7D9C">
      <w:pPr>
        <w:numPr>
          <w:ilvl w:val="0"/>
          <w:numId w:val="61"/>
        </w:numPr>
        <w:tabs>
          <w:tab w:val="clear" w:pos="1160"/>
          <w:tab w:val="num" w:pos="567"/>
        </w:tabs>
        <w:ind w:left="567" w:hanging="283"/>
        <w:jc w:val="both"/>
        <w:rPr>
          <w:bCs/>
          <w:iCs/>
          <w:sz w:val="20"/>
        </w:rPr>
      </w:pPr>
      <w:r w:rsidRPr="000615AB">
        <w:rPr>
          <w:b/>
          <w:bCs/>
          <w:i/>
          <w:iCs/>
          <w:sz w:val="20"/>
        </w:rPr>
        <w:t>Representación</w:t>
      </w:r>
      <w:r w:rsidRPr="000615AB">
        <w:rPr>
          <w:bCs/>
          <w:iCs/>
          <w:sz w:val="20"/>
        </w:rPr>
        <w:t>:  Gastos en atenciones sociales oficiales</w:t>
      </w:r>
      <w:r w:rsidRPr="00D22B96">
        <w:rPr>
          <w:bCs/>
          <w:iCs/>
          <w:sz w:val="20"/>
        </w:rPr>
        <w:t>.</w:t>
      </w:r>
    </w:p>
    <w:p w:rsidR="00383888" w:rsidRPr="000615AB" w:rsidRDefault="00383888" w:rsidP="00383888">
      <w:pPr>
        <w:tabs>
          <w:tab w:val="num" w:pos="567"/>
        </w:tabs>
        <w:ind w:left="567" w:firstLineChars="200" w:firstLine="400"/>
        <w:jc w:val="both"/>
        <w:rPr>
          <w:sz w:val="20"/>
        </w:rPr>
      </w:pPr>
    </w:p>
    <w:p w:rsidR="00383888" w:rsidRPr="00D22B96" w:rsidRDefault="00383888" w:rsidP="00FE7D9C">
      <w:pPr>
        <w:numPr>
          <w:ilvl w:val="0"/>
          <w:numId w:val="61"/>
        </w:numPr>
        <w:tabs>
          <w:tab w:val="clear" w:pos="1160"/>
          <w:tab w:val="num" w:pos="567"/>
        </w:tabs>
        <w:ind w:left="567" w:hanging="283"/>
        <w:jc w:val="both"/>
        <w:rPr>
          <w:bCs/>
          <w:iCs/>
          <w:sz w:val="20"/>
        </w:rPr>
      </w:pPr>
      <w:r w:rsidRPr="000615AB">
        <w:rPr>
          <w:b/>
          <w:bCs/>
          <w:i/>
          <w:iCs/>
          <w:sz w:val="20"/>
        </w:rPr>
        <w:t>Cargos administrativos y bancarios</w:t>
      </w:r>
      <w:r w:rsidRPr="000615AB">
        <w:rPr>
          <w:bCs/>
          <w:iCs/>
          <w:sz w:val="20"/>
        </w:rPr>
        <w:t>:  Cargos bancarios; ajustes por variación de los tipos de cambio; contribución de la OMPI a la Asociación del Personal</w:t>
      </w:r>
      <w:r w:rsidRPr="00D22B96">
        <w:rPr>
          <w:bCs/>
          <w:iCs/>
          <w:sz w:val="20"/>
        </w:rPr>
        <w:t>.</w:t>
      </w:r>
    </w:p>
    <w:p w:rsidR="00383888" w:rsidRPr="000615AB" w:rsidRDefault="00383888" w:rsidP="00383888">
      <w:pPr>
        <w:ind w:firstLineChars="200" w:firstLine="400"/>
        <w:jc w:val="both"/>
        <w:rPr>
          <w:sz w:val="20"/>
        </w:rPr>
      </w:pPr>
    </w:p>
    <w:p w:rsidR="00383888" w:rsidRPr="000615AB" w:rsidRDefault="00383888" w:rsidP="00FE7D9C">
      <w:pPr>
        <w:numPr>
          <w:ilvl w:val="0"/>
          <w:numId w:val="61"/>
        </w:numPr>
        <w:tabs>
          <w:tab w:val="clear" w:pos="1160"/>
          <w:tab w:val="num" w:pos="567"/>
        </w:tabs>
        <w:ind w:left="567" w:hanging="283"/>
        <w:jc w:val="both"/>
        <w:rPr>
          <w:sz w:val="20"/>
        </w:rPr>
      </w:pPr>
      <w:r w:rsidRPr="000615AB">
        <w:rPr>
          <w:b/>
          <w:bCs/>
          <w:iCs/>
          <w:sz w:val="20"/>
        </w:rPr>
        <w:t>Servicios en común con las NN.UU</w:t>
      </w:r>
      <w:r w:rsidRPr="000615AB">
        <w:rPr>
          <w:bCs/>
          <w:iCs/>
          <w:sz w:val="20"/>
        </w:rPr>
        <w:t>.:  Asistencia médica, contribuciones a las actividades administrativas comunes en el sistema de NN.UU., actividades cofinanciadas por las NN.UU. y el Tribunal Administrativo.</w:t>
      </w:r>
    </w:p>
    <w:p w:rsidR="00383888" w:rsidRPr="000615AB" w:rsidRDefault="00383888" w:rsidP="00383888">
      <w:pPr>
        <w:jc w:val="both"/>
        <w:rPr>
          <w:b/>
          <w:bCs/>
          <w:sz w:val="20"/>
        </w:rPr>
      </w:pPr>
    </w:p>
    <w:p w:rsidR="00383888" w:rsidRPr="000615AB" w:rsidRDefault="00383888" w:rsidP="00383888">
      <w:pPr>
        <w:jc w:val="both"/>
        <w:rPr>
          <w:b/>
          <w:bCs/>
          <w:sz w:val="20"/>
        </w:rPr>
      </w:pPr>
    </w:p>
    <w:p w:rsidR="00383888" w:rsidRPr="000615AB" w:rsidRDefault="00383888" w:rsidP="00383888">
      <w:pPr>
        <w:rPr>
          <w:b/>
          <w:bCs/>
          <w:sz w:val="20"/>
        </w:rPr>
      </w:pPr>
      <w:r w:rsidRPr="000615AB">
        <w:rPr>
          <w:b/>
          <w:bCs/>
          <w:sz w:val="20"/>
        </w:rPr>
        <w:t>Equipos y suministros</w:t>
      </w:r>
    </w:p>
    <w:p w:rsidR="00383888" w:rsidRPr="000615AB" w:rsidRDefault="00383888" w:rsidP="00383888">
      <w:pPr>
        <w:jc w:val="both"/>
        <w:rPr>
          <w:sz w:val="20"/>
        </w:rPr>
      </w:pPr>
    </w:p>
    <w:p w:rsidR="00383888" w:rsidRPr="000615AB" w:rsidRDefault="00383888" w:rsidP="00FE7D9C">
      <w:pPr>
        <w:numPr>
          <w:ilvl w:val="0"/>
          <w:numId w:val="62"/>
        </w:numPr>
        <w:tabs>
          <w:tab w:val="clear" w:pos="1160"/>
          <w:tab w:val="num" w:pos="567"/>
        </w:tabs>
        <w:ind w:left="567" w:hanging="283"/>
        <w:jc w:val="both"/>
        <w:rPr>
          <w:sz w:val="20"/>
        </w:rPr>
      </w:pPr>
      <w:r w:rsidRPr="000615AB">
        <w:rPr>
          <w:b/>
          <w:bCs/>
          <w:i/>
          <w:iCs/>
          <w:sz w:val="20"/>
        </w:rPr>
        <w:t>Mobiliario y equipo</w:t>
      </w:r>
      <w:r w:rsidRPr="000615AB">
        <w:rPr>
          <w:bCs/>
          <w:iCs/>
          <w:sz w:val="20"/>
        </w:rPr>
        <w:t>:  Compra de mobiliario y máquinas de oficina;  equipo informático (computadoras de escritorio y portátiles, impresoras, servidores, etc.);  equipo para servicios de conferencias;  equipo de reproducción;  y equipo de transporte.</w:t>
      </w:r>
    </w:p>
    <w:p w:rsidR="00383888" w:rsidRPr="000615AB" w:rsidRDefault="00383888" w:rsidP="00383888">
      <w:pPr>
        <w:tabs>
          <w:tab w:val="num" w:pos="567"/>
        </w:tabs>
        <w:ind w:left="567" w:hanging="283"/>
        <w:jc w:val="both"/>
        <w:rPr>
          <w:sz w:val="20"/>
        </w:rPr>
      </w:pPr>
    </w:p>
    <w:p w:rsidR="00383888" w:rsidRPr="000615AB" w:rsidRDefault="00383888" w:rsidP="00FE7D9C">
      <w:pPr>
        <w:numPr>
          <w:ilvl w:val="0"/>
          <w:numId w:val="62"/>
        </w:numPr>
        <w:tabs>
          <w:tab w:val="clear" w:pos="1160"/>
          <w:tab w:val="num" w:pos="567"/>
        </w:tabs>
        <w:ind w:left="567" w:hanging="283"/>
        <w:jc w:val="both"/>
        <w:rPr>
          <w:sz w:val="20"/>
        </w:rPr>
      </w:pPr>
      <w:r w:rsidRPr="000615AB">
        <w:rPr>
          <w:b/>
          <w:bCs/>
          <w:i/>
          <w:iCs/>
          <w:sz w:val="20"/>
        </w:rPr>
        <w:t>Suministros y material</w:t>
      </w:r>
      <w:r w:rsidRPr="000615AB">
        <w:rPr>
          <w:bCs/>
          <w:iCs/>
          <w:sz w:val="20"/>
        </w:rPr>
        <w:t>:  Papel y material para oficina;  material de reproducción (offset, microfilms, etc.);  libros para la biblioteca y suscripciones a revistas y publicaciones periódicas;  uniformes;  material para computadoras;  programas informáticos y licencias para computadoras.</w:t>
      </w:r>
    </w:p>
    <w:p w:rsidR="00383888" w:rsidRPr="000615AB" w:rsidRDefault="00383888" w:rsidP="00383888">
      <w:pPr>
        <w:ind w:left="550"/>
        <w:jc w:val="both"/>
        <w:rPr>
          <w:sz w:val="20"/>
        </w:rPr>
      </w:pPr>
    </w:p>
    <w:p w:rsidR="00383888" w:rsidRPr="00C3705E" w:rsidRDefault="00383888" w:rsidP="00383888">
      <w:pPr>
        <w:pStyle w:val="Heading2"/>
        <w:tabs>
          <w:tab w:val="left" w:pos="-2268"/>
        </w:tabs>
        <w:rPr>
          <w:b/>
          <w:caps w:val="0"/>
          <w:szCs w:val="24"/>
          <w:lang w:val="es-ES_tradnl"/>
        </w:rPr>
      </w:pPr>
      <w:r w:rsidRPr="000615AB">
        <w:rPr>
          <w:sz w:val="20"/>
        </w:rPr>
        <w:br w:type="page"/>
      </w:r>
      <w:bookmarkStart w:id="118" w:name="_Toc358816739"/>
      <w:r w:rsidRPr="00C3705E">
        <w:rPr>
          <w:b/>
          <w:caps w:val="0"/>
          <w:szCs w:val="24"/>
          <w:lang w:val="es-ES_tradnl"/>
        </w:rPr>
        <w:lastRenderedPageBreak/>
        <w:t>APÉNDICE C</w:t>
      </w:r>
      <w:r w:rsidRPr="00C3705E">
        <w:rPr>
          <w:b/>
          <w:caps w:val="0"/>
          <w:szCs w:val="24"/>
          <w:lang w:val="es-ES_tradnl"/>
        </w:rPr>
        <w:br/>
        <w:t>COSTOS ESTÁNDAR DE PERSONAL</w:t>
      </w:r>
      <w:bookmarkEnd w:id="118"/>
    </w:p>
    <w:p w:rsidR="00383888" w:rsidRPr="000615AB" w:rsidRDefault="00383888" w:rsidP="00383888">
      <w:pPr>
        <w:pStyle w:val="Header"/>
        <w:tabs>
          <w:tab w:val="clear" w:pos="4536"/>
          <w:tab w:val="clear" w:pos="9072"/>
        </w:tabs>
        <w:rPr>
          <w:sz w:val="20"/>
        </w:rPr>
      </w:pPr>
    </w:p>
    <w:p w:rsidR="00383888" w:rsidRPr="000615AB" w:rsidRDefault="00383888" w:rsidP="00383888">
      <w:pPr>
        <w:pStyle w:val="Header"/>
        <w:tabs>
          <w:tab w:val="clear" w:pos="4536"/>
          <w:tab w:val="clear" w:pos="9072"/>
        </w:tabs>
        <w:rPr>
          <w:sz w:val="20"/>
        </w:rPr>
      </w:pPr>
    </w:p>
    <w:p w:rsidR="00383888" w:rsidRDefault="00383888" w:rsidP="00383888">
      <w:pPr>
        <w:rPr>
          <w:sz w:val="20"/>
        </w:rPr>
      </w:pPr>
      <w:r w:rsidRPr="00150B0B">
        <w:rPr>
          <w:sz w:val="20"/>
        </w:rPr>
        <w:t>La metodología utilizada para calcular y presupuestar los recursos de personal de la Organización se basa en los costos estándar.  Los costos estándar siguen siendo el método utilizado más corrientemente para calcular el costo de los recursos de personal dentro del sistema de NN.UU.  Este método sirve de base para realizar una comparación con otras organizaciones de NN.UU., garantizando de esa manera que se puedan efectuar de manera sistemática y periódica las revisiones y actualizaciones pertinentes.</w:t>
      </w:r>
    </w:p>
    <w:p w:rsidR="00383888" w:rsidRPr="00150B0B" w:rsidRDefault="00383888" w:rsidP="00383888">
      <w:pPr>
        <w:rPr>
          <w:sz w:val="20"/>
        </w:rPr>
      </w:pPr>
    </w:p>
    <w:p w:rsidR="00383888" w:rsidRPr="00150B0B" w:rsidRDefault="00383888" w:rsidP="00383888">
      <w:pPr>
        <w:rPr>
          <w:sz w:val="20"/>
        </w:rPr>
      </w:pPr>
      <w:r w:rsidRPr="00150B0B">
        <w:rPr>
          <w:sz w:val="20"/>
        </w:rPr>
        <w:t>La formulación y revisión de los costos estándar constituye un proceso dinámico que exige un examen periódico, con el fin de alinear los costos presupuestados y los gastos.  Los costos estándar se basan en las escalas de sueldos y remuneración pensionable más recientes disponibles en NN.UU., datos históricos y políticas y prestaciones aplicables.  En los costos estándar aplicados al presupuesto por programas de la OMPI se incorporan numerosos elementos de costo estándar para obtener un costo estándar para cada categoría de puesto, que se utiliza a continuación para calcular los costos globales de recursos de personal.  A continuación se exponen sucintamente los elementos de costos incluidos en el costo estándar y los supuestos en que se basan.</w:t>
      </w:r>
    </w:p>
    <w:p w:rsidR="00383888" w:rsidRPr="00150B0B" w:rsidRDefault="00383888" w:rsidP="00383888">
      <w:pPr>
        <w:rPr>
          <w:sz w:val="20"/>
        </w:rPr>
      </w:pPr>
    </w:p>
    <w:p w:rsidR="00383888" w:rsidRPr="000615AB" w:rsidRDefault="00383888" w:rsidP="00383888">
      <w:pPr>
        <w:ind w:left="1134" w:firstLine="567"/>
        <w:rPr>
          <w:sz w:val="20"/>
        </w:rPr>
      </w:pPr>
      <w:r w:rsidRPr="000615AB">
        <w:rPr>
          <w:sz w:val="20"/>
        </w:rPr>
        <w:t xml:space="preserve">Elementos de costos estándar y supuestos en que se basan </w:t>
      </w:r>
    </w:p>
    <w:p w:rsidR="00383888" w:rsidRPr="000615AB" w:rsidRDefault="00383888" w:rsidP="00383888">
      <w:pPr>
        <w:jc w:val="center"/>
        <w:rPr>
          <w:sz w:val="20"/>
        </w:rPr>
      </w:pPr>
    </w:p>
    <w:tbl>
      <w:tblPr>
        <w:tblW w:w="9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4146"/>
        <w:gridCol w:w="3850"/>
      </w:tblGrid>
      <w:tr w:rsidR="00383888" w:rsidRPr="000615AB" w:rsidTr="00B47699">
        <w:trPr>
          <w:tblHeader/>
        </w:trPr>
        <w:tc>
          <w:tcPr>
            <w:tcW w:w="1242" w:type="dxa"/>
            <w:shd w:val="clear" w:color="auto" w:fill="auto"/>
          </w:tcPr>
          <w:p w:rsidR="00383888" w:rsidRPr="000615AB" w:rsidRDefault="00383888" w:rsidP="00B47699">
            <w:pPr>
              <w:rPr>
                <w:b/>
                <w:sz w:val="18"/>
              </w:rPr>
            </w:pPr>
          </w:p>
        </w:tc>
        <w:tc>
          <w:tcPr>
            <w:tcW w:w="4146" w:type="dxa"/>
            <w:shd w:val="clear" w:color="auto" w:fill="auto"/>
          </w:tcPr>
          <w:p w:rsidR="00383888" w:rsidRDefault="00383888" w:rsidP="00B47699">
            <w:pPr>
              <w:jc w:val="center"/>
              <w:rPr>
                <w:b/>
                <w:sz w:val="18"/>
              </w:rPr>
            </w:pPr>
          </w:p>
          <w:p w:rsidR="00383888" w:rsidRDefault="00383888" w:rsidP="00B47699">
            <w:pPr>
              <w:jc w:val="center"/>
              <w:rPr>
                <w:b/>
                <w:sz w:val="18"/>
              </w:rPr>
            </w:pPr>
            <w:r w:rsidRPr="000615AB">
              <w:rPr>
                <w:b/>
                <w:sz w:val="18"/>
              </w:rPr>
              <w:t>Puestos</w:t>
            </w:r>
          </w:p>
          <w:p w:rsidR="00383888" w:rsidRPr="000615AB" w:rsidRDefault="00383888" w:rsidP="00B47699">
            <w:pPr>
              <w:jc w:val="center"/>
              <w:rPr>
                <w:bCs/>
                <w:sz w:val="18"/>
              </w:rPr>
            </w:pPr>
          </w:p>
          <w:p w:rsidR="00383888" w:rsidRPr="000615AB" w:rsidRDefault="00383888" w:rsidP="00B47699">
            <w:pPr>
              <w:jc w:val="center"/>
              <w:rPr>
                <w:bCs/>
                <w:sz w:val="18"/>
              </w:rPr>
            </w:pPr>
            <w:r w:rsidRPr="000615AB">
              <w:rPr>
                <w:bCs/>
                <w:sz w:val="18"/>
              </w:rPr>
              <w:t>(</w:t>
            </w:r>
            <w:r w:rsidRPr="000615AB">
              <w:rPr>
                <w:bCs/>
                <w:i/>
                <w:iCs/>
                <w:sz w:val="18"/>
              </w:rPr>
              <w:t>Categoría profesional y de servicios generales</w:t>
            </w:r>
            <w:r w:rsidRPr="000615AB">
              <w:rPr>
                <w:bCs/>
                <w:sz w:val="18"/>
              </w:rPr>
              <w:t>)</w:t>
            </w:r>
          </w:p>
        </w:tc>
        <w:tc>
          <w:tcPr>
            <w:tcW w:w="3850" w:type="dxa"/>
          </w:tcPr>
          <w:p w:rsidR="00383888" w:rsidRDefault="00383888" w:rsidP="00B47699">
            <w:pPr>
              <w:jc w:val="center"/>
              <w:rPr>
                <w:b/>
                <w:sz w:val="18"/>
              </w:rPr>
            </w:pPr>
          </w:p>
          <w:p w:rsidR="00383888" w:rsidRDefault="00383888" w:rsidP="00B47699">
            <w:pPr>
              <w:jc w:val="center"/>
              <w:rPr>
                <w:b/>
                <w:sz w:val="18"/>
              </w:rPr>
            </w:pPr>
            <w:r w:rsidRPr="000615AB">
              <w:rPr>
                <w:b/>
                <w:sz w:val="18"/>
              </w:rPr>
              <w:t>Plazas temporales</w:t>
            </w:r>
          </w:p>
          <w:p w:rsidR="00383888" w:rsidRPr="000615AB" w:rsidRDefault="00383888" w:rsidP="00B47699">
            <w:pPr>
              <w:jc w:val="center"/>
              <w:rPr>
                <w:b/>
                <w:sz w:val="18"/>
              </w:rPr>
            </w:pPr>
          </w:p>
          <w:p w:rsidR="00383888" w:rsidRPr="000615AB" w:rsidRDefault="00383888" w:rsidP="00B47699">
            <w:pPr>
              <w:jc w:val="center"/>
              <w:rPr>
                <w:bCs/>
                <w:sz w:val="18"/>
              </w:rPr>
            </w:pPr>
            <w:r w:rsidRPr="000615AB">
              <w:rPr>
                <w:bCs/>
                <w:sz w:val="18"/>
              </w:rPr>
              <w:t>(</w:t>
            </w:r>
            <w:r w:rsidRPr="000615AB">
              <w:rPr>
                <w:bCs/>
                <w:i/>
                <w:iCs/>
                <w:sz w:val="18"/>
              </w:rPr>
              <w:t>Categoría profesional y de servicios generales</w:t>
            </w:r>
            <w:r w:rsidRPr="000615AB">
              <w:rPr>
                <w:bCs/>
                <w:sz w:val="18"/>
              </w:rPr>
              <w:t>)</w:t>
            </w:r>
          </w:p>
        </w:tc>
      </w:tr>
      <w:tr w:rsidR="00383888" w:rsidRPr="000615AB" w:rsidTr="00B47699">
        <w:trPr>
          <w:trHeight w:val="2043"/>
        </w:trPr>
        <w:tc>
          <w:tcPr>
            <w:tcW w:w="1242" w:type="dxa"/>
          </w:tcPr>
          <w:p w:rsidR="00383888" w:rsidRPr="000615AB" w:rsidRDefault="00383888" w:rsidP="00B47699">
            <w:pPr>
              <w:rPr>
                <w:b/>
                <w:sz w:val="18"/>
              </w:rPr>
            </w:pPr>
            <w:r w:rsidRPr="000615AB">
              <w:rPr>
                <w:b/>
                <w:sz w:val="18"/>
              </w:rPr>
              <w:t>Sueldo</w:t>
            </w:r>
          </w:p>
        </w:tc>
        <w:tc>
          <w:tcPr>
            <w:tcW w:w="4146" w:type="dxa"/>
          </w:tcPr>
          <w:p w:rsidR="00383888" w:rsidRDefault="00383888" w:rsidP="00B47699">
            <w:pPr>
              <w:rPr>
                <w:sz w:val="18"/>
              </w:rPr>
            </w:pPr>
            <w:r w:rsidRPr="000615AB">
              <w:rPr>
                <w:sz w:val="18"/>
              </w:rPr>
              <w:t xml:space="preserve">El sueldo se calcula en relación con un escalón promedio para cada una de las categorías, aplicando de forma combinada las escalas de sueldo para funcionarios con o sin familiares a cargo (CAPI). </w:t>
            </w:r>
            <w:r>
              <w:rPr>
                <w:sz w:val="18"/>
              </w:rPr>
              <w:t xml:space="preserve"> </w:t>
            </w:r>
            <w:r w:rsidRPr="000615AB">
              <w:rPr>
                <w:sz w:val="18"/>
              </w:rPr>
              <w:t>A continuación se convierte en francos suizos el importe calculado en dólares EE.UU., y se aplica el multiplicador de ajuste por lugar de destino, cuando proceda (en el caso de los empleados de la categoría profesional)</w:t>
            </w:r>
            <w:r w:rsidRPr="00D22B96">
              <w:rPr>
                <w:sz w:val="18"/>
              </w:rPr>
              <w:t>.</w:t>
            </w:r>
          </w:p>
          <w:p w:rsidR="00383888" w:rsidRPr="00D22B96" w:rsidRDefault="00383888" w:rsidP="00B47699">
            <w:pPr>
              <w:rPr>
                <w:sz w:val="18"/>
              </w:rPr>
            </w:pPr>
          </w:p>
          <w:p w:rsidR="00383888" w:rsidRPr="000615AB" w:rsidRDefault="00383888" w:rsidP="00B47699">
            <w:pPr>
              <w:rPr>
                <w:sz w:val="18"/>
              </w:rPr>
            </w:pPr>
            <w:r w:rsidRPr="000615AB">
              <w:rPr>
                <w:sz w:val="18"/>
              </w:rPr>
              <w:t>Se añade al importe total el porcentaje de la remuneración pensionable (CCPPNU) correspondiente a la Organización.</w:t>
            </w:r>
          </w:p>
          <w:p w:rsidR="00383888" w:rsidRPr="000615AB" w:rsidRDefault="00383888" w:rsidP="00B47699">
            <w:pPr>
              <w:rPr>
                <w:sz w:val="18"/>
              </w:rPr>
            </w:pPr>
          </w:p>
        </w:tc>
        <w:tc>
          <w:tcPr>
            <w:tcW w:w="3850" w:type="dxa"/>
          </w:tcPr>
          <w:p w:rsidR="00383888" w:rsidRDefault="00383888" w:rsidP="00B47699">
            <w:pPr>
              <w:rPr>
                <w:sz w:val="18"/>
              </w:rPr>
            </w:pPr>
            <w:r w:rsidRPr="000615AB">
              <w:rPr>
                <w:sz w:val="18"/>
              </w:rPr>
              <w:t xml:space="preserve">El sueldo se calcula en relación con un escalón promedio para cada una de las categorías, aplicando de forma combinada las escalas de sueldo para funcionarios con o sin familiares a cargo (CAPI). </w:t>
            </w:r>
            <w:r>
              <w:rPr>
                <w:sz w:val="18"/>
              </w:rPr>
              <w:t xml:space="preserve"> </w:t>
            </w:r>
            <w:r w:rsidRPr="000615AB">
              <w:rPr>
                <w:sz w:val="18"/>
              </w:rPr>
              <w:t>A continuación se convierte en francos suizos el importe calculado en dólares EE.UU., y se aplica el multiplicador de ajuste por lugar de destino, cuando proceda (en el caso de los empleados de la categoría profesional)</w:t>
            </w:r>
            <w:r w:rsidRPr="00D22B96">
              <w:rPr>
                <w:sz w:val="18"/>
              </w:rPr>
              <w:t>.</w:t>
            </w:r>
          </w:p>
          <w:p w:rsidR="00383888" w:rsidRPr="00D22B96" w:rsidRDefault="00383888" w:rsidP="00B47699">
            <w:pPr>
              <w:rPr>
                <w:sz w:val="18"/>
              </w:rPr>
            </w:pPr>
          </w:p>
          <w:p w:rsidR="00383888" w:rsidRDefault="00383888" w:rsidP="00B47699">
            <w:pPr>
              <w:rPr>
                <w:sz w:val="18"/>
              </w:rPr>
            </w:pPr>
            <w:r w:rsidRPr="000615AB">
              <w:rPr>
                <w:sz w:val="18"/>
              </w:rPr>
              <w:t>Se añade al importe total el porcentaje de la remuneración pensionable (CCPPNU) correspondiente a la Organización.</w:t>
            </w:r>
          </w:p>
          <w:p w:rsidR="00383888" w:rsidRPr="000615AB" w:rsidRDefault="00383888" w:rsidP="00B47699">
            <w:pPr>
              <w:rPr>
                <w:sz w:val="18"/>
              </w:rPr>
            </w:pPr>
          </w:p>
        </w:tc>
      </w:tr>
      <w:tr w:rsidR="00383888" w:rsidRPr="000615AB" w:rsidTr="00B47699">
        <w:tc>
          <w:tcPr>
            <w:tcW w:w="1242" w:type="dxa"/>
            <w:tcBorders>
              <w:bottom w:val="nil"/>
            </w:tcBorders>
          </w:tcPr>
          <w:p w:rsidR="00383888" w:rsidRPr="00CF4309" w:rsidRDefault="00383888" w:rsidP="00B47699">
            <w:pPr>
              <w:rPr>
                <w:b/>
                <w:sz w:val="18"/>
              </w:rPr>
            </w:pPr>
            <w:r w:rsidRPr="00CF4309">
              <w:rPr>
                <w:b/>
                <w:sz w:val="18"/>
              </w:rPr>
              <w:t>Costos corrientes de personal (CCP)</w:t>
            </w:r>
          </w:p>
        </w:tc>
        <w:tc>
          <w:tcPr>
            <w:tcW w:w="4146" w:type="dxa"/>
            <w:tcBorders>
              <w:bottom w:val="nil"/>
            </w:tcBorders>
          </w:tcPr>
          <w:p w:rsidR="00383888" w:rsidRPr="00CF4309" w:rsidRDefault="00383888" w:rsidP="00B47699">
            <w:pPr>
              <w:rPr>
                <w:sz w:val="18"/>
              </w:rPr>
            </w:pPr>
            <w:r w:rsidRPr="00CF4309">
              <w:rPr>
                <w:sz w:val="18"/>
              </w:rPr>
              <w:t>El CCP abarca todos aquellos beneficios y prestaciones, distintos del sueldo, que se asignan de conformidad con el Estatuto y Reglamento del Personal (tales como el subsidio por familiares a cargo, las vacaciones en el país de origen, el subsidio de educación, etc.).</w:t>
            </w:r>
            <w:r>
              <w:rPr>
                <w:sz w:val="18"/>
              </w:rPr>
              <w:t xml:space="preserve">  </w:t>
            </w:r>
            <w:r w:rsidRPr="00CF4309">
              <w:rPr>
                <w:sz w:val="18"/>
              </w:rPr>
              <w:t>Se aplica un multiplicador al sueldo para reflejar este importe, sobre la base del patrón histórico de gastos y previsiones efectuados.</w:t>
            </w:r>
          </w:p>
          <w:p w:rsidR="00383888" w:rsidRPr="00CF4309" w:rsidRDefault="00383888" w:rsidP="00B47699">
            <w:pPr>
              <w:rPr>
                <w:sz w:val="18"/>
              </w:rPr>
            </w:pPr>
          </w:p>
        </w:tc>
        <w:tc>
          <w:tcPr>
            <w:tcW w:w="3850" w:type="dxa"/>
            <w:tcBorders>
              <w:bottom w:val="nil"/>
            </w:tcBorders>
          </w:tcPr>
          <w:p w:rsidR="00383888" w:rsidRDefault="00383888" w:rsidP="00B47699">
            <w:pPr>
              <w:rPr>
                <w:sz w:val="18"/>
              </w:rPr>
            </w:pPr>
            <w:r w:rsidRPr="00CF4309">
              <w:rPr>
                <w:sz w:val="18"/>
              </w:rPr>
              <w:t>El CCP abarca todos aquellos beneficios y prestaciones, distintos del sueldo, que se asignan de conformidad con el Estatuto y Reglamento del Personal (tales como el subsidio por familiares a cargo, las vacaciones en el país de origen, el subsidio de educación, etc.).</w:t>
            </w:r>
            <w:r>
              <w:rPr>
                <w:sz w:val="18"/>
              </w:rPr>
              <w:t xml:space="preserve">  </w:t>
            </w:r>
            <w:r w:rsidRPr="00CF4309">
              <w:rPr>
                <w:sz w:val="18"/>
              </w:rPr>
              <w:t>Se aplica un multiplicador al sueldo para reflejar este importe, sobre la base del patrón histórico de gastos y previsiones efectuados.</w:t>
            </w:r>
          </w:p>
          <w:p w:rsidR="00383888" w:rsidRPr="000615AB" w:rsidRDefault="00383888" w:rsidP="00B47699">
            <w:pPr>
              <w:rPr>
                <w:sz w:val="18"/>
              </w:rPr>
            </w:pPr>
          </w:p>
        </w:tc>
      </w:tr>
      <w:tr w:rsidR="00383888" w:rsidRPr="000615AB" w:rsidTr="00B47699">
        <w:tc>
          <w:tcPr>
            <w:tcW w:w="1242" w:type="dxa"/>
            <w:tcBorders>
              <w:top w:val="single" w:sz="6" w:space="0" w:color="auto"/>
              <w:left w:val="single" w:sz="6" w:space="0" w:color="auto"/>
              <w:bottom w:val="single" w:sz="6" w:space="0" w:color="auto"/>
              <w:right w:val="single" w:sz="6" w:space="0" w:color="auto"/>
            </w:tcBorders>
          </w:tcPr>
          <w:p w:rsidR="00383888" w:rsidRPr="000615AB" w:rsidRDefault="00383888" w:rsidP="00B47699">
            <w:pPr>
              <w:rPr>
                <w:b/>
                <w:sz w:val="18"/>
              </w:rPr>
            </w:pPr>
            <w:r w:rsidRPr="000615AB">
              <w:rPr>
                <w:b/>
                <w:sz w:val="18"/>
              </w:rPr>
              <w:t xml:space="preserve">Ajuste </w:t>
            </w:r>
          </w:p>
        </w:tc>
        <w:tc>
          <w:tcPr>
            <w:tcW w:w="4146" w:type="dxa"/>
            <w:tcBorders>
              <w:top w:val="single" w:sz="6" w:space="0" w:color="auto"/>
              <w:left w:val="single" w:sz="6" w:space="0" w:color="auto"/>
              <w:bottom w:val="single" w:sz="6" w:space="0" w:color="auto"/>
              <w:right w:val="single" w:sz="6" w:space="0" w:color="auto"/>
            </w:tcBorders>
          </w:tcPr>
          <w:p w:rsidR="00383888" w:rsidRPr="00D22B96" w:rsidRDefault="00383888" w:rsidP="00B47699">
            <w:pPr>
              <w:ind w:left="34"/>
              <w:rPr>
                <w:sz w:val="18"/>
              </w:rPr>
            </w:pPr>
            <w:r w:rsidRPr="000615AB">
              <w:rPr>
                <w:sz w:val="18"/>
              </w:rPr>
              <w:t>Se aplica otro ajuste a la baja al costo estándar para tener en cuenta el índice de vacantes previsto. El ajuste aplicado a 2014/15 es del 6% respecto del índice de vacantes</w:t>
            </w:r>
            <w:r w:rsidRPr="00D22B96">
              <w:rPr>
                <w:sz w:val="18"/>
              </w:rPr>
              <w:t>.</w:t>
            </w:r>
          </w:p>
          <w:p w:rsidR="00383888" w:rsidRPr="000615AB" w:rsidRDefault="00383888" w:rsidP="00B47699">
            <w:pPr>
              <w:ind w:left="34"/>
              <w:rPr>
                <w:sz w:val="18"/>
              </w:rPr>
            </w:pPr>
          </w:p>
          <w:p w:rsidR="00383888" w:rsidRPr="000615AB" w:rsidRDefault="00383888" w:rsidP="00B47699">
            <w:pPr>
              <w:rPr>
                <w:sz w:val="18"/>
              </w:rPr>
            </w:pPr>
            <w:r w:rsidRPr="000615AB">
              <w:rPr>
                <w:sz w:val="18"/>
              </w:rPr>
              <w:t>Se aplica otro ajuste a la baja del 1% para tener en cuenta los contrato</w:t>
            </w:r>
            <w:r>
              <w:rPr>
                <w:sz w:val="18"/>
              </w:rPr>
              <w:t>s de trabajo a tiempo parcial.</w:t>
            </w:r>
          </w:p>
        </w:tc>
        <w:tc>
          <w:tcPr>
            <w:tcW w:w="3850" w:type="dxa"/>
            <w:tcBorders>
              <w:top w:val="single" w:sz="6" w:space="0" w:color="auto"/>
              <w:left w:val="single" w:sz="6" w:space="0" w:color="auto"/>
              <w:bottom w:val="single" w:sz="6" w:space="0" w:color="auto"/>
              <w:right w:val="single" w:sz="6" w:space="0" w:color="auto"/>
            </w:tcBorders>
          </w:tcPr>
          <w:p w:rsidR="00383888" w:rsidRPr="00D22B96" w:rsidRDefault="00383888" w:rsidP="00B47699">
            <w:pPr>
              <w:ind w:left="34"/>
              <w:rPr>
                <w:sz w:val="18"/>
              </w:rPr>
            </w:pPr>
            <w:r w:rsidRPr="000615AB">
              <w:rPr>
                <w:sz w:val="18"/>
              </w:rPr>
              <w:t xml:space="preserve">Se aplica otro ajuste a la baja al costo estándar para tener en cuenta el índice de vacantes previsto. </w:t>
            </w:r>
            <w:r>
              <w:rPr>
                <w:sz w:val="18"/>
              </w:rPr>
              <w:t xml:space="preserve"> </w:t>
            </w:r>
            <w:r w:rsidRPr="000615AB">
              <w:rPr>
                <w:sz w:val="18"/>
              </w:rPr>
              <w:t>El ajuste aplicado a 2014/15 es del 1% respecto del índice de vacantes</w:t>
            </w:r>
            <w:r w:rsidRPr="00D22B96">
              <w:rPr>
                <w:sz w:val="18"/>
              </w:rPr>
              <w:t>.</w:t>
            </w:r>
          </w:p>
          <w:p w:rsidR="00383888" w:rsidRPr="000615AB" w:rsidRDefault="00383888" w:rsidP="00B47699">
            <w:pPr>
              <w:ind w:left="34"/>
              <w:rPr>
                <w:sz w:val="18"/>
              </w:rPr>
            </w:pPr>
          </w:p>
          <w:p w:rsidR="00383888" w:rsidRDefault="00383888" w:rsidP="00B47699">
            <w:pPr>
              <w:rPr>
                <w:sz w:val="18"/>
              </w:rPr>
            </w:pPr>
            <w:r w:rsidRPr="000615AB">
              <w:rPr>
                <w:sz w:val="18"/>
              </w:rPr>
              <w:t>Se aplica otro ajuste a la baja del 1% para tener en cuenta los contrato</w:t>
            </w:r>
            <w:r>
              <w:rPr>
                <w:sz w:val="18"/>
              </w:rPr>
              <w:t>s de trabajo a tiempo parcial.</w:t>
            </w:r>
          </w:p>
          <w:p w:rsidR="00383888" w:rsidRDefault="00383888" w:rsidP="00B47699">
            <w:pPr>
              <w:rPr>
                <w:sz w:val="18"/>
              </w:rPr>
            </w:pPr>
          </w:p>
          <w:p w:rsidR="00383888" w:rsidRPr="000615AB" w:rsidRDefault="00383888" w:rsidP="00B47699">
            <w:pPr>
              <w:rPr>
                <w:sz w:val="18"/>
              </w:rPr>
            </w:pPr>
          </w:p>
        </w:tc>
      </w:tr>
      <w:tr w:rsidR="00383888" w:rsidRPr="000615AB" w:rsidTr="00B47699">
        <w:tc>
          <w:tcPr>
            <w:tcW w:w="1242" w:type="dxa"/>
            <w:tcBorders>
              <w:top w:val="single" w:sz="6" w:space="0" w:color="auto"/>
              <w:left w:val="single" w:sz="6" w:space="0" w:color="auto"/>
              <w:bottom w:val="single" w:sz="6" w:space="0" w:color="auto"/>
              <w:right w:val="single" w:sz="6" w:space="0" w:color="auto"/>
            </w:tcBorders>
          </w:tcPr>
          <w:p w:rsidR="00383888" w:rsidRPr="000615AB" w:rsidRDefault="00383888" w:rsidP="00B47699">
            <w:pPr>
              <w:rPr>
                <w:b/>
                <w:sz w:val="18"/>
              </w:rPr>
            </w:pPr>
            <w:r w:rsidRPr="000615AB">
              <w:rPr>
                <w:b/>
                <w:sz w:val="18"/>
              </w:rPr>
              <w:lastRenderedPageBreak/>
              <w:t>Provisión relativa a la separación del servicio y costos conexos</w:t>
            </w:r>
          </w:p>
        </w:tc>
        <w:tc>
          <w:tcPr>
            <w:tcW w:w="4146" w:type="dxa"/>
            <w:tcBorders>
              <w:top w:val="single" w:sz="6" w:space="0" w:color="auto"/>
              <w:left w:val="single" w:sz="6" w:space="0" w:color="auto"/>
              <w:bottom w:val="single" w:sz="6" w:space="0" w:color="auto"/>
              <w:right w:val="single" w:sz="6" w:space="0" w:color="auto"/>
            </w:tcBorders>
          </w:tcPr>
          <w:p w:rsidR="00383888" w:rsidRPr="000615AB" w:rsidRDefault="00383888" w:rsidP="00B47699">
            <w:pPr>
              <w:rPr>
                <w:sz w:val="18"/>
              </w:rPr>
            </w:pPr>
            <w:r w:rsidRPr="000615AB">
              <w:rPr>
                <w:sz w:val="18"/>
              </w:rPr>
              <w:t>Se aplica una provisión del 6% respecto del costo medio para sufragar los gastos relativos a la separación del servicio y para prestaciones pagaderas a los empleados después del servicio.</w:t>
            </w:r>
          </w:p>
        </w:tc>
        <w:tc>
          <w:tcPr>
            <w:tcW w:w="3850" w:type="dxa"/>
            <w:tcBorders>
              <w:top w:val="single" w:sz="6" w:space="0" w:color="auto"/>
              <w:left w:val="single" w:sz="6" w:space="0" w:color="auto"/>
              <w:bottom w:val="single" w:sz="6" w:space="0" w:color="auto"/>
              <w:right w:val="single" w:sz="6" w:space="0" w:color="auto"/>
            </w:tcBorders>
          </w:tcPr>
          <w:p w:rsidR="00383888" w:rsidRPr="000615AB" w:rsidRDefault="00383888" w:rsidP="00B47699">
            <w:pPr>
              <w:rPr>
                <w:sz w:val="18"/>
              </w:rPr>
            </w:pPr>
            <w:r w:rsidRPr="000615AB">
              <w:rPr>
                <w:sz w:val="18"/>
              </w:rPr>
              <w:t>Se aplica una provisión del 6% respecto del costo medio para sufragar los gastos relativos a la separación del servicio y para prestaciones pagaderas a los empleados después del servicio.</w:t>
            </w:r>
          </w:p>
        </w:tc>
      </w:tr>
    </w:tbl>
    <w:p w:rsidR="00383888" w:rsidRPr="000615AB" w:rsidRDefault="00383888" w:rsidP="00383888">
      <w:pPr>
        <w:ind w:right="-285"/>
      </w:pPr>
    </w:p>
    <w:p w:rsidR="00383888" w:rsidRPr="000615AB" w:rsidRDefault="00383888" w:rsidP="00383888">
      <w:pPr>
        <w:tabs>
          <w:tab w:val="left" w:pos="567"/>
        </w:tabs>
        <w:ind w:right="91"/>
        <w:rPr>
          <w:sz w:val="20"/>
          <w:highlight w:val="yellow"/>
        </w:rPr>
      </w:pPr>
    </w:p>
    <w:p w:rsidR="00383888" w:rsidRPr="000615AB" w:rsidRDefault="00383888" w:rsidP="00383888">
      <w:pPr>
        <w:jc w:val="both"/>
        <w:rPr>
          <w:sz w:val="20"/>
          <w:highlight w:val="yellow"/>
        </w:rPr>
      </w:pPr>
    </w:p>
    <w:p w:rsidR="00383888" w:rsidRPr="00AE2EB2" w:rsidRDefault="00383888" w:rsidP="00383888">
      <w:pPr>
        <w:pStyle w:val="NormalArial"/>
        <w:rPr>
          <w:lang w:val="es-ES"/>
        </w:rPr>
      </w:pPr>
    </w:p>
    <w:p w:rsidR="00383888" w:rsidRPr="000615AB" w:rsidRDefault="00383888" w:rsidP="00383888">
      <w:pPr>
        <w:tabs>
          <w:tab w:val="left" w:pos="567"/>
        </w:tabs>
        <w:ind w:right="91"/>
        <w:rPr>
          <w:sz w:val="20"/>
        </w:rPr>
      </w:pPr>
    </w:p>
    <w:p w:rsidR="00383888" w:rsidRPr="000615AB" w:rsidRDefault="00383888" w:rsidP="00383888">
      <w:pPr>
        <w:tabs>
          <w:tab w:val="left" w:pos="567"/>
        </w:tabs>
        <w:ind w:right="91"/>
        <w:rPr>
          <w:sz w:val="20"/>
        </w:rPr>
      </w:pPr>
    </w:p>
    <w:p w:rsidR="00383888" w:rsidRPr="000615AB" w:rsidRDefault="00383888" w:rsidP="00383888">
      <w:pPr>
        <w:rPr>
          <w:sz w:val="20"/>
        </w:rPr>
        <w:sectPr w:rsidR="00383888" w:rsidRPr="000615AB" w:rsidSect="00B47699">
          <w:pgSz w:w="11907" w:h="16840" w:code="9"/>
          <w:pgMar w:top="567" w:right="1418" w:bottom="1418" w:left="1418" w:header="510" w:footer="851" w:gutter="0"/>
          <w:cols w:space="720"/>
        </w:sectPr>
      </w:pPr>
    </w:p>
    <w:p w:rsidR="00383888" w:rsidRPr="00C3705E" w:rsidRDefault="00383888" w:rsidP="00383888">
      <w:pPr>
        <w:pStyle w:val="Heading2"/>
        <w:tabs>
          <w:tab w:val="left" w:pos="-2268"/>
        </w:tabs>
        <w:rPr>
          <w:b/>
          <w:szCs w:val="24"/>
        </w:rPr>
      </w:pPr>
      <w:bookmarkStart w:id="119" w:name="_Toc293334853"/>
      <w:bookmarkStart w:id="120" w:name="_Toc298920435"/>
      <w:bookmarkStart w:id="121" w:name="_Toc310950816"/>
      <w:bookmarkStart w:id="122" w:name="_Toc356567802"/>
      <w:bookmarkStart w:id="123" w:name="_Toc358816740"/>
      <w:r w:rsidRPr="00C3705E">
        <w:rPr>
          <w:b/>
          <w:szCs w:val="24"/>
        </w:rPr>
        <w:lastRenderedPageBreak/>
        <w:t>APÉNDICE D</w:t>
      </w:r>
      <w:r w:rsidRPr="00C3705E">
        <w:rPr>
          <w:b/>
          <w:szCs w:val="24"/>
        </w:rPr>
        <w:br/>
      </w:r>
      <w:bookmarkEnd w:id="119"/>
      <w:bookmarkEnd w:id="120"/>
      <w:bookmarkEnd w:id="121"/>
      <w:bookmarkEnd w:id="122"/>
      <w:r w:rsidRPr="00C3705E">
        <w:rPr>
          <w:b/>
          <w:szCs w:val="24"/>
        </w:rPr>
        <w:t>FÓRMULAS DE FLEXIBILIDAD</w:t>
      </w:r>
      <w:bookmarkEnd w:id="123"/>
    </w:p>
    <w:p w:rsidR="00383888" w:rsidRPr="000615AB" w:rsidRDefault="00383888" w:rsidP="00383888">
      <w:pPr>
        <w:rPr>
          <w:sz w:val="20"/>
        </w:rPr>
      </w:pPr>
    </w:p>
    <w:p w:rsidR="00383888" w:rsidRPr="006A15F5" w:rsidRDefault="00383888" w:rsidP="006A15F5">
      <w:pPr>
        <w:rPr>
          <w:sz w:val="20"/>
        </w:rPr>
      </w:pPr>
      <w:r w:rsidRPr="006A15F5">
        <w:rPr>
          <w:sz w:val="20"/>
        </w:rPr>
        <w:t>GENERALIDADES</w:t>
      </w:r>
    </w:p>
    <w:p w:rsidR="00383888" w:rsidRPr="000615AB" w:rsidRDefault="00383888" w:rsidP="00383888">
      <w:pPr>
        <w:jc w:val="both"/>
        <w:rPr>
          <w:sz w:val="20"/>
        </w:rPr>
      </w:pPr>
    </w:p>
    <w:p w:rsidR="00383888" w:rsidRPr="000615AB" w:rsidRDefault="00383888" w:rsidP="00383888">
      <w:pPr>
        <w:jc w:val="both"/>
        <w:rPr>
          <w:sz w:val="20"/>
        </w:rPr>
      </w:pPr>
      <w:r w:rsidRPr="000615AB">
        <w:rPr>
          <w:sz w:val="20"/>
        </w:rPr>
        <w:t>Las fórmulas de flexibilidad constituyen el mecanismo que permite introducir variaciones en los niveles de recursos financieros asignados a los sistemas de protección mundial (del PCT, de Madrid, de La Haya) para reflejar las variaciones en el volumen global de actividades de registro que no hayan sido previstas en el presupuesto.  Las fórmulas de flexibilidad correspondientes a los sistemas del PCT, de Madrid y de La Haya fueron revisadas y aprobadas por sus respectivas Asambleas, reunidas del 24 de septiembre al 3 de Octubre de 2007.</w:t>
      </w:r>
    </w:p>
    <w:p w:rsidR="00383888" w:rsidRPr="000615AB" w:rsidRDefault="00383888" w:rsidP="00383888">
      <w:pPr>
        <w:jc w:val="both"/>
        <w:rPr>
          <w:sz w:val="20"/>
        </w:rPr>
      </w:pPr>
    </w:p>
    <w:p w:rsidR="00383888" w:rsidRPr="000615AB" w:rsidRDefault="00383888" w:rsidP="00383888">
      <w:pPr>
        <w:jc w:val="both"/>
        <w:rPr>
          <w:sz w:val="20"/>
        </w:rPr>
      </w:pPr>
    </w:p>
    <w:p w:rsidR="00383888" w:rsidRPr="006A15F5" w:rsidRDefault="00383888" w:rsidP="006A15F5">
      <w:pPr>
        <w:rPr>
          <w:sz w:val="20"/>
        </w:rPr>
      </w:pPr>
      <w:r w:rsidRPr="006A15F5">
        <w:rPr>
          <w:sz w:val="20"/>
        </w:rPr>
        <w:t>SISTEMA DEL PCT</w:t>
      </w:r>
    </w:p>
    <w:p w:rsidR="00383888" w:rsidRPr="000615AB" w:rsidRDefault="00383888" w:rsidP="00383888">
      <w:pPr>
        <w:jc w:val="both"/>
        <w:rPr>
          <w:sz w:val="20"/>
        </w:rPr>
      </w:pPr>
    </w:p>
    <w:p w:rsidR="00383888" w:rsidRPr="00D22B96" w:rsidRDefault="00383888" w:rsidP="00383888">
      <w:pPr>
        <w:jc w:val="both"/>
        <w:rPr>
          <w:sz w:val="20"/>
        </w:rPr>
      </w:pPr>
      <w:r w:rsidRPr="000615AB">
        <w:rPr>
          <w:sz w:val="20"/>
        </w:rPr>
        <w:t>Para el sistema del PCT, la fórmula de flexibilidad revisada se describe en el documento PCT/A/36/5 y fue aprobada por la Asamblea del PCT, como se indica en el documento PCT/A/36/13.  Tal como consta en estos documentos, la fórmula de flexibilidad para el PCT fue revisada para reflejar una variación presupuestaria de 341.870 francos suizos por cada 1.000 solicitudes internacionales del PCT no previstas en el presupuesto.  En la fórmula revisada, las variaciones en el número de solicitudes ya no están vinculadas a las variaciones en el número de puestos de plantilla, como era el caso anteriormente.  En cambio, con arreglo a esta fórmula, la propuesta es modificar los recursos globales asignados a los programas en cuestión para utilizar tanto recursos de personal (puestos de plantilla, empleados temporeros, empleados con contratos derivados de acuerdos de servicios especiales, etc.) como recursos no relativos al personal (por ejemplo, contratos de subcontratación externa).  Los ajustes se asignan a la administración del sistema del PCT y a los servicios de apoyo en una proporción del 87,5% y del 12,5%, respectivamente</w:t>
      </w:r>
      <w:r w:rsidRPr="00D22B96">
        <w:rPr>
          <w:sz w:val="20"/>
        </w:rPr>
        <w:t>.</w:t>
      </w:r>
    </w:p>
    <w:p w:rsidR="00383888" w:rsidRPr="000615AB" w:rsidRDefault="00383888" w:rsidP="00383888">
      <w:pPr>
        <w:jc w:val="both"/>
        <w:rPr>
          <w:sz w:val="20"/>
        </w:rPr>
      </w:pPr>
    </w:p>
    <w:p w:rsidR="00383888" w:rsidRPr="000615AB" w:rsidRDefault="00383888" w:rsidP="00383888">
      <w:pPr>
        <w:jc w:val="both"/>
        <w:rPr>
          <w:sz w:val="20"/>
        </w:rPr>
      </w:pPr>
    </w:p>
    <w:p w:rsidR="00383888" w:rsidRPr="006A15F5" w:rsidRDefault="00383888" w:rsidP="006A15F5">
      <w:pPr>
        <w:rPr>
          <w:sz w:val="20"/>
        </w:rPr>
      </w:pPr>
      <w:r w:rsidRPr="006A15F5">
        <w:rPr>
          <w:sz w:val="20"/>
        </w:rPr>
        <w:t>SISTEMA DE MADRID</w:t>
      </w:r>
    </w:p>
    <w:p w:rsidR="00383888" w:rsidRPr="000615AB" w:rsidRDefault="00383888" w:rsidP="00383888">
      <w:pPr>
        <w:jc w:val="both"/>
        <w:rPr>
          <w:sz w:val="20"/>
        </w:rPr>
      </w:pPr>
    </w:p>
    <w:p w:rsidR="00383888" w:rsidRPr="000615AB" w:rsidRDefault="00383888" w:rsidP="00383888">
      <w:pPr>
        <w:jc w:val="both"/>
        <w:rPr>
          <w:sz w:val="20"/>
        </w:rPr>
      </w:pPr>
      <w:r w:rsidRPr="000615AB">
        <w:rPr>
          <w:sz w:val="20"/>
        </w:rPr>
        <w:t>Para el sistema de Madrid, la fórmula de flexibilidad revisada se describe en el documento MM/A/38/5 y fue aprobada por la Asamblea de Madrid, como se indica en el documento MM/A/38/6.  La nueva fórmula permite efectuar ajustes en el presupuesto de la Unión de Madrid correspondientes a 197.060 francos suizos por cada variación de 500 registros o renovaciones inscritos, en comparación con las estimaciones iniciales aprobadas.  Con arreglo a esta fórmula, los ajustes ya no se relacionan únicamente con los puestos de plantilla;  en cambio, se realizan ajustes en la totalidad de los recursos financieros asignados a los programas directamente relacionados con la ejecución del volumen de trabajo resultante.  Estos pueden ser recursos de personal (puestos de plantilla, empleados temporeros, etc.) y recursos no relativos al personal (por ejemplo, contratos de subcontratación externa).  Los ajustes se asignan a la administración del Registro Internacional de Marcas y a los servicios de apoyo en una proporción del 87,5% y del 12,5%, respectivamente.</w:t>
      </w:r>
    </w:p>
    <w:p w:rsidR="00383888" w:rsidRPr="000615AB" w:rsidRDefault="00383888" w:rsidP="00383888">
      <w:pPr>
        <w:jc w:val="both"/>
        <w:rPr>
          <w:sz w:val="20"/>
        </w:rPr>
      </w:pPr>
    </w:p>
    <w:p w:rsidR="00383888" w:rsidRPr="000615AB" w:rsidRDefault="00383888" w:rsidP="00383888">
      <w:pPr>
        <w:jc w:val="both"/>
        <w:rPr>
          <w:sz w:val="20"/>
        </w:rPr>
      </w:pPr>
    </w:p>
    <w:p w:rsidR="00383888" w:rsidRPr="006A15F5" w:rsidRDefault="00383888" w:rsidP="006A15F5">
      <w:pPr>
        <w:rPr>
          <w:sz w:val="20"/>
        </w:rPr>
      </w:pPr>
      <w:r w:rsidRPr="006A15F5">
        <w:rPr>
          <w:sz w:val="20"/>
        </w:rPr>
        <w:t>SISTEMA DE LA HAYA</w:t>
      </w:r>
    </w:p>
    <w:p w:rsidR="00383888" w:rsidRPr="000615AB" w:rsidRDefault="00383888" w:rsidP="00383888">
      <w:pPr>
        <w:jc w:val="both"/>
        <w:rPr>
          <w:sz w:val="20"/>
        </w:rPr>
      </w:pPr>
    </w:p>
    <w:p w:rsidR="00383888" w:rsidRPr="00AE2EB2" w:rsidRDefault="00383888" w:rsidP="00383888">
      <w:pPr>
        <w:pStyle w:val="BodyText2"/>
        <w:keepNext w:val="0"/>
        <w:rPr>
          <w:rFonts w:cs="Arial"/>
          <w:lang w:val="es-ES"/>
        </w:rPr>
      </w:pPr>
      <w:r w:rsidRPr="00AE2EB2">
        <w:rPr>
          <w:rFonts w:cs="Arial"/>
          <w:lang w:val="es-ES"/>
        </w:rPr>
        <w:t>Para el sistema de la Haya, la fórmula de flexibilidad revisada se describe en el documento H/A/24/3 y fue aprobada por la Asamblea de la Haya, tal como consta en el documento H/A/24/4.  La nueva fórmula prevé efectuar ajustes en el presupuesto de la Unión de la Haya por un importe de 99.024 francos suizos por cada variación de 300 registros o renovaciones inscritos en el Registro de la Unión de la Haya, en comparación con las estimaciones iniciales aprobadas.  Los recursos pueden ser de personal o no relativos al personal y estos se asignan a la administración del Registro de la Unión de la Haya y a los servicios de apoyo en una proporción del 87,5% y del 12,5%, respectivamente.</w:t>
      </w:r>
    </w:p>
    <w:p w:rsidR="00383888" w:rsidRPr="000615AB" w:rsidRDefault="00383888" w:rsidP="00383888">
      <w:pPr>
        <w:jc w:val="both"/>
        <w:rPr>
          <w:sz w:val="20"/>
        </w:rPr>
      </w:pPr>
    </w:p>
    <w:p w:rsidR="00383888" w:rsidRPr="000615AB" w:rsidRDefault="00383888" w:rsidP="00383888">
      <w:pPr>
        <w:jc w:val="both"/>
        <w:rPr>
          <w:sz w:val="20"/>
        </w:rPr>
      </w:pPr>
    </w:p>
    <w:p w:rsidR="00383888" w:rsidRPr="000615AB" w:rsidRDefault="00383888" w:rsidP="00383888">
      <w:pPr>
        <w:jc w:val="right"/>
        <w:rPr>
          <w:sz w:val="20"/>
        </w:rPr>
      </w:pPr>
    </w:p>
    <w:p w:rsidR="00383888" w:rsidRPr="00C3705E" w:rsidRDefault="00383888" w:rsidP="00383888">
      <w:pPr>
        <w:pStyle w:val="Heading2"/>
        <w:tabs>
          <w:tab w:val="left" w:pos="-2268"/>
        </w:tabs>
        <w:rPr>
          <w:b/>
          <w:szCs w:val="24"/>
        </w:rPr>
      </w:pPr>
      <w:r w:rsidRPr="000615AB">
        <w:br w:type="page"/>
      </w:r>
      <w:bookmarkStart w:id="124" w:name="_Toc293334854"/>
      <w:bookmarkStart w:id="125" w:name="_Toc298920436"/>
      <w:bookmarkStart w:id="126" w:name="_Toc310950817"/>
      <w:bookmarkStart w:id="127" w:name="_Toc356567803"/>
      <w:bookmarkStart w:id="128" w:name="_Toc358816741"/>
      <w:r w:rsidRPr="00C3705E">
        <w:rPr>
          <w:b/>
          <w:szCs w:val="24"/>
        </w:rPr>
        <w:lastRenderedPageBreak/>
        <w:t>APÉNDICE E</w:t>
      </w:r>
      <w:r w:rsidRPr="00C3705E">
        <w:rPr>
          <w:b/>
          <w:szCs w:val="24"/>
        </w:rPr>
        <w:br/>
      </w:r>
      <w:bookmarkEnd w:id="124"/>
      <w:bookmarkEnd w:id="125"/>
      <w:bookmarkEnd w:id="126"/>
      <w:bookmarkEnd w:id="127"/>
      <w:r w:rsidRPr="00C3705E">
        <w:rPr>
          <w:b/>
          <w:szCs w:val="24"/>
        </w:rPr>
        <w:t>SIGLAS Y ABREVIATURAS EMPLEADAS EN EL DOCUMENTO</w:t>
      </w:r>
      <w:bookmarkEnd w:id="128"/>
      <w:r w:rsidRPr="00C3705E">
        <w:rPr>
          <w:b/>
          <w:szCs w:val="24"/>
        </w:rPr>
        <w:t xml:space="preserve"> </w:t>
      </w:r>
    </w:p>
    <w:p w:rsidR="00383888" w:rsidRPr="000615AB" w:rsidRDefault="00383888" w:rsidP="00383888">
      <w:pPr>
        <w:tabs>
          <w:tab w:val="left" w:pos="1980"/>
          <w:tab w:val="left" w:pos="3261"/>
        </w:tabs>
        <w:spacing w:line="280" w:lineRule="exact"/>
        <w:ind w:left="2268" w:hanging="2268"/>
        <w:jc w:val="both"/>
        <w:rPr>
          <w:sz w:val="20"/>
        </w:rPr>
      </w:pPr>
    </w:p>
    <w:p w:rsidR="00383888" w:rsidRPr="000615AB" w:rsidRDefault="00383888" w:rsidP="00383888">
      <w:pPr>
        <w:tabs>
          <w:tab w:val="left" w:pos="1980"/>
          <w:tab w:val="left" w:pos="3261"/>
        </w:tabs>
        <w:spacing w:line="280" w:lineRule="exact"/>
        <w:ind w:left="2268" w:hanging="2268"/>
        <w:jc w:val="both"/>
        <w:rPr>
          <w:b/>
          <w:sz w:val="20"/>
        </w:rPr>
      </w:pPr>
    </w:p>
    <w:tbl>
      <w:tblPr>
        <w:tblW w:w="0" w:type="auto"/>
        <w:tblInd w:w="108" w:type="dxa"/>
        <w:tblLook w:val="04A0" w:firstRow="1" w:lastRow="0" w:firstColumn="1" w:lastColumn="0" w:noHBand="0" w:noVBand="1"/>
      </w:tblPr>
      <w:tblGrid>
        <w:gridCol w:w="1985"/>
        <w:gridCol w:w="7194"/>
      </w:tblGrid>
      <w:tr w:rsidR="00383888" w:rsidRPr="000615AB" w:rsidTr="00B47699">
        <w:tc>
          <w:tcPr>
            <w:tcW w:w="1985" w:type="dxa"/>
            <w:shd w:val="clear" w:color="auto" w:fill="auto"/>
          </w:tcPr>
          <w:p w:rsidR="00383888" w:rsidRPr="000615AB" w:rsidRDefault="00383888" w:rsidP="00B47699">
            <w:pPr>
              <w:widowControl w:val="0"/>
              <w:tabs>
                <w:tab w:val="left" w:pos="2127"/>
              </w:tabs>
              <w:rPr>
                <w:sz w:val="20"/>
              </w:rPr>
            </w:pPr>
            <w:r w:rsidRPr="000615AB">
              <w:rPr>
                <w:b/>
                <w:bCs/>
                <w:sz w:val="20"/>
              </w:rPr>
              <w:t>A</w:t>
            </w:r>
            <w:r w:rsidRPr="0016374A">
              <w:rPr>
                <w:bCs/>
                <w:sz w:val="20"/>
              </w:rPr>
              <w:t>.</w:t>
            </w:r>
            <w:r>
              <w:rPr>
                <w:bCs/>
                <w:sz w:val="20"/>
              </w:rPr>
              <w:t>D.</w:t>
            </w:r>
          </w:p>
        </w:tc>
        <w:tc>
          <w:tcPr>
            <w:tcW w:w="7194" w:type="dxa"/>
            <w:shd w:val="clear" w:color="auto" w:fill="auto"/>
          </w:tcPr>
          <w:p w:rsidR="00383888" w:rsidRPr="000615AB" w:rsidRDefault="00383888" w:rsidP="00B47699">
            <w:pPr>
              <w:widowControl w:val="0"/>
              <w:tabs>
                <w:tab w:val="left" w:pos="2127"/>
              </w:tabs>
              <w:rPr>
                <w:sz w:val="20"/>
              </w:rPr>
            </w:pPr>
            <w:r w:rsidRPr="000615AB">
              <w:rPr>
                <w:sz w:val="20"/>
              </w:rPr>
              <w:t>Agenda para el Desarrollo</w:t>
            </w:r>
          </w:p>
        </w:tc>
      </w:tr>
      <w:tr w:rsidR="00383888" w:rsidRPr="000615AB" w:rsidTr="00B47699">
        <w:tc>
          <w:tcPr>
            <w:tcW w:w="1985" w:type="dxa"/>
            <w:shd w:val="clear" w:color="auto" w:fill="auto"/>
          </w:tcPr>
          <w:p w:rsidR="00383888" w:rsidRPr="000615AB" w:rsidRDefault="00383888" w:rsidP="00B47699">
            <w:pPr>
              <w:widowControl w:val="0"/>
              <w:tabs>
                <w:tab w:val="left" w:pos="2127"/>
              </w:tabs>
              <w:rPr>
                <w:sz w:val="20"/>
              </w:rPr>
            </w:pPr>
            <w:r w:rsidRPr="000615AB">
              <w:rPr>
                <w:sz w:val="20"/>
              </w:rPr>
              <w:t>ACE</w:t>
            </w:r>
          </w:p>
        </w:tc>
        <w:tc>
          <w:tcPr>
            <w:tcW w:w="7194" w:type="dxa"/>
            <w:shd w:val="clear" w:color="auto" w:fill="auto"/>
          </w:tcPr>
          <w:p w:rsidR="00383888" w:rsidRPr="000615AB" w:rsidRDefault="00383888" w:rsidP="00B47699">
            <w:pPr>
              <w:widowControl w:val="0"/>
              <w:tabs>
                <w:tab w:val="left" w:pos="2127"/>
              </w:tabs>
              <w:rPr>
                <w:sz w:val="20"/>
              </w:rPr>
            </w:pPr>
            <w:r w:rsidRPr="000615AB">
              <w:rPr>
                <w:sz w:val="20"/>
              </w:rPr>
              <w:t>Comité Asesor sobre Observancia</w:t>
            </w:r>
          </w:p>
        </w:tc>
      </w:tr>
      <w:tr w:rsidR="00383888" w:rsidRPr="000615AB" w:rsidTr="00B47699">
        <w:tc>
          <w:tcPr>
            <w:tcW w:w="1985" w:type="dxa"/>
            <w:shd w:val="clear" w:color="auto" w:fill="auto"/>
          </w:tcPr>
          <w:p w:rsidR="00383888" w:rsidRPr="000615AB" w:rsidRDefault="00383888" w:rsidP="00B47699">
            <w:pPr>
              <w:widowControl w:val="0"/>
              <w:tabs>
                <w:tab w:val="left" w:pos="2127"/>
              </w:tabs>
              <w:rPr>
                <w:sz w:val="20"/>
              </w:rPr>
            </w:pPr>
            <w:r w:rsidRPr="000615AB">
              <w:rPr>
                <w:sz w:val="20"/>
              </w:rPr>
              <w:t xml:space="preserve">AGICOA </w:t>
            </w:r>
          </w:p>
        </w:tc>
        <w:tc>
          <w:tcPr>
            <w:tcW w:w="7194" w:type="dxa"/>
            <w:shd w:val="clear" w:color="auto" w:fill="auto"/>
          </w:tcPr>
          <w:p w:rsidR="00383888" w:rsidRPr="000615AB" w:rsidRDefault="00383888" w:rsidP="00B47699">
            <w:pPr>
              <w:widowControl w:val="0"/>
              <w:tabs>
                <w:tab w:val="left" w:pos="2127"/>
              </w:tabs>
              <w:rPr>
                <w:sz w:val="20"/>
              </w:rPr>
            </w:pPr>
            <w:r w:rsidRPr="000615AB">
              <w:rPr>
                <w:sz w:val="20"/>
              </w:rPr>
              <w:t>Asociación para la Gestión Internacional y Colectiva de Obras Audiovisuales</w:t>
            </w:r>
          </w:p>
        </w:tc>
      </w:tr>
      <w:tr w:rsidR="00383888" w:rsidRPr="000615AB" w:rsidTr="00B47699">
        <w:tc>
          <w:tcPr>
            <w:tcW w:w="1985" w:type="dxa"/>
            <w:shd w:val="clear" w:color="auto" w:fill="auto"/>
          </w:tcPr>
          <w:p w:rsidR="00383888" w:rsidRPr="000615AB" w:rsidRDefault="00383888" w:rsidP="00B47699">
            <w:pPr>
              <w:widowControl w:val="0"/>
              <w:tabs>
                <w:tab w:val="left" w:pos="2127"/>
              </w:tabs>
              <w:rPr>
                <w:sz w:val="20"/>
              </w:rPr>
            </w:pPr>
            <w:r w:rsidRPr="000615AB">
              <w:rPr>
                <w:sz w:val="20"/>
              </w:rPr>
              <w:t xml:space="preserve">aRDi </w:t>
            </w:r>
          </w:p>
        </w:tc>
        <w:tc>
          <w:tcPr>
            <w:tcW w:w="7194" w:type="dxa"/>
            <w:shd w:val="clear" w:color="auto" w:fill="auto"/>
          </w:tcPr>
          <w:p w:rsidR="00383888" w:rsidRPr="000615AB" w:rsidRDefault="00383888" w:rsidP="00B47699">
            <w:pPr>
              <w:widowControl w:val="0"/>
              <w:tabs>
                <w:tab w:val="left" w:pos="2127"/>
              </w:tabs>
              <w:rPr>
                <w:sz w:val="20"/>
              </w:rPr>
            </w:pPr>
            <w:r w:rsidRPr="000615AB">
              <w:rPr>
                <w:sz w:val="20"/>
              </w:rPr>
              <w:t>Acceso a la Investigación para el Desarrollo y la Innovación</w:t>
            </w:r>
          </w:p>
        </w:tc>
      </w:tr>
      <w:tr w:rsidR="00383888" w:rsidRPr="000615AB" w:rsidTr="00B47699">
        <w:tc>
          <w:tcPr>
            <w:tcW w:w="1985" w:type="dxa"/>
            <w:shd w:val="clear" w:color="auto" w:fill="auto"/>
          </w:tcPr>
          <w:p w:rsidR="00383888" w:rsidRPr="000615AB" w:rsidRDefault="00383888" w:rsidP="00B47699">
            <w:pPr>
              <w:widowControl w:val="0"/>
              <w:tabs>
                <w:tab w:val="left" w:pos="2127"/>
              </w:tabs>
              <w:rPr>
                <w:sz w:val="20"/>
              </w:rPr>
            </w:pPr>
            <w:r w:rsidRPr="000615AB">
              <w:rPr>
                <w:sz w:val="20"/>
              </w:rPr>
              <w:t xml:space="preserve">ASE </w:t>
            </w:r>
          </w:p>
        </w:tc>
        <w:tc>
          <w:tcPr>
            <w:tcW w:w="7194" w:type="dxa"/>
            <w:shd w:val="clear" w:color="auto" w:fill="auto"/>
          </w:tcPr>
          <w:p w:rsidR="00383888" w:rsidRPr="000615AB" w:rsidRDefault="00383888" w:rsidP="00B47699">
            <w:pPr>
              <w:widowControl w:val="0"/>
              <w:tabs>
                <w:tab w:val="left" w:pos="2127"/>
              </w:tabs>
              <w:rPr>
                <w:sz w:val="20"/>
              </w:rPr>
            </w:pPr>
            <w:r w:rsidRPr="000615AB">
              <w:rPr>
                <w:sz w:val="20"/>
              </w:rPr>
              <w:t>Acuerdos de Servicios Especiales</w:t>
            </w:r>
          </w:p>
        </w:tc>
      </w:tr>
      <w:tr w:rsidR="00383888" w:rsidRPr="000615AB" w:rsidTr="00B47699">
        <w:tc>
          <w:tcPr>
            <w:tcW w:w="1985" w:type="dxa"/>
            <w:shd w:val="clear" w:color="auto" w:fill="auto"/>
          </w:tcPr>
          <w:p w:rsidR="00383888" w:rsidRPr="000615AB" w:rsidRDefault="00383888" w:rsidP="00B47699">
            <w:pPr>
              <w:widowControl w:val="0"/>
              <w:tabs>
                <w:tab w:val="left" w:pos="2127"/>
              </w:tabs>
              <w:rPr>
                <w:sz w:val="20"/>
              </w:rPr>
            </w:pPr>
            <w:r w:rsidRPr="000615AB">
              <w:rPr>
                <w:sz w:val="20"/>
              </w:rPr>
              <w:t>ASEAN</w:t>
            </w:r>
            <w:r w:rsidRPr="000615AB">
              <w:rPr>
                <w:bCs/>
                <w:sz w:val="20"/>
              </w:rPr>
              <w:t xml:space="preserve"> </w:t>
            </w:r>
          </w:p>
        </w:tc>
        <w:tc>
          <w:tcPr>
            <w:tcW w:w="7194" w:type="dxa"/>
            <w:shd w:val="clear" w:color="auto" w:fill="auto"/>
          </w:tcPr>
          <w:p w:rsidR="00383888" w:rsidRPr="000615AB" w:rsidRDefault="00383888" w:rsidP="00B47699">
            <w:pPr>
              <w:widowControl w:val="0"/>
              <w:tabs>
                <w:tab w:val="left" w:pos="2127"/>
              </w:tabs>
              <w:rPr>
                <w:sz w:val="20"/>
              </w:rPr>
            </w:pPr>
            <w:r w:rsidRPr="000615AB">
              <w:rPr>
                <w:sz w:val="20"/>
              </w:rPr>
              <w:t>Asociación de Naciones del Asia Sudoriental</w:t>
            </w:r>
          </w:p>
        </w:tc>
      </w:tr>
      <w:tr w:rsidR="00383888" w:rsidRPr="000615AB" w:rsidTr="00B47699">
        <w:tc>
          <w:tcPr>
            <w:tcW w:w="1985" w:type="dxa"/>
            <w:shd w:val="clear" w:color="auto" w:fill="auto"/>
          </w:tcPr>
          <w:p w:rsidR="00383888" w:rsidRPr="000615AB" w:rsidRDefault="00383888" w:rsidP="00B47699">
            <w:pPr>
              <w:widowControl w:val="0"/>
              <w:tabs>
                <w:tab w:val="left" w:pos="2127"/>
              </w:tabs>
              <w:rPr>
                <w:sz w:val="20"/>
              </w:rPr>
            </w:pPr>
            <w:r w:rsidRPr="000615AB">
              <w:rPr>
                <w:sz w:val="20"/>
              </w:rPr>
              <w:t xml:space="preserve">ASPI </w:t>
            </w:r>
          </w:p>
        </w:tc>
        <w:tc>
          <w:tcPr>
            <w:tcW w:w="7194" w:type="dxa"/>
            <w:shd w:val="clear" w:color="auto" w:fill="auto"/>
          </w:tcPr>
          <w:p w:rsidR="00383888" w:rsidRPr="000615AB" w:rsidRDefault="00383888" w:rsidP="00B47699">
            <w:pPr>
              <w:widowControl w:val="0"/>
              <w:tabs>
                <w:tab w:val="left" w:pos="2127"/>
              </w:tabs>
              <w:rPr>
                <w:sz w:val="20"/>
              </w:rPr>
            </w:pPr>
            <w:r w:rsidRPr="000615AB">
              <w:rPr>
                <w:sz w:val="20"/>
              </w:rPr>
              <w:t>Acceso a la Información Especializada sobre Patentes</w:t>
            </w:r>
          </w:p>
        </w:tc>
      </w:tr>
      <w:tr w:rsidR="00383888" w:rsidRPr="000615AB" w:rsidTr="00B47699">
        <w:tc>
          <w:tcPr>
            <w:tcW w:w="1985" w:type="dxa"/>
            <w:shd w:val="clear" w:color="auto" w:fill="auto"/>
          </w:tcPr>
          <w:p w:rsidR="00383888" w:rsidRPr="000615AB" w:rsidRDefault="00383888" w:rsidP="00B47699">
            <w:pPr>
              <w:widowControl w:val="0"/>
              <w:tabs>
                <w:tab w:val="left" w:pos="2127"/>
              </w:tabs>
              <w:spacing w:after="40"/>
              <w:rPr>
                <w:sz w:val="20"/>
              </w:rPr>
            </w:pPr>
          </w:p>
        </w:tc>
        <w:tc>
          <w:tcPr>
            <w:tcW w:w="7194" w:type="dxa"/>
            <w:shd w:val="clear" w:color="auto" w:fill="auto"/>
          </w:tcPr>
          <w:p w:rsidR="00383888" w:rsidRPr="000615AB" w:rsidRDefault="00383888" w:rsidP="00B47699">
            <w:pPr>
              <w:widowControl w:val="0"/>
              <w:tabs>
                <w:tab w:val="left" w:pos="2127"/>
              </w:tabs>
              <w:spacing w:after="40"/>
              <w:rPr>
                <w:sz w:val="20"/>
              </w:rPr>
            </w:pPr>
          </w:p>
        </w:tc>
      </w:tr>
      <w:tr w:rsidR="00383888" w:rsidRPr="000615AB" w:rsidTr="00B47699">
        <w:tc>
          <w:tcPr>
            <w:tcW w:w="1985" w:type="dxa"/>
            <w:shd w:val="clear" w:color="auto" w:fill="auto"/>
          </w:tcPr>
          <w:p w:rsidR="00383888" w:rsidRPr="000615AB" w:rsidRDefault="00383888" w:rsidP="00B47699">
            <w:pPr>
              <w:widowControl w:val="0"/>
              <w:tabs>
                <w:tab w:val="left" w:pos="2127"/>
              </w:tabs>
              <w:rPr>
                <w:sz w:val="20"/>
              </w:rPr>
            </w:pPr>
            <w:r w:rsidRPr="000615AB">
              <w:rPr>
                <w:b/>
                <w:sz w:val="20"/>
              </w:rPr>
              <w:t>C</w:t>
            </w:r>
            <w:r w:rsidRPr="000615AB">
              <w:rPr>
                <w:sz w:val="20"/>
              </w:rPr>
              <w:t xml:space="preserve">API </w:t>
            </w:r>
          </w:p>
        </w:tc>
        <w:tc>
          <w:tcPr>
            <w:tcW w:w="7194" w:type="dxa"/>
            <w:shd w:val="clear" w:color="auto" w:fill="auto"/>
          </w:tcPr>
          <w:p w:rsidR="00383888" w:rsidRPr="000615AB" w:rsidRDefault="00383888" w:rsidP="00B47699">
            <w:pPr>
              <w:widowControl w:val="0"/>
              <w:tabs>
                <w:tab w:val="left" w:pos="2127"/>
              </w:tabs>
              <w:rPr>
                <w:sz w:val="20"/>
              </w:rPr>
            </w:pPr>
            <w:r w:rsidRPr="000615AB">
              <w:rPr>
                <w:sz w:val="20"/>
              </w:rPr>
              <w:t>Comisión de Administración Pública Internacional</w:t>
            </w:r>
          </w:p>
        </w:tc>
      </w:tr>
      <w:tr w:rsidR="00383888" w:rsidRPr="000615AB" w:rsidTr="00B47699">
        <w:tc>
          <w:tcPr>
            <w:tcW w:w="1985" w:type="dxa"/>
            <w:shd w:val="clear" w:color="auto" w:fill="auto"/>
          </w:tcPr>
          <w:p w:rsidR="00383888" w:rsidRPr="000615AB" w:rsidRDefault="00383888" w:rsidP="00B47699">
            <w:pPr>
              <w:widowControl w:val="0"/>
              <w:tabs>
                <w:tab w:val="left" w:pos="2127"/>
              </w:tabs>
              <w:spacing w:after="40"/>
              <w:rPr>
                <w:sz w:val="20"/>
              </w:rPr>
            </w:pPr>
            <w:r w:rsidRPr="000615AB">
              <w:rPr>
                <w:bCs/>
                <w:sz w:val="20"/>
              </w:rPr>
              <w:t xml:space="preserve">CASE </w:t>
            </w:r>
          </w:p>
        </w:tc>
        <w:tc>
          <w:tcPr>
            <w:tcW w:w="7194" w:type="dxa"/>
            <w:shd w:val="clear" w:color="auto" w:fill="auto"/>
          </w:tcPr>
          <w:p w:rsidR="00383888" w:rsidRPr="000615AB" w:rsidRDefault="00383888" w:rsidP="00B47699">
            <w:pPr>
              <w:widowControl w:val="0"/>
              <w:tabs>
                <w:tab w:val="left" w:pos="2127"/>
              </w:tabs>
              <w:spacing w:after="40"/>
              <w:rPr>
                <w:bCs/>
                <w:sz w:val="20"/>
              </w:rPr>
            </w:pPr>
            <w:r w:rsidRPr="000615AB">
              <w:rPr>
                <w:bCs/>
                <w:sz w:val="20"/>
              </w:rPr>
              <w:t>Acceso Centralizado a la Búsqueda y el Examen</w:t>
            </w:r>
          </w:p>
        </w:tc>
      </w:tr>
      <w:tr w:rsidR="00383888" w:rsidRPr="000615AB" w:rsidTr="00B47699">
        <w:tc>
          <w:tcPr>
            <w:tcW w:w="1985" w:type="dxa"/>
            <w:shd w:val="clear" w:color="auto" w:fill="auto"/>
          </w:tcPr>
          <w:p w:rsidR="00383888" w:rsidRPr="000615AB" w:rsidRDefault="00383888" w:rsidP="00B47699">
            <w:pPr>
              <w:widowControl w:val="0"/>
              <w:tabs>
                <w:tab w:val="left" w:pos="2127"/>
              </w:tabs>
              <w:spacing w:after="40"/>
              <w:rPr>
                <w:sz w:val="20"/>
              </w:rPr>
            </w:pPr>
            <w:r w:rsidRPr="000615AB">
              <w:rPr>
                <w:sz w:val="20"/>
              </w:rPr>
              <w:t xml:space="preserve">CATI </w:t>
            </w:r>
          </w:p>
        </w:tc>
        <w:tc>
          <w:tcPr>
            <w:tcW w:w="7194" w:type="dxa"/>
            <w:shd w:val="clear" w:color="auto" w:fill="auto"/>
          </w:tcPr>
          <w:p w:rsidR="00383888" w:rsidRPr="000615AB" w:rsidRDefault="00383888" w:rsidP="00B47699">
            <w:pPr>
              <w:widowControl w:val="0"/>
              <w:tabs>
                <w:tab w:val="left" w:pos="2127"/>
              </w:tabs>
              <w:spacing w:after="40"/>
              <w:rPr>
                <w:sz w:val="20"/>
              </w:rPr>
            </w:pPr>
            <w:r w:rsidRPr="000615AB">
              <w:rPr>
                <w:sz w:val="20"/>
              </w:rPr>
              <w:t>Centros de apoyo a la tecnología y la innovación</w:t>
            </w:r>
          </w:p>
        </w:tc>
      </w:tr>
      <w:tr w:rsidR="00383888" w:rsidRPr="000615AB" w:rsidTr="00B47699">
        <w:tc>
          <w:tcPr>
            <w:tcW w:w="1985" w:type="dxa"/>
            <w:shd w:val="clear" w:color="auto" w:fill="auto"/>
          </w:tcPr>
          <w:p w:rsidR="00383888" w:rsidRPr="000615AB" w:rsidRDefault="00383888" w:rsidP="00B47699">
            <w:pPr>
              <w:widowControl w:val="0"/>
              <w:tabs>
                <w:tab w:val="left" w:pos="2127"/>
              </w:tabs>
              <w:spacing w:after="40"/>
              <w:rPr>
                <w:sz w:val="20"/>
              </w:rPr>
            </w:pPr>
            <w:r w:rsidRPr="000615AB">
              <w:rPr>
                <w:sz w:val="20"/>
              </w:rPr>
              <w:t xml:space="preserve">CC.TT. </w:t>
            </w:r>
          </w:p>
        </w:tc>
        <w:tc>
          <w:tcPr>
            <w:tcW w:w="7194" w:type="dxa"/>
            <w:shd w:val="clear" w:color="auto" w:fill="auto"/>
          </w:tcPr>
          <w:p w:rsidR="00383888" w:rsidRPr="000615AB" w:rsidRDefault="00383888" w:rsidP="00B47699">
            <w:pPr>
              <w:widowControl w:val="0"/>
              <w:tabs>
                <w:tab w:val="left" w:pos="2127"/>
              </w:tabs>
              <w:spacing w:after="40"/>
              <w:rPr>
                <w:sz w:val="20"/>
              </w:rPr>
            </w:pPr>
            <w:r w:rsidRPr="000615AB">
              <w:rPr>
                <w:sz w:val="20"/>
              </w:rPr>
              <w:t>Conocimientos tradicionales</w:t>
            </w:r>
          </w:p>
        </w:tc>
      </w:tr>
      <w:tr w:rsidR="00383888" w:rsidRPr="000615AB" w:rsidTr="00B47699">
        <w:tc>
          <w:tcPr>
            <w:tcW w:w="1985" w:type="dxa"/>
            <w:shd w:val="clear" w:color="auto" w:fill="auto"/>
          </w:tcPr>
          <w:p w:rsidR="00383888" w:rsidRPr="000615AB" w:rsidRDefault="00383888" w:rsidP="00B47699">
            <w:pPr>
              <w:widowControl w:val="0"/>
              <w:tabs>
                <w:tab w:val="left" w:pos="2127"/>
              </w:tabs>
              <w:spacing w:after="40"/>
              <w:rPr>
                <w:sz w:val="20"/>
              </w:rPr>
            </w:pPr>
            <w:r w:rsidRPr="000615AB">
              <w:rPr>
                <w:bCs/>
                <w:sz w:val="20"/>
              </w:rPr>
              <w:t xml:space="preserve">CCIS </w:t>
            </w:r>
          </w:p>
        </w:tc>
        <w:tc>
          <w:tcPr>
            <w:tcW w:w="7194" w:type="dxa"/>
            <w:shd w:val="clear" w:color="auto" w:fill="auto"/>
          </w:tcPr>
          <w:p w:rsidR="00383888" w:rsidRPr="000615AB" w:rsidRDefault="00383888" w:rsidP="00B47699">
            <w:pPr>
              <w:widowControl w:val="0"/>
              <w:tabs>
                <w:tab w:val="left" w:pos="2127"/>
              </w:tabs>
              <w:spacing w:after="40"/>
              <w:rPr>
                <w:bCs/>
                <w:sz w:val="20"/>
              </w:rPr>
            </w:pPr>
            <w:r w:rsidRPr="000615AB">
              <w:rPr>
                <w:bCs/>
                <w:sz w:val="20"/>
              </w:rPr>
              <w:t>Comisión Consultiva Independiente de Supervisión</w:t>
            </w:r>
          </w:p>
        </w:tc>
      </w:tr>
      <w:tr w:rsidR="00383888" w:rsidRPr="000615AB" w:rsidTr="00B47699">
        <w:tc>
          <w:tcPr>
            <w:tcW w:w="1985" w:type="dxa"/>
            <w:shd w:val="clear" w:color="auto" w:fill="auto"/>
          </w:tcPr>
          <w:p w:rsidR="00383888" w:rsidRPr="000615AB" w:rsidRDefault="00383888" w:rsidP="008921D7">
            <w:pPr>
              <w:widowControl w:val="0"/>
              <w:tabs>
                <w:tab w:val="left" w:pos="2127"/>
              </w:tabs>
              <w:spacing w:after="40"/>
              <w:rPr>
                <w:sz w:val="20"/>
              </w:rPr>
            </w:pPr>
            <w:r w:rsidRPr="000615AB">
              <w:rPr>
                <w:sz w:val="20"/>
              </w:rPr>
              <w:t xml:space="preserve">ccTLD </w:t>
            </w:r>
          </w:p>
        </w:tc>
        <w:tc>
          <w:tcPr>
            <w:tcW w:w="7194" w:type="dxa"/>
            <w:shd w:val="clear" w:color="auto" w:fill="auto"/>
          </w:tcPr>
          <w:p w:rsidR="00383888" w:rsidRPr="000615AB" w:rsidRDefault="00383888" w:rsidP="008921D7">
            <w:pPr>
              <w:widowControl w:val="0"/>
              <w:tabs>
                <w:tab w:val="left" w:pos="2127"/>
              </w:tabs>
              <w:spacing w:after="40"/>
              <w:rPr>
                <w:sz w:val="20"/>
              </w:rPr>
            </w:pPr>
            <w:r w:rsidRPr="000615AB">
              <w:rPr>
                <w:sz w:val="20"/>
              </w:rPr>
              <w:t>Dominios de nivel superior correspondientes a códigos de países</w:t>
            </w:r>
          </w:p>
        </w:tc>
      </w:tr>
      <w:tr w:rsidR="00383888" w:rsidRPr="000615AB" w:rsidTr="00B47699">
        <w:tc>
          <w:tcPr>
            <w:tcW w:w="1985" w:type="dxa"/>
            <w:shd w:val="clear" w:color="auto" w:fill="auto"/>
          </w:tcPr>
          <w:p w:rsidR="00383888" w:rsidRPr="000615AB" w:rsidRDefault="00383888" w:rsidP="00B47699">
            <w:pPr>
              <w:pStyle w:val="BlockText"/>
              <w:widowControl w:val="0"/>
              <w:ind w:left="0" w:right="0" w:firstLine="0"/>
              <w:rPr>
                <w:rFonts w:ascii="Arial" w:hAnsi="Arial" w:cs="Arial"/>
                <w:sz w:val="20"/>
              </w:rPr>
            </w:pPr>
            <w:r w:rsidRPr="000615AB">
              <w:rPr>
                <w:rFonts w:ascii="Arial" w:hAnsi="Arial" w:cs="Arial"/>
                <w:sz w:val="20"/>
              </w:rPr>
              <w:t xml:space="preserve">CDIP </w:t>
            </w:r>
          </w:p>
        </w:tc>
        <w:tc>
          <w:tcPr>
            <w:tcW w:w="7194" w:type="dxa"/>
            <w:shd w:val="clear" w:color="auto" w:fill="auto"/>
          </w:tcPr>
          <w:p w:rsidR="00383888" w:rsidRPr="00AE2EB2" w:rsidRDefault="00383888" w:rsidP="00B47699">
            <w:pPr>
              <w:pStyle w:val="BlockText"/>
              <w:widowControl w:val="0"/>
              <w:ind w:left="0" w:right="0" w:firstLine="0"/>
              <w:rPr>
                <w:rFonts w:ascii="Arial" w:hAnsi="Arial" w:cs="Arial"/>
                <w:sz w:val="20"/>
                <w:lang w:val="es-ES"/>
              </w:rPr>
            </w:pPr>
            <w:r w:rsidRPr="00AE2EB2">
              <w:rPr>
                <w:rFonts w:ascii="Arial" w:hAnsi="Arial" w:cs="Arial"/>
                <w:sz w:val="20"/>
                <w:lang w:val="es-ES"/>
              </w:rPr>
              <w:t>Comité de Desarrollo y Propiedad Intelectual</w:t>
            </w:r>
          </w:p>
        </w:tc>
      </w:tr>
      <w:tr w:rsidR="00383888" w:rsidRPr="000615AB" w:rsidTr="00B47699">
        <w:tc>
          <w:tcPr>
            <w:tcW w:w="1985" w:type="dxa"/>
            <w:shd w:val="clear" w:color="auto" w:fill="auto"/>
          </w:tcPr>
          <w:p w:rsidR="00383888" w:rsidRPr="000615AB" w:rsidRDefault="00383888" w:rsidP="00B47699">
            <w:pPr>
              <w:pStyle w:val="BlockText"/>
              <w:widowControl w:val="0"/>
              <w:ind w:left="0" w:right="0" w:firstLine="0"/>
              <w:rPr>
                <w:rFonts w:ascii="Arial" w:hAnsi="Arial" w:cs="Arial"/>
                <w:sz w:val="20"/>
              </w:rPr>
            </w:pPr>
            <w:r w:rsidRPr="000615AB">
              <w:rPr>
                <w:rFonts w:ascii="Arial" w:hAnsi="Arial" w:cs="Arial"/>
                <w:sz w:val="20"/>
              </w:rPr>
              <w:t xml:space="preserve">CEI </w:t>
            </w:r>
          </w:p>
        </w:tc>
        <w:tc>
          <w:tcPr>
            <w:tcW w:w="7194" w:type="dxa"/>
            <w:shd w:val="clear" w:color="auto" w:fill="auto"/>
          </w:tcPr>
          <w:p w:rsidR="00383888" w:rsidRPr="000615AB" w:rsidRDefault="00383888" w:rsidP="00B47699">
            <w:pPr>
              <w:pStyle w:val="BlockText"/>
              <w:widowControl w:val="0"/>
              <w:ind w:left="0" w:right="0" w:firstLine="0"/>
              <w:rPr>
                <w:rFonts w:ascii="Arial" w:hAnsi="Arial" w:cs="Arial"/>
                <w:sz w:val="20"/>
              </w:rPr>
            </w:pPr>
            <w:r w:rsidRPr="000615AB">
              <w:rPr>
                <w:rFonts w:ascii="Arial" w:hAnsi="Arial" w:cs="Arial"/>
                <w:sz w:val="20"/>
              </w:rPr>
              <w:t>Comunidad de Estados Independientes</w:t>
            </w:r>
          </w:p>
        </w:tc>
      </w:tr>
      <w:tr w:rsidR="00383888" w:rsidRPr="000615AB" w:rsidTr="00B47699">
        <w:tc>
          <w:tcPr>
            <w:tcW w:w="1985" w:type="dxa"/>
            <w:shd w:val="clear" w:color="auto" w:fill="auto"/>
          </w:tcPr>
          <w:p w:rsidR="00383888" w:rsidRPr="000615AB" w:rsidRDefault="00383888" w:rsidP="00B47699">
            <w:pPr>
              <w:widowControl w:val="0"/>
              <w:tabs>
                <w:tab w:val="left" w:pos="2127"/>
              </w:tabs>
              <w:spacing w:after="40"/>
              <w:rPr>
                <w:sz w:val="20"/>
              </w:rPr>
            </w:pPr>
            <w:r w:rsidRPr="000615AB">
              <w:rPr>
                <w:sz w:val="20"/>
              </w:rPr>
              <w:t xml:space="preserve">CICE </w:t>
            </w:r>
          </w:p>
        </w:tc>
        <w:tc>
          <w:tcPr>
            <w:tcW w:w="7194" w:type="dxa"/>
            <w:shd w:val="clear" w:color="auto" w:fill="auto"/>
          </w:tcPr>
          <w:p w:rsidR="00383888" w:rsidRPr="000615AB" w:rsidRDefault="00383888" w:rsidP="00B47699">
            <w:pPr>
              <w:widowControl w:val="0"/>
              <w:tabs>
                <w:tab w:val="left" w:pos="2127"/>
              </w:tabs>
              <w:spacing w:after="40"/>
              <w:rPr>
                <w:sz w:val="20"/>
              </w:rPr>
            </w:pPr>
            <w:r w:rsidRPr="000615AB">
              <w:rPr>
                <w:sz w:val="20"/>
              </w:rPr>
              <w:t>Centro Internacional de Cálculo Electrónico</w:t>
            </w:r>
          </w:p>
        </w:tc>
      </w:tr>
      <w:tr w:rsidR="00383888" w:rsidRPr="000615AB" w:rsidTr="00B47699">
        <w:tc>
          <w:tcPr>
            <w:tcW w:w="1985" w:type="dxa"/>
            <w:shd w:val="clear" w:color="auto" w:fill="auto"/>
          </w:tcPr>
          <w:p w:rsidR="00383888" w:rsidRPr="000615AB" w:rsidRDefault="00383888" w:rsidP="00B47699">
            <w:pPr>
              <w:widowControl w:val="0"/>
              <w:tabs>
                <w:tab w:val="left" w:pos="2127"/>
              </w:tabs>
              <w:spacing w:after="40"/>
              <w:rPr>
                <w:sz w:val="20"/>
              </w:rPr>
            </w:pPr>
            <w:r w:rsidRPr="000615AB">
              <w:rPr>
                <w:sz w:val="20"/>
              </w:rPr>
              <w:t xml:space="preserve">CIG </w:t>
            </w:r>
          </w:p>
        </w:tc>
        <w:tc>
          <w:tcPr>
            <w:tcW w:w="7194" w:type="dxa"/>
            <w:shd w:val="clear" w:color="auto" w:fill="auto"/>
          </w:tcPr>
          <w:p w:rsidR="00383888" w:rsidRPr="000615AB" w:rsidRDefault="00383888" w:rsidP="00B47699">
            <w:pPr>
              <w:widowControl w:val="0"/>
              <w:tabs>
                <w:tab w:val="left" w:pos="2127"/>
              </w:tabs>
              <w:spacing w:after="40"/>
              <w:rPr>
                <w:sz w:val="20"/>
              </w:rPr>
            </w:pPr>
            <w:r w:rsidRPr="000615AB">
              <w:rPr>
                <w:sz w:val="20"/>
              </w:rPr>
              <w:t>Comité Intergubernamental sobre Propiedad Intelectual y Recursos Genéticos, Conocimientos Tradicionales y Folclore</w:t>
            </w:r>
          </w:p>
        </w:tc>
      </w:tr>
      <w:tr w:rsidR="00383888" w:rsidRPr="000615AB" w:rsidTr="00B47699">
        <w:tc>
          <w:tcPr>
            <w:tcW w:w="1985" w:type="dxa"/>
            <w:shd w:val="clear" w:color="auto" w:fill="auto"/>
          </w:tcPr>
          <w:p w:rsidR="00383888" w:rsidRPr="000615AB" w:rsidRDefault="00383888" w:rsidP="00B47699">
            <w:pPr>
              <w:widowControl w:val="0"/>
              <w:tabs>
                <w:tab w:val="left" w:pos="2127"/>
              </w:tabs>
              <w:spacing w:after="40"/>
              <w:rPr>
                <w:sz w:val="20"/>
              </w:rPr>
            </w:pPr>
            <w:r w:rsidRPr="000615AB">
              <w:rPr>
                <w:sz w:val="20"/>
              </w:rPr>
              <w:t xml:space="preserve">CIP </w:t>
            </w:r>
          </w:p>
        </w:tc>
        <w:tc>
          <w:tcPr>
            <w:tcW w:w="7194" w:type="dxa"/>
            <w:shd w:val="clear" w:color="auto" w:fill="auto"/>
          </w:tcPr>
          <w:p w:rsidR="00383888" w:rsidRPr="000615AB" w:rsidRDefault="00383888" w:rsidP="00B47699">
            <w:pPr>
              <w:widowControl w:val="0"/>
              <w:tabs>
                <w:tab w:val="left" w:pos="2127"/>
              </w:tabs>
              <w:spacing w:after="40"/>
              <w:rPr>
                <w:sz w:val="20"/>
              </w:rPr>
            </w:pPr>
            <w:r w:rsidRPr="000615AB">
              <w:rPr>
                <w:sz w:val="20"/>
              </w:rPr>
              <w:t>Clasificación Internacional de Patentes</w:t>
            </w:r>
          </w:p>
        </w:tc>
      </w:tr>
      <w:tr w:rsidR="00383888" w:rsidRPr="000615AB" w:rsidTr="00B47699">
        <w:tc>
          <w:tcPr>
            <w:tcW w:w="1985" w:type="dxa"/>
            <w:shd w:val="clear" w:color="auto" w:fill="auto"/>
          </w:tcPr>
          <w:p w:rsidR="00383888" w:rsidRPr="000615AB" w:rsidRDefault="00383888" w:rsidP="00B47699">
            <w:pPr>
              <w:widowControl w:val="0"/>
              <w:tabs>
                <w:tab w:val="left" w:pos="2127"/>
              </w:tabs>
              <w:spacing w:after="40"/>
              <w:rPr>
                <w:sz w:val="20"/>
              </w:rPr>
            </w:pPr>
            <w:r w:rsidRPr="000615AB">
              <w:rPr>
                <w:bCs/>
                <w:sz w:val="20"/>
              </w:rPr>
              <w:t xml:space="preserve">CLIR </w:t>
            </w:r>
          </w:p>
        </w:tc>
        <w:tc>
          <w:tcPr>
            <w:tcW w:w="7194" w:type="dxa"/>
            <w:shd w:val="clear" w:color="auto" w:fill="auto"/>
          </w:tcPr>
          <w:p w:rsidR="00383888" w:rsidRPr="000615AB" w:rsidRDefault="00383888" w:rsidP="00B47699">
            <w:pPr>
              <w:widowControl w:val="0"/>
              <w:tabs>
                <w:tab w:val="left" w:pos="2127"/>
              </w:tabs>
              <w:spacing w:after="40"/>
              <w:rPr>
                <w:bCs/>
                <w:sz w:val="20"/>
              </w:rPr>
            </w:pPr>
            <w:r w:rsidRPr="000615AB">
              <w:rPr>
                <w:bCs/>
                <w:i/>
                <w:sz w:val="20"/>
              </w:rPr>
              <w:t>Cross Lingual Information Retrieval</w:t>
            </w:r>
          </w:p>
        </w:tc>
      </w:tr>
      <w:tr w:rsidR="00383888" w:rsidRPr="000615AB" w:rsidTr="00B47699">
        <w:tc>
          <w:tcPr>
            <w:tcW w:w="1985" w:type="dxa"/>
            <w:shd w:val="clear" w:color="auto" w:fill="auto"/>
          </w:tcPr>
          <w:p w:rsidR="00383888" w:rsidRPr="000615AB" w:rsidRDefault="00383888" w:rsidP="00B47699">
            <w:pPr>
              <w:widowControl w:val="0"/>
              <w:tabs>
                <w:tab w:val="left" w:pos="2127"/>
              </w:tabs>
              <w:spacing w:after="40"/>
              <w:rPr>
                <w:sz w:val="20"/>
              </w:rPr>
            </w:pPr>
            <w:r w:rsidRPr="000615AB">
              <w:rPr>
                <w:sz w:val="20"/>
              </w:rPr>
              <w:t xml:space="preserve">CMNUCC </w:t>
            </w:r>
          </w:p>
        </w:tc>
        <w:tc>
          <w:tcPr>
            <w:tcW w:w="7194" w:type="dxa"/>
            <w:shd w:val="clear" w:color="auto" w:fill="auto"/>
          </w:tcPr>
          <w:p w:rsidR="00383888" w:rsidRPr="000615AB" w:rsidRDefault="00383888" w:rsidP="00B47699">
            <w:pPr>
              <w:widowControl w:val="0"/>
              <w:tabs>
                <w:tab w:val="left" w:pos="2127"/>
              </w:tabs>
              <w:spacing w:after="40"/>
              <w:rPr>
                <w:sz w:val="20"/>
              </w:rPr>
            </w:pPr>
            <w:r w:rsidRPr="000615AB">
              <w:rPr>
                <w:sz w:val="20"/>
              </w:rPr>
              <w:t>Convención Marco de las Naciones Unidas sobre el Cambio Climático</w:t>
            </w:r>
          </w:p>
        </w:tc>
      </w:tr>
      <w:tr w:rsidR="00383888" w:rsidRPr="000615AB" w:rsidTr="00B47699">
        <w:tc>
          <w:tcPr>
            <w:tcW w:w="1985" w:type="dxa"/>
            <w:shd w:val="clear" w:color="auto" w:fill="auto"/>
          </w:tcPr>
          <w:p w:rsidR="00383888" w:rsidRPr="000615AB" w:rsidRDefault="00383888" w:rsidP="00B47699">
            <w:pPr>
              <w:widowControl w:val="0"/>
              <w:tabs>
                <w:tab w:val="left" w:pos="2127"/>
              </w:tabs>
              <w:spacing w:after="40"/>
              <w:rPr>
                <w:sz w:val="20"/>
              </w:rPr>
            </w:pPr>
            <w:r w:rsidRPr="000615AB">
              <w:rPr>
                <w:sz w:val="20"/>
              </w:rPr>
              <w:t xml:space="preserve">CMSI </w:t>
            </w:r>
          </w:p>
        </w:tc>
        <w:tc>
          <w:tcPr>
            <w:tcW w:w="7194" w:type="dxa"/>
            <w:shd w:val="clear" w:color="auto" w:fill="auto"/>
          </w:tcPr>
          <w:p w:rsidR="00383888" w:rsidRPr="000615AB" w:rsidRDefault="00383888" w:rsidP="00B47699">
            <w:pPr>
              <w:widowControl w:val="0"/>
              <w:tabs>
                <w:tab w:val="left" w:pos="2127"/>
              </w:tabs>
              <w:spacing w:after="40"/>
              <w:rPr>
                <w:sz w:val="20"/>
              </w:rPr>
            </w:pPr>
            <w:r w:rsidRPr="000615AB">
              <w:rPr>
                <w:sz w:val="20"/>
              </w:rPr>
              <w:t>Cumbre Mundial sobre la Sociedad de la Información</w:t>
            </w:r>
          </w:p>
        </w:tc>
      </w:tr>
      <w:tr w:rsidR="00383888" w:rsidRPr="000615AB" w:rsidTr="00B47699">
        <w:tc>
          <w:tcPr>
            <w:tcW w:w="1985" w:type="dxa"/>
            <w:shd w:val="clear" w:color="auto" w:fill="auto"/>
          </w:tcPr>
          <w:p w:rsidR="00383888" w:rsidRPr="000615AB" w:rsidRDefault="00383888" w:rsidP="00B47699">
            <w:pPr>
              <w:widowControl w:val="0"/>
              <w:tabs>
                <w:tab w:val="left" w:pos="2127"/>
              </w:tabs>
              <w:spacing w:after="40"/>
              <w:rPr>
                <w:sz w:val="20"/>
              </w:rPr>
            </w:pPr>
          </w:p>
        </w:tc>
        <w:tc>
          <w:tcPr>
            <w:tcW w:w="7194" w:type="dxa"/>
            <w:shd w:val="clear" w:color="auto" w:fill="auto"/>
          </w:tcPr>
          <w:p w:rsidR="00383888" w:rsidRPr="000615AB" w:rsidRDefault="00383888" w:rsidP="00B47699">
            <w:pPr>
              <w:widowControl w:val="0"/>
              <w:tabs>
                <w:tab w:val="left" w:pos="2127"/>
              </w:tabs>
              <w:spacing w:after="40"/>
              <w:rPr>
                <w:sz w:val="20"/>
              </w:rPr>
            </w:pPr>
          </w:p>
        </w:tc>
      </w:tr>
      <w:tr w:rsidR="00383888" w:rsidRPr="000615AB" w:rsidTr="00B47699">
        <w:tc>
          <w:tcPr>
            <w:tcW w:w="1985" w:type="dxa"/>
            <w:shd w:val="clear" w:color="auto" w:fill="auto"/>
          </w:tcPr>
          <w:p w:rsidR="00383888" w:rsidRPr="000615AB" w:rsidRDefault="00383888" w:rsidP="00B47699">
            <w:pPr>
              <w:widowControl w:val="0"/>
              <w:tabs>
                <w:tab w:val="left" w:pos="2127"/>
              </w:tabs>
              <w:spacing w:after="40"/>
              <w:rPr>
                <w:sz w:val="20"/>
              </w:rPr>
            </w:pPr>
            <w:r w:rsidRPr="000615AB">
              <w:rPr>
                <w:b/>
                <w:sz w:val="20"/>
              </w:rPr>
              <w:t>D</w:t>
            </w:r>
            <w:r w:rsidRPr="000615AB">
              <w:rPr>
                <w:sz w:val="20"/>
              </w:rPr>
              <w:t xml:space="preserve">AES </w:t>
            </w:r>
          </w:p>
        </w:tc>
        <w:tc>
          <w:tcPr>
            <w:tcW w:w="7194" w:type="dxa"/>
            <w:shd w:val="clear" w:color="auto" w:fill="auto"/>
          </w:tcPr>
          <w:p w:rsidR="00383888" w:rsidRPr="000615AB" w:rsidRDefault="00383888" w:rsidP="00B47699">
            <w:pPr>
              <w:widowControl w:val="0"/>
              <w:tabs>
                <w:tab w:val="left" w:pos="2127"/>
              </w:tabs>
              <w:spacing w:after="40"/>
              <w:rPr>
                <w:sz w:val="20"/>
              </w:rPr>
            </w:pPr>
            <w:r w:rsidRPr="000615AB">
              <w:rPr>
                <w:sz w:val="20"/>
              </w:rPr>
              <w:t>Departamento de Asuntos Económicos y Sociales de las Naciones Unidas</w:t>
            </w:r>
          </w:p>
        </w:tc>
      </w:tr>
      <w:tr w:rsidR="00383888" w:rsidRPr="000615AB" w:rsidTr="00B47699">
        <w:tc>
          <w:tcPr>
            <w:tcW w:w="1985" w:type="dxa"/>
            <w:shd w:val="clear" w:color="auto" w:fill="auto"/>
          </w:tcPr>
          <w:p w:rsidR="00383888" w:rsidRPr="000615AB" w:rsidRDefault="00383888" w:rsidP="00B47699">
            <w:pPr>
              <w:widowControl w:val="0"/>
              <w:tabs>
                <w:tab w:val="left" w:pos="2127"/>
                <w:tab w:val="left" w:pos="2268"/>
              </w:tabs>
              <w:spacing w:after="40"/>
              <w:rPr>
                <w:sz w:val="20"/>
              </w:rPr>
            </w:pPr>
            <w:r w:rsidRPr="000615AB">
              <w:rPr>
                <w:sz w:val="20"/>
              </w:rPr>
              <w:t xml:space="preserve">DAS </w:t>
            </w:r>
          </w:p>
        </w:tc>
        <w:tc>
          <w:tcPr>
            <w:tcW w:w="7194" w:type="dxa"/>
            <w:shd w:val="clear" w:color="auto" w:fill="auto"/>
          </w:tcPr>
          <w:p w:rsidR="00383888" w:rsidRPr="000615AB" w:rsidRDefault="00383888" w:rsidP="00B47699">
            <w:pPr>
              <w:widowControl w:val="0"/>
              <w:tabs>
                <w:tab w:val="left" w:pos="2127"/>
                <w:tab w:val="left" w:pos="2268"/>
              </w:tabs>
              <w:spacing w:after="40"/>
              <w:rPr>
                <w:sz w:val="20"/>
              </w:rPr>
            </w:pPr>
            <w:r w:rsidRPr="000615AB">
              <w:rPr>
                <w:sz w:val="20"/>
              </w:rPr>
              <w:t>Servicios de Acceso Digital a los Documentos de Prioridad</w:t>
            </w:r>
          </w:p>
        </w:tc>
      </w:tr>
      <w:tr w:rsidR="00383888" w:rsidRPr="000615AB" w:rsidTr="00B47699">
        <w:tc>
          <w:tcPr>
            <w:tcW w:w="1985" w:type="dxa"/>
            <w:shd w:val="clear" w:color="auto" w:fill="auto"/>
          </w:tcPr>
          <w:p w:rsidR="00383888" w:rsidRPr="000615AB" w:rsidRDefault="00383888" w:rsidP="00B47699">
            <w:pPr>
              <w:widowControl w:val="0"/>
              <w:tabs>
                <w:tab w:val="left" w:pos="2127"/>
              </w:tabs>
              <w:rPr>
                <w:sz w:val="20"/>
              </w:rPr>
            </w:pPr>
            <w:r w:rsidRPr="000615AB">
              <w:rPr>
                <w:sz w:val="20"/>
              </w:rPr>
              <w:t xml:space="preserve">DASI </w:t>
            </w:r>
          </w:p>
        </w:tc>
        <w:tc>
          <w:tcPr>
            <w:tcW w:w="7194" w:type="dxa"/>
            <w:shd w:val="clear" w:color="auto" w:fill="auto"/>
          </w:tcPr>
          <w:p w:rsidR="00383888" w:rsidRPr="000615AB" w:rsidRDefault="00383888" w:rsidP="00B47699">
            <w:pPr>
              <w:widowControl w:val="0"/>
              <w:tabs>
                <w:tab w:val="left" w:pos="2127"/>
              </w:tabs>
              <w:rPr>
                <w:sz w:val="20"/>
              </w:rPr>
            </w:pPr>
            <w:r w:rsidRPr="000615AB">
              <w:rPr>
                <w:sz w:val="20"/>
              </w:rPr>
              <w:t>División de Auditoría y Supervisión Internas</w:t>
            </w:r>
          </w:p>
        </w:tc>
      </w:tr>
      <w:tr w:rsidR="00383888" w:rsidRPr="000615AB" w:rsidTr="00B47699">
        <w:tc>
          <w:tcPr>
            <w:tcW w:w="1985" w:type="dxa"/>
            <w:shd w:val="clear" w:color="auto" w:fill="auto"/>
          </w:tcPr>
          <w:p w:rsidR="00383888" w:rsidRPr="000615AB" w:rsidRDefault="00383888" w:rsidP="00B47699">
            <w:pPr>
              <w:widowControl w:val="0"/>
              <w:tabs>
                <w:tab w:val="left" w:pos="2127"/>
              </w:tabs>
              <w:spacing w:after="40"/>
              <w:rPr>
                <w:sz w:val="20"/>
              </w:rPr>
            </w:pPr>
            <w:r w:rsidRPr="000615AB">
              <w:rPr>
                <w:sz w:val="20"/>
              </w:rPr>
              <w:t xml:space="preserve">DGRRHH </w:t>
            </w:r>
          </w:p>
        </w:tc>
        <w:tc>
          <w:tcPr>
            <w:tcW w:w="7194" w:type="dxa"/>
            <w:shd w:val="clear" w:color="auto" w:fill="auto"/>
          </w:tcPr>
          <w:p w:rsidR="00383888" w:rsidRPr="000615AB" w:rsidRDefault="00383888" w:rsidP="00B47699">
            <w:pPr>
              <w:widowControl w:val="0"/>
              <w:tabs>
                <w:tab w:val="left" w:pos="2127"/>
              </w:tabs>
              <w:spacing w:after="40"/>
              <w:rPr>
                <w:sz w:val="20"/>
              </w:rPr>
            </w:pPr>
            <w:r w:rsidRPr="000615AB">
              <w:rPr>
                <w:sz w:val="20"/>
              </w:rPr>
              <w:t>Departamento de Gestión de los Recursos Humanos</w:t>
            </w:r>
          </w:p>
        </w:tc>
      </w:tr>
      <w:tr w:rsidR="00383888" w:rsidRPr="000615AB" w:rsidTr="00B47699">
        <w:tc>
          <w:tcPr>
            <w:tcW w:w="1985" w:type="dxa"/>
            <w:shd w:val="clear" w:color="auto" w:fill="auto"/>
          </w:tcPr>
          <w:p w:rsidR="00383888" w:rsidRPr="000615AB" w:rsidRDefault="00383888" w:rsidP="00B47699">
            <w:pPr>
              <w:widowControl w:val="0"/>
              <w:tabs>
                <w:tab w:val="left" w:pos="2127"/>
              </w:tabs>
              <w:spacing w:after="40"/>
              <w:rPr>
                <w:sz w:val="20"/>
              </w:rPr>
            </w:pPr>
            <w:r w:rsidRPr="000615AB">
              <w:rPr>
                <w:sz w:val="20"/>
              </w:rPr>
              <w:t xml:space="preserve">DNS </w:t>
            </w:r>
          </w:p>
        </w:tc>
        <w:tc>
          <w:tcPr>
            <w:tcW w:w="7194" w:type="dxa"/>
            <w:shd w:val="clear" w:color="auto" w:fill="auto"/>
          </w:tcPr>
          <w:p w:rsidR="00383888" w:rsidRPr="000615AB" w:rsidRDefault="00383888" w:rsidP="00B47699">
            <w:pPr>
              <w:widowControl w:val="0"/>
              <w:tabs>
                <w:tab w:val="left" w:pos="2127"/>
              </w:tabs>
              <w:spacing w:after="40"/>
              <w:rPr>
                <w:sz w:val="20"/>
              </w:rPr>
            </w:pPr>
            <w:r w:rsidRPr="000615AB">
              <w:rPr>
                <w:sz w:val="20"/>
              </w:rPr>
              <w:t>Sistema de Nombres de Dominio de Internet</w:t>
            </w:r>
          </w:p>
        </w:tc>
      </w:tr>
      <w:tr w:rsidR="00383888" w:rsidRPr="000615AB" w:rsidTr="00B47699">
        <w:tc>
          <w:tcPr>
            <w:tcW w:w="1985" w:type="dxa"/>
            <w:shd w:val="clear" w:color="auto" w:fill="auto"/>
          </w:tcPr>
          <w:p w:rsidR="00383888" w:rsidRPr="000615AB" w:rsidRDefault="00383888" w:rsidP="00B47699">
            <w:pPr>
              <w:widowControl w:val="0"/>
              <w:tabs>
                <w:tab w:val="left" w:pos="2127"/>
              </w:tabs>
              <w:spacing w:after="40"/>
              <w:rPr>
                <w:sz w:val="20"/>
              </w:rPr>
            </w:pPr>
            <w:r w:rsidRPr="000615AB">
              <w:rPr>
                <w:sz w:val="20"/>
              </w:rPr>
              <w:t xml:space="preserve">DPI </w:t>
            </w:r>
          </w:p>
        </w:tc>
        <w:tc>
          <w:tcPr>
            <w:tcW w:w="7194" w:type="dxa"/>
            <w:shd w:val="clear" w:color="auto" w:fill="auto"/>
          </w:tcPr>
          <w:p w:rsidR="00383888" w:rsidRPr="000615AB" w:rsidRDefault="00383888" w:rsidP="00B47699">
            <w:pPr>
              <w:widowControl w:val="0"/>
              <w:tabs>
                <w:tab w:val="left" w:pos="2127"/>
              </w:tabs>
              <w:spacing w:after="40"/>
              <w:rPr>
                <w:sz w:val="20"/>
              </w:rPr>
            </w:pPr>
            <w:r w:rsidRPr="000615AB">
              <w:rPr>
                <w:sz w:val="20"/>
              </w:rPr>
              <w:t>derechos de propiedad intelectual</w:t>
            </w:r>
          </w:p>
        </w:tc>
      </w:tr>
      <w:tr w:rsidR="00383888" w:rsidRPr="000615AB" w:rsidTr="00B47699">
        <w:tc>
          <w:tcPr>
            <w:tcW w:w="1985" w:type="dxa"/>
            <w:shd w:val="clear" w:color="auto" w:fill="auto"/>
          </w:tcPr>
          <w:p w:rsidR="00383888" w:rsidRPr="000615AB" w:rsidRDefault="00383888" w:rsidP="00B47699">
            <w:pPr>
              <w:widowControl w:val="0"/>
              <w:tabs>
                <w:tab w:val="left" w:pos="2127"/>
              </w:tabs>
              <w:spacing w:after="40"/>
              <w:rPr>
                <w:sz w:val="20"/>
              </w:rPr>
            </w:pPr>
          </w:p>
        </w:tc>
        <w:tc>
          <w:tcPr>
            <w:tcW w:w="7194" w:type="dxa"/>
            <w:shd w:val="clear" w:color="auto" w:fill="auto"/>
          </w:tcPr>
          <w:p w:rsidR="00383888" w:rsidRPr="000615AB" w:rsidRDefault="00383888" w:rsidP="00B47699">
            <w:pPr>
              <w:widowControl w:val="0"/>
              <w:tabs>
                <w:tab w:val="left" w:pos="2127"/>
              </w:tabs>
              <w:spacing w:after="40"/>
              <w:rPr>
                <w:sz w:val="20"/>
              </w:rPr>
            </w:pPr>
          </w:p>
        </w:tc>
      </w:tr>
      <w:tr w:rsidR="00383888" w:rsidRPr="000615AB" w:rsidTr="00B47699">
        <w:tc>
          <w:tcPr>
            <w:tcW w:w="1985" w:type="dxa"/>
            <w:shd w:val="clear" w:color="auto" w:fill="auto"/>
          </w:tcPr>
          <w:p w:rsidR="00383888" w:rsidRPr="000615AB" w:rsidRDefault="00383888" w:rsidP="00B47699">
            <w:pPr>
              <w:widowControl w:val="0"/>
              <w:tabs>
                <w:tab w:val="left" w:pos="2127"/>
              </w:tabs>
              <w:spacing w:after="40"/>
              <w:rPr>
                <w:sz w:val="20"/>
              </w:rPr>
            </w:pPr>
            <w:r w:rsidRPr="000615AB">
              <w:rPr>
                <w:b/>
                <w:sz w:val="20"/>
              </w:rPr>
              <w:t>E</w:t>
            </w:r>
            <w:r w:rsidRPr="000615AB">
              <w:rPr>
                <w:sz w:val="20"/>
              </w:rPr>
              <w:t xml:space="preserve">CT </w:t>
            </w:r>
          </w:p>
        </w:tc>
        <w:tc>
          <w:tcPr>
            <w:tcW w:w="7194" w:type="dxa"/>
            <w:shd w:val="clear" w:color="auto" w:fill="auto"/>
          </w:tcPr>
          <w:p w:rsidR="00383888" w:rsidRPr="000615AB" w:rsidRDefault="00383888" w:rsidP="00B47699">
            <w:pPr>
              <w:widowControl w:val="0"/>
              <w:tabs>
                <w:tab w:val="left" w:pos="2127"/>
              </w:tabs>
              <w:spacing w:after="40"/>
              <w:rPr>
                <w:sz w:val="20"/>
              </w:rPr>
            </w:pPr>
            <w:r w:rsidRPr="000615AB">
              <w:rPr>
                <w:sz w:val="20"/>
              </w:rPr>
              <w:t>Expresiones culturales tradicionales</w:t>
            </w:r>
          </w:p>
        </w:tc>
      </w:tr>
      <w:tr w:rsidR="00383888" w:rsidRPr="000615AB" w:rsidTr="00B47699">
        <w:tc>
          <w:tcPr>
            <w:tcW w:w="1985" w:type="dxa"/>
            <w:shd w:val="clear" w:color="auto" w:fill="auto"/>
          </w:tcPr>
          <w:p w:rsidR="00383888" w:rsidRPr="000615AB" w:rsidRDefault="00383888" w:rsidP="00B47699">
            <w:pPr>
              <w:widowControl w:val="0"/>
              <w:tabs>
                <w:tab w:val="left" w:pos="2127"/>
              </w:tabs>
              <w:spacing w:after="40"/>
              <w:rPr>
                <w:sz w:val="20"/>
              </w:rPr>
            </w:pPr>
            <w:r w:rsidRPr="000615AB">
              <w:rPr>
                <w:sz w:val="20"/>
              </w:rPr>
              <w:t xml:space="preserve">EGEDA </w:t>
            </w:r>
          </w:p>
        </w:tc>
        <w:tc>
          <w:tcPr>
            <w:tcW w:w="7194" w:type="dxa"/>
            <w:shd w:val="clear" w:color="auto" w:fill="auto"/>
          </w:tcPr>
          <w:p w:rsidR="00383888" w:rsidRPr="000615AB" w:rsidRDefault="00383888" w:rsidP="00B47699">
            <w:pPr>
              <w:widowControl w:val="0"/>
              <w:tabs>
                <w:tab w:val="left" w:pos="2127"/>
              </w:tabs>
              <w:spacing w:after="40"/>
              <w:rPr>
                <w:sz w:val="20"/>
              </w:rPr>
            </w:pPr>
            <w:r w:rsidRPr="000615AB">
              <w:rPr>
                <w:sz w:val="20"/>
              </w:rPr>
              <w:t>Entidad de Gestión de Derechos de los Productores Audiovisuales</w:t>
            </w:r>
          </w:p>
        </w:tc>
      </w:tr>
      <w:tr w:rsidR="00383888" w:rsidRPr="000615AB" w:rsidTr="00B47699">
        <w:tc>
          <w:tcPr>
            <w:tcW w:w="1985" w:type="dxa"/>
            <w:shd w:val="clear" w:color="auto" w:fill="auto"/>
          </w:tcPr>
          <w:p w:rsidR="00383888" w:rsidRPr="000615AB" w:rsidRDefault="00383888" w:rsidP="00B47699">
            <w:pPr>
              <w:widowControl w:val="0"/>
              <w:tabs>
                <w:tab w:val="left" w:pos="2127"/>
              </w:tabs>
              <w:spacing w:after="40"/>
              <w:rPr>
                <w:sz w:val="20"/>
              </w:rPr>
            </w:pPr>
          </w:p>
        </w:tc>
        <w:tc>
          <w:tcPr>
            <w:tcW w:w="7194" w:type="dxa"/>
            <w:shd w:val="clear" w:color="auto" w:fill="auto"/>
          </w:tcPr>
          <w:p w:rsidR="00383888" w:rsidRPr="000615AB" w:rsidRDefault="00383888" w:rsidP="00B47699">
            <w:pPr>
              <w:widowControl w:val="0"/>
              <w:tabs>
                <w:tab w:val="left" w:pos="2127"/>
              </w:tabs>
              <w:spacing w:after="40"/>
              <w:rPr>
                <w:sz w:val="20"/>
              </w:rPr>
            </w:pPr>
          </w:p>
        </w:tc>
      </w:tr>
      <w:tr w:rsidR="00383888" w:rsidRPr="000615AB" w:rsidTr="00B47699">
        <w:tc>
          <w:tcPr>
            <w:tcW w:w="1985" w:type="dxa"/>
            <w:shd w:val="clear" w:color="auto" w:fill="auto"/>
          </w:tcPr>
          <w:p w:rsidR="00383888" w:rsidRPr="000615AB" w:rsidRDefault="00383888" w:rsidP="00B47699">
            <w:pPr>
              <w:widowControl w:val="0"/>
              <w:tabs>
                <w:tab w:val="left" w:pos="2127"/>
              </w:tabs>
              <w:spacing w:after="40"/>
              <w:rPr>
                <w:sz w:val="20"/>
              </w:rPr>
            </w:pPr>
            <w:r w:rsidRPr="000615AB">
              <w:rPr>
                <w:b/>
                <w:bCs/>
                <w:color w:val="000000"/>
                <w:sz w:val="20"/>
              </w:rPr>
              <w:t>F</w:t>
            </w:r>
            <w:r w:rsidRPr="000615AB">
              <w:rPr>
                <w:bCs/>
                <w:sz w:val="20"/>
              </w:rPr>
              <w:t xml:space="preserve">AO </w:t>
            </w:r>
          </w:p>
        </w:tc>
        <w:tc>
          <w:tcPr>
            <w:tcW w:w="7194" w:type="dxa"/>
            <w:shd w:val="clear" w:color="auto" w:fill="auto"/>
          </w:tcPr>
          <w:p w:rsidR="00383888" w:rsidRPr="000615AB" w:rsidRDefault="00383888" w:rsidP="00B47699">
            <w:pPr>
              <w:widowControl w:val="0"/>
              <w:tabs>
                <w:tab w:val="left" w:pos="2127"/>
              </w:tabs>
              <w:spacing w:after="40"/>
              <w:rPr>
                <w:bCs/>
                <w:sz w:val="20"/>
              </w:rPr>
            </w:pPr>
            <w:r w:rsidRPr="000615AB">
              <w:rPr>
                <w:bCs/>
                <w:sz w:val="20"/>
              </w:rPr>
              <w:t>Organización de las Naciones Unidas para la Alimentación y la Agricultura</w:t>
            </w:r>
          </w:p>
        </w:tc>
      </w:tr>
      <w:tr w:rsidR="00383888" w:rsidRPr="000615AB" w:rsidTr="00B47699">
        <w:tc>
          <w:tcPr>
            <w:tcW w:w="1985" w:type="dxa"/>
            <w:shd w:val="clear" w:color="auto" w:fill="auto"/>
          </w:tcPr>
          <w:p w:rsidR="00383888" w:rsidRPr="000615AB" w:rsidRDefault="00383888" w:rsidP="00B47699">
            <w:pPr>
              <w:widowControl w:val="0"/>
              <w:tabs>
                <w:tab w:val="left" w:pos="2127"/>
              </w:tabs>
              <w:spacing w:after="40"/>
              <w:rPr>
                <w:sz w:val="20"/>
              </w:rPr>
            </w:pPr>
            <w:r w:rsidRPr="000615AB">
              <w:rPr>
                <w:sz w:val="20"/>
              </w:rPr>
              <w:t xml:space="preserve">FIT </w:t>
            </w:r>
          </w:p>
        </w:tc>
        <w:tc>
          <w:tcPr>
            <w:tcW w:w="7194" w:type="dxa"/>
            <w:shd w:val="clear" w:color="auto" w:fill="auto"/>
          </w:tcPr>
          <w:p w:rsidR="00383888" w:rsidRPr="000615AB" w:rsidRDefault="00383888" w:rsidP="00B47699">
            <w:pPr>
              <w:widowControl w:val="0"/>
              <w:tabs>
                <w:tab w:val="left" w:pos="2127"/>
              </w:tabs>
              <w:spacing w:after="40"/>
              <w:rPr>
                <w:sz w:val="20"/>
              </w:rPr>
            </w:pPr>
            <w:r w:rsidRPr="000615AB">
              <w:rPr>
                <w:sz w:val="20"/>
              </w:rPr>
              <w:t>fondos fiduciarios</w:t>
            </w:r>
          </w:p>
        </w:tc>
      </w:tr>
      <w:tr w:rsidR="00383888" w:rsidRPr="000615AB" w:rsidTr="00B47699">
        <w:tc>
          <w:tcPr>
            <w:tcW w:w="1985" w:type="dxa"/>
            <w:shd w:val="clear" w:color="auto" w:fill="auto"/>
          </w:tcPr>
          <w:p w:rsidR="00383888" w:rsidRPr="000615AB" w:rsidRDefault="00383888" w:rsidP="00B47699">
            <w:pPr>
              <w:widowControl w:val="0"/>
              <w:tabs>
                <w:tab w:val="left" w:pos="2127"/>
              </w:tabs>
              <w:spacing w:after="40"/>
              <w:rPr>
                <w:sz w:val="20"/>
              </w:rPr>
            </w:pPr>
          </w:p>
        </w:tc>
        <w:tc>
          <w:tcPr>
            <w:tcW w:w="7194" w:type="dxa"/>
            <w:shd w:val="clear" w:color="auto" w:fill="auto"/>
          </w:tcPr>
          <w:p w:rsidR="00383888" w:rsidRPr="000615AB" w:rsidRDefault="00383888" w:rsidP="00B47699">
            <w:pPr>
              <w:widowControl w:val="0"/>
              <w:tabs>
                <w:tab w:val="left" w:pos="2127"/>
              </w:tabs>
              <w:spacing w:after="40"/>
              <w:rPr>
                <w:sz w:val="20"/>
              </w:rPr>
            </w:pPr>
          </w:p>
        </w:tc>
      </w:tr>
      <w:tr w:rsidR="00383888" w:rsidRPr="000615AB" w:rsidTr="00B47699">
        <w:tc>
          <w:tcPr>
            <w:tcW w:w="1985" w:type="dxa"/>
            <w:shd w:val="clear" w:color="auto" w:fill="auto"/>
          </w:tcPr>
          <w:p w:rsidR="00383888" w:rsidRPr="000615AB" w:rsidRDefault="00383888" w:rsidP="00B47699">
            <w:pPr>
              <w:widowControl w:val="0"/>
              <w:tabs>
                <w:tab w:val="left" w:pos="2127"/>
              </w:tabs>
              <w:spacing w:after="40"/>
              <w:rPr>
                <w:sz w:val="20"/>
              </w:rPr>
            </w:pPr>
            <w:r w:rsidRPr="000615AB">
              <w:rPr>
                <w:b/>
                <w:sz w:val="20"/>
              </w:rPr>
              <w:t>G</w:t>
            </w:r>
            <w:r w:rsidRPr="000615AB">
              <w:rPr>
                <w:sz w:val="20"/>
              </w:rPr>
              <w:t xml:space="preserve">GC </w:t>
            </w:r>
          </w:p>
        </w:tc>
        <w:tc>
          <w:tcPr>
            <w:tcW w:w="7194" w:type="dxa"/>
            <w:shd w:val="clear" w:color="auto" w:fill="auto"/>
          </w:tcPr>
          <w:p w:rsidR="00383888" w:rsidRPr="000615AB" w:rsidRDefault="00383888" w:rsidP="00B47699">
            <w:pPr>
              <w:widowControl w:val="0"/>
              <w:tabs>
                <w:tab w:val="left" w:pos="2127"/>
              </w:tabs>
              <w:spacing w:after="40"/>
              <w:rPr>
                <w:sz w:val="20"/>
              </w:rPr>
            </w:pPr>
            <w:r w:rsidRPr="000615AB">
              <w:rPr>
                <w:sz w:val="20"/>
              </w:rPr>
              <w:t>Grupo de Gestión de Crisis</w:t>
            </w:r>
          </w:p>
        </w:tc>
      </w:tr>
      <w:tr w:rsidR="00383888" w:rsidRPr="00F03303" w:rsidTr="00B47699">
        <w:tc>
          <w:tcPr>
            <w:tcW w:w="1985" w:type="dxa"/>
            <w:shd w:val="clear" w:color="auto" w:fill="auto"/>
          </w:tcPr>
          <w:p w:rsidR="00383888" w:rsidRPr="000615AB" w:rsidRDefault="00383888" w:rsidP="00B47699">
            <w:pPr>
              <w:widowControl w:val="0"/>
              <w:tabs>
                <w:tab w:val="left" w:pos="2127"/>
              </w:tabs>
              <w:spacing w:after="40"/>
              <w:rPr>
                <w:b/>
                <w:bCs/>
                <w:sz w:val="20"/>
              </w:rPr>
            </w:pPr>
            <w:r w:rsidRPr="000615AB">
              <w:rPr>
                <w:bCs/>
                <w:sz w:val="20"/>
              </w:rPr>
              <w:t xml:space="preserve">GNIPA </w:t>
            </w:r>
          </w:p>
        </w:tc>
        <w:tc>
          <w:tcPr>
            <w:tcW w:w="7194" w:type="dxa"/>
            <w:shd w:val="clear" w:color="auto" w:fill="auto"/>
          </w:tcPr>
          <w:p w:rsidR="00383888" w:rsidRPr="00D821D3" w:rsidRDefault="00383888" w:rsidP="00B47699">
            <w:pPr>
              <w:widowControl w:val="0"/>
              <w:tabs>
                <w:tab w:val="left" w:pos="2127"/>
              </w:tabs>
              <w:spacing w:after="40"/>
              <w:rPr>
                <w:b/>
                <w:bCs/>
                <w:sz w:val="20"/>
                <w:lang w:val="en-US"/>
              </w:rPr>
            </w:pPr>
            <w:r w:rsidRPr="00D821D3">
              <w:rPr>
                <w:bCs/>
                <w:sz w:val="20"/>
                <w:lang w:val="en-US"/>
              </w:rPr>
              <w:t>Global Network of IP Academies</w:t>
            </w:r>
          </w:p>
        </w:tc>
      </w:tr>
      <w:tr w:rsidR="00383888" w:rsidRPr="000615AB" w:rsidTr="00B47699">
        <w:tc>
          <w:tcPr>
            <w:tcW w:w="1985" w:type="dxa"/>
            <w:shd w:val="clear" w:color="auto" w:fill="auto"/>
          </w:tcPr>
          <w:p w:rsidR="00383888" w:rsidRPr="000615AB" w:rsidRDefault="00383888" w:rsidP="008921D7">
            <w:pPr>
              <w:widowControl w:val="0"/>
              <w:tabs>
                <w:tab w:val="left" w:pos="2127"/>
              </w:tabs>
              <w:spacing w:after="40"/>
              <w:rPr>
                <w:sz w:val="20"/>
              </w:rPr>
            </w:pPr>
            <w:r w:rsidRPr="000615AB">
              <w:rPr>
                <w:sz w:val="20"/>
              </w:rPr>
              <w:t xml:space="preserve">gTLD </w:t>
            </w:r>
          </w:p>
        </w:tc>
        <w:tc>
          <w:tcPr>
            <w:tcW w:w="7194" w:type="dxa"/>
            <w:shd w:val="clear" w:color="auto" w:fill="auto"/>
          </w:tcPr>
          <w:p w:rsidR="00383888" w:rsidRPr="000615AB" w:rsidRDefault="00383888" w:rsidP="008921D7">
            <w:pPr>
              <w:widowControl w:val="0"/>
              <w:tabs>
                <w:tab w:val="left" w:pos="2127"/>
              </w:tabs>
              <w:spacing w:after="40"/>
              <w:rPr>
                <w:sz w:val="20"/>
              </w:rPr>
            </w:pPr>
            <w:r w:rsidRPr="000615AB">
              <w:rPr>
                <w:sz w:val="20"/>
              </w:rPr>
              <w:t>Dominios genéricos de nivel superior</w:t>
            </w:r>
          </w:p>
        </w:tc>
      </w:tr>
      <w:tr w:rsidR="00383888" w:rsidRPr="000615AB" w:rsidTr="00B47699">
        <w:tc>
          <w:tcPr>
            <w:tcW w:w="1985" w:type="dxa"/>
            <w:shd w:val="clear" w:color="auto" w:fill="auto"/>
          </w:tcPr>
          <w:p w:rsidR="00383888" w:rsidRPr="000615AB" w:rsidRDefault="00383888" w:rsidP="00B47699">
            <w:pPr>
              <w:widowControl w:val="0"/>
              <w:tabs>
                <w:tab w:val="left" w:pos="2127"/>
              </w:tabs>
              <w:spacing w:after="40"/>
              <w:rPr>
                <w:sz w:val="20"/>
              </w:rPr>
            </w:pPr>
          </w:p>
        </w:tc>
        <w:tc>
          <w:tcPr>
            <w:tcW w:w="7194" w:type="dxa"/>
            <w:shd w:val="clear" w:color="auto" w:fill="auto"/>
          </w:tcPr>
          <w:p w:rsidR="00383888" w:rsidRPr="000615AB" w:rsidRDefault="00383888" w:rsidP="00B47699">
            <w:pPr>
              <w:widowControl w:val="0"/>
              <w:tabs>
                <w:tab w:val="left" w:pos="2127"/>
              </w:tabs>
              <w:spacing w:after="40"/>
              <w:rPr>
                <w:sz w:val="20"/>
              </w:rPr>
            </w:pPr>
          </w:p>
        </w:tc>
      </w:tr>
      <w:tr w:rsidR="00383888" w:rsidRPr="000615AB" w:rsidTr="00B47699">
        <w:tc>
          <w:tcPr>
            <w:tcW w:w="1985" w:type="dxa"/>
            <w:shd w:val="clear" w:color="auto" w:fill="auto"/>
          </w:tcPr>
          <w:p w:rsidR="00383888" w:rsidRPr="000615AB" w:rsidRDefault="00383888" w:rsidP="00B47699">
            <w:pPr>
              <w:widowControl w:val="0"/>
              <w:tabs>
                <w:tab w:val="left" w:pos="2127"/>
              </w:tabs>
              <w:spacing w:after="40"/>
              <w:rPr>
                <w:sz w:val="20"/>
              </w:rPr>
            </w:pPr>
            <w:r w:rsidRPr="000615AB">
              <w:rPr>
                <w:b/>
                <w:sz w:val="20"/>
              </w:rPr>
              <w:t>I</w:t>
            </w:r>
            <w:r w:rsidRPr="000615AB">
              <w:rPr>
                <w:sz w:val="20"/>
              </w:rPr>
              <w:t xml:space="preserve">+D </w:t>
            </w:r>
          </w:p>
        </w:tc>
        <w:tc>
          <w:tcPr>
            <w:tcW w:w="7194" w:type="dxa"/>
            <w:shd w:val="clear" w:color="auto" w:fill="auto"/>
          </w:tcPr>
          <w:p w:rsidR="00383888" w:rsidRPr="000615AB" w:rsidRDefault="00383888" w:rsidP="00B47699">
            <w:pPr>
              <w:widowControl w:val="0"/>
              <w:tabs>
                <w:tab w:val="left" w:pos="2127"/>
              </w:tabs>
              <w:spacing w:after="40"/>
              <w:rPr>
                <w:sz w:val="20"/>
              </w:rPr>
            </w:pPr>
            <w:r w:rsidRPr="000615AB">
              <w:rPr>
                <w:sz w:val="20"/>
              </w:rPr>
              <w:t>Investigación y Desarrollo</w:t>
            </w:r>
          </w:p>
        </w:tc>
      </w:tr>
      <w:tr w:rsidR="00383888" w:rsidRPr="000615AB" w:rsidTr="00B47699">
        <w:tc>
          <w:tcPr>
            <w:tcW w:w="1985" w:type="dxa"/>
            <w:shd w:val="clear" w:color="auto" w:fill="auto"/>
          </w:tcPr>
          <w:p w:rsidR="00383888" w:rsidRPr="000615AB" w:rsidRDefault="00383888" w:rsidP="00B47699">
            <w:pPr>
              <w:widowControl w:val="0"/>
              <w:tabs>
                <w:tab w:val="left" w:pos="2127"/>
              </w:tabs>
              <w:rPr>
                <w:sz w:val="20"/>
              </w:rPr>
            </w:pPr>
            <w:r w:rsidRPr="000615AB">
              <w:rPr>
                <w:sz w:val="20"/>
              </w:rPr>
              <w:t xml:space="preserve">ICANN </w:t>
            </w:r>
          </w:p>
        </w:tc>
        <w:tc>
          <w:tcPr>
            <w:tcW w:w="7194" w:type="dxa"/>
            <w:shd w:val="clear" w:color="auto" w:fill="auto"/>
          </w:tcPr>
          <w:p w:rsidR="00383888" w:rsidRPr="000615AB" w:rsidRDefault="00383888" w:rsidP="00B47699">
            <w:pPr>
              <w:widowControl w:val="0"/>
              <w:tabs>
                <w:tab w:val="left" w:pos="2127"/>
              </w:tabs>
              <w:rPr>
                <w:sz w:val="20"/>
              </w:rPr>
            </w:pPr>
            <w:r w:rsidRPr="000615AB">
              <w:rPr>
                <w:sz w:val="20"/>
              </w:rPr>
              <w:t xml:space="preserve">Corporación </w:t>
            </w:r>
            <w:r>
              <w:rPr>
                <w:sz w:val="20"/>
              </w:rPr>
              <w:t>para la</w:t>
            </w:r>
            <w:r w:rsidRPr="000615AB">
              <w:rPr>
                <w:sz w:val="20"/>
              </w:rPr>
              <w:t xml:space="preserve"> Asignación de Nombres y Números </w:t>
            </w:r>
            <w:r>
              <w:rPr>
                <w:sz w:val="20"/>
              </w:rPr>
              <w:t xml:space="preserve">en </w:t>
            </w:r>
            <w:r w:rsidRPr="000615AB">
              <w:rPr>
                <w:sz w:val="20"/>
              </w:rPr>
              <w:t>Internet</w:t>
            </w:r>
          </w:p>
        </w:tc>
      </w:tr>
      <w:tr w:rsidR="00383888" w:rsidRPr="000615AB" w:rsidTr="00B47699">
        <w:tc>
          <w:tcPr>
            <w:tcW w:w="1985" w:type="dxa"/>
            <w:shd w:val="clear" w:color="auto" w:fill="auto"/>
          </w:tcPr>
          <w:p w:rsidR="00383888" w:rsidRPr="000615AB" w:rsidRDefault="00383888" w:rsidP="00B47699">
            <w:pPr>
              <w:widowControl w:val="0"/>
              <w:tabs>
                <w:tab w:val="left" w:pos="2127"/>
              </w:tabs>
              <w:rPr>
                <w:sz w:val="20"/>
              </w:rPr>
            </w:pPr>
            <w:r w:rsidRPr="000615AB">
              <w:rPr>
                <w:sz w:val="20"/>
              </w:rPr>
              <w:t xml:space="preserve">ICPIP </w:t>
            </w:r>
          </w:p>
        </w:tc>
        <w:tc>
          <w:tcPr>
            <w:tcW w:w="7194" w:type="dxa"/>
            <w:shd w:val="clear" w:color="auto" w:fill="auto"/>
          </w:tcPr>
          <w:p w:rsidR="00383888" w:rsidRPr="000615AB" w:rsidRDefault="00383888" w:rsidP="00B47699">
            <w:pPr>
              <w:widowControl w:val="0"/>
              <w:tabs>
                <w:tab w:val="left" w:pos="2127"/>
              </w:tabs>
              <w:rPr>
                <w:sz w:val="20"/>
              </w:rPr>
            </w:pPr>
            <w:r w:rsidRPr="000615AB">
              <w:rPr>
                <w:sz w:val="20"/>
              </w:rPr>
              <w:t>Consejo Interestatal sobre la Protección de la Propiedad Industrial</w:t>
            </w:r>
          </w:p>
        </w:tc>
      </w:tr>
      <w:tr w:rsidR="00383888" w:rsidRPr="000615AB" w:rsidTr="00B47699">
        <w:tc>
          <w:tcPr>
            <w:tcW w:w="1985" w:type="dxa"/>
            <w:shd w:val="clear" w:color="auto" w:fill="auto"/>
          </w:tcPr>
          <w:p w:rsidR="00383888" w:rsidRPr="000615AB" w:rsidRDefault="00383888" w:rsidP="00B47699">
            <w:pPr>
              <w:widowControl w:val="0"/>
              <w:tabs>
                <w:tab w:val="left" w:pos="2127"/>
              </w:tabs>
              <w:rPr>
                <w:sz w:val="20"/>
              </w:rPr>
            </w:pPr>
            <w:r w:rsidRPr="000615AB">
              <w:rPr>
                <w:sz w:val="20"/>
              </w:rPr>
              <w:t xml:space="preserve">ICSEI </w:t>
            </w:r>
          </w:p>
        </w:tc>
        <w:tc>
          <w:tcPr>
            <w:tcW w:w="7194" w:type="dxa"/>
            <w:shd w:val="clear" w:color="auto" w:fill="auto"/>
          </w:tcPr>
          <w:p w:rsidR="00383888" w:rsidRPr="000615AB" w:rsidRDefault="00383888" w:rsidP="00B47699">
            <w:pPr>
              <w:widowControl w:val="0"/>
              <w:tabs>
                <w:tab w:val="left" w:pos="2127"/>
              </w:tabs>
              <w:rPr>
                <w:sz w:val="20"/>
              </w:rPr>
            </w:pPr>
            <w:r w:rsidRPr="000615AB">
              <w:rPr>
                <w:sz w:val="20"/>
              </w:rPr>
              <w:t>Cooperación Internacional para la Búsqueda y el Examen de Invenciones (programa)</w:t>
            </w:r>
          </w:p>
        </w:tc>
      </w:tr>
      <w:tr w:rsidR="00383888" w:rsidRPr="000615AB" w:rsidTr="00B47699">
        <w:tc>
          <w:tcPr>
            <w:tcW w:w="1985" w:type="dxa"/>
            <w:shd w:val="clear" w:color="auto" w:fill="auto"/>
          </w:tcPr>
          <w:p w:rsidR="00383888" w:rsidRPr="000615AB" w:rsidRDefault="00383888" w:rsidP="00B47699">
            <w:pPr>
              <w:widowControl w:val="0"/>
              <w:tabs>
                <w:tab w:val="left" w:pos="2127"/>
              </w:tabs>
              <w:spacing w:after="40"/>
              <w:rPr>
                <w:sz w:val="20"/>
              </w:rPr>
            </w:pPr>
            <w:r w:rsidRPr="000615AB">
              <w:rPr>
                <w:sz w:val="20"/>
              </w:rPr>
              <w:t xml:space="preserve">IIA </w:t>
            </w:r>
          </w:p>
        </w:tc>
        <w:tc>
          <w:tcPr>
            <w:tcW w:w="7194" w:type="dxa"/>
            <w:shd w:val="clear" w:color="auto" w:fill="auto"/>
          </w:tcPr>
          <w:p w:rsidR="00383888" w:rsidRPr="000615AB" w:rsidRDefault="00383888" w:rsidP="00B47699">
            <w:pPr>
              <w:widowControl w:val="0"/>
              <w:tabs>
                <w:tab w:val="left" w:pos="2127"/>
              </w:tabs>
              <w:spacing w:after="40"/>
              <w:rPr>
                <w:sz w:val="20"/>
              </w:rPr>
            </w:pPr>
            <w:r w:rsidRPr="000615AB">
              <w:rPr>
                <w:sz w:val="20"/>
              </w:rPr>
              <w:t>Instituto de Auditores Internos</w:t>
            </w:r>
          </w:p>
        </w:tc>
      </w:tr>
      <w:tr w:rsidR="00383888" w:rsidRPr="000615AB" w:rsidTr="00B47699">
        <w:tc>
          <w:tcPr>
            <w:tcW w:w="1985" w:type="dxa"/>
            <w:shd w:val="clear" w:color="auto" w:fill="auto"/>
          </w:tcPr>
          <w:p w:rsidR="00383888" w:rsidRPr="000615AB" w:rsidRDefault="00383888" w:rsidP="00B47699">
            <w:pPr>
              <w:widowControl w:val="0"/>
              <w:tabs>
                <w:tab w:val="left" w:pos="2127"/>
              </w:tabs>
              <w:rPr>
                <w:sz w:val="20"/>
              </w:rPr>
            </w:pPr>
            <w:r w:rsidRPr="000615AB">
              <w:rPr>
                <w:sz w:val="20"/>
              </w:rPr>
              <w:t xml:space="preserve">IPACIS </w:t>
            </w:r>
          </w:p>
        </w:tc>
        <w:tc>
          <w:tcPr>
            <w:tcW w:w="7194" w:type="dxa"/>
            <w:shd w:val="clear" w:color="auto" w:fill="auto"/>
          </w:tcPr>
          <w:p w:rsidR="00383888" w:rsidRPr="000615AB" w:rsidRDefault="00383888" w:rsidP="00B47699">
            <w:pPr>
              <w:widowControl w:val="0"/>
              <w:tabs>
                <w:tab w:val="left" w:pos="2127"/>
              </w:tabs>
              <w:rPr>
                <w:sz w:val="20"/>
              </w:rPr>
            </w:pPr>
            <w:r w:rsidRPr="000615AB">
              <w:rPr>
                <w:sz w:val="20"/>
              </w:rPr>
              <w:t>Asamblea de los Estados miembros de la CEI</w:t>
            </w:r>
          </w:p>
        </w:tc>
      </w:tr>
      <w:tr w:rsidR="00383888" w:rsidRPr="000615AB" w:rsidTr="00B47699">
        <w:tc>
          <w:tcPr>
            <w:tcW w:w="1985" w:type="dxa"/>
            <w:shd w:val="clear" w:color="auto" w:fill="auto"/>
          </w:tcPr>
          <w:p w:rsidR="00383888" w:rsidRPr="000615AB" w:rsidRDefault="00383888" w:rsidP="00B47699">
            <w:pPr>
              <w:widowControl w:val="0"/>
              <w:tabs>
                <w:tab w:val="left" w:pos="2127"/>
              </w:tabs>
              <w:spacing w:after="40"/>
              <w:rPr>
                <w:sz w:val="20"/>
              </w:rPr>
            </w:pPr>
            <w:r w:rsidRPr="000615AB">
              <w:rPr>
                <w:sz w:val="20"/>
              </w:rPr>
              <w:t>IPAS</w:t>
            </w:r>
          </w:p>
        </w:tc>
        <w:tc>
          <w:tcPr>
            <w:tcW w:w="7194" w:type="dxa"/>
            <w:shd w:val="clear" w:color="auto" w:fill="auto"/>
          </w:tcPr>
          <w:p w:rsidR="00383888" w:rsidRPr="000615AB" w:rsidRDefault="00383888" w:rsidP="00B47699">
            <w:pPr>
              <w:widowControl w:val="0"/>
              <w:tabs>
                <w:tab w:val="left" w:pos="2127"/>
              </w:tabs>
              <w:spacing w:after="40"/>
              <w:rPr>
                <w:sz w:val="20"/>
              </w:rPr>
            </w:pPr>
            <w:r w:rsidRPr="000615AB">
              <w:rPr>
                <w:sz w:val="20"/>
              </w:rPr>
              <w:t>Sistema de Automatización de la Propiedad Industrial</w:t>
            </w:r>
          </w:p>
        </w:tc>
      </w:tr>
      <w:tr w:rsidR="00383888" w:rsidRPr="000615AB" w:rsidTr="00B47699">
        <w:tc>
          <w:tcPr>
            <w:tcW w:w="1985" w:type="dxa"/>
            <w:shd w:val="clear" w:color="auto" w:fill="auto"/>
          </w:tcPr>
          <w:p w:rsidR="00383888" w:rsidRPr="000615AB" w:rsidRDefault="00383888" w:rsidP="00B47699">
            <w:pPr>
              <w:widowControl w:val="0"/>
              <w:tabs>
                <w:tab w:val="left" w:pos="2127"/>
              </w:tabs>
              <w:spacing w:after="40"/>
              <w:rPr>
                <w:sz w:val="20"/>
              </w:rPr>
            </w:pPr>
            <w:r w:rsidRPr="000615AB">
              <w:rPr>
                <w:sz w:val="20"/>
              </w:rPr>
              <w:t xml:space="preserve">IPSAS </w:t>
            </w:r>
          </w:p>
        </w:tc>
        <w:tc>
          <w:tcPr>
            <w:tcW w:w="7194" w:type="dxa"/>
            <w:shd w:val="clear" w:color="auto" w:fill="auto"/>
          </w:tcPr>
          <w:p w:rsidR="00383888" w:rsidRPr="000615AB" w:rsidRDefault="00383888" w:rsidP="00B47699">
            <w:pPr>
              <w:widowControl w:val="0"/>
              <w:tabs>
                <w:tab w:val="left" w:pos="2127"/>
              </w:tabs>
              <w:spacing w:after="40"/>
              <w:rPr>
                <w:sz w:val="20"/>
              </w:rPr>
            </w:pPr>
            <w:r w:rsidRPr="000615AB">
              <w:rPr>
                <w:sz w:val="20"/>
              </w:rPr>
              <w:t>Normas Internacionales de Contabilidad del Sector Público</w:t>
            </w:r>
          </w:p>
        </w:tc>
      </w:tr>
      <w:tr w:rsidR="00383888" w:rsidRPr="000615AB" w:rsidTr="00B47699">
        <w:tc>
          <w:tcPr>
            <w:tcW w:w="1985" w:type="dxa"/>
            <w:shd w:val="clear" w:color="auto" w:fill="auto"/>
          </w:tcPr>
          <w:p w:rsidR="00383888" w:rsidRPr="000615AB" w:rsidRDefault="00383888" w:rsidP="00B47699">
            <w:pPr>
              <w:widowControl w:val="0"/>
              <w:tabs>
                <w:tab w:val="left" w:pos="2127"/>
              </w:tabs>
              <w:spacing w:after="40"/>
              <w:rPr>
                <w:sz w:val="20"/>
              </w:rPr>
            </w:pPr>
            <w:r w:rsidRPr="000615AB">
              <w:rPr>
                <w:sz w:val="20"/>
              </w:rPr>
              <w:lastRenderedPageBreak/>
              <w:t xml:space="preserve">ITIL </w:t>
            </w:r>
          </w:p>
        </w:tc>
        <w:tc>
          <w:tcPr>
            <w:tcW w:w="7194" w:type="dxa"/>
            <w:shd w:val="clear" w:color="auto" w:fill="auto"/>
          </w:tcPr>
          <w:p w:rsidR="00383888" w:rsidRPr="000615AB" w:rsidRDefault="00383888" w:rsidP="00B47699">
            <w:pPr>
              <w:widowControl w:val="0"/>
              <w:tabs>
                <w:tab w:val="left" w:pos="2127"/>
              </w:tabs>
              <w:spacing w:after="40"/>
              <w:rPr>
                <w:sz w:val="20"/>
              </w:rPr>
            </w:pPr>
            <w:r w:rsidRPr="000615AB">
              <w:rPr>
                <w:sz w:val="20"/>
              </w:rPr>
              <w:t>Biblioteca de Infraestructura de T.I.</w:t>
            </w:r>
          </w:p>
        </w:tc>
      </w:tr>
      <w:tr w:rsidR="00383888" w:rsidRPr="000615AB" w:rsidTr="00B47699">
        <w:tc>
          <w:tcPr>
            <w:tcW w:w="1985" w:type="dxa"/>
            <w:shd w:val="clear" w:color="auto" w:fill="auto"/>
          </w:tcPr>
          <w:p w:rsidR="00383888" w:rsidRPr="000615AB" w:rsidRDefault="00383888" w:rsidP="00B47699">
            <w:pPr>
              <w:widowControl w:val="0"/>
              <w:tabs>
                <w:tab w:val="left" w:pos="2127"/>
              </w:tabs>
              <w:spacing w:after="40"/>
              <w:rPr>
                <w:sz w:val="20"/>
              </w:rPr>
            </w:pPr>
          </w:p>
        </w:tc>
        <w:tc>
          <w:tcPr>
            <w:tcW w:w="7194" w:type="dxa"/>
            <w:shd w:val="clear" w:color="auto" w:fill="auto"/>
          </w:tcPr>
          <w:p w:rsidR="00383888" w:rsidRPr="000615AB" w:rsidRDefault="00383888" w:rsidP="00B47699">
            <w:pPr>
              <w:widowControl w:val="0"/>
              <w:tabs>
                <w:tab w:val="left" w:pos="2127"/>
              </w:tabs>
              <w:spacing w:after="40"/>
              <w:rPr>
                <w:sz w:val="20"/>
              </w:rPr>
            </w:pPr>
          </w:p>
        </w:tc>
      </w:tr>
      <w:tr w:rsidR="00383888" w:rsidRPr="000615AB" w:rsidTr="00B47699">
        <w:tc>
          <w:tcPr>
            <w:tcW w:w="1985" w:type="dxa"/>
            <w:shd w:val="clear" w:color="auto" w:fill="auto"/>
          </w:tcPr>
          <w:p w:rsidR="00383888" w:rsidRPr="000615AB" w:rsidRDefault="00383888" w:rsidP="00B47699">
            <w:pPr>
              <w:widowControl w:val="0"/>
              <w:tabs>
                <w:tab w:val="left" w:pos="2127"/>
              </w:tabs>
              <w:spacing w:after="40"/>
              <w:rPr>
                <w:sz w:val="20"/>
              </w:rPr>
            </w:pPr>
            <w:r w:rsidRPr="000615AB">
              <w:rPr>
                <w:b/>
                <w:sz w:val="20"/>
              </w:rPr>
              <w:t>M</w:t>
            </w:r>
            <w:r w:rsidRPr="000615AB">
              <w:rPr>
                <w:sz w:val="20"/>
              </w:rPr>
              <w:t xml:space="preserve">GS </w:t>
            </w:r>
          </w:p>
        </w:tc>
        <w:tc>
          <w:tcPr>
            <w:tcW w:w="7194" w:type="dxa"/>
            <w:shd w:val="clear" w:color="auto" w:fill="auto"/>
          </w:tcPr>
          <w:p w:rsidR="00383888" w:rsidRPr="000615AB" w:rsidRDefault="00383888" w:rsidP="00391FE9">
            <w:pPr>
              <w:widowControl w:val="0"/>
              <w:tabs>
                <w:tab w:val="left" w:pos="2127"/>
              </w:tabs>
              <w:spacing w:after="40"/>
              <w:rPr>
                <w:sz w:val="20"/>
              </w:rPr>
            </w:pPr>
            <w:r w:rsidRPr="000615AB">
              <w:rPr>
                <w:sz w:val="20"/>
              </w:rPr>
              <w:t>Gestor de Productos y Servicios de Madrid</w:t>
            </w:r>
          </w:p>
        </w:tc>
      </w:tr>
      <w:tr w:rsidR="00383888" w:rsidRPr="000615AB" w:rsidTr="00B47699">
        <w:tc>
          <w:tcPr>
            <w:tcW w:w="1985" w:type="dxa"/>
            <w:shd w:val="clear" w:color="auto" w:fill="auto"/>
          </w:tcPr>
          <w:p w:rsidR="00383888" w:rsidRPr="000615AB" w:rsidRDefault="00383888" w:rsidP="00B47699">
            <w:pPr>
              <w:widowControl w:val="0"/>
              <w:tabs>
                <w:tab w:val="left" w:pos="2127"/>
              </w:tabs>
              <w:spacing w:after="40"/>
              <w:rPr>
                <w:sz w:val="20"/>
              </w:rPr>
            </w:pPr>
            <w:r w:rsidRPr="000615AB">
              <w:rPr>
                <w:bCs/>
                <w:sz w:val="20"/>
              </w:rPr>
              <w:t xml:space="preserve">MR </w:t>
            </w:r>
          </w:p>
        </w:tc>
        <w:tc>
          <w:tcPr>
            <w:tcW w:w="7194" w:type="dxa"/>
            <w:shd w:val="clear" w:color="auto" w:fill="auto"/>
          </w:tcPr>
          <w:p w:rsidR="00383888" w:rsidRPr="000615AB" w:rsidRDefault="00383888" w:rsidP="00B47699">
            <w:pPr>
              <w:widowControl w:val="0"/>
              <w:tabs>
                <w:tab w:val="left" w:pos="2127"/>
              </w:tabs>
              <w:spacing w:after="40"/>
              <w:rPr>
                <w:bCs/>
                <w:sz w:val="20"/>
              </w:rPr>
            </w:pPr>
            <w:r w:rsidRPr="000615AB">
              <w:rPr>
                <w:bCs/>
                <w:sz w:val="20"/>
              </w:rPr>
              <w:t>Marco de resultados</w:t>
            </w:r>
          </w:p>
        </w:tc>
      </w:tr>
      <w:tr w:rsidR="00383888" w:rsidRPr="000615AB" w:rsidTr="00B47699">
        <w:tc>
          <w:tcPr>
            <w:tcW w:w="1985" w:type="dxa"/>
            <w:shd w:val="clear" w:color="auto" w:fill="auto"/>
          </w:tcPr>
          <w:p w:rsidR="00383888" w:rsidRPr="000615AB" w:rsidRDefault="00383888" w:rsidP="00B47699">
            <w:pPr>
              <w:widowControl w:val="0"/>
              <w:tabs>
                <w:tab w:val="left" w:pos="2127"/>
              </w:tabs>
              <w:spacing w:after="40"/>
              <w:rPr>
                <w:bCs/>
                <w:sz w:val="20"/>
              </w:rPr>
            </w:pPr>
          </w:p>
        </w:tc>
        <w:tc>
          <w:tcPr>
            <w:tcW w:w="7194" w:type="dxa"/>
            <w:shd w:val="clear" w:color="auto" w:fill="auto"/>
          </w:tcPr>
          <w:p w:rsidR="00383888" w:rsidRPr="000615AB" w:rsidRDefault="00383888" w:rsidP="00B47699">
            <w:pPr>
              <w:widowControl w:val="0"/>
              <w:tabs>
                <w:tab w:val="left" w:pos="2127"/>
              </w:tabs>
              <w:spacing w:after="40"/>
              <w:rPr>
                <w:bCs/>
                <w:sz w:val="20"/>
              </w:rPr>
            </w:pPr>
          </w:p>
        </w:tc>
      </w:tr>
      <w:tr w:rsidR="00383888" w:rsidRPr="000615AB" w:rsidTr="00B47699">
        <w:tc>
          <w:tcPr>
            <w:tcW w:w="1985" w:type="dxa"/>
            <w:shd w:val="clear" w:color="auto" w:fill="auto"/>
          </w:tcPr>
          <w:p w:rsidR="00383888" w:rsidRPr="000615AB" w:rsidRDefault="00383888" w:rsidP="008921D7">
            <w:pPr>
              <w:widowControl w:val="0"/>
              <w:tabs>
                <w:tab w:val="left" w:pos="2127"/>
              </w:tabs>
              <w:spacing w:after="40"/>
              <w:rPr>
                <w:b/>
                <w:sz w:val="20"/>
              </w:rPr>
            </w:pPr>
            <w:r>
              <w:rPr>
                <w:b/>
                <w:sz w:val="20"/>
              </w:rPr>
              <w:t>N</w:t>
            </w:r>
            <w:r w:rsidRPr="00B71354">
              <w:rPr>
                <w:sz w:val="20"/>
              </w:rPr>
              <w:t>.</w:t>
            </w:r>
            <w:r w:rsidR="008921D7">
              <w:rPr>
                <w:sz w:val="20"/>
              </w:rPr>
              <w:t>d</w:t>
            </w:r>
            <w:r>
              <w:rPr>
                <w:sz w:val="20"/>
              </w:rPr>
              <w:t>.</w:t>
            </w:r>
          </w:p>
        </w:tc>
        <w:tc>
          <w:tcPr>
            <w:tcW w:w="7194" w:type="dxa"/>
            <w:shd w:val="clear" w:color="auto" w:fill="auto"/>
          </w:tcPr>
          <w:p w:rsidR="00383888" w:rsidRPr="000615AB" w:rsidRDefault="00383888" w:rsidP="00B47699">
            <w:pPr>
              <w:widowControl w:val="0"/>
              <w:tabs>
                <w:tab w:val="left" w:pos="2127"/>
              </w:tabs>
              <w:spacing w:after="40"/>
              <w:rPr>
                <w:sz w:val="20"/>
              </w:rPr>
            </w:pPr>
            <w:r>
              <w:rPr>
                <w:sz w:val="20"/>
              </w:rPr>
              <w:t>No disponible</w:t>
            </w:r>
          </w:p>
        </w:tc>
      </w:tr>
      <w:tr w:rsidR="00383888" w:rsidRPr="000615AB" w:rsidTr="00B47699">
        <w:tc>
          <w:tcPr>
            <w:tcW w:w="1985" w:type="dxa"/>
            <w:shd w:val="clear" w:color="auto" w:fill="auto"/>
          </w:tcPr>
          <w:p w:rsidR="00383888" w:rsidRPr="000615AB" w:rsidRDefault="00383888" w:rsidP="00B47699">
            <w:pPr>
              <w:widowControl w:val="0"/>
              <w:tabs>
                <w:tab w:val="left" w:pos="2127"/>
              </w:tabs>
              <w:spacing w:after="40"/>
              <w:rPr>
                <w:sz w:val="20"/>
              </w:rPr>
            </w:pPr>
            <w:r w:rsidRPr="00B71354">
              <w:rPr>
                <w:sz w:val="20"/>
              </w:rPr>
              <w:t>N</w:t>
            </w:r>
            <w:r w:rsidRPr="000615AB">
              <w:rPr>
                <w:sz w:val="20"/>
              </w:rPr>
              <w:t xml:space="preserve">N.UU. </w:t>
            </w:r>
          </w:p>
        </w:tc>
        <w:tc>
          <w:tcPr>
            <w:tcW w:w="7194" w:type="dxa"/>
            <w:shd w:val="clear" w:color="auto" w:fill="auto"/>
          </w:tcPr>
          <w:p w:rsidR="00383888" w:rsidRPr="000615AB" w:rsidRDefault="00383888" w:rsidP="00B47699">
            <w:pPr>
              <w:widowControl w:val="0"/>
              <w:tabs>
                <w:tab w:val="left" w:pos="2127"/>
              </w:tabs>
              <w:spacing w:after="40"/>
              <w:rPr>
                <w:sz w:val="20"/>
              </w:rPr>
            </w:pPr>
            <w:r w:rsidRPr="000615AB">
              <w:rPr>
                <w:sz w:val="20"/>
              </w:rPr>
              <w:t>Naciones Unidas</w:t>
            </w:r>
          </w:p>
        </w:tc>
      </w:tr>
      <w:tr w:rsidR="00383888" w:rsidRPr="000615AB" w:rsidTr="00B47699">
        <w:tc>
          <w:tcPr>
            <w:tcW w:w="1985" w:type="dxa"/>
            <w:shd w:val="clear" w:color="auto" w:fill="auto"/>
          </w:tcPr>
          <w:p w:rsidR="00383888" w:rsidRPr="000615AB" w:rsidRDefault="00383888" w:rsidP="00B47699">
            <w:pPr>
              <w:widowControl w:val="0"/>
              <w:tabs>
                <w:tab w:val="left" w:pos="2127"/>
              </w:tabs>
              <w:spacing w:after="40"/>
              <w:rPr>
                <w:sz w:val="20"/>
              </w:rPr>
            </w:pPr>
          </w:p>
        </w:tc>
        <w:tc>
          <w:tcPr>
            <w:tcW w:w="7194" w:type="dxa"/>
            <w:shd w:val="clear" w:color="auto" w:fill="auto"/>
          </w:tcPr>
          <w:p w:rsidR="00383888" w:rsidRPr="000615AB" w:rsidRDefault="00383888" w:rsidP="00B47699">
            <w:pPr>
              <w:widowControl w:val="0"/>
              <w:tabs>
                <w:tab w:val="left" w:pos="2127"/>
              </w:tabs>
              <w:spacing w:after="40"/>
              <w:rPr>
                <w:sz w:val="20"/>
              </w:rPr>
            </w:pPr>
          </w:p>
        </w:tc>
      </w:tr>
      <w:tr w:rsidR="00383888" w:rsidRPr="000615AB" w:rsidTr="00B47699">
        <w:tc>
          <w:tcPr>
            <w:tcW w:w="1985" w:type="dxa"/>
            <w:shd w:val="clear" w:color="auto" w:fill="auto"/>
          </w:tcPr>
          <w:p w:rsidR="00383888" w:rsidRPr="000615AB" w:rsidRDefault="00383888" w:rsidP="00B47699">
            <w:pPr>
              <w:widowControl w:val="0"/>
              <w:tabs>
                <w:tab w:val="left" w:pos="2127"/>
              </w:tabs>
              <w:spacing w:after="40"/>
              <w:rPr>
                <w:sz w:val="20"/>
              </w:rPr>
            </w:pPr>
            <w:r w:rsidRPr="000615AB">
              <w:rPr>
                <w:b/>
                <w:bCs/>
                <w:sz w:val="20"/>
              </w:rPr>
              <w:t>O</w:t>
            </w:r>
            <w:r w:rsidRPr="000615AB">
              <w:rPr>
                <w:bCs/>
                <w:sz w:val="20"/>
              </w:rPr>
              <w:t>AMI</w:t>
            </w:r>
          </w:p>
        </w:tc>
        <w:tc>
          <w:tcPr>
            <w:tcW w:w="7194" w:type="dxa"/>
            <w:shd w:val="clear" w:color="auto" w:fill="auto"/>
          </w:tcPr>
          <w:p w:rsidR="00383888" w:rsidRPr="000615AB" w:rsidRDefault="00383888" w:rsidP="00B47699">
            <w:pPr>
              <w:widowControl w:val="0"/>
              <w:tabs>
                <w:tab w:val="left" w:pos="2127"/>
              </w:tabs>
              <w:spacing w:after="40"/>
              <w:rPr>
                <w:bCs/>
                <w:sz w:val="20"/>
              </w:rPr>
            </w:pPr>
            <w:r w:rsidRPr="000615AB">
              <w:rPr>
                <w:bCs/>
                <w:sz w:val="20"/>
              </w:rPr>
              <w:t>Oficina de Armonización del Mercado Interior</w:t>
            </w:r>
          </w:p>
        </w:tc>
      </w:tr>
      <w:tr w:rsidR="00383888" w:rsidRPr="000615AB" w:rsidTr="00B47699">
        <w:tc>
          <w:tcPr>
            <w:tcW w:w="1985" w:type="dxa"/>
            <w:shd w:val="clear" w:color="auto" w:fill="auto"/>
          </w:tcPr>
          <w:p w:rsidR="00383888" w:rsidRPr="000615AB" w:rsidRDefault="00383888" w:rsidP="00B47699">
            <w:pPr>
              <w:widowControl w:val="0"/>
              <w:tabs>
                <w:tab w:val="left" w:pos="2127"/>
              </w:tabs>
              <w:spacing w:after="40"/>
              <w:rPr>
                <w:sz w:val="20"/>
              </w:rPr>
            </w:pPr>
            <w:r w:rsidRPr="000615AB">
              <w:rPr>
                <w:bCs/>
                <w:sz w:val="20"/>
              </w:rPr>
              <w:t xml:space="preserve">OAPI </w:t>
            </w:r>
          </w:p>
        </w:tc>
        <w:tc>
          <w:tcPr>
            <w:tcW w:w="7194" w:type="dxa"/>
            <w:shd w:val="clear" w:color="auto" w:fill="auto"/>
          </w:tcPr>
          <w:p w:rsidR="00383888" w:rsidRPr="000615AB" w:rsidRDefault="00383888" w:rsidP="00B47699">
            <w:pPr>
              <w:widowControl w:val="0"/>
              <w:tabs>
                <w:tab w:val="left" w:pos="2127"/>
              </w:tabs>
              <w:spacing w:after="40"/>
              <w:rPr>
                <w:bCs/>
                <w:sz w:val="20"/>
              </w:rPr>
            </w:pPr>
            <w:r w:rsidRPr="000615AB">
              <w:rPr>
                <w:bCs/>
                <w:sz w:val="20"/>
              </w:rPr>
              <w:t>Organización Africana de la Propiedad Intelectual</w:t>
            </w:r>
          </w:p>
        </w:tc>
      </w:tr>
      <w:tr w:rsidR="00383888" w:rsidRPr="000615AB" w:rsidTr="00B47699">
        <w:tc>
          <w:tcPr>
            <w:tcW w:w="1985" w:type="dxa"/>
            <w:shd w:val="clear" w:color="auto" w:fill="auto"/>
          </w:tcPr>
          <w:p w:rsidR="00383888" w:rsidRPr="000615AB" w:rsidRDefault="00383888" w:rsidP="00B47699">
            <w:pPr>
              <w:widowControl w:val="0"/>
              <w:tabs>
                <w:tab w:val="left" w:pos="2127"/>
              </w:tabs>
              <w:spacing w:after="40"/>
              <w:rPr>
                <w:bCs/>
                <w:sz w:val="20"/>
              </w:rPr>
            </w:pPr>
            <w:r w:rsidRPr="000615AB">
              <w:rPr>
                <w:bCs/>
                <w:sz w:val="20"/>
              </w:rPr>
              <w:t xml:space="preserve">ODM </w:t>
            </w:r>
          </w:p>
        </w:tc>
        <w:tc>
          <w:tcPr>
            <w:tcW w:w="7194" w:type="dxa"/>
            <w:shd w:val="clear" w:color="auto" w:fill="auto"/>
          </w:tcPr>
          <w:p w:rsidR="00383888" w:rsidRPr="000615AB" w:rsidRDefault="00383888" w:rsidP="00B47699">
            <w:pPr>
              <w:widowControl w:val="0"/>
              <w:tabs>
                <w:tab w:val="left" w:pos="2127"/>
              </w:tabs>
              <w:spacing w:after="40"/>
              <w:rPr>
                <w:bCs/>
                <w:sz w:val="20"/>
              </w:rPr>
            </w:pPr>
            <w:r w:rsidRPr="000615AB">
              <w:rPr>
                <w:bCs/>
                <w:sz w:val="20"/>
              </w:rPr>
              <w:t>Objetivos de Desarrollo del Milenio</w:t>
            </w:r>
          </w:p>
        </w:tc>
      </w:tr>
      <w:tr w:rsidR="00383888" w:rsidRPr="000615AB" w:rsidTr="00B47699">
        <w:tc>
          <w:tcPr>
            <w:tcW w:w="1985" w:type="dxa"/>
            <w:shd w:val="clear" w:color="auto" w:fill="auto"/>
          </w:tcPr>
          <w:p w:rsidR="00383888" w:rsidRPr="000615AB" w:rsidRDefault="00383888" w:rsidP="00B47699">
            <w:pPr>
              <w:widowControl w:val="0"/>
              <w:tabs>
                <w:tab w:val="left" w:pos="2127"/>
              </w:tabs>
              <w:spacing w:after="40"/>
              <w:rPr>
                <w:sz w:val="20"/>
              </w:rPr>
            </w:pPr>
            <w:r w:rsidRPr="000615AB">
              <w:rPr>
                <w:sz w:val="20"/>
              </w:rPr>
              <w:t xml:space="preserve">OEP </w:t>
            </w:r>
          </w:p>
        </w:tc>
        <w:tc>
          <w:tcPr>
            <w:tcW w:w="7194" w:type="dxa"/>
            <w:shd w:val="clear" w:color="auto" w:fill="auto"/>
          </w:tcPr>
          <w:p w:rsidR="00383888" w:rsidRPr="000615AB" w:rsidRDefault="00383888" w:rsidP="00B47699">
            <w:pPr>
              <w:widowControl w:val="0"/>
              <w:tabs>
                <w:tab w:val="left" w:pos="2127"/>
              </w:tabs>
              <w:spacing w:after="40"/>
              <w:rPr>
                <w:sz w:val="20"/>
              </w:rPr>
            </w:pPr>
            <w:r w:rsidRPr="000615AB">
              <w:rPr>
                <w:sz w:val="20"/>
              </w:rPr>
              <w:t>Oficina Europea de Patentes</w:t>
            </w:r>
          </w:p>
        </w:tc>
      </w:tr>
      <w:tr w:rsidR="00383888" w:rsidRPr="000615AB" w:rsidTr="00B47699">
        <w:tc>
          <w:tcPr>
            <w:tcW w:w="1985" w:type="dxa"/>
            <w:shd w:val="clear" w:color="auto" w:fill="auto"/>
          </w:tcPr>
          <w:p w:rsidR="00383888" w:rsidRPr="000615AB" w:rsidRDefault="00383888" w:rsidP="00B47699">
            <w:pPr>
              <w:widowControl w:val="0"/>
              <w:tabs>
                <w:tab w:val="left" w:pos="2127"/>
              </w:tabs>
              <w:spacing w:after="40"/>
              <w:rPr>
                <w:sz w:val="20"/>
              </w:rPr>
            </w:pPr>
            <w:r w:rsidRPr="000615AB">
              <w:rPr>
                <w:sz w:val="20"/>
              </w:rPr>
              <w:t xml:space="preserve">OGC </w:t>
            </w:r>
          </w:p>
        </w:tc>
        <w:tc>
          <w:tcPr>
            <w:tcW w:w="7194" w:type="dxa"/>
            <w:shd w:val="clear" w:color="auto" w:fill="auto"/>
          </w:tcPr>
          <w:p w:rsidR="00383888" w:rsidRPr="000615AB" w:rsidRDefault="00383888" w:rsidP="00B47699">
            <w:pPr>
              <w:widowControl w:val="0"/>
              <w:tabs>
                <w:tab w:val="left" w:pos="2127"/>
              </w:tabs>
              <w:spacing w:after="40"/>
              <w:rPr>
                <w:sz w:val="20"/>
              </w:rPr>
            </w:pPr>
            <w:r>
              <w:rPr>
                <w:sz w:val="20"/>
              </w:rPr>
              <w:t>O</w:t>
            </w:r>
            <w:r w:rsidRPr="000615AB">
              <w:rPr>
                <w:sz w:val="20"/>
              </w:rPr>
              <w:t>rganismos de gestión colectiva</w:t>
            </w:r>
          </w:p>
        </w:tc>
      </w:tr>
      <w:tr w:rsidR="00383888" w:rsidRPr="000615AB" w:rsidTr="00B47699">
        <w:tc>
          <w:tcPr>
            <w:tcW w:w="1985" w:type="dxa"/>
            <w:shd w:val="clear" w:color="auto" w:fill="auto"/>
          </w:tcPr>
          <w:p w:rsidR="00383888" w:rsidRPr="000615AB" w:rsidRDefault="00383888" w:rsidP="00B47699">
            <w:pPr>
              <w:widowControl w:val="0"/>
              <w:tabs>
                <w:tab w:val="left" w:pos="2127"/>
              </w:tabs>
              <w:spacing w:after="40"/>
              <w:rPr>
                <w:sz w:val="20"/>
              </w:rPr>
            </w:pPr>
            <w:r w:rsidRPr="000615AB">
              <w:rPr>
                <w:sz w:val="20"/>
              </w:rPr>
              <w:t xml:space="preserve">OIG </w:t>
            </w:r>
          </w:p>
        </w:tc>
        <w:tc>
          <w:tcPr>
            <w:tcW w:w="7194" w:type="dxa"/>
            <w:shd w:val="clear" w:color="auto" w:fill="auto"/>
          </w:tcPr>
          <w:p w:rsidR="00383888" w:rsidRPr="000615AB" w:rsidRDefault="00383888" w:rsidP="00B47699">
            <w:pPr>
              <w:widowControl w:val="0"/>
              <w:tabs>
                <w:tab w:val="left" w:pos="2127"/>
              </w:tabs>
              <w:spacing w:after="40"/>
              <w:rPr>
                <w:sz w:val="20"/>
              </w:rPr>
            </w:pPr>
            <w:r w:rsidRPr="000615AB">
              <w:rPr>
                <w:sz w:val="20"/>
              </w:rPr>
              <w:t>Organizaciones intergubernamentales</w:t>
            </w:r>
          </w:p>
        </w:tc>
      </w:tr>
      <w:tr w:rsidR="00383888" w:rsidRPr="000615AB" w:rsidTr="00B47699">
        <w:tc>
          <w:tcPr>
            <w:tcW w:w="1985" w:type="dxa"/>
            <w:shd w:val="clear" w:color="auto" w:fill="auto"/>
          </w:tcPr>
          <w:p w:rsidR="00383888" w:rsidRPr="000615AB" w:rsidRDefault="00383888" w:rsidP="00B47699">
            <w:pPr>
              <w:widowControl w:val="0"/>
              <w:tabs>
                <w:tab w:val="left" w:pos="2127"/>
              </w:tabs>
              <w:spacing w:after="40"/>
              <w:rPr>
                <w:sz w:val="20"/>
              </w:rPr>
            </w:pPr>
            <w:r w:rsidRPr="000615AB">
              <w:rPr>
                <w:bCs/>
                <w:sz w:val="20"/>
              </w:rPr>
              <w:t xml:space="preserve">OMA </w:t>
            </w:r>
          </w:p>
        </w:tc>
        <w:tc>
          <w:tcPr>
            <w:tcW w:w="7194" w:type="dxa"/>
            <w:shd w:val="clear" w:color="auto" w:fill="auto"/>
          </w:tcPr>
          <w:p w:rsidR="00383888" w:rsidRPr="000615AB" w:rsidRDefault="00383888" w:rsidP="00B47699">
            <w:pPr>
              <w:widowControl w:val="0"/>
              <w:tabs>
                <w:tab w:val="left" w:pos="2127"/>
              </w:tabs>
              <w:spacing w:after="40"/>
              <w:rPr>
                <w:bCs/>
                <w:sz w:val="20"/>
              </w:rPr>
            </w:pPr>
            <w:r w:rsidRPr="000615AB">
              <w:rPr>
                <w:bCs/>
                <w:sz w:val="20"/>
              </w:rPr>
              <w:t>Organización Mundial de Aduanas</w:t>
            </w:r>
          </w:p>
        </w:tc>
      </w:tr>
      <w:tr w:rsidR="00383888" w:rsidRPr="000615AB" w:rsidTr="00B47699">
        <w:tc>
          <w:tcPr>
            <w:tcW w:w="1985" w:type="dxa"/>
            <w:shd w:val="clear" w:color="auto" w:fill="auto"/>
          </w:tcPr>
          <w:p w:rsidR="00383888" w:rsidRPr="000615AB" w:rsidRDefault="00383888" w:rsidP="00B47699">
            <w:pPr>
              <w:widowControl w:val="0"/>
              <w:tabs>
                <w:tab w:val="left" w:pos="2127"/>
              </w:tabs>
              <w:spacing w:after="40"/>
              <w:rPr>
                <w:sz w:val="20"/>
              </w:rPr>
            </w:pPr>
            <w:r w:rsidRPr="000615AB">
              <w:rPr>
                <w:sz w:val="20"/>
              </w:rPr>
              <w:t xml:space="preserve">OMC </w:t>
            </w:r>
          </w:p>
        </w:tc>
        <w:tc>
          <w:tcPr>
            <w:tcW w:w="7194" w:type="dxa"/>
            <w:shd w:val="clear" w:color="auto" w:fill="auto"/>
          </w:tcPr>
          <w:p w:rsidR="00383888" w:rsidRPr="000615AB" w:rsidRDefault="00383888" w:rsidP="00B47699">
            <w:pPr>
              <w:widowControl w:val="0"/>
              <w:tabs>
                <w:tab w:val="left" w:pos="2127"/>
              </w:tabs>
              <w:spacing w:after="40"/>
              <w:rPr>
                <w:sz w:val="20"/>
              </w:rPr>
            </w:pPr>
            <w:r w:rsidRPr="000615AB">
              <w:rPr>
                <w:sz w:val="20"/>
              </w:rPr>
              <w:t>Organización Mundial del Comercio</w:t>
            </w:r>
          </w:p>
        </w:tc>
      </w:tr>
      <w:tr w:rsidR="00383888" w:rsidRPr="000615AB" w:rsidTr="00B47699">
        <w:tc>
          <w:tcPr>
            <w:tcW w:w="1985" w:type="dxa"/>
            <w:shd w:val="clear" w:color="auto" w:fill="auto"/>
          </w:tcPr>
          <w:p w:rsidR="00383888" w:rsidRPr="000615AB" w:rsidRDefault="00383888" w:rsidP="00B47699">
            <w:pPr>
              <w:widowControl w:val="0"/>
              <w:tabs>
                <w:tab w:val="left" w:pos="2127"/>
              </w:tabs>
              <w:spacing w:after="40"/>
              <w:rPr>
                <w:sz w:val="20"/>
              </w:rPr>
            </w:pPr>
            <w:r w:rsidRPr="000615AB">
              <w:rPr>
                <w:sz w:val="20"/>
              </w:rPr>
              <w:t xml:space="preserve">OMS </w:t>
            </w:r>
          </w:p>
        </w:tc>
        <w:tc>
          <w:tcPr>
            <w:tcW w:w="7194" w:type="dxa"/>
            <w:shd w:val="clear" w:color="auto" w:fill="auto"/>
          </w:tcPr>
          <w:p w:rsidR="00383888" w:rsidRPr="000615AB" w:rsidRDefault="00383888" w:rsidP="00B47699">
            <w:pPr>
              <w:widowControl w:val="0"/>
              <w:tabs>
                <w:tab w:val="left" w:pos="2127"/>
              </w:tabs>
              <w:spacing w:after="40"/>
              <w:rPr>
                <w:sz w:val="20"/>
              </w:rPr>
            </w:pPr>
            <w:r w:rsidRPr="000615AB">
              <w:rPr>
                <w:sz w:val="20"/>
              </w:rPr>
              <w:t>Organización Mundial de la Salud</w:t>
            </w:r>
          </w:p>
        </w:tc>
      </w:tr>
      <w:tr w:rsidR="00383888" w:rsidRPr="000615AB" w:rsidTr="00B47699">
        <w:tc>
          <w:tcPr>
            <w:tcW w:w="1985" w:type="dxa"/>
            <w:shd w:val="clear" w:color="auto" w:fill="auto"/>
          </w:tcPr>
          <w:p w:rsidR="00383888" w:rsidRPr="000615AB" w:rsidRDefault="00383888" w:rsidP="00B47699">
            <w:pPr>
              <w:widowControl w:val="0"/>
              <w:tabs>
                <w:tab w:val="left" w:pos="2127"/>
              </w:tabs>
              <w:spacing w:after="40"/>
              <w:rPr>
                <w:sz w:val="20"/>
              </w:rPr>
            </w:pPr>
            <w:r w:rsidRPr="000615AB">
              <w:rPr>
                <w:bCs/>
                <w:sz w:val="20"/>
              </w:rPr>
              <w:t xml:space="preserve">ONG </w:t>
            </w:r>
          </w:p>
        </w:tc>
        <w:tc>
          <w:tcPr>
            <w:tcW w:w="7194" w:type="dxa"/>
            <w:shd w:val="clear" w:color="auto" w:fill="auto"/>
          </w:tcPr>
          <w:p w:rsidR="00383888" w:rsidRPr="000615AB" w:rsidRDefault="00383888" w:rsidP="00B47699">
            <w:pPr>
              <w:widowControl w:val="0"/>
              <w:tabs>
                <w:tab w:val="left" w:pos="2127"/>
              </w:tabs>
              <w:spacing w:after="40"/>
              <w:rPr>
                <w:bCs/>
                <w:sz w:val="20"/>
              </w:rPr>
            </w:pPr>
            <w:r w:rsidRPr="000615AB">
              <w:rPr>
                <w:bCs/>
                <w:sz w:val="20"/>
              </w:rPr>
              <w:t>Organización no gubernamental</w:t>
            </w:r>
          </w:p>
        </w:tc>
      </w:tr>
      <w:tr w:rsidR="00383888" w:rsidRPr="000615AB" w:rsidTr="00B47699">
        <w:tc>
          <w:tcPr>
            <w:tcW w:w="1985" w:type="dxa"/>
            <w:shd w:val="clear" w:color="auto" w:fill="auto"/>
          </w:tcPr>
          <w:p w:rsidR="00383888" w:rsidRPr="000615AB" w:rsidRDefault="00383888" w:rsidP="00B47699">
            <w:pPr>
              <w:widowControl w:val="0"/>
              <w:tabs>
                <w:tab w:val="left" w:pos="2127"/>
              </w:tabs>
              <w:spacing w:after="40"/>
              <w:rPr>
                <w:sz w:val="20"/>
              </w:rPr>
            </w:pPr>
            <w:r w:rsidRPr="000615AB">
              <w:rPr>
                <w:sz w:val="20"/>
              </w:rPr>
              <w:t xml:space="preserve">ONUDI </w:t>
            </w:r>
          </w:p>
        </w:tc>
        <w:tc>
          <w:tcPr>
            <w:tcW w:w="7194" w:type="dxa"/>
            <w:shd w:val="clear" w:color="auto" w:fill="auto"/>
          </w:tcPr>
          <w:p w:rsidR="00383888" w:rsidRPr="000615AB" w:rsidRDefault="00383888" w:rsidP="00B47699">
            <w:pPr>
              <w:widowControl w:val="0"/>
              <w:tabs>
                <w:tab w:val="left" w:pos="2127"/>
              </w:tabs>
              <w:spacing w:after="40"/>
              <w:rPr>
                <w:sz w:val="20"/>
              </w:rPr>
            </w:pPr>
            <w:r w:rsidRPr="000615AB">
              <w:rPr>
                <w:sz w:val="20"/>
              </w:rPr>
              <w:t>Organización de las Naciones Unidas para el Desarrollo Industrial</w:t>
            </w:r>
          </w:p>
        </w:tc>
      </w:tr>
      <w:tr w:rsidR="00383888" w:rsidRPr="000615AB" w:rsidTr="00B47699">
        <w:tc>
          <w:tcPr>
            <w:tcW w:w="1985" w:type="dxa"/>
            <w:shd w:val="clear" w:color="auto" w:fill="auto"/>
          </w:tcPr>
          <w:p w:rsidR="00383888" w:rsidRPr="000615AB" w:rsidRDefault="00383888" w:rsidP="00B47699">
            <w:pPr>
              <w:widowControl w:val="0"/>
              <w:tabs>
                <w:tab w:val="left" w:pos="2127"/>
              </w:tabs>
              <w:spacing w:after="40"/>
              <w:rPr>
                <w:sz w:val="20"/>
              </w:rPr>
            </w:pPr>
            <w:r w:rsidRPr="000615AB">
              <w:rPr>
                <w:sz w:val="20"/>
              </w:rPr>
              <w:t>OOB</w:t>
            </w:r>
          </w:p>
        </w:tc>
        <w:tc>
          <w:tcPr>
            <w:tcW w:w="7194" w:type="dxa"/>
            <w:shd w:val="clear" w:color="auto" w:fill="auto"/>
          </w:tcPr>
          <w:p w:rsidR="00383888" w:rsidRPr="000615AB" w:rsidRDefault="00383888" w:rsidP="00B47699">
            <w:pPr>
              <w:widowControl w:val="0"/>
              <w:tabs>
                <w:tab w:val="left" w:pos="2127"/>
              </w:tabs>
              <w:spacing w:after="40"/>
              <w:rPr>
                <w:sz w:val="20"/>
              </w:rPr>
            </w:pPr>
            <w:r w:rsidRPr="000615AB">
              <w:rPr>
                <w:sz w:val="20"/>
              </w:rPr>
              <w:t>Oficina de la OMPI en el Brasil</w:t>
            </w:r>
          </w:p>
        </w:tc>
      </w:tr>
      <w:tr w:rsidR="00383888" w:rsidRPr="000615AB" w:rsidTr="00B47699">
        <w:tc>
          <w:tcPr>
            <w:tcW w:w="1985" w:type="dxa"/>
            <w:shd w:val="clear" w:color="auto" w:fill="auto"/>
          </w:tcPr>
          <w:p w:rsidR="00383888" w:rsidRPr="000615AB" w:rsidRDefault="00383888" w:rsidP="00B47699">
            <w:pPr>
              <w:widowControl w:val="0"/>
              <w:tabs>
                <w:tab w:val="left" w:pos="2127"/>
              </w:tabs>
              <w:spacing w:after="40"/>
              <w:rPr>
                <w:sz w:val="20"/>
              </w:rPr>
            </w:pPr>
            <w:r w:rsidRPr="000615AB">
              <w:rPr>
                <w:sz w:val="20"/>
              </w:rPr>
              <w:t>OOJ</w:t>
            </w:r>
          </w:p>
        </w:tc>
        <w:tc>
          <w:tcPr>
            <w:tcW w:w="7194" w:type="dxa"/>
            <w:shd w:val="clear" w:color="auto" w:fill="auto"/>
          </w:tcPr>
          <w:p w:rsidR="00383888" w:rsidRPr="000615AB" w:rsidRDefault="00383888" w:rsidP="00B47699">
            <w:pPr>
              <w:widowControl w:val="0"/>
              <w:tabs>
                <w:tab w:val="left" w:pos="2127"/>
              </w:tabs>
              <w:spacing w:after="40"/>
              <w:rPr>
                <w:sz w:val="20"/>
              </w:rPr>
            </w:pPr>
            <w:r w:rsidRPr="000615AB">
              <w:rPr>
                <w:sz w:val="20"/>
              </w:rPr>
              <w:t>Oficina de la OMPI en el Japón</w:t>
            </w:r>
          </w:p>
        </w:tc>
      </w:tr>
      <w:tr w:rsidR="00383888" w:rsidRPr="000615AB" w:rsidTr="00B47699">
        <w:tc>
          <w:tcPr>
            <w:tcW w:w="1985" w:type="dxa"/>
            <w:shd w:val="clear" w:color="auto" w:fill="auto"/>
          </w:tcPr>
          <w:p w:rsidR="00383888" w:rsidRPr="000615AB" w:rsidRDefault="00383888" w:rsidP="00B47699">
            <w:pPr>
              <w:widowControl w:val="0"/>
              <w:tabs>
                <w:tab w:val="left" w:pos="2127"/>
              </w:tabs>
              <w:spacing w:after="40"/>
              <w:rPr>
                <w:sz w:val="20"/>
              </w:rPr>
            </w:pPr>
            <w:r w:rsidRPr="000615AB">
              <w:rPr>
                <w:sz w:val="20"/>
              </w:rPr>
              <w:t xml:space="preserve">OOS </w:t>
            </w:r>
          </w:p>
        </w:tc>
        <w:tc>
          <w:tcPr>
            <w:tcW w:w="7194" w:type="dxa"/>
            <w:shd w:val="clear" w:color="auto" w:fill="auto"/>
          </w:tcPr>
          <w:p w:rsidR="00383888" w:rsidRPr="000615AB" w:rsidRDefault="00383888" w:rsidP="00B47699">
            <w:pPr>
              <w:widowControl w:val="0"/>
              <w:tabs>
                <w:tab w:val="left" w:pos="2127"/>
              </w:tabs>
              <w:spacing w:after="40"/>
              <w:rPr>
                <w:sz w:val="20"/>
              </w:rPr>
            </w:pPr>
            <w:r w:rsidRPr="000615AB">
              <w:rPr>
                <w:sz w:val="20"/>
              </w:rPr>
              <w:t>Oficina de la OMPI en Singapur</w:t>
            </w:r>
          </w:p>
        </w:tc>
      </w:tr>
      <w:tr w:rsidR="00383888" w:rsidRPr="000615AB" w:rsidTr="00B47699">
        <w:tc>
          <w:tcPr>
            <w:tcW w:w="1985" w:type="dxa"/>
            <w:shd w:val="clear" w:color="auto" w:fill="auto"/>
          </w:tcPr>
          <w:p w:rsidR="00383888" w:rsidRPr="000615AB" w:rsidRDefault="00383888" w:rsidP="00B47699">
            <w:pPr>
              <w:widowControl w:val="0"/>
              <w:tabs>
                <w:tab w:val="left" w:pos="2127"/>
              </w:tabs>
              <w:spacing w:after="40"/>
              <w:rPr>
                <w:sz w:val="20"/>
              </w:rPr>
            </w:pPr>
            <w:r w:rsidRPr="000615AB">
              <w:rPr>
                <w:bCs/>
                <w:sz w:val="20"/>
              </w:rPr>
              <w:t>OPD</w:t>
            </w:r>
          </w:p>
        </w:tc>
        <w:tc>
          <w:tcPr>
            <w:tcW w:w="7194" w:type="dxa"/>
            <w:shd w:val="clear" w:color="auto" w:fill="auto"/>
          </w:tcPr>
          <w:p w:rsidR="00383888" w:rsidRPr="000615AB" w:rsidRDefault="00383888" w:rsidP="00B47699">
            <w:pPr>
              <w:widowControl w:val="0"/>
              <w:tabs>
                <w:tab w:val="left" w:pos="2127"/>
              </w:tabs>
              <w:spacing w:after="40"/>
              <w:rPr>
                <w:bCs/>
                <w:sz w:val="20"/>
              </w:rPr>
            </w:pPr>
            <w:r w:rsidRPr="000615AB">
              <w:rPr>
                <w:bCs/>
                <w:sz w:val="20"/>
              </w:rPr>
              <w:t>Sistema OPD (</w:t>
            </w:r>
            <w:r w:rsidRPr="00D023AB">
              <w:rPr>
                <w:bCs/>
                <w:i/>
                <w:sz w:val="20"/>
              </w:rPr>
              <w:t>One Portal Dossier</w:t>
            </w:r>
            <w:r w:rsidRPr="000615AB">
              <w:rPr>
                <w:bCs/>
                <w:sz w:val="20"/>
              </w:rPr>
              <w:t>)</w:t>
            </w:r>
          </w:p>
        </w:tc>
      </w:tr>
      <w:tr w:rsidR="00383888" w:rsidRPr="000615AB" w:rsidTr="00B47699">
        <w:tc>
          <w:tcPr>
            <w:tcW w:w="1985" w:type="dxa"/>
            <w:shd w:val="clear" w:color="auto" w:fill="auto"/>
          </w:tcPr>
          <w:p w:rsidR="00383888" w:rsidRPr="000615AB" w:rsidRDefault="00383888" w:rsidP="00B47699">
            <w:pPr>
              <w:widowControl w:val="0"/>
              <w:tabs>
                <w:tab w:val="left" w:pos="2127"/>
              </w:tabs>
              <w:spacing w:after="40"/>
              <w:rPr>
                <w:sz w:val="20"/>
              </w:rPr>
            </w:pPr>
            <w:r w:rsidRPr="000615AB">
              <w:rPr>
                <w:sz w:val="20"/>
              </w:rPr>
              <w:t xml:space="preserve">OPI </w:t>
            </w:r>
          </w:p>
        </w:tc>
        <w:tc>
          <w:tcPr>
            <w:tcW w:w="7194" w:type="dxa"/>
            <w:shd w:val="clear" w:color="auto" w:fill="auto"/>
          </w:tcPr>
          <w:p w:rsidR="00383888" w:rsidRPr="000615AB" w:rsidRDefault="00383888" w:rsidP="00B47699">
            <w:pPr>
              <w:widowControl w:val="0"/>
              <w:tabs>
                <w:tab w:val="left" w:pos="2127"/>
              </w:tabs>
              <w:spacing w:after="40"/>
              <w:rPr>
                <w:sz w:val="20"/>
              </w:rPr>
            </w:pPr>
            <w:r w:rsidRPr="000615AB">
              <w:rPr>
                <w:sz w:val="20"/>
              </w:rPr>
              <w:t>Oficina de Propiedad Intelectual</w:t>
            </w:r>
          </w:p>
        </w:tc>
      </w:tr>
      <w:tr w:rsidR="00383888" w:rsidRPr="000615AB" w:rsidTr="00B47699">
        <w:tc>
          <w:tcPr>
            <w:tcW w:w="1985" w:type="dxa"/>
            <w:shd w:val="clear" w:color="auto" w:fill="auto"/>
          </w:tcPr>
          <w:p w:rsidR="00383888" w:rsidRPr="000615AB" w:rsidRDefault="00383888" w:rsidP="00B47699">
            <w:pPr>
              <w:widowControl w:val="0"/>
              <w:tabs>
                <w:tab w:val="left" w:pos="2127"/>
              </w:tabs>
              <w:spacing w:after="40"/>
              <w:rPr>
                <w:sz w:val="20"/>
              </w:rPr>
            </w:pPr>
            <w:r w:rsidRPr="000615AB">
              <w:rPr>
                <w:sz w:val="20"/>
              </w:rPr>
              <w:t xml:space="preserve">OTT </w:t>
            </w:r>
          </w:p>
        </w:tc>
        <w:tc>
          <w:tcPr>
            <w:tcW w:w="7194" w:type="dxa"/>
            <w:shd w:val="clear" w:color="auto" w:fill="auto"/>
          </w:tcPr>
          <w:p w:rsidR="00383888" w:rsidRPr="000615AB" w:rsidRDefault="00383888" w:rsidP="00B47699">
            <w:pPr>
              <w:widowControl w:val="0"/>
              <w:tabs>
                <w:tab w:val="left" w:pos="2127"/>
              </w:tabs>
              <w:spacing w:after="40"/>
              <w:rPr>
                <w:sz w:val="20"/>
              </w:rPr>
            </w:pPr>
            <w:r w:rsidRPr="000615AB">
              <w:rPr>
                <w:sz w:val="20"/>
              </w:rPr>
              <w:t>Oficina de Transferencia de Tecnología</w:t>
            </w:r>
          </w:p>
        </w:tc>
      </w:tr>
      <w:tr w:rsidR="00383888" w:rsidRPr="000615AB" w:rsidTr="00B47699">
        <w:tc>
          <w:tcPr>
            <w:tcW w:w="1985" w:type="dxa"/>
            <w:shd w:val="clear" w:color="auto" w:fill="auto"/>
          </w:tcPr>
          <w:p w:rsidR="00383888" w:rsidRPr="000615AB" w:rsidRDefault="00383888" w:rsidP="00B47699">
            <w:pPr>
              <w:widowControl w:val="0"/>
              <w:tabs>
                <w:tab w:val="left" w:pos="2127"/>
              </w:tabs>
              <w:spacing w:after="40"/>
              <w:rPr>
                <w:sz w:val="20"/>
              </w:rPr>
            </w:pPr>
          </w:p>
        </w:tc>
        <w:tc>
          <w:tcPr>
            <w:tcW w:w="7194" w:type="dxa"/>
            <w:shd w:val="clear" w:color="auto" w:fill="auto"/>
          </w:tcPr>
          <w:p w:rsidR="00383888" w:rsidRPr="000615AB" w:rsidRDefault="00383888" w:rsidP="00B47699">
            <w:pPr>
              <w:widowControl w:val="0"/>
              <w:tabs>
                <w:tab w:val="left" w:pos="2127"/>
              </w:tabs>
              <w:spacing w:after="40"/>
              <w:rPr>
                <w:sz w:val="20"/>
              </w:rPr>
            </w:pPr>
          </w:p>
        </w:tc>
      </w:tr>
      <w:tr w:rsidR="00383888" w:rsidRPr="000615AB" w:rsidTr="00B47699">
        <w:tc>
          <w:tcPr>
            <w:tcW w:w="1985" w:type="dxa"/>
            <w:shd w:val="clear" w:color="auto" w:fill="auto"/>
          </w:tcPr>
          <w:p w:rsidR="00383888" w:rsidRPr="000615AB" w:rsidRDefault="00383888" w:rsidP="00B47699">
            <w:pPr>
              <w:widowControl w:val="0"/>
              <w:tabs>
                <w:tab w:val="left" w:pos="2127"/>
              </w:tabs>
              <w:spacing w:after="40"/>
              <w:rPr>
                <w:sz w:val="20"/>
              </w:rPr>
            </w:pPr>
            <w:r w:rsidRPr="000615AB">
              <w:rPr>
                <w:b/>
                <w:sz w:val="20"/>
              </w:rPr>
              <w:t>P</w:t>
            </w:r>
            <w:r w:rsidRPr="000615AB">
              <w:rPr>
                <w:sz w:val="20"/>
              </w:rPr>
              <w:t xml:space="preserve">.I. </w:t>
            </w:r>
          </w:p>
        </w:tc>
        <w:tc>
          <w:tcPr>
            <w:tcW w:w="7194" w:type="dxa"/>
            <w:shd w:val="clear" w:color="auto" w:fill="auto"/>
          </w:tcPr>
          <w:p w:rsidR="00383888" w:rsidRPr="000615AB" w:rsidRDefault="00383888" w:rsidP="00B47699">
            <w:pPr>
              <w:widowControl w:val="0"/>
              <w:tabs>
                <w:tab w:val="left" w:pos="2127"/>
              </w:tabs>
              <w:spacing w:after="40"/>
              <w:rPr>
                <w:sz w:val="20"/>
              </w:rPr>
            </w:pPr>
            <w:r w:rsidRPr="000615AB">
              <w:rPr>
                <w:sz w:val="20"/>
              </w:rPr>
              <w:t>Propiedad intelectual</w:t>
            </w:r>
          </w:p>
        </w:tc>
      </w:tr>
      <w:tr w:rsidR="00383888" w:rsidRPr="000615AB" w:rsidTr="00B47699">
        <w:tc>
          <w:tcPr>
            <w:tcW w:w="1985" w:type="dxa"/>
            <w:shd w:val="clear" w:color="auto" w:fill="auto"/>
          </w:tcPr>
          <w:p w:rsidR="00383888" w:rsidRPr="000615AB" w:rsidRDefault="00383888" w:rsidP="00B47699">
            <w:pPr>
              <w:widowControl w:val="0"/>
              <w:tabs>
                <w:tab w:val="left" w:pos="2127"/>
              </w:tabs>
              <w:spacing w:after="40"/>
              <w:rPr>
                <w:sz w:val="20"/>
              </w:rPr>
            </w:pPr>
            <w:r w:rsidRPr="000615AB">
              <w:rPr>
                <w:sz w:val="20"/>
              </w:rPr>
              <w:t xml:space="preserve">PAE </w:t>
            </w:r>
          </w:p>
        </w:tc>
        <w:tc>
          <w:tcPr>
            <w:tcW w:w="7194" w:type="dxa"/>
            <w:shd w:val="clear" w:color="auto" w:fill="auto"/>
          </w:tcPr>
          <w:p w:rsidR="00383888" w:rsidRPr="000615AB" w:rsidRDefault="00383888" w:rsidP="00B47699">
            <w:pPr>
              <w:widowControl w:val="0"/>
              <w:tabs>
                <w:tab w:val="left" w:pos="2127"/>
              </w:tabs>
              <w:spacing w:after="40"/>
              <w:rPr>
                <w:sz w:val="20"/>
              </w:rPr>
            </w:pPr>
            <w:r w:rsidRPr="000615AB">
              <w:rPr>
                <w:sz w:val="20"/>
              </w:rPr>
              <w:t>Programa de Alineación Estratégica</w:t>
            </w:r>
          </w:p>
        </w:tc>
      </w:tr>
      <w:tr w:rsidR="00383888" w:rsidRPr="000615AB" w:rsidTr="00B47699">
        <w:tc>
          <w:tcPr>
            <w:tcW w:w="1985" w:type="dxa"/>
            <w:shd w:val="clear" w:color="auto" w:fill="auto"/>
          </w:tcPr>
          <w:p w:rsidR="00383888" w:rsidRPr="000615AB" w:rsidRDefault="00383888" w:rsidP="00B47699">
            <w:pPr>
              <w:widowControl w:val="0"/>
              <w:tabs>
                <w:tab w:val="left" w:pos="2127"/>
              </w:tabs>
              <w:spacing w:after="40"/>
              <w:rPr>
                <w:sz w:val="20"/>
              </w:rPr>
            </w:pPr>
            <w:r w:rsidRPr="000615AB">
              <w:rPr>
                <w:bCs/>
                <w:sz w:val="20"/>
              </w:rPr>
              <w:t xml:space="preserve">PCT </w:t>
            </w:r>
          </w:p>
        </w:tc>
        <w:tc>
          <w:tcPr>
            <w:tcW w:w="7194" w:type="dxa"/>
            <w:shd w:val="clear" w:color="auto" w:fill="auto"/>
          </w:tcPr>
          <w:p w:rsidR="00383888" w:rsidRPr="000615AB" w:rsidRDefault="00383888" w:rsidP="00B47699">
            <w:pPr>
              <w:widowControl w:val="0"/>
              <w:tabs>
                <w:tab w:val="left" w:pos="2127"/>
              </w:tabs>
              <w:spacing w:after="40"/>
              <w:rPr>
                <w:bCs/>
                <w:sz w:val="20"/>
              </w:rPr>
            </w:pPr>
            <w:r w:rsidRPr="000615AB">
              <w:rPr>
                <w:bCs/>
                <w:sz w:val="20"/>
              </w:rPr>
              <w:t>Tratado de Cooperación en materia de Patentes</w:t>
            </w:r>
          </w:p>
        </w:tc>
      </w:tr>
      <w:tr w:rsidR="00383888" w:rsidRPr="000615AB" w:rsidTr="00B47699">
        <w:tc>
          <w:tcPr>
            <w:tcW w:w="1985" w:type="dxa"/>
            <w:shd w:val="clear" w:color="auto" w:fill="auto"/>
          </w:tcPr>
          <w:p w:rsidR="00383888" w:rsidRPr="000615AB" w:rsidRDefault="00383888" w:rsidP="00B47699">
            <w:pPr>
              <w:widowControl w:val="0"/>
              <w:tabs>
                <w:tab w:val="left" w:pos="2127"/>
              </w:tabs>
              <w:spacing w:after="40"/>
              <w:rPr>
                <w:sz w:val="20"/>
              </w:rPr>
            </w:pPr>
            <w:r w:rsidRPr="000615AB">
              <w:rPr>
                <w:sz w:val="20"/>
              </w:rPr>
              <w:t xml:space="preserve">PEMP </w:t>
            </w:r>
          </w:p>
        </w:tc>
        <w:tc>
          <w:tcPr>
            <w:tcW w:w="7194" w:type="dxa"/>
            <w:shd w:val="clear" w:color="auto" w:fill="auto"/>
          </w:tcPr>
          <w:p w:rsidR="00383888" w:rsidRPr="000615AB" w:rsidRDefault="00383888" w:rsidP="00B47699">
            <w:pPr>
              <w:widowControl w:val="0"/>
              <w:tabs>
                <w:tab w:val="left" w:pos="2127"/>
              </w:tabs>
              <w:spacing w:after="40"/>
              <w:rPr>
                <w:sz w:val="20"/>
              </w:rPr>
            </w:pPr>
            <w:r w:rsidRPr="000615AB">
              <w:rPr>
                <w:sz w:val="20"/>
              </w:rPr>
              <w:t>Plan Estratégico a Mediano Plazo</w:t>
            </w:r>
          </w:p>
        </w:tc>
      </w:tr>
      <w:tr w:rsidR="00383888" w:rsidRPr="000615AB" w:rsidTr="00B47699">
        <w:tc>
          <w:tcPr>
            <w:tcW w:w="1985" w:type="dxa"/>
            <w:shd w:val="clear" w:color="auto" w:fill="auto"/>
          </w:tcPr>
          <w:p w:rsidR="00383888" w:rsidRPr="000615AB" w:rsidRDefault="00383888" w:rsidP="00B47699">
            <w:pPr>
              <w:widowControl w:val="0"/>
              <w:tabs>
                <w:tab w:val="left" w:pos="2127"/>
              </w:tabs>
              <w:spacing w:after="40"/>
              <w:rPr>
                <w:sz w:val="20"/>
              </w:rPr>
            </w:pPr>
            <w:r w:rsidRPr="000615AB">
              <w:rPr>
                <w:sz w:val="20"/>
              </w:rPr>
              <w:t xml:space="preserve">PLT </w:t>
            </w:r>
          </w:p>
        </w:tc>
        <w:tc>
          <w:tcPr>
            <w:tcW w:w="7194" w:type="dxa"/>
            <w:shd w:val="clear" w:color="auto" w:fill="auto"/>
          </w:tcPr>
          <w:p w:rsidR="00383888" w:rsidRPr="000615AB" w:rsidRDefault="00383888" w:rsidP="00B47699">
            <w:pPr>
              <w:widowControl w:val="0"/>
              <w:tabs>
                <w:tab w:val="left" w:pos="2127"/>
              </w:tabs>
              <w:spacing w:after="40"/>
              <w:rPr>
                <w:sz w:val="20"/>
              </w:rPr>
            </w:pPr>
            <w:r w:rsidRPr="000615AB">
              <w:rPr>
                <w:sz w:val="20"/>
              </w:rPr>
              <w:t>Tratado sobre el Derecho de Patentes</w:t>
            </w:r>
          </w:p>
        </w:tc>
      </w:tr>
      <w:tr w:rsidR="00383888" w:rsidRPr="000615AB" w:rsidTr="00B47699">
        <w:tc>
          <w:tcPr>
            <w:tcW w:w="1985" w:type="dxa"/>
            <w:shd w:val="clear" w:color="auto" w:fill="auto"/>
          </w:tcPr>
          <w:p w:rsidR="00383888" w:rsidRPr="000615AB" w:rsidRDefault="00383888" w:rsidP="00B47699">
            <w:pPr>
              <w:widowControl w:val="0"/>
              <w:tabs>
                <w:tab w:val="left" w:pos="2127"/>
              </w:tabs>
              <w:spacing w:after="40"/>
              <w:rPr>
                <w:sz w:val="20"/>
              </w:rPr>
            </w:pPr>
            <w:r w:rsidRPr="000615AB">
              <w:rPr>
                <w:bCs/>
                <w:sz w:val="20"/>
              </w:rPr>
              <w:t xml:space="preserve">PMA </w:t>
            </w:r>
          </w:p>
        </w:tc>
        <w:tc>
          <w:tcPr>
            <w:tcW w:w="7194" w:type="dxa"/>
            <w:shd w:val="clear" w:color="auto" w:fill="auto"/>
          </w:tcPr>
          <w:p w:rsidR="00383888" w:rsidRPr="000615AB" w:rsidRDefault="00383888" w:rsidP="00B47699">
            <w:pPr>
              <w:widowControl w:val="0"/>
              <w:tabs>
                <w:tab w:val="left" w:pos="2127"/>
              </w:tabs>
              <w:spacing w:after="40"/>
              <w:rPr>
                <w:bCs/>
                <w:sz w:val="20"/>
              </w:rPr>
            </w:pPr>
            <w:r w:rsidRPr="000615AB">
              <w:rPr>
                <w:bCs/>
                <w:sz w:val="20"/>
              </w:rPr>
              <w:t>Países menos adelantados</w:t>
            </w:r>
          </w:p>
        </w:tc>
      </w:tr>
      <w:tr w:rsidR="00383888" w:rsidRPr="000615AB" w:rsidTr="00B47699">
        <w:tc>
          <w:tcPr>
            <w:tcW w:w="1985" w:type="dxa"/>
            <w:shd w:val="clear" w:color="auto" w:fill="auto"/>
          </w:tcPr>
          <w:p w:rsidR="00383888" w:rsidRPr="000615AB" w:rsidRDefault="00383888" w:rsidP="00B47699">
            <w:pPr>
              <w:widowControl w:val="0"/>
              <w:tabs>
                <w:tab w:val="left" w:pos="2127"/>
              </w:tabs>
              <w:spacing w:after="40"/>
              <w:rPr>
                <w:sz w:val="20"/>
              </w:rPr>
            </w:pPr>
            <w:r w:rsidRPr="000615AB">
              <w:rPr>
                <w:sz w:val="20"/>
              </w:rPr>
              <w:t xml:space="preserve">PMSDS </w:t>
            </w:r>
          </w:p>
        </w:tc>
        <w:tc>
          <w:tcPr>
            <w:tcW w:w="7194" w:type="dxa"/>
            <w:shd w:val="clear" w:color="auto" w:fill="auto"/>
          </w:tcPr>
          <w:p w:rsidR="00383888" w:rsidRPr="000615AB" w:rsidRDefault="00383888" w:rsidP="00B47699">
            <w:pPr>
              <w:widowControl w:val="0"/>
              <w:tabs>
                <w:tab w:val="left" w:pos="2127"/>
              </w:tabs>
              <w:spacing w:after="40"/>
              <w:rPr>
                <w:sz w:val="20"/>
              </w:rPr>
            </w:pPr>
            <w:r w:rsidRPr="000615AB">
              <w:rPr>
                <w:sz w:val="20"/>
              </w:rPr>
              <w:t>Sistema de Gestión del Desempeño y el Perfeccionamiento del Personal</w:t>
            </w:r>
          </w:p>
        </w:tc>
      </w:tr>
      <w:tr w:rsidR="00383888" w:rsidRPr="000615AB" w:rsidTr="00B47699">
        <w:tc>
          <w:tcPr>
            <w:tcW w:w="1985" w:type="dxa"/>
            <w:shd w:val="clear" w:color="auto" w:fill="auto"/>
          </w:tcPr>
          <w:p w:rsidR="00383888" w:rsidRPr="000615AB" w:rsidRDefault="00C40A11" w:rsidP="00B47699">
            <w:pPr>
              <w:widowControl w:val="0"/>
              <w:tabs>
                <w:tab w:val="left" w:pos="2127"/>
              </w:tabs>
              <w:spacing w:after="40"/>
              <w:rPr>
                <w:sz w:val="20"/>
              </w:rPr>
            </w:pPr>
            <w:r>
              <w:rPr>
                <w:noProof/>
                <w:sz w:val="20"/>
                <w:lang w:val="en-US" w:eastAsia="en-US"/>
              </w:rPr>
              <mc:AlternateContent>
                <mc:Choice Requires="wps">
                  <w:drawing>
                    <wp:anchor distT="0" distB="0" distL="114300" distR="114300" simplePos="0" relativeHeight="251658752" behindDoc="0" locked="0" layoutInCell="0" allowOverlap="1" wp14:anchorId="762BF988" wp14:editId="1010CDFF">
                      <wp:simplePos x="0" y="0"/>
                      <wp:positionH relativeFrom="column">
                        <wp:posOffset>-2118995</wp:posOffset>
                      </wp:positionH>
                      <wp:positionV relativeFrom="paragraph">
                        <wp:posOffset>83185</wp:posOffset>
                      </wp:positionV>
                      <wp:extent cx="731520" cy="1097280"/>
                      <wp:effectExtent l="5080" t="6985" r="6350" b="1016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1097280"/>
                              </a:xfrm>
                              <a:prstGeom prst="rect">
                                <a:avLst/>
                              </a:prstGeom>
                              <a:solidFill>
                                <a:srgbClr val="FFFFFF"/>
                              </a:solidFill>
                              <a:ln w="9525">
                                <a:solidFill>
                                  <a:srgbClr val="000000"/>
                                </a:solidFill>
                                <a:miter lim="800000"/>
                                <a:headEnd/>
                                <a:tailEnd/>
                              </a:ln>
                            </wps:spPr>
                            <wps:txbx>
                              <w:txbxContent>
                                <w:p w:rsidR="00391FE9" w:rsidRDefault="00391FE9" w:rsidP="00383888">
                                  <w:pPr>
                                    <w:pStyle w:val="BodyText2"/>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166.85pt;margin-top:6.55pt;width:57.6pt;height:86.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" o:allowincell="f">
                      <v:textbox>
                        <w:txbxContent>
                          <w:p w:rsidR="00551FDA" w:rsidRDefault="00551FDA" w:rsidP="00383888">
                            <w:pPr>
                              <w:pStyle w:val="BodyText2"/>
                            </w:pPr>
                          </w:p>
                        </w:txbxContent>
                      </v:textbox>
                    </v:shape>
                  </w:pict>
                </mc:Fallback>
              </mc:AlternateContent>
            </w:r>
            <w:r w:rsidR="00383888" w:rsidRPr="000615AB">
              <w:rPr>
                <w:sz w:val="20"/>
              </w:rPr>
              <w:t xml:space="preserve">PNUMA </w:t>
            </w:r>
          </w:p>
        </w:tc>
        <w:tc>
          <w:tcPr>
            <w:tcW w:w="7194" w:type="dxa"/>
            <w:shd w:val="clear" w:color="auto" w:fill="auto"/>
          </w:tcPr>
          <w:p w:rsidR="00383888" w:rsidRPr="000615AB" w:rsidRDefault="00383888" w:rsidP="00B47699">
            <w:pPr>
              <w:widowControl w:val="0"/>
              <w:tabs>
                <w:tab w:val="left" w:pos="2127"/>
              </w:tabs>
              <w:spacing w:after="40"/>
              <w:rPr>
                <w:sz w:val="20"/>
              </w:rPr>
            </w:pPr>
            <w:r w:rsidRPr="000615AB">
              <w:rPr>
                <w:sz w:val="20"/>
              </w:rPr>
              <w:t>Programa de las Naciones Unidas para el Medio Ambiente</w:t>
            </w:r>
          </w:p>
        </w:tc>
      </w:tr>
      <w:tr w:rsidR="00383888" w:rsidRPr="000615AB" w:rsidTr="00B47699">
        <w:tc>
          <w:tcPr>
            <w:tcW w:w="1985" w:type="dxa"/>
            <w:shd w:val="clear" w:color="auto" w:fill="auto"/>
          </w:tcPr>
          <w:p w:rsidR="00383888" w:rsidRPr="000615AB" w:rsidRDefault="00383888" w:rsidP="00B47699">
            <w:pPr>
              <w:widowControl w:val="0"/>
              <w:tabs>
                <w:tab w:val="left" w:pos="2127"/>
              </w:tabs>
              <w:spacing w:after="40"/>
              <w:rPr>
                <w:sz w:val="20"/>
              </w:rPr>
            </w:pPr>
            <w:r w:rsidRPr="000615AB">
              <w:rPr>
                <w:sz w:val="20"/>
              </w:rPr>
              <w:t>Política Uniforme</w:t>
            </w:r>
          </w:p>
        </w:tc>
        <w:tc>
          <w:tcPr>
            <w:tcW w:w="7194" w:type="dxa"/>
            <w:shd w:val="clear" w:color="auto" w:fill="auto"/>
          </w:tcPr>
          <w:p w:rsidR="00383888" w:rsidRPr="000615AB" w:rsidRDefault="00383888" w:rsidP="00B47699">
            <w:pPr>
              <w:widowControl w:val="0"/>
              <w:tabs>
                <w:tab w:val="left" w:pos="2127"/>
              </w:tabs>
              <w:spacing w:after="40"/>
              <w:rPr>
                <w:sz w:val="20"/>
              </w:rPr>
            </w:pPr>
            <w:r w:rsidRPr="000615AB">
              <w:rPr>
                <w:sz w:val="20"/>
              </w:rPr>
              <w:t>Política Uniforme de Solución de Controversias en materia de Nombres de Dominio</w:t>
            </w:r>
          </w:p>
        </w:tc>
      </w:tr>
      <w:tr w:rsidR="00383888" w:rsidRPr="000615AB" w:rsidTr="00B47699">
        <w:tc>
          <w:tcPr>
            <w:tcW w:w="1985" w:type="dxa"/>
            <w:shd w:val="clear" w:color="auto" w:fill="auto"/>
          </w:tcPr>
          <w:p w:rsidR="00383888" w:rsidRPr="000615AB" w:rsidRDefault="00383888" w:rsidP="00B47699">
            <w:pPr>
              <w:widowControl w:val="0"/>
              <w:tabs>
                <w:tab w:val="left" w:pos="2127"/>
              </w:tabs>
              <w:spacing w:after="180"/>
              <w:rPr>
                <w:sz w:val="20"/>
              </w:rPr>
            </w:pPr>
            <w:r w:rsidRPr="000615AB">
              <w:rPr>
                <w:sz w:val="20"/>
              </w:rPr>
              <w:t xml:space="preserve">PPR </w:t>
            </w:r>
          </w:p>
        </w:tc>
        <w:tc>
          <w:tcPr>
            <w:tcW w:w="7194" w:type="dxa"/>
            <w:shd w:val="clear" w:color="auto" w:fill="auto"/>
          </w:tcPr>
          <w:p w:rsidR="00383888" w:rsidRPr="000615AB" w:rsidRDefault="00383888" w:rsidP="00B47699">
            <w:pPr>
              <w:widowControl w:val="0"/>
              <w:tabs>
                <w:tab w:val="left" w:pos="2127"/>
              </w:tabs>
              <w:spacing w:after="180"/>
              <w:rPr>
                <w:sz w:val="20"/>
              </w:rPr>
            </w:pPr>
            <w:r w:rsidRPr="000615AB">
              <w:rPr>
                <w:sz w:val="20"/>
              </w:rPr>
              <w:t>Informe sobre el rendimiento de los programas</w:t>
            </w:r>
          </w:p>
        </w:tc>
      </w:tr>
      <w:tr w:rsidR="00383888" w:rsidRPr="000615AB" w:rsidTr="00B47699">
        <w:tc>
          <w:tcPr>
            <w:tcW w:w="1985" w:type="dxa"/>
            <w:shd w:val="clear" w:color="auto" w:fill="auto"/>
          </w:tcPr>
          <w:p w:rsidR="00383888" w:rsidRPr="000615AB" w:rsidRDefault="00383888" w:rsidP="00B47699">
            <w:pPr>
              <w:widowControl w:val="0"/>
              <w:rPr>
                <w:sz w:val="20"/>
              </w:rPr>
            </w:pPr>
            <w:r w:rsidRPr="000615AB">
              <w:rPr>
                <w:sz w:val="20"/>
              </w:rPr>
              <w:t xml:space="preserve">PRI </w:t>
            </w:r>
          </w:p>
        </w:tc>
        <w:tc>
          <w:tcPr>
            <w:tcW w:w="7194" w:type="dxa"/>
            <w:shd w:val="clear" w:color="auto" w:fill="auto"/>
          </w:tcPr>
          <w:p w:rsidR="00383888" w:rsidRPr="000615AB" w:rsidRDefault="00383888" w:rsidP="00B47699">
            <w:pPr>
              <w:widowControl w:val="0"/>
              <w:rPr>
                <w:sz w:val="20"/>
              </w:rPr>
            </w:pPr>
            <w:r w:rsidRPr="000615AB">
              <w:rPr>
                <w:sz w:val="20"/>
              </w:rPr>
              <w:t xml:space="preserve">Planificación de los </w:t>
            </w:r>
            <w:r w:rsidR="00391FE9" w:rsidRPr="000615AB">
              <w:rPr>
                <w:sz w:val="20"/>
              </w:rPr>
              <w:t>recursos institucionales</w:t>
            </w:r>
          </w:p>
        </w:tc>
      </w:tr>
      <w:tr w:rsidR="00383888" w:rsidRPr="000615AB" w:rsidTr="00B47699">
        <w:tc>
          <w:tcPr>
            <w:tcW w:w="1985" w:type="dxa"/>
            <w:shd w:val="clear" w:color="auto" w:fill="auto"/>
          </w:tcPr>
          <w:p w:rsidR="00383888" w:rsidRPr="000615AB" w:rsidRDefault="00383888" w:rsidP="00B47699">
            <w:pPr>
              <w:widowControl w:val="0"/>
              <w:tabs>
                <w:tab w:val="left" w:pos="2127"/>
              </w:tabs>
              <w:spacing w:after="40"/>
              <w:rPr>
                <w:sz w:val="20"/>
              </w:rPr>
            </w:pPr>
            <w:r w:rsidRPr="000615AB">
              <w:rPr>
                <w:sz w:val="20"/>
              </w:rPr>
              <w:t xml:space="preserve">Pymes </w:t>
            </w:r>
          </w:p>
        </w:tc>
        <w:tc>
          <w:tcPr>
            <w:tcW w:w="7194" w:type="dxa"/>
            <w:shd w:val="clear" w:color="auto" w:fill="auto"/>
          </w:tcPr>
          <w:p w:rsidR="00383888" w:rsidRPr="000615AB" w:rsidRDefault="00383888" w:rsidP="00B47699">
            <w:pPr>
              <w:widowControl w:val="0"/>
              <w:tabs>
                <w:tab w:val="left" w:pos="2127"/>
              </w:tabs>
              <w:spacing w:after="40"/>
              <w:rPr>
                <w:sz w:val="20"/>
              </w:rPr>
            </w:pPr>
            <w:r w:rsidRPr="000615AB">
              <w:rPr>
                <w:sz w:val="20"/>
              </w:rPr>
              <w:t>Pequeñas y medianas empresas</w:t>
            </w:r>
          </w:p>
        </w:tc>
      </w:tr>
      <w:tr w:rsidR="00383888" w:rsidRPr="000615AB" w:rsidTr="00B47699">
        <w:tc>
          <w:tcPr>
            <w:tcW w:w="1985" w:type="dxa"/>
            <w:shd w:val="clear" w:color="auto" w:fill="auto"/>
          </w:tcPr>
          <w:p w:rsidR="00383888" w:rsidRPr="000615AB" w:rsidRDefault="00383888" w:rsidP="00B47699">
            <w:pPr>
              <w:widowControl w:val="0"/>
              <w:tabs>
                <w:tab w:val="left" w:pos="2127"/>
              </w:tabs>
              <w:spacing w:after="40"/>
              <w:rPr>
                <w:sz w:val="20"/>
              </w:rPr>
            </w:pPr>
          </w:p>
        </w:tc>
        <w:tc>
          <w:tcPr>
            <w:tcW w:w="7194" w:type="dxa"/>
            <w:shd w:val="clear" w:color="auto" w:fill="auto"/>
          </w:tcPr>
          <w:p w:rsidR="00383888" w:rsidRPr="000615AB" w:rsidRDefault="00383888" w:rsidP="00B47699">
            <w:pPr>
              <w:widowControl w:val="0"/>
              <w:tabs>
                <w:tab w:val="left" w:pos="2127"/>
              </w:tabs>
              <w:spacing w:after="40"/>
              <w:rPr>
                <w:sz w:val="20"/>
              </w:rPr>
            </w:pPr>
          </w:p>
        </w:tc>
      </w:tr>
      <w:tr w:rsidR="00383888" w:rsidRPr="000615AB" w:rsidTr="00B47699">
        <w:tc>
          <w:tcPr>
            <w:tcW w:w="1985" w:type="dxa"/>
            <w:shd w:val="clear" w:color="auto" w:fill="auto"/>
          </w:tcPr>
          <w:p w:rsidR="00383888" w:rsidRPr="000615AB" w:rsidRDefault="00383888" w:rsidP="00B47699">
            <w:pPr>
              <w:widowControl w:val="0"/>
              <w:tabs>
                <w:tab w:val="left" w:pos="2127"/>
              </w:tabs>
              <w:spacing w:after="40"/>
              <w:rPr>
                <w:sz w:val="20"/>
              </w:rPr>
            </w:pPr>
            <w:r w:rsidRPr="000615AB">
              <w:rPr>
                <w:sz w:val="20"/>
              </w:rPr>
              <w:t xml:space="preserve">RFP </w:t>
            </w:r>
          </w:p>
        </w:tc>
        <w:tc>
          <w:tcPr>
            <w:tcW w:w="7194" w:type="dxa"/>
            <w:shd w:val="clear" w:color="auto" w:fill="auto"/>
          </w:tcPr>
          <w:p w:rsidR="00383888" w:rsidRPr="000615AB" w:rsidRDefault="00383888" w:rsidP="00B47699">
            <w:pPr>
              <w:widowControl w:val="0"/>
              <w:tabs>
                <w:tab w:val="left" w:pos="2127"/>
              </w:tabs>
              <w:spacing w:after="40"/>
              <w:rPr>
                <w:sz w:val="20"/>
              </w:rPr>
            </w:pPr>
            <w:r w:rsidRPr="000615AB">
              <w:rPr>
                <w:sz w:val="20"/>
              </w:rPr>
              <w:t>Solicitud de propuestas</w:t>
            </w:r>
          </w:p>
        </w:tc>
      </w:tr>
      <w:tr w:rsidR="00383888" w:rsidRPr="000615AB" w:rsidTr="00B47699">
        <w:tc>
          <w:tcPr>
            <w:tcW w:w="1985" w:type="dxa"/>
            <w:shd w:val="clear" w:color="auto" w:fill="auto"/>
          </w:tcPr>
          <w:p w:rsidR="00383888" w:rsidRPr="000615AB" w:rsidRDefault="00383888" w:rsidP="00B47699">
            <w:pPr>
              <w:widowControl w:val="0"/>
              <w:tabs>
                <w:tab w:val="left" w:pos="2127"/>
              </w:tabs>
              <w:spacing w:after="40"/>
              <w:rPr>
                <w:sz w:val="20"/>
              </w:rPr>
            </w:pPr>
            <w:r w:rsidRPr="000615AB">
              <w:rPr>
                <w:sz w:val="20"/>
              </w:rPr>
              <w:t xml:space="preserve">RO </w:t>
            </w:r>
          </w:p>
        </w:tc>
        <w:tc>
          <w:tcPr>
            <w:tcW w:w="7194" w:type="dxa"/>
            <w:shd w:val="clear" w:color="auto" w:fill="auto"/>
          </w:tcPr>
          <w:p w:rsidR="00383888" w:rsidRPr="000615AB" w:rsidRDefault="00383888" w:rsidP="00B47699">
            <w:pPr>
              <w:widowControl w:val="0"/>
              <w:tabs>
                <w:tab w:val="left" w:pos="2127"/>
              </w:tabs>
              <w:spacing w:after="40"/>
              <w:rPr>
                <w:sz w:val="20"/>
              </w:rPr>
            </w:pPr>
            <w:r w:rsidRPr="000615AB">
              <w:rPr>
                <w:sz w:val="20"/>
              </w:rPr>
              <w:t>Oficina receptora</w:t>
            </w:r>
          </w:p>
        </w:tc>
      </w:tr>
      <w:tr w:rsidR="00383888" w:rsidRPr="000615AB" w:rsidTr="00B47699">
        <w:tc>
          <w:tcPr>
            <w:tcW w:w="1985" w:type="dxa"/>
            <w:shd w:val="clear" w:color="auto" w:fill="auto"/>
          </w:tcPr>
          <w:p w:rsidR="00383888" w:rsidRPr="000615AB" w:rsidRDefault="00383888" w:rsidP="00B47699">
            <w:pPr>
              <w:widowControl w:val="0"/>
              <w:tabs>
                <w:tab w:val="left" w:pos="2127"/>
              </w:tabs>
              <w:spacing w:after="40"/>
              <w:rPr>
                <w:sz w:val="20"/>
              </w:rPr>
            </w:pPr>
            <w:r w:rsidRPr="000615AB">
              <w:rPr>
                <w:sz w:val="20"/>
              </w:rPr>
              <w:t>RR.GG.</w:t>
            </w:r>
          </w:p>
        </w:tc>
        <w:tc>
          <w:tcPr>
            <w:tcW w:w="7194" w:type="dxa"/>
            <w:shd w:val="clear" w:color="auto" w:fill="auto"/>
          </w:tcPr>
          <w:p w:rsidR="00383888" w:rsidRPr="000615AB" w:rsidRDefault="00383888" w:rsidP="00B47699">
            <w:pPr>
              <w:widowControl w:val="0"/>
              <w:tabs>
                <w:tab w:val="left" w:pos="2127"/>
              </w:tabs>
              <w:spacing w:after="40"/>
              <w:rPr>
                <w:sz w:val="20"/>
              </w:rPr>
            </w:pPr>
            <w:r w:rsidRPr="000615AB">
              <w:rPr>
                <w:sz w:val="20"/>
              </w:rPr>
              <w:t>Recursos genéticos</w:t>
            </w:r>
          </w:p>
        </w:tc>
      </w:tr>
      <w:tr w:rsidR="00383888" w:rsidRPr="000615AB" w:rsidTr="00B47699">
        <w:tc>
          <w:tcPr>
            <w:tcW w:w="1985" w:type="dxa"/>
            <w:shd w:val="clear" w:color="auto" w:fill="auto"/>
          </w:tcPr>
          <w:p w:rsidR="00383888" w:rsidRPr="000615AB" w:rsidRDefault="00383888" w:rsidP="00B47699">
            <w:pPr>
              <w:widowControl w:val="0"/>
              <w:tabs>
                <w:tab w:val="left" w:pos="2127"/>
              </w:tabs>
              <w:spacing w:after="40"/>
              <w:rPr>
                <w:sz w:val="20"/>
              </w:rPr>
            </w:pPr>
            <w:r w:rsidRPr="000615AB">
              <w:rPr>
                <w:sz w:val="20"/>
              </w:rPr>
              <w:t xml:space="preserve">RR.HH. </w:t>
            </w:r>
          </w:p>
        </w:tc>
        <w:tc>
          <w:tcPr>
            <w:tcW w:w="7194" w:type="dxa"/>
            <w:shd w:val="clear" w:color="auto" w:fill="auto"/>
          </w:tcPr>
          <w:p w:rsidR="00383888" w:rsidRPr="000615AB" w:rsidRDefault="00383888" w:rsidP="00B47699">
            <w:pPr>
              <w:widowControl w:val="0"/>
              <w:tabs>
                <w:tab w:val="left" w:pos="2127"/>
              </w:tabs>
              <w:spacing w:after="40"/>
              <w:rPr>
                <w:sz w:val="20"/>
              </w:rPr>
            </w:pPr>
            <w:r w:rsidRPr="000615AB">
              <w:rPr>
                <w:sz w:val="20"/>
              </w:rPr>
              <w:t>Recursos humanos</w:t>
            </w:r>
          </w:p>
        </w:tc>
      </w:tr>
      <w:tr w:rsidR="00383888" w:rsidRPr="000615AB" w:rsidTr="00B47699">
        <w:tc>
          <w:tcPr>
            <w:tcW w:w="1985" w:type="dxa"/>
            <w:shd w:val="clear" w:color="auto" w:fill="auto"/>
          </w:tcPr>
          <w:p w:rsidR="00383888" w:rsidRPr="000615AB" w:rsidRDefault="00383888" w:rsidP="00B47699">
            <w:pPr>
              <w:widowControl w:val="0"/>
              <w:tabs>
                <w:tab w:val="left" w:pos="2127"/>
              </w:tabs>
              <w:spacing w:after="40"/>
              <w:rPr>
                <w:sz w:val="20"/>
              </w:rPr>
            </w:pPr>
          </w:p>
        </w:tc>
        <w:tc>
          <w:tcPr>
            <w:tcW w:w="7194" w:type="dxa"/>
            <w:shd w:val="clear" w:color="auto" w:fill="auto"/>
          </w:tcPr>
          <w:p w:rsidR="00383888" w:rsidRPr="000615AB" w:rsidRDefault="00383888" w:rsidP="00B47699">
            <w:pPr>
              <w:widowControl w:val="0"/>
              <w:tabs>
                <w:tab w:val="left" w:pos="2127"/>
              </w:tabs>
              <w:spacing w:after="40"/>
              <w:rPr>
                <w:sz w:val="20"/>
              </w:rPr>
            </w:pPr>
          </w:p>
        </w:tc>
      </w:tr>
      <w:tr w:rsidR="00383888" w:rsidRPr="000615AB" w:rsidTr="00B47699">
        <w:tc>
          <w:tcPr>
            <w:tcW w:w="1985" w:type="dxa"/>
            <w:shd w:val="clear" w:color="auto" w:fill="auto"/>
          </w:tcPr>
          <w:p w:rsidR="00383888" w:rsidRPr="000615AB" w:rsidRDefault="00383888" w:rsidP="00B47699">
            <w:pPr>
              <w:widowControl w:val="0"/>
              <w:tabs>
                <w:tab w:val="left" w:pos="2127"/>
              </w:tabs>
              <w:spacing w:after="40"/>
              <w:rPr>
                <w:sz w:val="20"/>
              </w:rPr>
            </w:pPr>
            <w:r w:rsidRPr="000615AB">
              <w:rPr>
                <w:b/>
                <w:bCs/>
                <w:sz w:val="20"/>
              </w:rPr>
              <w:t>S</w:t>
            </w:r>
            <w:r w:rsidRPr="000615AB">
              <w:rPr>
                <w:bCs/>
                <w:sz w:val="20"/>
              </w:rPr>
              <w:t xml:space="preserve">CCR </w:t>
            </w:r>
          </w:p>
        </w:tc>
        <w:tc>
          <w:tcPr>
            <w:tcW w:w="7194" w:type="dxa"/>
            <w:shd w:val="clear" w:color="auto" w:fill="auto"/>
          </w:tcPr>
          <w:p w:rsidR="00383888" w:rsidRPr="000615AB" w:rsidRDefault="00383888" w:rsidP="00B47699">
            <w:pPr>
              <w:widowControl w:val="0"/>
              <w:tabs>
                <w:tab w:val="left" w:pos="2127"/>
              </w:tabs>
              <w:spacing w:after="40"/>
              <w:rPr>
                <w:bCs/>
                <w:sz w:val="20"/>
              </w:rPr>
            </w:pPr>
            <w:r w:rsidRPr="000615AB">
              <w:rPr>
                <w:bCs/>
                <w:sz w:val="20"/>
              </w:rPr>
              <w:t>Comité Permanente de Derecho de Autor y Derechos Conexos</w:t>
            </w:r>
          </w:p>
        </w:tc>
      </w:tr>
      <w:tr w:rsidR="00383888" w:rsidRPr="000615AB" w:rsidTr="00B47699">
        <w:tc>
          <w:tcPr>
            <w:tcW w:w="1985" w:type="dxa"/>
            <w:shd w:val="clear" w:color="auto" w:fill="auto"/>
          </w:tcPr>
          <w:p w:rsidR="00383888" w:rsidRPr="000615AB" w:rsidRDefault="00383888" w:rsidP="00B47699">
            <w:pPr>
              <w:widowControl w:val="0"/>
              <w:tabs>
                <w:tab w:val="left" w:pos="2127"/>
              </w:tabs>
              <w:spacing w:after="40"/>
              <w:rPr>
                <w:sz w:val="20"/>
              </w:rPr>
            </w:pPr>
            <w:r w:rsidRPr="000615AB">
              <w:rPr>
                <w:sz w:val="20"/>
              </w:rPr>
              <w:t xml:space="preserve">SCP </w:t>
            </w:r>
          </w:p>
        </w:tc>
        <w:tc>
          <w:tcPr>
            <w:tcW w:w="7194" w:type="dxa"/>
            <w:shd w:val="clear" w:color="auto" w:fill="auto"/>
          </w:tcPr>
          <w:p w:rsidR="00383888" w:rsidRPr="000615AB" w:rsidRDefault="00383888" w:rsidP="00B47699">
            <w:pPr>
              <w:widowControl w:val="0"/>
              <w:tabs>
                <w:tab w:val="left" w:pos="2127"/>
              </w:tabs>
              <w:spacing w:after="40"/>
              <w:rPr>
                <w:sz w:val="20"/>
              </w:rPr>
            </w:pPr>
            <w:r w:rsidRPr="000615AB">
              <w:rPr>
                <w:sz w:val="20"/>
              </w:rPr>
              <w:t>Comité Permanente sobre el Derecho de Patentes</w:t>
            </w:r>
          </w:p>
        </w:tc>
      </w:tr>
      <w:tr w:rsidR="00383888" w:rsidRPr="000615AB" w:rsidTr="00B47699">
        <w:tc>
          <w:tcPr>
            <w:tcW w:w="1985" w:type="dxa"/>
            <w:shd w:val="clear" w:color="auto" w:fill="auto"/>
          </w:tcPr>
          <w:p w:rsidR="00383888" w:rsidRPr="000615AB" w:rsidRDefault="00383888" w:rsidP="00B47699">
            <w:pPr>
              <w:widowControl w:val="0"/>
              <w:tabs>
                <w:tab w:val="left" w:pos="2127"/>
              </w:tabs>
              <w:spacing w:after="40"/>
              <w:rPr>
                <w:sz w:val="20"/>
              </w:rPr>
            </w:pPr>
            <w:r w:rsidRPr="000615AB">
              <w:rPr>
                <w:sz w:val="20"/>
              </w:rPr>
              <w:t xml:space="preserve">SCT </w:t>
            </w:r>
          </w:p>
        </w:tc>
        <w:tc>
          <w:tcPr>
            <w:tcW w:w="7194" w:type="dxa"/>
            <w:shd w:val="clear" w:color="auto" w:fill="auto"/>
          </w:tcPr>
          <w:p w:rsidR="00383888" w:rsidRPr="000615AB" w:rsidRDefault="00383888" w:rsidP="00B47699">
            <w:pPr>
              <w:widowControl w:val="0"/>
              <w:tabs>
                <w:tab w:val="left" w:pos="2127"/>
              </w:tabs>
              <w:spacing w:after="40"/>
              <w:rPr>
                <w:sz w:val="20"/>
              </w:rPr>
            </w:pPr>
            <w:r w:rsidRPr="000615AB">
              <w:rPr>
                <w:sz w:val="20"/>
              </w:rPr>
              <w:t>Comité Permanente sobre el Derecho de Marcas, Diseños Industriales e Indicaciones Geográficas</w:t>
            </w:r>
          </w:p>
        </w:tc>
      </w:tr>
      <w:tr w:rsidR="00383888" w:rsidRPr="000615AB" w:rsidTr="00B47699">
        <w:tc>
          <w:tcPr>
            <w:tcW w:w="1985" w:type="dxa"/>
            <w:shd w:val="clear" w:color="auto" w:fill="auto"/>
          </w:tcPr>
          <w:p w:rsidR="00383888" w:rsidRPr="000615AB" w:rsidRDefault="00383888" w:rsidP="00B47699">
            <w:pPr>
              <w:widowControl w:val="0"/>
              <w:tabs>
                <w:tab w:val="left" w:pos="2127"/>
              </w:tabs>
              <w:spacing w:after="40"/>
              <w:rPr>
                <w:sz w:val="20"/>
              </w:rPr>
            </w:pPr>
          </w:p>
        </w:tc>
        <w:tc>
          <w:tcPr>
            <w:tcW w:w="7194" w:type="dxa"/>
            <w:shd w:val="clear" w:color="auto" w:fill="auto"/>
          </w:tcPr>
          <w:p w:rsidR="00383888" w:rsidRPr="000615AB" w:rsidRDefault="00383888" w:rsidP="00B47699">
            <w:pPr>
              <w:widowControl w:val="0"/>
              <w:tabs>
                <w:tab w:val="left" w:pos="2127"/>
              </w:tabs>
              <w:spacing w:after="40"/>
              <w:rPr>
                <w:sz w:val="20"/>
              </w:rPr>
            </w:pPr>
          </w:p>
        </w:tc>
      </w:tr>
      <w:tr w:rsidR="00383888" w:rsidRPr="000615AB" w:rsidTr="00B47699">
        <w:tc>
          <w:tcPr>
            <w:tcW w:w="1985" w:type="dxa"/>
            <w:shd w:val="clear" w:color="auto" w:fill="auto"/>
          </w:tcPr>
          <w:p w:rsidR="00383888" w:rsidRPr="000615AB" w:rsidRDefault="00383888" w:rsidP="00B47699">
            <w:pPr>
              <w:widowControl w:val="0"/>
              <w:tabs>
                <w:tab w:val="left" w:pos="2127"/>
              </w:tabs>
              <w:spacing w:after="40"/>
              <w:rPr>
                <w:sz w:val="20"/>
              </w:rPr>
            </w:pPr>
            <w:r w:rsidRPr="000615AB">
              <w:rPr>
                <w:b/>
                <w:sz w:val="20"/>
              </w:rPr>
              <w:t>T</w:t>
            </w:r>
            <w:r w:rsidRPr="000615AB">
              <w:rPr>
                <w:sz w:val="20"/>
              </w:rPr>
              <w:t xml:space="preserve">.I. </w:t>
            </w:r>
          </w:p>
        </w:tc>
        <w:tc>
          <w:tcPr>
            <w:tcW w:w="7194" w:type="dxa"/>
            <w:shd w:val="clear" w:color="auto" w:fill="auto"/>
          </w:tcPr>
          <w:p w:rsidR="00383888" w:rsidRPr="000615AB" w:rsidRDefault="00383888" w:rsidP="00B47699">
            <w:pPr>
              <w:widowControl w:val="0"/>
              <w:tabs>
                <w:tab w:val="left" w:pos="2127"/>
              </w:tabs>
              <w:spacing w:after="40"/>
              <w:rPr>
                <w:sz w:val="20"/>
              </w:rPr>
            </w:pPr>
            <w:r w:rsidRPr="000615AB">
              <w:rPr>
                <w:sz w:val="20"/>
              </w:rPr>
              <w:t>Tecnologías de la Información</w:t>
            </w:r>
          </w:p>
        </w:tc>
      </w:tr>
      <w:tr w:rsidR="00383888" w:rsidRPr="000615AB" w:rsidTr="00B47699">
        <w:tc>
          <w:tcPr>
            <w:tcW w:w="1985" w:type="dxa"/>
            <w:shd w:val="clear" w:color="auto" w:fill="auto"/>
          </w:tcPr>
          <w:p w:rsidR="00383888" w:rsidRPr="000615AB" w:rsidRDefault="00383888" w:rsidP="00B47699">
            <w:pPr>
              <w:widowControl w:val="0"/>
              <w:tabs>
                <w:tab w:val="left" w:pos="2127"/>
              </w:tabs>
              <w:spacing w:after="40"/>
              <w:rPr>
                <w:b/>
                <w:bCs/>
                <w:sz w:val="20"/>
              </w:rPr>
            </w:pPr>
            <w:r w:rsidRPr="000615AB">
              <w:rPr>
                <w:bCs/>
                <w:sz w:val="20"/>
              </w:rPr>
              <w:t xml:space="preserve">TA </w:t>
            </w:r>
          </w:p>
        </w:tc>
        <w:tc>
          <w:tcPr>
            <w:tcW w:w="7194" w:type="dxa"/>
            <w:shd w:val="clear" w:color="auto" w:fill="auto"/>
          </w:tcPr>
          <w:p w:rsidR="00383888" w:rsidRPr="000615AB" w:rsidRDefault="00383888" w:rsidP="00B47699">
            <w:pPr>
              <w:widowControl w:val="0"/>
              <w:tabs>
                <w:tab w:val="left" w:pos="2127"/>
              </w:tabs>
              <w:spacing w:after="40"/>
              <w:rPr>
                <w:bCs/>
                <w:sz w:val="20"/>
              </w:rPr>
            </w:pPr>
            <w:r w:rsidRPr="000615AB">
              <w:rPr>
                <w:bCs/>
                <w:sz w:val="20"/>
              </w:rPr>
              <w:t>Autorización de viaje (formulario)</w:t>
            </w:r>
          </w:p>
        </w:tc>
      </w:tr>
      <w:tr w:rsidR="00383888" w:rsidRPr="000615AB" w:rsidTr="00B47699">
        <w:tc>
          <w:tcPr>
            <w:tcW w:w="1985" w:type="dxa"/>
            <w:shd w:val="clear" w:color="auto" w:fill="auto"/>
          </w:tcPr>
          <w:p w:rsidR="00383888" w:rsidRPr="000615AB" w:rsidRDefault="00383888" w:rsidP="00B47699">
            <w:pPr>
              <w:widowControl w:val="0"/>
              <w:tabs>
                <w:tab w:val="left" w:pos="2127"/>
              </w:tabs>
              <w:rPr>
                <w:sz w:val="20"/>
              </w:rPr>
            </w:pPr>
            <w:r w:rsidRPr="000615AB">
              <w:rPr>
                <w:sz w:val="20"/>
              </w:rPr>
              <w:t xml:space="preserve">TIC </w:t>
            </w:r>
          </w:p>
        </w:tc>
        <w:tc>
          <w:tcPr>
            <w:tcW w:w="7194" w:type="dxa"/>
            <w:shd w:val="clear" w:color="auto" w:fill="auto"/>
          </w:tcPr>
          <w:p w:rsidR="00383888" w:rsidRPr="000615AB" w:rsidRDefault="00383888" w:rsidP="00B47699">
            <w:pPr>
              <w:widowControl w:val="0"/>
              <w:tabs>
                <w:tab w:val="left" w:pos="2127"/>
              </w:tabs>
              <w:rPr>
                <w:sz w:val="20"/>
              </w:rPr>
            </w:pPr>
            <w:r w:rsidRPr="000615AB">
              <w:rPr>
                <w:sz w:val="20"/>
              </w:rPr>
              <w:t xml:space="preserve">Tecnologías de la </w:t>
            </w:r>
            <w:r w:rsidR="00391FE9" w:rsidRPr="000615AB">
              <w:rPr>
                <w:sz w:val="20"/>
              </w:rPr>
              <w:t xml:space="preserve">información </w:t>
            </w:r>
            <w:r w:rsidRPr="000615AB">
              <w:rPr>
                <w:sz w:val="20"/>
              </w:rPr>
              <w:t xml:space="preserve">y las </w:t>
            </w:r>
            <w:r w:rsidR="00391FE9" w:rsidRPr="000615AB">
              <w:rPr>
                <w:sz w:val="20"/>
              </w:rPr>
              <w:t>comunicaciones</w:t>
            </w:r>
          </w:p>
        </w:tc>
      </w:tr>
      <w:tr w:rsidR="00383888" w:rsidRPr="00F03303" w:rsidTr="00B47699">
        <w:tc>
          <w:tcPr>
            <w:tcW w:w="1985" w:type="dxa"/>
            <w:shd w:val="clear" w:color="auto" w:fill="auto"/>
          </w:tcPr>
          <w:p w:rsidR="00383888" w:rsidRPr="000615AB" w:rsidRDefault="00383888" w:rsidP="00B47699">
            <w:pPr>
              <w:widowControl w:val="0"/>
              <w:tabs>
                <w:tab w:val="left" w:pos="2127"/>
              </w:tabs>
              <w:spacing w:after="40"/>
              <w:rPr>
                <w:sz w:val="20"/>
              </w:rPr>
            </w:pPr>
            <w:r w:rsidRPr="000615AB">
              <w:rPr>
                <w:sz w:val="20"/>
              </w:rPr>
              <w:lastRenderedPageBreak/>
              <w:t xml:space="preserve">TIGAR </w:t>
            </w:r>
          </w:p>
        </w:tc>
        <w:tc>
          <w:tcPr>
            <w:tcW w:w="7194" w:type="dxa"/>
            <w:shd w:val="clear" w:color="auto" w:fill="auto"/>
          </w:tcPr>
          <w:p w:rsidR="00383888" w:rsidRPr="00D821D3" w:rsidRDefault="00383888" w:rsidP="00B47699">
            <w:pPr>
              <w:widowControl w:val="0"/>
              <w:tabs>
                <w:tab w:val="left" w:pos="2127"/>
              </w:tabs>
              <w:spacing w:after="40"/>
              <w:rPr>
                <w:sz w:val="20"/>
                <w:lang w:val="en-US"/>
              </w:rPr>
            </w:pPr>
            <w:r w:rsidRPr="00D821D3">
              <w:rPr>
                <w:i/>
                <w:sz w:val="20"/>
                <w:lang w:val="en-US"/>
              </w:rPr>
              <w:t>Trusted Intermediary Global Accessible Resources</w:t>
            </w:r>
          </w:p>
        </w:tc>
      </w:tr>
      <w:tr w:rsidR="00383888" w:rsidRPr="00F03303" w:rsidTr="00B47699">
        <w:tc>
          <w:tcPr>
            <w:tcW w:w="1985" w:type="dxa"/>
            <w:shd w:val="clear" w:color="auto" w:fill="auto"/>
          </w:tcPr>
          <w:p w:rsidR="00383888" w:rsidRPr="00D821D3" w:rsidRDefault="00383888" w:rsidP="00B47699">
            <w:pPr>
              <w:widowControl w:val="0"/>
              <w:tabs>
                <w:tab w:val="left" w:pos="2127"/>
              </w:tabs>
              <w:spacing w:after="40"/>
              <w:rPr>
                <w:sz w:val="20"/>
                <w:lang w:val="en-US"/>
              </w:rPr>
            </w:pPr>
          </w:p>
        </w:tc>
        <w:tc>
          <w:tcPr>
            <w:tcW w:w="7194" w:type="dxa"/>
            <w:shd w:val="clear" w:color="auto" w:fill="auto"/>
          </w:tcPr>
          <w:p w:rsidR="00383888" w:rsidRPr="00D821D3" w:rsidRDefault="00383888" w:rsidP="00B47699">
            <w:pPr>
              <w:widowControl w:val="0"/>
              <w:tabs>
                <w:tab w:val="left" w:pos="2127"/>
              </w:tabs>
              <w:spacing w:after="40"/>
              <w:rPr>
                <w:i/>
                <w:sz w:val="20"/>
                <w:lang w:val="en-US"/>
              </w:rPr>
            </w:pPr>
          </w:p>
        </w:tc>
      </w:tr>
      <w:tr w:rsidR="00383888" w:rsidRPr="000615AB" w:rsidTr="00B47699">
        <w:tc>
          <w:tcPr>
            <w:tcW w:w="1985" w:type="dxa"/>
            <w:shd w:val="clear" w:color="auto" w:fill="auto"/>
          </w:tcPr>
          <w:p w:rsidR="00383888" w:rsidRPr="000615AB" w:rsidRDefault="00383888" w:rsidP="00B47699">
            <w:pPr>
              <w:widowControl w:val="0"/>
              <w:tabs>
                <w:tab w:val="left" w:pos="2127"/>
              </w:tabs>
              <w:spacing w:after="40"/>
              <w:rPr>
                <w:sz w:val="20"/>
              </w:rPr>
            </w:pPr>
            <w:r w:rsidRPr="000615AB">
              <w:rPr>
                <w:b/>
                <w:sz w:val="20"/>
              </w:rPr>
              <w:t>U</w:t>
            </w:r>
            <w:r w:rsidRPr="000615AB">
              <w:rPr>
                <w:sz w:val="20"/>
              </w:rPr>
              <w:t xml:space="preserve">E </w:t>
            </w:r>
          </w:p>
        </w:tc>
        <w:tc>
          <w:tcPr>
            <w:tcW w:w="7194" w:type="dxa"/>
            <w:shd w:val="clear" w:color="auto" w:fill="auto"/>
          </w:tcPr>
          <w:p w:rsidR="00383888" w:rsidRPr="000615AB" w:rsidRDefault="00383888" w:rsidP="00B47699">
            <w:pPr>
              <w:widowControl w:val="0"/>
              <w:tabs>
                <w:tab w:val="left" w:pos="2127"/>
              </w:tabs>
              <w:spacing w:after="40"/>
              <w:rPr>
                <w:sz w:val="20"/>
              </w:rPr>
            </w:pPr>
            <w:r w:rsidRPr="000615AB">
              <w:rPr>
                <w:sz w:val="20"/>
              </w:rPr>
              <w:t>Unión Europea</w:t>
            </w:r>
          </w:p>
        </w:tc>
      </w:tr>
      <w:tr w:rsidR="00383888" w:rsidRPr="000615AB" w:rsidTr="00B47699">
        <w:tc>
          <w:tcPr>
            <w:tcW w:w="1985" w:type="dxa"/>
            <w:shd w:val="clear" w:color="auto" w:fill="auto"/>
          </w:tcPr>
          <w:p w:rsidR="00383888" w:rsidRPr="000615AB" w:rsidRDefault="00383888" w:rsidP="00B47699">
            <w:pPr>
              <w:widowControl w:val="0"/>
              <w:tabs>
                <w:tab w:val="left" w:pos="2127"/>
              </w:tabs>
              <w:spacing w:after="40"/>
              <w:rPr>
                <w:sz w:val="20"/>
              </w:rPr>
            </w:pPr>
            <w:r w:rsidRPr="000615AB">
              <w:rPr>
                <w:sz w:val="20"/>
              </w:rPr>
              <w:t xml:space="preserve">UIT </w:t>
            </w:r>
          </w:p>
        </w:tc>
        <w:tc>
          <w:tcPr>
            <w:tcW w:w="7194" w:type="dxa"/>
            <w:shd w:val="clear" w:color="auto" w:fill="auto"/>
          </w:tcPr>
          <w:p w:rsidR="00383888" w:rsidRPr="000615AB" w:rsidRDefault="00383888" w:rsidP="00B47699">
            <w:pPr>
              <w:widowControl w:val="0"/>
              <w:tabs>
                <w:tab w:val="left" w:pos="2127"/>
              </w:tabs>
              <w:spacing w:after="40"/>
              <w:rPr>
                <w:sz w:val="20"/>
              </w:rPr>
            </w:pPr>
            <w:r w:rsidRPr="000615AB">
              <w:rPr>
                <w:sz w:val="20"/>
              </w:rPr>
              <w:t>Unión Internacional de Telecomunicaciones</w:t>
            </w:r>
          </w:p>
        </w:tc>
      </w:tr>
      <w:tr w:rsidR="00383888" w:rsidRPr="000615AB" w:rsidTr="00B47699">
        <w:tc>
          <w:tcPr>
            <w:tcW w:w="1985" w:type="dxa"/>
            <w:shd w:val="clear" w:color="auto" w:fill="auto"/>
          </w:tcPr>
          <w:p w:rsidR="00383888" w:rsidRPr="000615AB" w:rsidRDefault="00383888" w:rsidP="00B47699">
            <w:pPr>
              <w:widowControl w:val="0"/>
              <w:tabs>
                <w:tab w:val="left" w:pos="2127"/>
              </w:tabs>
              <w:spacing w:after="40"/>
              <w:rPr>
                <w:sz w:val="20"/>
              </w:rPr>
            </w:pPr>
            <w:r w:rsidRPr="000615AB">
              <w:rPr>
                <w:sz w:val="20"/>
              </w:rPr>
              <w:t xml:space="preserve">UNCTAD </w:t>
            </w:r>
          </w:p>
        </w:tc>
        <w:tc>
          <w:tcPr>
            <w:tcW w:w="7194" w:type="dxa"/>
            <w:shd w:val="clear" w:color="auto" w:fill="auto"/>
          </w:tcPr>
          <w:p w:rsidR="00383888" w:rsidRPr="000615AB" w:rsidRDefault="00383888" w:rsidP="00B47699">
            <w:pPr>
              <w:widowControl w:val="0"/>
              <w:tabs>
                <w:tab w:val="left" w:pos="2127"/>
              </w:tabs>
              <w:spacing w:after="40"/>
              <w:rPr>
                <w:sz w:val="20"/>
              </w:rPr>
            </w:pPr>
            <w:r w:rsidRPr="000615AB">
              <w:rPr>
                <w:sz w:val="20"/>
              </w:rPr>
              <w:t>Conferencia de las Naciones Unidas sobre Comercio y Desarrollo</w:t>
            </w:r>
          </w:p>
        </w:tc>
      </w:tr>
      <w:tr w:rsidR="00383888" w:rsidRPr="000615AB" w:rsidTr="00B47699">
        <w:tc>
          <w:tcPr>
            <w:tcW w:w="1985" w:type="dxa"/>
            <w:shd w:val="clear" w:color="auto" w:fill="auto"/>
          </w:tcPr>
          <w:p w:rsidR="00383888" w:rsidRPr="000615AB" w:rsidRDefault="00383888" w:rsidP="00B47699">
            <w:pPr>
              <w:widowControl w:val="0"/>
              <w:tabs>
                <w:tab w:val="left" w:pos="2127"/>
              </w:tabs>
              <w:spacing w:after="40"/>
              <w:rPr>
                <w:sz w:val="20"/>
              </w:rPr>
            </w:pPr>
            <w:r w:rsidRPr="000615AB">
              <w:rPr>
                <w:sz w:val="20"/>
              </w:rPr>
              <w:t xml:space="preserve">UNESCO </w:t>
            </w:r>
          </w:p>
        </w:tc>
        <w:tc>
          <w:tcPr>
            <w:tcW w:w="7194" w:type="dxa"/>
            <w:shd w:val="clear" w:color="auto" w:fill="auto"/>
          </w:tcPr>
          <w:p w:rsidR="00383888" w:rsidRPr="000615AB" w:rsidRDefault="00383888" w:rsidP="00B47699">
            <w:pPr>
              <w:widowControl w:val="0"/>
              <w:tabs>
                <w:tab w:val="left" w:pos="2127"/>
              </w:tabs>
              <w:spacing w:after="40"/>
              <w:rPr>
                <w:sz w:val="20"/>
              </w:rPr>
            </w:pPr>
            <w:r w:rsidRPr="000615AB">
              <w:rPr>
                <w:sz w:val="20"/>
              </w:rPr>
              <w:t>Organización de las Naciones Unidas para la Educación, la Ciencia y la Cultura</w:t>
            </w:r>
          </w:p>
        </w:tc>
      </w:tr>
      <w:tr w:rsidR="00383888" w:rsidRPr="000615AB" w:rsidTr="00B47699">
        <w:tc>
          <w:tcPr>
            <w:tcW w:w="1985" w:type="dxa"/>
            <w:shd w:val="clear" w:color="auto" w:fill="auto"/>
          </w:tcPr>
          <w:p w:rsidR="00383888" w:rsidRPr="000615AB" w:rsidRDefault="00383888" w:rsidP="00B47699">
            <w:pPr>
              <w:widowControl w:val="0"/>
              <w:tabs>
                <w:tab w:val="left" w:pos="2127"/>
              </w:tabs>
              <w:spacing w:after="40"/>
              <w:rPr>
                <w:sz w:val="20"/>
              </w:rPr>
            </w:pPr>
            <w:r w:rsidRPr="000615AB">
              <w:rPr>
                <w:sz w:val="20"/>
              </w:rPr>
              <w:t xml:space="preserve">UN-H-MOSS </w:t>
            </w:r>
          </w:p>
        </w:tc>
        <w:tc>
          <w:tcPr>
            <w:tcW w:w="7194" w:type="dxa"/>
            <w:shd w:val="clear" w:color="auto" w:fill="auto"/>
          </w:tcPr>
          <w:p w:rsidR="00383888" w:rsidRPr="000615AB" w:rsidRDefault="00383888" w:rsidP="00B47699">
            <w:pPr>
              <w:widowControl w:val="0"/>
              <w:tabs>
                <w:tab w:val="left" w:pos="2127"/>
              </w:tabs>
              <w:spacing w:after="40"/>
              <w:rPr>
                <w:sz w:val="20"/>
              </w:rPr>
            </w:pPr>
            <w:r w:rsidRPr="000615AB">
              <w:rPr>
                <w:sz w:val="20"/>
              </w:rPr>
              <w:t>Normas Mínimas de Seguridad Operacional de las Naciones Unidas</w:t>
            </w:r>
          </w:p>
        </w:tc>
      </w:tr>
      <w:tr w:rsidR="00383888" w:rsidRPr="000615AB" w:rsidTr="00B47699">
        <w:tc>
          <w:tcPr>
            <w:tcW w:w="1985" w:type="dxa"/>
            <w:shd w:val="clear" w:color="auto" w:fill="auto"/>
          </w:tcPr>
          <w:p w:rsidR="00383888" w:rsidRPr="000615AB" w:rsidRDefault="00383888" w:rsidP="00B47699">
            <w:pPr>
              <w:widowControl w:val="0"/>
              <w:tabs>
                <w:tab w:val="left" w:pos="2127"/>
              </w:tabs>
              <w:spacing w:after="40"/>
              <w:rPr>
                <w:sz w:val="20"/>
              </w:rPr>
            </w:pPr>
            <w:r w:rsidRPr="000615AB">
              <w:rPr>
                <w:sz w:val="20"/>
              </w:rPr>
              <w:t xml:space="preserve">UNSAS </w:t>
            </w:r>
          </w:p>
        </w:tc>
        <w:tc>
          <w:tcPr>
            <w:tcW w:w="7194" w:type="dxa"/>
            <w:shd w:val="clear" w:color="auto" w:fill="auto"/>
          </w:tcPr>
          <w:p w:rsidR="00383888" w:rsidRPr="000615AB" w:rsidRDefault="00383888" w:rsidP="00B47699">
            <w:pPr>
              <w:widowControl w:val="0"/>
              <w:tabs>
                <w:tab w:val="left" w:pos="2127"/>
              </w:tabs>
              <w:spacing w:after="40"/>
              <w:rPr>
                <w:sz w:val="20"/>
              </w:rPr>
            </w:pPr>
            <w:r w:rsidRPr="000615AB">
              <w:rPr>
                <w:sz w:val="20"/>
              </w:rPr>
              <w:t>Normas de contabilidad del sistema de Naciones Unidas</w:t>
            </w:r>
          </w:p>
        </w:tc>
      </w:tr>
      <w:tr w:rsidR="00383888" w:rsidRPr="000615AB" w:rsidTr="00B47699">
        <w:tc>
          <w:tcPr>
            <w:tcW w:w="1985" w:type="dxa"/>
            <w:shd w:val="clear" w:color="auto" w:fill="auto"/>
          </w:tcPr>
          <w:p w:rsidR="00383888" w:rsidRPr="000615AB" w:rsidRDefault="00383888" w:rsidP="00B47699">
            <w:pPr>
              <w:widowControl w:val="0"/>
              <w:tabs>
                <w:tab w:val="left" w:pos="2127"/>
              </w:tabs>
              <w:spacing w:after="40"/>
              <w:rPr>
                <w:sz w:val="20"/>
              </w:rPr>
            </w:pPr>
            <w:r w:rsidRPr="000615AB">
              <w:rPr>
                <w:sz w:val="20"/>
              </w:rPr>
              <w:t xml:space="preserve">UPOV </w:t>
            </w:r>
          </w:p>
        </w:tc>
        <w:tc>
          <w:tcPr>
            <w:tcW w:w="7194" w:type="dxa"/>
            <w:shd w:val="clear" w:color="auto" w:fill="auto"/>
          </w:tcPr>
          <w:p w:rsidR="00383888" w:rsidRPr="000615AB" w:rsidRDefault="00383888" w:rsidP="00B47699">
            <w:pPr>
              <w:widowControl w:val="0"/>
              <w:tabs>
                <w:tab w:val="left" w:pos="2127"/>
              </w:tabs>
              <w:spacing w:after="40"/>
              <w:rPr>
                <w:sz w:val="20"/>
              </w:rPr>
            </w:pPr>
            <w:r w:rsidRPr="000615AB">
              <w:rPr>
                <w:sz w:val="20"/>
              </w:rPr>
              <w:t>Unión Internacional para la Protección de las Obtenciones Vegetales</w:t>
            </w:r>
          </w:p>
        </w:tc>
      </w:tr>
      <w:tr w:rsidR="00383888" w:rsidRPr="000615AB" w:rsidTr="00B47699">
        <w:tc>
          <w:tcPr>
            <w:tcW w:w="1985" w:type="dxa"/>
            <w:shd w:val="clear" w:color="auto" w:fill="auto"/>
          </w:tcPr>
          <w:p w:rsidR="00383888" w:rsidRPr="000615AB" w:rsidRDefault="00383888" w:rsidP="00B47699">
            <w:pPr>
              <w:widowControl w:val="0"/>
              <w:tabs>
                <w:tab w:val="left" w:pos="2127"/>
              </w:tabs>
              <w:spacing w:after="40"/>
              <w:rPr>
                <w:sz w:val="20"/>
              </w:rPr>
            </w:pPr>
            <w:r w:rsidRPr="000615AB">
              <w:rPr>
                <w:sz w:val="20"/>
              </w:rPr>
              <w:t xml:space="preserve">USPTO </w:t>
            </w:r>
          </w:p>
        </w:tc>
        <w:tc>
          <w:tcPr>
            <w:tcW w:w="7194" w:type="dxa"/>
            <w:shd w:val="clear" w:color="auto" w:fill="auto"/>
          </w:tcPr>
          <w:p w:rsidR="00383888" w:rsidRPr="000615AB" w:rsidRDefault="00383888" w:rsidP="00B47699">
            <w:pPr>
              <w:widowControl w:val="0"/>
              <w:tabs>
                <w:tab w:val="left" w:pos="2127"/>
              </w:tabs>
              <w:spacing w:after="40"/>
              <w:rPr>
                <w:sz w:val="20"/>
              </w:rPr>
            </w:pPr>
            <w:r w:rsidRPr="000615AB">
              <w:rPr>
                <w:sz w:val="20"/>
              </w:rPr>
              <w:t>Oficina de Patentes y Marcas de los Estados Unidos de América</w:t>
            </w:r>
          </w:p>
        </w:tc>
      </w:tr>
      <w:tr w:rsidR="00383888" w:rsidRPr="000615AB" w:rsidTr="00B47699">
        <w:tc>
          <w:tcPr>
            <w:tcW w:w="1985" w:type="dxa"/>
            <w:shd w:val="clear" w:color="auto" w:fill="auto"/>
          </w:tcPr>
          <w:p w:rsidR="00383888" w:rsidRPr="000615AB" w:rsidRDefault="00383888" w:rsidP="00B47699">
            <w:pPr>
              <w:widowControl w:val="0"/>
              <w:tabs>
                <w:tab w:val="left" w:pos="2127"/>
              </w:tabs>
              <w:spacing w:after="40"/>
              <w:rPr>
                <w:sz w:val="20"/>
              </w:rPr>
            </w:pPr>
          </w:p>
        </w:tc>
        <w:tc>
          <w:tcPr>
            <w:tcW w:w="7194" w:type="dxa"/>
            <w:shd w:val="clear" w:color="auto" w:fill="auto"/>
          </w:tcPr>
          <w:p w:rsidR="00383888" w:rsidRPr="000615AB" w:rsidRDefault="00383888" w:rsidP="00B47699">
            <w:pPr>
              <w:widowControl w:val="0"/>
              <w:tabs>
                <w:tab w:val="left" w:pos="2127"/>
              </w:tabs>
              <w:spacing w:after="40"/>
              <w:rPr>
                <w:sz w:val="20"/>
              </w:rPr>
            </w:pPr>
          </w:p>
        </w:tc>
      </w:tr>
      <w:tr w:rsidR="00383888" w:rsidRPr="000615AB" w:rsidTr="00B47699">
        <w:tc>
          <w:tcPr>
            <w:tcW w:w="1985" w:type="dxa"/>
            <w:shd w:val="clear" w:color="auto" w:fill="auto"/>
          </w:tcPr>
          <w:p w:rsidR="00383888" w:rsidRPr="000615AB" w:rsidRDefault="00383888" w:rsidP="00B47699">
            <w:pPr>
              <w:widowControl w:val="0"/>
              <w:tabs>
                <w:tab w:val="left" w:pos="2127"/>
              </w:tabs>
              <w:spacing w:after="40"/>
              <w:rPr>
                <w:sz w:val="20"/>
              </w:rPr>
            </w:pPr>
            <w:r w:rsidRPr="000615AB">
              <w:rPr>
                <w:b/>
                <w:sz w:val="20"/>
              </w:rPr>
              <w:t>W</w:t>
            </w:r>
            <w:r w:rsidRPr="000615AB">
              <w:rPr>
                <w:sz w:val="20"/>
              </w:rPr>
              <w:t xml:space="preserve">CT </w:t>
            </w:r>
          </w:p>
        </w:tc>
        <w:tc>
          <w:tcPr>
            <w:tcW w:w="7194" w:type="dxa"/>
            <w:shd w:val="clear" w:color="auto" w:fill="auto"/>
          </w:tcPr>
          <w:p w:rsidR="00383888" w:rsidRPr="000615AB" w:rsidRDefault="00383888" w:rsidP="00B47699">
            <w:pPr>
              <w:widowControl w:val="0"/>
              <w:tabs>
                <w:tab w:val="left" w:pos="2127"/>
              </w:tabs>
              <w:spacing w:after="40"/>
              <w:rPr>
                <w:sz w:val="20"/>
              </w:rPr>
            </w:pPr>
            <w:r w:rsidRPr="000615AB">
              <w:rPr>
                <w:sz w:val="20"/>
              </w:rPr>
              <w:t>Tratado de la OMPI sobre Derecho de Autor</w:t>
            </w:r>
          </w:p>
        </w:tc>
      </w:tr>
      <w:tr w:rsidR="00383888" w:rsidRPr="000615AB" w:rsidTr="00B47699">
        <w:tc>
          <w:tcPr>
            <w:tcW w:w="1985" w:type="dxa"/>
            <w:shd w:val="clear" w:color="auto" w:fill="auto"/>
          </w:tcPr>
          <w:p w:rsidR="00383888" w:rsidRPr="000615AB" w:rsidRDefault="00383888" w:rsidP="00B47699">
            <w:pPr>
              <w:widowControl w:val="0"/>
              <w:tabs>
                <w:tab w:val="left" w:pos="2127"/>
              </w:tabs>
              <w:spacing w:after="40"/>
              <w:rPr>
                <w:sz w:val="20"/>
              </w:rPr>
            </w:pPr>
            <w:r w:rsidRPr="000615AB">
              <w:rPr>
                <w:sz w:val="20"/>
              </w:rPr>
              <w:t xml:space="preserve">WIPOCOS </w:t>
            </w:r>
          </w:p>
        </w:tc>
        <w:tc>
          <w:tcPr>
            <w:tcW w:w="7194" w:type="dxa"/>
            <w:shd w:val="clear" w:color="auto" w:fill="auto"/>
          </w:tcPr>
          <w:p w:rsidR="00383888" w:rsidRPr="000615AB" w:rsidRDefault="00383888" w:rsidP="00B47699">
            <w:pPr>
              <w:widowControl w:val="0"/>
              <w:tabs>
                <w:tab w:val="left" w:pos="2127"/>
              </w:tabs>
              <w:spacing w:after="40"/>
              <w:rPr>
                <w:sz w:val="20"/>
              </w:rPr>
            </w:pPr>
            <w:r w:rsidRPr="000615AB">
              <w:rPr>
                <w:sz w:val="20"/>
              </w:rPr>
              <w:t>Programa informático de la OMPI para la gestión colectiva del derecho de autor y los derechos conexos</w:t>
            </w:r>
          </w:p>
        </w:tc>
      </w:tr>
      <w:tr w:rsidR="00383888" w:rsidRPr="000615AB" w:rsidTr="00B47699">
        <w:tc>
          <w:tcPr>
            <w:tcW w:w="1985" w:type="dxa"/>
            <w:shd w:val="clear" w:color="auto" w:fill="auto"/>
          </w:tcPr>
          <w:p w:rsidR="00383888" w:rsidRPr="000615AB" w:rsidRDefault="00383888" w:rsidP="00B47699">
            <w:pPr>
              <w:widowControl w:val="0"/>
              <w:tabs>
                <w:tab w:val="left" w:pos="2127"/>
              </w:tabs>
              <w:spacing w:after="40"/>
              <w:rPr>
                <w:sz w:val="20"/>
              </w:rPr>
            </w:pPr>
            <w:r w:rsidRPr="000615AB">
              <w:rPr>
                <w:sz w:val="20"/>
              </w:rPr>
              <w:t xml:space="preserve">WPPT </w:t>
            </w:r>
          </w:p>
        </w:tc>
        <w:tc>
          <w:tcPr>
            <w:tcW w:w="7194" w:type="dxa"/>
            <w:shd w:val="clear" w:color="auto" w:fill="auto"/>
          </w:tcPr>
          <w:p w:rsidR="00383888" w:rsidRPr="000615AB" w:rsidRDefault="00383888" w:rsidP="00B47699">
            <w:pPr>
              <w:widowControl w:val="0"/>
              <w:tabs>
                <w:tab w:val="left" w:pos="2127"/>
              </w:tabs>
              <w:spacing w:after="40"/>
              <w:rPr>
                <w:sz w:val="20"/>
              </w:rPr>
            </w:pPr>
            <w:r w:rsidRPr="000615AB">
              <w:rPr>
                <w:sz w:val="20"/>
              </w:rPr>
              <w:t>Tratado de la OMPI sobre Interpretación o Ejecución y Fonogramas</w:t>
            </w:r>
          </w:p>
        </w:tc>
      </w:tr>
    </w:tbl>
    <w:p w:rsidR="00383888" w:rsidRPr="000615AB" w:rsidRDefault="00383888" w:rsidP="00383888">
      <w:pPr>
        <w:pStyle w:val="BodyText"/>
        <w:widowControl w:val="0"/>
        <w:rPr>
          <w:sz w:val="20"/>
        </w:rPr>
      </w:pPr>
    </w:p>
    <w:p w:rsidR="00383888" w:rsidRPr="000615AB" w:rsidRDefault="00383888" w:rsidP="00383888">
      <w:pPr>
        <w:pStyle w:val="BodyText"/>
        <w:widowControl w:val="0"/>
        <w:rPr>
          <w:sz w:val="20"/>
        </w:rPr>
      </w:pPr>
    </w:p>
    <w:p w:rsidR="00383888" w:rsidRPr="000615AB" w:rsidRDefault="00383888" w:rsidP="00383888">
      <w:pPr>
        <w:pStyle w:val="Endofdocument"/>
        <w:widowControl w:val="0"/>
        <w:rPr>
          <w:rFonts w:ascii="Arial" w:hAnsi="Arial" w:cs="Arial"/>
          <w:sz w:val="20"/>
        </w:rPr>
      </w:pPr>
      <w:r w:rsidRPr="000615AB">
        <w:rPr>
          <w:rFonts w:ascii="Arial" w:hAnsi="Arial" w:cs="Arial"/>
          <w:sz w:val="20"/>
        </w:rPr>
        <w:t>[Fin del documento]</w:t>
      </w:r>
    </w:p>
    <w:p w:rsidR="00383888" w:rsidRPr="000615AB" w:rsidRDefault="00383888" w:rsidP="00383888">
      <w:pPr>
        <w:pStyle w:val="Endofdocument"/>
        <w:widowControl w:val="0"/>
        <w:rPr>
          <w:rFonts w:ascii="Arial" w:hAnsi="Arial" w:cs="Arial"/>
          <w:sz w:val="20"/>
        </w:rPr>
      </w:pPr>
    </w:p>
    <w:p w:rsidR="00383888" w:rsidRPr="000615AB" w:rsidRDefault="00383888" w:rsidP="00383888">
      <w:pPr>
        <w:pStyle w:val="Endofdocument"/>
        <w:widowControl w:val="0"/>
        <w:rPr>
          <w:rFonts w:ascii="Arial" w:hAnsi="Arial" w:cs="Arial"/>
          <w:sz w:val="20"/>
        </w:rPr>
      </w:pPr>
    </w:p>
    <w:p w:rsidR="00383888" w:rsidRPr="000615AB" w:rsidRDefault="00383888" w:rsidP="00383888"/>
    <w:p w:rsidR="00D4275F" w:rsidRPr="009F58E5" w:rsidRDefault="00D4275F" w:rsidP="00383888">
      <w:pPr>
        <w:pStyle w:val="Heading1"/>
        <w:keepNext w:val="0"/>
        <w:rPr>
          <w:sz w:val="20"/>
          <w:lang w:val="es-ES_tradnl"/>
        </w:rPr>
      </w:pPr>
    </w:p>
    <w:sectPr w:rsidR="00D4275F" w:rsidRPr="009F58E5" w:rsidSect="00B47699">
      <w:pgSz w:w="11907" w:h="16840" w:code="9"/>
      <w:pgMar w:top="567" w:right="1418" w:bottom="1418" w:left="1418" w:header="510" w:footer="85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1FE9" w:rsidRDefault="00391FE9">
      <w:r>
        <w:separator/>
      </w:r>
    </w:p>
  </w:endnote>
  <w:endnote w:type="continuationSeparator" w:id="0">
    <w:p w:rsidR="00391FE9" w:rsidRPr="009D30E6" w:rsidRDefault="00391FE9" w:rsidP="007E663E">
      <w:pPr>
        <w:rPr>
          <w:sz w:val="17"/>
          <w:szCs w:val="17"/>
        </w:rPr>
      </w:pPr>
      <w:r w:rsidRPr="009D30E6">
        <w:rPr>
          <w:sz w:val="17"/>
          <w:szCs w:val="17"/>
        </w:rPr>
        <w:separator/>
      </w:r>
    </w:p>
    <w:p w:rsidR="00391FE9" w:rsidRPr="007E663E" w:rsidRDefault="00391FE9" w:rsidP="007E663E">
      <w:pPr>
        <w:spacing w:after="60"/>
        <w:rPr>
          <w:sz w:val="17"/>
          <w:szCs w:val="17"/>
        </w:rPr>
      </w:pPr>
      <w:r>
        <w:rPr>
          <w:sz w:val="17"/>
        </w:rPr>
        <w:t>[Continuación de la nota de la página anterior]</w:t>
      </w:r>
    </w:p>
  </w:endnote>
  <w:endnote w:type="continuationNotice" w:id="1">
    <w:p w:rsidR="00391FE9" w:rsidRPr="007E663E" w:rsidRDefault="00391FE9"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Arial Bold">
    <w:panose1 w:val="020B0704020202020204"/>
    <w:charset w:val="00"/>
    <w:family w:val="auto"/>
    <w:pitch w:val="default"/>
  </w:font>
  <w:font w:name="MS Mincho">
    <w:altName w:val="ＭＳ 明朝"/>
    <w:panose1 w:val="02020609040205080304"/>
    <w:charset w:val="80"/>
    <w:family w:val="modern"/>
    <w:pitch w:val="fixed"/>
    <w:sig w:usb0="E00002FF" w:usb1="6AC7FDFB" w:usb2="00000012" w:usb3="00000000" w:csb0="0002009F"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MS Mincho"/>
    <w:charset w:val="80"/>
    <w:family w:val="auto"/>
    <w:pitch w:val="variable"/>
    <w:sig w:usb0="00000001" w:usb1="00000000" w:usb2="01000407" w:usb3="00000000" w:csb0="00020000" w:csb1="00000000"/>
  </w:font>
  <w:font w:name="Angsana New">
    <w:panose1 w:val="02020603050405020304"/>
    <w:charset w:val="00"/>
    <w:family w:val="roman"/>
    <w:pitch w:val="variable"/>
    <w:sig w:usb0="81000003" w:usb1="00000000" w:usb2="00000000" w:usb3="00000000" w:csb0="00010001" w:csb1="00000000"/>
  </w:font>
  <w:font w:name="Arial Black">
    <w:panose1 w:val="020B0A04020102020204"/>
    <w:charset w:val="00"/>
    <w:family w:val="swiss"/>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Lucida Grande">
    <w:altName w:val="Arial"/>
    <w:charset w:val="00"/>
    <w:family w:val="auto"/>
    <w:pitch w:val="variable"/>
    <w:sig w:usb0="E1000AEF" w:usb1="5000A1FF" w:usb2="00000000" w:usb3="00000000" w:csb0="000001BF" w:csb1="00000000"/>
  </w:font>
  <w:font w:name="Arial Unicode MS">
    <w:panose1 w:val="020B0604020202020204"/>
    <w:charset w:val="80"/>
    <w:family w:val="swiss"/>
    <w:pitch w:val="variable"/>
    <w:sig w:usb0="F7FFAFFF" w:usb1="E9DFFFFF" w:usb2="0000003F" w:usb3="00000000" w:csb0="003F01FF" w:csb1="00000000"/>
  </w:font>
  <w:font w:name="ArialMT">
    <w:altName w:val="Arial"/>
    <w:panose1 w:val="00000000000000000000"/>
    <w:charset w:val="00"/>
    <w:family w:val="swiss"/>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FE9" w:rsidRPr="00CA0EEB" w:rsidRDefault="00391FE9" w:rsidP="007B2C29">
    <w:pPr>
      <w:pStyle w:val="Footer"/>
      <w:jc w:val="center"/>
      <w:rPr>
        <w:sz w:val="20"/>
      </w:rPr>
    </w:pPr>
    <w:r w:rsidRPr="00CA0EEB">
      <w:rPr>
        <w:rStyle w:val="PageNumber"/>
        <w:sz w:val="20"/>
      </w:rPr>
      <w:fldChar w:fldCharType="begin"/>
    </w:r>
    <w:r w:rsidRPr="00CA0EEB">
      <w:rPr>
        <w:rStyle w:val="PageNumber"/>
        <w:sz w:val="20"/>
      </w:rPr>
      <w:instrText xml:space="preserve"> PAGE </w:instrText>
    </w:r>
    <w:r w:rsidRPr="00CA0EEB">
      <w:rPr>
        <w:rStyle w:val="PageNumber"/>
        <w:sz w:val="20"/>
      </w:rPr>
      <w:fldChar w:fldCharType="separate"/>
    </w:r>
    <w:r w:rsidR="00B37E57">
      <w:rPr>
        <w:rStyle w:val="PageNumber"/>
        <w:noProof/>
        <w:sz w:val="20"/>
      </w:rPr>
      <w:t>15</w:t>
    </w:r>
    <w:r w:rsidRPr="00CA0EEB">
      <w:rPr>
        <w:rStyle w:val="PageNumber"/>
        <w:sz w:val="20"/>
      </w:rPr>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FE9" w:rsidRPr="008E23EE" w:rsidRDefault="00391FE9" w:rsidP="00B47699">
    <w:pPr>
      <w:pStyle w:val="Footer"/>
      <w:jc w:val="center"/>
      <w:rPr>
        <w:sz w:val="20"/>
      </w:rPr>
    </w:pPr>
    <w:r w:rsidRPr="008E23EE">
      <w:rPr>
        <w:rStyle w:val="PageNumber"/>
        <w:sz w:val="20"/>
      </w:rPr>
      <w:fldChar w:fldCharType="begin"/>
    </w:r>
    <w:r w:rsidRPr="008E23EE">
      <w:rPr>
        <w:rStyle w:val="PageNumber"/>
        <w:sz w:val="20"/>
      </w:rPr>
      <w:instrText xml:space="preserve"> PAGE </w:instrText>
    </w:r>
    <w:r w:rsidRPr="008E23EE">
      <w:rPr>
        <w:rStyle w:val="PageNumber"/>
        <w:sz w:val="20"/>
      </w:rPr>
      <w:fldChar w:fldCharType="separate"/>
    </w:r>
    <w:r w:rsidR="00AD7C1C">
      <w:rPr>
        <w:rStyle w:val="PageNumber"/>
        <w:noProof/>
        <w:sz w:val="20"/>
      </w:rPr>
      <w:t>285</w:t>
    </w:r>
    <w:r w:rsidRPr="008E23EE">
      <w:rPr>
        <w:rStyle w:val="PageNumber"/>
        <w:sz w:val="20"/>
      </w:rPr>
      <w:fldChar w:fldCharType="end"/>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FE9" w:rsidRPr="004E0B80" w:rsidRDefault="00391FE9" w:rsidP="00B47699">
    <w:pPr>
      <w:pStyle w:val="Footer"/>
      <w:jc w:val="center"/>
      <w:rPr>
        <w:sz w:val="20"/>
      </w:rPr>
    </w:pPr>
    <w:r w:rsidRPr="004E0B80">
      <w:rPr>
        <w:rStyle w:val="PageNumber"/>
        <w:sz w:val="20"/>
      </w:rPr>
      <w:fldChar w:fldCharType="begin"/>
    </w:r>
    <w:r w:rsidRPr="004E0B80">
      <w:rPr>
        <w:rStyle w:val="PageNumber"/>
        <w:sz w:val="20"/>
      </w:rPr>
      <w:instrText xml:space="preserve"> PAGE </w:instrText>
    </w:r>
    <w:r w:rsidRPr="004E0B80">
      <w:rPr>
        <w:rStyle w:val="PageNumber"/>
        <w:sz w:val="20"/>
      </w:rPr>
      <w:fldChar w:fldCharType="separate"/>
    </w:r>
    <w:r w:rsidR="00B37E57">
      <w:rPr>
        <w:rStyle w:val="PageNumber"/>
        <w:noProof/>
        <w:sz w:val="20"/>
      </w:rPr>
      <w:t>216</w:t>
    </w:r>
    <w:r w:rsidRPr="004E0B80">
      <w:rPr>
        <w:rStyle w:val="PageNumber"/>
        <w:sz w:val="20"/>
      </w:rPr>
      <w:fldChar w:fldCharType="end"/>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FE9" w:rsidRPr="004E0B80" w:rsidRDefault="00391FE9" w:rsidP="00B47699">
    <w:pPr>
      <w:pStyle w:val="Footer"/>
      <w:jc w:val="center"/>
      <w:rPr>
        <w:sz w:val="20"/>
      </w:rPr>
    </w:pPr>
    <w:r w:rsidRPr="004E0B80">
      <w:rPr>
        <w:rStyle w:val="PageNumber"/>
        <w:sz w:val="20"/>
      </w:rPr>
      <w:fldChar w:fldCharType="begin"/>
    </w:r>
    <w:r w:rsidRPr="004E0B80">
      <w:rPr>
        <w:rStyle w:val="PageNumber"/>
        <w:sz w:val="20"/>
      </w:rPr>
      <w:instrText xml:space="preserve"> PAGE </w:instrText>
    </w:r>
    <w:r w:rsidRPr="004E0B80">
      <w:rPr>
        <w:rStyle w:val="PageNumber"/>
        <w:sz w:val="20"/>
      </w:rPr>
      <w:fldChar w:fldCharType="separate"/>
    </w:r>
    <w:r w:rsidR="00B37E57">
      <w:rPr>
        <w:rStyle w:val="PageNumber"/>
        <w:noProof/>
        <w:sz w:val="20"/>
      </w:rPr>
      <w:t>217</w:t>
    </w:r>
    <w:r w:rsidRPr="004E0B80">
      <w:rPr>
        <w:rStyle w:val="PageNumber"/>
        <w:sz w:val="20"/>
      </w:rPr>
      <w:fldChar w:fldCharType="end"/>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FE9" w:rsidRPr="00C76D59" w:rsidRDefault="00391FE9" w:rsidP="00B47699">
    <w:pPr>
      <w:pStyle w:val="Footer"/>
      <w:jc w:val="center"/>
      <w:rPr>
        <w:sz w:val="20"/>
      </w:rPr>
    </w:pPr>
    <w:r w:rsidRPr="00C76D59">
      <w:rPr>
        <w:rStyle w:val="PageNumber"/>
        <w:sz w:val="20"/>
      </w:rPr>
      <w:fldChar w:fldCharType="begin"/>
    </w:r>
    <w:r w:rsidRPr="00C76D59">
      <w:rPr>
        <w:rStyle w:val="PageNumber"/>
        <w:sz w:val="20"/>
      </w:rPr>
      <w:instrText xml:space="preserve"> PAGE </w:instrText>
    </w:r>
    <w:r w:rsidRPr="00C76D59">
      <w:rPr>
        <w:rStyle w:val="PageNumber"/>
        <w:sz w:val="20"/>
      </w:rPr>
      <w:fldChar w:fldCharType="separate"/>
    </w:r>
    <w:r w:rsidR="00B37E57">
      <w:rPr>
        <w:rStyle w:val="PageNumber"/>
        <w:noProof/>
        <w:sz w:val="20"/>
      </w:rPr>
      <w:t>220</w:t>
    </w:r>
    <w:r w:rsidRPr="00C76D59">
      <w:rPr>
        <w:rStyle w:val="PageNumber"/>
        <w:sz w:val="20"/>
      </w:rPr>
      <w:fldChar w:fldCharType="end"/>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FE9" w:rsidRPr="00C76D59" w:rsidRDefault="00391FE9" w:rsidP="00B47699">
    <w:pPr>
      <w:pStyle w:val="Footer"/>
      <w:jc w:val="center"/>
      <w:rPr>
        <w:sz w:val="20"/>
      </w:rPr>
    </w:pPr>
    <w:r w:rsidRPr="00C76D59">
      <w:rPr>
        <w:rStyle w:val="PageNumber"/>
        <w:sz w:val="20"/>
      </w:rPr>
      <w:fldChar w:fldCharType="begin"/>
    </w:r>
    <w:r w:rsidRPr="00C76D59">
      <w:rPr>
        <w:rStyle w:val="PageNumber"/>
        <w:sz w:val="20"/>
      </w:rPr>
      <w:instrText xml:space="preserve"> PAGE </w:instrText>
    </w:r>
    <w:r w:rsidRPr="00C76D59">
      <w:rPr>
        <w:rStyle w:val="PageNumber"/>
        <w:sz w:val="20"/>
      </w:rPr>
      <w:fldChar w:fldCharType="separate"/>
    </w:r>
    <w:r w:rsidR="00B37E57">
      <w:rPr>
        <w:rStyle w:val="PageNumber"/>
        <w:noProof/>
        <w:sz w:val="20"/>
      </w:rPr>
      <w:t>219</w:t>
    </w:r>
    <w:r w:rsidRPr="00C76D59">
      <w:rPr>
        <w:rStyle w:val="PageNumber"/>
        <w:sz w:val="20"/>
      </w:rPr>
      <w:fldChar w:fldCharType="end"/>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FE9" w:rsidRPr="004E0B80" w:rsidRDefault="00391FE9" w:rsidP="00B47699">
    <w:pPr>
      <w:pStyle w:val="Footer"/>
      <w:jc w:val="center"/>
      <w:rPr>
        <w:sz w:val="20"/>
      </w:rPr>
    </w:pPr>
    <w:r w:rsidRPr="004E0B80">
      <w:rPr>
        <w:rStyle w:val="PageNumber"/>
        <w:sz w:val="20"/>
      </w:rPr>
      <w:fldChar w:fldCharType="begin"/>
    </w:r>
    <w:r w:rsidRPr="004E0B80">
      <w:rPr>
        <w:rStyle w:val="PageNumber"/>
        <w:sz w:val="20"/>
      </w:rPr>
      <w:instrText xml:space="preserve"> PAGE </w:instrText>
    </w:r>
    <w:r w:rsidRPr="004E0B80">
      <w:rPr>
        <w:rStyle w:val="PageNumber"/>
        <w:sz w:val="20"/>
      </w:rPr>
      <w:fldChar w:fldCharType="separate"/>
    </w:r>
    <w:r w:rsidR="00B37E57">
      <w:rPr>
        <w:rStyle w:val="PageNumber"/>
        <w:noProof/>
        <w:sz w:val="20"/>
      </w:rPr>
      <w:t>222</w:t>
    </w:r>
    <w:r w:rsidRPr="004E0B80">
      <w:rPr>
        <w:rStyle w:val="PageNumber"/>
        <w:sz w:val="20"/>
      </w:rPr>
      <w:fldChar w:fldCharType="end"/>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FE9" w:rsidRPr="004E0B80" w:rsidRDefault="00391FE9" w:rsidP="00B47699">
    <w:pPr>
      <w:pStyle w:val="Footer"/>
      <w:jc w:val="center"/>
      <w:rPr>
        <w:sz w:val="20"/>
      </w:rPr>
    </w:pPr>
    <w:r w:rsidRPr="004E0B80">
      <w:rPr>
        <w:rStyle w:val="PageNumber"/>
        <w:sz w:val="20"/>
      </w:rPr>
      <w:fldChar w:fldCharType="begin"/>
    </w:r>
    <w:r w:rsidRPr="004E0B80">
      <w:rPr>
        <w:rStyle w:val="PageNumber"/>
        <w:sz w:val="20"/>
      </w:rPr>
      <w:instrText xml:space="preserve"> PAGE </w:instrText>
    </w:r>
    <w:r w:rsidRPr="004E0B80">
      <w:rPr>
        <w:rStyle w:val="PageNumber"/>
        <w:sz w:val="20"/>
      </w:rPr>
      <w:fldChar w:fldCharType="separate"/>
    </w:r>
    <w:r w:rsidR="00B37E57">
      <w:rPr>
        <w:rStyle w:val="PageNumber"/>
        <w:noProof/>
        <w:sz w:val="20"/>
      </w:rPr>
      <w:t>221</w:t>
    </w:r>
    <w:r w:rsidRPr="004E0B80">
      <w:rPr>
        <w:rStyle w:val="PageNumber"/>
        <w:sz w:val="20"/>
      </w:rPr>
      <w:fldChar w:fldCharType="end"/>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FE9" w:rsidRPr="00C32732" w:rsidRDefault="00391FE9" w:rsidP="00B47699">
    <w:pPr>
      <w:pStyle w:val="Footer"/>
      <w:jc w:val="center"/>
      <w:rPr>
        <w:sz w:val="20"/>
      </w:rPr>
    </w:pPr>
    <w:r w:rsidRPr="00C32732">
      <w:rPr>
        <w:rStyle w:val="PageNumber"/>
        <w:sz w:val="20"/>
      </w:rPr>
      <w:fldChar w:fldCharType="begin"/>
    </w:r>
    <w:r w:rsidRPr="00C32732">
      <w:rPr>
        <w:rStyle w:val="PageNumber"/>
        <w:sz w:val="20"/>
      </w:rPr>
      <w:instrText xml:space="preserve"> PAGE </w:instrText>
    </w:r>
    <w:r w:rsidRPr="00C32732">
      <w:rPr>
        <w:rStyle w:val="PageNumber"/>
        <w:sz w:val="20"/>
      </w:rPr>
      <w:fldChar w:fldCharType="separate"/>
    </w:r>
    <w:r w:rsidR="00B37E57">
      <w:rPr>
        <w:rStyle w:val="PageNumber"/>
        <w:noProof/>
        <w:sz w:val="20"/>
      </w:rPr>
      <w:t>266</w:t>
    </w:r>
    <w:r w:rsidRPr="00C32732">
      <w:rPr>
        <w:rStyle w:val="PageNumber"/>
        <w:sz w:val="20"/>
      </w:rPr>
      <w:fldChar w:fldCharType="end"/>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FE9" w:rsidRPr="00792502" w:rsidRDefault="00391FE9" w:rsidP="00B47699">
    <w:pPr>
      <w:pStyle w:val="Footer"/>
      <w:jc w:val="center"/>
      <w:rPr>
        <w:sz w:val="20"/>
      </w:rPr>
    </w:pPr>
    <w:r w:rsidRPr="00792502">
      <w:rPr>
        <w:rStyle w:val="PageNumber"/>
        <w:sz w:val="20"/>
      </w:rPr>
      <w:fldChar w:fldCharType="begin"/>
    </w:r>
    <w:r w:rsidRPr="00792502">
      <w:rPr>
        <w:rStyle w:val="PageNumber"/>
        <w:sz w:val="20"/>
      </w:rPr>
      <w:instrText xml:space="preserve"> PAGE </w:instrText>
    </w:r>
    <w:r w:rsidRPr="00792502">
      <w:rPr>
        <w:rStyle w:val="PageNumber"/>
        <w:sz w:val="20"/>
      </w:rPr>
      <w:fldChar w:fldCharType="separate"/>
    </w:r>
    <w:r w:rsidR="00B37E57">
      <w:rPr>
        <w:rStyle w:val="PageNumber"/>
        <w:noProof/>
        <w:sz w:val="20"/>
      </w:rPr>
      <w:t>269</w:t>
    </w:r>
    <w:r w:rsidRPr="00792502">
      <w:rPr>
        <w:rStyle w:val="PageNumber"/>
        <w:sz w:val="20"/>
      </w:rPr>
      <w:fldChar w:fldCharType="end"/>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FE9" w:rsidRPr="00792502" w:rsidRDefault="00391FE9" w:rsidP="00B47699">
    <w:pPr>
      <w:pStyle w:val="Footer"/>
      <w:jc w:val="center"/>
      <w:rPr>
        <w:sz w:val="20"/>
      </w:rPr>
    </w:pPr>
    <w:r w:rsidRPr="00792502">
      <w:rPr>
        <w:rStyle w:val="PageNumber"/>
        <w:sz w:val="20"/>
      </w:rPr>
      <w:fldChar w:fldCharType="begin"/>
    </w:r>
    <w:r w:rsidRPr="00792502">
      <w:rPr>
        <w:rStyle w:val="PageNumber"/>
        <w:sz w:val="20"/>
      </w:rPr>
      <w:instrText xml:space="preserve"> PAGE </w:instrText>
    </w:r>
    <w:r w:rsidRPr="00792502">
      <w:rPr>
        <w:rStyle w:val="PageNumber"/>
        <w:sz w:val="20"/>
      </w:rPr>
      <w:fldChar w:fldCharType="separate"/>
    </w:r>
    <w:r w:rsidR="00B37E57">
      <w:rPr>
        <w:rStyle w:val="PageNumber"/>
        <w:noProof/>
        <w:sz w:val="20"/>
      </w:rPr>
      <w:t>268</w:t>
    </w:r>
    <w:r w:rsidRPr="00792502">
      <w:rPr>
        <w:rStyle w:val="PageNumber"/>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FE9" w:rsidRPr="00505D9D" w:rsidRDefault="00391FE9" w:rsidP="007B2C29">
    <w:pPr>
      <w:pStyle w:val="Footer"/>
      <w:jc w:val="center"/>
      <w:rPr>
        <w:sz w:val="20"/>
      </w:rPr>
    </w:pPr>
    <w:r w:rsidRPr="00505D9D">
      <w:rPr>
        <w:rStyle w:val="PageNumber"/>
        <w:sz w:val="20"/>
      </w:rPr>
      <w:fldChar w:fldCharType="begin"/>
    </w:r>
    <w:r w:rsidRPr="00505D9D">
      <w:rPr>
        <w:rStyle w:val="PageNumber"/>
        <w:sz w:val="20"/>
      </w:rPr>
      <w:instrText xml:space="preserve"> PAGE </w:instrText>
    </w:r>
    <w:r w:rsidRPr="00505D9D">
      <w:rPr>
        <w:rStyle w:val="PageNumber"/>
        <w:sz w:val="20"/>
      </w:rPr>
      <w:fldChar w:fldCharType="separate"/>
    </w:r>
    <w:r w:rsidR="00B37E57">
      <w:rPr>
        <w:rStyle w:val="PageNumber"/>
        <w:noProof/>
        <w:sz w:val="20"/>
      </w:rPr>
      <w:t>16</w:t>
    </w:r>
    <w:r w:rsidRPr="00505D9D">
      <w:rPr>
        <w:rStyle w:val="PageNumber"/>
        <w:sz w:val="20"/>
      </w:rPr>
      <w:fldChar w:fldCharType="end"/>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FE9" w:rsidRPr="004E0B80" w:rsidRDefault="00391FE9" w:rsidP="00B47699">
    <w:pPr>
      <w:pStyle w:val="Footer"/>
      <w:jc w:val="center"/>
      <w:rPr>
        <w:sz w:val="20"/>
      </w:rPr>
    </w:pPr>
    <w:r w:rsidRPr="004E0B80">
      <w:rPr>
        <w:rStyle w:val="PageNumber"/>
        <w:sz w:val="20"/>
      </w:rPr>
      <w:fldChar w:fldCharType="begin"/>
    </w:r>
    <w:r w:rsidRPr="004E0B80">
      <w:rPr>
        <w:rStyle w:val="PageNumber"/>
        <w:sz w:val="20"/>
      </w:rPr>
      <w:instrText xml:space="preserve"> PAGE </w:instrText>
    </w:r>
    <w:r w:rsidRPr="004E0B80">
      <w:rPr>
        <w:rStyle w:val="PageNumber"/>
        <w:sz w:val="20"/>
      </w:rPr>
      <w:fldChar w:fldCharType="separate"/>
    </w:r>
    <w:r w:rsidR="00B37E57">
      <w:rPr>
        <w:rStyle w:val="PageNumber"/>
        <w:noProof/>
        <w:sz w:val="20"/>
      </w:rPr>
      <w:t>274</w:t>
    </w:r>
    <w:r w:rsidRPr="004E0B80">
      <w:rPr>
        <w:rStyle w:val="PageNumber"/>
        <w:sz w:val="20"/>
      </w:rPr>
      <w:fldChar w:fldCharType="end"/>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FE9" w:rsidRPr="004E0B80" w:rsidRDefault="00391FE9" w:rsidP="00B47699">
    <w:pPr>
      <w:pStyle w:val="Footer"/>
      <w:jc w:val="center"/>
      <w:rPr>
        <w:sz w:val="20"/>
      </w:rPr>
    </w:pPr>
    <w:r w:rsidRPr="004E0B80">
      <w:rPr>
        <w:rStyle w:val="PageNumber"/>
        <w:sz w:val="20"/>
      </w:rPr>
      <w:fldChar w:fldCharType="begin"/>
    </w:r>
    <w:r w:rsidRPr="004E0B80">
      <w:rPr>
        <w:rStyle w:val="PageNumber"/>
        <w:sz w:val="20"/>
      </w:rPr>
      <w:instrText xml:space="preserve"> PAGE </w:instrText>
    </w:r>
    <w:r w:rsidRPr="004E0B80">
      <w:rPr>
        <w:rStyle w:val="PageNumber"/>
        <w:sz w:val="20"/>
      </w:rPr>
      <w:fldChar w:fldCharType="separate"/>
    </w:r>
    <w:r w:rsidR="00B37E57">
      <w:rPr>
        <w:rStyle w:val="PageNumber"/>
        <w:noProof/>
        <w:sz w:val="20"/>
      </w:rPr>
      <w:t>273</w:t>
    </w:r>
    <w:r w:rsidRPr="004E0B80">
      <w:rPr>
        <w:rStyle w:val="PageNumber"/>
        <w:sz w:val="20"/>
      </w:rPr>
      <w:fldChar w:fldCharType="end"/>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FE9" w:rsidRPr="005A52A0" w:rsidRDefault="00391FE9" w:rsidP="00B47699">
    <w:pPr>
      <w:pStyle w:val="Footer"/>
      <w:jc w:val="center"/>
      <w:rPr>
        <w:sz w:val="20"/>
      </w:rPr>
    </w:pPr>
    <w:r w:rsidRPr="005A52A0">
      <w:rPr>
        <w:rStyle w:val="PageNumber"/>
        <w:sz w:val="20"/>
      </w:rPr>
      <w:fldChar w:fldCharType="begin"/>
    </w:r>
    <w:r w:rsidRPr="005A52A0">
      <w:rPr>
        <w:rStyle w:val="PageNumber"/>
        <w:sz w:val="20"/>
      </w:rPr>
      <w:instrText xml:space="preserve"> PAGE </w:instrText>
    </w:r>
    <w:r w:rsidRPr="005A52A0">
      <w:rPr>
        <w:rStyle w:val="PageNumber"/>
        <w:sz w:val="20"/>
      </w:rPr>
      <w:fldChar w:fldCharType="separate"/>
    </w:r>
    <w:r w:rsidR="00B37E57">
      <w:rPr>
        <w:rStyle w:val="PageNumber"/>
        <w:noProof/>
        <w:sz w:val="20"/>
      </w:rPr>
      <w:t>286</w:t>
    </w:r>
    <w:r w:rsidRPr="005A52A0">
      <w:rPr>
        <w:rStyle w:val="PageNumber"/>
        <w:sz w:val="20"/>
      </w:rPr>
      <w:fldChar w:fldCharType="end"/>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FE9" w:rsidRPr="005A52A0" w:rsidRDefault="00391FE9" w:rsidP="00B47699">
    <w:pPr>
      <w:pStyle w:val="Footer"/>
      <w:jc w:val="center"/>
      <w:rPr>
        <w:sz w:val="20"/>
      </w:rPr>
    </w:pPr>
    <w:r w:rsidRPr="005A52A0">
      <w:rPr>
        <w:rStyle w:val="PageNumber"/>
        <w:sz w:val="20"/>
      </w:rPr>
      <w:fldChar w:fldCharType="begin"/>
    </w:r>
    <w:r w:rsidRPr="005A52A0">
      <w:rPr>
        <w:rStyle w:val="PageNumber"/>
        <w:sz w:val="20"/>
      </w:rPr>
      <w:instrText xml:space="preserve"> PAGE </w:instrText>
    </w:r>
    <w:r w:rsidRPr="005A52A0">
      <w:rPr>
        <w:rStyle w:val="PageNumber"/>
        <w:sz w:val="20"/>
      </w:rPr>
      <w:fldChar w:fldCharType="separate"/>
    </w:r>
    <w:r w:rsidR="00B37E57">
      <w:rPr>
        <w:rStyle w:val="PageNumber"/>
        <w:noProof/>
        <w:sz w:val="20"/>
      </w:rPr>
      <w:t>287</w:t>
    </w:r>
    <w:r w:rsidRPr="005A52A0">
      <w:rPr>
        <w:rStyle w:val="PageNumber"/>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FE9" w:rsidRPr="00D04B27" w:rsidRDefault="00391FE9" w:rsidP="007B2C29">
    <w:pPr>
      <w:pStyle w:val="Footer"/>
      <w:jc w:val="center"/>
      <w:rPr>
        <w:sz w:val="20"/>
      </w:rPr>
    </w:pPr>
    <w:r w:rsidRPr="00D04B27">
      <w:rPr>
        <w:rStyle w:val="PageNumber"/>
        <w:sz w:val="20"/>
      </w:rPr>
      <w:fldChar w:fldCharType="begin"/>
    </w:r>
    <w:r w:rsidRPr="00D04B27">
      <w:rPr>
        <w:rStyle w:val="PageNumber"/>
        <w:sz w:val="20"/>
      </w:rPr>
      <w:instrText xml:space="preserve"> PAGE </w:instrText>
    </w:r>
    <w:r w:rsidRPr="00D04B27">
      <w:rPr>
        <w:rStyle w:val="PageNumber"/>
        <w:sz w:val="20"/>
      </w:rPr>
      <w:fldChar w:fldCharType="separate"/>
    </w:r>
    <w:r w:rsidR="00B37E57">
      <w:rPr>
        <w:rStyle w:val="PageNumber"/>
        <w:noProof/>
        <w:sz w:val="20"/>
      </w:rPr>
      <w:t>ii</w:t>
    </w:r>
    <w:r w:rsidRPr="00D04B27">
      <w:rPr>
        <w:rStyle w:val="PageNumber"/>
        <w:sz w:val="20"/>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FE9" w:rsidRPr="001A1419" w:rsidRDefault="00391FE9">
    <w:pPr>
      <w:pStyle w:val="Footer"/>
      <w:jc w:val="center"/>
      <w:rPr>
        <w:sz w:val="20"/>
      </w:rPr>
    </w:pPr>
    <w:r w:rsidRPr="001A1419">
      <w:rPr>
        <w:sz w:val="20"/>
      </w:rPr>
      <w:fldChar w:fldCharType="begin"/>
    </w:r>
    <w:r w:rsidRPr="001A1419">
      <w:rPr>
        <w:sz w:val="20"/>
      </w:rPr>
      <w:instrText>PAGE   \* MERGEFORMAT</w:instrText>
    </w:r>
    <w:r w:rsidRPr="001A1419">
      <w:rPr>
        <w:sz w:val="20"/>
      </w:rPr>
      <w:fldChar w:fldCharType="separate"/>
    </w:r>
    <w:r w:rsidR="00B37E57">
      <w:rPr>
        <w:noProof/>
        <w:sz w:val="20"/>
      </w:rPr>
      <w:t>102</w:t>
    </w:r>
    <w:r w:rsidRPr="001A1419">
      <w:rPr>
        <w:sz w:val="20"/>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FE9" w:rsidRPr="005C7451" w:rsidRDefault="00391FE9">
    <w:pPr>
      <w:pStyle w:val="Footer"/>
      <w:jc w:val="center"/>
      <w:rPr>
        <w:sz w:val="20"/>
      </w:rPr>
    </w:pPr>
    <w:r w:rsidRPr="005C7451">
      <w:rPr>
        <w:sz w:val="20"/>
      </w:rPr>
      <w:fldChar w:fldCharType="begin"/>
    </w:r>
    <w:r w:rsidRPr="005C7451">
      <w:rPr>
        <w:sz w:val="20"/>
      </w:rPr>
      <w:instrText>PAGE   \* MERGEFORMAT</w:instrText>
    </w:r>
    <w:r w:rsidRPr="005C7451">
      <w:rPr>
        <w:sz w:val="20"/>
      </w:rPr>
      <w:fldChar w:fldCharType="separate"/>
    </w:r>
    <w:r w:rsidR="00B37E57">
      <w:rPr>
        <w:noProof/>
        <w:sz w:val="20"/>
      </w:rPr>
      <w:t>103</w:t>
    </w:r>
    <w:r w:rsidRPr="005C7451">
      <w:rPr>
        <w:sz w:val="20"/>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FE9" w:rsidRPr="003E09D4" w:rsidRDefault="00391FE9">
    <w:pPr>
      <w:pStyle w:val="Footer"/>
      <w:jc w:val="center"/>
      <w:rPr>
        <w:sz w:val="20"/>
      </w:rPr>
    </w:pPr>
    <w:r w:rsidRPr="003E09D4">
      <w:rPr>
        <w:sz w:val="20"/>
      </w:rPr>
      <w:fldChar w:fldCharType="begin"/>
    </w:r>
    <w:r w:rsidRPr="003E09D4">
      <w:rPr>
        <w:sz w:val="20"/>
      </w:rPr>
      <w:instrText>PAGE   \* MERGEFORMAT</w:instrText>
    </w:r>
    <w:r w:rsidRPr="003E09D4">
      <w:rPr>
        <w:sz w:val="20"/>
      </w:rPr>
      <w:fldChar w:fldCharType="separate"/>
    </w:r>
    <w:r w:rsidR="00B37E57">
      <w:rPr>
        <w:noProof/>
        <w:sz w:val="20"/>
      </w:rPr>
      <w:t>78</w:t>
    </w:r>
    <w:r w:rsidRPr="003E09D4">
      <w:rPr>
        <w:sz w:val="20"/>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FE9" w:rsidRPr="00EB1C82" w:rsidRDefault="00391FE9" w:rsidP="00B47699">
    <w:pPr>
      <w:pStyle w:val="Footer"/>
      <w:jc w:val="center"/>
      <w:rPr>
        <w:sz w:val="20"/>
      </w:rPr>
    </w:pPr>
    <w:r w:rsidRPr="00EB1C82">
      <w:rPr>
        <w:rStyle w:val="PageNumber"/>
        <w:sz w:val="20"/>
      </w:rPr>
      <w:fldChar w:fldCharType="begin"/>
    </w:r>
    <w:r w:rsidRPr="00EB1C82">
      <w:rPr>
        <w:rStyle w:val="PageNumber"/>
        <w:sz w:val="20"/>
      </w:rPr>
      <w:instrText xml:space="preserve"> PAGE </w:instrText>
    </w:r>
    <w:r w:rsidRPr="00EB1C82">
      <w:rPr>
        <w:rStyle w:val="PageNumber"/>
        <w:sz w:val="20"/>
      </w:rPr>
      <w:fldChar w:fldCharType="separate"/>
    </w:r>
    <w:r w:rsidR="00B37E57">
      <w:rPr>
        <w:rStyle w:val="PageNumber"/>
        <w:noProof/>
        <w:sz w:val="20"/>
      </w:rPr>
      <w:t>214</w:t>
    </w:r>
    <w:r w:rsidRPr="00EB1C82">
      <w:rPr>
        <w:rStyle w:val="PageNumber"/>
        <w:sz w:val="20"/>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FE9" w:rsidRPr="008E23EE" w:rsidRDefault="00391FE9" w:rsidP="00B47699">
    <w:pPr>
      <w:pStyle w:val="Footer"/>
      <w:jc w:val="center"/>
      <w:rPr>
        <w:sz w:val="20"/>
      </w:rPr>
    </w:pPr>
    <w:r w:rsidRPr="008E23EE">
      <w:rPr>
        <w:rStyle w:val="PageNumber"/>
        <w:sz w:val="20"/>
      </w:rPr>
      <w:fldChar w:fldCharType="begin"/>
    </w:r>
    <w:r w:rsidRPr="008E23EE">
      <w:rPr>
        <w:rStyle w:val="PageNumber"/>
        <w:sz w:val="20"/>
      </w:rPr>
      <w:instrText xml:space="preserve"> PAGE </w:instrText>
    </w:r>
    <w:r w:rsidRPr="008E23EE">
      <w:rPr>
        <w:rStyle w:val="PageNumber"/>
        <w:sz w:val="20"/>
      </w:rPr>
      <w:fldChar w:fldCharType="separate"/>
    </w:r>
    <w:r w:rsidR="00B37E57">
      <w:rPr>
        <w:rStyle w:val="PageNumber"/>
        <w:noProof/>
        <w:sz w:val="20"/>
      </w:rPr>
      <w:t>215</w:t>
    </w:r>
    <w:r w:rsidRPr="008E23EE">
      <w:rPr>
        <w:rStyle w:val="PageNumber"/>
        <w:sz w:val="20"/>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FE9" w:rsidRPr="0009232D" w:rsidRDefault="00391FE9" w:rsidP="00B47699">
    <w:pPr>
      <w:pStyle w:val="Footer"/>
      <w:jc w:val="center"/>
      <w:rPr>
        <w:sz w:val="20"/>
      </w:rPr>
    </w:pPr>
    <w:r w:rsidRPr="0009232D">
      <w:rPr>
        <w:rStyle w:val="PageNumber"/>
        <w:sz w:val="20"/>
      </w:rPr>
      <w:fldChar w:fldCharType="begin"/>
    </w:r>
    <w:r w:rsidRPr="0009232D">
      <w:rPr>
        <w:rStyle w:val="PageNumber"/>
        <w:sz w:val="20"/>
      </w:rPr>
      <w:instrText xml:space="preserve"> PAGE </w:instrText>
    </w:r>
    <w:r w:rsidRPr="0009232D">
      <w:rPr>
        <w:rStyle w:val="PageNumber"/>
        <w:sz w:val="20"/>
      </w:rPr>
      <w:fldChar w:fldCharType="separate"/>
    </w:r>
    <w:r w:rsidR="00AD7C1C">
      <w:rPr>
        <w:rStyle w:val="PageNumber"/>
        <w:noProof/>
        <w:sz w:val="20"/>
      </w:rPr>
      <w:t>285</w:t>
    </w:r>
    <w:r w:rsidRPr="0009232D">
      <w:rPr>
        <w:rStyle w:val="PageNumbe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1FE9" w:rsidRDefault="00391FE9">
      <w:r>
        <w:separator/>
      </w:r>
    </w:p>
  </w:footnote>
  <w:footnote w:type="continuationSeparator" w:id="0">
    <w:p w:rsidR="00391FE9" w:rsidRPr="009D30E6" w:rsidRDefault="00391FE9" w:rsidP="007E663E">
      <w:pPr>
        <w:rPr>
          <w:sz w:val="17"/>
          <w:szCs w:val="17"/>
        </w:rPr>
      </w:pPr>
      <w:r w:rsidRPr="009D30E6">
        <w:rPr>
          <w:sz w:val="17"/>
          <w:szCs w:val="17"/>
        </w:rPr>
        <w:separator/>
      </w:r>
    </w:p>
    <w:p w:rsidR="00391FE9" w:rsidRPr="007E663E" w:rsidRDefault="00391FE9" w:rsidP="007E663E">
      <w:pPr>
        <w:spacing w:after="60"/>
        <w:rPr>
          <w:sz w:val="17"/>
          <w:szCs w:val="17"/>
        </w:rPr>
      </w:pPr>
      <w:r>
        <w:rPr>
          <w:sz w:val="17"/>
        </w:rPr>
        <w:t>[Continuación de la nota de la página anterior]</w:t>
      </w:r>
    </w:p>
  </w:footnote>
  <w:footnote w:type="continuationNotice" w:id="1">
    <w:p w:rsidR="00391FE9" w:rsidRPr="007E663E" w:rsidRDefault="00391FE9" w:rsidP="007E663E">
      <w:pPr>
        <w:spacing w:before="60"/>
        <w:jc w:val="right"/>
        <w:rPr>
          <w:sz w:val="17"/>
          <w:szCs w:val="17"/>
        </w:rPr>
      </w:pPr>
      <w:r w:rsidRPr="007E663E">
        <w:rPr>
          <w:sz w:val="17"/>
          <w:szCs w:val="17"/>
        </w:rPr>
        <w:t>[Sigue la nota en la página siguiente]</w:t>
      </w:r>
    </w:p>
  </w:footnote>
  <w:footnote w:id="2">
    <w:p w:rsidR="00391FE9" w:rsidRPr="009F366A" w:rsidRDefault="00391FE9" w:rsidP="00140657">
      <w:pPr>
        <w:pStyle w:val="FootnoteText"/>
        <w:tabs>
          <w:tab w:val="left" w:pos="567"/>
        </w:tabs>
        <w:jc w:val="both"/>
        <w:rPr>
          <w:sz w:val="16"/>
          <w:szCs w:val="16"/>
          <w:lang w:val="es-ES_tradnl"/>
        </w:rPr>
      </w:pPr>
      <w:r w:rsidRPr="009F366A">
        <w:rPr>
          <w:rStyle w:val="FootnoteReference"/>
          <w:sz w:val="16"/>
          <w:szCs w:val="16"/>
        </w:rPr>
        <w:footnoteRef/>
      </w:r>
      <w:r>
        <w:rPr>
          <w:sz w:val="16"/>
          <w:szCs w:val="16"/>
          <w:lang w:val="es-ES_tradnl"/>
        </w:rPr>
        <w:t xml:space="preserve"> </w:t>
      </w:r>
      <w:r w:rsidRPr="009F366A">
        <w:rPr>
          <w:sz w:val="16"/>
          <w:szCs w:val="16"/>
          <w:lang w:val="es-ES_tradnl"/>
        </w:rPr>
        <w:t xml:space="preserve"> </w:t>
      </w:r>
      <w:r w:rsidRPr="009F366A">
        <w:rPr>
          <w:color w:val="000000"/>
          <w:sz w:val="16"/>
          <w:szCs w:val="16"/>
          <w:lang w:val="es-ES_tradnl"/>
        </w:rPr>
        <w:t>Examen del Proceso Presupuestario aplicado a los proyectos propuestos por el Comité de Des</w:t>
      </w:r>
      <w:r>
        <w:rPr>
          <w:color w:val="000000"/>
          <w:sz w:val="16"/>
          <w:szCs w:val="16"/>
          <w:lang w:val="es-ES_tradnl"/>
        </w:rPr>
        <w:t>arrollo y Propiedad Intelectual</w:t>
      </w:r>
      <w:r w:rsidRPr="009F366A">
        <w:rPr>
          <w:color w:val="000000"/>
          <w:sz w:val="16"/>
          <w:szCs w:val="16"/>
          <w:lang w:val="es-ES_tradnl"/>
        </w:rPr>
        <w:t xml:space="preserve"> (CDIP) para dar aplicación a las recomendaciones de la Agenda para el Desarrollo  (A/48/5 R</w:t>
      </w:r>
      <w:r>
        <w:rPr>
          <w:color w:val="000000"/>
          <w:sz w:val="16"/>
          <w:szCs w:val="16"/>
          <w:lang w:val="es-ES_tradnl"/>
        </w:rPr>
        <w:t>ev</w:t>
      </w:r>
      <w:r w:rsidRPr="009F366A">
        <w:rPr>
          <w:color w:val="000000"/>
          <w:sz w:val="16"/>
          <w:szCs w:val="16"/>
          <w:lang w:val="es-ES_tradnl"/>
        </w:rPr>
        <w:t>.)</w:t>
      </w:r>
    </w:p>
  </w:footnote>
  <w:footnote w:id="3">
    <w:p w:rsidR="00391FE9" w:rsidRPr="009F366A" w:rsidRDefault="00391FE9" w:rsidP="00FF779C">
      <w:pPr>
        <w:pStyle w:val="FootnoteText"/>
        <w:rPr>
          <w:sz w:val="16"/>
          <w:szCs w:val="16"/>
          <w:lang w:val="es-ES_tradnl"/>
        </w:rPr>
      </w:pPr>
      <w:r w:rsidRPr="009F366A">
        <w:rPr>
          <w:rStyle w:val="FootnoteReference"/>
          <w:sz w:val="16"/>
          <w:szCs w:val="16"/>
        </w:rPr>
        <w:footnoteRef/>
      </w:r>
      <w:r w:rsidRPr="009F366A">
        <w:rPr>
          <w:sz w:val="16"/>
          <w:szCs w:val="16"/>
          <w:lang w:val="es-ES_tradnl"/>
        </w:rPr>
        <w:t xml:space="preserve"> </w:t>
      </w:r>
      <w:r>
        <w:rPr>
          <w:sz w:val="16"/>
          <w:szCs w:val="16"/>
          <w:lang w:val="es-ES_tradnl"/>
        </w:rPr>
        <w:t xml:space="preserve"> </w:t>
      </w:r>
      <w:r w:rsidRPr="009F366A">
        <w:rPr>
          <w:sz w:val="16"/>
          <w:szCs w:val="16"/>
          <w:lang w:val="es-ES_tradnl"/>
        </w:rPr>
        <w:t>Conforme a lo que se viene haciend</w:t>
      </w:r>
      <w:r>
        <w:rPr>
          <w:sz w:val="16"/>
          <w:szCs w:val="16"/>
          <w:lang w:val="es-ES_tradnl"/>
        </w:rPr>
        <w:t>o</w:t>
      </w:r>
      <w:r w:rsidRPr="009F366A">
        <w:rPr>
          <w:sz w:val="16"/>
          <w:szCs w:val="16"/>
          <w:lang w:val="es-ES_tradnl"/>
        </w:rPr>
        <w:t xml:space="preserve"> hasta la fecha, a los fines del presupuesto por programas se incluye a los países con economías en transición.</w:t>
      </w:r>
    </w:p>
  </w:footnote>
  <w:footnote w:id="4">
    <w:p w:rsidR="00391FE9" w:rsidRPr="006E0207" w:rsidRDefault="00391FE9" w:rsidP="00F8358E">
      <w:pPr>
        <w:pStyle w:val="FootnoteText"/>
        <w:rPr>
          <w:szCs w:val="18"/>
        </w:rPr>
      </w:pPr>
      <w:r w:rsidRPr="006E0207">
        <w:rPr>
          <w:rStyle w:val="FootnoteReference"/>
          <w:szCs w:val="18"/>
        </w:rPr>
        <w:footnoteRef/>
      </w:r>
      <w:r w:rsidRPr="006E0207">
        <w:rPr>
          <w:szCs w:val="18"/>
        </w:rPr>
        <w:t xml:space="preserve"> </w:t>
      </w:r>
      <w:r>
        <w:rPr>
          <w:szCs w:val="18"/>
        </w:rPr>
        <w:t xml:space="preserve"> </w:t>
      </w:r>
      <w:r w:rsidRPr="006E0207">
        <w:rPr>
          <w:szCs w:val="18"/>
        </w:rPr>
        <w:t xml:space="preserve">Con sujeción a la aprobación por parte del CDIP del proyecto de la </w:t>
      </w:r>
      <w:r>
        <w:rPr>
          <w:szCs w:val="18"/>
        </w:rPr>
        <w:t xml:space="preserve">A.D. sobre la P.I. y la creación de diseños </w:t>
      </w:r>
      <w:r w:rsidRPr="006E0207">
        <w:rPr>
          <w:szCs w:val="18"/>
          <w:lang w:val="es-ES_tradnl"/>
        </w:rPr>
        <w:t>para fomentar las actividades comerciales en los países en desarrollo y los países menos adelantados (PMA)</w:t>
      </w:r>
      <w:r>
        <w:rPr>
          <w:szCs w:val="18"/>
          <w:lang w:val="es-ES_tradnl"/>
        </w:rPr>
        <w:t>.</w:t>
      </w:r>
    </w:p>
  </w:footnote>
  <w:footnote w:id="5">
    <w:p w:rsidR="00391FE9" w:rsidRPr="0007322D" w:rsidRDefault="00391FE9" w:rsidP="00C739DE">
      <w:pPr>
        <w:pStyle w:val="FootnoteText"/>
        <w:rPr>
          <w:sz w:val="16"/>
          <w:szCs w:val="16"/>
        </w:rPr>
      </w:pPr>
      <w:r w:rsidRPr="0007322D">
        <w:rPr>
          <w:rStyle w:val="FootnoteReference"/>
          <w:sz w:val="16"/>
          <w:szCs w:val="16"/>
        </w:rPr>
        <w:footnoteRef/>
      </w:r>
      <w:r>
        <w:rPr>
          <w:sz w:val="16"/>
          <w:szCs w:val="16"/>
        </w:rPr>
        <w:t xml:space="preserve">  </w:t>
      </w:r>
      <w:hyperlink r:id="rId1" w:history="1">
        <w:r w:rsidRPr="003F64B6">
          <w:rPr>
            <w:rStyle w:val="Hyperlink"/>
            <w:sz w:val="16"/>
            <w:szCs w:val="16"/>
          </w:rPr>
          <w:t>http://www.wipo.int/patentscope/en/programs/patent_landscapes/index.html</w:t>
        </w:r>
      </w:hyperlink>
      <w:r>
        <w:rPr>
          <w:sz w:val="16"/>
          <w:szCs w:val="16"/>
        </w:rPr>
        <w:t xml:space="preserve"> </w:t>
      </w:r>
    </w:p>
  </w:footnote>
  <w:footnote w:id="6">
    <w:p w:rsidR="00391FE9" w:rsidRPr="006469DB" w:rsidRDefault="00391FE9" w:rsidP="00C739DE">
      <w:pPr>
        <w:pStyle w:val="FootnoteText"/>
      </w:pPr>
      <w:r w:rsidRPr="0007322D">
        <w:rPr>
          <w:rStyle w:val="FootnoteReference"/>
          <w:sz w:val="16"/>
          <w:szCs w:val="16"/>
        </w:rPr>
        <w:footnoteRef/>
      </w:r>
      <w:r>
        <w:rPr>
          <w:sz w:val="16"/>
          <w:szCs w:val="16"/>
        </w:rPr>
        <w:t xml:space="preserve">  </w:t>
      </w:r>
      <w:hyperlink r:id="rId2" w:history="1">
        <w:r w:rsidRPr="003F64B6">
          <w:rPr>
            <w:rStyle w:val="Hyperlink"/>
            <w:sz w:val="16"/>
            <w:szCs w:val="16"/>
          </w:rPr>
          <w:t>http://www.wipo.int/edocs/mdocs/mdocs/en/cdip_4/cdip_4_3_rev_study_inf_3.pdf</w:t>
        </w:r>
      </w:hyperlink>
      <w:r>
        <w:rPr>
          <w:sz w:val="16"/>
          <w:szCs w:val="16"/>
        </w:rPr>
        <w:t xml:space="preserve"> </w:t>
      </w:r>
    </w:p>
  </w:footnote>
  <w:footnote w:id="7">
    <w:p w:rsidR="00391FE9" w:rsidRPr="009F366A" w:rsidRDefault="00391FE9" w:rsidP="00C2064F">
      <w:pPr>
        <w:pStyle w:val="FootnoteText"/>
        <w:rPr>
          <w:sz w:val="16"/>
          <w:szCs w:val="16"/>
        </w:rPr>
      </w:pPr>
      <w:r w:rsidRPr="009F366A">
        <w:rPr>
          <w:rStyle w:val="FootnoteReference"/>
          <w:sz w:val="16"/>
          <w:szCs w:val="16"/>
        </w:rPr>
        <w:footnoteRef/>
      </w:r>
      <w:r w:rsidRPr="009F366A">
        <w:rPr>
          <w:sz w:val="16"/>
          <w:szCs w:val="16"/>
        </w:rPr>
        <w:t xml:space="preserve"> </w:t>
      </w:r>
      <w:r>
        <w:rPr>
          <w:sz w:val="16"/>
          <w:szCs w:val="16"/>
        </w:rPr>
        <w:t xml:space="preserve"> </w:t>
      </w:r>
      <w:r w:rsidRPr="009F366A">
        <w:rPr>
          <w:sz w:val="16"/>
          <w:szCs w:val="16"/>
        </w:rPr>
        <w:t>A reserva de la evaluación de la Fase I y la aprobación de la Fase II por el CDIP.</w:t>
      </w:r>
    </w:p>
  </w:footnote>
  <w:footnote w:id="8">
    <w:p w:rsidR="00391FE9" w:rsidRPr="00D86347" w:rsidRDefault="00391FE9" w:rsidP="00383888">
      <w:pPr>
        <w:pStyle w:val="FootnoteText"/>
        <w:rPr>
          <w:szCs w:val="18"/>
          <w:lang w:val="es-ES_tradnl"/>
        </w:rPr>
      </w:pPr>
      <w:r w:rsidRPr="00D86347">
        <w:rPr>
          <w:rStyle w:val="FootnoteReference"/>
          <w:szCs w:val="18"/>
        </w:rPr>
        <w:footnoteRef/>
      </w:r>
      <w:r w:rsidRPr="00D86347">
        <w:rPr>
          <w:szCs w:val="18"/>
          <w:lang w:val="es-ES_tradnl"/>
        </w:rPr>
        <w:t xml:space="preserve">  </w:t>
      </w:r>
      <w:r w:rsidRPr="00D86347">
        <w:rPr>
          <w:color w:val="000000"/>
          <w:szCs w:val="18"/>
          <w:lang w:val="es-ES_tradnl"/>
        </w:rPr>
        <w:t>Todas las estadísticas se basan en la fecha de presentación de las solicitudes PCT o de las solicitudes según el procedimiento previsto en el Capítulo II.</w:t>
      </w:r>
    </w:p>
  </w:footnote>
  <w:footnote w:id="9">
    <w:p w:rsidR="00391FE9" w:rsidRPr="00D86347" w:rsidRDefault="00391FE9" w:rsidP="00383888">
      <w:pPr>
        <w:pStyle w:val="FootnoteText"/>
        <w:rPr>
          <w:szCs w:val="18"/>
        </w:rPr>
      </w:pPr>
      <w:r w:rsidRPr="00D86347">
        <w:rPr>
          <w:rStyle w:val="FootnoteReference"/>
          <w:szCs w:val="18"/>
        </w:rPr>
        <w:footnoteRef/>
      </w:r>
      <w:r w:rsidRPr="00D86347">
        <w:rPr>
          <w:szCs w:val="18"/>
        </w:rPr>
        <w:t xml:space="preserve"> </w:t>
      </w:r>
      <w:r>
        <w:rPr>
          <w:szCs w:val="18"/>
        </w:rPr>
        <w:t xml:space="preserve"> </w:t>
      </w:r>
      <w:r w:rsidRPr="00D86347">
        <w:rPr>
          <w:color w:val="000000"/>
          <w:szCs w:val="18"/>
          <w:lang w:val="es-ES_tradnl"/>
        </w:rPr>
        <w:t>Se entiende por ejemplar original una solicitud PCT que, una vez presentada ante una Oficina receptora, es tramitada y remitida por ésta a la Oficina Internacional.</w:t>
      </w:r>
      <w:r>
        <w:rPr>
          <w:color w:val="000000"/>
          <w:szCs w:val="18"/>
          <w:lang w:val="es-ES_tradnl"/>
        </w:rPr>
        <w:t xml:space="preserve"> </w:t>
      </w:r>
      <w:r w:rsidRPr="00D86347">
        <w:rPr>
          <w:color w:val="000000"/>
          <w:szCs w:val="18"/>
          <w:lang w:val="es-ES_tradnl"/>
        </w:rPr>
        <w:t xml:space="preserve"> Puesto que los ejemplares originales son remitidos a la Oficina Internacional una vez que fueron tramitados por una Oficina receptora, los plazos de tramitación aplicados por dichas oficinas tendrán una marcada incidencia en las estadísticas. </w:t>
      </w:r>
      <w:r>
        <w:rPr>
          <w:color w:val="000000"/>
          <w:szCs w:val="18"/>
          <w:lang w:val="es-ES_tradnl"/>
        </w:rPr>
        <w:t xml:space="preserve"> </w:t>
      </w:r>
      <w:r w:rsidRPr="00D86347">
        <w:rPr>
          <w:color w:val="000000"/>
          <w:szCs w:val="18"/>
          <w:lang w:val="es-ES_tradnl"/>
        </w:rPr>
        <w:t xml:space="preserve">Por ello, si bien las tendencias relativas a la recepción de ejemplares originales son indicadores válidos del volumen de trabajo de la Oficina Internacional, no se ajustan fielmente a las tendencias relativas a la presentación de solicitudes PCT. </w:t>
      </w:r>
    </w:p>
  </w:footnote>
  <w:footnote w:id="10">
    <w:p w:rsidR="00391FE9" w:rsidRPr="00D86347" w:rsidRDefault="00391FE9" w:rsidP="00383888">
      <w:pPr>
        <w:pStyle w:val="FootnoteText"/>
        <w:rPr>
          <w:szCs w:val="18"/>
          <w:lang w:val="es-ES_tradnl"/>
        </w:rPr>
      </w:pPr>
      <w:r w:rsidRPr="00D86347">
        <w:rPr>
          <w:rStyle w:val="FootnoteReference"/>
          <w:szCs w:val="18"/>
        </w:rPr>
        <w:footnoteRef/>
      </w:r>
      <w:r w:rsidRPr="00D86347">
        <w:rPr>
          <w:szCs w:val="18"/>
          <w:lang w:val="es-ES_tradnl"/>
        </w:rPr>
        <w:t xml:space="preserve"> </w:t>
      </w:r>
      <w:r>
        <w:rPr>
          <w:szCs w:val="18"/>
          <w:lang w:val="es-ES_tradnl"/>
        </w:rPr>
        <w:t xml:space="preserve"> </w:t>
      </w:r>
      <w:r w:rsidRPr="00D86347">
        <w:rPr>
          <w:szCs w:val="18"/>
          <w:lang w:val="es-ES_tradnl"/>
        </w:rPr>
        <w:t xml:space="preserve">Se puede consultar la descripción completa de esta metodología en la siguiente dirección:  </w:t>
      </w:r>
      <w:hyperlink r:id="rId3" w:history="1">
        <w:r w:rsidRPr="00C307DF">
          <w:rPr>
            <w:rStyle w:val="Hyperlink"/>
            <w:szCs w:val="18"/>
            <w:lang w:val="es-ES_tradnl"/>
          </w:rPr>
          <w:t>www.wipo.int/edocs/mdocs/govbody/es/a_42/a_42_10-annex3.pdf</w:t>
        </w:r>
      </w:hyperlink>
      <w:r w:rsidRPr="00D86347">
        <w:rPr>
          <w:szCs w:val="18"/>
          <w:lang w:val="es-ES_tradnl"/>
        </w:rPr>
        <w:t>.</w:t>
      </w:r>
    </w:p>
  </w:footnote>
  <w:footnote w:id="11">
    <w:p w:rsidR="00391FE9" w:rsidRPr="00D86347" w:rsidRDefault="00391FE9" w:rsidP="00383888">
      <w:pPr>
        <w:pStyle w:val="FootnoteText"/>
        <w:rPr>
          <w:szCs w:val="18"/>
        </w:rPr>
      </w:pPr>
      <w:r w:rsidRPr="00D86347">
        <w:rPr>
          <w:rStyle w:val="FootnoteReference"/>
          <w:szCs w:val="18"/>
        </w:rPr>
        <w:footnoteRef/>
      </w:r>
      <w:r>
        <w:rPr>
          <w:szCs w:val="18"/>
        </w:rPr>
        <w:t xml:space="preserve"> </w:t>
      </w:r>
      <w:r w:rsidRPr="00D86347">
        <w:rPr>
          <w:szCs w:val="18"/>
        </w:rPr>
        <w:t xml:space="preserve"> </w:t>
      </w:r>
      <w:r w:rsidRPr="00D86347">
        <w:rPr>
          <w:color w:val="000000"/>
          <w:szCs w:val="18"/>
          <w:lang w:val="es-ES_tradnl"/>
        </w:rPr>
        <w:t>El costo unitario que figura en el gráfico se calculó sobre la base de la metodología del costo unitario vigente hasta finales del 2012.</w:t>
      </w:r>
      <w:r w:rsidRPr="00D86347">
        <w:rPr>
          <w:szCs w:val="18"/>
        </w:rPr>
        <w:t xml:space="preserve">  </w:t>
      </w:r>
      <w:r w:rsidRPr="00D86347">
        <w:rPr>
          <w:color w:val="000000"/>
          <w:szCs w:val="18"/>
          <w:lang w:val="es-ES_tradnl"/>
        </w:rPr>
        <w:t>Desde 2013, se aplica una versión revisada de dicha metodología con el fin de garantizar su coherencia con la metodología aplicada para el cálculo de los costos por Unión.</w:t>
      </w:r>
      <w:r w:rsidRPr="00D86347">
        <w:rPr>
          <w:szCs w:val="18"/>
        </w:rPr>
        <w:t xml:space="preserve">  </w:t>
      </w:r>
      <w:r w:rsidRPr="00D86347">
        <w:rPr>
          <w:color w:val="000000"/>
          <w:szCs w:val="18"/>
          <w:lang w:val="es-ES_tradnl"/>
        </w:rPr>
        <w:t>Según la metodología revisada, el costo unitario total previsto era de 712 francos suizos en 2012, de los cuales 464 francos suizos correspondían a costos directos y 248 francos suizos a los costos indirectos.</w:t>
      </w:r>
      <w:r w:rsidRPr="00D86347">
        <w:rPr>
          <w:szCs w:val="18"/>
        </w:rPr>
        <w:t xml:space="preserve"> </w:t>
      </w:r>
    </w:p>
  </w:footnote>
  <w:footnote w:id="12">
    <w:p w:rsidR="00391FE9" w:rsidRPr="00D86347" w:rsidRDefault="00391FE9" w:rsidP="00383888">
      <w:pPr>
        <w:pStyle w:val="FootnoteText"/>
        <w:rPr>
          <w:szCs w:val="18"/>
          <w:lang w:val="es-ES_tradnl"/>
        </w:rPr>
      </w:pPr>
      <w:r w:rsidRPr="00D86347">
        <w:rPr>
          <w:rStyle w:val="FootnoteReference"/>
          <w:szCs w:val="18"/>
        </w:rPr>
        <w:footnoteRef/>
      </w:r>
      <w:r w:rsidRPr="00D86347">
        <w:rPr>
          <w:szCs w:val="18"/>
          <w:lang w:val="es-ES_tradnl"/>
        </w:rPr>
        <w:t xml:space="preserve"> </w:t>
      </w:r>
      <w:r>
        <w:rPr>
          <w:szCs w:val="18"/>
          <w:lang w:val="es-ES_tradnl"/>
        </w:rPr>
        <w:t xml:space="preserve"> </w:t>
      </w:r>
      <w:r w:rsidRPr="00D86347">
        <w:rPr>
          <w:color w:val="000000"/>
          <w:szCs w:val="18"/>
          <w:lang w:val="es-ES_tradnl"/>
        </w:rPr>
        <w:t>El sistema eDossier es la principal herramienta de trabajo del personal para la tramitación de solicitudes.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FE9" w:rsidRDefault="00391FE9" w:rsidP="00A4707B">
    <w:pPr>
      <w:pStyle w:val="Header"/>
      <w:jc w:val="right"/>
    </w:pPr>
    <w:r>
      <w:t>WO/PBC/21/8</w:t>
    </w:r>
  </w:p>
  <w:p w:rsidR="00391FE9" w:rsidRDefault="00391FE9" w:rsidP="00A4707B">
    <w:pPr>
      <w:pStyle w:val="Header"/>
      <w:jc w:val="right"/>
    </w:pPr>
    <w:r>
      <w:t xml:space="preserve">página </w:t>
    </w:r>
  </w:p>
  <w:p w:rsidR="00391FE9" w:rsidRDefault="00391FE9" w:rsidP="00A4707B">
    <w:pPr>
      <w:pStyle w:val="Header"/>
      <w:jc w:val="right"/>
    </w:pPr>
  </w:p>
  <w:p w:rsidR="00391FE9" w:rsidRPr="00A4707B" w:rsidRDefault="00391FE9" w:rsidP="00A4707B">
    <w:pPr>
      <w:pStyle w:val="Header"/>
      <w:jc w:val="right"/>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FE9" w:rsidRDefault="00391FE9" w:rsidP="00F651AE">
    <w:pPr>
      <w:pStyle w:val="Header"/>
      <w:jc w:val="right"/>
      <w:rPr>
        <w:b/>
        <w:bCs/>
        <w:sz w:val="18"/>
        <w:szCs w:val="18"/>
      </w:rPr>
    </w:pPr>
    <w:r>
      <w:rPr>
        <w:b/>
        <w:bCs/>
        <w:sz w:val="18"/>
        <w:szCs w:val="18"/>
      </w:rPr>
      <w:t>Visión de conjunto de los resultados</w:t>
    </w:r>
  </w:p>
  <w:p w:rsidR="00391FE9" w:rsidRDefault="00391FE9" w:rsidP="00F651AE">
    <w:pPr>
      <w:pStyle w:val="Header"/>
      <w:jc w:val="right"/>
      <w:rPr>
        <w:b/>
        <w:bCs/>
        <w:sz w:val="20"/>
      </w:rPr>
    </w:pPr>
  </w:p>
  <w:p w:rsidR="00391FE9" w:rsidRPr="00F651AE" w:rsidRDefault="00391FE9" w:rsidP="007B2C29">
    <w:pPr>
      <w:pStyle w:val="Header"/>
      <w:jc w:val="center"/>
      <w:rPr>
        <w:b/>
        <w:bCs/>
        <w:sz w:val="20"/>
      </w:rPr>
    </w:pPr>
    <w:r w:rsidRPr="004F32F6">
      <w:rPr>
        <w:b/>
        <w:bCs/>
        <w:sz w:val="20"/>
      </w:rPr>
      <w:t>MARCO DE RESULTADOS Y PRESUPUESTO POR PROGRAMAS PARA 2014/15, INCLUIDA LA CUOTA ASIGNADA AL DESARROLLO POR RESULTADO</w:t>
    </w:r>
    <w:r>
      <w:rPr>
        <w:b/>
        <w:bCs/>
        <w:sz w:val="20"/>
      </w:rPr>
      <w:t xml:space="preserve"> </w:t>
    </w:r>
    <w:r>
      <w:rPr>
        <w:b/>
        <w:bCs/>
        <w:sz w:val="20"/>
        <w:vertAlign w:val="superscript"/>
      </w:rPr>
      <w:t>1, 2, 3, 4</w:t>
    </w:r>
  </w:p>
  <w:p w:rsidR="00391FE9" w:rsidRDefault="00391FE9" w:rsidP="007B2C29">
    <w:pPr>
      <w:pStyle w:val="Header"/>
      <w:jc w:val="center"/>
      <w:rPr>
        <w:b/>
        <w:bCs/>
        <w:sz w:val="18"/>
        <w:szCs w:val="18"/>
      </w:rPr>
    </w:pPr>
    <w:r w:rsidRPr="00C36334">
      <w:rPr>
        <w:b/>
        <w:bCs/>
        <w:sz w:val="18"/>
        <w:szCs w:val="18"/>
      </w:rPr>
      <w:t>(en miles de francos suizos)</w:t>
    </w:r>
  </w:p>
  <w:p w:rsidR="00391FE9" w:rsidRPr="00F651AE" w:rsidRDefault="00391FE9" w:rsidP="007B2C29">
    <w:pPr>
      <w:pStyle w:val="Header"/>
      <w:jc w:val="center"/>
      <w:rPr>
        <w:b/>
        <w:bCs/>
        <w:sz w:val="14"/>
        <w:szCs w:val="14"/>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FE9" w:rsidRPr="00BD56AC" w:rsidRDefault="00391FE9" w:rsidP="00FF362A">
    <w:pPr>
      <w:pStyle w:val="Header"/>
      <w:rPr>
        <w:b/>
        <w:bCs/>
        <w:sz w:val="18"/>
        <w:szCs w:val="18"/>
      </w:rPr>
    </w:pPr>
    <w:r w:rsidRPr="00BD56AC">
      <w:rPr>
        <w:b/>
        <w:bCs/>
        <w:sz w:val="18"/>
        <w:szCs w:val="18"/>
      </w:rPr>
      <w:t>Pro</w:t>
    </w:r>
    <w:r>
      <w:rPr>
        <w:b/>
        <w:bCs/>
        <w:sz w:val="18"/>
        <w:szCs w:val="18"/>
      </w:rPr>
      <w:t>puesta</w:t>
    </w:r>
    <w:r w:rsidRPr="00BD56AC">
      <w:rPr>
        <w:b/>
        <w:bCs/>
        <w:sz w:val="18"/>
        <w:szCs w:val="18"/>
      </w:rPr>
      <w:t xml:space="preserve"> de presupuesto por programas </w:t>
    </w:r>
    <w:r>
      <w:rPr>
        <w:b/>
        <w:bCs/>
        <w:sz w:val="18"/>
        <w:szCs w:val="18"/>
      </w:rPr>
      <w:t>de</w:t>
    </w:r>
    <w:r w:rsidRPr="00BD56AC">
      <w:rPr>
        <w:b/>
        <w:bCs/>
        <w:sz w:val="18"/>
        <w:szCs w:val="18"/>
      </w:rPr>
      <w:t xml:space="preserve"> 2014/15</w:t>
    </w:r>
  </w:p>
  <w:p w:rsidR="00391FE9" w:rsidRPr="00BD56AC" w:rsidRDefault="00391FE9" w:rsidP="00FF362A">
    <w:pPr>
      <w:pStyle w:val="Header"/>
      <w:rPr>
        <w:b/>
        <w:bCs/>
        <w:sz w:val="18"/>
        <w:szCs w:val="18"/>
      </w:rPr>
    </w:pPr>
  </w:p>
  <w:p w:rsidR="00391FE9" w:rsidRPr="00BD56AC" w:rsidRDefault="00391FE9" w:rsidP="00FF362A">
    <w:pPr>
      <w:pStyle w:val="Header"/>
      <w:rPr>
        <w:b/>
        <w:bCs/>
        <w:sz w:val="18"/>
        <w:szCs w:val="18"/>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FE9" w:rsidRDefault="00391FE9" w:rsidP="00767E14">
    <w:pPr>
      <w:pStyle w:val="Header"/>
      <w:jc w:val="right"/>
      <w:rPr>
        <w:b/>
        <w:bCs/>
        <w:sz w:val="18"/>
        <w:szCs w:val="18"/>
      </w:rPr>
    </w:pPr>
    <w:r>
      <w:rPr>
        <w:b/>
        <w:bCs/>
        <w:sz w:val="18"/>
        <w:szCs w:val="18"/>
      </w:rPr>
      <w:t>Panorama financiero</w:t>
    </w:r>
  </w:p>
  <w:p w:rsidR="00391FE9" w:rsidRDefault="00391FE9" w:rsidP="00767E14">
    <w:pPr>
      <w:pStyle w:val="Header"/>
      <w:jc w:val="right"/>
      <w:rPr>
        <w:b/>
        <w:bCs/>
        <w:sz w:val="18"/>
        <w:szCs w:val="18"/>
      </w:rPr>
    </w:pPr>
  </w:p>
  <w:p w:rsidR="00391FE9" w:rsidRPr="00B336F5" w:rsidRDefault="00391FE9" w:rsidP="00767E14">
    <w:pPr>
      <w:pStyle w:val="Header"/>
      <w:jc w:val="right"/>
      <w:rPr>
        <w:b/>
        <w:bCs/>
        <w:sz w:val="18"/>
        <w:szCs w:val="18"/>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FE9" w:rsidRDefault="00391FE9" w:rsidP="00237451">
    <w:pPr>
      <w:pStyle w:val="Header"/>
      <w:rPr>
        <w:b/>
        <w:bCs/>
        <w:sz w:val="18"/>
        <w:szCs w:val="18"/>
      </w:rPr>
    </w:pPr>
    <w:r>
      <w:rPr>
        <w:b/>
        <w:bCs/>
        <w:sz w:val="18"/>
        <w:szCs w:val="18"/>
      </w:rPr>
      <w:t>Propuesta de presupuesto por programas de 2014/15</w:t>
    </w:r>
  </w:p>
  <w:p w:rsidR="00391FE9" w:rsidRPr="00F651AE" w:rsidRDefault="00391FE9" w:rsidP="00237451">
    <w:pPr>
      <w:pStyle w:val="Header"/>
      <w:rPr>
        <w:b/>
        <w:bCs/>
        <w:sz w:val="18"/>
        <w:szCs w:val="18"/>
      </w:rPr>
    </w:pPr>
  </w:p>
  <w:p w:rsidR="00391FE9" w:rsidRPr="00F651AE" w:rsidRDefault="00391FE9" w:rsidP="00237451">
    <w:pPr>
      <w:pStyle w:val="Header"/>
      <w:rPr>
        <w:b/>
        <w:bCs/>
        <w:sz w:val="18"/>
        <w:szCs w:val="18"/>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FE9" w:rsidRDefault="00391FE9" w:rsidP="008B2320">
    <w:pPr>
      <w:pStyle w:val="Header"/>
      <w:rPr>
        <w:b/>
        <w:bCs/>
        <w:sz w:val="18"/>
        <w:szCs w:val="18"/>
      </w:rPr>
    </w:pPr>
  </w:p>
  <w:p w:rsidR="00391FE9" w:rsidRDefault="00391FE9" w:rsidP="008B2320">
    <w:pPr>
      <w:pStyle w:val="Header"/>
      <w:rPr>
        <w:b/>
        <w:bCs/>
        <w:sz w:val="18"/>
        <w:szCs w:val="18"/>
      </w:rPr>
    </w:pPr>
  </w:p>
  <w:p w:rsidR="00391FE9" w:rsidRPr="00B336F5" w:rsidRDefault="00391FE9" w:rsidP="008B2320">
    <w:pPr>
      <w:pStyle w:val="Header"/>
      <w:rPr>
        <w:b/>
        <w:bCs/>
        <w:sz w:val="18"/>
        <w:szCs w:val="18"/>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FE9" w:rsidRDefault="00391FE9" w:rsidP="00767E14">
    <w:pPr>
      <w:pStyle w:val="Header"/>
      <w:jc w:val="right"/>
      <w:rPr>
        <w:b/>
        <w:bCs/>
        <w:sz w:val="18"/>
        <w:szCs w:val="18"/>
      </w:rPr>
    </w:pPr>
    <w:r w:rsidRPr="00060594">
      <w:rPr>
        <w:b/>
        <w:bCs/>
        <w:sz w:val="18"/>
        <w:szCs w:val="18"/>
      </w:rPr>
      <w:t>Meta estratégica I</w:t>
    </w:r>
  </w:p>
  <w:p w:rsidR="00391FE9" w:rsidRDefault="00391FE9" w:rsidP="00767E14">
    <w:pPr>
      <w:pStyle w:val="Header"/>
      <w:jc w:val="right"/>
      <w:rPr>
        <w:b/>
        <w:bCs/>
        <w:sz w:val="18"/>
        <w:szCs w:val="18"/>
      </w:rPr>
    </w:pPr>
  </w:p>
  <w:p w:rsidR="00391FE9" w:rsidRPr="00B336F5" w:rsidRDefault="00391FE9" w:rsidP="00767E14">
    <w:pPr>
      <w:pStyle w:val="Header"/>
      <w:jc w:val="right"/>
      <w:rPr>
        <w:b/>
        <w:bCs/>
        <w:sz w:val="18"/>
        <w:szCs w:val="18"/>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FE9" w:rsidRDefault="00391FE9" w:rsidP="00767E14">
    <w:pPr>
      <w:pStyle w:val="Header"/>
      <w:rPr>
        <w:b/>
        <w:bCs/>
        <w:sz w:val="18"/>
        <w:szCs w:val="18"/>
      </w:rPr>
    </w:pPr>
    <w:r w:rsidRPr="00BD56AC">
      <w:rPr>
        <w:b/>
        <w:bCs/>
        <w:sz w:val="18"/>
        <w:szCs w:val="18"/>
      </w:rPr>
      <w:t>Pro</w:t>
    </w:r>
    <w:r>
      <w:rPr>
        <w:b/>
        <w:bCs/>
        <w:sz w:val="18"/>
        <w:szCs w:val="18"/>
      </w:rPr>
      <w:t>puesta</w:t>
    </w:r>
    <w:r w:rsidRPr="00BD56AC">
      <w:rPr>
        <w:b/>
        <w:bCs/>
        <w:sz w:val="18"/>
        <w:szCs w:val="18"/>
      </w:rPr>
      <w:t xml:space="preserve"> de presupuesto por programas para 2014/15</w:t>
    </w:r>
  </w:p>
  <w:p w:rsidR="00391FE9" w:rsidRDefault="00391FE9" w:rsidP="00767E14">
    <w:pPr>
      <w:pStyle w:val="Header"/>
      <w:rPr>
        <w:b/>
        <w:bCs/>
        <w:sz w:val="18"/>
        <w:szCs w:val="18"/>
      </w:rPr>
    </w:pPr>
  </w:p>
  <w:p w:rsidR="00391FE9" w:rsidRPr="00B336F5" w:rsidRDefault="00391FE9" w:rsidP="00767E14">
    <w:pPr>
      <w:pStyle w:val="Header"/>
      <w:rPr>
        <w:b/>
        <w:bCs/>
        <w:sz w:val="18"/>
        <w:szCs w:val="18"/>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FE9" w:rsidRDefault="00391FE9" w:rsidP="001F01D6">
    <w:pPr>
      <w:pStyle w:val="Header"/>
      <w:jc w:val="right"/>
      <w:rPr>
        <w:b/>
        <w:bCs/>
        <w:sz w:val="18"/>
        <w:szCs w:val="18"/>
      </w:rPr>
    </w:pPr>
    <w:r w:rsidRPr="00060594">
      <w:rPr>
        <w:b/>
        <w:bCs/>
        <w:sz w:val="18"/>
        <w:szCs w:val="18"/>
      </w:rPr>
      <w:t>Meta estratégica II</w:t>
    </w:r>
  </w:p>
  <w:p w:rsidR="00391FE9" w:rsidRPr="001F01D6" w:rsidRDefault="00391FE9" w:rsidP="001F01D6">
    <w:pPr>
      <w:pStyle w:val="Header"/>
      <w:jc w:val="right"/>
      <w:rPr>
        <w:b/>
        <w:bCs/>
        <w:sz w:val="18"/>
        <w:szCs w:val="18"/>
      </w:rPr>
    </w:pPr>
  </w:p>
  <w:p w:rsidR="00391FE9" w:rsidRPr="001F01D6" w:rsidRDefault="00391FE9" w:rsidP="001F01D6">
    <w:pPr>
      <w:pStyle w:val="Header"/>
      <w:jc w:val="right"/>
      <w:rPr>
        <w:sz w:val="18"/>
        <w:szCs w:val="18"/>
      </w:rP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FE9" w:rsidRPr="00BD56AC" w:rsidRDefault="00391FE9" w:rsidP="003A0C0D">
    <w:pPr>
      <w:pStyle w:val="Header"/>
      <w:rPr>
        <w:b/>
        <w:bCs/>
        <w:sz w:val="18"/>
        <w:szCs w:val="18"/>
      </w:rPr>
    </w:pPr>
    <w:r w:rsidRPr="00BD56AC">
      <w:rPr>
        <w:b/>
        <w:bCs/>
        <w:sz w:val="18"/>
        <w:szCs w:val="18"/>
      </w:rPr>
      <w:t>Pro</w:t>
    </w:r>
    <w:r>
      <w:rPr>
        <w:b/>
        <w:bCs/>
        <w:sz w:val="18"/>
        <w:szCs w:val="18"/>
      </w:rPr>
      <w:t>puesta</w:t>
    </w:r>
    <w:r w:rsidRPr="00BD56AC">
      <w:rPr>
        <w:b/>
        <w:bCs/>
        <w:sz w:val="18"/>
        <w:szCs w:val="18"/>
      </w:rPr>
      <w:t xml:space="preserve"> de presupuesto por programas </w:t>
    </w:r>
    <w:r>
      <w:rPr>
        <w:b/>
        <w:bCs/>
        <w:sz w:val="18"/>
        <w:szCs w:val="18"/>
      </w:rPr>
      <w:t>de</w:t>
    </w:r>
    <w:r w:rsidRPr="00BD56AC">
      <w:rPr>
        <w:b/>
        <w:bCs/>
        <w:sz w:val="18"/>
        <w:szCs w:val="18"/>
      </w:rPr>
      <w:t xml:space="preserve"> 2014/15</w:t>
    </w:r>
  </w:p>
  <w:p w:rsidR="00391FE9" w:rsidRPr="00BD56AC" w:rsidRDefault="00391FE9" w:rsidP="003A0C0D">
    <w:pPr>
      <w:pStyle w:val="Header"/>
      <w:rPr>
        <w:b/>
        <w:bCs/>
        <w:sz w:val="18"/>
        <w:szCs w:val="18"/>
      </w:rPr>
    </w:pPr>
  </w:p>
  <w:p w:rsidR="00391FE9" w:rsidRPr="00B336F5" w:rsidRDefault="00391FE9" w:rsidP="003A0C0D">
    <w:pPr>
      <w:pStyle w:val="Header"/>
      <w:rPr>
        <w:b/>
        <w:bCs/>
        <w:sz w:val="18"/>
        <w:szCs w:val="18"/>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FE9" w:rsidRPr="00BD56AC" w:rsidRDefault="00391FE9" w:rsidP="00FF362A">
    <w:pPr>
      <w:pStyle w:val="Header"/>
      <w:rPr>
        <w:b/>
        <w:bCs/>
        <w:sz w:val="18"/>
        <w:szCs w:val="18"/>
      </w:rPr>
    </w:pPr>
    <w:r w:rsidRPr="00BD56AC">
      <w:rPr>
        <w:b/>
        <w:bCs/>
        <w:sz w:val="18"/>
        <w:szCs w:val="18"/>
      </w:rPr>
      <w:t>Pro</w:t>
    </w:r>
    <w:r>
      <w:rPr>
        <w:b/>
        <w:bCs/>
        <w:sz w:val="18"/>
        <w:szCs w:val="18"/>
      </w:rPr>
      <w:t>puesta</w:t>
    </w:r>
    <w:r w:rsidRPr="00BD56AC">
      <w:rPr>
        <w:b/>
        <w:bCs/>
        <w:sz w:val="18"/>
        <w:szCs w:val="18"/>
      </w:rPr>
      <w:t xml:space="preserve"> de presupuesto por programas para 2014/15</w:t>
    </w:r>
  </w:p>
  <w:p w:rsidR="00391FE9" w:rsidRPr="00BD56AC" w:rsidRDefault="00391FE9" w:rsidP="00FF362A">
    <w:pPr>
      <w:pStyle w:val="Header"/>
      <w:rPr>
        <w:b/>
        <w:bCs/>
        <w:sz w:val="18"/>
        <w:szCs w:val="18"/>
      </w:rPr>
    </w:pPr>
  </w:p>
  <w:p w:rsidR="00391FE9" w:rsidRPr="00BD56AC" w:rsidRDefault="00391FE9" w:rsidP="00FF362A">
    <w:pPr>
      <w:pStyle w:val="Header"/>
      <w:rPr>
        <w:b/>
        <w:bCs/>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FE9" w:rsidRDefault="00391FE9" w:rsidP="007B2C29">
    <w:pPr>
      <w:pStyle w:val="Header"/>
      <w:jc w:val="right"/>
      <w:rPr>
        <w:b/>
        <w:bCs/>
        <w:sz w:val="18"/>
        <w:szCs w:val="18"/>
      </w:rPr>
    </w:pPr>
  </w:p>
  <w:p w:rsidR="00391FE9" w:rsidRPr="00B336F5" w:rsidRDefault="00391FE9" w:rsidP="007B2C29">
    <w:pPr>
      <w:pStyle w:val="Header"/>
      <w:jc w:val="right"/>
      <w:rPr>
        <w:b/>
        <w:bCs/>
        <w:sz w:val="18"/>
        <w:szCs w:val="18"/>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FE9" w:rsidRDefault="00391FE9" w:rsidP="001F01D6">
    <w:pPr>
      <w:pStyle w:val="Header"/>
      <w:jc w:val="right"/>
      <w:rPr>
        <w:b/>
        <w:bCs/>
        <w:sz w:val="18"/>
        <w:szCs w:val="18"/>
      </w:rPr>
    </w:pPr>
    <w:r w:rsidRPr="00D46726">
      <w:rPr>
        <w:b/>
        <w:bCs/>
        <w:sz w:val="18"/>
        <w:szCs w:val="18"/>
      </w:rPr>
      <w:t>Meta estratégica </w:t>
    </w:r>
    <w:r>
      <w:rPr>
        <w:b/>
        <w:bCs/>
        <w:sz w:val="18"/>
        <w:szCs w:val="18"/>
      </w:rPr>
      <w:t>III</w:t>
    </w:r>
  </w:p>
  <w:p w:rsidR="00391FE9" w:rsidRPr="001F01D6" w:rsidRDefault="00391FE9" w:rsidP="001F01D6">
    <w:pPr>
      <w:pStyle w:val="Header"/>
      <w:jc w:val="right"/>
      <w:rPr>
        <w:b/>
        <w:bCs/>
        <w:sz w:val="18"/>
        <w:szCs w:val="18"/>
      </w:rPr>
    </w:pPr>
  </w:p>
  <w:p w:rsidR="00391FE9" w:rsidRPr="001F01D6" w:rsidRDefault="00391FE9" w:rsidP="001F01D6">
    <w:pPr>
      <w:pStyle w:val="Header"/>
      <w:jc w:val="right"/>
      <w:rPr>
        <w:sz w:val="18"/>
        <w:szCs w:val="18"/>
      </w:rP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FE9" w:rsidRPr="00BD56AC" w:rsidRDefault="00391FE9" w:rsidP="00B47699">
    <w:pPr>
      <w:pStyle w:val="Header"/>
      <w:jc w:val="right"/>
      <w:rPr>
        <w:b/>
        <w:bCs/>
        <w:sz w:val="18"/>
        <w:szCs w:val="18"/>
      </w:rPr>
    </w:pPr>
    <w:r>
      <w:rPr>
        <w:b/>
        <w:bCs/>
        <w:sz w:val="18"/>
        <w:szCs w:val="18"/>
      </w:rPr>
      <w:t>Meta estratégica III</w:t>
    </w:r>
  </w:p>
  <w:p w:rsidR="00391FE9" w:rsidRPr="00BD56AC" w:rsidRDefault="00391FE9" w:rsidP="00B47699">
    <w:pPr>
      <w:pStyle w:val="Header"/>
      <w:jc w:val="right"/>
      <w:rPr>
        <w:b/>
        <w:bCs/>
        <w:sz w:val="18"/>
        <w:szCs w:val="18"/>
      </w:rPr>
    </w:pPr>
  </w:p>
  <w:p w:rsidR="00391FE9" w:rsidRPr="00BD56AC" w:rsidRDefault="00391FE9" w:rsidP="00B47699">
    <w:pPr>
      <w:pStyle w:val="Header"/>
      <w:jc w:val="right"/>
      <w:rPr>
        <w:b/>
        <w:bCs/>
        <w:sz w:val="18"/>
        <w:szCs w:val="18"/>
      </w:rP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FE9" w:rsidRDefault="00391FE9" w:rsidP="001F01D6">
    <w:pPr>
      <w:pStyle w:val="Header"/>
      <w:jc w:val="right"/>
      <w:rPr>
        <w:b/>
        <w:bCs/>
        <w:sz w:val="18"/>
        <w:szCs w:val="18"/>
      </w:rPr>
    </w:pPr>
    <w:r w:rsidRPr="00D46726">
      <w:rPr>
        <w:b/>
        <w:bCs/>
        <w:sz w:val="18"/>
        <w:szCs w:val="18"/>
      </w:rPr>
      <w:t>Meta estratégica </w:t>
    </w:r>
    <w:r>
      <w:rPr>
        <w:b/>
        <w:bCs/>
        <w:sz w:val="18"/>
        <w:szCs w:val="18"/>
      </w:rPr>
      <w:t>IV</w:t>
    </w:r>
  </w:p>
  <w:p w:rsidR="00391FE9" w:rsidRPr="001F01D6" w:rsidRDefault="00391FE9" w:rsidP="001F01D6">
    <w:pPr>
      <w:pStyle w:val="Header"/>
      <w:jc w:val="right"/>
      <w:rPr>
        <w:b/>
        <w:bCs/>
        <w:sz w:val="18"/>
        <w:szCs w:val="18"/>
      </w:rPr>
    </w:pPr>
  </w:p>
  <w:p w:rsidR="00391FE9" w:rsidRPr="001F01D6" w:rsidRDefault="00391FE9" w:rsidP="001F01D6">
    <w:pPr>
      <w:pStyle w:val="Header"/>
      <w:jc w:val="right"/>
      <w:rPr>
        <w:sz w:val="18"/>
        <w:szCs w:val="18"/>
      </w:rP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FE9" w:rsidRPr="00BD56AC" w:rsidRDefault="00391FE9" w:rsidP="00B47699">
    <w:pPr>
      <w:pStyle w:val="Header"/>
      <w:rPr>
        <w:b/>
        <w:bCs/>
        <w:sz w:val="18"/>
        <w:szCs w:val="18"/>
      </w:rPr>
    </w:pPr>
    <w:r w:rsidRPr="00BD56AC">
      <w:rPr>
        <w:b/>
        <w:bCs/>
        <w:sz w:val="18"/>
        <w:szCs w:val="18"/>
      </w:rPr>
      <w:t>Pro</w:t>
    </w:r>
    <w:r>
      <w:rPr>
        <w:b/>
        <w:bCs/>
        <w:sz w:val="18"/>
        <w:szCs w:val="18"/>
      </w:rPr>
      <w:t>puesta</w:t>
    </w:r>
    <w:r w:rsidRPr="00BD56AC">
      <w:rPr>
        <w:b/>
        <w:bCs/>
        <w:sz w:val="18"/>
        <w:szCs w:val="18"/>
      </w:rPr>
      <w:t xml:space="preserve"> de presupuesto por programas para 2014/15</w:t>
    </w:r>
  </w:p>
  <w:p w:rsidR="00391FE9" w:rsidRPr="00BD56AC" w:rsidRDefault="00391FE9" w:rsidP="00B47699">
    <w:pPr>
      <w:pStyle w:val="Header"/>
      <w:rPr>
        <w:b/>
        <w:bCs/>
        <w:sz w:val="18"/>
        <w:szCs w:val="18"/>
      </w:rPr>
    </w:pPr>
  </w:p>
  <w:p w:rsidR="00391FE9" w:rsidRPr="00BD56AC" w:rsidRDefault="00391FE9" w:rsidP="00B47699">
    <w:pPr>
      <w:pStyle w:val="Header"/>
      <w:rPr>
        <w:b/>
        <w:bCs/>
        <w:sz w:val="18"/>
        <w:szCs w:val="18"/>
      </w:rP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FE9" w:rsidRDefault="00391FE9" w:rsidP="001F01D6">
    <w:pPr>
      <w:pStyle w:val="Header"/>
      <w:jc w:val="right"/>
      <w:rPr>
        <w:b/>
        <w:bCs/>
        <w:sz w:val="18"/>
        <w:szCs w:val="18"/>
      </w:rPr>
    </w:pPr>
    <w:r w:rsidRPr="00D46726">
      <w:rPr>
        <w:b/>
        <w:bCs/>
        <w:sz w:val="18"/>
        <w:szCs w:val="18"/>
      </w:rPr>
      <w:t>Meta estratégica </w:t>
    </w:r>
    <w:r>
      <w:rPr>
        <w:b/>
        <w:bCs/>
        <w:sz w:val="18"/>
        <w:szCs w:val="18"/>
      </w:rPr>
      <w:t>V</w:t>
    </w:r>
  </w:p>
  <w:p w:rsidR="00391FE9" w:rsidRPr="001F01D6" w:rsidRDefault="00391FE9" w:rsidP="001F01D6">
    <w:pPr>
      <w:pStyle w:val="Header"/>
      <w:jc w:val="right"/>
      <w:rPr>
        <w:b/>
        <w:bCs/>
        <w:sz w:val="18"/>
        <w:szCs w:val="18"/>
      </w:rPr>
    </w:pPr>
  </w:p>
  <w:p w:rsidR="00391FE9" w:rsidRPr="001F01D6" w:rsidRDefault="00391FE9" w:rsidP="001F01D6">
    <w:pPr>
      <w:pStyle w:val="Header"/>
      <w:jc w:val="right"/>
      <w:rPr>
        <w:sz w:val="18"/>
        <w:szCs w:val="18"/>
      </w:rP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FE9" w:rsidRPr="00BD56AC" w:rsidRDefault="00391FE9" w:rsidP="00B47699">
    <w:pPr>
      <w:pStyle w:val="Header"/>
      <w:jc w:val="right"/>
      <w:rPr>
        <w:b/>
        <w:bCs/>
        <w:sz w:val="18"/>
        <w:szCs w:val="18"/>
      </w:rPr>
    </w:pPr>
    <w:r>
      <w:rPr>
        <w:b/>
        <w:bCs/>
        <w:sz w:val="18"/>
        <w:szCs w:val="18"/>
      </w:rPr>
      <w:t>Meta estratégica V</w:t>
    </w:r>
  </w:p>
  <w:p w:rsidR="00391FE9" w:rsidRPr="00BD56AC" w:rsidRDefault="00391FE9" w:rsidP="00B47699">
    <w:pPr>
      <w:pStyle w:val="Header"/>
      <w:jc w:val="right"/>
      <w:rPr>
        <w:b/>
        <w:bCs/>
        <w:sz w:val="18"/>
        <w:szCs w:val="18"/>
      </w:rPr>
    </w:pPr>
  </w:p>
  <w:p w:rsidR="00391FE9" w:rsidRPr="00BD56AC" w:rsidRDefault="00391FE9" w:rsidP="00B47699">
    <w:pPr>
      <w:pStyle w:val="Header"/>
      <w:jc w:val="right"/>
      <w:rPr>
        <w:b/>
        <w:bCs/>
        <w:sz w:val="18"/>
        <w:szCs w:val="18"/>
      </w:rP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FE9" w:rsidRPr="00BD56AC" w:rsidRDefault="00391FE9" w:rsidP="00FF362A">
    <w:pPr>
      <w:pStyle w:val="Header"/>
      <w:rPr>
        <w:b/>
        <w:bCs/>
        <w:sz w:val="18"/>
        <w:szCs w:val="18"/>
      </w:rPr>
    </w:pPr>
    <w:r w:rsidRPr="00BD56AC">
      <w:rPr>
        <w:b/>
        <w:bCs/>
        <w:sz w:val="18"/>
        <w:szCs w:val="18"/>
      </w:rPr>
      <w:t>Proyecto de presupuesto por programas para 2014/15</w:t>
    </w:r>
  </w:p>
  <w:p w:rsidR="00391FE9" w:rsidRPr="00BD56AC" w:rsidRDefault="00391FE9" w:rsidP="00FF362A">
    <w:pPr>
      <w:pStyle w:val="Header"/>
      <w:rPr>
        <w:b/>
        <w:bCs/>
        <w:sz w:val="18"/>
        <w:szCs w:val="18"/>
      </w:rPr>
    </w:pPr>
  </w:p>
  <w:p w:rsidR="00391FE9" w:rsidRPr="00BD56AC" w:rsidRDefault="00391FE9" w:rsidP="00FF362A">
    <w:pPr>
      <w:pStyle w:val="Header"/>
      <w:rPr>
        <w:b/>
        <w:bCs/>
        <w:sz w:val="18"/>
        <w:szCs w:val="18"/>
      </w:rP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FE9" w:rsidRDefault="00391FE9" w:rsidP="001F01D6">
    <w:pPr>
      <w:pStyle w:val="Header"/>
      <w:jc w:val="right"/>
      <w:rPr>
        <w:b/>
        <w:bCs/>
        <w:sz w:val="18"/>
        <w:szCs w:val="18"/>
      </w:rPr>
    </w:pPr>
    <w:r w:rsidRPr="00D46726">
      <w:rPr>
        <w:b/>
        <w:bCs/>
        <w:sz w:val="18"/>
        <w:szCs w:val="18"/>
      </w:rPr>
      <w:t>Meta estratégica VI</w:t>
    </w:r>
  </w:p>
  <w:p w:rsidR="00391FE9" w:rsidRPr="001F01D6" w:rsidRDefault="00391FE9" w:rsidP="001F01D6">
    <w:pPr>
      <w:pStyle w:val="Header"/>
      <w:jc w:val="right"/>
      <w:rPr>
        <w:b/>
        <w:bCs/>
        <w:sz w:val="18"/>
        <w:szCs w:val="18"/>
      </w:rPr>
    </w:pPr>
  </w:p>
  <w:p w:rsidR="00391FE9" w:rsidRPr="001F01D6" w:rsidRDefault="00391FE9" w:rsidP="001F01D6">
    <w:pPr>
      <w:pStyle w:val="Header"/>
      <w:jc w:val="right"/>
      <w:rPr>
        <w:sz w:val="18"/>
        <w:szCs w:val="18"/>
      </w:rPr>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FE9" w:rsidRPr="00BD56AC" w:rsidRDefault="00391FE9" w:rsidP="00B47699">
    <w:pPr>
      <w:pStyle w:val="Header"/>
      <w:rPr>
        <w:b/>
        <w:bCs/>
        <w:sz w:val="18"/>
        <w:szCs w:val="18"/>
      </w:rPr>
    </w:pPr>
    <w:r w:rsidRPr="00BD56AC">
      <w:rPr>
        <w:b/>
        <w:bCs/>
        <w:sz w:val="18"/>
        <w:szCs w:val="18"/>
      </w:rPr>
      <w:t>Pro</w:t>
    </w:r>
    <w:r>
      <w:rPr>
        <w:b/>
        <w:bCs/>
        <w:sz w:val="18"/>
        <w:szCs w:val="18"/>
      </w:rPr>
      <w:t>puesta</w:t>
    </w:r>
    <w:r w:rsidRPr="00BD56AC">
      <w:rPr>
        <w:b/>
        <w:bCs/>
        <w:sz w:val="18"/>
        <w:szCs w:val="18"/>
      </w:rPr>
      <w:t xml:space="preserve"> de presupuesto por programas para 2014/15</w:t>
    </w:r>
  </w:p>
  <w:p w:rsidR="00391FE9" w:rsidRPr="00BD56AC" w:rsidRDefault="00391FE9" w:rsidP="00B47699">
    <w:pPr>
      <w:pStyle w:val="Header"/>
      <w:rPr>
        <w:b/>
        <w:bCs/>
        <w:sz w:val="18"/>
        <w:szCs w:val="18"/>
      </w:rPr>
    </w:pPr>
  </w:p>
  <w:p w:rsidR="00391FE9" w:rsidRPr="00BD56AC" w:rsidRDefault="00391FE9" w:rsidP="00B47699">
    <w:pPr>
      <w:pStyle w:val="Header"/>
      <w:rPr>
        <w:b/>
        <w:bCs/>
        <w:sz w:val="18"/>
        <w:szCs w:val="18"/>
      </w:rPr>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FE9" w:rsidRPr="00BD56AC" w:rsidRDefault="00391FE9" w:rsidP="00FF362A">
    <w:pPr>
      <w:pStyle w:val="Header"/>
      <w:rPr>
        <w:b/>
        <w:bCs/>
        <w:sz w:val="18"/>
        <w:szCs w:val="18"/>
      </w:rPr>
    </w:pPr>
    <w:r w:rsidRPr="00BD56AC">
      <w:rPr>
        <w:b/>
        <w:bCs/>
        <w:sz w:val="18"/>
        <w:szCs w:val="18"/>
      </w:rPr>
      <w:t>Pro</w:t>
    </w:r>
    <w:r>
      <w:rPr>
        <w:b/>
        <w:bCs/>
        <w:sz w:val="18"/>
        <w:szCs w:val="18"/>
      </w:rPr>
      <w:t>puesta</w:t>
    </w:r>
    <w:r w:rsidRPr="00BD56AC">
      <w:rPr>
        <w:b/>
        <w:bCs/>
        <w:sz w:val="18"/>
        <w:szCs w:val="18"/>
      </w:rPr>
      <w:t xml:space="preserve"> de presupuesto por programas para 2014/15</w:t>
    </w:r>
  </w:p>
  <w:p w:rsidR="00391FE9" w:rsidRPr="00BD56AC" w:rsidRDefault="00391FE9" w:rsidP="00FF362A">
    <w:pPr>
      <w:pStyle w:val="Header"/>
      <w:rPr>
        <w:b/>
        <w:bCs/>
        <w:sz w:val="18"/>
        <w:szCs w:val="18"/>
      </w:rPr>
    </w:pPr>
  </w:p>
  <w:p w:rsidR="00391FE9" w:rsidRPr="00BD56AC" w:rsidRDefault="00391FE9" w:rsidP="00FF362A">
    <w:pPr>
      <w:pStyle w:val="Header"/>
      <w:rPr>
        <w:b/>
        <w:bCs/>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FE9" w:rsidRDefault="00391FE9" w:rsidP="007B2C29">
    <w:pPr>
      <w:pStyle w:val="Header"/>
      <w:jc w:val="right"/>
      <w:rPr>
        <w:b/>
        <w:bCs/>
        <w:sz w:val="18"/>
        <w:szCs w:val="18"/>
      </w:rPr>
    </w:pPr>
    <w:r>
      <w:rPr>
        <w:b/>
        <w:bCs/>
        <w:sz w:val="18"/>
        <w:szCs w:val="18"/>
      </w:rPr>
      <w:t>Índice</w:t>
    </w:r>
  </w:p>
  <w:p w:rsidR="00391FE9" w:rsidRDefault="00391FE9" w:rsidP="007B2C29">
    <w:pPr>
      <w:pStyle w:val="Header"/>
      <w:jc w:val="right"/>
      <w:rPr>
        <w:b/>
        <w:bCs/>
        <w:sz w:val="18"/>
        <w:szCs w:val="18"/>
      </w:rPr>
    </w:pPr>
  </w:p>
  <w:p w:rsidR="00391FE9" w:rsidRPr="00B336F5" w:rsidRDefault="00391FE9" w:rsidP="007B2C29">
    <w:pPr>
      <w:pStyle w:val="Header"/>
      <w:jc w:val="right"/>
      <w:rPr>
        <w:b/>
        <w:bCs/>
        <w:sz w:val="18"/>
        <w:szCs w:val="18"/>
      </w:rPr>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FE9" w:rsidRDefault="00391FE9" w:rsidP="001F01D6">
    <w:pPr>
      <w:pStyle w:val="Header"/>
      <w:jc w:val="right"/>
      <w:rPr>
        <w:b/>
        <w:bCs/>
        <w:sz w:val="18"/>
        <w:szCs w:val="18"/>
      </w:rPr>
    </w:pPr>
    <w:r w:rsidRPr="00060594">
      <w:rPr>
        <w:b/>
        <w:bCs/>
        <w:sz w:val="18"/>
        <w:szCs w:val="18"/>
      </w:rPr>
      <w:t>Meta estratégica VII</w:t>
    </w:r>
  </w:p>
  <w:p w:rsidR="00391FE9" w:rsidRPr="001F01D6" w:rsidRDefault="00391FE9" w:rsidP="001F01D6">
    <w:pPr>
      <w:pStyle w:val="Header"/>
      <w:jc w:val="right"/>
      <w:rPr>
        <w:b/>
        <w:bCs/>
        <w:sz w:val="18"/>
        <w:szCs w:val="18"/>
      </w:rPr>
    </w:pPr>
  </w:p>
  <w:p w:rsidR="00391FE9" w:rsidRPr="001F01D6" w:rsidRDefault="00391FE9" w:rsidP="001F01D6">
    <w:pPr>
      <w:pStyle w:val="Header"/>
      <w:jc w:val="right"/>
      <w:rPr>
        <w:sz w:val="18"/>
        <w:szCs w:val="18"/>
      </w:rPr>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FE9" w:rsidRPr="00BD56AC" w:rsidRDefault="00391FE9" w:rsidP="0093141F">
    <w:pPr>
      <w:pStyle w:val="Header"/>
      <w:rPr>
        <w:b/>
        <w:bCs/>
        <w:sz w:val="18"/>
        <w:szCs w:val="18"/>
      </w:rPr>
    </w:pPr>
    <w:r>
      <w:rPr>
        <w:b/>
        <w:bCs/>
        <w:sz w:val="18"/>
        <w:szCs w:val="18"/>
      </w:rPr>
      <w:t>Propuesta</w:t>
    </w:r>
    <w:r w:rsidRPr="00BD56AC">
      <w:rPr>
        <w:b/>
        <w:bCs/>
        <w:sz w:val="18"/>
        <w:szCs w:val="18"/>
      </w:rPr>
      <w:t xml:space="preserve"> de presupuesto por programas para 2014/15</w:t>
    </w:r>
  </w:p>
  <w:p w:rsidR="00391FE9" w:rsidRPr="00BD56AC" w:rsidRDefault="00391FE9" w:rsidP="0093141F">
    <w:pPr>
      <w:pStyle w:val="Header"/>
      <w:rPr>
        <w:b/>
        <w:bCs/>
        <w:sz w:val="18"/>
        <w:szCs w:val="18"/>
      </w:rPr>
    </w:pPr>
  </w:p>
  <w:p w:rsidR="00391FE9" w:rsidRPr="00BD56AC" w:rsidRDefault="00391FE9" w:rsidP="0093141F">
    <w:pPr>
      <w:pStyle w:val="Header"/>
      <w:rPr>
        <w:b/>
        <w:bCs/>
        <w:sz w:val="18"/>
        <w:szCs w:val="18"/>
      </w:rPr>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FE9" w:rsidRPr="00BD56AC" w:rsidRDefault="00391FE9" w:rsidP="00FF362A">
    <w:pPr>
      <w:pStyle w:val="Header"/>
      <w:rPr>
        <w:b/>
        <w:bCs/>
        <w:sz w:val="18"/>
        <w:szCs w:val="18"/>
      </w:rPr>
    </w:pPr>
    <w:r w:rsidRPr="00BD56AC">
      <w:rPr>
        <w:b/>
        <w:bCs/>
        <w:sz w:val="18"/>
        <w:szCs w:val="18"/>
      </w:rPr>
      <w:t>Pro</w:t>
    </w:r>
    <w:r>
      <w:rPr>
        <w:b/>
        <w:bCs/>
        <w:sz w:val="18"/>
        <w:szCs w:val="18"/>
      </w:rPr>
      <w:t>puesta</w:t>
    </w:r>
    <w:r w:rsidRPr="00BD56AC">
      <w:rPr>
        <w:b/>
        <w:bCs/>
        <w:sz w:val="18"/>
        <w:szCs w:val="18"/>
      </w:rPr>
      <w:t xml:space="preserve"> de presupuesto por programas </w:t>
    </w:r>
    <w:r>
      <w:rPr>
        <w:b/>
        <w:bCs/>
        <w:sz w:val="18"/>
        <w:szCs w:val="18"/>
      </w:rPr>
      <w:t>de</w:t>
    </w:r>
    <w:r w:rsidRPr="00BD56AC">
      <w:rPr>
        <w:b/>
        <w:bCs/>
        <w:sz w:val="18"/>
        <w:szCs w:val="18"/>
      </w:rPr>
      <w:t xml:space="preserve"> 2014/15</w:t>
    </w:r>
  </w:p>
  <w:p w:rsidR="00391FE9" w:rsidRPr="00BD56AC" w:rsidRDefault="00391FE9" w:rsidP="00FF362A">
    <w:pPr>
      <w:pStyle w:val="Header"/>
      <w:rPr>
        <w:b/>
        <w:bCs/>
        <w:sz w:val="18"/>
        <w:szCs w:val="18"/>
      </w:rPr>
    </w:pPr>
  </w:p>
  <w:p w:rsidR="00391FE9" w:rsidRPr="00BD56AC" w:rsidRDefault="00391FE9" w:rsidP="00FF362A">
    <w:pPr>
      <w:pStyle w:val="Header"/>
      <w:rPr>
        <w:b/>
        <w:bCs/>
        <w:sz w:val="18"/>
        <w:szCs w:val="18"/>
      </w:rPr>
    </w:pP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FE9" w:rsidRDefault="00391FE9" w:rsidP="001F01D6">
    <w:pPr>
      <w:pStyle w:val="Header"/>
      <w:jc w:val="right"/>
      <w:rPr>
        <w:b/>
        <w:bCs/>
        <w:sz w:val="18"/>
        <w:szCs w:val="18"/>
      </w:rPr>
    </w:pPr>
    <w:r w:rsidRPr="00060594">
      <w:rPr>
        <w:b/>
        <w:bCs/>
        <w:sz w:val="18"/>
        <w:szCs w:val="18"/>
      </w:rPr>
      <w:t>Meta estratégica </w:t>
    </w:r>
    <w:r>
      <w:rPr>
        <w:b/>
        <w:bCs/>
        <w:sz w:val="18"/>
        <w:szCs w:val="18"/>
      </w:rPr>
      <w:t>VIII</w:t>
    </w:r>
  </w:p>
  <w:p w:rsidR="00391FE9" w:rsidRPr="001F01D6" w:rsidRDefault="00391FE9" w:rsidP="001F01D6">
    <w:pPr>
      <w:pStyle w:val="Header"/>
      <w:jc w:val="right"/>
      <w:rPr>
        <w:b/>
        <w:bCs/>
        <w:sz w:val="18"/>
        <w:szCs w:val="18"/>
      </w:rPr>
    </w:pPr>
  </w:p>
  <w:p w:rsidR="00391FE9" w:rsidRPr="001F01D6" w:rsidRDefault="00391FE9" w:rsidP="001F01D6">
    <w:pPr>
      <w:pStyle w:val="Header"/>
      <w:jc w:val="right"/>
      <w:rPr>
        <w:sz w:val="18"/>
        <w:szCs w:val="18"/>
      </w:rPr>
    </w:pP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FE9" w:rsidRDefault="00391FE9" w:rsidP="00F50540">
    <w:pPr>
      <w:pStyle w:val="Header"/>
      <w:rPr>
        <w:b/>
        <w:bCs/>
        <w:sz w:val="18"/>
        <w:szCs w:val="18"/>
      </w:rPr>
    </w:pPr>
    <w:r>
      <w:rPr>
        <w:b/>
        <w:bCs/>
        <w:sz w:val="18"/>
        <w:szCs w:val="18"/>
      </w:rPr>
      <w:t>Propuesta de presupuesto por programas para 2014/15</w:t>
    </w:r>
  </w:p>
  <w:p w:rsidR="00391FE9" w:rsidRPr="001F01D6" w:rsidRDefault="00391FE9" w:rsidP="0093141F">
    <w:pPr>
      <w:pStyle w:val="Header"/>
      <w:jc w:val="right"/>
      <w:rPr>
        <w:b/>
        <w:bCs/>
        <w:sz w:val="18"/>
        <w:szCs w:val="18"/>
      </w:rPr>
    </w:pPr>
  </w:p>
  <w:p w:rsidR="00391FE9" w:rsidRPr="001F01D6" w:rsidRDefault="00391FE9" w:rsidP="0093141F">
    <w:pPr>
      <w:pStyle w:val="Header"/>
      <w:jc w:val="right"/>
      <w:rPr>
        <w:sz w:val="18"/>
        <w:szCs w:val="18"/>
      </w:rPr>
    </w:pP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FE9" w:rsidRPr="00EC046F" w:rsidRDefault="00391FE9" w:rsidP="00EC046F">
    <w:pPr>
      <w:pStyle w:val="Header"/>
      <w:jc w:val="right"/>
      <w:rPr>
        <w:b/>
        <w:bCs/>
        <w:sz w:val="18"/>
        <w:szCs w:val="18"/>
      </w:rPr>
    </w:pPr>
    <w:r w:rsidRPr="00EC046F">
      <w:rPr>
        <w:b/>
        <w:bCs/>
        <w:sz w:val="18"/>
        <w:szCs w:val="18"/>
      </w:rPr>
      <w:t>Meta estratégica IX</w:t>
    </w:r>
  </w:p>
  <w:p w:rsidR="00391FE9" w:rsidRPr="00EC046F" w:rsidRDefault="00391FE9" w:rsidP="00EC046F">
    <w:pPr>
      <w:pStyle w:val="Header"/>
      <w:jc w:val="right"/>
      <w:rPr>
        <w:b/>
        <w:bCs/>
        <w:sz w:val="18"/>
        <w:szCs w:val="18"/>
      </w:rPr>
    </w:pPr>
  </w:p>
  <w:p w:rsidR="00391FE9" w:rsidRPr="00EC046F" w:rsidRDefault="00391FE9" w:rsidP="00EC046F">
    <w:pPr>
      <w:pStyle w:val="Header"/>
      <w:jc w:val="right"/>
      <w:rPr>
        <w:b/>
        <w:bCs/>
        <w:sz w:val="18"/>
        <w:szCs w:val="18"/>
      </w:rPr>
    </w:pP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FE9" w:rsidRPr="00A9613D" w:rsidRDefault="00391FE9" w:rsidP="00B47699">
    <w:pPr>
      <w:pStyle w:val="Header"/>
      <w:rPr>
        <w:sz w:val="18"/>
        <w:szCs w:val="18"/>
        <w:lang w:val="es-ES_tradnl"/>
      </w:rPr>
    </w:pPr>
    <w:r w:rsidRPr="00A9613D">
      <w:rPr>
        <w:b/>
        <w:bCs/>
        <w:sz w:val="18"/>
        <w:szCs w:val="18"/>
        <w:lang w:val="es-ES_tradnl"/>
      </w:rPr>
      <w:t>Pro</w:t>
    </w:r>
    <w:r>
      <w:rPr>
        <w:b/>
        <w:bCs/>
        <w:sz w:val="18"/>
        <w:szCs w:val="18"/>
        <w:lang w:val="es-ES_tradnl"/>
      </w:rPr>
      <w:t>puesta</w:t>
    </w:r>
    <w:r w:rsidRPr="00A9613D">
      <w:rPr>
        <w:b/>
        <w:bCs/>
        <w:sz w:val="18"/>
        <w:szCs w:val="18"/>
        <w:lang w:val="es-ES_tradnl"/>
      </w:rPr>
      <w:t xml:space="preserve"> de </w:t>
    </w:r>
    <w:r>
      <w:rPr>
        <w:b/>
        <w:bCs/>
        <w:sz w:val="18"/>
        <w:szCs w:val="18"/>
        <w:lang w:val="es-ES_tradnl"/>
      </w:rPr>
      <w:t>presupuesto por p</w:t>
    </w:r>
    <w:r w:rsidRPr="00A9613D">
      <w:rPr>
        <w:b/>
        <w:bCs/>
        <w:sz w:val="18"/>
        <w:szCs w:val="18"/>
        <w:lang w:val="es-ES_tradnl"/>
      </w:rPr>
      <w:t xml:space="preserve">rogramas </w:t>
    </w:r>
    <w:r>
      <w:rPr>
        <w:b/>
        <w:bCs/>
        <w:sz w:val="18"/>
        <w:szCs w:val="18"/>
        <w:lang w:val="es-ES_tradnl"/>
      </w:rPr>
      <w:t>de</w:t>
    </w:r>
    <w:r w:rsidRPr="00A9613D">
      <w:rPr>
        <w:b/>
        <w:bCs/>
        <w:sz w:val="18"/>
        <w:szCs w:val="18"/>
        <w:lang w:val="es-ES_tradnl"/>
      </w:rPr>
      <w:t xml:space="preserve"> 2014/15</w:t>
    </w:r>
  </w:p>
  <w:p w:rsidR="00391FE9" w:rsidRPr="00A9613D" w:rsidRDefault="00391FE9">
    <w:pPr>
      <w:pStyle w:val="Header"/>
      <w:rPr>
        <w:sz w:val="18"/>
        <w:szCs w:val="18"/>
        <w:lang w:val="es-ES_tradnl"/>
      </w:rPr>
    </w:pPr>
  </w:p>
  <w:p w:rsidR="00391FE9" w:rsidRPr="00A9613D" w:rsidRDefault="00391FE9">
    <w:pPr>
      <w:pStyle w:val="Header"/>
      <w:rPr>
        <w:sz w:val="18"/>
        <w:szCs w:val="18"/>
        <w:lang w:val="es-ES_tradnl"/>
      </w:rPr>
    </w:pP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FE9" w:rsidRPr="00383888" w:rsidRDefault="00391FE9" w:rsidP="00B47699">
    <w:pPr>
      <w:pStyle w:val="Header"/>
      <w:ind w:right="360"/>
      <w:jc w:val="right"/>
      <w:rPr>
        <w:sz w:val="18"/>
        <w:szCs w:val="18"/>
      </w:rPr>
    </w:pPr>
    <w:r w:rsidRPr="00383888">
      <w:rPr>
        <w:b/>
        <w:bCs/>
        <w:sz w:val="18"/>
        <w:szCs w:val="18"/>
        <w:lang w:val="es-ES_tradnl"/>
      </w:rPr>
      <w:t>Anexos</w:t>
    </w:r>
  </w:p>
  <w:p w:rsidR="00391FE9" w:rsidRDefault="00391FE9" w:rsidP="00B47699">
    <w:pPr>
      <w:pStyle w:val="Header"/>
      <w:ind w:right="360"/>
      <w:rPr>
        <w:color w:val="808080"/>
        <w:sz w:val="18"/>
        <w:szCs w:val="18"/>
      </w:rPr>
    </w:pPr>
  </w:p>
  <w:p w:rsidR="00391FE9" w:rsidRPr="00FC27C0" w:rsidRDefault="00391FE9" w:rsidP="00B47699">
    <w:pPr>
      <w:pStyle w:val="Header"/>
      <w:ind w:right="360"/>
      <w:rPr>
        <w:color w:val="808080"/>
        <w:sz w:val="18"/>
        <w:szCs w:val="18"/>
      </w:rPr>
    </w:pP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FE9" w:rsidRPr="007F65E7" w:rsidRDefault="00391FE9" w:rsidP="00B47699">
    <w:pPr>
      <w:pStyle w:val="StyleHeading3ComplexItalic"/>
      <w:keepNext w:val="0"/>
      <w:tabs>
        <w:tab w:val="clear" w:pos="1985"/>
        <w:tab w:val="left" w:pos="1418"/>
      </w:tabs>
      <w:ind w:left="1418" w:hanging="1418"/>
      <w:jc w:val="center"/>
    </w:pPr>
    <w:r w:rsidRPr="007F65E7">
      <w:rPr>
        <w:caps w:val="0"/>
      </w:rPr>
      <w:t>ANNEX VII</w:t>
    </w:r>
    <w:r w:rsidRPr="007F65E7">
      <w:rPr>
        <w:caps w:val="0"/>
      </w:rPr>
      <w:tab/>
      <w:t>WIPO ORGANIGRAM</w:t>
    </w:r>
  </w:p>
  <w:p w:rsidR="00391FE9" w:rsidRDefault="00391FE9">
    <w:pPr>
      <w:pStyle w:val="Header"/>
    </w:pP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FE9" w:rsidRPr="00BD7E60" w:rsidRDefault="00391FE9" w:rsidP="00B47699">
    <w:pPr>
      <w:pStyle w:val="Header"/>
      <w:ind w:right="360"/>
      <w:jc w:val="right"/>
      <w:rPr>
        <w:sz w:val="18"/>
        <w:szCs w:val="18"/>
      </w:rPr>
    </w:pPr>
    <w:r w:rsidRPr="00BD7E60">
      <w:rPr>
        <w:b/>
        <w:bCs/>
        <w:sz w:val="18"/>
        <w:szCs w:val="18"/>
        <w:lang w:val="es-ES_tradnl"/>
      </w:rPr>
      <w:t>Anexos</w:t>
    </w:r>
  </w:p>
  <w:p w:rsidR="00391FE9" w:rsidRDefault="00391FE9" w:rsidP="00B47699">
    <w:pPr>
      <w:pStyle w:val="Header"/>
      <w:ind w:right="360"/>
      <w:rPr>
        <w:color w:val="808080"/>
        <w:sz w:val="18"/>
        <w:szCs w:val="18"/>
      </w:rPr>
    </w:pPr>
  </w:p>
  <w:p w:rsidR="00391FE9" w:rsidRPr="00FC27C0" w:rsidRDefault="00391FE9" w:rsidP="00B47699">
    <w:pPr>
      <w:pStyle w:val="Header"/>
      <w:ind w:right="360"/>
      <w:rPr>
        <w:color w:val="808080"/>
        <w:sz w:val="18"/>
        <w:szCs w:val="1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FE9" w:rsidRPr="00940D5F" w:rsidRDefault="00391FE9" w:rsidP="007D5833">
    <w:pPr>
      <w:pStyle w:val="Header"/>
      <w:rPr>
        <w:b/>
        <w:bCs/>
        <w:sz w:val="18"/>
        <w:szCs w:val="18"/>
      </w:rPr>
    </w:pPr>
    <w:r>
      <w:rPr>
        <w:b/>
        <w:bCs/>
        <w:sz w:val="18"/>
        <w:szCs w:val="18"/>
      </w:rPr>
      <w:t>Propuesta de presupuesto por programas de 2014/15</w:t>
    </w:r>
  </w:p>
  <w:p w:rsidR="00391FE9" w:rsidRPr="00940D5F" w:rsidRDefault="00391FE9" w:rsidP="007D5833">
    <w:pPr>
      <w:pStyle w:val="Header"/>
      <w:rPr>
        <w:b/>
        <w:bCs/>
        <w:sz w:val="18"/>
        <w:szCs w:val="18"/>
      </w:rPr>
    </w:pPr>
  </w:p>
  <w:p w:rsidR="00391FE9" w:rsidRPr="00940D5F" w:rsidRDefault="00391FE9" w:rsidP="007D5833">
    <w:pPr>
      <w:pStyle w:val="Header"/>
      <w:rPr>
        <w:b/>
        <w:bCs/>
        <w:sz w:val="18"/>
        <w:szCs w:val="18"/>
      </w:rPr>
    </w:pP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FE9" w:rsidRPr="00BD7E60" w:rsidRDefault="00391FE9" w:rsidP="00B47699">
    <w:pPr>
      <w:pStyle w:val="Header"/>
      <w:ind w:right="360"/>
      <w:jc w:val="right"/>
      <w:rPr>
        <w:sz w:val="18"/>
        <w:szCs w:val="18"/>
      </w:rPr>
    </w:pPr>
    <w:r w:rsidRPr="00BD7E60">
      <w:rPr>
        <w:b/>
        <w:bCs/>
        <w:sz w:val="18"/>
        <w:szCs w:val="18"/>
        <w:lang w:val="es-ES_tradnl"/>
      </w:rPr>
      <w:t>Anexos</w:t>
    </w:r>
  </w:p>
  <w:p w:rsidR="00391FE9" w:rsidRPr="00BD7E60" w:rsidRDefault="00391FE9" w:rsidP="00B47699">
    <w:pPr>
      <w:pStyle w:val="Header"/>
      <w:ind w:right="360"/>
      <w:jc w:val="right"/>
      <w:rPr>
        <w:sz w:val="18"/>
        <w:szCs w:val="18"/>
      </w:rPr>
    </w:pPr>
  </w:p>
  <w:p w:rsidR="00391FE9" w:rsidRPr="00BD7E60" w:rsidRDefault="00391FE9" w:rsidP="00B47699">
    <w:pPr>
      <w:pStyle w:val="Header"/>
      <w:ind w:right="360"/>
      <w:jc w:val="right"/>
      <w:rPr>
        <w:sz w:val="18"/>
        <w:szCs w:val="18"/>
      </w:rPr>
    </w:pP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FE9" w:rsidRPr="00A9613D" w:rsidRDefault="00391FE9" w:rsidP="00B47699">
    <w:pPr>
      <w:pStyle w:val="Header"/>
      <w:rPr>
        <w:sz w:val="18"/>
        <w:szCs w:val="18"/>
        <w:lang w:val="es-ES_tradnl"/>
      </w:rPr>
    </w:pPr>
    <w:r>
      <w:rPr>
        <w:b/>
        <w:bCs/>
        <w:sz w:val="18"/>
        <w:szCs w:val="18"/>
        <w:lang w:val="es-ES_tradnl"/>
      </w:rPr>
      <w:t>Propuesta</w:t>
    </w:r>
    <w:r w:rsidRPr="00A9613D">
      <w:rPr>
        <w:b/>
        <w:bCs/>
        <w:sz w:val="18"/>
        <w:szCs w:val="18"/>
        <w:lang w:val="es-ES_tradnl"/>
      </w:rPr>
      <w:t xml:space="preserve"> de </w:t>
    </w:r>
    <w:r>
      <w:rPr>
        <w:b/>
        <w:bCs/>
        <w:sz w:val="18"/>
        <w:szCs w:val="18"/>
        <w:lang w:val="es-ES_tradnl"/>
      </w:rPr>
      <w:t>p</w:t>
    </w:r>
    <w:r w:rsidRPr="00A9613D">
      <w:rPr>
        <w:b/>
        <w:bCs/>
        <w:sz w:val="18"/>
        <w:szCs w:val="18"/>
        <w:lang w:val="es-ES_tradnl"/>
      </w:rPr>
      <w:t xml:space="preserve">resupuesto por </w:t>
    </w:r>
    <w:r>
      <w:rPr>
        <w:b/>
        <w:bCs/>
        <w:sz w:val="18"/>
        <w:szCs w:val="18"/>
        <w:lang w:val="es-ES_tradnl"/>
      </w:rPr>
      <w:t>p</w:t>
    </w:r>
    <w:r w:rsidRPr="00A9613D">
      <w:rPr>
        <w:b/>
        <w:bCs/>
        <w:sz w:val="18"/>
        <w:szCs w:val="18"/>
        <w:lang w:val="es-ES_tradnl"/>
      </w:rPr>
      <w:t xml:space="preserve">rogramas </w:t>
    </w:r>
    <w:r>
      <w:rPr>
        <w:b/>
        <w:bCs/>
        <w:sz w:val="18"/>
        <w:szCs w:val="18"/>
        <w:lang w:val="es-ES_tradnl"/>
      </w:rPr>
      <w:t>de</w:t>
    </w:r>
    <w:r w:rsidRPr="00A9613D">
      <w:rPr>
        <w:b/>
        <w:bCs/>
        <w:sz w:val="18"/>
        <w:szCs w:val="18"/>
        <w:lang w:val="es-ES_tradnl"/>
      </w:rPr>
      <w:t xml:space="preserve"> 2014/15</w:t>
    </w:r>
  </w:p>
  <w:p w:rsidR="00391FE9" w:rsidRPr="00A9613D" w:rsidRDefault="00391FE9">
    <w:pPr>
      <w:pStyle w:val="Header"/>
      <w:rPr>
        <w:sz w:val="18"/>
        <w:szCs w:val="18"/>
        <w:lang w:val="es-ES_tradnl"/>
      </w:rPr>
    </w:pPr>
  </w:p>
  <w:p w:rsidR="00391FE9" w:rsidRPr="00A9613D" w:rsidRDefault="00391FE9">
    <w:pPr>
      <w:pStyle w:val="Header"/>
      <w:rPr>
        <w:sz w:val="18"/>
        <w:szCs w:val="18"/>
        <w:lang w:val="es-ES_tradnl"/>
      </w:rPr>
    </w:pP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FE9" w:rsidRPr="00BD7E60" w:rsidRDefault="00391FE9" w:rsidP="00B47699">
    <w:pPr>
      <w:pStyle w:val="Header"/>
      <w:ind w:right="360"/>
      <w:jc w:val="right"/>
      <w:rPr>
        <w:sz w:val="18"/>
        <w:szCs w:val="18"/>
      </w:rPr>
    </w:pPr>
    <w:r w:rsidRPr="00BD7E60">
      <w:rPr>
        <w:b/>
        <w:bCs/>
        <w:sz w:val="18"/>
        <w:szCs w:val="18"/>
        <w:lang w:val="es-ES_tradnl"/>
      </w:rPr>
      <w:t>Anexos</w:t>
    </w:r>
  </w:p>
  <w:p w:rsidR="00391FE9" w:rsidRPr="00BD7E60" w:rsidRDefault="00391FE9" w:rsidP="00B47699">
    <w:pPr>
      <w:pStyle w:val="Header"/>
      <w:ind w:right="360"/>
      <w:jc w:val="right"/>
      <w:rPr>
        <w:sz w:val="18"/>
        <w:szCs w:val="18"/>
      </w:rPr>
    </w:pPr>
  </w:p>
  <w:p w:rsidR="00391FE9" w:rsidRPr="00BD7E60" w:rsidRDefault="00391FE9" w:rsidP="00B47699">
    <w:pPr>
      <w:pStyle w:val="Header"/>
      <w:ind w:right="360"/>
      <w:jc w:val="right"/>
      <w:rPr>
        <w:sz w:val="18"/>
        <w:szCs w:val="18"/>
      </w:rPr>
    </w:pP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FE9" w:rsidRPr="00BA7A47" w:rsidRDefault="00391FE9" w:rsidP="00B47699">
    <w:pPr>
      <w:pStyle w:val="Header"/>
      <w:ind w:right="360"/>
      <w:jc w:val="right"/>
      <w:rPr>
        <w:color w:val="333333"/>
        <w:sz w:val="18"/>
        <w:szCs w:val="18"/>
      </w:rPr>
    </w:pPr>
    <w:r w:rsidRPr="00BA7A47">
      <w:rPr>
        <w:b/>
        <w:bCs/>
        <w:color w:val="333333"/>
        <w:sz w:val="18"/>
        <w:szCs w:val="18"/>
      </w:rPr>
      <w:t>A</w:t>
    </w:r>
    <w:r>
      <w:rPr>
        <w:b/>
        <w:bCs/>
        <w:color w:val="333333"/>
        <w:sz w:val="18"/>
        <w:szCs w:val="18"/>
      </w:rPr>
      <w:t>nexo</w:t>
    </w:r>
    <w:r w:rsidRPr="00BA7A47">
      <w:rPr>
        <w:b/>
        <w:bCs/>
        <w:color w:val="333333"/>
        <w:sz w:val="18"/>
        <w:szCs w:val="18"/>
      </w:rPr>
      <w:t>s</w:t>
    </w:r>
  </w:p>
  <w:p w:rsidR="00391FE9" w:rsidRDefault="00391FE9" w:rsidP="00B47699">
    <w:pPr>
      <w:pStyle w:val="Header"/>
      <w:ind w:right="360"/>
      <w:rPr>
        <w:color w:val="808080"/>
        <w:sz w:val="18"/>
        <w:szCs w:val="18"/>
      </w:rPr>
    </w:pPr>
  </w:p>
  <w:p w:rsidR="00391FE9" w:rsidRPr="00FC27C0" w:rsidRDefault="00391FE9" w:rsidP="00B47699">
    <w:pPr>
      <w:pStyle w:val="Header"/>
      <w:ind w:right="360"/>
      <w:rPr>
        <w:color w:val="808080"/>
        <w:sz w:val="18"/>
        <w:szCs w:val="18"/>
      </w:rPr>
    </w:pP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FE9" w:rsidRPr="00BA7A47" w:rsidRDefault="00391FE9" w:rsidP="00B47699">
    <w:pPr>
      <w:pStyle w:val="Header"/>
      <w:ind w:right="360"/>
      <w:jc w:val="right"/>
      <w:rPr>
        <w:b/>
        <w:bCs/>
        <w:color w:val="333333"/>
        <w:sz w:val="18"/>
        <w:szCs w:val="18"/>
      </w:rPr>
    </w:pPr>
    <w:r w:rsidRPr="00BA7A47">
      <w:rPr>
        <w:b/>
        <w:bCs/>
        <w:color w:val="333333"/>
        <w:sz w:val="18"/>
        <w:szCs w:val="18"/>
      </w:rPr>
      <w:t>A</w:t>
    </w:r>
    <w:r>
      <w:rPr>
        <w:b/>
        <w:bCs/>
        <w:color w:val="333333"/>
        <w:sz w:val="18"/>
        <w:szCs w:val="18"/>
      </w:rPr>
      <w:t>nexo</w:t>
    </w:r>
    <w:r w:rsidRPr="00BA7A47">
      <w:rPr>
        <w:b/>
        <w:bCs/>
        <w:color w:val="333333"/>
        <w:sz w:val="18"/>
        <w:szCs w:val="18"/>
      </w:rPr>
      <w:t>s</w:t>
    </w:r>
  </w:p>
  <w:p w:rsidR="00391FE9" w:rsidRPr="00BA7A47" w:rsidRDefault="00391FE9" w:rsidP="00B47699">
    <w:pPr>
      <w:pStyle w:val="Header"/>
      <w:ind w:right="360"/>
      <w:jc w:val="right"/>
      <w:rPr>
        <w:b/>
        <w:bCs/>
        <w:color w:val="333333"/>
        <w:sz w:val="18"/>
        <w:szCs w:val="18"/>
      </w:rPr>
    </w:pP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FE9" w:rsidRPr="000F0F46" w:rsidRDefault="00391FE9" w:rsidP="00B47699">
    <w:pPr>
      <w:pStyle w:val="Header"/>
      <w:rPr>
        <w:lang w:val="es-ES_tradnl"/>
      </w:rPr>
    </w:pPr>
    <w:r w:rsidRPr="00A9613D">
      <w:rPr>
        <w:b/>
        <w:bCs/>
        <w:sz w:val="18"/>
        <w:szCs w:val="18"/>
        <w:lang w:val="es-ES_tradnl"/>
      </w:rPr>
      <w:t>Pro</w:t>
    </w:r>
    <w:r>
      <w:rPr>
        <w:b/>
        <w:bCs/>
        <w:sz w:val="18"/>
        <w:szCs w:val="18"/>
        <w:lang w:val="es-ES_tradnl"/>
      </w:rPr>
      <w:t>puesta de presupuesto por p</w:t>
    </w:r>
    <w:r w:rsidRPr="00A9613D">
      <w:rPr>
        <w:b/>
        <w:bCs/>
        <w:sz w:val="18"/>
        <w:szCs w:val="18"/>
        <w:lang w:val="es-ES_tradnl"/>
      </w:rPr>
      <w:t>rogramas para 2014/15</w:t>
    </w: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FE9" w:rsidRPr="005336DC" w:rsidRDefault="00391FE9" w:rsidP="00B47699">
    <w:pPr>
      <w:pStyle w:val="Header"/>
      <w:rPr>
        <w:sz w:val="18"/>
        <w:szCs w:val="18"/>
        <w:lang w:val="es-ES_tradnl"/>
      </w:rPr>
    </w:pPr>
    <w:r w:rsidRPr="005336DC">
      <w:rPr>
        <w:b/>
        <w:bCs/>
        <w:sz w:val="18"/>
        <w:szCs w:val="18"/>
        <w:lang w:val="es-ES_tradnl"/>
      </w:rPr>
      <w:t>Pro</w:t>
    </w:r>
    <w:r>
      <w:rPr>
        <w:b/>
        <w:bCs/>
        <w:sz w:val="18"/>
        <w:szCs w:val="18"/>
        <w:lang w:val="es-ES_tradnl"/>
      </w:rPr>
      <w:t>puesta</w:t>
    </w:r>
    <w:r w:rsidRPr="005336DC">
      <w:rPr>
        <w:b/>
        <w:bCs/>
        <w:sz w:val="18"/>
        <w:szCs w:val="18"/>
        <w:lang w:val="es-ES_tradnl"/>
      </w:rPr>
      <w:t xml:space="preserve"> de </w:t>
    </w:r>
    <w:r>
      <w:rPr>
        <w:b/>
        <w:bCs/>
        <w:sz w:val="18"/>
        <w:szCs w:val="18"/>
        <w:lang w:val="es-ES_tradnl"/>
      </w:rPr>
      <w:t>p</w:t>
    </w:r>
    <w:r w:rsidRPr="005336DC">
      <w:rPr>
        <w:b/>
        <w:bCs/>
        <w:sz w:val="18"/>
        <w:szCs w:val="18"/>
        <w:lang w:val="es-ES_tradnl"/>
      </w:rPr>
      <w:t xml:space="preserve">resupuesto por </w:t>
    </w:r>
    <w:r>
      <w:rPr>
        <w:b/>
        <w:bCs/>
        <w:sz w:val="18"/>
        <w:szCs w:val="18"/>
        <w:lang w:val="es-ES_tradnl"/>
      </w:rPr>
      <w:t>p</w:t>
    </w:r>
    <w:r w:rsidRPr="005336DC">
      <w:rPr>
        <w:b/>
        <w:bCs/>
        <w:sz w:val="18"/>
        <w:szCs w:val="18"/>
        <w:lang w:val="es-ES_tradnl"/>
      </w:rPr>
      <w:t>rogramas para 2014/15</w:t>
    </w:r>
  </w:p>
  <w:p w:rsidR="00391FE9" w:rsidRDefault="00391FE9" w:rsidP="00B47699">
    <w:pPr>
      <w:pStyle w:val="Header"/>
      <w:rPr>
        <w:sz w:val="18"/>
        <w:szCs w:val="18"/>
        <w:lang w:val="es-ES_tradnl"/>
      </w:rPr>
    </w:pPr>
  </w:p>
  <w:p w:rsidR="00391FE9" w:rsidRPr="005336DC" w:rsidRDefault="00391FE9" w:rsidP="00B47699">
    <w:pPr>
      <w:pStyle w:val="Header"/>
      <w:rPr>
        <w:sz w:val="18"/>
        <w:szCs w:val="18"/>
        <w:lang w:val="es-ES_tradnl"/>
      </w:rPr>
    </w:pP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FE9" w:rsidRPr="000F0F46" w:rsidRDefault="00391FE9" w:rsidP="00B47699">
    <w:pPr>
      <w:pStyle w:val="Header"/>
      <w:ind w:right="360"/>
      <w:jc w:val="right"/>
      <w:rPr>
        <w:color w:val="333333"/>
        <w:sz w:val="18"/>
        <w:szCs w:val="18"/>
      </w:rPr>
    </w:pPr>
    <w:r w:rsidRPr="000F0F46">
      <w:rPr>
        <w:b/>
        <w:bCs/>
        <w:color w:val="333333"/>
        <w:sz w:val="18"/>
        <w:szCs w:val="18"/>
      </w:rPr>
      <w:t>A</w:t>
    </w:r>
    <w:r>
      <w:rPr>
        <w:b/>
        <w:bCs/>
        <w:color w:val="333333"/>
        <w:sz w:val="18"/>
        <w:szCs w:val="18"/>
      </w:rPr>
      <w:t>pé</w:t>
    </w:r>
    <w:r w:rsidRPr="000F0F46">
      <w:rPr>
        <w:b/>
        <w:bCs/>
        <w:color w:val="333333"/>
        <w:sz w:val="18"/>
        <w:szCs w:val="18"/>
      </w:rPr>
      <w:t>ndices</w:t>
    </w:r>
  </w:p>
  <w:p w:rsidR="00391FE9" w:rsidRPr="000F0F46" w:rsidRDefault="00391FE9" w:rsidP="00B47699">
    <w:pPr>
      <w:pStyle w:val="Header"/>
      <w:ind w:right="360"/>
      <w:jc w:val="right"/>
      <w:rPr>
        <w:color w:val="808080"/>
        <w:sz w:val="18"/>
        <w:szCs w:val="18"/>
      </w:rPr>
    </w:pPr>
  </w:p>
  <w:p w:rsidR="00391FE9" w:rsidRPr="000F0F46" w:rsidRDefault="00391FE9" w:rsidP="00B47699">
    <w:pPr>
      <w:pStyle w:val="Header"/>
      <w:ind w:right="360"/>
      <w:jc w:val="right"/>
      <w:rPr>
        <w:color w:val="808080"/>
        <w:sz w:val="18"/>
        <w:szCs w:val="1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FE9" w:rsidRDefault="00391FE9" w:rsidP="007B2C29">
    <w:pPr>
      <w:pStyle w:val="Header"/>
      <w:jc w:val="right"/>
      <w:rPr>
        <w:b/>
        <w:bCs/>
        <w:sz w:val="18"/>
        <w:szCs w:val="18"/>
      </w:rPr>
    </w:pPr>
    <w:r>
      <w:rPr>
        <w:b/>
        <w:bCs/>
        <w:sz w:val="18"/>
        <w:szCs w:val="18"/>
      </w:rPr>
      <w:t>Prólogo del Director General</w:t>
    </w:r>
  </w:p>
  <w:p w:rsidR="00391FE9" w:rsidRDefault="00391FE9" w:rsidP="007B2C29">
    <w:pPr>
      <w:pStyle w:val="Header"/>
      <w:jc w:val="right"/>
      <w:rPr>
        <w:b/>
        <w:bCs/>
        <w:sz w:val="18"/>
        <w:szCs w:val="18"/>
      </w:rPr>
    </w:pPr>
  </w:p>
  <w:p w:rsidR="00391FE9" w:rsidRPr="00B336F5" w:rsidRDefault="00391FE9" w:rsidP="007B2C29">
    <w:pPr>
      <w:pStyle w:val="Header"/>
      <w:jc w:val="right"/>
      <w:rPr>
        <w:b/>
        <w:bCs/>
        <w:sz w:val="18"/>
        <w:szCs w:val="1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FE9" w:rsidRPr="00940D5F" w:rsidRDefault="00391FE9" w:rsidP="007D5833">
    <w:pPr>
      <w:pStyle w:val="Header"/>
      <w:rPr>
        <w:b/>
        <w:bCs/>
        <w:sz w:val="18"/>
        <w:szCs w:val="18"/>
      </w:rPr>
    </w:pPr>
    <w:r>
      <w:rPr>
        <w:b/>
        <w:bCs/>
        <w:sz w:val="18"/>
        <w:szCs w:val="18"/>
      </w:rPr>
      <w:t>Propuesta de presupuesto por programas de 2014/15</w:t>
    </w:r>
  </w:p>
  <w:p w:rsidR="00391FE9" w:rsidRPr="00940D5F" w:rsidRDefault="00391FE9" w:rsidP="007D5833">
    <w:pPr>
      <w:pStyle w:val="Header"/>
      <w:rPr>
        <w:b/>
        <w:bCs/>
        <w:sz w:val="18"/>
        <w:szCs w:val="18"/>
      </w:rPr>
    </w:pPr>
  </w:p>
  <w:p w:rsidR="00391FE9" w:rsidRPr="00940D5F" w:rsidRDefault="00391FE9" w:rsidP="007D5833">
    <w:pPr>
      <w:pStyle w:val="Header"/>
      <w:rPr>
        <w:b/>
        <w:bCs/>
        <w:sz w:val="18"/>
        <w:szCs w:val="18"/>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FE9" w:rsidRPr="00F651AE" w:rsidRDefault="00391FE9" w:rsidP="007B2C29">
    <w:pPr>
      <w:pStyle w:val="Header"/>
      <w:rPr>
        <w:b/>
        <w:bCs/>
        <w:sz w:val="18"/>
        <w:szCs w:val="18"/>
      </w:rPr>
    </w:pPr>
    <w:r>
      <w:rPr>
        <w:b/>
        <w:bCs/>
        <w:sz w:val="18"/>
        <w:szCs w:val="18"/>
      </w:rPr>
      <w:t>Propuesta de presupuesto por programas de 2014/15</w:t>
    </w:r>
  </w:p>
  <w:p w:rsidR="00391FE9" w:rsidRPr="00F651AE" w:rsidRDefault="00391FE9" w:rsidP="007B2C29">
    <w:pPr>
      <w:pStyle w:val="Header"/>
      <w:rPr>
        <w:b/>
        <w:bCs/>
        <w:sz w:val="18"/>
        <w:szCs w:val="18"/>
      </w:rPr>
    </w:pPr>
  </w:p>
  <w:p w:rsidR="00391FE9" w:rsidRPr="00F651AE" w:rsidRDefault="00391FE9" w:rsidP="007B2C29">
    <w:pPr>
      <w:pStyle w:val="Header"/>
      <w:rPr>
        <w:b/>
        <w:bCs/>
        <w:sz w:val="18"/>
        <w:szCs w:val="18"/>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FE9" w:rsidRDefault="00391FE9" w:rsidP="007B2C29">
    <w:pPr>
      <w:pStyle w:val="Header"/>
      <w:jc w:val="right"/>
      <w:rPr>
        <w:b/>
        <w:bCs/>
        <w:sz w:val="18"/>
        <w:szCs w:val="18"/>
      </w:rPr>
    </w:pPr>
    <w:r>
      <w:rPr>
        <w:b/>
        <w:bCs/>
        <w:sz w:val="18"/>
        <w:szCs w:val="18"/>
      </w:rPr>
      <w:t>Visión de conjunto de los resultados</w:t>
    </w:r>
  </w:p>
  <w:p w:rsidR="00391FE9" w:rsidRDefault="00391FE9" w:rsidP="007B2C29">
    <w:pPr>
      <w:pStyle w:val="Header"/>
      <w:jc w:val="right"/>
      <w:rPr>
        <w:b/>
        <w:bCs/>
        <w:sz w:val="18"/>
        <w:szCs w:val="18"/>
      </w:rPr>
    </w:pPr>
  </w:p>
  <w:p w:rsidR="00391FE9" w:rsidRPr="00B336F5" w:rsidRDefault="00391FE9" w:rsidP="007B2C29">
    <w:pPr>
      <w:pStyle w:val="Header"/>
      <w:jc w:val="right"/>
      <w:rPr>
        <w:b/>
        <w:bCs/>
        <w:sz w:val="18"/>
        <w:szCs w:val="18"/>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FE9" w:rsidRDefault="00391FE9" w:rsidP="003913C9">
    <w:pPr>
      <w:pStyle w:val="Header"/>
      <w:spacing w:before="60"/>
      <w:rPr>
        <w:b/>
        <w:bCs/>
        <w:sz w:val="18"/>
        <w:szCs w:val="18"/>
      </w:rPr>
    </w:pPr>
    <w:r>
      <w:rPr>
        <w:b/>
        <w:bCs/>
        <w:sz w:val="18"/>
        <w:szCs w:val="18"/>
      </w:rPr>
      <w:t>Propuesta de presupuesto por programas para 2014/15</w:t>
    </w:r>
  </w:p>
  <w:p w:rsidR="00391FE9" w:rsidRPr="003913C9" w:rsidRDefault="00391FE9" w:rsidP="007B2C29">
    <w:pPr>
      <w:pStyle w:val="Header"/>
      <w:rPr>
        <w:b/>
        <w:bCs/>
        <w:sz w:val="12"/>
        <w:szCs w:val="12"/>
      </w:rPr>
    </w:pPr>
  </w:p>
  <w:p w:rsidR="00391FE9" w:rsidRPr="00034AA5" w:rsidRDefault="00391FE9" w:rsidP="007B2C29">
    <w:pPr>
      <w:jc w:val="center"/>
      <w:rPr>
        <w:sz w:val="20"/>
      </w:rPr>
    </w:pPr>
    <w:r w:rsidRPr="00034AA5">
      <w:rPr>
        <w:sz w:val="20"/>
      </w:rPr>
      <w:t>MARCO DE RESULTADOS Y PRESUPUESTO POR PROGRAMAS PARA 2014/15, INCLUIDA LA CUOTA ASIGNADA AL DESARROLLO</w:t>
    </w:r>
    <w:r>
      <w:rPr>
        <w:sz w:val="20"/>
      </w:rPr>
      <w:t>,</w:t>
    </w:r>
    <w:r w:rsidRPr="00034AA5">
      <w:rPr>
        <w:sz w:val="20"/>
      </w:rPr>
      <w:t xml:space="preserve"> POR RESULTADO</w:t>
    </w:r>
    <w:r w:rsidRPr="00034AA5">
      <w:rPr>
        <w:b/>
        <w:bCs/>
        <w:sz w:val="16"/>
        <w:szCs w:val="16"/>
      </w:rPr>
      <w:t xml:space="preserve"> </w:t>
    </w:r>
    <w:r w:rsidRPr="00034AA5">
      <w:rPr>
        <w:b/>
        <w:bCs/>
        <w:sz w:val="16"/>
        <w:szCs w:val="16"/>
        <w:vertAlign w:val="superscript"/>
      </w:rPr>
      <w:t>1, 2, 3, 4</w:t>
    </w:r>
  </w:p>
  <w:p w:rsidR="00391FE9" w:rsidRPr="00945E6F" w:rsidRDefault="00391FE9" w:rsidP="007B2C29">
    <w:pPr>
      <w:tabs>
        <w:tab w:val="right" w:pos="2835"/>
      </w:tabs>
      <w:jc w:val="center"/>
      <w:rPr>
        <w:b/>
        <w:bCs/>
        <w:sz w:val="16"/>
        <w:szCs w:val="16"/>
      </w:rPr>
    </w:pPr>
    <w:r w:rsidRPr="00945E6F">
      <w:rPr>
        <w:b/>
        <w:bCs/>
        <w:sz w:val="16"/>
        <w:szCs w:val="16"/>
      </w:rPr>
      <w:t>(en miles de francos suizos)</w:t>
    </w:r>
  </w:p>
  <w:p w:rsidR="00391FE9" w:rsidRPr="00034AA5" w:rsidRDefault="00391FE9" w:rsidP="007B2C29">
    <w:pPr>
      <w:pStyle w:val="Header"/>
      <w:rPr>
        <w:b/>
        <w:bCs/>
        <w:sz w:val="12"/>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92355"/>
    <w:multiLevelType w:val="hybridMultilevel"/>
    <w:tmpl w:val="7EFC0C5C"/>
    <w:lvl w:ilvl="0" w:tplc="925A1DD0">
      <w:start w:val="1"/>
      <w:numFmt w:val="decimal"/>
      <w:lvlRestart w:val="0"/>
      <w:lvlText w:val="28.%1."/>
      <w:lvlJc w:val="left"/>
      <w:pPr>
        <w:tabs>
          <w:tab w:val="num" w:pos="680"/>
        </w:tabs>
        <w:ind w:left="0" w:firstLine="0"/>
      </w:pPr>
      <w:rPr>
        <w:rFonts w:ascii="Arial" w:hAnsi="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25F134F"/>
    <w:multiLevelType w:val="hybridMultilevel"/>
    <w:tmpl w:val="F5F2DEFC"/>
    <w:lvl w:ilvl="0" w:tplc="93C69F98">
      <w:start w:val="1"/>
      <w:numFmt w:val="decimal"/>
      <w:lvlRestart w:val="0"/>
      <w:lvlText w:val="10.%1."/>
      <w:lvlJc w:val="left"/>
      <w:pPr>
        <w:tabs>
          <w:tab w:val="num" w:pos="683"/>
        </w:tabs>
        <w:ind w:left="429" w:firstLine="0"/>
      </w:pPr>
      <w:rPr>
        <w:rFonts w:ascii="Arial" w:hAnsi="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4893ADE"/>
    <w:multiLevelType w:val="hybridMultilevel"/>
    <w:tmpl w:val="8B1A033C"/>
    <w:lvl w:ilvl="0" w:tplc="A982525C">
      <w:start w:val="1"/>
      <w:numFmt w:val="decimal"/>
      <w:lvlRestart w:val="0"/>
      <w:lvlText w:val="11.%1."/>
      <w:lvlJc w:val="left"/>
      <w:pPr>
        <w:tabs>
          <w:tab w:val="num" w:pos="683"/>
        </w:tabs>
        <w:ind w:left="0" w:firstLine="0"/>
      </w:pPr>
      <w:rPr>
        <w:rFonts w:ascii="Arial" w:hAnsi="Arial" w:hint="default"/>
        <w:i w:val="0"/>
        <w:iCs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4ED34C3"/>
    <w:multiLevelType w:val="hybridMultilevel"/>
    <w:tmpl w:val="E52201C8"/>
    <w:lvl w:ilvl="0" w:tplc="A1F48B70">
      <w:start w:val="1"/>
      <w:numFmt w:val="decimal"/>
      <w:lvlRestart w:val="0"/>
      <w:lvlText w:val="12.%1."/>
      <w:lvlJc w:val="left"/>
      <w:pPr>
        <w:tabs>
          <w:tab w:val="num" w:pos="683"/>
        </w:tabs>
        <w:ind w:left="0" w:firstLine="0"/>
      </w:pPr>
      <w:rPr>
        <w:rFonts w:ascii="Arial" w:hAnsi="Arial" w:hint="default"/>
        <w:sz w:val="20"/>
        <w:szCs w:val="20"/>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09663D18"/>
    <w:multiLevelType w:val="hybridMultilevel"/>
    <w:tmpl w:val="C1E29D0C"/>
    <w:lvl w:ilvl="0" w:tplc="E1260A98">
      <w:start w:val="1"/>
      <w:numFmt w:val="lowerRoman"/>
      <w:lvlText w:val="%1)"/>
      <w:lvlJc w:val="left"/>
      <w:pPr>
        <w:ind w:left="1287" w:hanging="72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6">
    <w:nsid w:val="0A120ADC"/>
    <w:multiLevelType w:val="hybridMultilevel"/>
    <w:tmpl w:val="B54C93D2"/>
    <w:lvl w:ilvl="0" w:tplc="FFFFFFFF">
      <w:start w:val="1"/>
      <w:numFmt w:val="bullet"/>
      <w:lvlText w:val=""/>
      <w:lvlJc w:val="left"/>
      <w:pPr>
        <w:tabs>
          <w:tab w:val="num" w:pos="720"/>
        </w:tabs>
        <w:ind w:left="72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nsid w:val="0C3217A1"/>
    <w:multiLevelType w:val="hybridMultilevel"/>
    <w:tmpl w:val="6E367D8C"/>
    <w:lvl w:ilvl="0" w:tplc="5EAED6BA">
      <w:start w:val="1"/>
      <w:numFmt w:val="decimal"/>
      <w:lvlText w:val="%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0F2B244F"/>
    <w:multiLevelType w:val="hybridMultilevel"/>
    <w:tmpl w:val="097E91E2"/>
    <w:lvl w:ilvl="0" w:tplc="0C1A8E8A">
      <w:start w:val="1"/>
      <w:numFmt w:val="decimal"/>
      <w:lvlText w:val="%1."/>
      <w:lvlJc w:val="left"/>
      <w:pPr>
        <w:tabs>
          <w:tab w:val="num" w:pos="567"/>
        </w:tabs>
        <w:ind w:left="0" w:firstLine="0"/>
      </w:pPr>
      <w:rPr>
        <w:rFonts w:ascii="Arial" w:hAnsi="Arial" w:cs="Arial" w:hint="default"/>
        <w:b w:val="0"/>
        <w:bCs w:val="0"/>
        <w:i w:val="0"/>
        <w:iCs w:val="0"/>
        <w:sz w:val="20"/>
        <w:szCs w:val="24"/>
      </w:rPr>
    </w:lvl>
    <w:lvl w:ilvl="1" w:tplc="BBB49450">
      <w:numFmt w:val="none"/>
      <w:lvlText w:val=""/>
      <w:lvlJc w:val="left"/>
      <w:pPr>
        <w:tabs>
          <w:tab w:val="num" w:pos="360"/>
        </w:tabs>
      </w:pPr>
    </w:lvl>
    <w:lvl w:ilvl="2" w:tplc="3072D582">
      <w:numFmt w:val="none"/>
      <w:lvlText w:val=""/>
      <w:lvlJc w:val="left"/>
      <w:pPr>
        <w:tabs>
          <w:tab w:val="num" w:pos="360"/>
        </w:tabs>
      </w:pPr>
    </w:lvl>
    <w:lvl w:ilvl="3" w:tplc="7E24C4FC">
      <w:numFmt w:val="none"/>
      <w:lvlText w:val=""/>
      <w:lvlJc w:val="left"/>
      <w:pPr>
        <w:tabs>
          <w:tab w:val="num" w:pos="360"/>
        </w:tabs>
      </w:pPr>
    </w:lvl>
    <w:lvl w:ilvl="4" w:tplc="B4745B60">
      <w:numFmt w:val="none"/>
      <w:lvlText w:val=""/>
      <w:lvlJc w:val="left"/>
      <w:pPr>
        <w:tabs>
          <w:tab w:val="num" w:pos="360"/>
        </w:tabs>
      </w:pPr>
    </w:lvl>
    <w:lvl w:ilvl="5" w:tplc="0B98436E">
      <w:numFmt w:val="none"/>
      <w:lvlText w:val=""/>
      <w:lvlJc w:val="left"/>
      <w:pPr>
        <w:tabs>
          <w:tab w:val="num" w:pos="360"/>
        </w:tabs>
      </w:pPr>
    </w:lvl>
    <w:lvl w:ilvl="6" w:tplc="2D44E926">
      <w:numFmt w:val="none"/>
      <w:lvlText w:val=""/>
      <w:lvlJc w:val="left"/>
      <w:pPr>
        <w:tabs>
          <w:tab w:val="num" w:pos="360"/>
        </w:tabs>
      </w:pPr>
    </w:lvl>
    <w:lvl w:ilvl="7" w:tplc="16A41804">
      <w:numFmt w:val="none"/>
      <w:lvlText w:val=""/>
      <w:lvlJc w:val="left"/>
      <w:pPr>
        <w:tabs>
          <w:tab w:val="num" w:pos="360"/>
        </w:tabs>
      </w:pPr>
    </w:lvl>
    <w:lvl w:ilvl="8" w:tplc="B82CFB2E">
      <w:numFmt w:val="none"/>
      <w:lvlText w:val=""/>
      <w:lvlJc w:val="left"/>
      <w:pPr>
        <w:tabs>
          <w:tab w:val="num" w:pos="360"/>
        </w:tabs>
      </w:pPr>
    </w:lvl>
  </w:abstractNum>
  <w:abstractNum w:abstractNumId="9">
    <w:nsid w:val="11547780"/>
    <w:multiLevelType w:val="hybridMultilevel"/>
    <w:tmpl w:val="2B9A23F0"/>
    <w:lvl w:ilvl="0" w:tplc="A3C68D84">
      <w:start w:val="1"/>
      <w:numFmt w:val="decimal"/>
      <w:lvlRestart w:val="0"/>
      <w:lvlText w:val="21.%1."/>
      <w:lvlJc w:val="left"/>
      <w:pPr>
        <w:tabs>
          <w:tab w:val="num" w:pos="680"/>
        </w:tabs>
        <w:ind w:left="0" w:firstLine="0"/>
      </w:pPr>
      <w:rPr>
        <w:rFonts w:ascii="Arial" w:hAnsi="Arial" w:hint="default"/>
        <w:sz w:val="20"/>
        <w:szCs w:val="20"/>
      </w:rPr>
    </w:lvl>
    <w:lvl w:ilvl="1" w:tplc="04090019">
      <w:start w:val="1"/>
      <w:numFmt w:val="lowerRoman"/>
      <w:lvlText w:val="(%2)"/>
      <w:lvlJc w:val="left"/>
      <w:pPr>
        <w:tabs>
          <w:tab w:val="num" w:pos="1250"/>
        </w:tabs>
        <w:ind w:left="1080" w:firstLine="0"/>
      </w:pPr>
      <w:rPr>
        <w:rFonts w:hint="default"/>
        <w:sz w:val="20"/>
        <w:szCs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22B2A50"/>
    <w:multiLevelType w:val="hybridMultilevel"/>
    <w:tmpl w:val="649E93AE"/>
    <w:lvl w:ilvl="0" w:tplc="88408418">
      <w:start w:val="1"/>
      <w:numFmt w:val="decimal"/>
      <w:lvlText w:val="%1."/>
      <w:lvlJc w:val="left"/>
      <w:pPr>
        <w:tabs>
          <w:tab w:val="num" w:pos="567"/>
        </w:tabs>
        <w:ind w:left="0" w:firstLine="0"/>
      </w:pPr>
      <w:rPr>
        <w:rFonts w:hint="default"/>
        <w:b w:val="0"/>
        <w:bCs/>
      </w:rPr>
    </w:lvl>
    <w:lvl w:ilvl="1" w:tplc="58C0532C"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3794905"/>
    <w:multiLevelType w:val="hybridMultilevel"/>
    <w:tmpl w:val="A0D47BD8"/>
    <w:lvl w:ilvl="0" w:tplc="976A27AE">
      <w:start w:val="315"/>
      <w:numFmt w:val="bullet"/>
      <w:lvlText w:val=""/>
      <w:lvlJc w:val="left"/>
      <w:pPr>
        <w:tabs>
          <w:tab w:val="num" w:pos="1134"/>
        </w:tabs>
        <w:ind w:left="1134" w:hanging="454"/>
      </w:pPr>
      <w:rPr>
        <w:rFonts w:ascii="Symbol" w:eastAsia="Times New Roman" w:hAnsi="Symbol" w:cs="Times New Roman" w:hint="default"/>
        <w:color w:val="auto"/>
        <w:sz w:val="22"/>
      </w:rPr>
    </w:lvl>
    <w:lvl w:ilvl="1" w:tplc="04090019" w:tentative="1">
      <w:start w:val="1"/>
      <w:numFmt w:val="bullet"/>
      <w:lvlText w:val="o"/>
      <w:lvlJc w:val="left"/>
      <w:pPr>
        <w:tabs>
          <w:tab w:val="num" w:pos="1800"/>
        </w:tabs>
        <w:ind w:left="1800" w:hanging="360"/>
      </w:pPr>
      <w:rPr>
        <w:rFonts w:ascii="Courier New" w:hAnsi="Courier New" w:cs="Courier New" w:hint="default"/>
      </w:rPr>
    </w:lvl>
    <w:lvl w:ilvl="2" w:tplc="0409001B" w:tentative="1">
      <w:start w:val="1"/>
      <w:numFmt w:val="bullet"/>
      <w:lvlText w:val=""/>
      <w:lvlJc w:val="left"/>
      <w:pPr>
        <w:tabs>
          <w:tab w:val="num" w:pos="2520"/>
        </w:tabs>
        <w:ind w:left="2520" w:hanging="360"/>
      </w:pPr>
      <w:rPr>
        <w:rFonts w:ascii="Wingdings" w:hAnsi="Wingdings" w:hint="default"/>
      </w:rPr>
    </w:lvl>
    <w:lvl w:ilvl="3" w:tplc="0409000F" w:tentative="1">
      <w:start w:val="1"/>
      <w:numFmt w:val="bullet"/>
      <w:lvlText w:val=""/>
      <w:lvlJc w:val="left"/>
      <w:pPr>
        <w:tabs>
          <w:tab w:val="num" w:pos="3240"/>
        </w:tabs>
        <w:ind w:left="3240" w:hanging="360"/>
      </w:pPr>
      <w:rPr>
        <w:rFonts w:ascii="Symbol" w:hAnsi="Symbol" w:hint="default"/>
      </w:rPr>
    </w:lvl>
    <w:lvl w:ilvl="4" w:tplc="04090019" w:tentative="1">
      <w:start w:val="1"/>
      <w:numFmt w:val="bullet"/>
      <w:lvlText w:val="o"/>
      <w:lvlJc w:val="left"/>
      <w:pPr>
        <w:tabs>
          <w:tab w:val="num" w:pos="3960"/>
        </w:tabs>
        <w:ind w:left="3960" w:hanging="360"/>
      </w:pPr>
      <w:rPr>
        <w:rFonts w:ascii="Courier New" w:hAnsi="Courier New" w:cs="Courier New" w:hint="default"/>
      </w:rPr>
    </w:lvl>
    <w:lvl w:ilvl="5" w:tplc="0409001B" w:tentative="1">
      <w:start w:val="1"/>
      <w:numFmt w:val="bullet"/>
      <w:lvlText w:val=""/>
      <w:lvlJc w:val="left"/>
      <w:pPr>
        <w:tabs>
          <w:tab w:val="num" w:pos="4680"/>
        </w:tabs>
        <w:ind w:left="4680" w:hanging="360"/>
      </w:pPr>
      <w:rPr>
        <w:rFonts w:ascii="Wingdings" w:hAnsi="Wingdings" w:hint="default"/>
      </w:rPr>
    </w:lvl>
    <w:lvl w:ilvl="6" w:tplc="0409000F" w:tentative="1">
      <w:start w:val="1"/>
      <w:numFmt w:val="bullet"/>
      <w:lvlText w:val=""/>
      <w:lvlJc w:val="left"/>
      <w:pPr>
        <w:tabs>
          <w:tab w:val="num" w:pos="5400"/>
        </w:tabs>
        <w:ind w:left="5400" w:hanging="360"/>
      </w:pPr>
      <w:rPr>
        <w:rFonts w:ascii="Symbol" w:hAnsi="Symbol" w:hint="default"/>
      </w:rPr>
    </w:lvl>
    <w:lvl w:ilvl="7" w:tplc="04090019" w:tentative="1">
      <w:start w:val="1"/>
      <w:numFmt w:val="bullet"/>
      <w:lvlText w:val="o"/>
      <w:lvlJc w:val="left"/>
      <w:pPr>
        <w:tabs>
          <w:tab w:val="num" w:pos="6120"/>
        </w:tabs>
        <w:ind w:left="6120" w:hanging="360"/>
      </w:pPr>
      <w:rPr>
        <w:rFonts w:ascii="Courier New" w:hAnsi="Courier New" w:cs="Courier New" w:hint="default"/>
      </w:rPr>
    </w:lvl>
    <w:lvl w:ilvl="8" w:tplc="0409001B" w:tentative="1">
      <w:start w:val="1"/>
      <w:numFmt w:val="bullet"/>
      <w:lvlText w:val=""/>
      <w:lvlJc w:val="left"/>
      <w:pPr>
        <w:tabs>
          <w:tab w:val="num" w:pos="6840"/>
        </w:tabs>
        <w:ind w:left="6840" w:hanging="360"/>
      </w:pPr>
      <w:rPr>
        <w:rFonts w:ascii="Wingdings" w:hAnsi="Wingdings" w:hint="default"/>
      </w:rPr>
    </w:lvl>
  </w:abstractNum>
  <w:abstractNum w:abstractNumId="12">
    <w:nsid w:val="137E7F3B"/>
    <w:multiLevelType w:val="hybridMultilevel"/>
    <w:tmpl w:val="2DEC2B76"/>
    <w:lvl w:ilvl="0" w:tplc="C2EA24F4">
      <w:start w:val="1"/>
      <w:numFmt w:val="decimal"/>
      <w:lvlRestart w:val="0"/>
      <w:lvlText w:val="30.%1."/>
      <w:lvlJc w:val="left"/>
      <w:pPr>
        <w:tabs>
          <w:tab w:val="num" w:pos="683"/>
        </w:tabs>
        <w:ind w:left="0" w:firstLine="0"/>
      </w:pPr>
      <w:rPr>
        <w:rFonts w:ascii="Arial" w:hAnsi="Arial" w:hint="default"/>
        <w:i w:val="0"/>
        <w:iCs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4">
    <w:nsid w:val="20A80F82"/>
    <w:multiLevelType w:val="multilevel"/>
    <w:tmpl w:val="C2969DA4"/>
    <w:lvl w:ilvl="0">
      <w:start w:val="4"/>
      <w:numFmt w:val="decimal"/>
      <w:lvlText w:val="%1"/>
      <w:lvlJc w:val="left"/>
      <w:pPr>
        <w:ind w:left="360" w:hanging="360"/>
      </w:pPr>
      <w:rPr>
        <w:rFonts w:hint="default"/>
        <w:b w:val="0"/>
        <w:color w:val="FF00FF"/>
      </w:rPr>
    </w:lvl>
    <w:lvl w:ilvl="1">
      <w:start w:val="1"/>
      <w:numFmt w:val="decimal"/>
      <w:lvlText w:val="%1.%2"/>
      <w:lvlJc w:val="left"/>
      <w:pPr>
        <w:ind w:left="927" w:hanging="360"/>
      </w:pPr>
      <w:rPr>
        <w:rFonts w:hint="default"/>
        <w:b w:val="0"/>
        <w:color w:val="auto"/>
      </w:rPr>
    </w:lvl>
    <w:lvl w:ilvl="2">
      <w:start w:val="1"/>
      <w:numFmt w:val="decimal"/>
      <w:lvlText w:val="%1.%2.%3"/>
      <w:lvlJc w:val="left"/>
      <w:pPr>
        <w:ind w:left="1854" w:hanging="720"/>
      </w:pPr>
      <w:rPr>
        <w:rFonts w:hint="default"/>
        <w:b w:val="0"/>
        <w:color w:val="FF00FF"/>
      </w:rPr>
    </w:lvl>
    <w:lvl w:ilvl="3">
      <w:start w:val="1"/>
      <w:numFmt w:val="decimal"/>
      <w:lvlText w:val="%1.%2.%3.%4"/>
      <w:lvlJc w:val="left"/>
      <w:pPr>
        <w:ind w:left="2421" w:hanging="720"/>
      </w:pPr>
      <w:rPr>
        <w:rFonts w:hint="default"/>
        <w:b w:val="0"/>
        <w:color w:val="FF00FF"/>
      </w:rPr>
    </w:lvl>
    <w:lvl w:ilvl="4">
      <w:start w:val="1"/>
      <w:numFmt w:val="decimal"/>
      <w:lvlText w:val="%1.%2.%3.%4.%5"/>
      <w:lvlJc w:val="left"/>
      <w:pPr>
        <w:ind w:left="3348" w:hanging="1080"/>
      </w:pPr>
      <w:rPr>
        <w:rFonts w:hint="default"/>
        <w:b w:val="0"/>
        <w:color w:val="FF00FF"/>
      </w:rPr>
    </w:lvl>
    <w:lvl w:ilvl="5">
      <w:start w:val="1"/>
      <w:numFmt w:val="decimal"/>
      <w:lvlText w:val="%1.%2.%3.%4.%5.%6"/>
      <w:lvlJc w:val="left"/>
      <w:pPr>
        <w:ind w:left="3915" w:hanging="1080"/>
      </w:pPr>
      <w:rPr>
        <w:rFonts w:hint="default"/>
        <w:b w:val="0"/>
        <w:color w:val="FF00FF"/>
      </w:rPr>
    </w:lvl>
    <w:lvl w:ilvl="6">
      <w:start w:val="1"/>
      <w:numFmt w:val="decimal"/>
      <w:lvlText w:val="%1.%2.%3.%4.%5.%6.%7"/>
      <w:lvlJc w:val="left"/>
      <w:pPr>
        <w:ind w:left="4842" w:hanging="1440"/>
      </w:pPr>
      <w:rPr>
        <w:rFonts w:hint="default"/>
        <w:b w:val="0"/>
        <w:color w:val="FF00FF"/>
      </w:rPr>
    </w:lvl>
    <w:lvl w:ilvl="7">
      <w:start w:val="1"/>
      <w:numFmt w:val="decimal"/>
      <w:lvlText w:val="%1.%2.%3.%4.%5.%6.%7.%8"/>
      <w:lvlJc w:val="left"/>
      <w:pPr>
        <w:ind w:left="5409" w:hanging="1440"/>
      </w:pPr>
      <w:rPr>
        <w:rFonts w:hint="default"/>
        <w:b w:val="0"/>
        <w:color w:val="FF00FF"/>
      </w:rPr>
    </w:lvl>
    <w:lvl w:ilvl="8">
      <w:start w:val="1"/>
      <w:numFmt w:val="decimal"/>
      <w:lvlText w:val="%1.%2.%3.%4.%5.%6.%7.%8.%9"/>
      <w:lvlJc w:val="left"/>
      <w:pPr>
        <w:ind w:left="6336" w:hanging="1800"/>
      </w:pPr>
      <w:rPr>
        <w:rFonts w:hint="default"/>
        <w:b w:val="0"/>
        <w:color w:val="FF00FF"/>
      </w:rPr>
    </w:lvl>
  </w:abstractNum>
  <w:abstractNum w:abstractNumId="15">
    <w:nsid w:val="245E7006"/>
    <w:multiLevelType w:val="hybridMultilevel"/>
    <w:tmpl w:val="1CFA2352"/>
    <w:lvl w:ilvl="0" w:tplc="75FA6534">
      <w:start w:val="1"/>
      <w:numFmt w:val="decimal"/>
      <w:lvlText w:val="%1."/>
      <w:lvlJc w:val="left"/>
      <w:pPr>
        <w:tabs>
          <w:tab w:val="num" w:pos="360"/>
        </w:tabs>
        <w:ind w:left="360" w:hanging="360"/>
      </w:pPr>
    </w:lvl>
    <w:lvl w:ilvl="1" w:tplc="7A20B9F4">
      <w:start w:val="1"/>
      <w:numFmt w:val="lowerLetter"/>
      <w:lvlText w:val="%2)"/>
      <w:lvlJc w:val="left"/>
      <w:pPr>
        <w:tabs>
          <w:tab w:val="num" w:pos="1080"/>
        </w:tabs>
        <w:ind w:left="1080" w:hanging="360"/>
      </w:pPr>
      <w:rPr>
        <w:rFonts w:hint="default"/>
      </w:rPr>
    </w:lvl>
    <w:lvl w:ilvl="2" w:tplc="99CC9D1E">
      <w:start w:val="1"/>
      <w:numFmt w:val="lowerRoman"/>
      <w:lvlText w:val="%3)"/>
      <w:lvlJc w:val="left"/>
      <w:pPr>
        <w:tabs>
          <w:tab w:val="num" w:pos="1790"/>
        </w:tabs>
        <w:ind w:left="1620" w:firstLine="0"/>
      </w:pPr>
      <w:rPr>
        <w:rFonts w:hint="default"/>
      </w:rPr>
    </w:lvl>
    <w:lvl w:ilvl="3" w:tplc="0409000F">
      <w:start w:val="1"/>
      <w:numFmt w:val="decimal"/>
      <w:lvlText w:val="%4."/>
      <w:lvlJc w:val="left"/>
      <w:pPr>
        <w:tabs>
          <w:tab w:val="num" w:pos="2520"/>
        </w:tabs>
        <w:ind w:left="2520" w:hanging="360"/>
      </w:pPr>
      <w:rPr>
        <w:rFonts w:hint="default"/>
      </w:rPr>
    </w:lvl>
    <w:lvl w:ilvl="4" w:tplc="04090003">
      <w:start w:val="1"/>
      <w:numFmt w:val="lowerLetter"/>
      <w:lvlText w:val="%5."/>
      <w:lvlJc w:val="left"/>
      <w:pPr>
        <w:tabs>
          <w:tab w:val="num" w:pos="3240"/>
        </w:tabs>
        <w:ind w:left="3240" w:hanging="360"/>
      </w:pPr>
    </w:lvl>
    <w:lvl w:ilvl="5" w:tplc="04090005" w:tentative="1">
      <w:start w:val="1"/>
      <w:numFmt w:val="lowerRoman"/>
      <w:lvlText w:val="%6."/>
      <w:lvlJc w:val="right"/>
      <w:pPr>
        <w:tabs>
          <w:tab w:val="num" w:pos="3960"/>
        </w:tabs>
        <w:ind w:left="3960" w:hanging="180"/>
      </w:pPr>
    </w:lvl>
    <w:lvl w:ilvl="6" w:tplc="04090001" w:tentative="1">
      <w:start w:val="1"/>
      <w:numFmt w:val="decimal"/>
      <w:lvlText w:val="%7."/>
      <w:lvlJc w:val="left"/>
      <w:pPr>
        <w:tabs>
          <w:tab w:val="num" w:pos="4680"/>
        </w:tabs>
        <w:ind w:left="4680" w:hanging="360"/>
      </w:pPr>
    </w:lvl>
    <w:lvl w:ilvl="7" w:tplc="04090003" w:tentative="1">
      <w:start w:val="1"/>
      <w:numFmt w:val="lowerLetter"/>
      <w:lvlText w:val="%8."/>
      <w:lvlJc w:val="left"/>
      <w:pPr>
        <w:tabs>
          <w:tab w:val="num" w:pos="5400"/>
        </w:tabs>
        <w:ind w:left="5400" w:hanging="360"/>
      </w:pPr>
    </w:lvl>
    <w:lvl w:ilvl="8" w:tplc="04090005" w:tentative="1">
      <w:start w:val="1"/>
      <w:numFmt w:val="lowerRoman"/>
      <w:lvlText w:val="%9."/>
      <w:lvlJc w:val="right"/>
      <w:pPr>
        <w:tabs>
          <w:tab w:val="num" w:pos="6120"/>
        </w:tabs>
        <w:ind w:left="6120" w:hanging="180"/>
      </w:pPr>
    </w:lvl>
  </w:abstractNum>
  <w:abstractNum w:abstractNumId="16">
    <w:nsid w:val="246747EC"/>
    <w:multiLevelType w:val="hybridMultilevel"/>
    <w:tmpl w:val="14EAB186"/>
    <w:lvl w:ilvl="0" w:tplc="0409000F">
      <w:start w:val="1"/>
      <w:numFmt w:val="decimal"/>
      <w:lvlRestart w:val="0"/>
      <w:lvlText w:val="14.%1."/>
      <w:lvlJc w:val="left"/>
      <w:pPr>
        <w:tabs>
          <w:tab w:val="num" w:pos="683"/>
        </w:tabs>
        <w:ind w:left="0" w:firstLine="0"/>
      </w:pPr>
      <w:rPr>
        <w:rFonts w:ascii="Arial" w:hAnsi="Arial" w:hint="default"/>
        <w:sz w:val="20"/>
        <w:szCs w:val="20"/>
      </w:rPr>
    </w:lvl>
    <w:lvl w:ilvl="1" w:tplc="ECFC44FC">
      <w:start w:val="1"/>
      <w:numFmt w:val="lowerRoman"/>
      <w:lvlText w:val="%2)"/>
      <w:lvlJc w:val="left"/>
      <w:pPr>
        <w:tabs>
          <w:tab w:val="num" w:pos="1250"/>
        </w:tabs>
        <w:ind w:left="1080" w:firstLine="0"/>
      </w:pPr>
      <w:rPr>
        <w:rFonts w:hint="default"/>
        <w:sz w:val="20"/>
        <w:szCs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4726D81"/>
    <w:multiLevelType w:val="hybridMultilevel"/>
    <w:tmpl w:val="259AE5A4"/>
    <w:lvl w:ilvl="0" w:tplc="04090001">
      <w:start w:val="1"/>
      <w:numFmt w:val="bullet"/>
      <w:lvlText w:val=""/>
      <w:lvlJc w:val="left"/>
      <w:pPr>
        <w:tabs>
          <w:tab w:val="num" w:pos="1160"/>
        </w:tabs>
        <w:ind w:left="1160" w:hanging="360"/>
      </w:pPr>
      <w:rPr>
        <w:rFonts w:ascii="Symbol" w:hAnsi="Symbol" w:hint="default"/>
      </w:rPr>
    </w:lvl>
    <w:lvl w:ilvl="1" w:tplc="04090003" w:tentative="1">
      <w:start w:val="1"/>
      <w:numFmt w:val="bullet"/>
      <w:lvlText w:val="o"/>
      <w:lvlJc w:val="left"/>
      <w:pPr>
        <w:tabs>
          <w:tab w:val="num" w:pos="1880"/>
        </w:tabs>
        <w:ind w:left="1880" w:hanging="360"/>
      </w:pPr>
      <w:rPr>
        <w:rFonts w:ascii="Courier New" w:hAnsi="Courier New" w:cs="Courier New" w:hint="default"/>
      </w:rPr>
    </w:lvl>
    <w:lvl w:ilvl="2" w:tplc="04090005" w:tentative="1">
      <w:start w:val="1"/>
      <w:numFmt w:val="bullet"/>
      <w:lvlText w:val=""/>
      <w:lvlJc w:val="left"/>
      <w:pPr>
        <w:tabs>
          <w:tab w:val="num" w:pos="2600"/>
        </w:tabs>
        <w:ind w:left="2600" w:hanging="360"/>
      </w:pPr>
      <w:rPr>
        <w:rFonts w:ascii="Wingdings" w:hAnsi="Wingdings" w:hint="default"/>
      </w:rPr>
    </w:lvl>
    <w:lvl w:ilvl="3" w:tplc="04090001" w:tentative="1">
      <w:start w:val="1"/>
      <w:numFmt w:val="bullet"/>
      <w:lvlText w:val=""/>
      <w:lvlJc w:val="left"/>
      <w:pPr>
        <w:tabs>
          <w:tab w:val="num" w:pos="3320"/>
        </w:tabs>
        <w:ind w:left="3320" w:hanging="360"/>
      </w:pPr>
      <w:rPr>
        <w:rFonts w:ascii="Symbol" w:hAnsi="Symbol" w:hint="default"/>
      </w:rPr>
    </w:lvl>
    <w:lvl w:ilvl="4" w:tplc="04090003" w:tentative="1">
      <w:start w:val="1"/>
      <w:numFmt w:val="bullet"/>
      <w:lvlText w:val="o"/>
      <w:lvlJc w:val="left"/>
      <w:pPr>
        <w:tabs>
          <w:tab w:val="num" w:pos="4040"/>
        </w:tabs>
        <w:ind w:left="4040" w:hanging="360"/>
      </w:pPr>
      <w:rPr>
        <w:rFonts w:ascii="Courier New" w:hAnsi="Courier New" w:cs="Courier New" w:hint="default"/>
      </w:rPr>
    </w:lvl>
    <w:lvl w:ilvl="5" w:tplc="04090005" w:tentative="1">
      <w:start w:val="1"/>
      <w:numFmt w:val="bullet"/>
      <w:lvlText w:val=""/>
      <w:lvlJc w:val="left"/>
      <w:pPr>
        <w:tabs>
          <w:tab w:val="num" w:pos="4760"/>
        </w:tabs>
        <w:ind w:left="4760" w:hanging="360"/>
      </w:pPr>
      <w:rPr>
        <w:rFonts w:ascii="Wingdings" w:hAnsi="Wingdings" w:hint="default"/>
      </w:rPr>
    </w:lvl>
    <w:lvl w:ilvl="6" w:tplc="04090001" w:tentative="1">
      <w:start w:val="1"/>
      <w:numFmt w:val="bullet"/>
      <w:lvlText w:val=""/>
      <w:lvlJc w:val="left"/>
      <w:pPr>
        <w:tabs>
          <w:tab w:val="num" w:pos="5480"/>
        </w:tabs>
        <w:ind w:left="5480" w:hanging="360"/>
      </w:pPr>
      <w:rPr>
        <w:rFonts w:ascii="Symbol" w:hAnsi="Symbol" w:hint="default"/>
      </w:rPr>
    </w:lvl>
    <w:lvl w:ilvl="7" w:tplc="04090003" w:tentative="1">
      <w:start w:val="1"/>
      <w:numFmt w:val="bullet"/>
      <w:lvlText w:val="o"/>
      <w:lvlJc w:val="left"/>
      <w:pPr>
        <w:tabs>
          <w:tab w:val="num" w:pos="6200"/>
        </w:tabs>
        <w:ind w:left="6200" w:hanging="360"/>
      </w:pPr>
      <w:rPr>
        <w:rFonts w:ascii="Courier New" w:hAnsi="Courier New" w:cs="Courier New" w:hint="default"/>
      </w:rPr>
    </w:lvl>
    <w:lvl w:ilvl="8" w:tplc="04090005" w:tentative="1">
      <w:start w:val="1"/>
      <w:numFmt w:val="bullet"/>
      <w:lvlText w:val=""/>
      <w:lvlJc w:val="left"/>
      <w:pPr>
        <w:tabs>
          <w:tab w:val="num" w:pos="6920"/>
        </w:tabs>
        <w:ind w:left="6920" w:hanging="360"/>
      </w:pPr>
      <w:rPr>
        <w:rFonts w:ascii="Wingdings" w:hAnsi="Wingdings" w:hint="default"/>
      </w:rPr>
    </w:lvl>
  </w:abstractNum>
  <w:abstractNum w:abstractNumId="18">
    <w:nsid w:val="24DC4966"/>
    <w:multiLevelType w:val="hybridMultilevel"/>
    <w:tmpl w:val="66D6AA08"/>
    <w:lvl w:ilvl="0" w:tplc="C49E790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524148D"/>
    <w:multiLevelType w:val="hybridMultilevel"/>
    <w:tmpl w:val="3258CCD4"/>
    <w:lvl w:ilvl="0" w:tplc="804EB18E">
      <w:start w:val="1"/>
      <w:numFmt w:val="decimal"/>
      <w:lvlRestart w:val="0"/>
      <w:lvlText w:val="29.%1."/>
      <w:lvlJc w:val="left"/>
      <w:pPr>
        <w:tabs>
          <w:tab w:val="num" w:pos="692"/>
        </w:tabs>
        <w:ind w:left="6" w:firstLine="0"/>
      </w:pPr>
      <w:rPr>
        <w:rFonts w:ascii="Arial" w:hAnsi="Arial" w:hint="default"/>
        <w:sz w:val="20"/>
        <w:szCs w:val="20"/>
      </w:rPr>
    </w:lvl>
    <w:lvl w:ilvl="1" w:tplc="D61C67BA"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269F606B"/>
    <w:multiLevelType w:val="hybridMultilevel"/>
    <w:tmpl w:val="6654FA74"/>
    <w:lvl w:ilvl="0" w:tplc="311A3728">
      <w:start w:val="1"/>
      <w:numFmt w:val="decimal"/>
      <w:lvlRestart w:val="0"/>
      <w:lvlText w:val="24.%1."/>
      <w:lvlJc w:val="left"/>
      <w:pPr>
        <w:tabs>
          <w:tab w:val="num" w:pos="692"/>
        </w:tabs>
        <w:ind w:left="6" w:firstLine="0"/>
      </w:pPr>
      <w:rPr>
        <w:rFonts w:ascii="Arial" w:hAnsi="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276F7D50"/>
    <w:multiLevelType w:val="hybridMultilevel"/>
    <w:tmpl w:val="E26E1252"/>
    <w:lvl w:ilvl="0" w:tplc="04090001">
      <w:start w:val="1"/>
      <w:numFmt w:val="bullet"/>
      <w:lvlText w:val=""/>
      <w:lvlJc w:val="left"/>
      <w:pPr>
        <w:tabs>
          <w:tab w:val="num" w:pos="1160"/>
        </w:tabs>
        <w:ind w:left="1160" w:hanging="360"/>
      </w:pPr>
      <w:rPr>
        <w:rFonts w:ascii="Symbol" w:hAnsi="Symbol" w:hint="default"/>
      </w:rPr>
    </w:lvl>
    <w:lvl w:ilvl="1" w:tplc="04090003" w:tentative="1">
      <w:start w:val="1"/>
      <w:numFmt w:val="bullet"/>
      <w:lvlText w:val="o"/>
      <w:lvlJc w:val="left"/>
      <w:pPr>
        <w:tabs>
          <w:tab w:val="num" w:pos="1880"/>
        </w:tabs>
        <w:ind w:left="1880" w:hanging="360"/>
      </w:pPr>
      <w:rPr>
        <w:rFonts w:ascii="Courier New" w:hAnsi="Courier New" w:cs="Courier New" w:hint="default"/>
      </w:rPr>
    </w:lvl>
    <w:lvl w:ilvl="2" w:tplc="04090005" w:tentative="1">
      <w:start w:val="1"/>
      <w:numFmt w:val="bullet"/>
      <w:lvlText w:val=""/>
      <w:lvlJc w:val="left"/>
      <w:pPr>
        <w:tabs>
          <w:tab w:val="num" w:pos="2600"/>
        </w:tabs>
        <w:ind w:left="2600" w:hanging="360"/>
      </w:pPr>
      <w:rPr>
        <w:rFonts w:ascii="Wingdings" w:hAnsi="Wingdings" w:hint="default"/>
      </w:rPr>
    </w:lvl>
    <w:lvl w:ilvl="3" w:tplc="04090001" w:tentative="1">
      <w:start w:val="1"/>
      <w:numFmt w:val="bullet"/>
      <w:lvlText w:val=""/>
      <w:lvlJc w:val="left"/>
      <w:pPr>
        <w:tabs>
          <w:tab w:val="num" w:pos="3320"/>
        </w:tabs>
        <w:ind w:left="3320" w:hanging="360"/>
      </w:pPr>
      <w:rPr>
        <w:rFonts w:ascii="Symbol" w:hAnsi="Symbol" w:hint="default"/>
      </w:rPr>
    </w:lvl>
    <w:lvl w:ilvl="4" w:tplc="04090003" w:tentative="1">
      <w:start w:val="1"/>
      <w:numFmt w:val="bullet"/>
      <w:lvlText w:val="o"/>
      <w:lvlJc w:val="left"/>
      <w:pPr>
        <w:tabs>
          <w:tab w:val="num" w:pos="4040"/>
        </w:tabs>
        <w:ind w:left="4040" w:hanging="360"/>
      </w:pPr>
      <w:rPr>
        <w:rFonts w:ascii="Courier New" w:hAnsi="Courier New" w:cs="Courier New" w:hint="default"/>
      </w:rPr>
    </w:lvl>
    <w:lvl w:ilvl="5" w:tplc="04090005" w:tentative="1">
      <w:start w:val="1"/>
      <w:numFmt w:val="bullet"/>
      <w:lvlText w:val=""/>
      <w:lvlJc w:val="left"/>
      <w:pPr>
        <w:tabs>
          <w:tab w:val="num" w:pos="4760"/>
        </w:tabs>
        <w:ind w:left="4760" w:hanging="360"/>
      </w:pPr>
      <w:rPr>
        <w:rFonts w:ascii="Wingdings" w:hAnsi="Wingdings" w:hint="default"/>
      </w:rPr>
    </w:lvl>
    <w:lvl w:ilvl="6" w:tplc="04090001" w:tentative="1">
      <w:start w:val="1"/>
      <w:numFmt w:val="bullet"/>
      <w:lvlText w:val=""/>
      <w:lvlJc w:val="left"/>
      <w:pPr>
        <w:tabs>
          <w:tab w:val="num" w:pos="5480"/>
        </w:tabs>
        <w:ind w:left="5480" w:hanging="360"/>
      </w:pPr>
      <w:rPr>
        <w:rFonts w:ascii="Symbol" w:hAnsi="Symbol" w:hint="default"/>
      </w:rPr>
    </w:lvl>
    <w:lvl w:ilvl="7" w:tplc="04090003" w:tentative="1">
      <w:start w:val="1"/>
      <w:numFmt w:val="bullet"/>
      <w:lvlText w:val="o"/>
      <w:lvlJc w:val="left"/>
      <w:pPr>
        <w:tabs>
          <w:tab w:val="num" w:pos="6200"/>
        </w:tabs>
        <w:ind w:left="6200" w:hanging="360"/>
      </w:pPr>
      <w:rPr>
        <w:rFonts w:ascii="Courier New" w:hAnsi="Courier New" w:cs="Courier New" w:hint="default"/>
      </w:rPr>
    </w:lvl>
    <w:lvl w:ilvl="8" w:tplc="04090005" w:tentative="1">
      <w:start w:val="1"/>
      <w:numFmt w:val="bullet"/>
      <w:lvlText w:val=""/>
      <w:lvlJc w:val="left"/>
      <w:pPr>
        <w:tabs>
          <w:tab w:val="num" w:pos="6920"/>
        </w:tabs>
        <w:ind w:left="6920" w:hanging="360"/>
      </w:pPr>
      <w:rPr>
        <w:rFonts w:ascii="Wingdings" w:hAnsi="Wingdings" w:hint="default"/>
      </w:rPr>
    </w:lvl>
  </w:abstractNum>
  <w:abstractNum w:abstractNumId="22">
    <w:nsid w:val="27CA1DDD"/>
    <w:multiLevelType w:val="hybridMultilevel"/>
    <w:tmpl w:val="A3A0C48C"/>
    <w:lvl w:ilvl="0" w:tplc="9306EFCE">
      <w:start w:val="1"/>
      <w:numFmt w:val="decimal"/>
      <w:lvlRestart w:val="0"/>
      <w:lvlText w:val="25.%1."/>
      <w:lvlJc w:val="left"/>
      <w:pPr>
        <w:tabs>
          <w:tab w:val="num" w:pos="680"/>
        </w:tabs>
        <w:ind w:left="0" w:firstLine="0"/>
      </w:pPr>
      <w:rPr>
        <w:rFonts w:ascii="Arial" w:hAnsi="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280A3731"/>
    <w:multiLevelType w:val="multilevel"/>
    <w:tmpl w:val="46A495A4"/>
    <w:lvl w:ilvl="0">
      <w:start w:val="8"/>
      <w:numFmt w:val="decimal"/>
      <w:lvlText w:val="%1"/>
      <w:lvlJc w:val="left"/>
      <w:pPr>
        <w:tabs>
          <w:tab w:val="num" w:pos="570"/>
        </w:tabs>
        <w:ind w:left="570" w:hanging="570"/>
      </w:pPr>
      <w:rPr>
        <w:rFonts w:hint="default"/>
      </w:rPr>
    </w:lvl>
    <w:lvl w:ilvl="1">
      <w:start w:val="1"/>
      <w:numFmt w:val="decimal"/>
      <w:lvlRestart w:val="0"/>
      <w:lvlText w:val="8.%2."/>
      <w:lvlJc w:val="left"/>
      <w:pPr>
        <w:tabs>
          <w:tab w:val="num" w:pos="680"/>
        </w:tabs>
        <w:ind w:left="0" w:firstLine="0"/>
      </w:pPr>
      <w:rPr>
        <w:rFonts w:ascii="Arial" w:hAnsi="Arial" w:hint="default"/>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2B0F0EBA"/>
    <w:multiLevelType w:val="hybridMultilevel"/>
    <w:tmpl w:val="68EA7932"/>
    <w:lvl w:ilvl="0" w:tplc="CE9EFB40">
      <w:start w:val="1"/>
      <w:numFmt w:val="decimal"/>
      <w:lvlText w:val="%1."/>
      <w:lvlJc w:val="left"/>
      <w:pPr>
        <w:tabs>
          <w:tab w:val="num" w:pos="567"/>
        </w:tabs>
        <w:ind w:left="0" w:firstLine="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2B423B8D"/>
    <w:multiLevelType w:val="hybridMultilevel"/>
    <w:tmpl w:val="1004DDCE"/>
    <w:lvl w:ilvl="0" w:tplc="2A1252A8">
      <w:start w:val="1"/>
      <w:numFmt w:val="decimal"/>
      <w:lvlText w:val="%1."/>
      <w:lvlJc w:val="left"/>
      <w:pPr>
        <w:tabs>
          <w:tab w:val="num" w:pos="567"/>
        </w:tabs>
        <w:ind w:left="0" w:firstLine="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2D7F1CA2"/>
    <w:multiLevelType w:val="hybridMultilevel"/>
    <w:tmpl w:val="449ED5AA"/>
    <w:lvl w:ilvl="0" w:tplc="04090001">
      <w:start w:val="1"/>
      <w:numFmt w:val="bullet"/>
      <w:lvlText w:val=""/>
      <w:lvlJc w:val="left"/>
      <w:pPr>
        <w:tabs>
          <w:tab w:val="num" w:pos="1120"/>
        </w:tabs>
        <w:ind w:left="1120" w:hanging="360"/>
      </w:pPr>
      <w:rPr>
        <w:rFonts w:ascii="Symbol" w:hAnsi="Symbol" w:hint="default"/>
      </w:rPr>
    </w:lvl>
    <w:lvl w:ilvl="1" w:tplc="04090003" w:tentative="1">
      <w:start w:val="1"/>
      <w:numFmt w:val="bullet"/>
      <w:lvlText w:val="o"/>
      <w:lvlJc w:val="left"/>
      <w:pPr>
        <w:tabs>
          <w:tab w:val="num" w:pos="1840"/>
        </w:tabs>
        <w:ind w:left="1840" w:hanging="360"/>
      </w:pPr>
      <w:rPr>
        <w:rFonts w:ascii="Courier New" w:hAnsi="Courier New" w:cs="Courier New" w:hint="default"/>
      </w:rPr>
    </w:lvl>
    <w:lvl w:ilvl="2" w:tplc="04090005" w:tentative="1">
      <w:start w:val="1"/>
      <w:numFmt w:val="bullet"/>
      <w:lvlText w:val=""/>
      <w:lvlJc w:val="left"/>
      <w:pPr>
        <w:tabs>
          <w:tab w:val="num" w:pos="2560"/>
        </w:tabs>
        <w:ind w:left="2560" w:hanging="360"/>
      </w:pPr>
      <w:rPr>
        <w:rFonts w:ascii="Wingdings" w:hAnsi="Wingdings" w:hint="default"/>
      </w:rPr>
    </w:lvl>
    <w:lvl w:ilvl="3" w:tplc="04090001" w:tentative="1">
      <w:start w:val="1"/>
      <w:numFmt w:val="bullet"/>
      <w:lvlText w:val=""/>
      <w:lvlJc w:val="left"/>
      <w:pPr>
        <w:tabs>
          <w:tab w:val="num" w:pos="3280"/>
        </w:tabs>
        <w:ind w:left="3280" w:hanging="360"/>
      </w:pPr>
      <w:rPr>
        <w:rFonts w:ascii="Symbol" w:hAnsi="Symbol" w:hint="default"/>
      </w:rPr>
    </w:lvl>
    <w:lvl w:ilvl="4" w:tplc="04090003" w:tentative="1">
      <w:start w:val="1"/>
      <w:numFmt w:val="bullet"/>
      <w:lvlText w:val="o"/>
      <w:lvlJc w:val="left"/>
      <w:pPr>
        <w:tabs>
          <w:tab w:val="num" w:pos="4000"/>
        </w:tabs>
        <w:ind w:left="4000" w:hanging="360"/>
      </w:pPr>
      <w:rPr>
        <w:rFonts w:ascii="Courier New" w:hAnsi="Courier New" w:cs="Courier New" w:hint="default"/>
      </w:rPr>
    </w:lvl>
    <w:lvl w:ilvl="5" w:tplc="04090005" w:tentative="1">
      <w:start w:val="1"/>
      <w:numFmt w:val="bullet"/>
      <w:lvlText w:val=""/>
      <w:lvlJc w:val="left"/>
      <w:pPr>
        <w:tabs>
          <w:tab w:val="num" w:pos="4720"/>
        </w:tabs>
        <w:ind w:left="4720" w:hanging="360"/>
      </w:pPr>
      <w:rPr>
        <w:rFonts w:ascii="Wingdings" w:hAnsi="Wingdings" w:hint="default"/>
      </w:rPr>
    </w:lvl>
    <w:lvl w:ilvl="6" w:tplc="04090001" w:tentative="1">
      <w:start w:val="1"/>
      <w:numFmt w:val="bullet"/>
      <w:lvlText w:val=""/>
      <w:lvlJc w:val="left"/>
      <w:pPr>
        <w:tabs>
          <w:tab w:val="num" w:pos="5440"/>
        </w:tabs>
        <w:ind w:left="5440" w:hanging="360"/>
      </w:pPr>
      <w:rPr>
        <w:rFonts w:ascii="Symbol" w:hAnsi="Symbol" w:hint="default"/>
      </w:rPr>
    </w:lvl>
    <w:lvl w:ilvl="7" w:tplc="04090003" w:tentative="1">
      <w:start w:val="1"/>
      <w:numFmt w:val="bullet"/>
      <w:lvlText w:val="o"/>
      <w:lvlJc w:val="left"/>
      <w:pPr>
        <w:tabs>
          <w:tab w:val="num" w:pos="6160"/>
        </w:tabs>
        <w:ind w:left="6160" w:hanging="360"/>
      </w:pPr>
      <w:rPr>
        <w:rFonts w:ascii="Courier New" w:hAnsi="Courier New" w:cs="Courier New" w:hint="default"/>
      </w:rPr>
    </w:lvl>
    <w:lvl w:ilvl="8" w:tplc="04090005" w:tentative="1">
      <w:start w:val="1"/>
      <w:numFmt w:val="bullet"/>
      <w:lvlText w:val=""/>
      <w:lvlJc w:val="left"/>
      <w:pPr>
        <w:tabs>
          <w:tab w:val="num" w:pos="6880"/>
        </w:tabs>
        <w:ind w:left="6880" w:hanging="360"/>
      </w:pPr>
      <w:rPr>
        <w:rFonts w:ascii="Wingdings" w:hAnsi="Wingdings" w:hint="default"/>
      </w:rPr>
    </w:lvl>
  </w:abstractNum>
  <w:abstractNum w:abstractNumId="27">
    <w:nsid w:val="2F5B64AE"/>
    <w:multiLevelType w:val="hybridMultilevel"/>
    <w:tmpl w:val="41886E56"/>
    <w:lvl w:ilvl="0" w:tplc="2A1252A8">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8">
    <w:nsid w:val="30735C4C"/>
    <w:multiLevelType w:val="hybridMultilevel"/>
    <w:tmpl w:val="2988B7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31136CF2"/>
    <w:multiLevelType w:val="hybridMultilevel"/>
    <w:tmpl w:val="F9828D0E"/>
    <w:lvl w:ilvl="0" w:tplc="7A84B2F6">
      <w:start w:val="1"/>
      <w:numFmt w:val="decimal"/>
      <w:lvlRestart w:val="0"/>
      <w:lvlText w:val="22.%1."/>
      <w:lvlJc w:val="left"/>
      <w:pPr>
        <w:tabs>
          <w:tab w:val="num" w:pos="692"/>
        </w:tabs>
        <w:ind w:left="6" w:firstLine="0"/>
      </w:pPr>
      <w:rPr>
        <w:rFonts w:ascii="Arial" w:hAnsi="Arial" w:hint="default"/>
        <w:b w:val="0"/>
        <w:bCs/>
        <w:i w:val="0"/>
        <w:iCs/>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319B534E"/>
    <w:multiLevelType w:val="hybridMultilevel"/>
    <w:tmpl w:val="FD5C801E"/>
    <w:lvl w:ilvl="0" w:tplc="04090001">
      <w:start w:val="1"/>
      <w:numFmt w:val="bullet"/>
      <w:lvlText w:val=""/>
      <w:lvlJc w:val="left"/>
      <w:pPr>
        <w:tabs>
          <w:tab w:val="num" w:pos="1287"/>
        </w:tabs>
        <w:ind w:left="1287" w:hanging="360"/>
      </w:pPr>
      <w:rPr>
        <w:rFonts w:ascii="Symbol" w:hAnsi="Symbol" w:hint="default"/>
      </w:rPr>
    </w:lvl>
    <w:lvl w:ilvl="1" w:tplc="04090003">
      <w:start w:val="1"/>
      <w:numFmt w:val="bullet"/>
      <w:lvlText w:val="o"/>
      <w:lvlJc w:val="left"/>
      <w:pPr>
        <w:tabs>
          <w:tab w:val="num" w:pos="1583"/>
        </w:tabs>
        <w:ind w:left="1583" w:hanging="360"/>
      </w:pPr>
      <w:rPr>
        <w:rFonts w:ascii="Courier New" w:hAnsi="Courier New" w:cs="Courier New" w:hint="default"/>
      </w:rPr>
    </w:lvl>
    <w:lvl w:ilvl="2" w:tplc="04090005">
      <w:start w:val="1"/>
      <w:numFmt w:val="bullet"/>
      <w:lvlText w:val=""/>
      <w:lvlJc w:val="left"/>
      <w:pPr>
        <w:tabs>
          <w:tab w:val="num" w:pos="2303"/>
        </w:tabs>
        <w:ind w:left="2303" w:hanging="360"/>
      </w:pPr>
      <w:rPr>
        <w:rFonts w:ascii="Wingdings" w:hAnsi="Wingdings" w:hint="default"/>
      </w:rPr>
    </w:lvl>
    <w:lvl w:ilvl="3" w:tplc="04090001" w:tentative="1">
      <w:start w:val="1"/>
      <w:numFmt w:val="bullet"/>
      <w:lvlText w:val=""/>
      <w:lvlJc w:val="left"/>
      <w:pPr>
        <w:tabs>
          <w:tab w:val="num" w:pos="3023"/>
        </w:tabs>
        <w:ind w:left="3023" w:hanging="360"/>
      </w:pPr>
      <w:rPr>
        <w:rFonts w:ascii="Symbol" w:hAnsi="Symbol" w:hint="default"/>
      </w:rPr>
    </w:lvl>
    <w:lvl w:ilvl="4" w:tplc="04090003" w:tentative="1">
      <w:start w:val="1"/>
      <w:numFmt w:val="bullet"/>
      <w:lvlText w:val="o"/>
      <w:lvlJc w:val="left"/>
      <w:pPr>
        <w:tabs>
          <w:tab w:val="num" w:pos="3743"/>
        </w:tabs>
        <w:ind w:left="3743" w:hanging="360"/>
      </w:pPr>
      <w:rPr>
        <w:rFonts w:ascii="Courier New" w:hAnsi="Courier New" w:cs="Courier New" w:hint="default"/>
      </w:rPr>
    </w:lvl>
    <w:lvl w:ilvl="5" w:tplc="04090005" w:tentative="1">
      <w:start w:val="1"/>
      <w:numFmt w:val="bullet"/>
      <w:lvlText w:val=""/>
      <w:lvlJc w:val="left"/>
      <w:pPr>
        <w:tabs>
          <w:tab w:val="num" w:pos="4463"/>
        </w:tabs>
        <w:ind w:left="4463" w:hanging="360"/>
      </w:pPr>
      <w:rPr>
        <w:rFonts w:ascii="Wingdings" w:hAnsi="Wingdings" w:hint="default"/>
      </w:rPr>
    </w:lvl>
    <w:lvl w:ilvl="6" w:tplc="04090001" w:tentative="1">
      <w:start w:val="1"/>
      <w:numFmt w:val="bullet"/>
      <w:lvlText w:val=""/>
      <w:lvlJc w:val="left"/>
      <w:pPr>
        <w:tabs>
          <w:tab w:val="num" w:pos="5183"/>
        </w:tabs>
        <w:ind w:left="5183" w:hanging="360"/>
      </w:pPr>
      <w:rPr>
        <w:rFonts w:ascii="Symbol" w:hAnsi="Symbol" w:hint="default"/>
      </w:rPr>
    </w:lvl>
    <w:lvl w:ilvl="7" w:tplc="04090003" w:tentative="1">
      <w:start w:val="1"/>
      <w:numFmt w:val="bullet"/>
      <w:lvlText w:val="o"/>
      <w:lvlJc w:val="left"/>
      <w:pPr>
        <w:tabs>
          <w:tab w:val="num" w:pos="5903"/>
        </w:tabs>
        <w:ind w:left="5903" w:hanging="360"/>
      </w:pPr>
      <w:rPr>
        <w:rFonts w:ascii="Courier New" w:hAnsi="Courier New" w:cs="Courier New" w:hint="default"/>
      </w:rPr>
    </w:lvl>
    <w:lvl w:ilvl="8" w:tplc="04090005" w:tentative="1">
      <w:start w:val="1"/>
      <w:numFmt w:val="bullet"/>
      <w:lvlText w:val=""/>
      <w:lvlJc w:val="left"/>
      <w:pPr>
        <w:tabs>
          <w:tab w:val="num" w:pos="6623"/>
        </w:tabs>
        <w:ind w:left="6623" w:hanging="360"/>
      </w:pPr>
      <w:rPr>
        <w:rFonts w:ascii="Wingdings" w:hAnsi="Wingdings" w:hint="default"/>
      </w:rPr>
    </w:lvl>
  </w:abstractNum>
  <w:abstractNum w:abstractNumId="31">
    <w:nsid w:val="358F78EB"/>
    <w:multiLevelType w:val="hybridMultilevel"/>
    <w:tmpl w:val="668A115A"/>
    <w:lvl w:ilvl="0" w:tplc="44F03848">
      <w:start w:val="1"/>
      <w:numFmt w:val="bullet"/>
      <w:lvlText w:val=""/>
      <w:lvlJc w:val="left"/>
      <w:pPr>
        <w:tabs>
          <w:tab w:val="num" w:pos="927"/>
        </w:tabs>
        <w:ind w:left="927" w:hanging="360"/>
      </w:pPr>
      <w:rPr>
        <w:rFonts w:ascii="Symbol" w:hAnsi="Symbol" w:cs="Times New Roman" w:hint="default"/>
        <w:sz w:val="26"/>
      </w:rPr>
    </w:lvl>
    <w:lvl w:ilvl="1" w:tplc="3C948B28">
      <w:start w:val="13"/>
      <w:numFmt w:val="decimal"/>
      <w:lvlText w:val="%2."/>
      <w:lvlJc w:val="left"/>
      <w:pPr>
        <w:tabs>
          <w:tab w:val="num" w:pos="1077"/>
        </w:tabs>
        <w:ind w:left="0" w:firstLine="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35D26F74"/>
    <w:multiLevelType w:val="hybridMultilevel"/>
    <w:tmpl w:val="0706E2E4"/>
    <w:lvl w:ilvl="0" w:tplc="CE6A6634">
      <w:start w:val="1"/>
      <w:numFmt w:val="bullet"/>
      <w:lvlText w:val=""/>
      <w:lvlJc w:val="left"/>
      <w:pPr>
        <w:tabs>
          <w:tab w:val="num" w:pos="720"/>
        </w:tabs>
        <w:ind w:left="720" w:hanging="360"/>
      </w:pPr>
      <w:rPr>
        <w:rFonts w:ascii="Wingdings" w:hAnsi="Wingdings" w:hint="default"/>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396B6BA4"/>
    <w:multiLevelType w:val="hybridMultilevel"/>
    <w:tmpl w:val="5E88E18A"/>
    <w:lvl w:ilvl="0" w:tplc="C592E888">
      <w:start w:val="1"/>
      <w:numFmt w:val="decimal"/>
      <w:lvlRestart w:val="0"/>
      <w:lvlText w:val="13.%1."/>
      <w:lvlJc w:val="left"/>
      <w:pPr>
        <w:tabs>
          <w:tab w:val="num" w:pos="683"/>
        </w:tabs>
        <w:ind w:left="0" w:firstLine="0"/>
      </w:pPr>
      <w:rPr>
        <w:rFonts w:ascii="Arial" w:hAnsi="Arial" w:hint="default"/>
        <w:sz w:val="20"/>
        <w:szCs w:val="20"/>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4">
    <w:nsid w:val="3C5677A7"/>
    <w:multiLevelType w:val="hybridMultilevel"/>
    <w:tmpl w:val="445007FE"/>
    <w:lvl w:ilvl="0" w:tplc="9CD64338">
      <w:start w:val="1"/>
      <w:numFmt w:val="bullet"/>
      <w:lvlText w:val=""/>
      <w:lvlJc w:val="left"/>
      <w:pPr>
        <w:tabs>
          <w:tab w:val="num" w:pos="851"/>
        </w:tabs>
        <w:ind w:left="851" w:hanging="284"/>
      </w:pPr>
      <w:rPr>
        <w:rFonts w:ascii="Symbol" w:hAnsi="Symbol" w:hint="default"/>
        <w:lang w:val="en-SG"/>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3E8703BF"/>
    <w:multiLevelType w:val="hybridMultilevel"/>
    <w:tmpl w:val="DF60092C"/>
    <w:lvl w:ilvl="0" w:tplc="5144F034">
      <w:start w:val="1"/>
      <w:numFmt w:val="decimal"/>
      <w:lvlRestart w:val="0"/>
      <w:lvlText w:val="5.%1."/>
      <w:lvlJc w:val="left"/>
      <w:pPr>
        <w:tabs>
          <w:tab w:val="num" w:pos="680"/>
        </w:tabs>
        <w:ind w:left="0" w:firstLine="0"/>
      </w:pPr>
      <w:rPr>
        <w:rFonts w:ascii="Arial" w:hAnsi="Arial" w:cs="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3FB71A0F"/>
    <w:multiLevelType w:val="hybridMultilevel"/>
    <w:tmpl w:val="EC283824"/>
    <w:lvl w:ilvl="0" w:tplc="C53C0112">
      <w:start w:val="1"/>
      <w:numFmt w:val="decimal"/>
      <w:lvlRestart w:val="0"/>
      <w:lvlText w:val="16.%1."/>
      <w:lvlJc w:val="left"/>
      <w:pPr>
        <w:tabs>
          <w:tab w:val="num" w:pos="683"/>
        </w:tabs>
        <w:ind w:left="0" w:firstLine="0"/>
      </w:pPr>
      <w:rPr>
        <w:rFonts w:ascii="Arial" w:hAnsi="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42CF35C5"/>
    <w:multiLevelType w:val="hybridMultilevel"/>
    <w:tmpl w:val="E5406E66"/>
    <w:lvl w:ilvl="0" w:tplc="CDFE3C58">
      <w:start w:val="1"/>
      <w:numFmt w:val="decimal"/>
      <w:lvlRestart w:val="0"/>
      <w:lvlText w:val="6.%1."/>
      <w:lvlJc w:val="left"/>
      <w:pPr>
        <w:tabs>
          <w:tab w:val="num" w:pos="680"/>
        </w:tabs>
        <w:ind w:left="0" w:firstLine="0"/>
      </w:pPr>
      <w:rPr>
        <w:rFonts w:ascii="Arial" w:hAnsi="Arial" w:hint="default"/>
        <w:sz w:val="20"/>
        <w:szCs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44EC51BC"/>
    <w:multiLevelType w:val="hybridMultilevel"/>
    <w:tmpl w:val="B14AF35C"/>
    <w:lvl w:ilvl="0" w:tplc="BBEE0BA2">
      <w:start w:val="1"/>
      <w:numFmt w:val="decimal"/>
      <w:lvlRestart w:val="0"/>
      <w:lvlText w:val="26.%1."/>
      <w:lvlJc w:val="left"/>
      <w:pPr>
        <w:tabs>
          <w:tab w:val="num" w:pos="680"/>
        </w:tabs>
        <w:ind w:left="0" w:firstLine="0"/>
      </w:pPr>
      <w:rPr>
        <w:rFonts w:ascii="Arial" w:hAnsi="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49A91F7F"/>
    <w:multiLevelType w:val="hybridMultilevel"/>
    <w:tmpl w:val="F3E09890"/>
    <w:lvl w:ilvl="0" w:tplc="55366768">
      <w:start w:val="1"/>
      <w:numFmt w:val="decimal"/>
      <w:lvlRestart w:val="0"/>
      <w:lvlText w:val="3.%1."/>
      <w:lvlJc w:val="left"/>
      <w:pPr>
        <w:tabs>
          <w:tab w:val="num" w:pos="680"/>
        </w:tabs>
        <w:ind w:left="0" w:firstLine="0"/>
      </w:pPr>
      <w:rPr>
        <w:rFonts w:ascii="Arial" w:hAnsi="Arial" w:cs="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4A4034CD"/>
    <w:multiLevelType w:val="hybridMultilevel"/>
    <w:tmpl w:val="C61E1F84"/>
    <w:lvl w:ilvl="0" w:tplc="2E60A370">
      <w:start w:val="1"/>
      <w:numFmt w:val="decimal"/>
      <w:lvlRestart w:val="0"/>
      <w:lvlText w:val="2.%1."/>
      <w:lvlJc w:val="left"/>
      <w:pPr>
        <w:tabs>
          <w:tab w:val="num" w:pos="680"/>
        </w:tabs>
        <w:ind w:left="0" w:firstLine="0"/>
      </w:pPr>
      <w:rPr>
        <w:rFonts w:ascii="Arial" w:hAnsi="Arial" w:cs="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4A4579BD"/>
    <w:multiLevelType w:val="hybridMultilevel"/>
    <w:tmpl w:val="11123082"/>
    <w:lvl w:ilvl="0" w:tplc="BDB20DE6">
      <w:start w:val="1"/>
      <w:numFmt w:val="decimal"/>
      <w:lvlRestart w:val="0"/>
      <w:lvlText w:val="4.%1."/>
      <w:lvlJc w:val="left"/>
      <w:pPr>
        <w:tabs>
          <w:tab w:val="num" w:pos="680"/>
        </w:tabs>
        <w:ind w:left="0" w:firstLine="0"/>
      </w:pPr>
      <w:rPr>
        <w:rFonts w:ascii="Arial" w:hAnsi="Arial" w:cs="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4D381E2C"/>
    <w:multiLevelType w:val="hybridMultilevel"/>
    <w:tmpl w:val="9072CC8A"/>
    <w:lvl w:ilvl="0" w:tplc="000E655A">
      <w:start w:val="1"/>
      <w:numFmt w:val="decimal"/>
      <w:lvlRestart w:val="0"/>
      <w:lvlText w:val="27.%1."/>
      <w:lvlJc w:val="left"/>
      <w:pPr>
        <w:tabs>
          <w:tab w:val="num" w:pos="680"/>
        </w:tabs>
        <w:ind w:left="0" w:firstLine="0"/>
      </w:pPr>
      <w:rPr>
        <w:rFonts w:ascii="Arial" w:hAnsi="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525263E6"/>
    <w:multiLevelType w:val="multilevel"/>
    <w:tmpl w:val="71E8609E"/>
    <w:lvl w:ilvl="0">
      <w:start w:val="1"/>
      <w:numFmt w:val="bullet"/>
      <w:lvlText w:val=""/>
      <w:lvlJc w:val="left"/>
      <w:pPr>
        <w:tabs>
          <w:tab w:val="num" w:pos="513"/>
        </w:tabs>
        <w:ind w:left="890" w:hanging="170"/>
      </w:pPr>
      <w:rPr>
        <w:rFonts w:ascii="Symbol" w:hAnsi="Symbol" w:cs="Arial" w:hint="default"/>
        <w:sz w:val="26"/>
      </w:rPr>
    </w:lvl>
    <w:lvl w:ilvl="1">
      <w:start w:val="1"/>
      <w:numFmt w:val="bullet"/>
      <w:lvlText w:val="o"/>
      <w:lvlJc w:val="left"/>
      <w:pPr>
        <w:tabs>
          <w:tab w:val="num" w:pos="1593"/>
        </w:tabs>
        <w:ind w:left="1593" w:hanging="360"/>
      </w:pPr>
      <w:rPr>
        <w:rFonts w:ascii="Courier New" w:hAnsi="Courier New" w:cs="Courier New" w:hint="default"/>
      </w:rPr>
    </w:lvl>
    <w:lvl w:ilvl="2">
      <w:start w:val="1"/>
      <w:numFmt w:val="bullet"/>
      <w:lvlText w:val=""/>
      <w:lvlJc w:val="left"/>
      <w:pPr>
        <w:tabs>
          <w:tab w:val="num" w:pos="2313"/>
        </w:tabs>
        <w:ind w:left="2313" w:hanging="360"/>
      </w:pPr>
      <w:rPr>
        <w:rFonts w:ascii="Wingdings" w:hAnsi="Wingdings" w:hint="default"/>
      </w:rPr>
    </w:lvl>
    <w:lvl w:ilvl="3">
      <w:start w:val="1"/>
      <w:numFmt w:val="bullet"/>
      <w:lvlText w:val=""/>
      <w:lvlJc w:val="left"/>
      <w:pPr>
        <w:tabs>
          <w:tab w:val="num" w:pos="3033"/>
        </w:tabs>
        <w:ind w:left="3033" w:hanging="360"/>
      </w:pPr>
      <w:rPr>
        <w:rFonts w:ascii="Symbol" w:hAnsi="Symbol" w:hint="default"/>
      </w:rPr>
    </w:lvl>
    <w:lvl w:ilvl="4">
      <w:start w:val="1"/>
      <w:numFmt w:val="bullet"/>
      <w:lvlText w:val="o"/>
      <w:lvlJc w:val="left"/>
      <w:pPr>
        <w:tabs>
          <w:tab w:val="num" w:pos="3753"/>
        </w:tabs>
        <w:ind w:left="3753" w:hanging="360"/>
      </w:pPr>
      <w:rPr>
        <w:rFonts w:ascii="Courier New" w:hAnsi="Courier New" w:cs="Courier New" w:hint="default"/>
      </w:rPr>
    </w:lvl>
    <w:lvl w:ilvl="5">
      <w:start w:val="1"/>
      <w:numFmt w:val="bullet"/>
      <w:lvlText w:val=""/>
      <w:lvlJc w:val="left"/>
      <w:pPr>
        <w:tabs>
          <w:tab w:val="num" w:pos="4473"/>
        </w:tabs>
        <w:ind w:left="4473" w:hanging="360"/>
      </w:pPr>
      <w:rPr>
        <w:rFonts w:ascii="Wingdings" w:hAnsi="Wingdings" w:hint="default"/>
      </w:rPr>
    </w:lvl>
    <w:lvl w:ilvl="6">
      <w:start w:val="1"/>
      <w:numFmt w:val="bullet"/>
      <w:lvlText w:val=""/>
      <w:lvlJc w:val="left"/>
      <w:pPr>
        <w:tabs>
          <w:tab w:val="num" w:pos="5193"/>
        </w:tabs>
        <w:ind w:left="5193" w:hanging="360"/>
      </w:pPr>
      <w:rPr>
        <w:rFonts w:ascii="Symbol" w:hAnsi="Symbol" w:hint="default"/>
      </w:rPr>
    </w:lvl>
    <w:lvl w:ilvl="7">
      <w:start w:val="1"/>
      <w:numFmt w:val="bullet"/>
      <w:lvlText w:val="o"/>
      <w:lvlJc w:val="left"/>
      <w:pPr>
        <w:tabs>
          <w:tab w:val="num" w:pos="5913"/>
        </w:tabs>
        <w:ind w:left="5913" w:hanging="360"/>
      </w:pPr>
      <w:rPr>
        <w:rFonts w:ascii="Courier New" w:hAnsi="Courier New" w:cs="Courier New" w:hint="default"/>
      </w:rPr>
    </w:lvl>
    <w:lvl w:ilvl="8">
      <w:start w:val="1"/>
      <w:numFmt w:val="bullet"/>
      <w:lvlText w:val=""/>
      <w:lvlJc w:val="left"/>
      <w:pPr>
        <w:tabs>
          <w:tab w:val="num" w:pos="6633"/>
        </w:tabs>
        <w:ind w:left="6633" w:hanging="360"/>
      </w:pPr>
      <w:rPr>
        <w:rFonts w:ascii="Wingdings" w:hAnsi="Wingdings" w:hint="default"/>
      </w:rPr>
    </w:lvl>
  </w:abstractNum>
  <w:abstractNum w:abstractNumId="45">
    <w:nsid w:val="567C110A"/>
    <w:multiLevelType w:val="hybridMultilevel"/>
    <w:tmpl w:val="8F5EA48C"/>
    <w:lvl w:ilvl="0" w:tplc="198A427E">
      <w:start w:val="1"/>
      <w:numFmt w:val="decimal"/>
      <w:lvlRestart w:val="0"/>
      <w:lvlText w:val="18.%1."/>
      <w:lvlJc w:val="left"/>
      <w:pPr>
        <w:tabs>
          <w:tab w:val="num" w:pos="683"/>
        </w:tabs>
        <w:ind w:left="0" w:firstLine="0"/>
      </w:pPr>
      <w:rPr>
        <w:rFonts w:ascii="Arial" w:hAnsi="Arial" w:hint="default"/>
        <w:i w:val="0"/>
        <w:iCs/>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nsid w:val="56B4036F"/>
    <w:multiLevelType w:val="hybridMultilevel"/>
    <w:tmpl w:val="C1567994"/>
    <w:lvl w:ilvl="0" w:tplc="C4D4B19E">
      <w:start w:val="1"/>
      <w:numFmt w:val="decimal"/>
      <w:lvlRestart w:val="0"/>
      <w:lvlText w:val="23.%1."/>
      <w:lvlJc w:val="left"/>
      <w:pPr>
        <w:tabs>
          <w:tab w:val="num" w:pos="683"/>
        </w:tabs>
        <w:ind w:left="0" w:firstLine="0"/>
      </w:pPr>
      <w:rPr>
        <w:rFonts w:ascii="Arial" w:hAnsi="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nsid w:val="58905BC8"/>
    <w:multiLevelType w:val="hybridMultilevel"/>
    <w:tmpl w:val="A4E2F8B4"/>
    <w:lvl w:ilvl="0" w:tplc="665E8C6A">
      <w:start w:val="1"/>
      <w:numFmt w:val="decimal"/>
      <w:lvlRestart w:val="0"/>
      <w:lvlText w:val="9.%1."/>
      <w:lvlJc w:val="left"/>
      <w:pPr>
        <w:tabs>
          <w:tab w:val="num" w:pos="680"/>
        </w:tabs>
        <w:ind w:left="426" w:firstLine="0"/>
      </w:pPr>
      <w:rPr>
        <w:rFonts w:ascii="Arial" w:hAnsi="Arial" w:hint="default"/>
        <w:sz w:val="20"/>
        <w:szCs w:val="20"/>
        <w:lang w:val="de-CH"/>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nsid w:val="5D3D3D0D"/>
    <w:multiLevelType w:val="hybridMultilevel"/>
    <w:tmpl w:val="7A4297A0"/>
    <w:lvl w:ilvl="0" w:tplc="C954467E">
      <w:start w:val="1"/>
      <w:numFmt w:val="decimal"/>
      <w:lvlRestart w:val="0"/>
      <w:lvlText w:val="19.%1."/>
      <w:lvlJc w:val="left"/>
      <w:pPr>
        <w:tabs>
          <w:tab w:val="num" w:pos="680"/>
        </w:tabs>
        <w:ind w:left="0" w:firstLine="0"/>
      </w:pPr>
      <w:rPr>
        <w:rFonts w:ascii="Arial" w:hAnsi="Arial" w:hint="default"/>
        <w:color w:val="auto"/>
        <w:sz w:val="20"/>
        <w:szCs w:val="20"/>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49">
    <w:nsid w:val="5E342860"/>
    <w:multiLevelType w:val="hybridMultilevel"/>
    <w:tmpl w:val="98F464D2"/>
    <w:lvl w:ilvl="0" w:tplc="51185FBE">
      <w:start w:val="1"/>
      <w:numFmt w:val="decimal"/>
      <w:lvlRestart w:val="0"/>
      <w:lvlText w:val="1.%1."/>
      <w:lvlJc w:val="left"/>
      <w:pPr>
        <w:tabs>
          <w:tab w:val="num" w:pos="567"/>
        </w:tabs>
        <w:ind w:left="0" w:firstLine="0"/>
      </w:pPr>
      <w:rPr>
        <w:rFonts w:ascii="Arial" w:hAnsi="Arial" w:cs="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nsid w:val="5EE42212"/>
    <w:multiLevelType w:val="hybridMultilevel"/>
    <w:tmpl w:val="78ACF05C"/>
    <w:lvl w:ilvl="0" w:tplc="8EE44C20">
      <w:start w:val="30"/>
      <w:numFmt w:val="decimal"/>
      <w:lvlRestart w:val="0"/>
      <w:lvlText w:val="11.%1."/>
      <w:lvlJc w:val="left"/>
      <w:pPr>
        <w:tabs>
          <w:tab w:val="num" w:pos="683"/>
        </w:tabs>
        <w:ind w:left="0" w:firstLine="0"/>
      </w:pPr>
      <w:rPr>
        <w:rFonts w:ascii="Arial" w:hAnsi="Arial" w:hint="default"/>
        <w:i w:val="0"/>
        <w:iCs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5EFA5F3F"/>
    <w:multiLevelType w:val="hybridMultilevel"/>
    <w:tmpl w:val="9B906654"/>
    <w:lvl w:ilvl="0" w:tplc="CFB879E8">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Tahom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Tahom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Tahom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52">
    <w:nsid w:val="607F4131"/>
    <w:multiLevelType w:val="hybridMultilevel"/>
    <w:tmpl w:val="9F6EB372"/>
    <w:lvl w:ilvl="0" w:tplc="04090001">
      <w:start w:val="1"/>
      <w:numFmt w:val="decimal"/>
      <w:lvlRestart w:val="0"/>
      <w:lvlText w:val="13.%1."/>
      <w:lvlJc w:val="left"/>
      <w:pPr>
        <w:tabs>
          <w:tab w:val="num" w:pos="680"/>
        </w:tabs>
        <w:ind w:left="0" w:firstLine="0"/>
      </w:pPr>
      <w:rPr>
        <w:rFonts w:ascii="Arial" w:hAnsi="Arial" w:cs="Arial" w:hint="default"/>
        <w:sz w:val="20"/>
        <w:szCs w:val="20"/>
        <w:vertAlign w:val="baseline"/>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53">
    <w:nsid w:val="64A97601"/>
    <w:multiLevelType w:val="hybridMultilevel"/>
    <w:tmpl w:val="CE6CAC22"/>
    <w:lvl w:ilvl="0" w:tplc="9CD64338">
      <w:start w:val="1"/>
      <w:numFmt w:val="bullet"/>
      <w:lvlText w:val=""/>
      <w:lvlJc w:val="left"/>
      <w:pPr>
        <w:tabs>
          <w:tab w:val="num" w:pos="360"/>
        </w:tabs>
        <w:ind w:left="360" w:hanging="360"/>
      </w:pPr>
      <w:rPr>
        <w:rFonts w:ascii="Symbol" w:hAnsi="Symbol" w:hint="default"/>
        <w:lang w:val="en-SG"/>
      </w:rPr>
    </w:lvl>
    <w:lvl w:ilvl="1" w:tplc="04090019" w:tentative="1">
      <w:start w:val="1"/>
      <w:numFmt w:val="bullet"/>
      <w:lvlText w:val="o"/>
      <w:lvlJc w:val="left"/>
      <w:pPr>
        <w:tabs>
          <w:tab w:val="num" w:pos="1080"/>
        </w:tabs>
        <w:ind w:left="1080" w:hanging="360"/>
      </w:pPr>
      <w:rPr>
        <w:rFonts w:ascii="Courier New" w:hAnsi="Courier New" w:cs="Courier New" w:hint="default"/>
      </w:rPr>
    </w:lvl>
    <w:lvl w:ilvl="2" w:tplc="0409001B" w:tentative="1">
      <w:start w:val="1"/>
      <w:numFmt w:val="bullet"/>
      <w:lvlText w:val=""/>
      <w:lvlJc w:val="left"/>
      <w:pPr>
        <w:tabs>
          <w:tab w:val="num" w:pos="1800"/>
        </w:tabs>
        <w:ind w:left="1800" w:hanging="360"/>
      </w:pPr>
      <w:rPr>
        <w:rFonts w:ascii="Wingdings" w:hAnsi="Wingdings" w:hint="default"/>
      </w:rPr>
    </w:lvl>
    <w:lvl w:ilvl="3" w:tplc="0409000F" w:tentative="1">
      <w:start w:val="1"/>
      <w:numFmt w:val="bullet"/>
      <w:lvlText w:val=""/>
      <w:lvlJc w:val="left"/>
      <w:pPr>
        <w:tabs>
          <w:tab w:val="num" w:pos="2520"/>
        </w:tabs>
        <w:ind w:left="2520" w:hanging="360"/>
      </w:pPr>
      <w:rPr>
        <w:rFonts w:ascii="Symbol" w:hAnsi="Symbol" w:hint="default"/>
      </w:rPr>
    </w:lvl>
    <w:lvl w:ilvl="4" w:tplc="04090019" w:tentative="1">
      <w:start w:val="1"/>
      <w:numFmt w:val="bullet"/>
      <w:lvlText w:val="o"/>
      <w:lvlJc w:val="left"/>
      <w:pPr>
        <w:tabs>
          <w:tab w:val="num" w:pos="3240"/>
        </w:tabs>
        <w:ind w:left="3240" w:hanging="360"/>
      </w:pPr>
      <w:rPr>
        <w:rFonts w:ascii="Courier New" w:hAnsi="Courier New" w:cs="Courier New" w:hint="default"/>
      </w:rPr>
    </w:lvl>
    <w:lvl w:ilvl="5" w:tplc="0409001B" w:tentative="1">
      <w:start w:val="1"/>
      <w:numFmt w:val="bullet"/>
      <w:lvlText w:val=""/>
      <w:lvlJc w:val="left"/>
      <w:pPr>
        <w:tabs>
          <w:tab w:val="num" w:pos="3960"/>
        </w:tabs>
        <w:ind w:left="3960" w:hanging="360"/>
      </w:pPr>
      <w:rPr>
        <w:rFonts w:ascii="Wingdings" w:hAnsi="Wingdings" w:hint="default"/>
      </w:rPr>
    </w:lvl>
    <w:lvl w:ilvl="6" w:tplc="0409000F" w:tentative="1">
      <w:start w:val="1"/>
      <w:numFmt w:val="bullet"/>
      <w:lvlText w:val=""/>
      <w:lvlJc w:val="left"/>
      <w:pPr>
        <w:tabs>
          <w:tab w:val="num" w:pos="4680"/>
        </w:tabs>
        <w:ind w:left="4680" w:hanging="360"/>
      </w:pPr>
      <w:rPr>
        <w:rFonts w:ascii="Symbol" w:hAnsi="Symbol" w:hint="default"/>
      </w:rPr>
    </w:lvl>
    <w:lvl w:ilvl="7" w:tplc="04090019" w:tentative="1">
      <w:start w:val="1"/>
      <w:numFmt w:val="bullet"/>
      <w:lvlText w:val="o"/>
      <w:lvlJc w:val="left"/>
      <w:pPr>
        <w:tabs>
          <w:tab w:val="num" w:pos="5400"/>
        </w:tabs>
        <w:ind w:left="5400" w:hanging="360"/>
      </w:pPr>
      <w:rPr>
        <w:rFonts w:ascii="Courier New" w:hAnsi="Courier New" w:cs="Courier New" w:hint="default"/>
      </w:rPr>
    </w:lvl>
    <w:lvl w:ilvl="8" w:tplc="0409001B" w:tentative="1">
      <w:start w:val="1"/>
      <w:numFmt w:val="bullet"/>
      <w:lvlText w:val=""/>
      <w:lvlJc w:val="left"/>
      <w:pPr>
        <w:tabs>
          <w:tab w:val="num" w:pos="6120"/>
        </w:tabs>
        <w:ind w:left="6120" w:hanging="360"/>
      </w:pPr>
      <w:rPr>
        <w:rFonts w:ascii="Wingdings" w:hAnsi="Wingdings" w:hint="default"/>
      </w:rPr>
    </w:lvl>
  </w:abstractNum>
  <w:abstractNum w:abstractNumId="54">
    <w:nsid w:val="64C47426"/>
    <w:multiLevelType w:val="hybridMultilevel"/>
    <w:tmpl w:val="C1C06F40"/>
    <w:lvl w:ilvl="0" w:tplc="65640250">
      <w:start w:val="1"/>
      <w:numFmt w:val="decimal"/>
      <w:lvlText w:val="%1."/>
      <w:lvlJc w:val="left"/>
      <w:pPr>
        <w:tabs>
          <w:tab w:val="num" w:pos="567"/>
        </w:tabs>
        <w:ind w:left="0" w:firstLine="0"/>
      </w:pPr>
      <w:rPr>
        <w:rFonts w:hint="default"/>
        <w:b w:val="0"/>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55">
    <w:nsid w:val="667A16AF"/>
    <w:multiLevelType w:val="hybridMultilevel"/>
    <w:tmpl w:val="72D277D2"/>
    <w:lvl w:ilvl="0" w:tplc="5EAED6BA">
      <w:start w:val="1"/>
      <w:numFmt w:val="decimal"/>
      <w:lvlRestart w:val="0"/>
      <w:lvlText w:val="17.%1."/>
      <w:lvlJc w:val="left"/>
      <w:pPr>
        <w:tabs>
          <w:tab w:val="num" w:pos="680"/>
        </w:tabs>
        <w:ind w:left="0" w:firstLine="0"/>
      </w:pPr>
      <w:rPr>
        <w:rFonts w:ascii="Arial" w:hAnsi="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6">
    <w:nsid w:val="6C571640"/>
    <w:multiLevelType w:val="hybridMultilevel"/>
    <w:tmpl w:val="BFA8279A"/>
    <w:lvl w:ilvl="0" w:tplc="FFFFFFFF">
      <w:start w:val="1"/>
      <w:numFmt w:val="decimal"/>
      <w:lvlRestart w:val="0"/>
      <w:lvlText w:val="15.%1."/>
      <w:lvlJc w:val="left"/>
      <w:pPr>
        <w:tabs>
          <w:tab w:val="num" w:pos="683"/>
        </w:tabs>
        <w:ind w:left="0" w:firstLine="0"/>
      </w:pPr>
      <w:rPr>
        <w:rFonts w:ascii="Arial" w:hAnsi="Arial" w:hint="default"/>
        <w:sz w:val="20"/>
        <w:szCs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7">
    <w:nsid w:val="6EFB57BE"/>
    <w:multiLevelType w:val="hybridMultilevel"/>
    <w:tmpl w:val="A60EF8D4"/>
    <w:lvl w:ilvl="0" w:tplc="B3EC0D2E">
      <w:start w:val="315"/>
      <w:numFmt w:val="bullet"/>
      <w:lvlText w:val=""/>
      <w:lvlJc w:val="left"/>
      <w:pPr>
        <w:tabs>
          <w:tab w:val="num" w:pos="567"/>
        </w:tabs>
        <w:ind w:left="737" w:hanging="170"/>
      </w:pPr>
      <w:rPr>
        <w:rFonts w:ascii="Symbol" w:eastAsia="Times New Roman" w:hAnsi="Symbol" w:cs="Times New Roman" w:hint="default"/>
        <w:color w:val="000000"/>
        <w:sz w:val="22"/>
      </w:rPr>
    </w:lvl>
    <w:lvl w:ilvl="1" w:tplc="04090019" w:tentative="1">
      <w:start w:val="1"/>
      <w:numFmt w:val="bullet"/>
      <w:lvlText w:val=""/>
      <w:lvlJc w:val="left"/>
      <w:pPr>
        <w:tabs>
          <w:tab w:val="num" w:pos="1407"/>
        </w:tabs>
        <w:ind w:left="1407" w:hanging="420"/>
      </w:pPr>
      <w:rPr>
        <w:rFonts w:ascii="Wingdings" w:hAnsi="Wingdings" w:hint="default"/>
      </w:rPr>
    </w:lvl>
    <w:lvl w:ilvl="2" w:tplc="0409001B" w:tentative="1">
      <w:start w:val="1"/>
      <w:numFmt w:val="bullet"/>
      <w:lvlText w:val=""/>
      <w:lvlJc w:val="left"/>
      <w:pPr>
        <w:tabs>
          <w:tab w:val="num" w:pos="1827"/>
        </w:tabs>
        <w:ind w:left="1827" w:hanging="420"/>
      </w:pPr>
      <w:rPr>
        <w:rFonts w:ascii="Wingdings" w:hAnsi="Wingdings" w:hint="default"/>
      </w:rPr>
    </w:lvl>
    <w:lvl w:ilvl="3" w:tplc="0409000F" w:tentative="1">
      <w:start w:val="1"/>
      <w:numFmt w:val="bullet"/>
      <w:lvlText w:val=""/>
      <w:lvlJc w:val="left"/>
      <w:pPr>
        <w:tabs>
          <w:tab w:val="num" w:pos="2247"/>
        </w:tabs>
        <w:ind w:left="2247" w:hanging="420"/>
      </w:pPr>
      <w:rPr>
        <w:rFonts w:ascii="Wingdings" w:hAnsi="Wingdings" w:hint="default"/>
      </w:rPr>
    </w:lvl>
    <w:lvl w:ilvl="4" w:tplc="04090019" w:tentative="1">
      <w:start w:val="1"/>
      <w:numFmt w:val="bullet"/>
      <w:lvlText w:val=""/>
      <w:lvlJc w:val="left"/>
      <w:pPr>
        <w:tabs>
          <w:tab w:val="num" w:pos="2667"/>
        </w:tabs>
        <w:ind w:left="2667" w:hanging="420"/>
      </w:pPr>
      <w:rPr>
        <w:rFonts w:ascii="Wingdings" w:hAnsi="Wingdings" w:hint="default"/>
      </w:rPr>
    </w:lvl>
    <w:lvl w:ilvl="5" w:tplc="0409001B" w:tentative="1">
      <w:start w:val="1"/>
      <w:numFmt w:val="bullet"/>
      <w:lvlText w:val=""/>
      <w:lvlJc w:val="left"/>
      <w:pPr>
        <w:tabs>
          <w:tab w:val="num" w:pos="3087"/>
        </w:tabs>
        <w:ind w:left="3087" w:hanging="420"/>
      </w:pPr>
      <w:rPr>
        <w:rFonts w:ascii="Wingdings" w:hAnsi="Wingdings" w:hint="default"/>
      </w:rPr>
    </w:lvl>
    <w:lvl w:ilvl="6" w:tplc="0409000F" w:tentative="1">
      <w:start w:val="1"/>
      <w:numFmt w:val="bullet"/>
      <w:lvlText w:val=""/>
      <w:lvlJc w:val="left"/>
      <w:pPr>
        <w:tabs>
          <w:tab w:val="num" w:pos="3507"/>
        </w:tabs>
        <w:ind w:left="3507" w:hanging="420"/>
      </w:pPr>
      <w:rPr>
        <w:rFonts w:ascii="Wingdings" w:hAnsi="Wingdings" w:hint="default"/>
      </w:rPr>
    </w:lvl>
    <w:lvl w:ilvl="7" w:tplc="04090019" w:tentative="1">
      <w:start w:val="1"/>
      <w:numFmt w:val="bullet"/>
      <w:lvlText w:val=""/>
      <w:lvlJc w:val="left"/>
      <w:pPr>
        <w:tabs>
          <w:tab w:val="num" w:pos="3927"/>
        </w:tabs>
        <w:ind w:left="3927" w:hanging="420"/>
      </w:pPr>
      <w:rPr>
        <w:rFonts w:ascii="Wingdings" w:hAnsi="Wingdings" w:hint="default"/>
      </w:rPr>
    </w:lvl>
    <w:lvl w:ilvl="8" w:tplc="0409001B" w:tentative="1">
      <w:start w:val="1"/>
      <w:numFmt w:val="bullet"/>
      <w:lvlText w:val=""/>
      <w:lvlJc w:val="left"/>
      <w:pPr>
        <w:tabs>
          <w:tab w:val="num" w:pos="4347"/>
        </w:tabs>
        <w:ind w:left="4347" w:hanging="420"/>
      </w:pPr>
      <w:rPr>
        <w:rFonts w:ascii="Wingdings" w:hAnsi="Wingdings" w:hint="default"/>
      </w:rPr>
    </w:lvl>
  </w:abstractNum>
  <w:abstractNum w:abstractNumId="58">
    <w:nsid w:val="7019392E"/>
    <w:multiLevelType w:val="hybridMultilevel"/>
    <w:tmpl w:val="B560BB56"/>
    <w:lvl w:ilvl="0" w:tplc="4AB67BEE">
      <w:start w:val="1"/>
      <w:numFmt w:val="bullet"/>
      <w:lvlText w:val=""/>
      <w:lvlJc w:val="left"/>
      <w:pPr>
        <w:tabs>
          <w:tab w:val="num" w:pos="720"/>
        </w:tabs>
        <w:ind w:left="720" w:hanging="360"/>
      </w:pPr>
      <w:rPr>
        <w:rFonts w:ascii="Wingdings" w:hAnsi="Wingdings" w:hint="default"/>
      </w:rPr>
    </w:lvl>
    <w:lvl w:ilvl="1" w:tplc="0409000B" w:tentative="1">
      <w:start w:val="1"/>
      <w:numFmt w:val="lowerLetter"/>
      <w:lvlText w:val="%2."/>
      <w:lvlJc w:val="left"/>
      <w:pPr>
        <w:tabs>
          <w:tab w:val="num" w:pos="1440"/>
        </w:tabs>
        <w:ind w:left="1440" w:hanging="360"/>
      </w:pPr>
    </w:lvl>
    <w:lvl w:ilvl="2" w:tplc="0409000D"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B" w:tentative="1">
      <w:start w:val="1"/>
      <w:numFmt w:val="lowerLetter"/>
      <w:lvlText w:val="%5."/>
      <w:lvlJc w:val="left"/>
      <w:pPr>
        <w:tabs>
          <w:tab w:val="num" w:pos="3600"/>
        </w:tabs>
        <w:ind w:left="3600" w:hanging="360"/>
      </w:pPr>
    </w:lvl>
    <w:lvl w:ilvl="5" w:tplc="0409000D"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B" w:tentative="1">
      <w:start w:val="1"/>
      <w:numFmt w:val="lowerLetter"/>
      <w:lvlText w:val="%8."/>
      <w:lvlJc w:val="left"/>
      <w:pPr>
        <w:tabs>
          <w:tab w:val="num" w:pos="5760"/>
        </w:tabs>
        <w:ind w:left="5760" w:hanging="360"/>
      </w:pPr>
    </w:lvl>
    <w:lvl w:ilvl="8" w:tplc="0409000D" w:tentative="1">
      <w:start w:val="1"/>
      <w:numFmt w:val="lowerRoman"/>
      <w:lvlText w:val="%9."/>
      <w:lvlJc w:val="right"/>
      <w:pPr>
        <w:tabs>
          <w:tab w:val="num" w:pos="6480"/>
        </w:tabs>
        <w:ind w:left="6480" w:hanging="180"/>
      </w:pPr>
    </w:lvl>
  </w:abstractNum>
  <w:abstractNum w:abstractNumId="59">
    <w:nsid w:val="71726C64"/>
    <w:multiLevelType w:val="hybridMultilevel"/>
    <w:tmpl w:val="08E80A8A"/>
    <w:lvl w:ilvl="0" w:tplc="E15875AC">
      <w:start w:val="1"/>
      <w:numFmt w:val="bullet"/>
      <w:lvlText w:val=""/>
      <w:lvlJc w:val="left"/>
      <w:pPr>
        <w:tabs>
          <w:tab w:val="num" w:pos="360"/>
        </w:tabs>
        <w:ind w:left="360" w:hanging="360"/>
      </w:pPr>
      <w:rPr>
        <w:rFonts w:ascii="Symbol" w:hAnsi="Symbol" w:cs="Arial" w:hint="default"/>
        <w:sz w:val="26"/>
      </w:rPr>
    </w:lvl>
    <w:lvl w:ilvl="1" w:tplc="6AA01A2C" w:tentative="1">
      <w:start w:val="1"/>
      <w:numFmt w:val="bullet"/>
      <w:lvlText w:val="o"/>
      <w:lvlJc w:val="left"/>
      <w:pPr>
        <w:tabs>
          <w:tab w:val="num" w:pos="360"/>
        </w:tabs>
        <w:ind w:left="360" w:hanging="360"/>
      </w:pPr>
      <w:rPr>
        <w:rFonts w:ascii="Courier New" w:hAnsi="Courier New" w:cs="Courier New" w:hint="default"/>
      </w:rPr>
    </w:lvl>
    <w:lvl w:ilvl="2" w:tplc="0409001B" w:tentative="1">
      <w:start w:val="1"/>
      <w:numFmt w:val="bullet"/>
      <w:lvlText w:val=""/>
      <w:lvlJc w:val="left"/>
      <w:pPr>
        <w:tabs>
          <w:tab w:val="num" w:pos="1080"/>
        </w:tabs>
        <w:ind w:left="1080" w:hanging="360"/>
      </w:pPr>
      <w:rPr>
        <w:rFonts w:ascii="Wingdings" w:hAnsi="Wingdings" w:hint="default"/>
      </w:rPr>
    </w:lvl>
    <w:lvl w:ilvl="3" w:tplc="0409000F" w:tentative="1">
      <w:start w:val="1"/>
      <w:numFmt w:val="bullet"/>
      <w:lvlText w:val=""/>
      <w:lvlJc w:val="left"/>
      <w:pPr>
        <w:tabs>
          <w:tab w:val="num" w:pos="1800"/>
        </w:tabs>
        <w:ind w:left="1800" w:hanging="360"/>
      </w:pPr>
      <w:rPr>
        <w:rFonts w:ascii="Symbol" w:hAnsi="Symbol" w:hint="default"/>
      </w:rPr>
    </w:lvl>
    <w:lvl w:ilvl="4" w:tplc="04090019" w:tentative="1">
      <w:start w:val="1"/>
      <w:numFmt w:val="bullet"/>
      <w:lvlText w:val="o"/>
      <w:lvlJc w:val="left"/>
      <w:pPr>
        <w:tabs>
          <w:tab w:val="num" w:pos="2520"/>
        </w:tabs>
        <w:ind w:left="2520" w:hanging="360"/>
      </w:pPr>
      <w:rPr>
        <w:rFonts w:ascii="Courier New" w:hAnsi="Courier New" w:cs="Courier New" w:hint="default"/>
      </w:rPr>
    </w:lvl>
    <w:lvl w:ilvl="5" w:tplc="0409001B" w:tentative="1">
      <w:start w:val="1"/>
      <w:numFmt w:val="bullet"/>
      <w:lvlText w:val=""/>
      <w:lvlJc w:val="left"/>
      <w:pPr>
        <w:tabs>
          <w:tab w:val="num" w:pos="3240"/>
        </w:tabs>
        <w:ind w:left="3240" w:hanging="360"/>
      </w:pPr>
      <w:rPr>
        <w:rFonts w:ascii="Wingdings" w:hAnsi="Wingdings" w:hint="default"/>
      </w:rPr>
    </w:lvl>
    <w:lvl w:ilvl="6" w:tplc="0409000F" w:tentative="1">
      <w:start w:val="1"/>
      <w:numFmt w:val="bullet"/>
      <w:lvlText w:val=""/>
      <w:lvlJc w:val="left"/>
      <w:pPr>
        <w:tabs>
          <w:tab w:val="num" w:pos="3960"/>
        </w:tabs>
        <w:ind w:left="3960" w:hanging="360"/>
      </w:pPr>
      <w:rPr>
        <w:rFonts w:ascii="Symbol" w:hAnsi="Symbol" w:hint="default"/>
      </w:rPr>
    </w:lvl>
    <w:lvl w:ilvl="7" w:tplc="04090019" w:tentative="1">
      <w:start w:val="1"/>
      <w:numFmt w:val="bullet"/>
      <w:lvlText w:val="o"/>
      <w:lvlJc w:val="left"/>
      <w:pPr>
        <w:tabs>
          <w:tab w:val="num" w:pos="4680"/>
        </w:tabs>
        <w:ind w:left="4680" w:hanging="360"/>
      </w:pPr>
      <w:rPr>
        <w:rFonts w:ascii="Courier New" w:hAnsi="Courier New" w:cs="Courier New" w:hint="default"/>
      </w:rPr>
    </w:lvl>
    <w:lvl w:ilvl="8" w:tplc="0409001B" w:tentative="1">
      <w:start w:val="1"/>
      <w:numFmt w:val="bullet"/>
      <w:lvlText w:val=""/>
      <w:lvlJc w:val="left"/>
      <w:pPr>
        <w:tabs>
          <w:tab w:val="num" w:pos="5400"/>
        </w:tabs>
        <w:ind w:left="5400" w:hanging="360"/>
      </w:pPr>
      <w:rPr>
        <w:rFonts w:ascii="Wingdings" w:hAnsi="Wingdings" w:hint="default"/>
      </w:rPr>
    </w:lvl>
  </w:abstractNum>
  <w:abstractNum w:abstractNumId="60">
    <w:nsid w:val="7257394F"/>
    <w:multiLevelType w:val="hybridMultilevel"/>
    <w:tmpl w:val="A92C825A"/>
    <w:lvl w:ilvl="0" w:tplc="B1524144">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1">
    <w:nsid w:val="758A0A6E"/>
    <w:multiLevelType w:val="hybridMultilevel"/>
    <w:tmpl w:val="ACCCBA78"/>
    <w:lvl w:ilvl="0" w:tplc="0409000B">
      <w:start w:val="1"/>
      <w:numFmt w:val="decimal"/>
      <w:lvlRestart w:val="0"/>
      <w:lvlText w:val="7.%1."/>
      <w:lvlJc w:val="left"/>
      <w:pPr>
        <w:tabs>
          <w:tab w:val="num" w:pos="680"/>
        </w:tabs>
        <w:ind w:left="0" w:firstLine="0"/>
      </w:pPr>
      <w:rPr>
        <w:rFonts w:ascii="Arial" w:hAnsi="Arial" w:cs="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2">
    <w:nsid w:val="79D11FE8"/>
    <w:multiLevelType w:val="hybridMultilevel"/>
    <w:tmpl w:val="EBDE4E1C"/>
    <w:lvl w:ilvl="0" w:tplc="FFFFFFFF">
      <w:start w:val="1"/>
      <w:numFmt w:val="decimal"/>
      <w:lvlRestart w:val="0"/>
      <w:lvlText w:val="31.%1."/>
      <w:lvlJc w:val="left"/>
      <w:pPr>
        <w:tabs>
          <w:tab w:val="num" w:pos="680"/>
        </w:tabs>
        <w:ind w:left="0" w:firstLine="0"/>
      </w:pPr>
      <w:rPr>
        <w:rFonts w:ascii="Arial" w:hAnsi="Arial" w:cs="Arial" w:hint="default"/>
        <w:sz w:val="20"/>
        <w:szCs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3">
    <w:nsid w:val="79DE1A8F"/>
    <w:multiLevelType w:val="hybridMultilevel"/>
    <w:tmpl w:val="C9460A80"/>
    <w:lvl w:ilvl="0" w:tplc="0409000B">
      <w:start w:val="1"/>
      <w:numFmt w:val="decimal"/>
      <w:lvlRestart w:val="0"/>
      <w:lvlText w:val="20.%1."/>
      <w:lvlJc w:val="left"/>
      <w:pPr>
        <w:tabs>
          <w:tab w:val="num" w:pos="680"/>
        </w:tabs>
        <w:ind w:left="0" w:firstLine="0"/>
      </w:pPr>
      <w:rPr>
        <w:rFonts w:ascii="Arial" w:hAnsi="Arial" w:hint="default"/>
        <w:b w:val="0"/>
        <w:bCs/>
        <w:sz w:val="20"/>
        <w:szCs w:val="20"/>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num w:numId="1">
    <w:abstractNumId w:val="42"/>
  </w:num>
  <w:num w:numId="2">
    <w:abstractNumId w:val="4"/>
  </w:num>
  <w:num w:numId="3">
    <w:abstractNumId w:val="13"/>
  </w:num>
  <w:num w:numId="4">
    <w:abstractNumId w:val="15"/>
  </w:num>
  <w:num w:numId="5">
    <w:abstractNumId w:val="31"/>
  </w:num>
  <w:num w:numId="6">
    <w:abstractNumId w:val="18"/>
  </w:num>
  <w:num w:numId="7">
    <w:abstractNumId w:val="34"/>
  </w:num>
  <w:num w:numId="8">
    <w:abstractNumId w:val="49"/>
  </w:num>
  <w:num w:numId="9">
    <w:abstractNumId w:val="59"/>
  </w:num>
  <w:num w:numId="10">
    <w:abstractNumId w:val="36"/>
  </w:num>
  <w:num w:numId="11">
    <w:abstractNumId w:val="55"/>
  </w:num>
  <w:num w:numId="12">
    <w:abstractNumId w:val="45"/>
  </w:num>
  <w:num w:numId="13">
    <w:abstractNumId w:val="48"/>
  </w:num>
  <w:num w:numId="14">
    <w:abstractNumId w:val="63"/>
  </w:num>
  <w:num w:numId="15">
    <w:abstractNumId w:val="11"/>
  </w:num>
  <w:num w:numId="16">
    <w:abstractNumId w:val="6"/>
  </w:num>
  <w:num w:numId="17">
    <w:abstractNumId w:val="8"/>
  </w:num>
  <w:num w:numId="18">
    <w:abstractNumId w:val="24"/>
  </w:num>
  <w:num w:numId="19">
    <w:abstractNumId w:val="14"/>
  </w:num>
  <w:num w:numId="20">
    <w:abstractNumId w:val="40"/>
  </w:num>
  <w:num w:numId="21">
    <w:abstractNumId w:val="39"/>
  </w:num>
  <w:num w:numId="22">
    <w:abstractNumId w:val="41"/>
  </w:num>
  <w:num w:numId="23">
    <w:abstractNumId w:val="44"/>
  </w:num>
  <w:num w:numId="24">
    <w:abstractNumId w:val="35"/>
  </w:num>
  <w:num w:numId="25">
    <w:abstractNumId w:val="57"/>
  </w:num>
  <w:num w:numId="26">
    <w:abstractNumId w:val="37"/>
  </w:num>
  <w:num w:numId="27">
    <w:abstractNumId w:val="62"/>
  </w:num>
  <w:num w:numId="28">
    <w:abstractNumId w:val="61"/>
  </w:num>
  <w:num w:numId="29">
    <w:abstractNumId w:val="5"/>
  </w:num>
  <w:num w:numId="30">
    <w:abstractNumId w:val="23"/>
  </w:num>
  <w:num w:numId="31">
    <w:abstractNumId w:val="47"/>
  </w:num>
  <w:num w:numId="32">
    <w:abstractNumId w:val="1"/>
  </w:num>
  <w:num w:numId="33">
    <w:abstractNumId w:val="2"/>
  </w:num>
  <w:num w:numId="34">
    <w:abstractNumId w:val="3"/>
  </w:num>
  <w:num w:numId="35">
    <w:abstractNumId w:val="33"/>
  </w:num>
  <w:num w:numId="36">
    <w:abstractNumId w:val="52"/>
  </w:num>
  <w:num w:numId="37">
    <w:abstractNumId w:val="16"/>
  </w:num>
  <w:num w:numId="38">
    <w:abstractNumId w:val="56"/>
  </w:num>
  <w:num w:numId="39">
    <w:abstractNumId w:val="53"/>
  </w:num>
  <w:num w:numId="40">
    <w:abstractNumId w:val="9"/>
  </w:num>
  <w:num w:numId="41">
    <w:abstractNumId w:val="29"/>
  </w:num>
  <w:num w:numId="42">
    <w:abstractNumId w:val="46"/>
  </w:num>
  <w:num w:numId="43">
    <w:abstractNumId w:val="20"/>
  </w:num>
  <w:num w:numId="44">
    <w:abstractNumId w:val="22"/>
  </w:num>
  <w:num w:numId="45">
    <w:abstractNumId w:val="38"/>
  </w:num>
  <w:num w:numId="46">
    <w:abstractNumId w:val="43"/>
  </w:num>
  <w:num w:numId="47">
    <w:abstractNumId w:val="0"/>
  </w:num>
  <w:num w:numId="48">
    <w:abstractNumId w:val="19"/>
  </w:num>
  <w:num w:numId="49">
    <w:abstractNumId w:val="60"/>
  </w:num>
  <w:num w:numId="50">
    <w:abstractNumId w:val="32"/>
  </w:num>
  <w:num w:numId="51">
    <w:abstractNumId w:val="51"/>
  </w:num>
  <w:num w:numId="52">
    <w:abstractNumId w:val="58"/>
  </w:num>
  <w:num w:numId="53">
    <w:abstractNumId w:val="10"/>
  </w:num>
  <w:num w:numId="54">
    <w:abstractNumId w:val="27"/>
  </w:num>
  <w:num w:numId="55">
    <w:abstractNumId w:val="28"/>
  </w:num>
  <w:num w:numId="56">
    <w:abstractNumId w:val="54"/>
  </w:num>
  <w:num w:numId="57">
    <w:abstractNumId w:val="7"/>
  </w:num>
  <w:num w:numId="58">
    <w:abstractNumId w:val="25"/>
  </w:num>
  <w:num w:numId="59">
    <w:abstractNumId w:val="30"/>
  </w:num>
  <w:num w:numId="60">
    <w:abstractNumId w:val="26"/>
  </w:num>
  <w:num w:numId="61">
    <w:abstractNumId w:val="21"/>
  </w:num>
  <w:num w:numId="62">
    <w:abstractNumId w:val="17"/>
  </w:num>
  <w:num w:numId="63">
    <w:abstractNumId w:val="13"/>
  </w:num>
  <w:num w:numId="64">
    <w:abstractNumId w:val="13"/>
  </w:num>
  <w:num w:numId="65">
    <w:abstractNumId w:val="50"/>
  </w:num>
  <w:num w:numId="66">
    <w:abstractNumId w:val="12"/>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evenAndOddHeaders/>
  <w:displayHorizontalDrawingGridEvery w:val="0"/>
  <w:displayVerticalDrawingGridEvery w:val="0"/>
  <w:doNotUseMarginsForDrawingGridOrigin/>
  <w:noPunctuationKerning/>
  <w:characterSpacingControl w:val="doNotCompress"/>
  <w:hdrShapeDefaults>
    <o:shapedefaults v:ext="edit" spidmax="2150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3B83"/>
    <w:rsid w:val="00007A7B"/>
    <w:rsid w:val="00020C40"/>
    <w:rsid w:val="00023D7E"/>
    <w:rsid w:val="00024343"/>
    <w:rsid w:val="00024857"/>
    <w:rsid w:val="00026F22"/>
    <w:rsid w:val="0003053D"/>
    <w:rsid w:val="00033E8A"/>
    <w:rsid w:val="00034AA5"/>
    <w:rsid w:val="00043A25"/>
    <w:rsid w:val="0005047E"/>
    <w:rsid w:val="00052915"/>
    <w:rsid w:val="00060594"/>
    <w:rsid w:val="00064129"/>
    <w:rsid w:val="00071180"/>
    <w:rsid w:val="00074276"/>
    <w:rsid w:val="00085EE6"/>
    <w:rsid w:val="00086954"/>
    <w:rsid w:val="000A0A76"/>
    <w:rsid w:val="000B01FE"/>
    <w:rsid w:val="000B2E2A"/>
    <w:rsid w:val="000B3819"/>
    <w:rsid w:val="000B4DFA"/>
    <w:rsid w:val="000B6648"/>
    <w:rsid w:val="000C1ACD"/>
    <w:rsid w:val="000C530C"/>
    <w:rsid w:val="000D0A85"/>
    <w:rsid w:val="000E0CD9"/>
    <w:rsid w:val="000E3773"/>
    <w:rsid w:val="000E3B25"/>
    <w:rsid w:val="000E3BB3"/>
    <w:rsid w:val="000E6D43"/>
    <w:rsid w:val="000F4438"/>
    <w:rsid w:val="000F5E56"/>
    <w:rsid w:val="001004B0"/>
    <w:rsid w:val="001014AD"/>
    <w:rsid w:val="00101791"/>
    <w:rsid w:val="00101E9A"/>
    <w:rsid w:val="00106F0E"/>
    <w:rsid w:val="0011201A"/>
    <w:rsid w:val="001144DA"/>
    <w:rsid w:val="0012203B"/>
    <w:rsid w:val="0012598D"/>
    <w:rsid w:val="00133F6F"/>
    <w:rsid w:val="0013547A"/>
    <w:rsid w:val="001362EE"/>
    <w:rsid w:val="001374FF"/>
    <w:rsid w:val="00137DF2"/>
    <w:rsid w:val="00140657"/>
    <w:rsid w:val="00140981"/>
    <w:rsid w:val="00141F1D"/>
    <w:rsid w:val="001508AD"/>
    <w:rsid w:val="00152CEA"/>
    <w:rsid w:val="001643BF"/>
    <w:rsid w:val="00177006"/>
    <w:rsid w:val="0018008D"/>
    <w:rsid w:val="001832A6"/>
    <w:rsid w:val="001846E5"/>
    <w:rsid w:val="0019145B"/>
    <w:rsid w:val="001917DB"/>
    <w:rsid w:val="001A7F7B"/>
    <w:rsid w:val="001B15D7"/>
    <w:rsid w:val="001B1F22"/>
    <w:rsid w:val="001B21E4"/>
    <w:rsid w:val="001B6350"/>
    <w:rsid w:val="001C0BD9"/>
    <w:rsid w:val="001C1C98"/>
    <w:rsid w:val="001D379B"/>
    <w:rsid w:val="001D4249"/>
    <w:rsid w:val="001D7AC6"/>
    <w:rsid w:val="001E3754"/>
    <w:rsid w:val="001E5683"/>
    <w:rsid w:val="001E7E39"/>
    <w:rsid w:val="001F01D6"/>
    <w:rsid w:val="001F5E74"/>
    <w:rsid w:val="001F769A"/>
    <w:rsid w:val="002011AF"/>
    <w:rsid w:val="00201D0A"/>
    <w:rsid w:val="002058AB"/>
    <w:rsid w:val="00206A37"/>
    <w:rsid w:val="00207E3A"/>
    <w:rsid w:val="00214E52"/>
    <w:rsid w:val="002166E8"/>
    <w:rsid w:val="002208BF"/>
    <w:rsid w:val="00221AD8"/>
    <w:rsid w:val="00230589"/>
    <w:rsid w:val="00230914"/>
    <w:rsid w:val="002314A9"/>
    <w:rsid w:val="0023208C"/>
    <w:rsid w:val="002370D4"/>
    <w:rsid w:val="00237451"/>
    <w:rsid w:val="002411B6"/>
    <w:rsid w:val="002434B1"/>
    <w:rsid w:val="00245B46"/>
    <w:rsid w:val="00245FCA"/>
    <w:rsid w:val="00247004"/>
    <w:rsid w:val="0025793F"/>
    <w:rsid w:val="00257F0A"/>
    <w:rsid w:val="002625D1"/>
    <w:rsid w:val="002634C4"/>
    <w:rsid w:val="002646D8"/>
    <w:rsid w:val="002673B1"/>
    <w:rsid w:val="002709AA"/>
    <w:rsid w:val="0027423A"/>
    <w:rsid w:val="00281871"/>
    <w:rsid w:val="0028189C"/>
    <w:rsid w:val="002919E0"/>
    <w:rsid w:val="002963D7"/>
    <w:rsid w:val="002A31F5"/>
    <w:rsid w:val="002A3FD8"/>
    <w:rsid w:val="002A5635"/>
    <w:rsid w:val="002B303B"/>
    <w:rsid w:val="002B4187"/>
    <w:rsid w:val="002B6436"/>
    <w:rsid w:val="002C067E"/>
    <w:rsid w:val="002C32D1"/>
    <w:rsid w:val="002C57B2"/>
    <w:rsid w:val="002C6A72"/>
    <w:rsid w:val="002E023E"/>
    <w:rsid w:val="002E0F47"/>
    <w:rsid w:val="002E3119"/>
    <w:rsid w:val="002E7DC3"/>
    <w:rsid w:val="002F18AB"/>
    <w:rsid w:val="002F1F1A"/>
    <w:rsid w:val="002F4E68"/>
    <w:rsid w:val="002F5DF4"/>
    <w:rsid w:val="002F6F11"/>
    <w:rsid w:val="003078EE"/>
    <w:rsid w:val="0031376C"/>
    <w:rsid w:val="0031604A"/>
    <w:rsid w:val="00321D82"/>
    <w:rsid w:val="003221FD"/>
    <w:rsid w:val="00324A02"/>
    <w:rsid w:val="00325C26"/>
    <w:rsid w:val="00335765"/>
    <w:rsid w:val="00346C65"/>
    <w:rsid w:val="00347DCE"/>
    <w:rsid w:val="00354647"/>
    <w:rsid w:val="003619B7"/>
    <w:rsid w:val="00364FA7"/>
    <w:rsid w:val="00367C21"/>
    <w:rsid w:val="00375085"/>
    <w:rsid w:val="003752B5"/>
    <w:rsid w:val="00377273"/>
    <w:rsid w:val="00382C3E"/>
    <w:rsid w:val="00383888"/>
    <w:rsid w:val="003845C1"/>
    <w:rsid w:val="00387287"/>
    <w:rsid w:val="00387962"/>
    <w:rsid w:val="003913C9"/>
    <w:rsid w:val="00391FE9"/>
    <w:rsid w:val="003A0C0D"/>
    <w:rsid w:val="003A4B0F"/>
    <w:rsid w:val="003B21E7"/>
    <w:rsid w:val="003B22A3"/>
    <w:rsid w:val="003B40BB"/>
    <w:rsid w:val="003C1AB8"/>
    <w:rsid w:val="003C43BF"/>
    <w:rsid w:val="003C4D1D"/>
    <w:rsid w:val="003C4E55"/>
    <w:rsid w:val="003C6E3F"/>
    <w:rsid w:val="003C7900"/>
    <w:rsid w:val="003C7CC7"/>
    <w:rsid w:val="003E09D4"/>
    <w:rsid w:val="003E48F1"/>
    <w:rsid w:val="003E6386"/>
    <w:rsid w:val="003E638B"/>
    <w:rsid w:val="003F16E0"/>
    <w:rsid w:val="003F1B28"/>
    <w:rsid w:val="00400B23"/>
    <w:rsid w:val="004046B6"/>
    <w:rsid w:val="00406FE5"/>
    <w:rsid w:val="004103E8"/>
    <w:rsid w:val="004132B6"/>
    <w:rsid w:val="00413FD5"/>
    <w:rsid w:val="00420069"/>
    <w:rsid w:val="00423E3E"/>
    <w:rsid w:val="004256A0"/>
    <w:rsid w:val="00425E19"/>
    <w:rsid w:val="00427AF4"/>
    <w:rsid w:val="004331E0"/>
    <w:rsid w:val="004341A3"/>
    <w:rsid w:val="00436256"/>
    <w:rsid w:val="00440952"/>
    <w:rsid w:val="00447168"/>
    <w:rsid w:val="004507D1"/>
    <w:rsid w:val="00450C3A"/>
    <w:rsid w:val="0045231F"/>
    <w:rsid w:val="00453111"/>
    <w:rsid w:val="00453803"/>
    <w:rsid w:val="00460232"/>
    <w:rsid w:val="004608A0"/>
    <w:rsid w:val="004633C0"/>
    <w:rsid w:val="004647DA"/>
    <w:rsid w:val="0046626C"/>
    <w:rsid w:val="0046794F"/>
    <w:rsid w:val="00472C69"/>
    <w:rsid w:val="00475FCB"/>
    <w:rsid w:val="00477808"/>
    <w:rsid w:val="00477D6B"/>
    <w:rsid w:val="0048384D"/>
    <w:rsid w:val="0048420D"/>
    <w:rsid w:val="00491731"/>
    <w:rsid w:val="00496C66"/>
    <w:rsid w:val="004A1E70"/>
    <w:rsid w:val="004A4009"/>
    <w:rsid w:val="004A44C4"/>
    <w:rsid w:val="004A655A"/>
    <w:rsid w:val="004A6C37"/>
    <w:rsid w:val="004C17A7"/>
    <w:rsid w:val="004C4D54"/>
    <w:rsid w:val="004D2C03"/>
    <w:rsid w:val="004D630F"/>
    <w:rsid w:val="004E325E"/>
    <w:rsid w:val="004E3B39"/>
    <w:rsid w:val="004E6B21"/>
    <w:rsid w:val="004F1F84"/>
    <w:rsid w:val="004F32F6"/>
    <w:rsid w:val="004F371F"/>
    <w:rsid w:val="004F4F85"/>
    <w:rsid w:val="00502F43"/>
    <w:rsid w:val="00506923"/>
    <w:rsid w:val="00516B69"/>
    <w:rsid w:val="005332F0"/>
    <w:rsid w:val="00542138"/>
    <w:rsid w:val="00542C2B"/>
    <w:rsid w:val="00544042"/>
    <w:rsid w:val="0054408D"/>
    <w:rsid w:val="00546AD7"/>
    <w:rsid w:val="0055013B"/>
    <w:rsid w:val="00551FDA"/>
    <w:rsid w:val="005614FF"/>
    <w:rsid w:val="005621B3"/>
    <w:rsid w:val="0056454F"/>
    <w:rsid w:val="005700FC"/>
    <w:rsid w:val="00571B99"/>
    <w:rsid w:val="005731F4"/>
    <w:rsid w:val="00573458"/>
    <w:rsid w:val="005742FF"/>
    <w:rsid w:val="0057647D"/>
    <w:rsid w:val="00582C8D"/>
    <w:rsid w:val="00583A1C"/>
    <w:rsid w:val="00585ED3"/>
    <w:rsid w:val="0059265D"/>
    <w:rsid w:val="005A3389"/>
    <w:rsid w:val="005A3415"/>
    <w:rsid w:val="005A3E11"/>
    <w:rsid w:val="005B1161"/>
    <w:rsid w:val="005B2EF8"/>
    <w:rsid w:val="005B4A50"/>
    <w:rsid w:val="005B4CCD"/>
    <w:rsid w:val="005B6BF0"/>
    <w:rsid w:val="005C037B"/>
    <w:rsid w:val="005C32FC"/>
    <w:rsid w:val="005C62E7"/>
    <w:rsid w:val="005C7451"/>
    <w:rsid w:val="005D4DD9"/>
    <w:rsid w:val="005E0266"/>
    <w:rsid w:val="005E581D"/>
    <w:rsid w:val="005E6A7F"/>
    <w:rsid w:val="005F75EA"/>
    <w:rsid w:val="006005F5"/>
    <w:rsid w:val="00602A7C"/>
    <w:rsid w:val="00605827"/>
    <w:rsid w:val="00616858"/>
    <w:rsid w:val="0062198E"/>
    <w:rsid w:val="006265DC"/>
    <w:rsid w:val="00626827"/>
    <w:rsid w:val="0063482E"/>
    <w:rsid w:val="0063742B"/>
    <w:rsid w:val="0064126A"/>
    <w:rsid w:val="006418AD"/>
    <w:rsid w:val="00643356"/>
    <w:rsid w:val="006629DE"/>
    <w:rsid w:val="006658D1"/>
    <w:rsid w:val="00665F15"/>
    <w:rsid w:val="0067186E"/>
    <w:rsid w:val="0067200B"/>
    <w:rsid w:val="00675021"/>
    <w:rsid w:val="0068453F"/>
    <w:rsid w:val="00685593"/>
    <w:rsid w:val="00691F6D"/>
    <w:rsid w:val="006951B9"/>
    <w:rsid w:val="00695C76"/>
    <w:rsid w:val="006A06C6"/>
    <w:rsid w:val="006A15F5"/>
    <w:rsid w:val="006A3205"/>
    <w:rsid w:val="006B315B"/>
    <w:rsid w:val="006B3639"/>
    <w:rsid w:val="006B4103"/>
    <w:rsid w:val="006C1A99"/>
    <w:rsid w:val="006C1CA3"/>
    <w:rsid w:val="006C6130"/>
    <w:rsid w:val="006D30D1"/>
    <w:rsid w:val="006D3D8D"/>
    <w:rsid w:val="006D4AE3"/>
    <w:rsid w:val="006D787E"/>
    <w:rsid w:val="006D7DA6"/>
    <w:rsid w:val="006E3E3C"/>
    <w:rsid w:val="006E6899"/>
    <w:rsid w:val="006E7E1C"/>
    <w:rsid w:val="006F0D08"/>
    <w:rsid w:val="006F3701"/>
    <w:rsid w:val="006F48C7"/>
    <w:rsid w:val="006F7F41"/>
    <w:rsid w:val="0070027D"/>
    <w:rsid w:val="007133AF"/>
    <w:rsid w:val="00713450"/>
    <w:rsid w:val="007176C1"/>
    <w:rsid w:val="007222D6"/>
    <w:rsid w:val="00723CAF"/>
    <w:rsid w:val="00725561"/>
    <w:rsid w:val="00727F43"/>
    <w:rsid w:val="00733234"/>
    <w:rsid w:val="00734B3F"/>
    <w:rsid w:val="00740733"/>
    <w:rsid w:val="00742BFA"/>
    <w:rsid w:val="00744E7E"/>
    <w:rsid w:val="007471DC"/>
    <w:rsid w:val="00751475"/>
    <w:rsid w:val="007531CA"/>
    <w:rsid w:val="007539C2"/>
    <w:rsid w:val="0075512A"/>
    <w:rsid w:val="007648D2"/>
    <w:rsid w:val="00767E14"/>
    <w:rsid w:val="00771A0D"/>
    <w:rsid w:val="00773249"/>
    <w:rsid w:val="00773B9A"/>
    <w:rsid w:val="00773BC0"/>
    <w:rsid w:val="0078621B"/>
    <w:rsid w:val="00791712"/>
    <w:rsid w:val="0079447F"/>
    <w:rsid w:val="00794BE2"/>
    <w:rsid w:val="007A141E"/>
    <w:rsid w:val="007A204E"/>
    <w:rsid w:val="007B2C29"/>
    <w:rsid w:val="007B3364"/>
    <w:rsid w:val="007B71FE"/>
    <w:rsid w:val="007C26A6"/>
    <w:rsid w:val="007C2B91"/>
    <w:rsid w:val="007C656B"/>
    <w:rsid w:val="007D0F57"/>
    <w:rsid w:val="007D4D77"/>
    <w:rsid w:val="007D5833"/>
    <w:rsid w:val="007D5C17"/>
    <w:rsid w:val="007D781E"/>
    <w:rsid w:val="007E1020"/>
    <w:rsid w:val="007E5DCB"/>
    <w:rsid w:val="007E663E"/>
    <w:rsid w:val="007E6EA6"/>
    <w:rsid w:val="007F000F"/>
    <w:rsid w:val="007F1F10"/>
    <w:rsid w:val="008004E5"/>
    <w:rsid w:val="00801AA0"/>
    <w:rsid w:val="0081102C"/>
    <w:rsid w:val="00813EFA"/>
    <w:rsid w:val="00815082"/>
    <w:rsid w:val="0082081C"/>
    <w:rsid w:val="0082777F"/>
    <w:rsid w:val="0083398F"/>
    <w:rsid w:val="00835FED"/>
    <w:rsid w:val="00837AF9"/>
    <w:rsid w:val="00841A6E"/>
    <w:rsid w:val="00842232"/>
    <w:rsid w:val="00845C69"/>
    <w:rsid w:val="00852CE4"/>
    <w:rsid w:val="008541BE"/>
    <w:rsid w:val="00856ED4"/>
    <w:rsid w:val="00857046"/>
    <w:rsid w:val="00857BC5"/>
    <w:rsid w:val="008613B0"/>
    <w:rsid w:val="00867C98"/>
    <w:rsid w:val="00872D10"/>
    <w:rsid w:val="0088394C"/>
    <w:rsid w:val="0088395E"/>
    <w:rsid w:val="00890022"/>
    <w:rsid w:val="008920C1"/>
    <w:rsid w:val="008920E6"/>
    <w:rsid w:val="008921D7"/>
    <w:rsid w:val="008A1F3F"/>
    <w:rsid w:val="008A65E0"/>
    <w:rsid w:val="008B2320"/>
    <w:rsid w:val="008B2CC1"/>
    <w:rsid w:val="008B390C"/>
    <w:rsid w:val="008B5E0C"/>
    <w:rsid w:val="008C23ED"/>
    <w:rsid w:val="008D17F8"/>
    <w:rsid w:val="008D1FC9"/>
    <w:rsid w:val="008D3CF3"/>
    <w:rsid w:val="008D3D36"/>
    <w:rsid w:val="008D74C7"/>
    <w:rsid w:val="008E618A"/>
    <w:rsid w:val="008E6BD6"/>
    <w:rsid w:val="008F058B"/>
    <w:rsid w:val="008F0D34"/>
    <w:rsid w:val="008F1386"/>
    <w:rsid w:val="008F43DB"/>
    <w:rsid w:val="008F4F69"/>
    <w:rsid w:val="008F691D"/>
    <w:rsid w:val="008F6E77"/>
    <w:rsid w:val="00900936"/>
    <w:rsid w:val="0090731E"/>
    <w:rsid w:val="0091679A"/>
    <w:rsid w:val="009178F8"/>
    <w:rsid w:val="0092033D"/>
    <w:rsid w:val="00927A04"/>
    <w:rsid w:val="0093141F"/>
    <w:rsid w:val="00933883"/>
    <w:rsid w:val="00933BDE"/>
    <w:rsid w:val="0093436F"/>
    <w:rsid w:val="00940D5F"/>
    <w:rsid w:val="00943B3B"/>
    <w:rsid w:val="00945E6F"/>
    <w:rsid w:val="0094681F"/>
    <w:rsid w:val="00952DEE"/>
    <w:rsid w:val="00956F2F"/>
    <w:rsid w:val="00962ADA"/>
    <w:rsid w:val="009665B1"/>
    <w:rsid w:val="00966A22"/>
    <w:rsid w:val="00972AA7"/>
    <w:rsid w:val="00972F03"/>
    <w:rsid w:val="00974578"/>
    <w:rsid w:val="00982C91"/>
    <w:rsid w:val="009848D6"/>
    <w:rsid w:val="009856F9"/>
    <w:rsid w:val="00987E05"/>
    <w:rsid w:val="00987FC7"/>
    <w:rsid w:val="00990DF3"/>
    <w:rsid w:val="00991538"/>
    <w:rsid w:val="009A045F"/>
    <w:rsid w:val="009A0C8B"/>
    <w:rsid w:val="009A6AE8"/>
    <w:rsid w:val="009A71C5"/>
    <w:rsid w:val="009B58F5"/>
    <w:rsid w:val="009B5BD8"/>
    <w:rsid w:val="009B6241"/>
    <w:rsid w:val="009C183C"/>
    <w:rsid w:val="009C5984"/>
    <w:rsid w:val="009D072E"/>
    <w:rsid w:val="009E2FC0"/>
    <w:rsid w:val="009E7719"/>
    <w:rsid w:val="009F2448"/>
    <w:rsid w:val="009F366A"/>
    <w:rsid w:val="009F58E5"/>
    <w:rsid w:val="00A009AE"/>
    <w:rsid w:val="00A012F4"/>
    <w:rsid w:val="00A1004B"/>
    <w:rsid w:val="00A117FF"/>
    <w:rsid w:val="00A145C9"/>
    <w:rsid w:val="00A16FC0"/>
    <w:rsid w:val="00A17952"/>
    <w:rsid w:val="00A275A0"/>
    <w:rsid w:val="00A279D0"/>
    <w:rsid w:val="00A32C9E"/>
    <w:rsid w:val="00A40666"/>
    <w:rsid w:val="00A4383B"/>
    <w:rsid w:val="00A4707B"/>
    <w:rsid w:val="00A50989"/>
    <w:rsid w:val="00A55CAD"/>
    <w:rsid w:val="00A57FA9"/>
    <w:rsid w:val="00A602DB"/>
    <w:rsid w:val="00A605D6"/>
    <w:rsid w:val="00A633B6"/>
    <w:rsid w:val="00A6760A"/>
    <w:rsid w:val="00A7346E"/>
    <w:rsid w:val="00A74F33"/>
    <w:rsid w:val="00A80F8D"/>
    <w:rsid w:val="00A82B27"/>
    <w:rsid w:val="00A83AE4"/>
    <w:rsid w:val="00A83B83"/>
    <w:rsid w:val="00A84EF1"/>
    <w:rsid w:val="00A91E88"/>
    <w:rsid w:val="00AA3230"/>
    <w:rsid w:val="00AA72DC"/>
    <w:rsid w:val="00AB0A03"/>
    <w:rsid w:val="00AB613D"/>
    <w:rsid w:val="00AC049F"/>
    <w:rsid w:val="00AC3895"/>
    <w:rsid w:val="00AC5C4F"/>
    <w:rsid w:val="00AD2C50"/>
    <w:rsid w:val="00AD3357"/>
    <w:rsid w:val="00AD4865"/>
    <w:rsid w:val="00AD7C1C"/>
    <w:rsid w:val="00AE07AF"/>
    <w:rsid w:val="00AE2EB2"/>
    <w:rsid w:val="00AE7D43"/>
    <w:rsid w:val="00AF282A"/>
    <w:rsid w:val="00B16400"/>
    <w:rsid w:val="00B1649B"/>
    <w:rsid w:val="00B22442"/>
    <w:rsid w:val="00B258CE"/>
    <w:rsid w:val="00B27EBC"/>
    <w:rsid w:val="00B37E57"/>
    <w:rsid w:val="00B414C7"/>
    <w:rsid w:val="00B41953"/>
    <w:rsid w:val="00B47699"/>
    <w:rsid w:val="00B52FA1"/>
    <w:rsid w:val="00B53D87"/>
    <w:rsid w:val="00B55718"/>
    <w:rsid w:val="00B57FA6"/>
    <w:rsid w:val="00B65A0A"/>
    <w:rsid w:val="00B67A9E"/>
    <w:rsid w:val="00B72D36"/>
    <w:rsid w:val="00B749A9"/>
    <w:rsid w:val="00B7673C"/>
    <w:rsid w:val="00B770F6"/>
    <w:rsid w:val="00B77EB2"/>
    <w:rsid w:val="00B877E6"/>
    <w:rsid w:val="00B96879"/>
    <w:rsid w:val="00B97FDA"/>
    <w:rsid w:val="00BA1F50"/>
    <w:rsid w:val="00BA276E"/>
    <w:rsid w:val="00BB35AF"/>
    <w:rsid w:val="00BB591D"/>
    <w:rsid w:val="00BB5D51"/>
    <w:rsid w:val="00BC1471"/>
    <w:rsid w:val="00BC4164"/>
    <w:rsid w:val="00BC555D"/>
    <w:rsid w:val="00BC7369"/>
    <w:rsid w:val="00BD2DCC"/>
    <w:rsid w:val="00BD6413"/>
    <w:rsid w:val="00BE322F"/>
    <w:rsid w:val="00BF3618"/>
    <w:rsid w:val="00BF776A"/>
    <w:rsid w:val="00C018D2"/>
    <w:rsid w:val="00C0559B"/>
    <w:rsid w:val="00C07EA0"/>
    <w:rsid w:val="00C11DD4"/>
    <w:rsid w:val="00C20238"/>
    <w:rsid w:val="00C2064F"/>
    <w:rsid w:val="00C262A7"/>
    <w:rsid w:val="00C268D4"/>
    <w:rsid w:val="00C31618"/>
    <w:rsid w:val="00C36334"/>
    <w:rsid w:val="00C3705E"/>
    <w:rsid w:val="00C40836"/>
    <w:rsid w:val="00C40A11"/>
    <w:rsid w:val="00C41D09"/>
    <w:rsid w:val="00C42F2A"/>
    <w:rsid w:val="00C4585D"/>
    <w:rsid w:val="00C63E35"/>
    <w:rsid w:val="00C665A4"/>
    <w:rsid w:val="00C715FF"/>
    <w:rsid w:val="00C739DE"/>
    <w:rsid w:val="00C73E63"/>
    <w:rsid w:val="00C75E88"/>
    <w:rsid w:val="00C76500"/>
    <w:rsid w:val="00C83A6A"/>
    <w:rsid w:val="00C8709B"/>
    <w:rsid w:val="00C90559"/>
    <w:rsid w:val="00C9166E"/>
    <w:rsid w:val="00C932AD"/>
    <w:rsid w:val="00CA0C7F"/>
    <w:rsid w:val="00CA1FB2"/>
    <w:rsid w:val="00CA2926"/>
    <w:rsid w:val="00CA637E"/>
    <w:rsid w:val="00CA69B4"/>
    <w:rsid w:val="00CB43D7"/>
    <w:rsid w:val="00CC01EF"/>
    <w:rsid w:val="00CC0358"/>
    <w:rsid w:val="00CC65A6"/>
    <w:rsid w:val="00CC6C8F"/>
    <w:rsid w:val="00CD1207"/>
    <w:rsid w:val="00CD41AE"/>
    <w:rsid w:val="00CD5DEC"/>
    <w:rsid w:val="00CD7492"/>
    <w:rsid w:val="00CF1A22"/>
    <w:rsid w:val="00D000E5"/>
    <w:rsid w:val="00D00CFB"/>
    <w:rsid w:val="00D01EF6"/>
    <w:rsid w:val="00D023AB"/>
    <w:rsid w:val="00D04A55"/>
    <w:rsid w:val="00D04D18"/>
    <w:rsid w:val="00D06458"/>
    <w:rsid w:val="00D22678"/>
    <w:rsid w:val="00D41E6A"/>
    <w:rsid w:val="00D4275F"/>
    <w:rsid w:val="00D46726"/>
    <w:rsid w:val="00D5012B"/>
    <w:rsid w:val="00D5027A"/>
    <w:rsid w:val="00D56C7C"/>
    <w:rsid w:val="00D57E7A"/>
    <w:rsid w:val="00D61524"/>
    <w:rsid w:val="00D67091"/>
    <w:rsid w:val="00D71B4D"/>
    <w:rsid w:val="00D724E6"/>
    <w:rsid w:val="00D73B21"/>
    <w:rsid w:val="00D73C7C"/>
    <w:rsid w:val="00D7676D"/>
    <w:rsid w:val="00D80004"/>
    <w:rsid w:val="00D86816"/>
    <w:rsid w:val="00D86F03"/>
    <w:rsid w:val="00D90289"/>
    <w:rsid w:val="00D90FF0"/>
    <w:rsid w:val="00D919EA"/>
    <w:rsid w:val="00D93D55"/>
    <w:rsid w:val="00D94614"/>
    <w:rsid w:val="00DA0B6A"/>
    <w:rsid w:val="00DA2E7F"/>
    <w:rsid w:val="00DB4C60"/>
    <w:rsid w:val="00DB5E03"/>
    <w:rsid w:val="00DB66CC"/>
    <w:rsid w:val="00DC3386"/>
    <w:rsid w:val="00DC488B"/>
    <w:rsid w:val="00DC4C0C"/>
    <w:rsid w:val="00DC75EB"/>
    <w:rsid w:val="00DD37B9"/>
    <w:rsid w:val="00DD42ED"/>
    <w:rsid w:val="00DE476E"/>
    <w:rsid w:val="00DF12A9"/>
    <w:rsid w:val="00DF7F45"/>
    <w:rsid w:val="00E062A1"/>
    <w:rsid w:val="00E10A93"/>
    <w:rsid w:val="00E14C64"/>
    <w:rsid w:val="00E16585"/>
    <w:rsid w:val="00E16852"/>
    <w:rsid w:val="00E17471"/>
    <w:rsid w:val="00E17A54"/>
    <w:rsid w:val="00E32C2C"/>
    <w:rsid w:val="00E3427A"/>
    <w:rsid w:val="00E34913"/>
    <w:rsid w:val="00E43A9A"/>
    <w:rsid w:val="00E444DA"/>
    <w:rsid w:val="00E45C84"/>
    <w:rsid w:val="00E47595"/>
    <w:rsid w:val="00E504E5"/>
    <w:rsid w:val="00E51230"/>
    <w:rsid w:val="00E53CFB"/>
    <w:rsid w:val="00E54CE4"/>
    <w:rsid w:val="00E609EB"/>
    <w:rsid w:val="00E6555D"/>
    <w:rsid w:val="00E6603F"/>
    <w:rsid w:val="00E664F5"/>
    <w:rsid w:val="00E70227"/>
    <w:rsid w:val="00E70262"/>
    <w:rsid w:val="00E74A02"/>
    <w:rsid w:val="00E769AD"/>
    <w:rsid w:val="00E774FD"/>
    <w:rsid w:val="00E81EB4"/>
    <w:rsid w:val="00E92E1F"/>
    <w:rsid w:val="00EA2BF1"/>
    <w:rsid w:val="00EA39DF"/>
    <w:rsid w:val="00EA4CD8"/>
    <w:rsid w:val="00EA528A"/>
    <w:rsid w:val="00EB3413"/>
    <w:rsid w:val="00EB7A3E"/>
    <w:rsid w:val="00EB7E9D"/>
    <w:rsid w:val="00EC046F"/>
    <w:rsid w:val="00EC401A"/>
    <w:rsid w:val="00ED2FFB"/>
    <w:rsid w:val="00ED68AB"/>
    <w:rsid w:val="00EE69B6"/>
    <w:rsid w:val="00EF15FD"/>
    <w:rsid w:val="00EF3DB5"/>
    <w:rsid w:val="00EF530A"/>
    <w:rsid w:val="00EF6622"/>
    <w:rsid w:val="00F03303"/>
    <w:rsid w:val="00F14A90"/>
    <w:rsid w:val="00F21127"/>
    <w:rsid w:val="00F23E8E"/>
    <w:rsid w:val="00F314A9"/>
    <w:rsid w:val="00F31A57"/>
    <w:rsid w:val="00F3280F"/>
    <w:rsid w:val="00F330D1"/>
    <w:rsid w:val="00F45EDF"/>
    <w:rsid w:val="00F50540"/>
    <w:rsid w:val="00F55408"/>
    <w:rsid w:val="00F56BA1"/>
    <w:rsid w:val="00F604EF"/>
    <w:rsid w:val="00F651AE"/>
    <w:rsid w:val="00F652A7"/>
    <w:rsid w:val="00F66152"/>
    <w:rsid w:val="00F73403"/>
    <w:rsid w:val="00F80845"/>
    <w:rsid w:val="00F80A00"/>
    <w:rsid w:val="00F82128"/>
    <w:rsid w:val="00F8358E"/>
    <w:rsid w:val="00F84474"/>
    <w:rsid w:val="00F8499F"/>
    <w:rsid w:val="00F87D66"/>
    <w:rsid w:val="00F91A3A"/>
    <w:rsid w:val="00F921DF"/>
    <w:rsid w:val="00F97297"/>
    <w:rsid w:val="00FA7F1B"/>
    <w:rsid w:val="00FB6F33"/>
    <w:rsid w:val="00FB78C2"/>
    <w:rsid w:val="00FC14E4"/>
    <w:rsid w:val="00FC6442"/>
    <w:rsid w:val="00FD1997"/>
    <w:rsid w:val="00FD20B2"/>
    <w:rsid w:val="00FD23A7"/>
    <w:rsid w:val="00FD3821"/>
    <w:rsid w:val="00FD59D1"/>
    <w:rsid w:val="00FD7B6C"/>
    <w:rsid w:val="00FE0BB4"/>
    <w:rsid w:val="00FE2187"/>
    <w:rsid w:val="00FE239C"/>
    <w:rsid w:val="00FE42C5"/>
    <w:rsid w:val="00FE56AC"/>
    <w:rsid w:val="00FE7D9C"/>
    <w:rsid w:val="00FE7E73"/>
    <w:rsid w:val="00FF362A"/>
    <w:rsid w:val="00FF67A3"/>
    <w:rsid w:val="00FF77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uiPriority="99"/>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link w:val="Heading1Char"/>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link w:val="Heading3Char"/>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paragraph" w:styleId="Heading5">
    <w:name w:val="heading 5"/>
    <w:basedOn w:val="Heading4"/>
    <w:next w:val="Normal"/>
    <w:link w:val="Heading5Char"/>
    <w:qFormat/>
    <w:rsid w:val="007B2C29"/>
    <w:pPr>
      <w:tabs>
        <w:tab w:val="num" w:pos="1008"/>
      </w:tabs>
      <w:spacing w:before="0" w:after="0" w:line="300" w:lineRule="atLeast"/>
      <w:ind w:left="1008" w:hanging="1008"/>
      <w:outlineLvl w:val="4"/>
    </w:pPr>
    <w:rPr>
      <w:rFonts w:eastAsia="Times New Roman"/>
      <w:b/>
      <w:i w:val="0"/>
      <w:caps/>
      <w:color w:val="3E484E"/>
      <w:szCs w:val="26"/>
      <w:lang w:val="en-GB" w:eastAsia="da-DK"/>
    </w:rPr>
  </w:style>
  <w:style w:type="paragraph" w:styleId="Heading6">
    <w:name w:val="heading 6"/>
    <w:basedOn w:val="Heading5"/>
    <w:next w:val="Normal"/>
    <w:link w:val="Heading6Char"/>
    <w:qFormat/>
    <w:rsid w:val="007B2C29"/>
    <w:pPr>
      <w:tabs>
        <w:tab w:val="clear" w:pos="1008"/>
        <w:tab w:val="num" w:pos="1152"/>
      </w:tabs>
      <w:ind w:left="1152" w:hanging="1152"/>
      <w:outlineLvl w:val="5"/>
    </w:pPr>
  </w:style>
  <w:style w:type="paragraph" w:styleId="Heading7">
    <w:name w:val="heading 7"/>
    <w:basedOn w:val="Heading6"/>
    <w:next w:val="Normal"/>
    <w:link w:val="Heading7Char"/>
    <w:qFormat/>
    <w:rsid w:val="007B2C29"/>
    <w:pPr>
      <w:tabs>
        <w:tab w:val="clear" w:pos="1152"/>
        <w:tab w:val="num" w:pos="1296"/>
      </w:tabs>
      <w:ind w:left="1296" w:hanging="1296"/>
      <w:outlineLvl w:val="6"/>
    </w:pPr>
  </w:style>
  <w:style w:type="paragraph" w:styleId="Heading8">
    <w:name w:val="heading 8"/>
    <w:basedOn w:val="Heading7"/>
    <w:next w:val="Normal"/>
    <w:link w:val="Heading8Char"/>
    <w:qFormat/>
    <w:rsid w:val="007B2C29"/>
    <w:pPr>
      <w:tabs>
        <w:tab w:val="clear" w:pos="1296"/>
        <w:tab w:val="num" w:pos="1440"/>
      </w:tabs>
      <w:ind w:left="1440" w:hanging="1440"/>
      <w:outlineLvl w:val="7"/>
    </w:pPr>
  </w:style>
  <w:style w:type="paragraph" w:styleId="Heading9">
    <w:name w:val="heading 9"/>
    <w:basedOn w:val="Heading8"/>
    <w:next w:val="Normal"/>
    <w:link w:val="Heading9Char"/>
    <w:qFormat/>
    <w:rsid w:val="007B2C29"/>
    <w:pPr>
      <w:tabs>
        <w:tab w:val="clear" w:pos="1440"/>
        <w:tab w:val="num" w:pos="1584"/>
      </w:tabs>
      <w:ind w:left="1584" w:hanging="1584"/>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F779C"/>
    <w:rPr>
      <w:rFonts w:ascii="Arial" w:eastAsia="SimSun" w:hAnsi="Arial" w:cs="Arial"/>
      <w:b/>
      <w:bCs/>
      <w:caps/>
      <w:kern w:val="32"/>
      <w:sz w:val="22"/>
      <w:szCs w:val="32"/>
      <w:lang w:val="es-ES" w:eastAsia="zh-CN"/>
    </w:rPr>
  </w:style>
  <w:style w:type="character" w:customStyle="1" w:styleId="Heading2Char">
    <w:name w:val="Heading 2 Char"/>
    <w:link w:val="Heading2"/>
    <w:rsid w:val="007B2C29"/>
    <w:rPr>
      <w:rFonts w:ascii="Arial" w:eastAsia="SimSun" w:hAnsi="Arial" w:cs="Arial"/>
      <w:bCs/>
      <w:iCs/>
      <w:caps/>
      <w:sz w:val="22"/>
      <w:szCs w:val="28"/>
      <w:lang w:val="es-ES" w:eastAsia="zh-CN"/>
    </w:rPr>
  </w:style>
  <w:style w:type="character" w:customStyle="1" w:styleId="Heading3Char">
    <w:name w:val="Heading 3 Char"/>
    <w:link w:val="Heading3"/>
    <w:rsid w:val="007B2C29"/>
    <w:rPr>
      <w:rFonts w:ascii="Arial" w:eastAsia="SimSun" w:hAnsi="Arial" w:cs="Arial"/>
      <w:bCs/>
      <w:sz w:val="22"/>
      <w:szCs w:val="26"/>
      <w:u w:val="single"/>
      <w:lang w:val="es-ES" w:eastAsia="zh-CN"/>
    </w:rPr>
  </w:style>
  <w:style w:type="character" w:customStyle="1" w:styleId="Heading5Char">
    <w:name w:val="Heading 5 Char"/>
    <w:link w:val="Heading5"/>
    <w:rsid w:val="007B2C29"/>
    <w:rPr>
      <w:rFonts w:ascii="Arial" w:hAnsi="Arial" w:cs="Arial"/>
      <w:b/>
      <w:bCs/>
      <w:caps/>
      <w:color w:val="3E484E"/>
      <w:sz w:val="22"/>
      <w:szCs w:val="26"/>
      <w:lang w:val="en-GB" w:eastAsia="da-DK"/>
    </w:rPr>
  </w:style>
  <w:style w:type="character" w:customStyle="1" w:styleId="Heading6Char">
    <w:name w:val="Heading 6 Char"/>
    <w:link w:val="Heading6"/>
    <w:rsid w:val="007B2C29"/>
    <w:rPr>
      <w:rFonts w:ascii="Arial" w:hAnsi="Arial" w:cs="Arial"/>
      <w:b/>
      <w:bCs/>
      <w:caps/>
      <w:color w:val="3E484E"/>
      <w:sz w:val="22"/>
      <w:szCs w:val="26"/>
      <w:lang w:val="en-GB" w:eastAsia="da-DK"/>
    </w:rPr>
  </w:style>
  <w:style w:type="character" w:customStyle="1" w:styleId="Heading7Char">
    <w:name w:val="Heading 7 Char"/>
    <w:link w:val="Heading7"/>
    <w:rsid w:val="007B2C29"/>
    <w:rPr>
      <w:rFonts w:ascii="Arial" w:hAnsi="Arial" w:cs="Arial"/>
      <w:b/>
      <w:bCs/>
      <w:caps/>
      <w:color w:val="3E484E"/>
      <w:sz w:val="22"/>
      <w:szCs w:val="26"/>
      <w:lang w:val="en-GB" w:eastAsia="da-DK"/>
    </w:rPr>
  </w:style>
  <w:style w:type="character" w:customStyle="1" w:styleId="Heading8Char">
    <w:name w:val="Heading 8 Char"/>
    <w:link w:val="Heading8"/>
    <w:rsid w:val="007B2C29"/>
    <w:rPr>
      <w:rFonts w:ascii="Arial" w:hAnsi="Arial" w:cs="Arial"/>
      <w:b/>
      <w:bCs/>
      <w:caps/>
      <w:color w:val="3E484E"/>
      <w:sz w:val="22"/>
      <w:szCs w:val="26"/>
      <w:lang w:val="en-GB" w:eastAsia="da-DK"/>
    </w:rPr>
  </w:style>
  <w:style w:type="character" w:customStyle="1" w:styleId="Heading9Char">
    <w:name w:val="Heading 9 Char"/>
    <w:link w:val="Heading9"/>
    <w:rsid w:val="007B2C29"/>
    <w:rPr>
      <w:rFonts w:ascii="Arial" w:hAnsi="Arial" w:cs="Arial"/>
      <w:b/>
      <w:bCs/>
      <w:caps/>
      <w:color w:val="3E484E"/>
      <w:sz w:val="22"/>
      <w:szCs w:val="26"/>
      <w:lang w:val="en-GB" w:eastAsia="da-DK"/>
    </w:rPr>
  </w:style>
  <w:style w:type="paragraph" w:styleId="BodyText">
    <w:name w:val="Body Text"/>
    <w:basedOn w:val="Normal"/>
    <w:link w:val="BodyTextChar"/>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
    <w:semiHidden/>
    <w:rsid w:val="00A32C9E"/>
    <w:rPr>
      <w:sz w:val="18"/>
    </w:rPr>
  </w:style>
  <w:style w:type="character" w:customStyle="1" w:styleId="CommentTextChar">
    <w:name w:val="Comment Text Char"/>
    <w:link w:val="CommentText"/>
    <w:semiHidden/>
    <w:locked/>
    <w:rsid w:val="007B2C29"/>
    <w:rPr>
      <w:rFonts w:ascii="Arial" w:eastAsia="SimSun" w:hAnsi="Arial" w:cs="Arial"/>
      <w:sz w:val="18"/>
      <w:lang w:val="es-ES" w:eastAsia="zh-CN"/>
    </w:rPr>
  </w:style>
  <w:style w:type="paragraph" w:styleId="EndnoteText">
    <w:name w:val="endnote text"/>
    <w:basedOn w:val="Normal"/>
    <w:semiHidden/>
    <w:rsid w:val="00A32C9E"/>
    <w:rPr>
      <w:sz w:val="18"/>
    </w:rPr>
  </w:style>
  <w:style w:type="paragraph" w:styleId="Footer">
    <w:name w:val="footer"/>
    <w:basedOn w:val="Normal"/>
    <w:link w:val="FooterChar"/>
    <w:rsid w:val="00A32C9E"/>
    <w:pPr>
      <w:tabs>
        <w:tab w:val="center" w:pos="4320"/>
        <w:tab w:val="right" w:pos="8640"/>
      </w:tabs>
    </w:pPr>
  </w:style>
  <w:style w:type="character" w:customStyle="1" w:styleId="FooterChar">
    <w:name w:val="Footer Char"/>
    <w:link w:val="Footer"/>
    <w:rsid w:val="00FF779C"/>
    <w:rPr>
      <w:rFonts w:ascii="Arial" w:eastAsia="SimSun" w:hAnsi="Arial" w:cs="Arial"/>
      <w:sz w:val="22"/>
      <w:lang w:val="es-ES" w:eastAsia="zh-CN"/>
    </w:rPr>
  </w:style>
  <w:style w:type="paragraph" w:styleId="FootnoteText">
    <w:name w:val="footnote text"/>
    <w:basedOn w:val="Normal"/>
    <w:link w:val="FootnoteTextChar"/>
    <w:semiHidden/>
    <w:rsid w:val="00A32C9E"/>
    <w:rPr>
      <w:sz w:val="18"/>
    </w:rPr>
  </w:style>
  <w:style w:type="character" w:customStyle="1" w:styleId="FootnoteTextChar">
    <w:name w:val="Footnote Text Char"/>
    <w:link w:val="FootnoteText"/>
    <w:semiHidden/>
    <w:rsid w:val="00FF779C"/>
    <w:rPr>
      <w:rFonts w:ascii="Arial" w:eastAsia="SimSun" w:hAnsi="Arial" w:cs="Arial"/>
      <w:sz w:val="18"/>
      <w:lang w:val="es-ES" w:eastAsia="zh-CN"/>
    </w:rPr>
  </w:style>
  <w:style w:type="paragraph" w:customStyle="1" w:styleId="Endofdocument-Annex">
    <w:name w:val="[End of document - Annex]"/>
    <w:basedOn w:val="Normal"/>
    <w:rsid w:val="00815082"/>
    <w:pPr>
      <w:ind w:left="5534"/>
    </w:pPr>
    <w:rPr>
      <w:lang w:val="en-US"/>
    </w:rPr>
  </w:style>
  <w:style w:type="paragraph" w:customStyle="1" w:styleId="Char">
    <w:name w:val="Char 字元 字元"/>
    <w:basedOn w:val="Normal"/>
    <w:rsid w:val="00A83B83"/>
    <w:pPr>
      <w:spacing w:after="160" w:line="240" w:lineRule="exact"/>
    </w:pPr>
    <w:rPr>
      <w:rFonts w:ascii="Verdana" w:eastAsia="PMingLiU" w:hAnsi="Verdana" w:cs="Times New Roman"/>
      <w:sz w:val="20"/>
      <w:lang w:val="en-US" w:eastAsia="en-US"/>
    </w:rPr>
  </w:style>
  <w:style w:type="paragraph" w:styleId="Header">
    <w:name w:val="header"/>
    <w:basedOn w:val="Normal"/>
    <w:link w:val="HeaderChar"/>
    <w:uiPriority w:val="99"/>
    <w:rsid w:val="00A32C9E"/>
    <w:pPr>
      <w:tabs>
        <w:tab w:val="center" w:pos="4536"/>
        <w:tab w:val="right" w:pos="9072"/>
      </w:tabs>
    </w:pPr>
  </w:style>
  <w:style w:type="character" w:customStyle="1" w:styleId="HeaderChar">
    <w:name w:val="Header Char"/>
    <w:link w:val="Header"/>
    <w:uiPriority w:val="99"/>
    <w:rsid w:val="00FF779C"/>
    <w:rPr>
      <w:rFonts w:ascii="Arial" w:eastAsia="SimSun" w:hAnsi="Arial" w:cs="Arial"/>
      <w:sz w:val="22"/>
      <w:lang w:val="es-ES" w:eastAsia="zh-CN"/>
    </w:rPr>
  </w:style>
  <w:style w:type="paragraph" w:styleId="ListNumber">
    <w:name w:val="List Number"/>
    <w:basedOn w:val="Normal"/>
    <w:semiHidden/>
    <w:rsid w:val="00A32C9E"/>
    <w:pPr>
      <w:numPr>
        <w:numId w:val="1"/>
      </w:numPr>
    </w:pPr>
  </w:style>
  <w:style w:type="paragraph" w:customStyle="1" w:styleId="ONUME">
    <w:name w:val="ONUM E"/>
    <w:basedOn w:val="BodyText"/>
    <w:rsid w:val="00A32C9E"/>
    <w:pPr>
      <w:numPr>
        <w:numId w:val="2"/>
      </w:numPr>
    </w:pPr>
  </w:style>
  <w:style w:type="paragraph" w:customStyle="1" w:styleId="ONUMFS">
    <w:name w:val="ONUM FS"/>
    <w:basedOn w:val="BodyText"/>
    <w:rsid w:val="00A32C9E"/>
    <w:pPr>
      <w:numPr>
        <w:numId w:val="3"/>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customStyle="1" w:styleId="CharCharCharChar">
    <w:name w:val="Char Char Char Char"/>
    <w:basedOn w:val="Normal"/>
    <w:rsid w:val="007B2C29"/>
    <w:pPr>
      <w:spacing w:after="160" w:line="240" w:lineRule="exact"/>
    </w:pPr>
    <w:rPr>
      <w:rFonts w:ascii="Verdana" w:eastAsia="Times New Roman" w:hAnsi="Verdana" w:cs="Times New Roman"/>
      <w:sz w:val="20"/>
      <w:lang w:val="en-GB" w:eastAsia="en-US"/>
    </w:rPr>
  </w:style>
  <w:style w:type="paragraph" w:styleId="BalloonText">
    <w:name w:val="Balloon Text"/>
    <w:basedOn w:val="Normal"/>
    <w:link w:val="BalloonTextChar"/>
    <w:rsid w:val="007B2C29"/>
    <w:rPr>
      <w:rFonts w:ascii="Tahoma" w:eastAsia="Times New Roman" w:hAnsi="Tahoma" w:cs="Tahoma"/>
      <w:sz w:val="16"/>
      <w:szCs w:val="16"/>
      <w:lang w:val="en-US" w:eastAsia="en-US"/>
    </w:rPr>
  </w:style>
  <w:style w:type="character" w:customStyle="1" w:styleId="BalloonTextChar">
    <w:name w:val="Balloon Text Char"/>
    <w:link w:val="BalloonText"/>
    <w:rsid w:val="007B2C29"/>
    <w:rPr>
      <w:rFonts w:ascii="Tahoma" w:hAnsi="Tahoma" w:cs="Tahoma"/>
      <w:sz w:val="16"/>
      <w:szCs w:val="16"/>
    </w:rPr>
  </w:style>
  <w:style w:type="paragraph" w:styleId="BodyTextIndent">
    <w:name w:val="Body Text Indent"/>
    <w:basedOn w:val="Normal"/>
    <w:link w:val="BodyTextIndentChar"/>
    <w:rsid w:val="007B2C29"/>
    <w:pPr>
      <w:ind w:left="567"/>
    </w:pPr>
    <w:rPr>
      <w:rFonts w:ascii="Times New Roman" w:eastAsia="Times New Roman" w:hAnsi="Times New Roman" w:cs="Times New Roman"/>
      <w:sz w:val="24"/>
      <w:lang w:val="en-US" w:eastAsia="en-US"/>
    </w:rPr>
  </w:style>
  <w:style w:type="character" w:customStyle="1" w:styleId="BodyTextIndentChar">
    <w:name w:val="Body Text Indent Char"/>
    <w:link w:val="BodyTextIndent"/>
    <w:rsid w:val="007B2C29"/>
    <w:rPr>
      <w:sz w:val="24"/>
    </w:rPr>
  </w:style>
  <w:style w:type="character" w:customStyle="1" w:styleId="hps">
    <w:name w:val="hps"/>
    <w:basedOn w:val="DefaultParagraphFont"/>
    <w:rsid w:val="007B2C29"/>
  </w:style>
  <w:style w:type="paragraph" w:styleId="ListParagraph">
    <w:name w:val="List Paragraph"/>
    <w:basedOn w:val="Normal"/>
    <w:qFormat/>
    <w:rsid w:val="007B2C29"/>
    <w:pPr>
      <w:spacing w:after="200" w:line="276" w:lineRule="auto"/>
      <w:ind w:left="720"/>
      <w:contextualSpacing/>
    </w:pPr>
    <w:rPr>
      <w:rFonts w:ascii="Calibri" w:eastAsia="Times New Roman" w:hAnsi="Calibri" w:cs="Times New Roman"/>
      <w:szCs w:val="22"/>
      <w:lang w:val="en-US" w:eastAsia="en-US"/>
    </w:rPr>
  </w:style>
  <w:style w:type="character" w:styleId="FootnoteReference">
    <w:name w:val="footnote reference"/>
    <w:rsid w:val="007B2C29"/>
    <w:rPr>
      <w:vertAlign w:val="superscript"/>
    </w:rPr>
  </w:style>
  <w:style w:type="character" w:styleId="PageNumber">
    <w:name w:val="page number"/>
    <w:basedOn w:val="DefaultParagraphFont"/>
    <w:rsid w:val="007B2C29"/>
  </w:style>
  <w:style w:type="paragraph" w:customStyle="1" w:styleId="1">
    <w:name w:val="1"/>
    <w:basedOn w:val="Normal"/>
    <w:rsid w:val="007B2C29"/>
    <w:pPr>
      <w:spacing w:after="160" w:line="240" w:lineRule="exact"/>
    </w:pPr>
    <w:rPr>
      <w:rFonts w:ascii="Verdana" w:eastAsia="Times New Roman" w:hAnsi="Verdana" w:cs="Times New Roman"/>
      <w:sz w:val="20"/>
      <w:lang w:val="en-GB" w:eastAsia="en-US"/>
    </w:rPr>
  </w:style>
  <w:style w:type="paragraph" w:styleId="TOC2">
    <w:name w:val="toc 2"/>
    <w:basedOn w:val="Normal"/>
    <w:next w:val="Normal"/>
    <w:autoRedefine/>
    <w:uiPriority w:val="39"/>
    <w:rsid w:val="005700FC"/>
    <w:pPr>
      <w:tabs>
        <w:tab w:val="left" w:pos="907"/>
        <w:tab w:val="left" w:pos="2608"/>
        <w:tab w:val="right" w:leader="dot" w:pos="9061"/>
      </w:tabs>
      <w:spacing w:before="120" w:after="120"/>
      <w:ind w:left="1701" w:hanging="1463"/>
    </w:pPr>
    <w:rPr>
      <w:rFonts w:eastAsia="Times New Roman" w:cs="Times New Roman"/>
      <w:b/>
      <w:noProof/>
      <w:sz w:val="20"/>
      <w:lang w:val="es-ES_tradnl" w:eastAsia="da-DK"/>
    </w:rPr>
  </w:style>
  <w:style w:type="character" w:styleId="Hyperlink">
    <w:name w:val="Hyperlink"/>
    <w:uiPriority w:val="99"/>
    <w:rsid w:val="007B2C29"/>
    <w:rPr>
      <w:color w:val="0000FF"/>
      <w:u w:val="single"/>
    </w:rPr>
  </w:style>
  <w:style w:type="paragraph" w:customStyle="1" w:styleId="StyleHeading3ComplexItalic">
    <w:name w:val="Style Heading 3 + (Complex) Italic"/>
    <w:basedOn w:val="Heading3"/>
    <w:link w:val="StyleHeading3ComplexItalicChar"/>
    <w:rsid w:val="007B2C29"/>
    <w:pPr>
      <w:tabs>
        <w:tab w:val="left" w:pos="1985"/>
      </w:tabs>
      <w:spacing w:before="0" w:after="0"/>
    </w:pPr>
    <w:rPr>
      <w:rFonts w:eastAsia="Times New Roman"/>
      <w:b/>
      <w:bCs w:val="0"/>
      <w:iCs/>
      <w:caps/>
      <w:szCs w:val="22"/>
      <w:u w:val="none"/>
      <w:lang w:val="en-US" w:eastAsia="en-US"/>
    </w:rPr>
  </w:style>
  <w:style w:type="character" w:customStyle="1" w:styleId="StyleHeading3ComplexItalicChar">
    <w:name w:val="Style Heading 3 + (Complex) Italic Char"/>
    <w:link w:val="StyleHeading3ComplexItalic"/>
    <w:rsid w:val="007B2C29"/>
    <w:rPr>
      <w:rFonts w:ascii="Arial" w:hAnsi="Arial" w:cs="Arial"/>
      <w:b/>
      <w:iCs/>
      <w:caps/>
      <w:sz w:val="22"/>
      <w:szCs w:val="22"/>
    </w:rPr>
  </w:style>
  <w:style w:type="paragraph" w:styleId="TOC3">
    <w:name w:val="toc 3"/>
    <w:basedOn w:val="Normal"/>
    <w:next w:val="Normal"/>
    <w:autoRedefine/>
    <w:uiPriority w:val="39"/>
    <w:rsid w:val="00AA3230"/>
    <w:pPr>
      <w:tabs>
        <w:tab w:val="left" w:pos="1134"/>
        <w:tab w:val="left" w:pos="2619"/>
        <w:tab w:val="right" w:leader="dot" w:pos="9061"/>
      </w:tabs>
      <w:spacing w:after="60"/>
      <w:ind w:left="567"/>
    </w:pPr>
    <w:rPr>
      <w:rFonts w:eastAsia="Times New Roman" w:cs="Times New Roman"/>
      <w:noProof/>
      <w:sz w:val="20"/>
      <w:lang w:val="en-US" w:eastAsia="en-US"/>
    </w:rPr>
  </w:style>
  <w:style w:type="paragraph" w:customStyle="1" w:styleId="StyleHeading214ptAuto">
    <w:name w:val="Style Heading 2 + 14 pt Auto"/>
    <w:basedOn w:val="Heading2"/>
    <w:rsid w:val="007B2C29"/>
    <w:pPr>
      <w:keepNext w:val="0"/>
      <w:widowControl w:val="0"/>
      <w:tabs>
        <w:tab w:val="num" w:pos="567"/>
      </w:tabs>
      <w:spacing w:before="0" w:after="0" w:line="300" w:lineRule="atLeast"/>
      <w:ind w:left="567" w:hanging="567"/>
      <w:jc w:val="center"/>
    </w:pPr>
    <w:rPr>
      <w:rFonts w:ascii="Arial Bold" w:eastAsia="Times New Roman" w:hAnsi="Arial Bold"/>
      <w:b/>
      <w:sz w:val="24"/>
      <w:lang w:val="en-GB" w:eastAsia="da-DK"/>
    </w:rPr>
  </w:style>
  <w:style w:type="paragraph" w:styleId="NormalWeb">
    <w:name w:val="Normal (Web)"/>
    <w:basedOn w:val="Normal"/>
    <w:rsid w:val="007B2C29"/>
    <w:pPr>
      <w:spacing w:before="100" w:beforeAutospacing="1" w:after="100" w:afterAutospacing="1"/>
    </w:pPr>
    <w:rPr>
      <w:rFonts w:eastAsia="Times New Roman"/>
      <w:sz w:val="18"/>
      <w:szCs w:val="18"/>
      <w:lang w:val="en-US" w:eastAsia="en-US"/>
    </w:rPr>
  </w:style>
  <w:style w:type="paragraph" w:styleId="TOC1">
    <w:name w:val="toc 1"/>
    <w:basedOn w:val="Normal"/>
    <w:next w:val="Normal"/>
    <w:autoRedefine/>
    <w:uiPriority w:val="39"/>
    <w:rsid w:val="00406FE5"/>
    <w:pPr>
      <w:tabs>
        <w:tab w:val="left" w:pos="567"/>
        <w:tab w:val="right" w:leader="dot" w:pos="9061"/>
      </w:tabs>
      <w:spacing w:before="120" w:after="120"/>
    </w:pPr>
    <w:rPr>
      <w:rFonts w:eastAsia="Times New Roman" w:cs="Times New Roman"/>
      <w:b/>
      <w:noProof/>
      <w:lang w:val="es-ES_tradnl" w:eastAsia="en-US"/>
    </w:rPr>
  </w:style>
  <w:style w:type="paragraph" w:customStyle="1" w:styleId="NormalArial">
    <w:name w:val="Normal + Arial"/>
    <w:aliases w:val="10 pt"/>
    <w:basedOn w:val="ListParagraph"/>
    <w:rsid w:val="007B2C29"/>
    <w:pPr>
      <w:spacing w:after="0" w:line="240" w:lineRule="auto"/>
      <w:ind w:left="-28"/>
      <w:contextualSpacing w:val="0"/>
    </w:pPr>
    <w:rPr>
      <w:rFonts w:ascii="Arial" w:eastAsia="MS Mincho" w:hAnsi="Arial" w:cs="Arial"/>
      <w:bCs/>
      <w:sz w:val="20"/>
      <w:szCs w:val="20"/>
      <w:lang w:eastAsia="ja-JP"/>
    </w:rPr>
  </w:style>
  <w:style w:type="paragraph" w:customStyle="1" w:styleId="Default">
    <w:name w:val="Default"/>
    <w:rsid w:val="007B2C29"/>
    <w:pPr>
      <w:autoSpaceDE w:val="0"/>
      <w:autoSpaceDN w:val="0"/>
      <w:adjustRightInd w:val="0"/>
    </w:pPr>
    <w:rPr>
      <w:rFonts w:ascii="Arial" w:hAnsi="Arial" w:cs="Arial"/>
      <w:color w:val="000000"/>
      <w:sz w:val="24"/>
      <w:szCs w:val="24"/>
    </w:rPr>
  </w:style>
  <w:style w:type="paragraph" w:customStyle="1" w:styleId="Normal6">
    <w:name w:val="Normal+6"/>
    <w:basedOn w:val="Normal"/>
    <w:next w:val="Normal"/>
    <w:rsid w:val="007B2C29"/>
    <w:pPr>
      <w:autoSpaceDE w:val="0"/>
      <w:autoSpaceDN w:val="0"/>
      <w:adjustRightInd w:val="0"/>
    </w:pPr>
    <w:rPr>
      <w:rFonts w:eastAsia="Times New Roman" w:cs="Times New Roman"/>
      <w:sz w:val="24"/>
      <w:szCs w:val="24"/>
      <w:lang w:val="en-US" w:eastAsia="en-US"/>
    </w:rPr>
  </w:style>
  <w:style w:type="character" w:styleId="CommentReference">
    <w:name w:val="annotation reference"/>
    <w:rsid w:val="007B2C29"/>
    <w:rPr>
      <w:sz w:val="16"/>
      <w:szCs w:val="16"/>
    </w:rPr>
  </w:style>
  <w:style w:type="paragraph" w:customStyle="1" w:styleId="StyleStyleHeading3ComplexItalicLatin12pt">
    <w:name w:val="Style Style Heading 3 + (Complex) Italic + (Latin) 12 pt"/>
    <w:basedOn w:val="StyleHeading3ComplexItalic"/>
    <w:link w:val="StyleStyleHeading3ComplexItalicLatin12ptChar"/>
    <w:rsid w:val="007B2C29"/>
  </w:style>
  <w:style w:type="character" w:customStyle="1" w:styleId="StyleStyleHeading3ComplexItalicLatin12ptChar">
    <w:name w:val="Style Style Heading 3 + (Complex) Italic + (Latin) 12 pt Char"/>
    <w:link w:val="StyleStyleHeading3ComplexItalicLatin12pt"/>
    <w:rsid w:val="007B2C29"/>
    <w:rPr>
      <w:rFonts w:ascii="Arial" w:hAnsi="Arial" w:cs="Arial"/>
      <w:b/>
      <w:iCs/>
      <w:caps/>
      <w:sz w:val="22"/>
      <w:szCs w:val="22"/>
    </w:rPr>
  </w:style>
  <w:style w:type="character" w:customStyle="1" w:styleId="paracolourtext1">
    <w:name w:val="paracolourtext1"/>
    <w:rsid w:val="007B2C29"/>
    <w:rPr>
      <w:b w:val="0"/>
      <w:bCs w:val="0"/>
      <w:i w:val="0"/>
      <w:iCs w:val="0"/>
      <w:color w:val="800000"/>
      <w:sz w:val="20"/>
      <w:szCs w:val="20"/>
    </w:rPr>
  </w:style>
  <w:style w:type="paragraph" w:customStyle="1" w:styleId="Body">
    <w:name w:val="Body"/>
    <w:rsid w:val="007B2C29"/>
    <w:rPr>
      <w:rFonts w:ascii="Helvetica" w:eastAsia="ヒラギノ角ゴ Pro W3" w:hAnsi="Helvetica" w:cs="Angsana New"/>
      <w:color w:val="000000"/>
      <w:sz w:val="24"/>
      <w:lang w:bidi="th-TH"/>
    </w:rPr>
  </w:style>
  <w:style w:type="paragraph" w:customStyle="1" w:styleId="tes1">
    <w:name w:val="tes1"/>
    <w:basedOn w:val="Normal"/>
    <w:rsid w:val="007B2C29"/>
    <w:pPr>
      <w:suppressAutoHyphens/>
      <w:ind w:left="1134" w:right="2195"/>
      <w:jc w:val="both"/>
    </w:pPr>
    <w:rPr>
      <w:rFonts w:ascii="Times New Roman" w:eastAsia="Times New Roman" w:hAnsi="Times New Roman" w:cs="Times New Roman"/>
      <w:b/>
      <w:spacing w:val="4"/>
      <w:w w:val="103"/>
      <w:kern w:val="14"/>
      <w:sz w:val="20"/>
      <w:lang w:val="en-GB" w:eastAsia="en-US"/>
    </w:rPr>
  </w:style>
  <w:style w:type="paragraph" w:customStyle="1" w:styleId="Style10">
    <w:name w:val="Style10"/>
    <w:basedOn w:val="Normal"/>
    <w:autoRedefine/>
    <w:rsid w:val="007B2C29"/>
    <w:pPr>
      <w:tabs>
        <w:tab w:val="left" w:pos="340"/>
        <w:tab w:val="left" w:pos="680"/>
        <w:tab w:val="left" w:pos="1021"/>
        <w:tab w:val="left" w:pos="1361"/>
      </w:tabs>
      <w:suppressAutoHyphens/>
      <w:jc w:val="both"/>
    </w:pPr>
    <w:rPr>
      <w:rFonts w:ascii="Times New Roman" w:eastAsia="Times New Roman" w:hAnsi="Times New Roman" w:cs="Times New Roman"/>
      <w:snapToGrid w:val="0"/>
      <w:sz w:val="20"/>
      <w:lang w:val="en-US" w:eastAsia="en-US"/>
    </w:rPr>
  </w:style>
  <w:style w:type="paragraph" w:customStyle="1" w:styleId="Style11">
    <w:name w:val="Style11"/>
    <w:basedOn w:val="FootnoteText"/>
    <w:autoRedefine/>
    <w:rsid w:val="007B2C29"/>
    <w:pPr>
      <w:suppressAutoHyphens/>
      <w:ind w:firstLine="340"/>
      <w:jc w:val="both"/>
    </w:pPr>
    <w:rPr>
      <w:rFonts w:ascii="Times New Roman" w:eastAsia="Times New Roman" w:hAnsi="Times New Roman" w:cs="Times New Roman"/>
      <w:snapToGrid w:val="0"/>
      <w:sz w:val="16"/>
      <w:lang w:val="en-US" w:eastAsia="en-US"/>
    </w:rPr>
  </w:style>
  <w:style w:type="paragraph" w:styleId="Title">
    <w:name w:val="Title"/>
    <w:basedOn w:val="Normal"/>
    <w:link w:val="TitleChar"/>
    <w:qFormat/>
    <w:rsid w:val="007B2C29"/>
    <w:pPr>
      <w:jc w:val="center"/>
    </w:pPr>
    <w:rPr>
      <w:rFonts w:ascii="Times New Roman" w:eastAsia="Times New Roman" w:hAnsi="Times New Roman" w:cs="Times New Roman"/>
      <w:b/>
      <w:sz w:val="24"/>
      <w:lang w:val="en-US" w:eastAsia="en-US"/>
    </w:rPr>
  </w:style>
  <w:style w:type="character" w:customStyle="1" w:styleId="TitleChar">
    <w:name w:val="Title Char"/>
    <w:link w:val="Title"/>
    <w:rsid w:val="007B2C29"/>
    <w:rPr>
      <w:b/>
      <w:sz w:val="24"/>
    </w:rPr>
  </w:style>
  <w:style w:type="paragraph" w:styleId="Subtitle">
    <w:name w:val="Subtitle"/>
    <w:basedOn w:val="Normal"/>
    <w:link w:val="SubtitleChar"/>
    <w:qFormat/>
    <w:rsid w:val="007B2C29"/>
    <w:pPr>
      <w:jc w:val="center"/>
    </w:pPr>
    <w:rPr>
      <w:rFonts w:ascii="Times New Roman" w:eastAsia="Times New Roman" w:hAnsi="Times New Roman" w:cs="Times New Roman"/>
      <w:b/>
      <w:caps/>
      <w:color w:val="0000FF"/>
      <w:sz w:val="28"/>
      <w:lang w:val="en-US" w:eastAsia="en-US"/>
    </w:rPr>
  </w:style>
  <w:style w:type="character" w:customStyle="1" w:styleId="SubtitleChar">
    <w:name w:val="Subtitle Char"/>
    <w:link w:val="Subtitle"/>
    <w:rsid w:val="007B2C29"/>
    <w:rPr>
      <w:b/>
      <w:caps/>
      <w:color w:val="0000FF"/>
      <w:sz w:val="28"/>
    </w:rPr>
  </w:style>
  <w:style w:type="paragraph" w:customStyle="1" w:styleId="Endofdocument">
    <w:name w:val="End of document"/>
    <w:basedOn w:val="Normal"/>
    <w:rsid w:val="007B2C29"/>
    <w:pPr>
      <w:ind w:left="4536"/>
      <w:jc w:val="center"/>
    </w:pPr>
    <w:rPr>
      <w:rFonts w:ascii="Times New Roman" w:eastAsia="Times New Roman" w:hAnsi="Times New Roman" w:cs="Times New Roman"/>
      <w:sz w:val="24"/>
      <w:lang w:val="en-US" w:eastAsia="en-US"/>
    </w:rPr>
  </w:style>
  <w:style w:type="paragraph" w:styleId="BodyTextIndent2">
    <w:name w:val="Body Text Indent 2"/>
    <w:basedOn w:val="Normal"/>
    <w:link w:val="BodyTextIndent2Char"/>
    <w:rsid w:val="007B2C29"/>
    <w:pPr>
      <w:tabs>
        <w:tab w:val="left" w:pos="714"/>
      </w:tabs>
      <w:spacing w:after="100"/>
      <w:ind w:hanging="6"/>
      <w:jc w:val="both"/>
    </w:pPr>
    <w:rPr>
      <w:rFonts w:eastAsia="Times New Roman" w:cs="Times New Roman"/>
      <w:snapToGrid w:val="0"/>
      <w:color w:val="000000"/>
      <w:sz w:val="20"/>
      <w:lang w:val="en-US" w:eastAsia="en-US"/>
    </w:rPr>
  </w:style>
  <w:style w:type="character" w:customStyle="1" w:styleId="BodyTextIndent2Char">
    <w:name w:val="Body Text Indent 2 Char"/>
    <w:link w:val="BodyTextIndent2"/>
    <w:rsid w:val="007B2C29"/>
    <w:rPr>
      <w:rFonts w:ascii="Arial" w:hAnsi="Arial"/>
      <w:snapToGrid w:val="0"/>
      <w:color w:val="000000"/>
    </w:rPr>
  </w:style>
  <w:style w:type="paragraph" w:customStyle="1" w:styleId="3029-Titrechapitre">
    <w:name w:val="3029-Titre chapitre"/>
    <w:basedOn w:val="Heading1"/>
    <w:rsid w:val="007B2C29"/>
    <w:pPr>
      <w:spacing w:before="0" w:after="0"/>
    </w:pPr>
    <w:rPr>
      <w:rFonts w:ascii="Arial Black" w:eastAsia="Times" w:hAnsi="Arial Black" w:cs="Times New Roman"/>
      <w:b w:val="0"/>
      <w:bCs w:val="0"/>
      <w:caps w:val="0"/>
      <w:color w:val="000080"/>
      <w:kern w:val="0"/>
      <w:sz w:val="30"/>
      <w:szCs w:val="20"/>
      <w:lang w:val="fr-FR" w:eastAsia="en-US"/>
    </w:rPr>
  </w:style>
  <w:style w:type="character" w:customStyle="1" w:styleId="underline">
    <w:name w:val="underline"/>
    <w:rsid w:val="007B2C29"/>
    <w:rPr>
      <w:u w:val="single"/>
    </w:rPr>
  </w:style>
  <w:style w:type="paragraph" w:customStyle="1" w:styleId="zanxhead">
    <w:name w:val="zanxhead"/>
    <w:basedOn w:val="Normal"/>
    <w:rsid w:val="007B2C29"/>
    <w:pPr>
      <w:spacing w:before="200"/>
    </w:pPr>
    <w:rPr>
      <w:rFonts w:ascii="Times New Roman" w:eastAsia="Times New Roman" w:hAnsi="Times New Roman" w:cs="Times New Roman"/>
      <w:b/>
      <w:color w:val="0000FF"/>
      <w:sz w:val="24"/>
      <w:lang w:val="en-US" w:eastAsia="en-US"/>
    </w:rPr>
  </w:style>
  <w:style w:type="paragraph" w:customStyle="1" w:styleId="zanxtext">
    <w:name w:val="zanxtext"/>
    <w:basedOn w:val="Normal"/>
    <w:rsid w:val="007B2C29"/>
    <w:pPr>
      <w:spacing w:before="120"/>
    </w:pPr>
    <w:rPr>
      <w:rFonts w:ascii="Times New Roman" w:eastAsia="Times New Roman" w:hAnsi="Times New Roman" w:cs="Times New Roman"/>
      <w:sz w:val="24"/>
      <w:lang w:val="en-US" w:eastAsia="en-US"/>
    </w:rPr>
  </w:style>
  <w:style w:type="paragraph" w:styleId="BodyText2">
    <w:name w:val="Body Text 2"/>
    <w:basedOn w:val="Normal"/>
    <w:link w:val="BodyText2Char"/>
    <w:rsid w:val="007B2C29"/>
    <w:pPr>
      <w:keepNext/>
      <w:jc w:val="both"/>
    </w:pPr>
    <w:rPr>
      <w:rFonts w:eastAsia="Times New Roman" w:cs="Times New Roman"/>
      <w:sz w:val="20"/>
      <w:lang w:val="en-US" w:eastAsia="en-US"/>
    </w:rPr>
  </w:style>
  <w:style w:type="character" w:customStyle="1" w:styleId="BodyText2Char">
    <w:name w:val="Body Text 2 Char"/>
    <w:link w:val="BodyText2"/>
    <w:rsid w:val="007B2C29"/>
    <w:rPr>
      <w:rFonts w:ascii="Arial" w:hAnsi="Arial"/>
    </w:rPr>
  </w:style>
  <w:style w:type="paragraph" w:styleId="BlockText">
    <w:name w:val="Block Text"/>
    <w:basedOn w:val="Normal"/>
    <w:rsid w:val="007B2C29"/>
    <w:pPr>
      <w:tabs>
        <w:tab w:val="left" w:pos="2127"/>
      </w:tabs>
      <w:spacing w:after="40"/>
      <w:ind w:left="2127" w:right="896" w:hanging="2127"/>
    </w:pPr>
    <w:rPr>
      <w:rFonts w:ascii="Times New Roman" w:eastAsia="Times New Roman" w:hAnsi="Times New Roman" w:cs="Times New Roman"/>
      <w:sz w:val="24"/>
      <w:lang w:val="en-US" w:eastAsia="en-US"/>
    </w:rPr>
  </w:style>
  <w:style w:type="character" w:styleId="Emphasis">
    <w:name w:val="Emphasis"/>
    <w:qFormat/>
    <w:rsid w:val="007B2C29"/>
    <w:rPr>
      <w:i/>
      <w:iCs/>
    </w:rPr>
  </w:style>
  <w:style w:type="character" w:styleId="Strong">
    <w:name w:val="Strong"/>
    <w:qFormat/>
    <w:rsid w:val="007B2C29"/>
    <w:rPr>
      <w:b/>
      <w:bCs/>
    </w:rPr>
  </w:style>
  <w:style w:type="paragraph" w:customStyle="1" w:styleId="preparedby">
    <w:name w:val="prepared by"/>
    <w:basedOn w:val="Normal"/>
    <w:next w:val="Normal"/>
    <w:rsid w:val="007B2C29"/>
    <w:pPr>
      <w:spacing w:before="120" w:after="480" w:line="260" w:lineRule="atLeast"/>
      <w:ind w:left="1021"/>
      <w:contextualSpacing/>
    </w:pPr>
    <w:rPr>
      <w:rFonts w:eastAsia="Times New Roman" w:cs="Times New Roman"/>
      <w:i/>
      <w:sz w:val="20"/>
      <w:lang w:val="en-US" w:eastAsia="en-US"/>
    </w:rPr>
  </w:style>
  <w:style w:type="paragraph" w:customStyle="1" w:styleId="Documenttitle">
    <w:name w:val="Document title"/>
    <w:basedOn w:val="Normal"/>
    <w:next w:val="preparedby"/>
    <w:rsid w:val="007B2C29"/>
    <w:pPr>
      <w:spacing w:before="840" w:line="336" w:lineRule="exact"/>
      <w:ind w:left="1021"/>
      <w:contextualSpacing/>
    </w:pPr>
    <w:rPr>
      <w:rFonts w:eastAsia="Times New Roman" w:cs="Times New Roman"/>
      <w:sz w:val="24"/>
      <w:lang w:val="en-US" w:eastAsia="en-US"/>
    </w:rPr>
  </w:style>
  <w:style w:type="paragraph" w:customStyle="1" w:styleId="MeetinglanguageDate">
    <w:name w:val="Meeting language &amp; Date"/>
    <w:basedOn w:val="Normal"/>
    <w:next w:val="Meetingtitle"/>
    <w:rsid w:val="007B2C29"/>
    <w:pPr>
      <w:spacing w:after="1680" w:line="160" w:lineRule="exact"/>
      <w:ind w:left="1021"/>
      <w:contextualSpacing/>
      <w:jc w:val="right"/>
    </w:pPr>
    <w:rPr>
      <w:rFonts w:ascii="Arial Black" w:eastAsia="Times New Roman" w:hAnsi="Arial Black" w:cs="Times New Roman"/>
      <w:b/>
      <w:caps/>
      <w:sz w:val="15"/>
      <w:lang w:val="en-US" w:eastAsia="en-US"/>
    </w:rPr>
  </w:style>
  <w:style w:type="paragraph" w:customStyle="1" w:styleId="Meetingtitle">
    <w:name w:val="Meeting title"/>
    <w:basedOn w:val="Normal"/>
    <w:next w:val="Sessiontitle"/>
    <w:rsid w:val="007B2C29"/>
    <w:pPr>
      <w:spacing w:line="336" w:lineRule="exact"/>
      <w:ind w:left="1021"/>
    </w:pPr>
    <w:rPr>
      <w:rFonts w:eastAsia="Times New Roman" w:cs="Times New Roman"/>
      <w:b/>
      <w:sz w:val="28"/>
      <w:lang w:val="en-US" w:eastAsia="en-US"/>
    </w:rPr>
  </w:style>
  <w:style w:type="paragraph" w:customStyle="1" w:styleId="Sessiontitle">
    <w:name w:val="Session title"/>
    <w:basedOn w:val="Meetingtitle"/>
    <w:next w:val="Meetingplacedate"/>
    <w:rsid w:val="007B2C29"/>
    <w:pPr>
      <w:spacing w:before="480"/>
      <w:contextualSpacing/>
    </w:pPr>
    <w:rPr>
      <w:sz w:val="24"/>
    </w:rPr>
  </w:style>
  <w:style w:type="paragraph" w:customStyle="1" w:styleId="Meetingplacedate">
    <w:name w:val="Meeting place &amp; date"/>
    <w:basedOn w:val="Sessiontitle"/>
    <w:next w:val="Documenttitle"/>
    <w:rsid w:val="007B2C29"/>
    <w:pPr>
      <w:spacing w:before="0"/>
      <w:contextualSpacing w:val="0"/>
    </w:pPr>
  </w:style>
  <w:style w:type="paragraph" w:customStyle="1" w:styleId="Language">
    <w:name w:val="Language"/>
    <w:basedOn w:val="Normal"/>
    <w:next w:val="Normal"/>
    <w:rsid w:val="007B2C29"/>
    <w:pPr>
      <w:spacing w:after="120" w:line="340" w:lineRule="atLeast"/>
      <w:ind w:left="1021"/>
      <w:contextualSpacing/>
      <w:jc w:val="right"/>
    </w:pPr>
    <w:rPr>
      <w:rFonts w:eastAsia="Times New Roman" w:cs="Times New Roman"/>
      <w:b/>
      <w:caps/>
      <w:sz w:val="40"/>
      <w:lang w:val="en-US" w:eastAsia="en-US"/>
    </w:rPr>
  </w:style>
  <w:style w:type="paragraph" w:customStyle="1" w:styleId="MeetingCode">
    <w:name w:val="Meeting Code"/>
    <w:basedOn w:val="MeetinglanguageDate"/>
    <w:rsid w:val="007B2C29"/>
    <w:pPr>
      <w:spacing w:before="1800" w:after="0"/>
    </w:pPr>
  </w:style>
  <w:style w:type="paragraph" w:customStyle="1" w:styleId="CarCarCar">
    <w:name w:val="Car Car Car"/>
    <w:basedOn w:val="Normal"/>
    <w:rsid w:val="007B2C29"/>
    <w:pPr>
      <w:spacing w:after="160" w:line="240" w:lineRule="exact"/>
    </w:pPr>
    <w:rPr>
      <w:rFonts w:ascii="Verdana" w:eastAsia="PMingLiU" w:hAnsi="Verdana" w:cs="Times New Roman"/>
      <w:sz w:val="20"/>
      <w:lang w:val="en-US" w:eastAsia="en-US"/>
    </w:rPr>
  </w:style>
  <w:style w:type="paragraph" w:customStyle="1" w:styleId="Paragraphedeliste">
    <w:name w:val="Paragraphe de liste"/>
    <w:autoRedefine/>
    <w:rsid w:val="007B2C29"/>
    <w:pPr>
      <w:spacing w:after="200" w:line="276" w:lineRule="auto"/>
      <w:ind w:left="720"/>
    </w:pPr>
    <w:rPr>
      <w:rFonts w:ascii="Lucida Grande" w:eastAsia="ヒラギノ角ゴ Pro W3" w:hAnsi="Lucida Grande"/>
      <w:color w:val="000000"/>
      <w:sz w:val="22"/>
      <w:lang w:val="en-GB"/>
    </w:rPr>
  </w:style>
  <w:style w:type="character" w:styleId="FollowedHyperlink">
    <w:name w:val="FollowedHyperlink"/>
    <w:rsid w:val="007B2C29"/>
    <w:rPr>
      <w:color w:val="606420"/>
      <w:u w:val="single"/>
    </w:rPr>
  </w:style>
  <w:style w:type="paragraph" w:customStyle="1" w:styleId="Body1">
    <w:name w:val="Body 1"/>
    <w:rsid w:val="007B2C29"/>
    <w:rPr>
      <w:rFonts w:ascii="Helvetica" w:eastAsia="Arial Unicode MS" w:hAnsi="Helvetica"/>
      <w:color w:val="000000"/>
      <w:sz w:val="24"/>
    </w:rPr>
  </w:style>
  <w:style w:type="paragraph" w:styleId="PlainText">
    <w:name w:val="Plain Text"/>
    <w:basedOn w:val="Normal"/>
    <w:link w:val="PlainTextChar"/>
    <w:rsid w:val="007B2C29"/>
    <w:rPr>
      <w:rFonts w:ascii="Courier New" w:eastAsia="MS Mincho" w:hAnsi="Courier New" w:cs="Times New Roman"/>
      <w:sz w:val="20"/>
      <w:lang w:val="en-US" w:bidi="th-TH"/>
    </w:rPr>
  </w:style>
  <w:style w:type="character" w:customStyle="1" w:styleId="PlainTextChar">
    <w:name w:val="Plain Text Char"/>
    <w:link w:val="PlainText"/>
    <w:rsid w:val="007B2C29"/>
    <w:rPr>
      <w:rFonts w:ascii="Courier New" w:eastAsia="MS Mincho" w:hAnsi="Courier New"/>
      <w:lang w:eastAsia="zh-CN" w:bidi="th-TH"/>
    </w:rPr>
  </w:style>
  <w:style w:type="paragraph" w:customStyle="1" w:styleId="Char5">
    <w:name w:val="Char 字元 字元5"/>
    <w:basedOn w:val="Normal"/>
    <w:rsid w:val="001F5E74"/>
    <w:pPr>
      <w:spacing w:after="160" w:line="240" w:lineRule="exact"/>
    </w:pPr>
    <w:rPr>
      <w:rFonts w:ascii="Verdana" w:eastAsia="PMingLiU" w:hAnsi="Verdana" w:cs="Times New Roman"/>
      <w:sz w:val="20"/>
      <w:lang w:val="en-US" w:eastAsia="en-US"/>
    </w:rPr>
  </w:style>
  <w:style w:type="paragraph" w:customStyle="1" w:styleId="Char4">
    <w:name w:val="Char 字元 字元4"/>
    <w:basedOn w:val="Normal"/>
    <w:rsid w:val="009665B1"/>
    <w:pPr>
      <w:spacing w:after="160" w:line="240" w:lineRule="exact"/>
    </w:pPr>
    <w:rPr>
      <w:rFonts w:ascii="Verdana" w:eastAsia="PMingLiU" w:hAnsi="Verdana" w:cs="Times New Roman"/>
      <w:sz w:val="20"/>
      <w:lang w:val="en-US" w:eastAsia="en-US"/>
    </w:rPr>
  </w:style>
  <w:style w:type="paragraph" w:customStyle="1" w:styleId="Char3">
    <w:name w:val="Char 字元 字元3"/>
    <w:basedOn w:val="Normal"/>
    <w:rsid w:val="00D7676D"/>
    <w:pPr>
      <w:spacing w:after="160" w:line="240" w:lineRule="exact"/>
    </w:pPr>
    <w:rPr>
      <w:rFonts w:ascii="Verdana" w:eastAsia="PMingLiU" w:hAnsi="Verdana" w:cs="Times New Roman"/>
      <w:sz w:val="20"/>
      <w:lang w:val="en-US" w:eastAsia="en-US"/>
    </w:rPr>
  </w:style>
  <w:style w:type="paragraph" w:customStyle="1" w:styleId="Char2">
    <w:name w:val="Char 字元 字元2"/>
    <w:basedOn w:val="Normal"/>
    <w:rsid w:val="00F97297"/>
    <w:pPr>
      <w:spacing w:after="160" w:line="240" w:lineRule="exact"/>
    </w:pPr>
    <w:rPr>
      <w:rFonts w:ascii="Verdana" w:eastAsia="PMingLiU" w:hAnsi="Verdana" w:cs="Times New Roman"/>
      <w:sz w:val="20"/>
      <w:lang w:val="en-US" w:eastAsia="en-US"/>
    </w:rPr>
  </w:style>
  <w:style w:type="paragraph" w:customStyle="1" w:styleId="Char1">
    <w:name w:val="Char 字元 字元1"/>
    <w:basedOn w:val="Normal"/>
    <w:rsid w:val="0082777F"/>
    <w:pPr>
      <w:spacing w:after="160" w:line="240" w:lineRule="exact"/>
    </w:pPr>
    <w:rPr>
      <w:rFonts w:ascii="Verdana" w:eastAsia="PMingLiU" w:hAnsi="Verdana" w:cs="Times New Roman"/>
      <w:sz w:val="20"/>
      <w:lang w:val="en-US" w:eastAsia="en-US"/>
    </w:rPr>
  </w:style>
  <w:style w:type="paragraph" w:customStyle="1" w:styleId="CharCharCharChar0">
    <w:name w:val="Char Char Char Char"/>
    <w:basedOn w:val="Normal"/>
    <w:rsid w:val="00AA72DC"/>
    <w:pPr>
      <w:spacing w:after="160" w:line="240" w:lineRule="exact"/>
    </w:pPr>
    <w:rPr>
      <w:rFonts w:ascii="Verdana" w:eastAsia="Times New Roman" w:hAnsi="Verdana" w:cs="Times New Roman"/>
      <w:sz w:val="20"/>
      <w:lang w:val="en-GB" w:eastAsia="en-US"/>
    </w:rPr>
  </w:style>
  <w:style w:type="paragraph" w:customStyle="1" w:styleId="CarCarCar0">
    <w:name w:val="Car Car Car"/>
    <w:basedOn w:val="Normal"/>
    <w:rsid w:val="00AA72DC"/>
    <w:pPr>
      <w:spacing w:after="160" w:line="240" w:lineRule="exact"/>
    </w:pPr>
    <w:rPr>
      <w:rFonts w:ascii="Verdana" w:eastAsia="PMingLiU" w:hAnsi="Verdana" w:cs="Times New Roman"/>
      <w:sz w:val="20"/>
      <w:lang w:val="en-US" w:eastAsia="en-US"/>
    </w:rPr>
  </w:style>
  <w:style w:type="numbering" w:customStyle="1" w:styleId="NoList1">
    <w:name w:val="No List1"/>
    <w:next w:val="NoList"/>
    <w:uiPriority w:val="99"/>
    <w:semiHidden/>
    <w:unhideWhenUsed/>
    <w:rsid w:val="00472C69"/>
  </w:style>
  <w:style w:type="character" w:customStyle="1" w:styleId="BodyTextChar">
    <w:name w:val="Body Text Char"/>
    <w:link w:val="BodyText"/>
    <w:rsid w:val="00472C69"/>
    <w:rPr>
      <w:rFonts w:ascii="Arial" w:eastAsia="SimSun" w:hAnsi="Arial" w:cs="Arial"/>
      <w:sz w:val="22"/>
      <w:lang w:eastAsia="zh-CN"/>
    </w:rPr>
  </w:style>
  <w:style w:type="paragraph" w:customStyle="1" w:styleId="Char0">
    <w:name w:val="Char 字元 字元"/>
    <w:basedOn w:val="Normal"/>
    <w:rsid w:val="00281871"/>
    <w:pPr>
      <w:spacing w:after="160" w:line="240" w:lineRule="exact"/>
    </w:pPr>
    <w:rPr>
      <w:rFonts w:ascii="Verdana" w:eastAsia="PMingLiU" w:hAnsi="Verdana" w:cs="Times New Roman"/>
      <w:sz w:val="20"/>
      <w:lang w:val="en-US" w:eastAsia="en-US"/>
    </w:rPr>
  </w:style>
  <w:style w:type="table" w:styleId="TableGrid">
    <w:name w:val="Table Grid"/>
    <w:basedOn w:val="TableNormal"/>
    <w:rsid w:val="0038388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na">
    <w:name w:val="Bona"/>
    <w:semiHidden/>
    <w:rsid w:val="00383888"/>
    <w:rPr>
      <w:rFonts w:ascii="Arial" w:hAnsi="Arial" w:cs="Arial"/>
      <w:color w:val="00008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uiPriority="99"/>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link w:val="Heading1Char"/>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link w:val="Heading3Char"/>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paragraph" w:styleId="Heading5">
    <w:name w:val="heading 5"/>
    <w:basedOn w:val="Heading4"/>
    <w:next w:val="Normal"/>
    <w:link w:val="Heading5Char"/>
    <w:qFormat/>
    <w:rsid w:val="007B2C29"/>
    <w:pPr>
      <w:tabs>
        <w:tab w:val="num" w:pos="1008"/>
      </w:tabs>
      <w:spacing w:before="0" w:after="0" w:line="300" w:lineRule="atLeast"/>
      <w:ind w:left="1008" w:hanging="1008"/>
      <w:outlineLvl w:val="4"/>
    </w:pPr>
    <w:rPr>
      <w:rFonts w:eastAsia="Times New Roman"/>
      <w:b/>
      <w:i w:val="0"/>
      <w:caps/>
      <w:color w:val="3E484E"/>
      <w:szCs w:val="26"/>
      <w:lang w:val="en-GB" w:eastAsia="da-DK"/>
    </w:rPr>
  </w:style>
  <w:style w:type="paragraph" w:styleId="Heading6">
    <w:name w:val="heading 6"/>
    <w:basedOn w:val="Heading5"/>
    <w:next w:val="Normal"/>
    <w:link w:val="Heading6Char"/>
    <w:qFormat/>
    <w:rsid w:val="007B2C29"/>
    <w:pPr>
      <w:tabs>
        <w:tab w:val="clear" w:pos="1008"/>
        <w:tab w:val="num" w:pos="1152"/>
      </w:tabs>
      <w:ind w:left="1152" w:hanging="1152"/>
      <w:outlineLvl w:val="5"/>
    </w:pPr>
  </w:style>
  <w:style w:type="paragraph" w:styleId="Heading7">
    <w:name w:val="heading 7"/>
    <w:basedOn w:val="Heading6"/>
    <w:next w:val="Normal"/>
    <w:link w:val="Heading7Char"/>
    <w:qFormat/>
    <w:rsid w:val="007B2C29"/>
    <w:pPr>
      <w:tabs>
        <w:tab w:val="clear" w:pos="1152"/>
        <w:tab w:val="num" w:pos="1296"/>
      </w:tabs>
      <w:ind w:left="1296" w:hanging="1296"/>
      <w:outlineLvl w:val="6"/>
    </w:pPr>
  </w:style>
  <w:style w:type="paragraph" w:styleId="Heading8">
    <w:name w:val="heading 8"/>
    <w:basedOn w:val="Heading7"/>
    <w:next w:val="Normal"/>
    <w:link w:val="Heading8Char"/>
    <w:qFormat/>
    <w:rsid w:val="007B2C29"/>
    <w:pPr>
      <w:tabs>
        <w:tab w:val="clear" w:pos="1296"/>
        <w:tab w:val="num" w:pos="1440"/>
      </w:tabs>
      <w:ind w:left="1440" w:hanging="1440"/>
      <w:outlineLvl w:val="7"/>
    </w:pPr>
  </w:style>
  <w:style w:type="paragraph" w:styleId="Heading9">
    <w:name w:val="heading 9"/>
    <w:basedOn w:val="Heading8"/>
    <w:next w:val="Normal"/>
    <w:link w:val="Heading9Char"/>
    <w:qFormat/>
    <w:rsid w:val="007B2C29"/>
    <w:pPr>
      <w:tabs>
        <w:tab w:val="clear" w:pos="1440"/>
        <w:tab w:val="num" w:pos="1584"/>
      </w:tabs>
      <w:ind w:left="1584" w:hanging="1584"/>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F779C"/>
    <w:rPr>
      <w:rFonts w:ascii="Arial" w:eastAsia="SimSun" w:hAnsi="Arial" w:cs="Arial"/>
      <w:b/>
      <w:bCs/>
      <w:caps/>
      <w:kern w:val="32"/>
      <w:sz w:val="22"/>
      <w:szCs w:val="32"/>
      <w:lang w:val="es-ES" w:eastAsia="zh-CN"/>
    </w:rPr>
  </w:style>
  <w:style w:type="character" w:customStyle="1" w:styleId="Heading2Char">
    <w:name w:val="Heading 2 Char"/>
    <w:link w:val="Heading2"/>
    <w:rsid w:val="007B2C29"/>
    <w:rPr>
      <w:rFonts w:ascii="Arial" w:eastAsia="SimSun" w:hAnsi="Arial" w:cs="Arial"/>
      <w:bCs/>
      <w:iCs/>
      <w:caps/>
      <w:sz w:val="22"/>
      <w:szCs w:val="28"/>
      <w:lang w:val="es-ES" w:eastAsia="zh-CN"/>
    </w:rPr>
  </w:style>
  <w:style w:type="character" w:customStyle="1" w:styleId="Heading3Char">
    <w:name w:val="Heading 3 Char"/>
    <w:link w:val="Heading3"/>
    <w:rsid w:val="007B2C29"/>
    <w:rPr>
      <w:rFonts w:ascii="Arial" w:eastAsia="SimSun" w:hAnsi="Arial" w:cs="Arial"/>
      <w:bCs/>
      <w:sz w:val="22"/>
      <w:szCs w:val="26"/>
      <w:u w:val="single"/>
      <w:lang w:val="es-ES" w:eastAsia="zh-CN"/>
    </w:rPr>
  </w:style>
  <w:style w:type="character" w:customStyle="1" w:styleId="Heading5Char">
    <w:name w:val="Heading 5 Char"/>
    <w:link w:val="Heading5"/>
    <w:rsid w:val="007B2C29"/>
    <w:rPr>
      <w:rFonts w:ascii="Arial" w:hAnsi="Arial" w:cs="Arial"/>
      <w:b/>
      <w:bCs/>
      <w:caps/>
      <w:color w:val="3E484E"/>
      <w:sz w:val="22"/>
      <w:szCs w:val="26"/>
      <w:lang w:val="en-GB" w:eastAsia="da-DK"/>
    </w:rPr>
  </w:style>
  <w:style w:type="character" w:customStyle="1" w:styleId="Heading6Char">
    <w:name w:val="Heading 6 Char"/>
    <w:link w:val="Heading6"/>
    <w:rsid w:val="007B2C29"/>
    <w:rPr>
      <w:rFonts w:ascii="Arial" w:hAnsi="Arial" w:cs="Arial"/>
      <w:b/>
      <w:bCs/>
      <w:caps/>
      <w:color w:val="3E484E"/>
      <w:sz w:val="22"/>
      <w:szCs w:val="26"/>
      <w:lang w:val="en-GB" w:eastAsia="da-DK"/>
    </w:rPr>
  </w:style>
  <w:style w:type="character" w:customStyle="1" w:styleId="Heading7Char">
    <w:name w:val="Heading 7 Char"/>
    <w:link w:val="Heading7"/>
    <w:rsid w:val="007B2C29"/>
    <w:rPr>
      <w:rFonts w:ascii="Arial" w:hAnsi="Arial" w:cs="Arial"/>
      <w:b/>
      <w:bCs/>
      <w:caps/>
      <w:color w:val="3E484E"/>
      <w:sz w:val="22"/>
      <w:szCs w:val="26"/>
      <w:lang w:val="en-GB" w:eastAsia="da-DK"/>
    </w:rPr>
  </w:style>
  <w:style w:type="character" w:customStyle="1" w:styleId="Heading8Char">
    <w:name w:val="Heading 8 Char"/>
    <w:link w:val="Heading8"/>
    <w:rsid w:val="007B2C29"/>
    <w:rPr>
      <w:rFonts w:ascii="Arial" w:hAnsi="Arial" w:cs="Arial"/>
      <w:b/>
      <w:bCs/>
      <w:caps/>
      <w:color w:val="3E484E"/>
      <w:sz w:val="22"/>
      <w:szCs w:val="26"/>
      <w:lang w:val="en-GB" w:eastAsia="da-DK"/>
    </w:rPr>
  </w:style>
  <w:style w:type="character" w:customStyle="1" w:styleId="Heading9Char">
    <w:name w:val="Heading 9 Char"/>
    <w:link w:val="Heading9"/>
    <w:rsid w:val="007B2C29"/>
    <w:rPr>
      <w:rFonts w:ascii="Arial" w:hAnsi="Arial" w:cs="Arial"/>
      <w:b/>
      <w:bCs/>
      <w:caps/>
      <w:color w:val="3E484E"/>
      <w:sz w:val="22"/>
      <w:szCs w:val="26"/>
      <w:lang w:val="en-GB" w:eastAsia="da-DK"/>
    </w:rPr>
  </w:style>
  <w:style w:type="paragraph" w:styleId="BodyText">
    <w:name w:val="Body Text"/>
    <w:basedOn w:val="Normal"/>
    <w:link w:val="BodyTextChar"/>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
    <w:semiHidden/>
    <w:rsid w:val="00A32C9E"/>
    <w:rPr>
      <w:sz w:val="18"/>
    </w:rPr>
  </w:style>
  <w:style w:type="character" w:customStyle="1" w:styleId="CommentTextChar">
    <w:name w:val="Comment Text Char"/>
    <w:link w:val="CommentText"/>
    <w:semiHidden/>
    <w:locked/>
    <w:rsid w:val="007B2C29"/>
    <w:rPr>
      <w:rFonts w:ascii="Arial" w:eastAsia="SimSun" w:hAnsi="Arial" w:cs="Arial"/>
      <w:sz w:val="18"/>
      <w:lang w:val="es-ES" w:eastAsia="zh-CN"/>
    </w:rPr>
  </w:style>
  <w:style w:type="paragraph" w:styleId="EndnoteText">
    <w:name w:val="endnote text"/>
    <w:basedOn w:val="Normal"/>
    <w:semiHidden/>
    <w:rsid w:val="00A32C9E"/>
    <w:rPr>
      <w:sz w:val="18"/>
    </w:rPr>
  </w:style>
  <w:style w:type="paragraph" w:styleId="Footer">
    <w:name w:val="footer"/>
    <w:basedOn w:val="Normal"/>
    <w:link w:val="FooterChar"/>
    <w:rsid w:val="00A32C9E"/>
    <w:pPr>
      <w:tabs>
        <w:tab w:val="center" w:pos="4320"/>
        <w:tab w:val="right" w:pos="8640"/>
      </w:tabs>
    </w:pPr>
  </w:style>
  <w:style w:type="character" w:customStyle="1" w:styleId="FooterChar">
    <w:name w:val="Footer Char"/>
    <w:link w:val="Footer"/>
    <w:rsid w:val="00FF779C"/>
    <w:rPr>
      <w:rFonts w:ascii="Arial" w:eastAsia="SimSun" w:hAnsi="Arial" w:cs="Arial"/>
      <w:sz w:val="22"/>
      <w:lang w:val="es-ES" w:eastAsia="zh-CN"/>
    </w:rPr>
  </w:style>
  <w:style w:type="paragraph" w:styleId="FootnoteText">
    <w:name w:val="footnote text"/>
    <w:basedOn w:val="Normal"/>
    <w:link w:val="FootnoteTextChar"/>
    <w:semiHidden/>
    <w:rsid w:val="00A32C9E"/>
    <w:rPr>
      <w:sz w:val="18"/>
    </w:rPr>
  </w:style>
  <w:style w:type="character" w:customStyle="1" w:styleId="FootnoteTextChar">
    <w:name w:val="Footnote Text Char"/>
    <w:link w:val="FootnoteText"/>
    <w:semiHidden/>
    <w:rsid w:val="00FF779C"/>
    <w:rPr>
      <w:rFonts w:ascii="Arial" w:eastAsia="SimSun" w:hAnsi="Arial" w:cs="Arial"/>
      <w:sz w:val="18"/>
      <w:lang w:val="es-ES" w:eastAsia="zh-CN"/>
    </w:rPr>
  </w:style>
  <w:style w:type="paragraph" w:customStyle="1" w:styleId="Endofdocument-Annex">
    <w:name w:val="[End of document - Annex]"/>
    <w:basedOn w:val="Normal"/>
    <w:rsid w:val="00815082"/>
    <w:pPr>
      <w:ind w:left="5534"/>
    </w:pPr>
    <w:rPr>
      <w:lang w:val="en-US"/>
    </w:rPr>
  </w:style>
  <w:style w:type="paragraph" w:customStyle="1" w:styleId="Char">
    <w:name w:val="Char 字元 字元"/>
    <w:basedOn w:val="Normal"/>
    <w:rsid w:val="00A83B83"/>
    <w:pPr>
      <w:spacing w:after="160" w:line="240" w:lineRule="exact"/>
    </w:pPr>
    <w:rPr>
      <w:rFonts w:ascii="Verdana" w:eastAsia="PMingLiU" w:hAnsi="Verdana" w:cs="Times New Roman"/>
      <w:sz w:val="20"/>
      <w:lang w:val="en-US" w:eastAsia="en-US"/>
    </w:rPr>
  </w:style>
  <w:style w:type="paragraph" w:styleId="Header">
    <w:name w:val="header"/>
    <w:basedOn w:val="Normal"/>
    <w:link w:val="HeaderChar"/>
    <w:uiPriority w:val="99"/>
    <w:rsid w:val="00A32C9E"/>
    <w:pPr>
      <w:tabs>
        <w:tab w:val="center" w:pos="4536"/>
        <w:tab w:val="right" w:pos="9072"/>
      </w:tabs>
    </w:pPr>
  </w:style>
  <w:style w:type="character" w:customStyle="1" w:styleId="HeaderChar">
    <w:name w:val="Header Char"/>
    <w:link w:val="Header"/>
    <w:uiPriority w:val="99"/>
    <w:rsid w:val="00FF779C"/>
    <w:rPr>
      <w:rFonts w:ascii="Arial" w:eastAsia="SimSun" w:hAnsi="Arial" w:cs="Arial"/>
      <w:sz w:val="22"/>
      <w:lang w:val="es-ES" w:eastAsia="zh-CN"/>
    </w:rPr>
  </w:style>
  <w:style w:type="paragraph" w:styleId="ListNumber">
    <w:name w:val="List Number"/>
    <w:basedOn w:val="Normal"/>
    <w:semiHidden/>
    <w:rsid w:val="00A32C9E"/>
    <w:pPr>
      <w:numPr>
        <w:numId w:val="1"/>
      </w:numPr>
    </w:pPr>
  </w:style>
  <w:style w:type="paragraph" w:customStyle="1" w:styleId="ONUME">
    <w:name w:val="ONUM E"/>
    <w:basedOn w:val="BodyText"/>
    <w:rsid w:val="00A32C9E"/>
    <w:pPr>
      <w:numPr>
        <w:numId w:val="2"/>
      </w:numPr>
    </w:pPr>
  </w:style>
  <w:style w:type="paragraph" w:customStyle="1" w:styleId="ONUMFS">
    <w:name w:val="ONUM FS"/>
    <w:basedOn w:val="BodyText"/>
    <w:rsid w:val="00A32C9E"/>
    <w:pPr>
      <w:numPr>
        <w:numId w:val="3"/>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customStyle="1" w:styleId="CharCharCharChar">
    <w:name w:val="Char Char Char Char"/>
    <w:basedOn w:val="Normal"/>
    <w:rsid w:val="007B2C29"/>
    <w:pPr>
      <w:spacing w:after="160" w:line="240" w:lineRule="exact"/>
    </w:pPr>
    <w:rPr>
      <w:rFonts w:ascii="Verdana" w:eastAsia="Times New Roman" w:hAnsi="Verdana" w:cs="Times New Roman"/>
      <w:sz w:val="20"/>
      <w:lang w:val="en-GB" w:eastAsia="en-US"/>
    </w:rPr>
  </w:style>
  <w:style w:type="paragraph" w:styleId="BalloonText">
    <w:name w:val="Balloon Text"/>
    <w:basedOn w:val="Normal"/>
    <w:link w:val="BalloonTextChar"/>
    <w:rsid w:val="007B2C29"/>
    <w:rPr>
      <w:rFonts w:ascii="Tahoma" w:eastAsia="Times New Roman" w:hAnsi="Tahoma" w:cs="Tahoma"/>
      <w:sz w:val="16"/>
      <w:szCs w:val="16"/>
      <w:lang w:val="en-US" w:eastAsia="en-US"/>
    </w:rPr>
  </w:style>
  <w:style w:type="character" w:customStyle="1" w:styleId="BalloonTextChar">
    <w:name w:val="Balloon Text Char"/>
    <w:link w:val="BalloonText"/>
    <w:rsid w:val="007B2C29"/>
    <w:rPr>
      <w:rFonts w:ascii="Tahoma" w:hAnsi="Tahoma" w:cs="Tahoma"/>
      <w:sz w:val="16"/>
      <w:szCs w:val="16"/>
    </w:rPr>
  </w:style>
  <w:style w:type="paragraph" w:styleId="BodyTextIndent">
    <w:name w:val="Body Text Indent"/>
    <w:basedOn w:val="Normal"/>
    <w:link w:val="BodyTextIndentChar"/>
    <w:rsid w:val="007B2C29"/>
    <w:pPr>
      <w:ind w:left="567"/>
    </w:pPr>
    <w:rPr>
      <w:rFonts w:ascii="Times New Roman" w:eastAsia="Times New Roman" w:hAnsi="Times New Roman" w:cs="Times New Roman"/>
      <w:sz w:val="24"/>
      <w:lang w:val="en-US" w:eastAsia="en-US"/>
    </w:rPr>
  </w:style>
  <w:style w:type="character" w:customStyle="1" w:styleId="BodyTextIndentChar">
    <w:name w:val="Body Text Indent Char"/>
    <w:link w:val="BodyTextIndent"/>
    <w:rsid w:val="007B2C29"/>
    <w:rPr>
      <w:sz w:val="24"/>
    </w:rPr>
  </w:style>
  <w:style w:type="character" w:customStyle="1" w:styleId="hps">
    <w:name w:val="hps"/>
    <w:basedOn w:val="DefaultParagraphFont"/>
    <w:rsid w:val="007B2C29"/>
  </w:style>
  <w:style w:type="paragraph" w:styleId="ListParagraph">
    <w:name w:val="List Paragraph"/>
    <w:basedOn w:val="Normal"/>
    <w:qFormat/>
    <w:rsid w:val="007B2C29"/>
    <w:pPr>
      <w:spacing w:after="200" w:line="276" w:lineRule="auto"/>
      <w:ind w:left="720"/>
      <w:contextualSpacing/>
    </w:pPr>
    <w:rPr>
      <w:rFonts w:ascii="Calibri" w:eastAsia="Times New Roman" w:hAnsi="Calibri" w:cs="Times New Roman"/>
      <w:szCs w:val="22"/>
      <w:lang w:val="en-US" w:eastAsia="en-US"/>
    </w:rPr>
  </w:style>
  <w:style w:type="character" w:styleId="FootnoteReference">
    <w:name w:val="footnote reference"/>
    <w:rsid w:val="007B2C29"/>
    <w:rPr>
      <w:vertAlign w:val="superscript"/>
    </w:rPr>
  </w:style>
  <w:style w:type="character" w:styleId="PageNumber">
    <w:name w:val="page number"/>
    <w:basedOn w:val="DefaultParagraphFont"/>
    <w:rsid w:val="007B2C29"/>
  </w:style>
  <w:style w:type="paragraph" w:customStyle="1" w:styleId="1">
    <w:name w:val="1"/>
    <w:basedOn w:val="Normal"/>
    <w:rsid w:val="007B2C29"/>
    <w:pPr>
      <w:spacing w:after="160" w:line="240" w:lineRule="exact"/>
    </w:pPr>
    <w:rPr>
      <w:rFonts w:ascii="Verdana" w:eastAsia="Times New Roman" w:hAnsi="Verdana" w:cs="Times New Roman"/>
      <w:sz w:val="20"/>
      <w:lang w:val="en-GB" w:eastAsia="en-US"/>
    </w:rPr>
  </w:style>
  <w:style w:type="paragraph" w:styleId="TOC2">
    <w:name w:val="toc 2"/>
    <w:basedOn w:val="Normal"/>
    <w:next w:val="Normal"/>
    <w:autoRedefine/>
    <w:uiPriority w:val="39"/>
    <w:rsid w:val="005700FC"/>
    <w:pPr>
      <w:tabs>
        <w:tab w:val="left" w:pos="907"/>
        <w:tab w:val="left" w:pos="2608"/>
        <w:tab w:val="right" w:leader="dot" w:pos="9061"/>
      </w:tabs>
      <w:spacing w:before="120" w:after="120"/>
      <w:ind w:left="1701" w:hanging="1463"/>
    </w:pPr>
    <w:rPr>
      <w:rFonts w:eastAsia="Times New Roman" w:cs="Times New Roman"/>
      <w:b/>
      <w:noProof/>
      <w:sz w:val="20"/>
      <w:lang w:val="es-ES_tradnl" w:eastAsia="da-DK"/>
    </w:rPr>
  </w:style>
  <w:style w:type="character" w:styleId="Hyperlink">
    <w:name w:val="Hyperlink"/>
    <w:uiPriority w:val="99"/>
    <w:rsid w:val="007B2C29"/>
    <w:rPr>
      <w:color w:val="0000FF"/>
      <w:u w:val="single"/>
    </w:rPr>
  </w:style>
  <w:style w:type="paragraph" w:customStyle="1" w:styleId="StyleHeading3ComplexItalic">
    <w:name w:val="Style Heading 3 + (Complex) Italic"/>
    <w:basedOn w:val="Heading3"/>
    <w:link w:val="StyleHeading3ComplexItalicChar"/>
    <w:rsid w:val="007B2C29"/>
    <w:pPr>
      <w:tabs>
        <w:tab w:val="left" w:pos="1985"/>
      </w:tabs>
      <w:spacing w:before="0" w:after="0"/>
    </w:pPr>
    <w:rPr>
      <w:rFonts w:eastAsia="Times New Roman"/>
      <w:b/>
      <w:bCs w:val="0"/>
      <w:iCs/>
      <w:caps/>
      <w:szCs w:val="22"/>
      <w:u w:val="none"/>
      <w:lang w:val="en-US" w:eastAsia="en-US"/>
    </w:rPr>
  </w:style>
  <w:style w:type="character" w:customStyle="1" w:styleId="StyleHeading3ComplexItalicChar">
    <w:name w:val="Style Heading 3 + (Complex) Italic Char"/>
    <w:link w:val="StyleHeading3ComplexItalic"/>
    <w:rsid w:val="007B2C29"/>
    <w:rPr>
      <w:rFonts w:ascii="Arial" w:hAnsi="Arial" w:cs="Arial"/>
      <w:b/>
      <w:iCs/>
      <w:caps/>
      <w:sz w:val="22"/>
      <w:szCs w:val="22"/>
    </w:rPr>
  </w:style>
  <w:style w:type="paragraph" w:styleId="TOC3">
    <w:name w:val="toc 3"/>
    <w:basedOn w:val="Normal"/>
    <w:next w:val="Normal"/>
    <w:autoRedefine/>
    <w:uiPriority w:val="39"/>
    <w:rsid w:val="00AA3230"/>
    <w:pPr>
      <w:tabs>
        <w:tab w:val="left" w:pos="1134"/>
        <w:tab w:val="left" w:pos="2619"/>
        <w:tab w:val="right" w:leader="dot" w:pos="9061"/>
      </w:tabs>
      <w:spacing w:after="60"/>
      <w:ind w:left="567"/>
    </w:pPr>
    <w:rPr>
      <w:rFonts w:eastAsia="Times New Roman" w:cs="Times New Roman"/>
      <w:noProof/>
      <w:sz w:val="20"/>
      <w:lang w:val="en-US" w:eastAsia="en-US"/>
    </w:rPr>
  </w:style>
  <w:style w:type="paragraph" w:customStyle="1" w:styleId="StyleHeading214ptAuto">
    <w:name w:val="Style Heading 2 + 14 pt Auto"/>
    <w:basedOn w:val="Heading2"/>
    <w:rsid w:val="007B2C29"/>
    <w:pPr>
      <w:keepNext w:val="0"/>
      <w:widowControl w:val="0"/>
      <w:tabs>
        <w:tab w:val="num" w:pos="567"/>
      </w:tabs>
      <w:spacing w:before="0" w:after="0" w:line="300" w:lineRule="atLeast"/>
      <w:ind w:left="567" w:hanging="567"/>
      <w:jc w:val="center"/>
    </w:pPr>
    <w:rPr>
      <w:rFonts w:ascii="Arial Bold" w:eastAsia="Times New Roman" w:hAnsi="Arial Bold"/>
      <w:b/>
      <w:sz w:val="24"/>
      <w:lang w:val="en-GB" w:eastAsia="da-DK"/>
    </w:rPr>
  </w:style>
  <w:style w:type="paragraph" w:styleId="NormalWeb">
    <w:name w:val="Normal (Web)"/>
    <w:basedOn w:val="Normal"/>
    <w:rsid w:val="007B2C29"/>
    <w:pPr>
      <w:spacing w:before="100" w:beforeAutospacing="1" w:after="100" w:afterAutospacing="1"/>
    </w:pPr>
    <w:rPr>
      <w:rFonts w:eastAsia="Times New Roman"/>
      <w:sz w:val="18"/>
      <w:szCs w:val="18"/>
      <w:lang w:val="en-US" w:eastAsia="en-US"/>
    </w:rPr>
  </w:style>
  <w:style w:type="paragraph" w:styleId="TOC1">
    <w:name w:val="toc 1"/>
    <w:basedOn w:val="Normal"/>
    <w:next w:val="Normal"/>
    <w:autoRedefine/>
    <w:uiPriority w:val="39"/>
    <w:rsid w:val="00406FE5"/>
    <w:pPr>
      <w:tabs>
        <w:tab w:val="left" w:pos="567"/>
        <w:tab w:val="right" w:leader="dot" w:pos="9061"/>
      </w:tabs>
      <w:spacing w:before="120" w:after="120"/>
    </w:pPr>
    <w:rPr>
      <w:rFonts w:eastAsia="Times New Roman" w:cs="Times New Roman"/>
      <w:b/>
      <w:noProof/>
      <w:lang w:val="es-ES_tradnl" w:eastAsia="en-US"/>
    </w:rPr>
  </w:style>
  <w:style w:type="paragraph" w:customStyle="1" w:styleId="NormalArial">
    <w:name w:val="Normal + Arial"/>
    <w:aliases w:val="10 pt"/>
    <w:basedOn w:val="ListParagraph"/>
    <w:rsid w:val="007B2C29"/>
    <w:pPr>
      <w:spacing w:after="0" w:line="240" w:lineRule="auto"/>
      <w:ind w:left="-28"/>
      <w:contextualSpacing w:val="0"/>
    </w:pPr>
    <w:rPr>
      <w:rFonts w:ascii="Arial" w:eastAsia="MS Mincho" w:hAnsi="Arial" w:cs="Arial"/>
      <w:bCs/>
      <w:sz w:val="20"/>
      <w:szCs w:val="20"/>
      <w:lang w:eastAsia="ja-JP"/>
    </w:rPr>
  </w:style>
  <w:style w:type="paragraph" w:customStyle="1" w:styleId="Default">
    <w:name w:val="Default"/>
    <w:rsid w:val="007B2C29"/>
    <w:pPr>
      <w:autoSpaceDE w:val="0"/>
      <w:autoSpaceDN w:val="0"/>
      <w:adjustRightInd w:val="0"/>
    </w:pPr>
    <w:rPr>
      <w:rFonts w:ascii="Arial" w:hAnsi="Arial" w:cs="Arial"/>
      <w:color w:val="000000"/>
      <w:sz w:val="24"/>
      <w:szCs w:val="24"/>
    </w:rPr>
  </w:style>
  <w:style w:type="paragraph" w:customStyle="1" w:styleId="Normal6">
    <w:name w:val="Normal+6"/>
    <w:basedOn w:val="Normal"/>
    <w:next w:val="Normal"/>
    <w:rsid w:val="007B2C29"/>
    <w:pPr>
      <w:autoSpaceDE w:val="0"/>
      <w:autoSpaceDN w:val="0"/>
      <w:adjustRightInd w:val="0"/>
    </w:pPr>
    <w:rPr>
      <w:rFonts w:eastAsia="Times New Roman" w:cs="Times New Roman"/>
      <w:sz w:val="24"/>
      <w:szCs w:val="24"/>
      <w:lang w:val="en-US" w:eastAsia="en-US"/>
    </w:rPr>
  </w:style>
  <w:style w:type="character" w:styleId="CommentReference">
    <w:name w:val="annotation reference"/>
    <w:rsid w:val="007B2C29"/>
    <w:rPr>
      <w:sz w:val="16"/>
      <w:szCs w:val="16"/>
    </w:rPr>
  </w:style>
  <w:style w:type="paragraph" w:customStyle="1" w:styleId="StyleStyleHeading3ComplexItalicLatin12pt">
    <w:name w:val="Style Style Heading 3 + (Complex) Italic + (Latin) 12 pt"/>
    <w:basedOn w:val="StyleHeading3ComplexItalic"/>
    <w:link w:val="StyleStyleHeading3ComplexItalicLatin12ptChar"/>
    <w:rsid w:val="007B2C29"/>
  </w:style>
  <w:style w:type="character" w:customStyle="1" w:styleId="StyleStyleHeading3ComplexItalicLatin12ptChar">
    <w:name w:val="Style Style Heading 3 + (Complex) Italic + (Latin) 12 pt Char"/>
    <w:link w:val="StyleStyleHeading3ComplexItalicLatin12pt"/>
    <w:rsid w:val="007B2C29"/>
    <w:rPr>
      <w:rFonts w:ascii="Arial" w:hAnsi="Arial" w:cs="Arial"/>
      <w:b/>
      <w:iCs/>
      <w:caps/>
      <w:sz w:val="22"/>
      <w:szCs w:val="22"/>
    </w:rPr>
  </w:style>
  <w:style w:type="character" w:customStyle="1" w:styleId="paracolourtext1">
    <w:name w:val="paracolourtext1"/>
    <w:rsid w:val="007B2C29"/>
    <w:rPr>
      <w:b w:val="0"/>
      <w:bCs w:val="0"/>
      <w:i w:val="0"/>
      <w:iCs w:val="0"/>
      <w:color w:val="800000"/>
      <w:sz w:val="20"/>
      <w:szCs w:val="20"/>
    </w:rPr>
  </w:style>
  <w:style w:type="paragraph" w:customStyle="1" w:styleId="Body">
    <w:name w:val="Body"/>
    <w:rsid w:val="007B2C29"/>
    <w:rPr>
      <w:rFonts w:ascii="Helvetica" w:eastAsia="ヒラギノ角ゴ Pro W3" w:hAnsi="Helvetica" w:cs="Angsana New"/>
      <w:color w:val="000000"/>
      <w:sz w:val="24"/>
      <w:lang w:bidi="th-TH"/>
    </w:rPr>
  </w:style>
  <w:style w:type="paragraph" w:customStyle="1" w:styleId="tes1">
    <w:name w:val="tes1"/>
    <w:basedOn w:val="Normal"/>
    <w:rsid w:val="007B2C29"/>
    <w:pPr>
      <w:suppressAutoHyphens/>
      <w:ind w:left="1134" w:right="2195"/>
      <w:jc w:val="both"/>
    </w:pPr>
    <w:rPr>
      <w:rFonts w:ascii="Times New Roman" w:eastAsia="Times New Roman" w:hAnsi="Times New Roman" w:cs="Times New Roman"/>
      <w:b/>
      <w:spacing w:val="4"/>
      <w:w w:val="103"/>
      <w:kern w:val="14"/>
      <w:sz w:val="20"/>
      <w:lang w:val="en-GB" w:eastAsia="en-US"/>
    </w:rPr>
  </w:style>
  <w:style w:type="paragraph" w:customStyle="1" w:styleId="Style10">
    <w:name w:val="Style10"/>
    <w:basedOn w:val="Normal"/>
    <w:autoRedefine/>
    <w:rsid w:val="007B2C29"/>
    <w:pPr>
      <w:tabs>
        <w:tab w:val="left" w:pos="340"/>
        <w:tab w:val="left" w:pos="680"/>
        <w:tab w:val="left" w:pos="1021"/>
        <w:tab w:val="left" w:pos="1361"/>
      </w:tabs>
      <w:suppressAutoHyphens/>
      <w:jc w:val="both"/>
    </w:pPr>
    <w:rPr>
      <w:rFonts w:ascii="Times New Roman" w:eastAsia="Times New Roman" w:hAnsi="Times New Roman" w:cs="Times New Roman"/>
      <w:snapToGrid w:val="0"/>
      <w:sz w:val="20"/>
      <w:lang w:val="en-US" w:eastAsia="en-US"/>
    </w:rPr>
  </w:style>
  <w:style w:type="paragraph" w:customStyle="1" w:styleId="Style11">
    <w:name w:val="Style11"/>
    <w:basedOn w:val="FootnoteText"/>
    <w:autoRedefine/>
    <w:rsid w:val="007B2C29"/>
    <w:pPr>
      <w:suppressAutoHyphens/>
      <w:ind w:firstLine="340"/>
      <w:jc w:val="both"/>
    </w:pPr>
    <w:rPr>
      <w:rFonts w:ascii="Times New Roman" w:eastAsia="Times New Roman" w:hAnsi="Times New Roman" w:cs="Times New Roman"/>
      <w:snapToGrid w:val="0"/>
      <w:sz w:val="16"/>
      <w:lang w:val="en-US" w:eastAsia="en-US"/>
    </w:rPr>
  </w:style>
  <w:style w:type="paragraph" w:styleId="Title">
    <w:name w:val="Title"/>
    <w:basedOn w:val="Normal"/>
    <w:link w:val="TitleChar"/>
    <w:qFormat/>
    <w:rsid w:val="007B2C29"/>
    <w:pPr>
      <w:jc w:val="center"/>
    </w:pPr>
    <w:rPr>
      <w:rFonts w:ascii="Times New Roman" w:eastAsia="Times New Roman" w:hAnsi="Times New Roman" w:cs="Times New Roman"/>
      <w:b/>
      <w:sz w:val="24"/>
      <w:lang w:val="en-US" w:eastAsia="en-US"/>
    </w:rPr>
  </w:style>
  <w:style w:type="character" w:customStyle="1" w:styleId="TitleChar">
    <w:name w:val="Title Char"/>
    <w:link w:val="Title"/>
    <w:rsid w:val="007B2C29"/>
    <w:rPr>
      <w:b/>
      <w:sz w:val="24"/>
    </w:rPr>
  </w:style>
  <w:style w:type="paragraph" w:styleId="Subtitle">
    <w:name w:val="Subtitle"/>
    <w:basedOn w:val="Normal"/>
    <w:link w:val="SubtitleChar"/>
    <w:qFormat/>
    <w:rsid w:val="007B2C29"/>
    <w:pPr>
      <w:jc w:val="center"/>
    </w:pPr>
    <w:rPr>
      <w:rFonts w:ascii="Times New Roman" w:eastAsia="Times New Roman" w:hAnsi="Times New Roman" w:cs="Times New Roman"/>
      <w:b/>
      <w:caps/>
      <w:color w:val="0000FF"/>
      <w:sz w:val="28"/>
      <w:lang w:val="en-US" w:eastAsia="en-US"/>
    </w:rPr>
  </w:style>
  <w:style w:type="character" w:customStyle="1" w:styleId="SubtitleChar">
    <w:name w:val="Subtitle Char"/>
    <w:link w:val="Subtitle"/>
    <w:rsid w:val="007B2C29"/>
    <w:rPr>
      <w:b/>
      <w:caps/>
      <w:color w:val="0000FF"/>
      <w:sz w:val="28"/>
    </w:rPr>
  </w:style>
  <w:style w:type="paragraph" w:customStyle="1" w:styleId="Endofdocument">
    <w:name w:val="End of document"/>
    <w:basedOn w:val="Normal"/>
    <w:rsid w:val="007B2C29"/>
    <w:pPr>
      <w:ind w:left="4536"/>
      <w:jc w:val="center"/>
    </w:pPr>
    <w:rPr>
      <w:rFonts w:ascii="Times New Roman" w:eastAsia="Times New Roman" w:hAnsi="Times New Roman" w:cs="Times New Roman"/>
      <w:sz w:val="24"/>
      <w:lang w:val="en-US" w:eastAsia="en-US"/>
    </w:rPr>
  </w:style>
  <w:style w:type="paragraph" w:styleId="BodyTextIndent2">
    <w:name w:val="Body Text Indent 2"/>
    <w:basedOn w:val="Normal"/>
    <w:link w:val="BodyTextIndent2Char"/>
    <w:rsid w:val="007B2C29"/>
    <w:pPr>
      <w:tabs>
        <w:tab w:val="left" w:pos="714"/>
      </w:tabs>
      <w:spacing w:after="100"/>
      <w:ind w:hanging="6"/>
      <w:jc w:val="both"/>
    </w:pPr>
    <w:rPr>
      <w:rFonts w:eastAsia="Times New Roman" w:cs="Times New Roman"/>
      <w:snapToGrid w:val="0"/>
      <w:color w:val="000000"/>
      <w:sz w:val="20"/>
      <w:lang w:val="en-US" w:eastAsia="en-US"/>
    </w:rPr>
  </w:style>
  <w:style w:type="character" w:customStyle="1" w:styleId="BodyTextIndent2Char">
    <w:name w:val="Body Text Indent 2 Char"/>
    <w:link w:val="BodyTextIndent2"/>
    <w:rsid w:val="007B2C29"/>
    <w:rPr>
      <w:rFonts w:ascii="Arial" w:hAnsi="Arial"/>
      <w:snapToGrid w:val="0"/>
      <w:color w:val="000000"/>
    </w:rPr>
  </w:style>
  <w:style w:type="paragraph" w:customStyle="1" w:styleId="3029-Titrechapitre">
    <w:name w:val="3029-Titre chapitre"/>
    <w:basedOn w:val="Heading1"/>
    <w:rsid w:val="007B2C29"/>
    <w:pPr>
      <w:spacing w:before="0" w:after="0"/>
    </w:pPr>
    <w:rPr>
      <w:rFonts w:ascii="Arial Black" w:eastAsia="Times" w:hAnsi="Arial Black" w:cs="Times New Roman"/>
      <w:b w:val="0"/>
      <w:bCs w:val="0"/>
      <w:caps w:val="0"/>
      <w:color w:val="000080"/>
      <w:kern w:val="0"/>
      <w:sz w:val="30"/>
      <w:szCs w:val="20"/>
      <w:lang w:val="fr-FR" w:eastAsia="en-US"/>
    </w:rPr>
  </w:style>
  <w:style w:type="character" w:customStyle="1" w:styleId="underline">
    <w:name w:val="underline"/>
    <w:rsid w:val="007B2C29"/>
    <w:rPr>
      <w:u w:val="single"/>
    </w:rPr>
  </w:style>
  <w:style w:type="paragraph" w:customStyle="1" w:styleId="zanxhead">
    <w:name w:val="zanxhead"/>
    <w:basedOn w:val="Normal"/>
    <w:rsid w:val="007B2C29"/>
    <w:pPr>
      <w:spacing w:before="200"/>
    </w:pPr>
    <w:rPr>
      <w:rFonts w:ascii="Times New Roman" w:eastAsia="Times New Roman" w:hAnsi="Times New Roman" w:cs="Times New Roman"/>
      <w:b/>
      <w:color w:val="0000FF"/>
      <w:sz w:val="24"/>
      <w:lang w:val="en-US" w:eastAsia="en-US"/>
    </w:rPr>
  </w:style>
  <w:style w:type="paragraph" w:customStyle="1" w:styleId="zanxtext">
    <w:name w:val="zanxtext"/>
    <w:basedOn w:val="Normal"/>
    <w:rsid w:val="007B2C29"/>
    <w:pPr>
      <w:spacing w:before="120"/>
    </w:pPr>
    <w:rPr>
      <w:rFonts w:ascii="Times New Roman" w:eastAsia="Times New Roman" w:hAnsi="Times New Roman" w:cs="Times New Roman"/>
      <w:sz w:val="24"/>
      <w:lang w:val="en-US" w:eastAsia="en-US"/>
    </w:rPr>
  </w:style>
  <w:style w:type="paragraph" w:styleId="BodyText2">
    <w:name w:val="Body Text 2"/>
    <w:basedOn w:val="Normal"/>
    <w:link w:val="BodyText2Char"/>
    <w:rsid w:val="007B2C29"/>
    <w:pPr>
      <w:keepNext/>
      <w:jc w:val="both"/>
    </w:pPr>
    <w:rPr>
      <w:rFonts w:eastAsia="Times New Roman" w:cs="Times New Roman"/>
      <w:sz w:val="20"/>
      <w:lang w:val="en-US" w:eastAsia="en-US"/>
    </w:rPr>
  </w:style>
  <w:style w:type="character" w:customStyle="1" w:styleId="BodyText2Char">
    <w:name w:val="Body Text 2 Char"/>
    <w:link w:val="BodyText2"/>
    <w:rsid w:val="007B2C29"/>
    <w:rPr>
      <w:rFonts w:ascii="Arial" w:hAnsi="Arial"/>
    </w:rPr>
  </w:style>
  <w:style w:type="paragraph" w:styleId="BlockText">
    <w:name w:val="Block Text"/>
    <w:basedOn w:val="Normal"/>
    <w:rsid w:val="007B2C29"/>
    <w:pPr>
      <w:tabs>
        <w:tab w:val="left" w:pos="2127"/>
      </w:tabs>
      <w:spacing w:after="40"/>
      <w:ind w:left="2127" w:right="896" w:hanging="2127"/>
    </w:pPr>
    <w:rPr>
      <w:rFonts w:ascii="Times New Roman" w:eastAsia="Times New Roman" w:hAnsi="Times New Roman" w:cs="Times New Roman"/>
      <w:sz w:val="24"/>
      <w:lang w:val="en-US" w:eastAsia="en-US"/>
    </w:rPr>
  </w:style>
  <w:style w:type="character" w:styleId="Emphasis">
    <w:name w:val="Emphasis"/>
    <w:qFormat/>
    <w:rsid w:val="007B2C29"/>
    <w:rPr>
      <w:i/>
      <w:iCs/>
    </w:rPr>
  </w:style>
  <w:style w:type="character" w:styleId="Strong">
    <w:name w:val="Strong"/>
    <w:qFormat/>
    <w:rsid w:val="007B2C29"/>
    <w:rPr>
      <w:b/>
      <w:bCs/>
    </w:rPr>
  </w:style>
  <w:style w:type="paragraph" w:customStyle="1" w:styleId="preparedby">
    <w:name w:val="prepared by"/>
    <w:basedOn w:val="Normal"/>
    <w:next w:val="Normal"/>
    <w:rsid w:val="007B2C29"/>
    <w:pPr>
      <w:spacing w:before="120" w:after="480" w:line="260" w:lineRule="atLeast"/>
      <w:ind w:left="1021"/>
      <w:contextualSpacing/>
    </w:pPr>
    <w:rPr>
      <w:rFonts w:eastAsia="Times New Roman" w:cs="Times New Roman"/>
      <w:i/>
      <w:sz w:val="20"/>
      <w:lang w:val="en-US" w:eastAsia="en-US"/>
    </w:rPr>
  </w:style>
  <w:style w:type="paragraph" w:customStyle="1" w:styleId="Documenttitle">
    <w:name w:val="Document title"/>
    <w:basedOn w:val="Normal"/>
    <w:next w:val="preparedby"/>
    <w:rsid w:val="007B2C29"/>
    <w:pPr>
      <w:spacing w:before="840" w:line="336" w:lineRule="exact"/>
      <w:ind w:left="1021"/>
      <w:contextualSpacing/>
    </w:pPr>
    <w:rPr>
      <w:rFonts w:eastAsia="Times New Roman" w:cs="Times New Roman"/>
      <w:sz w:val="24"/>
      <w:lang w:val="en-US" w:eastAsia="en-US"/>
    </w:rPr>
  </w:style>
  <w:style w:type="paragraph" w:customStyle="1" w:styleId="MeetinglanguageDate">
    <w:name w:val="Meeting language &amp; Date"/>
    <w:basedOn w:val="Normal"/>
    <w:next w:val="Meetingtitle"/>
    <w:rsid w:val="007B2C29"/>
    <w:pPr>
      <w:spacing w:after="1680" w:line="160" w:lineRule="exact"/>
      <w:ind w:left="1021"/>
      <w:contextualSpacing/>
      <w:jc w:val="right"/>
    </w:pPr>
    <w:rPr>
      <w:rFonts w:ascii="Arial Black" w:eastAsia="Times New Roman" w:hAnsi="Arial Black" w:cs="Times New Roman"/>
      <w:b/>
      <w:caps/>
      <w:sz w:val="15"/>
      <w:lang w:val="en-US" w:eastAsia="en-US"/>
    </w:rPr>
  </w:style>
  <w:style w:type="paragraph" w:customStyle="1" w:styleId="Meetingtitle">
    <w:name w:val="Meeting title"/>
    <w:basedOn w:val="Normal"/>
    <w:next w:val="Sessiontitle"/>
    <w:rsid w:val="007B2C29"/>
    <w:pPr>
      <w:spacing w:line="336" w:lineRule="exact"/>
      <w:ind w:left="1021"/>
    </w:pPr>
    <w:rPr>
      <w:rFonts w:eastAsia="Times New Roman" w:cs="Times New Roman"/>
      <w:b/>
      <w:sz w:val="28"/>
      <w:lang w:val="en-US" w:eastAsia="en-US"/>
    </w:rPr>
  </w:style>
  <w:style w:type="paragraph" w:customStyle="1" w:styleId="Sessiontitle">
    <w:name w:val="Session title"/>
    <w:basedOn w:val="Meetingtitle"/>
    <w:next w:val="Meetingplacedate"/>
    <w:rsid w:val="007B2C29"/>
    <w:pPr>
      <w:spacing w:before="480"/>
      <w:contextualSpacing/>
    </w:pPr>
    <w:rPr>
      <w:sz w:val="24"/>
    </w:rPr>
  </w:style>
  <w:style w:type="paragraph" w:customStyle="1" w:styleId="Meetingplacedate">
    <w:name w:val="Meeting place &amp; date"/>
    <w:basedOn w:val="Sessiontitle"/>
    <w:next w:val="Documenttitle"/>
    <w:rsid w:val="007B2C29"/>
    <w:pPr>
      <w:spacing w:before="0"/>
      <w:contextualSpacing w:val="0"/>
    </w:pPr>
  </w:style>
  <w:style w:type="paragraph" w:customStyle="1" w:styleId="Language">
    <w:name w:val="Language"/>
    <w:basedOn w:val="Normal"/>
    <w:next w:val="Normal"/>
    <w:rsid w:val="007B2C29"/>
    <w:pPr>
      <w:spacing w:after="120" w:line="340" w:lineRule="atLeast"/>
      <w:ind w:left="1021"/>
      <w:contextualSpacing/>
      <w:jc w:val="right"/>
    </w:pPr>
    <w:rPr>
      <w:rFonts w:eastAsia="Times New Roman" w:cs="Times New Roman"/>
      <w:b/>
      <w:caps/>
      <w:sz w:val="40"/>
      <w:lang w:val="en-US" w:eastAsia="en-US"/>
    </w:rPr>
  </w:style>
  <w:style w:type="paragraph" w:customStyle="1" w:styleId="MeetingCode">
    <w:name w:val="Meeting Code"/>
    <w:basedOn w:val="MeetinglanguageDate"/>
    <w:rsid w:val="007B2C29"/>
    <w:pPr>
      <w:spacing w:before="1800" w:after="0"/>
    </w:pPr>
  </w:style>
  <w:style w:type="paragraph" w:customStyle="1" w:styleId="CarCarCar">
    <w:name w:val="Car Car Car"/>
    <w:basedOn w:val="Normal"/>
    <w:rsid w:val="007B2C29"/>
    <w:pPr>
      <w:spacing w:after="160" w:line="240" w:lineRule="exact"/>
    </w:pPr>
    <w:rPr>
      <w:rFonts w:ascii="Verdana" w:eastAsia="PMingLiU" w:hAnsi="Verdana" w:cs="Times New Roman"/>
      <w:sz w:val="20"/>
      <w:lang w:val="en-US" w:eastAsia="en-US"/>
    </w:rPr>
  </w:style>
  <w:style w:type="paragraph" w:customStyle="1" w:styleId="Paragraphedeliste">
    <w:name w:val="Paragraphe de liste"/>
    <w:autoRedefine/>
    <w:rsid w:val="007B2C29"/>
    <w:pPr>
      <w:spacing w:after="200" w:line="276" w:lineRule="auto"/>
      <w:ind w:left="720"/>
    </w:pPr>
    <w:rPr>
      <w:rFonts w:ascii="Lucida Grande" w:eastAsia="ヒラギノ角ゴ Pro W3" w:hAnsi="Lucida Grande"/>
      <w:color w:val="000000"/>
      <w:sz w:val="22"/>
      <w:lang w:val="en-GB"/>
    </w:rPr>
  </w:style>
  <w:style w:type="character" w:styleId="FollowedHyperlink">
    <w:name w:val="FollowedHyperlink"/>
    <w:rsid w:val="007B2C29"/>
    <w:rPr>
      <w:color w:val="606420"/>
      <w:u w:val="single"/>
    </w:rPr>
  </w:style>
  <w:style w:type="paragraph" w:customStyle="1" w:styleId="Body1">
    <w:name w:val="Body 1"/>
    <w:rsid w:val="007B2C29"/>
    <w:rPr>
      <w:rFonts w:ascii="Helvetica" w:eastAsia="Arial Unicode MS" w:hAnsi="Helvetica"/>
      <w:color w:val="000000"/>
      <w:sz w:val="24"/>
    </w:rPr>
  </w:style>
  <w:style w:type="paragraph" w:styleId="PlainText">
    <w:name w:val="Plain Text"/>
    <w:basedOn w:val="Normal"/>
    <w:link w:val="PlainTextChar"/>
    <w:rsid w:val="007B2C29"/>
    <w:rPr>
      <w:rFonts w:ascii="Courier New" w:eastAsia="MS Mincho" w:hAnsi="Courier New" w:cs="Times New Roman"/>
      <w:sz w:val="20"/>
      <w:lang w:val="en-US" w:bidi="th-TH"/>
    </w:rPr>
  </w:style>
  <w:style w:type="character" w:customStyle="1" w:styleId="PlainTextChar">
    <w:name w:val="Plain Text Char"/>
    <w:link w:val="PlainText"/>
    <w:rsid w:val="007B2C29"/>
    <w:rPr>
      <w:rFonts w:ascii="Courier New" w:eastAsia="MS Mincho" w:hAnsi="Courier New"/>
      <w:lang w:eastAsia="zh-CN" w:bidi="th-TH"/>
    </w:rPr>
  </w:style>
  <w:style w:type="paragraph" w:customStyle="1" w:styleId="Char5">
    <w:name w:val="Char 字元 字元5"/>
    <w:basedOn w:val="Normal"/>
    <w:rsid w:val="001F5E74"/>
    <w:pPr>
      <w:spacing w:after="160" w:line="240" w:lineRule="exact"/>
    </w:pPr>
    <w:rPr>
      <w:rFonts w:ascii="Verdana" w:eastAsia="PMingLiU" w:hAnsi="Verdana" w:cs="Times New Roman"/>
      <w:sz w:val="20"/>
      <w:lang w:val="en-US" w:eastAsia="en-US"/>
    </w:rPr>
  </w:style>
  <w:style w:type="paragraph" w:customStyle="1" w:styleId="Char4">
    <w:name w:val="Char 字元 字元4"/>
    <w:basedOn w:val="Normal"/>
    <w:rsid w:val="009665B1"/>
    <w:pPr>
      <w:spacing w:after="160" w:line="240" w:lineRule="exact"/>
    </w:pPr>
    <w:rPr>
      <w:rFonts w:ascii="Verdana" w:eastAsia="PMingLiU" w:hAnsi="Verdana" w:cs="Times New Roman"/>
      <w:sz w:val="20"/>
      <w:lang w:val="en-US" w:eastAsia="en-US"/>
    </w:rPr>
  </w:style>
  <w:style w:type="paragraph" w:customStyle="1" w:styleId="Char3">
    <w:name w:val="Char 字元 字元3"/>
    <w:basedOn w:val="Normal"/>
    <w:rsid w:val="00D7676D"/>
    <w:pPr>
      <w:spacing w:after="160" w:line="240" w:lineRule="exact"/>
    </w:pPr>
    <w:rPr>
      <w:rFonts w:ascii="Verdana" w:eastAsia="PMingLiU" w:hAnsi="Verdana" w:cs="Times New Roman"/>
      <w:sz w:val="20"/>
      <w:lang w:val="en-US" w:eastAsia="en-US"/>
    </w:rPr>
  </w:style>
  <w:style w:type="paragraph" w:customStyle="1" w:styleId="Char2">
    <w:name w:val="Char 字元 字元2"/>
    <w:basedOn w:val="Normal"/>
    <w:rsid w:val="00F97297"/>
    <w:pPr>
      <w:spacing w:after="160" w:line="240" w:lineRule="exact"/>
    </w:pPr>
    <w:rPr>
      <w:rFonts w:ascii="Verdana" w:eastAsia="PMingLiU" w:hAnsi="Verdana" w:cs="Times New Roman"/>
      <w:sz w:val="20"/>
      <w:lang w:val="en-US" w:eastAsia="en-US"/>
    </w:rPr>
  </w:style>
  <w:style w:type="paragraph" w:customStyle="1" w:styleId="Char1">
    <w:name w:val="Char 字元 字元1"/>
    <w:basedOn w:val="Normal"/>
    <w:rsid w:val="0082777F"/>
    <w:pPr>
      <w:spacing w:after="160" w:line="240" w:lineRule="exact"/>
    </w:pPr>
    <w:rPr>
      <w:rFonts w:ascii="Verdana" w:eastAsia="PMingLiU" w:hAnsi="Verdana" w:cs="Times New Roman"/>
      <w:sz w:val="20"/>
      <w:lang w:val="en-US" w:eastAsia="en-US"/>
    </w:rPr>
  </w:style>
  <w:style w:type="paragraph" w:customStyle="1" w:styleId="CharCharCharChar0">
    <w:name w:val="Char Char Char Char"/>
    <w:basedOn w:val="Normal"/>
    <w:rsid w:val="00AA72DC"/>
    <w:pPr>
      <w:spacing w:after="160" w:line="240" w:lineRule="exact"/>
    </w:pPr>
    <w:rPr>
      <w:rFonts w:ascii="Verdana" w:eastAsia="Times New Roman" w:hAnsi="Verdana" w:cs="Times New Roman"/>
      <w:sz w:val="20"/>
      <w:lang w:val="en-GB" w:eastAsia="en-US"/>
    </w:rPr>
  </w:style>
  <w:style w:type="paragraph" w:customStyle="1" w:styleId="CarCarCar0">
    <w:name w:val="Car Car Car"/>
    <w:basedOn w:val="Normal"/>
    <w:rsid w:val="00AA72DC"/>
    <w:pPr>
      <w:spacing w:after="160" w:line="240" w:lineRule="exact"/>
    </w:pPr>
    <w:rPr>
      <w:rFonts w:ascii="Verdana" w:eastAsia="PMingLiU" w:hAnsi="Verdana" w:cs="Times New Roman"/>
      <w:sz w:val="20"/>
      <w:lang w:val="en-US" w:eastAsia="en-US"/>
    </w:rPr>
  </w:style>
  <w:style w:type="numbering" w:customStyle="1" w:styleId="NoList1">
    <w:name w:val="No List1"/>
    <w:next w:val="NoList"/>
    <w:uiPriority w:val="99"/>
    <w:semiHidden/>
    <w:unhideWhenUsed/>
    <w:rsid w:val="00472C69"/>
  </w:style>
  <w:style w:type="character" w:customStyle="1" w:styleId="BodyTextChar">
    <w:name w:val="Body Text Char"/>
    <w:link w:val="BodyText"/>
    <w:rsid w:val="00472C69"/>
    <w:rPr>
      <w:rFonts w:ascii="Arial" w:eastAsia="SimSun" w:hAnsi="Arial" w:cs="Arial"/>
      <w:sz w:val="22"/>
      <w:lang w:eastAsia="zh-CN"/>
    </w:rPr>
  </w:style>
  <w:style w:type="paragraph" w:customStyle="1" w:styleId="Char0">
    <w:name w:val="Char 字元 字元"/>
    <w:basedOn w:val="Normal"/>
    <w:rsid w:val="00281871"/>
    <w:pPr>
      <w:spacing w:after="160" w:line="240" w:lineRule="exact"/>
    </w:pPr>
    <w:rPr>
      <w:rFonts w:ascii="Verdana" w:eastAsia="PMingLiU" w:hAnsi="Verdana" w:cs="Times New Roman"/>
      <w:sz w:val="20"/>
      <w:lang w:val="en-US" w:eastAsia="en-US"/>
    </w:rPr>
  </w:style>
  <w:style w:type="table" w:styleId="TableGrid">
    <w:name w:val="Table Grid"/>
    <w:basedOn w:val="TableNormal"/>
    <w:rsid w:val="0038388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na">
    <w:name w:val="Bona"/>
    <w:semiHidden/>
    <w:rsid w:val="00383888"/>
    <w:rPr>
      <w:rFonts w:ascii="Arial" w:hAnsi="Arial" w:cs="Arial"/>
      <w:color w:val="00008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4818005">
      <w:bodyDiv w:val="1"/>
      <w:marLeft w:val="0"/>
      <w:marRight w:val="0"/>
      <w:marTop w:val="0"/>
      <w:marBottom w:val="0"/>
      <w:divBdr>
        <w:top w:val="none" w:sz="0" w:space="0" w:color="auto"/>
        <w:left w:val="none" w:sz="0" w:space="0" w:color="auto"/>
        <w:bottom w:val="none" w:sz="0" w:space="0" w:color="auto"/>
        <w:right w:val="none" w:sz="0" w:space="0" w:color="auto"/>
      </w:divBdr>
    </w:div>
    <w:div w:id="1968585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68.emf"/><Relationship Id="rId21" Type="http://schemas.openxmlformats.org/officeDocument/2006/relationships/header" Target="header8.xml"/><Relationship Id="rId42" Type="http://schemas.openxmlformats.org/officeDocument/2006/relationships/header" Target="header13.xml"/><Relationship Id="rId63" Type="http://schemas.openxmlformats.org/officeDocument/2006/relationships/image" Target="media/image33.emf"/><Relationship Id="rId84" Type="http://schemas.openxmlformats.org/officeDocument/2006/relationships/image" Target="media/image49.emf"/><Relationship Id="rId138" Type="http://schemas.openxmlformats.org/officeDocument/2006/relationships/footer" Target="footer8.xml"/><Relationship Id="rId159" Type="http://schemas.openxmlformats.org/officeDocument/2006/relationships/image" Target="media/image92.emf"/><Relationship Id="rId170" Type="http://schemas.openxmlformats.org/officeDocument/2006/relationships/image" Target="media/image103.emf"/><Relationship Id="rId191" Type="http://schemas.openxmlformats.org/officeDocument/2006/relationships/image" Target="media/image124.emf"/><Relationship Id="rId205" Type="http://schemas.openxmlformats.org/officeDocument/2006/relationships/footer" Target="footer18.xml"/><Relationship Id="rId226" Type="http://schemas.openxmlformats.org/officeDocument/2006/relationships/image" Target="media/image157.emf"/><Relationship Id="rId247" Type="http://schemas.openxmlformats.org/officeDocument/2006/relationships/image" Target="media/image178.emf"/><Relationship Id="rId107" Type="http://schemas.openxmlformats.org/officeDocument/2006/relationships/image" Target="media/image61.emf"/><Relationship Id="rId268" Type="http://schemas.openxmlformats.org/officeDocument/2006/relationships/header" Target="header45.xml"/><Relationship Id="rId11" Type="http://schemas.openxmlformats.org/officeDocument/2006/relationships/header" Target="header2.xml"/><Relationship Id="rId32" Type="http://schemas.openxmlformats.org/officeDocument/2006/relationships/image" Target="media/image11.emf"/><Relationship Id="rId53" Type="http://schemas.openxmlformats.org/officeDocument/2006/relationships/image" Target="media/image25.emf"/><Relationship Id="rId74" Type="http://schemas.openxmlformats.org/officeDocument/2006/relationships/image" Target="media/image42.emf"/><Relationship Id="rId128" Type="http://schemas.openxmlformats.org/officeDocument/2006/relationships/image" Target="media/image79.emf"/><Relationship Id="rId149" Type="http://schemas.openxmlformats.org/officeDocument/2006/relationships/image" Target="media/image88.emf"/><Relationship Id="rId5" Type="http://schemas.openxmlformats.org/officeDocument/2006/relationships/settings" Target="settings.xml"/><Relationship Id="rId95" Type="http://schemas.openxmlformats.org/officeDocument/2006/relationships/header" Target="header24.xml"/><Relationship Id="rId160" Type="http://schemas.openxmlformats.org/officeDocument/2006/relationships/image" Target="media/image93.emf"/><Relationship Id="rId181" Type="http://schemas.openxmlformats.org/officeDocument/2006/relationships/image" Target="media/image114.emf"/><Relationship Id="rId216" Type="http://schemas.openxmlformats.org/officeDocument/2006/relationships/image" Target="media/image147.emf"/><Relationship Id="rId237" Type="http://schemas.openxmlformats.org/officeDocument/2006/relationships/image" Target="media/image168.emf"/><Relationship Id="rId258" Type="http://schemas.openxmlformats.org/officeDocument/2006/relationships/footer" Target="footer19.xml"/><Relationship Id="rId22" Type="http://schemas.openxmlformats.org/officeDocument/2006/relationships/image" Target="media/image3.png"/><Relationship Id="rId43" Type="http://schemas.openxmlformats.org/officeDocument/2006/relationships/footer" Target="footer6.xml"/><Relationship Id="rId64" Type="http://schemas.openxmlformats.org/officeDocument/2006/relationships/header" Target="header17.xml"/><Relationship Id="rId118" Type="http://schemas.openxmlformats.org/officeDocument/2006/relationships/image" Target="media/image69.emf"/><Relationship Id="rId139" Type="http://schemas.openxmlformats.org/officeDocument/2006/relationships/header" Target="header38.xml"/><Relationship Id="rId85" Type="http://schemas.openxmlformats.org/officeDocument/2006/relationships/image" Target="media/image50.emf"/><Relationship Id="rId150" Type="http://schemas.openxmlformats.org/officeDocument/2006/relationships/image" Target="media/image89.emf"/><Relationship Id="rId171" Type="http://schemas.openxmlformats.org/officeDocument/2006/relationships/image" Target="media/image104.emf"/><Relationship Id="rId192" Type="http://schemas.openxmlformats.org/officeDocument/2006/relationships/image" Target="media/image125.emf"/><Relationship Id="rId206" Type="http://schemas.openxmlformats.org/officeDocument/2006/relationships/image" Target="media/image137.emf"/><Relationship Id="rId227" Type="http://schemas.openxmlformats.org/officeDocument/2006/relationships/image" Target="media/image158.emf"/><Relationship Id="rId248" Type="http://schemas.openxmlformats.org/officeDocument/2006/relationships/image" Target="media/image179.emf"/><Relationship Id="rId269" Type="http://schemas.openxmlformats.org/officeDocument/2006/relationships/header" Target="header46.xml"/><Relationship Id="rId12" Type="http://schemas.openxmlformats.org/officeDocument/2006/relationships/footer" Target="footer1.xml"/><Relationship Id="rId33" Type="http://schemas.openxmlformats.org/officeDocument/2006/relationships/image" Target="media/image12.emf"/><Relationship Id="rId108" Type="http://schemas.openxmlformats.org/officeDocument/2006/relationships/image" Target="media/image62.emf"/><Relationship Id="rId129" Type="http://schemas.openxmlformats.org/officeDocument/2006/relationships/image" Target="media/image80.emf"/><Relationship Id="rId54" Type="http://schemas.openxmlformats.org/officeDocument/2006/relationships/header" Target="header15.xml"/><Relationship Id="rId75" Type="http://schemas.openxmlformats.org/officeDocument/2006/relationships/image" Target="media/image43.emf"/><Relationship Id="rId96" Type="http://schemas.openxmlformats.org/officeDocument/2006/relationships/header" Target="header25.xml"/><Relationship Id="rId140" Type="http://schemas.openxmlformats.org/officeDocument/2006/relationships/footer" Target="footer9.xml"/><Relationship Id="rId161" Type="http://schemas.openxmlformats.org/officeDocument/2006/relationships/image" Target="media/image94.emf"/><Relationship Id="rId182" Type="http://schemas.openxmlformats.org/officeDocument/2006/relationships/image" Target="media/image115.emf"/><Relationship Id="rId217" Type="http://schemas.openxmlformats.org/officeDocument/2006/relationships/image" Target="media/image148.emf"/><Relationship Id="rId6" Type="http://schemas.openxmlformats.org/officeDocument/2006/relationships/webSettings" Target="webSettings.xml"/><Relationship Id="rId238" Type="http://schemas.openxmlformats.org/officeDocument/2006/relationships/image" Target="media/image169.emf"/><Relationship Id="rId259" Type="http://schemas.openxmlformats.org/officeDocument/2006/relationships/image" Target="media/image188.emf"/><Relationship Id="rId23" Type="http://schemas.openxmlformats.org/officeDocument/2006/relationships/header" Target="header9.xml"/><Relationship Id="rId119" Type="http://schemas.openxmlformats.org/officeDocument/2006/relationships/image" Target="media/image70.emf"/><Relationship Id="rId270" Type="http://schemas.openxmlformats.org/officeDocument/2006/relationships/header" Target="header47.xml"/><Relationship Id="rId44" Type="http://schemas.openxmlformats.org/officeDocument/2006/relationships/header" Target="header14.xml"/><Relationship Id="rId60" Type="http://schemas.openxmlformats.org/officeDocument/2006/relationships/image" Target="media/image30.emf"/><Relationship Id="rId65" Type="http://schemas.openxmlformats.org/officeDocument/2006/relationships/header" Target="header18.xml"/><Relationship Id="rId81" Type="http://schemas.openxmlformats.org/officeDocument/2006/relationships/image" Target="media/image46.emf"/><Relationship Id="rId86" Type="http://schemas.openxmlformats.org/officeDocument/2006/relationships/image" Target="media/image51.emf"/><Relationship Id="rId130" Type="http://schemas.openxmlformats.org/officeDocument/2006/relationships/image" Target="media/image81.emf"/><Relationship Id="rId135" Type="http://schemas.openxmlformats.org/officeDocument/2006/relationships/header" Target="header36.xml"/><Relationship Id="rId151" Type="http://schemas.openxmlformats.org/officeDocument/2006/relationships/header" Target="header41.xml"/><Relationship Id="rId156" Type="http://schemas.openxmlformats.org/officeDocument/2006/relationships/image" Target="media/image91.emf"/><Relationship Id="rId177" Type="http://schemas.openxmlformats.org/officeDocument/2006/relationships/image" Target="media/image110.emf"/><Relationship Id="rId198" Type="http://schemas.openxmlformats.org/officeDocument/2006/relationships/image" Target="media/image131.emf"/><Relationship Id="rId172" Type="http://schemas.openxmlformats.org/officeDocument/2006/relationships/image" Target="media/image105.emf"/><Relationship Id="rId193" Type="http://schemas.openxmlformats.org/officeDocument/2006/relationships/image" Target="media/image126.emf"/><Relationship Id="rId202" Type="http://schemas.openxmlformats.org/officeDocument/2006/relationships/image" Target="media/image135.emf"/><Relationship Id="rId207" Type="http://schemas.openxmlformats.org/officeDocument/2006/relationships/image" Target="media/image138.emf"/><Relationship Id="rId223" Type="http://schemas.openxmlformats.org/officeDocument/2006/relationships/image" Target="media/image154.emf"/><Relationship Id="rId228" Type="http://schemas.openxmlformats.org/officeDocument/2006/relationships/image" Target="media/image159.emf"/><Relationship Id="rId244" Type="http://schemas.openxmlformats.org/officeDocument/2006/relationships/image" Target="media/image175.emf"/><Relationship Id="rId249" Type="http://schemas.openxmlformats.org/officeDocument/2006/relationships/image" Target="media/image180.emf"/><Relationship Id="rId13" Type="http://schemas.openxmlformats.org/officeDocument/2006/relationships/header" Target="header3.xml"/><Relationship Id="rId18" Type="http://schemas.openxmlformats.org/officeDocument/2006/relationships/header" Target="header5.xml"/><Relationship Id="rId39" Type="http://schemas.openxmlformats.org/officeDocument/2006/relationships/header" Target="header12.xml"/><Relationship Id="rId109" Type="http://schemas.openxmlformats.org/officeDocument/2006/relationships/image" Target="media/image63.emf"/><Relationship Id="rId260" Type="http://schemas.openxmlformats.org/officeDocument/2006/relationships/image" Target="media/image189.emf"/><Relationship Id="rId265" Type="http://schemas.openxmlformats.org/officeDocument/2006/relationships/image" Target="media/image191.emf"/><Relationship Id="rId34" Type="http://schemas.openxmlformats.org/officeDocument/2006/relationships/image" Target="media/image13.emf"/><Relationship Id="rId50" Type="http://schemas.openxmlformats.org/officeDocument/2006/relationships/image" Target="media/image22.emf"/><Relationship Id="rId55" Type="http://schemas.openxmlformats.org/officeDocument/2006/relationships/header" Target="header16.xml"/><Relationship Id="rId76" Type="http://schemas.openxmlformats.org/officeDocument/2006/relationships/image" Target="media/image44.emf"/><Relationship Id="rId97" Type="http://schemas.openxmlformats.org/officeDocument/2006/relationships/image" Target="media/image57.emf"/><Relationship Id="rId104" Type="http://schemas.openxmlformats.org/officeDocument/2006/relationships/header" Target="header29.xml"/><Relationship Id="rId120" Type="http://schemas.openxmlformats.org/officeDocument/2006/relationships/image" Target="media/image71.emf"/><Relationship Id="rId125" Type="http://schemas.openxmlformats.org/officeDocument/2006/relationships/image" Target="media/image76.emf"/><Relationship Id="rId141" Type="http://schemas.openxmlformats.org/officeDocument/2006/relationships/image" Target="media/image85.emf"/><Relationship Id="rId146" Type="http://schemas.openxmlformats.org/officeDocument/2006/relationships/header" Target="header40.xml"/><Relationship Id="rId167" Type="http://schemas.openxmlformats.org/officeDocument/2006/relationships/image" Target="media/image100.emf"/><Relationship Id="rId188" Type="http://schemas.openxmlformats.org/officeDocument/2006/relationships/image" Target="media/image121.emf"/><Relationship Id="rId7" Type="http://schemas.openxmlformats.org/officeDocument/2006/relationships/footnotes" Target="footnotes.xml"/><Relationship Id="rId71" Type="http://schemas.openxmlformats.org/officeDocument/2006/relationships/image" Target="media/image39.emf"/><Relationship Id="rId92" Type="http://schemas.openxmlformats.org/officeDocument/2006/relationships/header" Target="header23.xml"/><Relationship Id="rId162" Type="http://schemas.openxmlformats.org/officeDocument/2006/relationships/image" Target="media/image95.emf"/><Relationship Id="rId183" Type="http://schemas.openxmlformats.org/officeDocument/2006/relationships/image" Target="media/image116.emf"/><Relationship Id="rId213" Type="http://schemas.openxmlformats.org/officeDocument/2006/relationships/image" Target="media/image144.emf"/><Relationship Id="rId218" Type="http://schemas.openxmlformats.org/officeDocument/2006/relationships/image" Target="media/image149.emf"/><Relationship Id="rId234" Type="http://schemas.openxmlformats.org/officeDocument/2006/relationships/image" Target="media/image165.emf"/><Relationship Id="rId239" Type="http://schemas.openxmlformats.org/officeDocument/2006/relationships/image" Target="media/image170.emf"/><Relationship Id="rId2" Type="http://schemas.openxmlformats.org/officeDocument/2006/relationships/numbering" Target="numbering.xml"/><Relationship Id="rId29" Type="http://schemas.openxmlformats.org/officeDocument/2006/relationships/image" Target="media/image8.emf"/><Relationship Id="rId250" Type="http://schemas.openxmlformats.org/officeDocument/2006/relationships/image" Target="media/image181.emf"/><Relationship Id="rId255" Type="http://schemas.openxmlformats.org/officeDocument/2006/relationships/image" Target="media/image186.emf"/><Relationship Id="rId271" Type="http://schemas.openxmlformats.org/officeDocument/2006/relationships/footer" Target="footer22.xml"/><Relationship Id="rId24" Type="http://schemas.openxmlformats.org/officeDocument/2006/relationships/header" Target="header10.xml"/><Relationship Id="rId40" Type="http://schemas.openxmlformats.org/officeDocument/2006/relationships/footer" Target="footer4.xml"/><Relationship Id="rId45" Type="http://schemas.openxmlformats.org/officeDocument/2006/relationships/image" Target="media/image17.emf"/><Relationship Id="rId66" Type="http://schemas.openxmlformats.org/officeDocument/2006/relationships/image" Target="media/image34.emf"/><Relationship Id="rId87" Type="http://schemas.openxmlformats.org/officeDocument/2006/relationships/image" Target="media/image52.emf"/><Relationship Id="rId110" Type="http://schemas.openxmlformats.org/officeDocument/2006/relationships/image" Target="media/image64.emf"/><Relationship Id="rId115" Type="http://schemas.openxmlformats.org/officeDocument/2006/relationships/image" Target="media/image66.emf"/><Relationship Id="rId131" Type="http://schemas.openxmlformats.org/officeDocument/2006/relationships/image" Target="media/image82.emf"/><Relationship Id="rId136" Type="http://schemas.openxmlformats.org/officeDocument/2006/relationships/header" Target="header37.xml"/><Relationship Id="rId157" Type="http://schemas.openxmlformats.org/officeDocument/2006/relationships/footer" Target="footer15.xml"/><Relationship Id="rId178" Type="http://schemas.openxmlformats.org/officeDocument/2006/relationships/image" Target="media/image111.emf"/><Relationship Id="rId61" Type="http://schemas.openxmlformats.org/officeDocument/2006/relationships/image" Target="media/image31.emf"/><Relationship Id="rId82" Type="http://schemas.openxmlformats.org/officeDocument/2006/relationships/image" Target="media/image47.emf"/><Relationship Id="rId152" Type="http://schemas.openxmlformats.org/officeDocument/2006/relationships/header" Target="header42.xml"/><Relationship Id="rId173" Type="http://schemas.openxmlformats.org/officeDocument/2006/relationships/image" Target="media/image106.emf"/><Relationship Id="rId194" Type="http://schemas.openxmlformats.org/officeDocument/2006/relationships/image" Target="media/image127.emf"/><Relationship Id="rId199" Type="http://schemas.openxmlformats.org/officeDocument/2006/relationships/image" Target="media/image132.emf"/><Relationship Id="rId203" Type="http://schemas.openxmlformats.org/officeDocument/2006/relationships/image" Target="media/image136.emf"/><Relationship Id="rId208" Type="http://schemas.openxmlformats.org/officeDocument/2006/relationships/image" Target="media/image139.emf"/><Relationship Id="rId229" Type="http://schemas.openxmlformats.org/officeDocument/2006/relationships/image" Target="media/image160.emf"/><Relationship Id="rId19" Type="http://schemas.openxmlformats.org/officeDocument/2006/relationships/header" Target="header6.xml"/><Relationship Id="rId224" Type="http://schemas.openxmlformats.org/officeDocument/2006/relationships/image" Target="media/image155.emf"/><Relationship Id="rId240" Type="http://schemas.openxmlformats.org/officeDocument/2006/relationships/image" Target="media/image171.emf"/><Relationship Id="rId245" Type="http://schemas.openxmlformats.org/officeDocument/2006/relationships/image" Target="media/image176.emf"/><Relationship Id="rId261" Type="http://schemas.openxmlformats.org/officeDocument/2006/relationships/header" Target="header44.xml"/><Relationship Id="rId266" Type="http://schemas.openxmlformats.org/officeDocument/2006/relationships/image" Target="media/image192.emf"/><Relationship Id="rId14" Type="http://schemas.openxmlformats.org/officeDocument/2006/relationships/footer" Target="footer2.xml"/><Relationship Id="rId30" Type="http://schemas.openxmlformats.org/officeDocument/2006/relationships/image" Target="media/image9.emf"/><Relationship Id="rId35" Type="http://schemas.openxmlformats.org/officeDocument/2006/relationships/image" Target="media/image14.emf"/><Relationship Id="rId56" Type="http://schemas.openxmlformats.org/officeDocument/2006/relationships/image" Target="media/image26.emf"/><Relationship Id="rId77" Type="http://schemas.openxmlformats.org/officeDocument/2006/relationships/image" Target="media/image45.emf"/><Relationship Id="rId100" Type="http://schemas.openxmlformats.org/officeDocument/2006/relationships/header" Target="header27.xml"/><Relationship Id="rId105" Type="http://schemas.openxmlformats.org/officeDocument/2006/relationships/header" Target="header30.xml"/><Relationship Id="rId126" Type="http://schemas.openxmlformats.org/officeDocument/2006/relationships/image" Target="media/image77.emf"/><Relationship Id="rId147" Type="http://schemas.openxmlformats.org/officeDocument/2006/relationships/footer" Target="footer11.xml"/><Relationship Id="rId168" Type="http://schemas.openxmlformats.org/officeDocument/2006/relationships/image" Target="media/image101.emf"/><Relationship Id="rId8" Type="http://schemas.openxmlformats.org/officeDocument/2006/relationships/endnotes" Target="endnotes.xml"/><Relationship Id="rId51" Type="http://schemas.openxmlformats.org/officeDocument/2006/relationships/image" Target="media/image23.emf"/><Relationship Id="rId72" Type="http://schemas.openxmlformats.org/officeDocument/2006/relationships/image" Target="media/image40.emf"/><Relationship Id="rId93" Type="http://schemas.openxmlformats.org/officeDocument/2006/relationships/image" Target="media/image55.emf"/><Relationship Id="rId98" Type="http://schemas.openxmlformats.org/officeDocument/2006/relationships/image" Target="media/image58.emf"/><Relationship Id="rId121" Type="http://schemas.openxmlformats.org/officeDocument/2006/relationships/image" Target="media/image72.emf"/><Relationship Id="rId142" Type="http://schemas.openxmlformats.org/officeDocument/2006/relationships/header" Target="header39.xml"/><Relationship Id="rId163" Type="http://schemas.openxmlformats.org/officeDocument/2006/relationships/image" Target="media/image96.emf"/><Relationship Id="rId184" Type="http://schemas.openxmlformats.org/officeDocument/2006/relationships/image" Target="media/image117.emf"/><Relationship Id="rId189" Type="http://schemas.openxmlformats.org/officeDocument/2006/relationships/image" Target="media/image122.emf"/><Relationship Id="rId219" Type="http://schemas.openxmlformats.org/officeDocument/2006/relationships/image" Target="media/image150.emf"/><Relationship Id="rId3" Type="http://schemas.openxmlformats.org/officeDocument/2006/relationships/styles" Target="styles.xml"/><Relationship Id="rId214" Type="http://schemas.openxmlformats.org/officeDocument/2006/relationships/image" Target="media/image145.emf"/><Relationship Id="rId230" Type="http://schemas.openxmlformats.org/officeDocument/2006/relationships/image" Target="media/image161.emf"/><Relationship Id="rId235" Type="http://schemas.openxmlformats.org/officeDocument/2006/relationships/image" Target="media/image166.emf"/><Relationship Id="rId251" Type="http://schemas.openxmlformats.org/officeDocument/2006/relationships/image" Target="media/image182.emf"/><Relationship Id="rId256" Type="http://schemas.openxmlformats.org/officeDocument/2006/relationships/image" Target="media/image187.emf"/><Relationship Id="rId25" Type="http://schemas.openxmlformats.org/officeDocument/2006/relationships/image" Target="media/image4.emf"/><Relationship Id="rId46" Type="http://schemas.openxmlformats.org/officeDocument/2006/relationships/image" Target="media/image18.emf"/><Relationship Id="rId67" Type="http://schemas.openxmlformats.org/officeDocument/2006/relationships/image" Target="media/image35.emf"/><Relationship Id="rId116" Type="http://schemas.openxmlformats.org/officeDocument/2006/relationships/image" Target="media/image67.emf"/><Relationship Id="rId137" Type="http://schemas.openxmlformats.org/officeDocument/2006/relationships/footer" Target="footer7.xml"/><Relationship Id="rId158" Type="http://schemas.openxmlformats.org/officeDocument/2006/relationships/footer" Target="footer16.xml"/><Relationship Id="rId272" Type="http://schemas.openxmlformats.org/officeDocument/2006/relationships/footer" Target="footer23.xml"/><Relationship Id="rId20" Type="http://schemas.openxmlformats.org/officeDocument/2006/relationships/header" Target="header7.xml"/><Relationship Id="rId41" Type="http://schemas.openxmlformats.org/officeDocument/2006/relationships/footer" Target="footer5.xml"/><Relationship Id="rId62" Type="http://schemas.openxmlformats.org/officeDocument/2006/relationships/image" Target="media/image32.emf"/><Relationship Id="rId83" Type="http://schemas.openxmlformats.org/officeDocument/2006/relationships/image" Target="media/image48.emf"/><Relationship Id="rId88" Type="http://schemas.openxmlformats.org/officeDocument/2006/relationships/hyperlink" Target="http://www.wipo.int/das" TargetMode="External"/><Relationship Id="rId111" Type="http://schemas.openxmlformats.org/officeDocument/2006/relationships/image" Target="media/image65.emf"/><Relationship Id="rId132" Type="http://schemas.openxmlformats.org/officeDocument/2006/relationships/image" Target="media/image83.emf"/><Relationship Id="rId153" Type="http://schemas.openxmlformats.org/officeDocument/2006/relationships/footer" Target="footer13.xml"/><Relationship Id="rId174" Type="http://schemas.openxmlformats.org/officeDocument/2006/relationships/image" Target="media/image107.emf"/><Relationship Id="rId179" Type="http://schemas.openxmlformats.org/officeDocument/2006/relationships/image" Target="media/image112.emf"/><Relationship Id="rId195" Type="http://schemas.openxmlformats.org/officeDocument/2006/relationships/image" Target="media/image128.emf"/><Relationship Id="rId209" Type="http://schemas.openxmlformats.org/officeDocument/2006/relationships/image" Target="media/image140.emf"/><Relationship Id="rId190" Type="http://schemas.openxmlformats.org/officeDocument/2006/relationships/image" Target="media/image123.emf"/><Relationship Id="rId204" Type="http://schemas.openxmlformats.org/officeDocument/2006/relationships/footer" Target="footer17.xml"/><Relationship Id="rId220" Type="http://schemas.openxmlformats.org/officeDocument/2006/relationships/image" Target="media/image151.emf"/><Relationship Id="rId225" Type="http://schemas.openxmlformats.org/officeDocument/2006/relationships/image" Target="media/image156.emf"/><Relationship Id="rId241" Type="http://schemas.openxmlformats.org/officeDocument/2006/relationships/image" Target="media/image172.emf"/><Relationship Id="rId246" Type="http://schemas.openxmlformats.org/officeDocument/2006/relationships/image" Target="media/image177.emf"/><Relationship Id="rId267" Type="http://schemas.openxmlformats.org/officeDocument/2006/relationships/image" Target="media/image193.emf"/><Relationship Id="rId15" Type="http://schemas.openxmlformats.org/officeDocument/2006/relationships/footer" Target="footer3.xml"/><Relationship Id="rId36" Type="http://schemas.openxmlformats.org/officeDocument/2006/relationships/image" Target="media/image15.emf"/><Relationship Id="rId57" Type="http://schemas.openxmlformats.org/officeDocument/2006/relationships/image" Target="media/image27.emf"/><Relationship Id="rId106" Type="http://schemas.openxmlformats.org/officeDocument/2006/relationships/header" Target="header31.xml"/><Relationship Id="rId127" Type="http://schemas.openxmlformats.org/officeDocument/2006/relationships/image" Target="media/image78.emf"/><Relationship Id="rId262" Type="http://schemas.openxmlformats.org/officeDocument/2006/relationships/footer" Target="footer20.xml"/><Relationship Id="rId10" Type="http://schemas.openxmlformats.org/officeDocument/2006/relationships/header" Target="header1.xml"/><Relationship Id="rId31" Type="http://schemas.openxmlformats.org/officeDocument/2006/relationships/image" Target="media/image10.emf"/><Relationship Id="rId52" Type="http://schemas.openxmlformats.org/officeDocument/2006/relationships/image" Target="media/image24.emf"/><Relationship Id="rId73" Type="http://schemas.openxmlformats.org/officeDocument/2006/relationships/image" Target="media/image41.emf"/><Relationship Id="rId78" Type="http://schemas.openxmlformats.org/officeDocument/2006/relationships/header" Target="header19.xml"/><Relationship Id="rId94" Type="http://schemas.openxmlformats.org/officeDocument/2006/relationships/image" Target="media/image56.emf"/><Relationship Id="rId99" Type="http://schemas.openxmlformats.org/officeDocument/2006/relationships/header" Target="header26.xml"/><Relationship Id="rId101" Type="http://schemas.openxmlformats.org/officeDocument/2006/relationships/header" Target="header28.xml"/><Relationship Id="rId122" Type="http://schemas.openxmlformats.org/officeDocument/2006/relationships/image" Target="media/image73.emf"/><Relationship Id="rId143" Type="http://schemas.openxmlformats.org/officeDocument/2006/relationships/footer" Target="footer10.xml"/><Relationship Id="rId148" Type="http://schemas.openxmlformats.org/officeDocument/2006/relationships/footer" Target="footer12.xml"/><Relationship Id="rId164" Type="http://schemas.openxmlformats.org/officeDocument/2006/relationships/image" Target="media/image97.emf"/><Relationship Id="rId169" Type="http://schemas.openxmlformats.org/officeDocument/2006/relationships/image" Target="media/image102.emf"/><Relationship Id="rId185" Type="http://schemas.openxmlformats.org/officeDocument/2006/relationships/image" Target="media/image118.emf"/><Relationship Id="rId4" Type="http://schemas.microsoft.com/office/2007/relationships/stylesWithEffects" Target="stylesWithEffects.xml"/><Relationship Id="rId9" Type="http://schemas.openxmlformats.org/officeDocument/2006/relationships/image" Target="media/image1.jpeg"/><Relationship Id="rId180" Type="http://schemas.openxmlformats.org/officeDocument/2006/relationships/image" Target="media/image113.emf"/><Relationship Id="rId210" Type="http://schemas.openxmlformats.org/officeDocument/2006/relationships/image" Target="media/image141.emf"/><Relationship Id="rId215" Type="http://schemas.openxmlformats.org/officeDocument/2006/relationships/image" Target="media/image146.emf"/><Relationship Id="rId236" Type="http://schemas.openxmlformats.org/officeDocument/2006/relationships/image" Target="media/image167.emf"/><Relationship Id="rId257" Type="http://schemas.openxmlformats.org/officeDocument/2006/relationships/header" Target="header43.xml"/><Relationship Id="rId26" Type="http://schemas.openxmlformats.org/officeDocument/2006/relationships/image" Target="media/image5.emf"/><Relationship Id="rId231" Type="http://schemas.openxmlformats.org/officeDocument/2006/relationships/image" Target="media/image162.emf"/><Relationship Id="rId252" Type="http://schemas.openxmlformats.org/officeDocument/2006/relationships/image" Target="media/image183.emf"/><Relationship Id="rId273" Type="http://schemas.openxmlformats.org/officeDocument/2006/relationships/fontTable" Target="fontTable.xml"/><Relationship Id="rId47" Type="http://schemas.openxmlformats.org/officeDocument/2006/relationships/image" Target="media/image19.emf"/><Relationship Id="rId68" Type="http://schemas.openxmlformats.org/officeDocument/2006/relationships/image" Target="media/image36.emf"/><Relationship Id="rId89" Type="http://schemas.openxmlformats.org/officeDocument/2006/relationships/image" Target="media/image53.emf"/><Relationship Id="rId112" Type="http://schemas.openxmlformats.org/officeDocument/2006/relationships/header" Target="header32.xml"/><Relationship Id="rId133" Type="http://schemas.openxmlformats.org/officeDocument/2006/relationships/image" Target="media/image84.emf"/><Relationship Id="rId154" Type="http://schemas.openxmlformats.org/officeDocument/2006/relationships/footer" Target="footer14.xml"/><Relationship Id="rId175" Type="http://schemas.openxmlformats.org/officeDocument/2006/relationships/image" Target="media/image108.emf"/><Relationship Id="rId196" Type="http://schemas.openxmlformats.org/officeDocument/2006/relationships/image" Target="media/image129.emf"/><Relationship Id="rId200" Type="http://schemas.openxmlformats.org/officeDocument/2006/relationships/image" Target="media/image133.emf"/><Relationship Id="rId16" Type="http://schemas.openxmlformats.org/officeDocument/2006/relationships/image" Target="media/image2.emf"/><Relationship Id="rId221" Type="http://schemas.openxmlformats.org/officeDocument/2006/relationships/image" Target="media/image152.emf"/><Relationship Id="rId242" Type="http://schemas.openxmlformats.org/officeDocument/2006/relationships/image" Target="media/image173.emf"/><Relationship Id="rId263" Type="http://schemas.openxmlformats.org/officeDocument/2006/relationships/footer" Target="footer21.xml"/><Relationship Id="rId37" Type="http://schemas.openxmlformats.org/officeDocument/2006/relationships/image" Target="media/image16.emf"/><Relationship Id="rId58" Type="http://schemas.openxmlformats.org/officeDocument/2006/relationships/image" Target="media/image28.emf"/><Relationship Id="rId79" Type="http://schemas.openxmlformats.org/officeDocument/2006/relationships/header" Target="header20.xml"/><Relationship Id="rId102" Type="http://schemas.openxmlformats.org/officeDocument/2006/relationships/image" Target="media/image59.emf"/><Relationship Id="rId123" Type="http://schemas.openxmlformats.org/officeDocument/2006/relationships/image" Target="media/image74.emf"/><Relationship Id="rId144" Type="http://schemas.openxmlformats.org/officeDocument/2006/relationships/image" Target="media/image86.emf"/><Relationship Id="rId90" Type="http://schemas.openxmlformats.org/officeDocument/2006/relationships/image" Target="media/image54.emf"/><Relationship Id="rId165" Type="http://schemas.openxmlformats.org/officeDocument/2006/relationships/image" Target="media/image98.emf"/><Relationship Id="rId186" Type="http://schemas.openxmlformats.org/officeDocument/2006/relationships/image" Target="media/image119.emf"/><Relationship Id="rId211" Type="http://schemas.openxmlformats.org/officeDocument/2006/relationships/image" Target="media/image142.emf"/><Relationship Id="rId232" Type="http://schemas.openxmlformats.org/officeDocument/2006/relationships/image" Target="media/image163.emf"/><Relationship Id="rId253" Type="http://schemas.openxmlformats.org/officeDocument/2006/relationships/image" Target="media/image184.emf"/><Relationship Id="rId274" Type="http://schemas.openxmlformats.org/officeDocument/2006/relationships/theme" Target="theme/theme1.xml"/><Relationship Id="rId27" Type="http://schemas.openxmlformats.org/officeDocument/2006/relationships/image" Target="media/image6.emf"/><Relationship Id="rId48" Type="http://schemas.openxmlformats.org/officeDocument/2006/relationships/image" Target="media/image20.emf"/><Relationship Id="rId69" Type="http://schemas.openxmlformats.org/officeDocument/2006/relationships/image" Target="media/image37.emf"/><Relationship Id="rId113" Type="http://schemas.openxmlformats.org/officeDocument/2006/relationships/header" Target="header33.xml"/><Relationship Id="rId134" Type="http://schemas.openxmlformats.org/officeDocument/2006/relationships/header" Target="header35.xml"/><Relationship Id="rId80" Type="http://schemas.openxmlformats.org/officeDocument/2006/relationships/header" Target="header21.xml"/><Relationship Id="rId155" Type="http://schemas.openxmlformats.org/officeDocument/2006/relationships/image" Target="media/image90.emf"/><Relationship Id="rId176" Type="http://schemas.openxmlformats.org/officeDocument/2006/relationships/image" Target="media/image109.emf"/><Relationship Id="rId197" Type="http://schemas.openxmlformats.org/officeDocument/2006/relationships/image" Target="media/image130.emf"/><Relationship Id="rId201" Type="http://schemas.openxmlformats.org/officeDocument/2006/relationships/image" Target="media/image134.emf"/><Relationship Id="rId222" Type="http://schemas.openxmlformats.org/officeDocument/2006/relationships/image" Target="media/image153.emf"/><Relationship Id="rId243" Type="http://schemas.openxmlformats.org/officeDocument/2006/relationships/image" Target="media/image174.emf"/><Relationship Id="rId264" Type="http://schemas.openxmlformats.org/officeDocument/2006/relationships/image" Target="media/image190.emf"/><Relationship Id="rId17" Type="http://schemas.openxmlformats.org/officeDocument/2006/relationships/header" Target="header4.xml"/><Relationship Id="rId38" Type="http://schemas.openxmlformats.org/officeDocument/2006/relationships/header" Target="header11.xml"/><Relationship Id="rId59" Type="http://schemas.openxmlformats.org/officeDocument/2006/relationships/image" Target="media/image29.emf"/><Relationship Id="rId103" Type="http://schemas.openxmlformats.org/officeDocument/2006/relationships/image" Target="media/image60.emf"/><Relationship Id="rId124" Type="http://schemas.openxmlformats.org/officeDocument/2006/relationships/image" Target="media/image75.emf"/><Relationship Id="rId70" Type="http://schemas.openxmlformats.org/officeDocument/2006/relationships/image" Target="media/image38.emf"/><Relationship Id="rId91" Type="http://schemas.openxmlformats.org/officeDocument/2006/relationships/header" Target="header22.xml"/><Relationship Id="rId145" Type="http://schemas.openxmlformats.org/officeDocument/2006/relationships/image" Target="media/image87.emf"/><Relationship Id="rId166" Type="http://schemas.openxmlformats.org/officeDocument/2006/relationships/image" Target="media/image99.emf"/><Relationship Id="rId187" Type="http://schemas.openxmlformats.org/officeDocument/2006/relationships/image" Target="media/image120.emf"/><Relationship Id="rId1" Type="http://schemas.openxmlformats.org/officeDocument/2006/relationships/customXml" Target="../customXml/item1.xml"/><Relationship Id="rId212" Type="http://schemas.openxmlformats.org/officeDocument/2006/relationships/image" Target="media/image143.emf"/><Relationship Id="rId233" Type="http://schemas.openxmlformats.org/officeDocument/2006/relationships/image" Target="media/image164.emf"/><Relationship Id="rId254" Type="http://schemas.openxmlformats.org/officeDocument/2006/relationships/image" Target="media/image185.emf"/><Relationship Id="rId28" Type="http://schemas.openxmlformats.org/officeDocument/2006/relationships/image" Target="media/image7.emf"/><Relationship Id="rId49" Type="http://schemas.openxmlformats.org/officeDocument/2006/relationships/image" Target="media/image21.emf"/><Relationship Id="rId114" Type="http://schemas.openxmlformats.org/officeDocument/2006/relationships/header" Target="header34.xml"/></Relationships>
</file>

<file path=word/_rels/footnotes.xml.rels><?xml version="1.0" encoding="UTF-8" standalone="yes"?>
<Relationships xmlns="http://schemas.openxmlformats.org/package/2006/relationships"><Relationship Id="rId3" Type="http://schemas.openxmlformats.org/officeDocument/2006/relationships/hyperlink" Target="http://www.wipo.int/edocs/mdocs/govbody/es/a_42/a_42_10-annex3.pdf" TargetMode="External"/><Relationship Id="rId2" Type="http://schemas.openxmlformats.org/officeDocument/2006/relationships/hyperlink" Target="http://www.wipo.int/edocs/mdocs/mdocs/en/cdip_4/cdip_4_3_rev_study_inf_3.pdf" TargetMode="External"/><Relationship Id="rId1" Type="http://schemas.openxmlformats.org/officeDocument/2006/relationships/hyperlink" Target="http://www.wipo.int/patentscope/en/programs/patent_landscapes/index.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BUDGET\WO%20PBC%2020%20(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535716-6550-40DD-AD0B-26FD325357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 PBC 20 (S)</Template>
  <TotalTime>113</TotalTime>
  <Pages>289</Pages>
  <Words>96215</Words>
  <Characters>548427</Characters>
  <Application>Microsoft Office Word</Application>
  <DocSecurity>0</DocSecurity>
  <Lines>4570</Lines>
  <Paragraphs>1286</Paragraphs>
  <ScaleCrop>false</ScaleCrop>
  <HeadingPairs>
    <vt:vector size="2" baseType="variant">
      <vt:variant>
        <vt:lpstr>Title</vt:lpstr>
      </vt:variant>
      <vt:variant>
        <vt:i4>1</vt:i4>
      </vt:variant>
    </vt:vector>
  </HeadingPairs>
  <TitlesOfParts>
    <vt:vector size="1" baseType="lpstr">
      <vt:lpstr>Proyecto de propuesta de presupuesto por programas para el bienio 2014/15</vt:lpstr>
    </vt:vector>
  </TitlesOfParts>
  <Company>WIPO</Company>
  <LinksUpToDate>false</LinksUpToDate>
  <CharactersWithSpaces>643356</CharactersWithSpaces>
  <SharedDoc>false</SharedDoc>
  <HLinks>
    <vt:vector size="432" baseType="variant">
      <vt:variant>
        <vt:i4>2228271</vt:i4>
      </vt:variant>
      <vt:variant>
        <vt:i4>414</vt:i4>
      </vt:variant>
      <vt:variant>
        <vt:i4>0</vt:i4>
      </vt:variant>
      <vt:variant>
        <vt:i4>5</vt:i4>
      </vt:variant>
      <vt:variant>
        <vt:lpwstr>http://www.wipo.int/das</vt:lpwstr>
      </vt:variant>
      <vt:variant>
        <vt:lpwstr/>
      </vt:variant>
      <vt:variant>
        <vt:i4>1572925</vt:i4>
      </vt:variant>
      <vt:variant>
        <vt:i4>404</vt:i4>
      </vt:variant>
      <vt:variant>
        <vt:i4>0</vt:i4>
      </vt:variant>
      <vt:variant>
        <vt:i4>5</vt:i4>
      </vt:variant>
      <vt:variant>
        <vt:lpwstr/>
      </vt:variant>
      <vt:variant>
        <vt:lpwstr>_Toc358816741</vt:lpwstr>
      </vt:variant>
      <vt:variant>
        <vt:i4>1572925</vt:i4>
      </vt:variant>
      <vt:variant>
        <vt:i4>398</vt:i4>
      </vt:variant>
      <vt:variant>
        <vt:i4>0</vt:i4>
      </vt:variant>
      <vt:variant>
        <vt:i4>5</vt:i4>
      </vt:variant>
      <vt:variant>
        <vt:lpwstr/>
      </vt:variant>
      <vt:variant>
        <vt:lpwstr>_Toc358816740</vt:lpwstr>
      </vt:variant>
      <vt:variant>
        <vt:i4>2031677</vt:i4>
      </vt:variant>
      <vt:variant>
        <vt:i4>392</vt:i4>
      </vt:variant>
      <vt:variant>
        <vt:i4>0</vt:i4>
      </vt:variant>
      <vt:variant>
        <vt:i4>5</vt:i4>
      </vt:variant>
      <vt:variant>
        <vt:lpwstr/>
      </vt:variant>
      <vt:variant>
        <vt:lpwstr>_Toc358816739</vt:lpwstr>
      </vt:variant>
      <vt:variant>
        <vt:i4>2031677</vt:i4>
      </vt:variant>
      <vt:variant>
        <vt:i4>386</vt:i4>
      </vt:variant>
      <vt:variant>
        <vt:i4>0</vt:i4>
      </vt:variant>
      <vt:variant>
        <vt:i4>5</vt:i4>
      </vt:variant>
      <vt:variant>
        <vt:lpwstr/>
      </vt:variant>
      <vt:variant>
        <vt:lpwstr>_Toc358816738</vt:lpwstr>
      </vt:variant>
      <vt:variant>
        <vt:i4>2031677</vt:i4>
      </vt:variant>
      <vt:variant>
        <vt:i4>380</vt:i4>
      </vt:variant>
      <vt:variant>
        <vt:i4>0</vt:i4>
      </vt:variant>
      <vt:variant>
        <vt:i4>5</vt:i4>
      </vt:variant>
      <vt:variant>
        <vt:lpwstr/>
      </vt:variant>
      <vt:variant>
        <vt:lpwstr>_Toc358816737</vt:lpwstr>
      </vt:variant>
      <vt:variant>
        <vt:i4>2031677</vt:i4>
      </vt:variant>
      <vt:variant>
        <vt:i4>374</vt:i4>
      </vt:variant>
      <vt:variant>
        <vt:i4>0</vt:i4>
      </vt:variant>
      <vt:variant>
        <vt:i4>5</vt:i4>
      </vt:variant>
      <vt:variant>
        <vt:lpwstr/>
      </vt:variant>
      <vt:variant>
        <vt:lpwstr>_Toc358816736</vt:lpwstr>
      </vt:variant>
      <vt:variant>
        <vt:i4>2031677</vt:i4>
      </vt:variant>
      <vt:variant>
        <vt:i4>368</vt:i4>
      </vt:variant>
      <vt:variant>
        <vt:i4>0</vt:i4>
      </vt:variant>
      <vt:variant>
        <vt:i4>5</vt:i4>
      </vt:variant>
      <vt:variant>
        <vt:lpwstr/>
      </vt:variant>
      <vt:variant>
        <vt:lpwstr>_Toc358816735</vt:lpwstr>
      </vt:variant>
      <vt:variant>
        <vt:i4>2031677</vt:i4>
      </vt:variant>
      <vt:variant>
        <vt:i4>362</vt:i4>
      </vt:variant>
      <vt:variant>
        <vt:i4>0</vt:i4>
      </vt:variant>
      <vt:variant>
        <vt:i4>5</vt:i4>
      </vt:variant>
      <vt:variant>
        <vt:lpwstr/>
      </vt:variant>
      <vt:variant>
        <vt:lpwstr>_Toc358816734</vt:lpwstr>
      </vt:variant>
      <vt:variant>
        <vt:i4>2031677</vt:i4>
      </vt:variant>
      <vt:variant>
        <vt:i4>356</vt:i4>
      </vt:variant>
      <vt:variant>
        <vt:i4>0</vt:i4>
      </vt:variant>
      <vt:variant>
        <vt:i4>5</vt:i4>
      </vt:variant>
      <vt:variant>
        <vt:lpwstr/>
      </vt:variant>
      <vt:variant>
        <vt:lpwstr>_Toc358816733</vt:lpwstr>
      </vt:variant>
      <vt:variant>
        <vt:i4>2031677</vt:i4>
      </vt:variant>
      <vt:variant>
        <vt:i4>350</vt:i4>
      </vt:variant>
      <vt:variant>
        <vt:i4>0</vt:i4>
      </vt:variant>
      <vt:variant>
        <vt:i4>5</vt:i4>
      </vt:variant>
      <vt:variant>
        <vt:lpwstr/>
      </vt:variant>
      <vt:variant>
        <vt:lpwstr>_Toc358816732</vt:lpwstr>
      </vt:variant>
      <vt:variant>
        <vt:i4>2031677</vt:i4>
      </vt:variant>
      <vt:variant>
        <vt:i4>344</vt:i4>
      </vt:variant>
      <vt:variant>
        <vt:i4>0</vt:i4>
      </vt:variant>
      <vt:variant>
        <vt:i4>5</vt:i4>
      </vt:variant>
      <vt:variant>
        <vt:lpwstr/>
      </vt:variant>
      <vt:variant>
        <vt:lpwstr>_Toc358816731</vt:lpwstr>
      </vt:variant>
      <vt:variant>
        <vt:i4>2031677</vt:i4>
      </vt:variant>
      <vt:variant>
        <vt:i4>338</vt:i4>
      </vt:variant>
      <vt:variant>
        <vt:i4>0</vt:i4>
      </vt:variant>
      <vt:variant>
        <vt:i4>5</vt:i4>
      </vt:variant>
      <vt:variant>
        <vt:lpwstr/>
      </vt:variant>
      <vt:variant>
        <vt:lpwstr>_Toc358816730</vt:lpwstr>
      </vt:variant>
      <vt:variant>
        <vt:i4>1966141</vt:i4>
      </vt:variant>
      <vt:variant>
        <vt:i4>332</vt:i4>
      </vt:variant>
      <vt:variant>
        <vt:i4>0</vt:i4>
      </vt:variant>
      <vt:variant>
        <vt:i4>5</vt:i4>
      </vt:variant>
      <vt:variant>
        <vt:lpwstr/>
      </vt:variant>
      <vt:variant>
        <vt:lpwstr>_Toc358816729</vt:lpwstr>
      </vt:variant>
      <vt:variant>
        <vt:i4>1966141</vt:i4>
      </vt:variant>
      <vt:variant>
        <vt:i4>326</vt:i4>
      </vt:variant>
      <vt:variant>
        <vt:i4>0</vt:i4>
      </vt:variant>
      <vt:variant>
        <vt:i4>5</vt:i4>
      </vt:variant>
      <vt:variant>
        <vt:lpwstr/>
      </vt:variant>
      <vt:variant>
        <vt:lpwstr>_Toc358816728</vt:lpwstr>
      </vt:variant>
      <vt:variant>
        <vt:i4>1966141</vt:i4>
      </vt:variant>
      <vt:variant>
        <vt:i4>320</vt:i4>
      </vt:variant>
      <vt:variant>
        <vt:i4>0</vt:i4>
      </vt:variant>
      <vt:variant>
        <vt:i4>5</vt:i4>
      </vt:variant>
      <vt:variant>
        <vt:lpwstr/>
      </vt:variant>
      <vt:variant>
        <vt:lpwstr>_Toc358816727</vt:lpwstr>
      </vt:variant>
      <vt:variant>
        <vt:i4>1966141</vt:i4>
      </vt:variant>
      <vt:variant>
        <vt:i4>314</vt:i4>
      </vt:variant>
      <vt:variant>
        <vt:i4>0</vt:i4>
      </vt:variant>
      <vt:variant>
        <vt:i4>5</vt:i4>
      </vt:variant>
      <vt:variant>
        <vt:lpwstr/>
      </vt:variant>
      <vt:variant>
        <vt:lpwstr>_Toc358816726</vt:lpwstr>
      </vt:variant>
      <vt:variant>
        <vt:i4>1966141</vt:i4>
      </vt:variant>
      <vt:variant>
        <vt:i4>308</vt:i4>
      </vt:variant>
      <vt:variant>
        <vt:i4>0</vt:i4>
      </vt:variant>
      <vt:variant>
        <vt:i4>5</vt:i4>
      </vt:variant>
      <vt:variant>
        <vt:lpwstr/>
      </vt:variant>
      <vt:variant>
        <vt:lpwstr>_Toc358816725</vt:lpwstr>
      </vt:variant>
      <vt:variant>
        <vt:i4>1966141</vt:i4>
      </vt:variant>
      <vt:variant>
        <vt:i4>302</vt:i4>
      </vt:variant>
      <vt:variant>
        <vt:i4>0</vt:i4>
      </vt:variant>
      <vt:variant>
        <vt:i4>5</vt:i4>
      </vt:variant>
      <vt:variant>
        <vt:lpwstr/>
      </vt:variant>
      <vt:variant>
        <vt:lpwstr>_Toc358816724</vt:lpwstr>
      </vt:variant>
      <vt:variant>
        <vt:i4>1966141</vt:i4>
      </vt:variant>
      <vt:variant>
        <vt:i4>296</vt:i4>
      </vt:variant>
      <vt:variant>
        <vt:i4>0</vt:i4>
      </vt:variant>
      <vt:variant>
        <vt:i4>5</vt:i4>
      </vt:variant>
      <vt:variant>
        <vt:lpwstr/>
      </vt:variant>
      <vt:variant>
        <vt:lpwstr>_Toc358816723</vt:lpwstr>
      </vt:variant>
      <vt:variant>
        <vt:i4>1966141</vt:i4>
      </vt:variant>
      <vt:variant>
        <vt:i4>290</vt:i4>
      </vt:variant>
      <vt:variant>
        <vt:i4>0</vt:i4>
      </vt:variant>
      <vt:variant>
        <vt:i4>5</vt:i4>
      </vt:variant>
      <vt:variant>
        <vt:lpwstr/>
      </vt:variant>
      <vt:variant>
        <vt:lpwstr>_Toc358816722</vt:lpwstr>
      </vt:variant>
      <vt:variant>
        <vt:i4>1966141</vt:i4>
      </vt:variant>
      <vt:variant>
        <vt:i4>284</vt:i4>
      </vt:variant>
      <vt:variant>
        <vt:i4>0</vt:i4>
      </vt:variant>
      <vt:variant>
        <vt:i4>5</vt:i4>
      </vt:variant>
      <vt:variant>
        <vt:lpwstr/>
      </vt:variant>
      <vt:variant>
        <vt:lpwstr>_Toc358816721</vt:lpwstr>
      </vt:variant>
      <vt:variant>
        <vt:i4>1966141</vt:i4>
      </vt:variant>
      <vt:variant>
        <vt:i4>278</vt:i4>
      </vt:variant>
      <vt:variant>
        <vt:i4>0</vt:i4>
      </vt:variant>
      <vt:variant>
        <vt:i4>5</vt:i4>
      </vt:variant>
      <vt:variant>
        <vt:lpwstr/>
      </vt:variant>
      <vt:variant>
        <vt:lpwstr>_Toc358816720</vt:lpwstr>
      </vt:variant>
      <vt:variant>
        <vt:i4>1900605</vt:i4>
      </vt:variant>
      <vt:variant>
        <vt:i4>272</vt:i4>
      </vt:variant>
      <vt:variant>
        <vt:i4>0</vt:i4>
      </vt:variant>
      <vt:variant>
        <vt:i4>5</vt:i4>
      </vt:variant>
      <vt:variant>
        <vt:lpwstr/>
      </vt:variant>
      <vt:variant>
        <vt:lpwstr>_Toc358816719</vt:lpwstr>
      </vt:variant>
      <vt:variant>
        <vt:i4>1900605</vt:i4>
      </vt:variant>
      <vt:variant>
        <vt:i4>266</vt:i4>
      </vt:variant>
      <vt:variant>
        <vt:i4>0</vt:i4>
      </vt:variant>
      <vt:variant>
        <vt:i4>5</vt:i4>
      </vt:variant>
      <vt:variant>
        <vt:lpwstr/>
      </vt:variant>
      <vt:variant>
        <vt:lpwstr>_Toc358816718</vt:lpwstr>
      </vt:variant>
      <vt:variant>
        <vt:i4>1900605</vt:i4>
      </vt:variant>
      <vt:variant>
        <vt:i4>260</vt:i4>
      </vt:variant>
      <vt:variant>
        <vt:i4>0</vt:i4>
      </vt:variant>
      <vt:variant>
        <vt:i4>5</vt:i4>
      </vt:variant>
      <vt:variant>
        <vt:lpwstr/>
      </vt:variant>
      <vt:variant>
        <vt:lpwstr>_Toc358816717</vt:lpwstr>
      </vt:variant>
      <vt:variant>
        <vt:i4>1900605</vt:i4>
      </vt:variant>
      <vt:variant>
        <vt:i4>254</vt:i4>
      </vt:variant>
      <vt:variant>
        <vt:i4>0</vt:i4>
      </vt:variant>
      <vt:variant>
        <vt:i4>5</vt:i4>
      </vt:variant>
      <vt:variant>
        <vt:lpwstr/>
      </vt:variant>
      <vt:variant>
        <vt:lpwstr>_Toc358816716</vt:lpwstr>
      </vt:variant>
      <vt:variant>
        <vt:i4>1900605</vt:i4>
      </vt:variant>
      <vt:variant>
        <vt:i4>248</vt:i4>
      </vt:variant>
      <vt:variant>
        <vt:i4>0</vt:i4>
      </vt:variant>
      <vt:variant>
        <vt:i4>5</vt:i4>
      </vt:variant>
      <vt:variant>
        <vt:lpwstr/>
      </vt:variant>
      <vt:variant>
        <vt:lpwstr>_Toc358816715</vt:lpwstr>
      </vt:variant>
      <vt:variant>
        <vt:i4>1900605</vt:i4>
      </vt:variant>
      <vt:variant>
        <vt:i4>242</vt:i4>
      </vt:variant>
      <vt:variant>
        <vt:i4>0</vt:i4>
      </vt:variant>
      <vt:variant>
        <vt:i4>5</vt:i4>
      </vt:variant>
      <vt:variant>
        <vt:lpwstr/>
      </vt:variant>
      <vt:variant>
        <vt:lpwstr>_Toc358816714</vt:lpwstr>
      </vt:variant>
      <vt:variant>
        <vt:i4>1900605</vt:i4>
      </vt:variant>
      <vt:variant>
        <vt:i4>236</vt:i4>
      </vt:variant>
      <vt:variant>
        <vt:i4>0</vt:i4>
      </vt:variant>
      <vt:variant>
        <vt:i4>5</vt:i4>
      </vt:variant>
      <vt:variant>
        <vt:lpwstr/>
      </vt:variant>
      <vt:variant>
        <vt:lpwstr>_Toc358816713</vt:lpwstr>
      </vt:variant>
      <vt:variant>
        <vt:i4>1900605</vt:i4>
      </vt:variant>
      <vt:variant>
        <vt:i4>230</vt:i4>
      </vt:variant>
      <vt:variant>
        <vt:i4>0</vt:i4>
      </vt:variant>
      <vt:variant>
        <vt:i4>5</vt:i4>
      </vt:variant>
      <vt:variant>
        <vt:lpwstr/>
      </vt:variant>
      <vt:variant>
        <vt:lpwstr>_Toc358816712</vt:lpwstr>
      </vt:variant>
      <vt:variant>
        <vt:i4>1900605</vt:i4>
      </vt:variant>
      <vt:variant>
        <vt:i4>224</vt:i4>
      </vt:variant>
      <vt:variant>
        <vt:i4>0</vt:i4>
      </vt:variant>
      <vt:variant>
        <vt:i4>5</vt:i4>
      </vt:variant>
      <vt:variant>
        <vt:lpwstr/>
      </vt:variant>
      <vt:variant>
        <vt:lpwstr>_Toc358816711</vt:lpwstr>
      </vt:variant>
      <vt:variant>
        <vt:i4>1900605</vt:i4>
      </vt:variant>
      <vt:variant>
        <vt:i4>218</vt:i4>
      </vt:variant>
      <vt:variant>
        <vt:i4>0</vt:i4>
      </vt:variant>
      <vt:variant>
        <vt:i4>5</vt:i4>
      </vt:variant>
      <vt:variant>
        <vt:lpwstr/>
      </vt:variant>
      <vt:variant>
        <vt:lpwstr>_Toc358816710</vt:lpwstr>
      </vt:variant>
      <vt:variant>
        <vt:i4>1835069</vt:i4>
      </vt:variant>
      <vt:variant>
        <vt:i4>212</vt:i4>
      </vt:variant>
      <vt:variant>
        <vt:i4>0</vt:i4>
      </vt:variant>
      <vt:variant>
        <vt:i4>5</vt:i4>
      </vt:variant>
      <vt:variant>
        <vt:lpwstr/>
      </vt:variant>
      <vt:variant>
        <vt:lpwstr>_Toc358816709</vt:lpwstr>
      </vt:variant>
      <vt:variant>
        <vt:i4>1835069</vt:i4>
      </vt:variant>
      <vt:variant>
        <vt:i4>206</vt:i4>
      </vt:variant>
      <vt:variant>
        <vt:i4>0</vt:i4>
      </vt:variant>
      <vt:variant>
        <vt:i4>5</vt:i4>
      </vt:variant>
      <vt:variant>
        <vt:lpwstr/>
      </vt:variant>
      <vt:variant>
        <vt:lpwstr>_Toc358816708</vt:lpwstr>
      </vt:variant>
      <vt:variant>
        <vt:i4>1835069</vt:i4>
      </vt:variant>
      <vt:variant>
        <vt:i4>200</vt:i4>
      </vt:variant>
      <vt:variant>
        <vt:i4>0</vt:i4>
      </vt:variant>
      <vt:variant>
        <vt:i4>5</vt:i4>
      </vt:variant>
      <vt:variant>
        <vt:lpwstr/>
      </vt:variant>
      <vt:variant>
        <vt:lpwstr>_Toc358816707</vt:lpwstr>
      </vt:variant>
      <vt:variant>
        <vt:i4>1835069</vt:i4>
      </vt:variant>
      <vt:variant>
        <vt:i4>194</vt:i4>
      </vt:variant>
      <vt:variant>
        <vt:i4>0</vt:i4>
      </vt:variant>
      <vt:variant>
        <vt:i4>5</vt:i4>
      </vt:variant>
      <vt:variant>
        <vt:lpwstr/>
      </vt:variant>
      <vt:variant>
        <vt:lpwstr>_Toc358816706</vt:lpwstr>
      </vt:variant>
      <vt:variant>
        <vt:i4>1835069</vt:i4>
      </vt:variant>
      <vt:variant>
        <vt:i4>188</vt:i4>
      </vt:variant>
      <vt:variant>
        <vt:i4>0</vt:i4>
      </vt:variant>
      <vt:variant>
        <vt:i4>5</vt:i4>
      </vt:variant>
      <vt:variant>
        <vt:lpwstr/>
      </vt:variant>
      <vt:variant>
        <vt:lpwstr>_Toc358816705</vt:lpwstr>
      </vt:variant>
      <vt:variant>
        <vt:i4>1835069</vt:i4>
      </vt:variant>
      <vt:variant>
        <vt:i4>182</vt:i4>
      </vt:variant>
      <vt:variant>
        <vt:i4>0</vt:i4>
      </vt:variant>
      <vt:variant>
        <vt:i4>5</vt:i4>
      </vt:variant>
      <vt:variant>
        <vt:lpwstr/>
      </vt:variant>
      <vt:variant>
        <vt:lpwstr>_Toc358816704</vt:lpwstr>
      </vt:variant>
      <vt:variant>
        <vt:i4>1835069</vt:i4>
      </vt:variant>
      <vt:variant>
        <vt:i4>176</vt:i4>
      </vt:variant>
      <vt:variant>
        <vt:i4>0</vt:i4>
      </vt:variant>
      <vt:variant>
        <vt:i4>5</vt:i4>
      </vt:variant>
      <vt:variant>
        <vt:lpwstr/>
      </vt:variant>
      <vt:variant>
        <vt:lpwstr>_Toc358816703</vt:lpwstr>
      </vt:variant>
      <vt:variant>
        <vt:i4>1835069</vt:i4>
      </vt:variant>
      <vt:variant>
        <vt:i4>170</vt:i4>
      </vt:variant>
      <vt:variant>
        <vt:i4>0</vt:i4>
      </vt:variant>
      <vt:variant>
        <vt:i4>5</vt:i4>
      </vt:variant>
      <vt:variant>
        <vt:lpwstr/>
      </vt:variant>
      <vt:variant>
        <vt:lpwstr>_Toc358816702</vt:lpwstr>
      </vt:variant>
      <vt:variant>
        <vt:i4>1835069</vt:i4>
      </vt:variant>
      <vt:variant>
        <vt:i4>164</vt:i4>
      </vt:variant>
      <vt:variant>
        <vt:i4>0</vt:i4>
      </vt:variant>
      <vt:variant>
        <vt:i4>5</vt:i4>
      </vt:variant>
      <vt:variant>
        <vt:lpwstr/>
      </vt:variant>
      <vt:variant>
        <vt:lpwstr>_Toc358816701</vt:lpwstr>
      </vt:variant>
      <vt:variant>
        <vt:i4>1835069</vt:i4>
      </vt:variant>
      <vt:variant>
        <vt:i4>158</vt:i4>
      </vt:variant>
      <vt:variant>
        <vt:i4>0</vt:i4>
      </vt:variant>
      <vt:variant>
        <vt:i4>5</vt:i4>
      </vt:variant>
      <vt:variant>
        <vt:lpwstr/>
      </vt:variant>
      <vt:variant>
        <vt:lpwstr>_Toc358816700</vt:lpwstr>
      </vt:variant>
      <vt:variant>
        <vt:i4>1376316</vt:i4>
      </vt:variant>
      <vt:variant>
        <vt:i4>152</vt:i4>
      </vt:variant>
      <vt:variant>
        <vt:i4>0</vt:i4>
      </vt:variant>
      <vt:variant>
        <vt:i4>5</vt:i4>
      </vt:variant>
      <vt:variant>
        <vt:lpwstr/>
      </vt:variant>
      <vt:variant>
        <vt:lpwstr>_Toc358816699</vt:lpwstr>
      </vt:variant>
      <vt:variant>
        <vt:i4>1376316</vt:i4>
      </vt:variant>
      <vt:variant>
        <vt:i4>146</vt:i4>
      </vt:variant>
      <vt:variant>
        <vt:i4>0</vt:i4>
      </vt:variant>
      <vt:variant>
        <vt:i4>5</vt:i4>
      </vt:variant>
      <vt:variant>
        <vt:lpwstr/>
      </vt:variant>
      <vt:variant>
        <vt:lpwstr>_Toc358816698</vt:lpwstr>
      </vt:variant>
      <vt:variant>
        <vt:i4>1376316</vt:i4>
      </vt:variant>
      <vt:variant>
        <vt:i4>140</vt:i4>
      </vt:variant>
      <vt:variant>
        <vt:i4>0</vt:i4>
      </vt:variant>
      <vt:variant>
        <vt:i4>5</vt:i4>
      </vt:variant>
      <vt:variant>
        <vt:lpwstr/>
      </vt:variant>
      <vt:variant>
        <vt:lpwstr>_Toc358816697</vt:lpwstr>
      </vt:variant>
      <vt:variant>
        <vt:i4>1376316</vt:i4>
      </vt:variant>
      <vt:variant>
        <vt:i4>134</vt:i4>
      </vt:variant>
      <vt:variant>
        <vt:i4>0</vt:i4>
      </vt:variant>
      <vt:variant>
        <vt:i4>5</vt:i4>
      </vt:variant>
      <vt:variant>
        <vt:lpwstr/>
      </vt:variant>
      <vt:variant>
        <vt:lpwstr>_Toc358816696</vt:lpwstr>
      </vt:variant>
      <vt:variant>
        <vt:i4>1376316</vt:i4>
      </vt:variant>
      <vt:variant>
        <vt:i4>128</vt:i4>
      </vt:variant>
      <vt:variant>
        <vt:i4>0</vt:i4>
      </vt:variant>
      <vt:variant>
        <vt:i4>5</vt:i4>
      </vt:variant>
      <vt:variant>
        <vt:lpwstr/>
      </vt:variant>
      <vt:variant>
        <vt:lpwstr>_Toc358816695</vt:lpwstr>
      </vt:variant>
      <vt:variant>
        <vt:i4>1376316</vt:i4>
      </vt:variant>
      <vt:variant>
        <vt:i4>122</vt:i4>
      </vt:variant>
      <vt:variant>
        <vt:i4>0</vt:i4>
      </vt:variant>
      <vt:variant>
        <vt:i4>5</vt:i4>
      </vt:variant>
      <vt:variant>
        <vt:lpwstr/>
      </vt:variant>
      <vt:variant>
        <vt:lpwstr>_Toc358816694</vt:lpwstr>
      </vt:variant>
      <vt:variant>
        <vt:i4>1376316</vt:i4>
      </vt:variant>
      <vt:variant>
        <vt:i4>116</vt:i4>
      </vt:variant>
      <vt:variant>
        <vt:i4>0</vt:i4>
      </vt:variant>
      <vt:variant>
        <vt:i4>5</vt:i4>
      </vt:variant>
      <vt:variant>
        <vt:lpwstr/>
      </vt:variant>
      <vt:variant>
        <vt:lpwstr>_Toc358816693</vt:lpwstr>
      </vt:variant>
      <vt:variant>
        <vt:i4>1376316</vt:i4>
      </vt:variant>
      <vt:variant>
        <vt:i4>110</vt:i4>
      </vt:variant>
      <vt:variant>
        <vt:i4>0</vt:i4>
      </vt:variant>
      <vt:variant>
        <vt:i4>5</vt:i4>
      </vt:variant>
      <vt:variant>
        <vt:lpwstr/>
      </vt:variant>
      <vt:variant>
        <vt:lpwstr>_Toc358816692</vt:lpwstr>
      </vt:variant>
      <vt:variant>
        <vt:i4>1376316</vt:i4>
      </vt:variant>
      <vt:variant>
        <vt:i4>104</vt:i4>
      </vt:variant>
      <vt:variant>
        <vt:i4>0</vt:i4>
      </vt:variant>
      <vt:variant>
        <vt:i4>5</vt:i4>
      </vt:variant>
      <vt:variant>
        <vt:lpwstr/>
      </vt:variant>
      <vt:variant>
        <vt:lpwstr>_Toc358816691</vt:lpwstr>
      </vt:variant>
      <vt:variant>
        <vt:i4>1376316</vt:i4>
      </vt:variant>
      <vt:variant>
        <vt:i4>98</vt:i4>
      </vt:variant>
      <vt:variant>
        <vt:i4>0</vt:i4>
      </vt:variant>
      <vt:variant>
        <vt:i4>5</vt:i4>
      </vt:variant>
      <vt:variant>
        <vt:lpwstr/>
      </vt:variant>
      <vt:variant>
        <vt:lpwstr>_Toc358816690</vt:lpwstr>
      </vt:variant>
      <vt:variant>
        <vt:i4>1310780</vt:i4>
      </vt:variant>
      <vt:variant>
        <vt:i4>92</vt:i4>
      </vt:variant>
      <vt:variant>
        <vt:i4>0</vt:i4>
      </vt:variant>
      <vt:variant>
        <vt:i4>5</vt:i4>
      </vt:variant>
      <vt:variant>
        <vt:lpwstr/>
      </vt:variant>
      <vt:variant>
        <vt:lpwstr>_Toc358816689</vt:lpwstr>
      </vt:variant>
      <vt:variant>
        <vt:i4>1310780</vt:i4>
      </vt:variant>
      <vt:variant>
        <vt:i4>86</vt:i4>
      </vt:variant>
      <vt:variant>
        <vt:i4>0</vt:i4>
      </vt:variant>
      <vt:variant>
        <vt:i4>5</vt:i4>
      </vt:variant>
      <vt:variant>
        <vt:lpwstr/>
      </vt:variant>
      <vt:variant>
        <vt:lpwstr>_Toc358816688</vt:lpwstr>
      </vt:variant>
      <vt:variant>
        <vt:i4>1310780</vt:i4>
      </vt:variant>
      <vt:variant>
        <vt:i4>80</vt:i4>
      </vt:variant>
      <vt:variant>
        <vt:i4>0</vt:i4>
      </vt:variant>
      <vt:variant>
        <vt:i4>5</vt:i4>
      </vt:variant>
      <vt:variant>
        <vt:lpwstr/>
      </vt:variant>
      <vt:variant>
        <vt:lpwstr>_Toc358816687</vt:lpwstr>
      </vt:variant>
      <vt:variant>
        <vt:i4>1310780</vt:i4>
      </vt:variant>
      <vt:variant>
        <vt:i4>74</vt:i4>
      </vt:variant>
      <vt:variant>
        <vt:i4>0</vt:i4>
      </vt:variant>
      <vt:variant>
        <vt:i4>5</vt:i4>
      </vt:variant>
      <vt:variant>
        <vt:lpwstr/>
      </vt:variant>
      <vt:variant>
        <vt:lpwstr>_Toc358816686</vt:lpwstr>
      </vt:variant>
      <vt:variant>
        <vt:i4>1310780</vt:i4>
      </vt:variant>
      <vt:variant>
        <vt:i4>68</vt:i4>
      </vt:variant>
      <vt:variant>
        <vt:i4>0</vt:i4>
      </vt:variant>
      <vt:variant>
        <vt:i4>5</vt:i4>
      </vt:variant>
      <vt:variant>
        <vt:lpwstr/>
      </vt:variant>
      <vt:variant>
        <vt:lpwstr>_Toc358816685</vt:lpwstr>
      </vt:variant>
      <vt:variant>
        <vt:i4>1310780</vt:i4>
      </vt:variant>
      <vt:variant>
        <vt:i4>62</vt:i4>
      </vt:variant>
      <vt:variant>
        <vt:i4>0</vt:i4>
      </vt:variant>
      <vt:variant>
        <vt:i4>5</vt:i4>
      </vt:variant>
      <vt:variant>
        <vt:lpwstr/>
      </vt:variant>
      <vt:variant>
        <vt:lpwstr>_Toc358816684</vt:lpwstr>
      </vt:variant>
      <vt:variant>
        <vt:i4>1310780</vt:i4>
      </vt:variant>
      <vt:variant>
        <vt:i4>56</vt:i4>
      </vt:variant>
      <vt:variant>
        <vt:i4>0</vt:i4>
      </vt:variant>
      <vt:variant>
        <vt:i4>5</vt:i4>
      </vt:variant>
      <vt:variant>
        <vt:lpwstr/>
      </vt:variant>
      <vt:variant>
        <vt:lpwstr>_Toc358816683</vt:lpwstr>
      </vt:variant>
      <vt:variant>
        <vt:i4>1310780</vt:i4>
      </vt:variant>
      <vt:variant>
        <vt:i4>50</vt:i4>
      </vt:variant>
      <vt:variant>
        <vt:i4>0</vt:i4>
      </vt:variant>
      <vt:variant>
        <vt:i4>5</vt:i4>
      </vt:variant>
      <vt:variant>
        <vt:lpwstr/>
      </vt:variant>
      <vt:variant>
        <vt:lpwstr>_Toc358816682</vt:lpwstr>
      </vt:variant>
      <vt:variant>
        <vt:i4>1310780</vt:i4>
      </vt:variant>
      <vt:variant>
        <vt:i4>44</vt:i4>
      </vt:variant>
      <vt:variant>
        <vt:i4>0</vt:i4>
      </vt:variant>
      <vt:variant>
        <vt:i4>5</vt:i4>
      </vt:variant>
      <vt:variant>
        <vt:lpwstr/>
      </vt:variant>
      <vt:variant>
        <vt:lpwstr>_Toc358816681</vt:lpwstr>
      </vt:variant>
      <vt:variant>
        <vt:i4>1310780</vt:i4>
      </vt:variant>
      <vt:variant>
        <vt:i4>38</vt:i4>
      </vt:variant>
      <vt:variant>
        <vt:i4>0</vt:i4>
      </vt:variant>
      <vt:variant>
        <vt:i4>5</vt:i4>
      </vt:variant>
      <vt:variant>
        <vt:lpwstr/>
      </vt:variant>
      <vt:variant>
        <vt:lpwstr>_Toc358816680</vt:lpwstr>
      </vt:variant>
      <vt:variant>
        <vt:i4>1769532</vt:i4>
      </vt:variant>
      <vt:variant>
        <vt:i4>32</vt:i4>
      </vt:variant>
      <vt:variant>
        <vt:i4>0</vt:i4>
      </vt:variant>
      <vt:variant>
        <vt:i4>5</vt:i4>
      </vt:variant>
      <vt:variant>
        <vt:lpwstr/>
      </vt:variant>
      <vt:variant>
        <vt:lpwstr>_Toc358816679</vt:lpwstr>
      </vt:variant>
      <vt:variant>
        <vt:i4>1769532</vt:i4>
      </vt:variant>
      <vt:variant>
        <vt:i4>26</vt:i4>
      </vt:variant>
      <vt:variant>
        <vt:i4>0</vt:i4>
      </vt:variant>
      <vt:variant>
        <vt:i4>5</vt:i4>
      </vt:variant>
      <vt:variant>
        <vt:lpwstr/>
      </vt:variant>
      <vt:variant>
        <vt:lpwstr>_Toc358816678</vt:lpwstr>
      </vt:variant>
      <vt:variant>
        <vt:i4>1769532</vt:i4>
      </vt:variant>
      <vt:variant>
        <vt:i4>20</vt:i4>
      </vt:variant>
      <vt:variant>
        <vt:i4>0</vt:i4>
      </vt:variant>
      <vt:variant>
        <vt:i4>5</vt:i4>
      </vt:variant>
      <vt:variant>
        <vt:lpwstr/>
      </vt:variant>
      <vt:variant>
        <vt:lpwstr>_Toc358816677</vt:lpwstr>
      </vt:variant>
      <vt:variant>
        <vt:i4>1769532</vt:i4>
      </vt:variant>
      <vt:variant>
        <vt:i4>14</vt:i4>
      </vt:variant>
      <vt:variant>
        <vt:i4>0</vt:i4>
      </vt:variant>
      <vt:variant>
        <vt:i4>5</vt:i4>
      </vt:variant>
      <vt:variant>
        <vt:lpwstr/>
      </vt:variant>
      <vt:variant>
        <vt:lpwstr>_Toc358816676</vt:lpwstr>
      </vt:variant>
      <vt:variant>
        <vt:i4>1769532</vt:i4>
      </vt:variant>
      <vt:variant>
        <vt:i4>8</vt:i4>
      </vt:variant>
      <vt:variant>
        <vt:i4>0</vt:i4>
      </vt:variant>
      <vt:variant>
        <vt:i4>5</vt:i4>
      </vt:variant>
      <vt:variant>
        <vt:lpwstr/>
      </vt:variant>
      <vt:variant>
        <vt:lpwstr>_Toc358816675</vt:lpwstr>
      </vt:variant>
      <vt:variant>
        <vt:i4>1769532</vt:i4>
      </vt:variant>
      <vt:variant>
        <vt:i4>2</vt:i4>
      </vt:variant>
      <vt:variant>
        <vt:i4>0</vt:i4>
      </vt:variant>
      <vt:variant>
        <vt:i4>5</vt:i4>
      </vt:variant>
      <vt:variant>
        <vt:lpwstr/>
      </vt:variant>
      <vt:variant>
        <vt:lpwstr>_Toc358816674</vt:lpwstr>
      </vt:variant>
      <vt:variant>
        <vt:i4>5439588</vt:i4>
      </vt:variant>
      <vt:variant>
        <vt:i4>6</vt:i4>
      </vt:variant>
      <vt:variant>
        <vt:i4>0</vt:i4>
      </vt:variant>
      <vt:variant>
        <vt:i4>5</vt:i4>
      </vt:variant>
      <vt:variant>
        <vt:lpwstr>http://www.wipo.int/edocs/mdocs/govbody/es/a_42/a_42_10-annex3.pdf</vt:lpwstr>
      </vt:variant>
      <vt:variant>
        <vt:lpwstr/>
      </vt:variant>
      <vt:variant>
        <vt:i4>3997699</vt:i4>
      </vt:variant>
      <vt:variant>
        <vt:i4>3</vt:i4>
      </vt:variant>
      <vt:variant>
        <vt:i4>0</vt:i4>
      </vt:variant>
      <vt:variant>
        <vt:i4>5</vt:i4>
      </vt:variant>
      <vt:variant>
        <vt:lpwstr>http://www.wipo.int/edocs/mdocs/mdocs/en/cdip_4/cdip_4_3_rev_study_inf_3.pdf</vt:lpwstr>
      </vt:variant>
      <vt:variant>
        <vt:lpwstr/>
      </vt:variant>
      <vt:variant>
        <vt:i4>5832757</vt:i4>
      </vt:variant>
      <vt:variant>
        <vt:i4>0</vt:i4>
      </vt:variant>
      <vt:variant>
        <vt:i4>0</vt:i4>
      </vt:variant>
      <vt:variant>
        <vt:i4>5</vt:i4>
      </vt:variant>
      <vt:variant>
        <vt:lpwstr>http://www.wipo.int/patentscope/en/programs/patent_landscapes/index.html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Proyecto de propuesta de presupuesto por programas para el bienio 2014/15</dc:title>
  <dc:subject>WO/PBC/20/3</dc:subject>
  <dc:creator>ZEPEDA LEISTENSCHNEIDER Verónica</dc:creator>
  <dc:description>CPV/JC/LM/KP/ID/CGB/MB/MH/nc/dl/vz
28/05/2013</dc:description>
  <cp:lastModifiedBy>NETTER Iza</cp:lastModifiedBy>
  <cp:revision>10</cp:revision>
  <cp:lastPrinted>2013-08-12T14:29:00Z</cp:lastPrinted>
  <dcterms:created xsi:type="dcterms:W3CDTF">2013-08-08T14:45:00Z</dcterms:created>
  <dcterms:modified xsi:type="dcterms:W3CDTF">2013-08-16T12:28:00Z</dcterms:modified>
</cp:coreProperties>
</file>