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080E39" w:rsidTr="0088395E">
        <w:tc>
          <w:tcPr>
            <w:tcW w:w="4513" w:type="dxa"/>
            <w:tcBorders>
              <w:bottom w:val="single" w:sz="4" w:space="0" w:color="auto"/>
            </w:tcBorders>
            <w:tcMar>
              <w:bottom w:w="170" w:type="dxa"/>
            </w:tcMar>
          </w:tcPr>
          <w:p w:rsidR="00E504E5" w:rsidRPr="00080E39"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080E39" w:rsidRDefault="007A49E4" w:rsidP="00AB613D">
            <w:pPr>
              <w:rPr>
                <w:lang w:val="es-ES_tradnl"/>
              </w:rPr>
            </w:pPr>
            <w:r w:rsidRPr="00080E39">
              <w:rPr>
                <w:noProof/>
                <w:lang w:val="en-US" w:eastAsia="en-US"/>
              </w:rPr>
              <w:drawing>
                <wp:inline distT="0" distB="0" distL="0" distR="0" wp14:anchorId="6F448312" wp14:editId="326538F5">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080E39" w:rsidRDefault="00E504E5" w:rsidP="00AB613D">
            <w:pPr>
              <w:jc w:val="right"/>
              <w:rPr>
                <w:lang w:val="es-ES_tradnl"/>
              </w:rPr>
            </w:pPr>
            <w:r w:rsidRPr="00080E39">
              <w:rPr>
                <w:b/>
                <w:sz w:val="40"/>
                <w:szCs w:val="40"/>
                <w:lang w:val="es-ES_tradnl"/>
              </w:rPr>
              <w:t>S</w:t>
            </w:r>
          </w:p>
        </w:tc>
      </w:tr>
      <w:tr w:rsidR="008B2CC1" w:rsidRPr="00080E39"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080E39" w:rsidRDefault="0081338B" w:rsidP="00A819E4">
            <w:pPr>
              <w:jc w:val="right"/>
              <w:rPr>
                <w:rFonts w:ascii="Arial Black" w:hAnsi="Arial Black"/>
                <w:caps/>
                <w:sz w:val="15"/>
                <w:lang w:val="es-ES_tradnl"/>
              </w:rPr>
            </w:pPr>
            <w:r w:rsidRPr="00080E39">
              <w:rPr>
                <w:rFonts w:ascii="Arial Black" w:hAnsi="Arial Black"/>
                <w:caps/>
                <w:sz w:val="15"/>
                <w:lang w:val="es-ES_tradnl"/>
              </w:rPr>
              <w:t>WO/PBC/21/</w:t>
            </w:r>
            <w:bookmarkStart w:id="1" w:name="Code"/>
            <w:bookmarkEnd w:id="1"/>
            <w:r w:rsidR="00A819E4" w:rsidRPr="00080E39">
              <w:rPr>
                <w:rFonts w:ascii="Arial Black" w:hAnsi="Arial Black"/>
                <w:caps/>
                <w:sz w:val="15"/>
                <w:lang w:val="es-ES_tradnl"/>
              </w:rPr>
              <w:t>7</w:t>
            </w:r>
          </w:p>
        </w:tc>
      </w:tr>
      <w:tr w:rsidR="008B2CC1" w:rsidRPr="00080E39" w:rsidTr="00AB613D">
        <w:trPr>
          <w:trHeight w:hRule="exact" w:val="170"/>
        </w:trPr>
        <w:tc>
          <w:tcPr>
            <w:tcW w:w="9356" w:type="dxa"/>
            <w:gridSpan w:val="3"/>
            <w:noWrap/>
            <w:tcMar>
              <w:left w:w="0" w:type="dxa"/>
              <w:right w:w="0" w:type="dxa"/>
            </w:tcMar>
            <w:vAlign w:val="bottom"/>
          </w:tcPr>
          <w:p w:rsidR="008B2CC1" w:rsidRPr="00080E39" w:rsidRDefault="008B2CC1" w:rsidP="00A819E4">
            <w:pPr>
              <w:jc w:val="right"/>
              <w:rPr>
                <w:rFonts w:ascii="Arial Black" w:hAnsi="Arial Black"/>
                <w:caps/>
                <w:sz w:val="15"/>
                <w:lang w:val="es-ES_tradnl"/>
              </w:rPr>
            </w:pPr>
            <w:r w:rsidRPr="00080E39">
              <w:rPr>
                <w:rFonts w:ascii="Arial Black" w:hAnsi="Arial Black"/>
                <w:caps/>
                <w:sz w:val="15"/>
                <w:lang w:val="es-ES_tradnl"/>
              </w:rPr>
              <w:t>ORIGINAL:</w:t>
            </w:r>
            <w:r w:rsidR="00F84474" w:rsidRPr="00080E39">
              <w:rPr>
                <w:rFonts w:ascii="Arial Black" w:hAnsi="Arial Black"/>
                <w:caps/>
                <w:sz w:val="15"/>
                <w:lang w:val="es-ES_tradnl"/>
              </w:rPr>
              <w:t xml:space="preserve"> </w:t>
            </w:r>
            <w:r w:rsidRPr="00080E39">
              <w:rPr>
                <w:rFonts w:ascii="Arial Black" w:hAnsi="Arial Black"/>
                <w:caps/>
                <w:sz w:val="15"/>
                <w:lang w:val="es-ES_tradnl"/>
              </w:rPr>
              <w:t xml:space="preserve"> </w:t>
            </w:r>
            <w:bookmarkStart w:id="2" w:name="Original"/>
            <w:bookmarkEnd w:id="2"/>
            <w:r w:rsidR="00A819E4" w:rsidRPr="00080E39">
              <w:rPr>
                <w:rFonts w:ascii="Arial Black" w:hAnsi="Arial Black"/>
                <w:caps/>
                <w:sz w:val="15"/>
                <w:lang w:val="es-ES_tradnl"/>
              </w:rPr>
              <w:t>INGLÉS</w:t>
            </w:r>
          </w:p>
        </w:tc>
      </w:tr>
      <w:tr w:rsidR="008B2CC1" w:rsidRPr="00080E39" w:rsidTr="00AB613D">
        <w:trPr>
          <w:trHeight w:hRule="exact" w:val="198"/>
        </w:trPr>
        <w:tc>
          <w:tcPr>
            <w:tcW w:w="9356" w:type="dxa"/>
            <w:gridSpan w:val="3"/>
            <w:tcMar>
              <w:left w:w="0" w:type="dxa"/>
              <w:right w:w="0" w:type="dxa"/>
            </w:tcMar>
            <w:vAlign w:val="bottom"/>
          </w:tcPr>
          <w:p w:rsidR="008B2CC1" w:rsidRPr="00080E39" w:rsidRDefault="00675021" w:rsidP="001C3E98">
            <w:pPr>
              <w:jc w:val="right"/>
              <w:rPr>
                <w:rFonts w:ascii="Arial Black" w:hAnsi="Arial Black"/>
                <w:caps/>
                <w:sz w:val="15"/>
                <w:lang w:val="es-ES_tradnl"/>
              </w:rPr>
            </w:pPr>
            <w:r w:rsidRPr="00080E39">
              <w:rPr>
                <w:rFonts w:ascii="Arial Black" w:hAnsi="Arial Black"/>
                <w:caps/>
                <w:sz w:val="15"/>
                <w:lang w:val="es-ES_tradnl"/>
              </w:rPr>
              <w:t>fecha</w:t>
            </w:r>
            <w:r w:rsidR="008B2CC1" w:rsidRPr="00080E39">
              <w:rPr>
                <w:rFonts w:ascii="Arial Black" w:hAnsi="Arial Black"/>
                <w:caps/>
                <w:sz w:val="15"/>
                <w:lang w:val="es-ES_tradnl"/>
              </w:rPr>
              <w:t>:</w:t>
            </w:r>
            <w:r w:rsidR="00F84474" w:rsidRPr="00080E39">
              <w:rPr>
                <w:rFonts w:ascii="Arial Black" w:hAnsi="Arial Black"/>
                <w:caps/>
                <w:sz w:val="15"/>
                <w:lang w:val="es-ES_tradnl"/>
              </w:rPr>
              <w:t xml:space="preserve"> </w:t>
            </w:r>
            <w:r w:rsidR="008B2CC1" w:rsidRPr="00080E39">
              <w:rPr>
                <w:rFonts w:ascii="Arial Black" w:hAnsi="Arial Black"/>
                <w:caps/>
                <w:sz w:val="15"/>
                <w:lang w:val="es-ES_tradnl"/>
              </w:rPr>
              <w:t xml:space="preserve"> </w:t>
            </w:r>
            <w:bookmarkStart w:id="3" w:name="Date"/>
            <w:bookmarkEnd w:id="3"/>
            <w:r w:rsidR="00A819E4" w:rsidRPr="00080E39">
              <w:rPr>
                <w:rFonts w:ascii="Arial Black" w:hAnsi="Arial Black"/>
                <w:caps/>
                <w:sz w:val="15"/>
                <w:lang w:val="es-ES_tradnl"/>
              </w:rPr>
              <w:t xml:space="preserve">31 DE JULIO DE </w:t>
            </w:r>
            <w:r w:rsidR="001C3E98" w:rsidRPr="00080E39">
              <w:rPr>
                <w:rFonts w:ascii="Arial Black" w:hAnsi="Arial Black"/>
                <w:caps/>
                <w:sz w:val="15"/>
                <w:lang w:val="es-ES_tradnl"/>
              </w:rPr>
              <w:t>2</w:t>
            </w:r>
            <w:r w:rsidR="00A819E4" w:rsidRPr="00080E39">
              <w:rPr>
                <w:rFonts w:ascii="Arial Black" w:hAnsi="Arial Black"/>
                <w:caps/>
                <w:sz w:val="15"/>
                <w:lang w:val="es-ES_tradnl"/>
              </w:rPr>
              <w:t>013</w:t>
            </w:r>
          </w:p>
        </w:tc>
      </w:tr>
    </w:tbl>
    <w:p w:rsidR="008B2CC1" w:rsidRPr="00080E39" w:rsidRDefault="008B2CC1" w:rsidP="00A819E4">
      <w:pPr>
        <w:rPr>
          <w:lang w:val="es-ES_tradnl"/>
        </w:rPr>
      </w:pPr>
    </w:p>
    <w:p w:rsidR="008B2CC1" w:rsidRPr="00080E39" w:rsidRDefault="008B2CC1" w:rsidP="008B2CC1">
      <w:pPr>
        <w:rPr>
          <w:lang w:val="es-ES_tradnl"/>
        </w:rPr>
      </w:pPr>
    </w:p>
    <w:p w:rsidR="008B2CC1" w:rsidRPr="00080E39" w:rsidRDefault="008B2CC1" w:rsidP="008B2CC1">
      <w:pPr>
        <w:rPr>
          <w:lang w:val="es-ES_tradnl"/>
        </w:rPr>
      </w:pPr>
    </w:p>
    <w:p w:rsidR="008B2CC1" w:rsidRPr="00080E39" w:rsidRDefault="008B2CC1" w:rsidP="008B2CC1">
      <w:pPr>
        <w:rPr>
          <w:lang w:val="es-ES_tradnl"/>
        </w:rPr>
      </w:pPr>
    </w:p>
    <w:p w:rsidR="008B2CC1" w:rsidRPr="00080E39" w:rsidRDefault="008B2CC1" w:rsidP="008B2CC1">
      <w:pPr>
        <w:rPr>
          <w:lang w:val="es-ES_tradnl"/>
        </w:rPr>
      </w:pPr>
    </w:p>
    <w:p w:rsidR="0081338B" w:rsidRPr="00080E39" w:rsidRDefault="0081338B" w:rsidP="0081338B">
      <w:pPr>
        <w:rPr>
          <w:b/>
          <w:sz w:val="28"/>
          <w:szCs w:val="28"/>
          <w:lang w:val="es-ES_tradnl"/>
        </w:rPr>
      </w:pPr>
      <w:r w:rsidRPr="00080E39">
        <w:rPr>
          <w:b/>
          <w:sz w:val="28"/>
          <w:szCs w:val="28"/>
          <w:lang w:val="es-ES_tradnl"/>
        </w:rPr>
        <w:t>Comité del Programa y Presupuesto</w:t>
      </w:r>
    </w:p>
    <w:p w:rsidR="003845C1" w:rsidRPr="00080E39" w:rsidRDefault="003845C1" w:rsidP="003845C1">
      <w:pPr>
        <w:rPr>
          <w:lang w:val="es-ES_tradnl"/>
        </w:rPr>
      </w:pPr>
    </w:p>
    <w:p w:rsidR="003845C1" w:rsidRPr="00080E39" w:rsidRDefault="003845C1" w:rsidP="003845C1">
      <w:pPr>
        <w:rPr>
          <w:lang w:val="es-ES_tradnl"/>
        </w:rPr>
      </w:pPr>
    </w:p>
    <w:p w:rsidR="0081338B" w:rsidRPr="00080E39" w:rsidRDefault="0081338B" w:rsidP="0081338B">
      <w:pPr>
        <w:rPr>
          <w:b/>
          <w:sz w:val="24"/>
          <w:szCs w:val="24"/>
          <w:lang w:val="es-ES_tradnl"/>
        </w:rPr>
      </w:pPr>
      <w:r w:rsidRPr="00080E39">
        <w:rPr>
          <w:b/>
          <w:sz w:val="24"/>
          <w:szCs w:val="24"/>
          <w:lang w:val="es-ES_tradnl"/>
        </w:rPr>
        <w:t>Vigésim</w:t>
      </w:r>
      <w:r w:rsidR="003D4948" w:rsidRPr="00080E39">
        <w:rPr>
          <w:b/>
          <w:sz w:val="24"/>
          <w:szCs w:val="24"/>
          <w:lang w:val="es-ES_tradnl"/>
        </w:rPr>
        <w:t>a</w:t>
      </w:r>
      <w:r w:rsidRPr="00080E39">
        <w:rPr>
          <w:b/>
          <w:sz w:val="24"/>
          <w:szCs w:val="24"/>
          <w:lang w:val="es-ES_tradnl"/>
        </w:rPr>
        <w:t xml:space="preserve"> primera sesión</w:t>
      </w:r>
    </w:p>
    <w:p w:rsidR="0081338B" w:rsidRPr="00080E39" w:rsidRDefault="0081338B" w:rsidP="0081338B">
      <w:pPr>
        <w:rPr>
          <w:b/>
          <w:sz w:val="24"/>
          <w:szCs w:val="24"/>
          <w:lang w:val="es-ES_tradnl"/>
        </w:rPr>
      </w:pPr>
      <w:r w:rsidRPr="00080E39">
        <w:rPr>
          <w:b/>
          <w:sz w:val="24"/>
          <w:szCs w:val="24"/>
          <w:lang w:val="es-ES_tradnl"/>
        </w:rPr>
        <w:t>Ginebra, 9 a 13 de septiembre de 2013</w:t>
      </w:r>
    </w:p>
    <w:p w:rsidR="00A819E4" w:rsidRPr="00080E39" w:rsidRDefault="00A819E4" w:rsidP="00A819E4">
      <w:pPr>
        <w:rPr>
          <w:lang w:val="es-ES_tradnl"/>
        </w:rPr>
      </w:pPr>
    </w:p>
    <w:p w:rsidR="00A819E4" w:rsidRPr="00080E39" w:rsidRDefault="00A819E4" w:rsidP="00A819E4">
      <w:pPr>
        <w:rPr>
          <w:lang w:val="es-ES_tradnl"/>
        </w:rPr>
      </w:pPr>
    </w:p>
    <w:p w:rsidR="00A819E4" w:rsidRPr="00080E39" w:rsidRDefault="00A819E4" w:rsidP="00A819E4">
      <w:pPr>
        <w:rPr>
          <w:lang w:val="es-ES_tradnl"/>
        </w:rPr>
      </w:pPr>
    </w:p>
    <w:p w:rsidR="00A819E4" w:rsidRPr="00080E39" w:rsidRDefault="00A819E4" w:rsidP="00A819E4">
      <w:pPr>
        <w:rPr>
          <w:caps/>
          <w:sz w:val="24"/>
          <w:lang w:val="es-ES_tradnl"/>
        </w:rPr>
      </w:pPr>
      <w:bookmarkStart w:id="4" w:name="TitleOfDoc"/>
      <w:bookmarkEnd w:id="4"/>
      <w:r w:rsidRPr="00080E39">
        <w:rPr>
          <w:caps/>
          <w:sz w:val="24"/>
          <w:lang w:val="es-ES_tradnl"/>
        </w:rPr>
        <w:t>SITUACIÓN relativa a la UTILIZACIÓN de las reservas</w:t>
      </w:r>
    </w:p>
    <w:p w:rsidR="00A819E4" w:rsidRPr="00080E39" w:rsidRDefault="00A819E4" w:rsidP="00A819E4">
      <w:pPr>
        <w:rPr>
          <w:lang w:val="es-ES_tradnl"/>
        </w:rPr>
      </w:pPr>
    </w:p>
    <w:p w:rsidR="00A819E4" w:rsidRPr="00080E39" w:rsidRDefault="00A819E4" w:rsidP="00A819E4">
      <w:pPr>
        <w:rPr>
          <w:i/>
          <w:lang w:val="es-ES_tradnl"/>
        </w:rPr>
      </w:pPr>
      <w:bookmarkStart w:id="5" w:name="Prepared"/>
      <w:bookmarkEnd w:id="5"/>
      <w:r w:rsidRPr="00080E39">
        <w:rPr>
          <w:i/>
          <w:lang w:val="es-ES_tradnl"/>
        </w:rPr>
        <w:t>Documento preparado por la Secretaría</w:t>
      </w:r>
    </w:p>
    <w:p w:rsidR="00A819E4" w:rsidRPr="00080E39" w:rsidRDefault="00A819E4" w:rsidP="00A819E4">
      <w:pPr>
        <w:rPr>
          <w:lang w:val="es-ES_tradnl"/>
        </w:rPr>
      </w:pPr>
    </w:p>
    <w:p w:rsidR="00A819E4" w:rsidRPr="00080E39" w:rsidRDefault="00A819E4" w:rsidP="00A819E4">
      <w:pPr>
        <w:rPr>
          <w:lang w:val="es-ES_tradnl"/>
        </w:rPr>
      </w:pPr>
    </w:p>
    <w:p w:rsidR="00A819E4" w:rsidRPr="00080E39" w:rsidRDefault="00A819E4" w:rsidP="00A819E4">
      <w:pPr>
        <w:rPr>
          <w:lang w:val="es-ES_tradnl"/>
        </w:rPr>
      </w:pPr>
    </w:p>
    <w:p w:rsidR="00A819E4" w:rsidRPr="00080E39" w:rsidRDefault="00A819E4" w:rsidP="00A819E4">
      <w:pPr>
        <w:rPr>
          <w:lang w:val="es-ES_tradnl"/>
        </w:rPr>
      </w:pPr>
    </w:p>
    <w:p w:rsidR="00A819E4" w:rsidRPr="00080E39" w:rsidRDefault="00A819E4" w:rsidP="00A819E4">
      <w:pPr>
        <w:rPr>
          <w:lang w:val="es-ES_tradnl"/>
        </w:rPr>
      </w:pPr>
    </w:p>
    <w:p w:rsidR="00A819E4" w:rsidRPr="00080E39" w:rsidRDefault="00A819E4" w:rsidP="00A819E4">
      <w:pPr>
        <w:pStyle w:val="ONUMFS"/>
        <w:rPr>
          <w:lang w:val="es-ES_tradnl"/>
        </w:rPr>
      </w:pPr>
      <w:r w:rsidRPr="00080E39">
        <w:rPr>
          <w:lang w:val="es-ES_tradnl"/>
        </w:rPr>
        <w:t xml:space="preserve">En el presente documento se ofrece un panorama de i) la situación de los fondos de reserva y de operaciones (FRO) al cierre de las cuentas de 2012;  y ii) la situación de las consignaciones con cargo a los FRO para proyectos aprobados o propuestos para su aprobación por los Estados miembros a los fines de su financiación a partir de las reservas de la </w:t>
      </w:r>
      <w:r w:rsidRPr="00080E39">
        <w:rPr>
          <w:lang w:val="es-ES_tradnl" w:eastAsia="fr-FR"/>
        </w:rPr>
        <w:t>Organización</w:t>
      </w:r>
      <w:r w:rsidRPr="00080E39">
        <w:rPr>
          <w:lang w:val="es-ES_tradnl"/>
        </w:rPr>
        <w:t>.</w:t>
      </w:r>
    </w:p>
    <w:p w:rsidR="00A819E4" w:rsidRPr="00080E39" w:rsidRDefault="00A819E4" w:rsidP="00A819E4">
      <w:pPr>
        <w:pStyle w:val="ONUMFS"/>
        <w:rPr>
          <w:lang w:val="es-ES_tradnl"/>
        </w:rPr>
      </w:pPr>
      <w:r w:rsidRPr="00080E39">
        <w:rPr>
          <w:lang w:val="es-ES_tradnl"/>
        </w:rPr>
        <w:t xml:space="preserve">Los estados financieros de la </w:t>
      </w:r>
      <w:r w:rsidRPr="00080E39">
        <w:rPr>
          <w:lang w:val="es-ES_tradnl" w:eastAsia="fr-FR"/>
        </w:rPr>
        <w:t>Organización</w:t>
      </w:r>
      <w:r w:rsidRPr="00080E39">
        <w:rPr>
          <w:lang w:val="es-ES_tradnl"/>
        </w:rPr>
        <w:t xml:space="preserve"> </w:t>
      </w:r>
      <w:r w:rsidR="001C3E98" w:rsidRPr="00080E39">
        <w:rPr>
          <w:lang w:val="es-ES_tradnl"/>
        </w:rPr>
        <w:t xml:space="preserve">correspondientes </w:t>
      </w:r>
      <w:r w:rsidRPr="00080E39">
        <w:rPr>
          <w:lang w:val="es-ES_tradnl"/>
        </w:rPr>
        <w:t xml:space="preserve">al año finalizado </w:t>
      </w:r>
      <w:r w:rsidR="001C3E98" w:rsidRPr="00080E39">
        <w:rPr>
          <w:lang w:val="es-ES_tradnl"/>
        </w:rPr>
        <w:t>e</w:t>
      </w:r>
      <w:r w:rsidRPr="00080E39">
        <w:rPr>
          <w:lang w:val="es-ES_tradnl"/>
        </w:rPr>
        <w:t>l</w:t>
      </w:r>
      <w:r w:rsidR="001C3E98" w:rsidRPr="00080E39">
        <w:rPr>
          <w:lang w:val="es-ES_tradnl"/>
        </w:rPr>
        <w:t> </w:t>
      </w:r>
      <w:r w:rsidRPr="00080E39">
        <w:rPr>
          <w:lang w:val="es-ES_tradnl"/>
        </w:rPr>
        <w:t>31</w:t>
      </w:r>
      <w:r w:rsidR="001C3E98" w:rsidRPr="00080E39">
        <w:rPr>
          <w:lang w:val="es-ES_tradnl"/>
        </w:rPr>
        <w:t> </w:t>
      </w:r>
      <w:r w:rsidRPr="00080E39">
        <w:rPr>
          <w:lang w:val="es-ES_tradnl"/>
        </w:rPr>
        <w:t>de</w:t>
      </w:r>
      <w:r w:rsidR="001C3E98" w:rsidRPr="00080E39">
        <w:rPr>
          <w:lang w:val="es-ES_tradnl"/>
        </w:rPr>
        <w:t> </w:t>
      </w:r>
      <w:r w:rsidRPr="00080E39">
        <w:rPr>
          <w:lang w:val="es-ES_tradnl"/>
        </w:rPr>
        <w:t>diciembre de </w:t>
      </w:r>
      <w:r w:rsidR="001C3E98" w:rsidRPr="00080E39">
        <w:rPr>
          <w:lang w:val="es-ES_tradnl"/>
        </w:rPr>
        <w:t>2012</w:t>
      </w:r>
      <w:r w:rsidRPr="00080E39">
        <w:rPr>
          <w:lang w:val="es-ES_tradnl"/>
        </w:rPr>
        <w:t xml:space="preserve"> han sido preparados conforme a las </w:t>
      </w:r>
      <w:r w:rsidRPr="00080E39">
        <w:rPr>
          <w:szCs w:val="24"/>
          <w:lang w:val="es-ES_tradnl"/>
        </w:rPr>
        <w:t>Normas Internacionales de Contabilidad del Sector Público (IPSAS)</w:t>
      </w:r>
      <w:r w:rsidRPr="00080E39">
        <w:rPr>
          <w:lang w:val="es-ES_tradnl"/>
        </w:rPr>
        <w:t>.</w:t>
      </w:r>
    </w:p>
    <w:p w:rsidR="00A819E4" w:rsidRPr="00080E39" w:rsidRDefault="00A819E4" w:rsidP="00A819E4">
      <w:pPr>
        <w:pStyle w:val="ONUMFS"/>
        <w:rPr>
          <w:lang w:val="es-ES_tradnl"/>
        </w:rPr>
      </w:pPr>
      <w:r w:rsidRPr="00080E39">
        <w:rPr>
          <w:lang w:val="es-ES_tradnl"/>
        </w:rPr>
        <w:t>El presente documento está dividido en las siguientes partes:</w:t>
      </w:r>
    </w:p>
    <w:p w:rsidR="00A819E4" w:rsidRPr="00080E39" w:rsidRDefault="00AC7438" w:rsidP="00A819E4">
      <w:pPr>
        <w:pStyle w:val="ONUMFS"/>
        <w:numPr>
          <w:ilvl w:val="0"/>
          <w:numId w:val="9"/>
        </w:numPr>
        <w:ind w:left="567"/>
        <w:rPr>
          <w:lang w:val="es-ES_tradnl"/>
        </w:rPr>
      </w:pPr>
      <w:r>
        <w:rPr>
          <w:lang w:val="es-ES_tradnl"/>
        </w:rPr>
        <w:t>P</w:t>
      </w:r>
      <w:r w:rsidR="00A819E4" w:rsidRPr="00080E39">
        <w:rPr>
          <w:lang w:val="es-ES_tradnl"/>
        </w:rPr>
        <w:t>rimera parte, en la que se expone la situación de los FRO al cierre financiero de 2012</w:t>
      </w:r>
      <w:r w:rsidR="001C3E98" w:rsidRPr="00080E39">
        <w:rPr>
          <w:lang w:val="es-ES_tradnl"/>
        </w:rPr>
        <w:t>,</w:t>
      </w:r>
      <w:r w:rsidR="00A819E4" w:rsidRPr="00080E39">
        <w:rPr>
          <w:lang w:val="es-ES_tradnl"/>
        </w:rPr>
        <w:t xml:space="preserve"> teniendo en cuenta la incidencia de los ajustes de las IPSAS; </w:t>
      </w:r>
    </w:p>
    <w:p w:rsidR="00A819E4" w:rsidRPr="00080E39" w:rsidRDefault="00AC7438" w:rsidP="00A819E4">
      <w:pPr>
        <w:pStyle w:val="ONUMFS"/>
        <w:numPr>
          <w:ilvl w:val="0"/>
          <w:numId w:val="9"/>
        </w:numPr>
        <w:ind w:left="567"/>
        <w:rPr>
          <w:lang w:val="es-ES_tradnl"/>
        </w:rPr>
      </w:pPr>
      <w:r>
        <w:rPr>
          <w:lang w:val="es-ES_tradnl"/>
        </w:rPr>
        <w:t>S</w:t>
      </w:r>
      <w:r w:rsidR="00A819E4" w:rsidRPr="00080E39">
        <w:rPr>
          <w:lang w:val="es-ES_tradnl"/>
        </w:rPr>
        <w:t xml:space="preserve">egunda parte, en la que expone la situación de las </w:t>
      </w:r>
      <w:r w:rsidR="007F68CD" w:rsidRPr="00080E39">
        <w:rPr>
          <w:lang w:val="es-ES_tradnl"/>
        </w:rPr>
        <w:t>consignaciones</w:t>
      </w:r>
      <w:r w:rsidR="00A819E4" w:rsidRPr="00080E39">
        <w:rPr>
          <w:lang w:val="es-ES_tradnl"/>
        </w:rPr>
        <w:t xml:space="preserve"> con cargo a los FRO aprobadas y </w:t>
      </w:r>
      <w:r w:rsidR="007F68CD" w:rsidRPr="00080E39">
        <w:rPr>
          <w:lang w:val="es-ES_tradnl"/>
        </w:rPr>
        <w:t>propuestas</w:t>
      </w:r>
      <w:r w:rsidR="00A819E4" w:rsidRPr="00080E39">
        <w:rPr>
          <w:lang w:val="es-ES_tradnl"/>
        </w:rPr>
        <w:t xml:space="preserve"> para su aprobación por los Estados miembros</w:t>
      </w:r>
      <w:r w:rsidR="00A819E4" w:rsidRPr="00080E39">
        <w:rPr>
          <w:rStyle w:val="FootnoteReference"/>
          <w:szCs w:val="22"/>
          <w:lang w:val="es-ES_tradnl"/>
        </w:rPr>
        <w:footnoteReference w:id="2"/>
      </w:r>
      <w:r w:rsidR="00A819E4" w:rsidRPr="00080E39">
        <w:rPr>
          <w:lang w:val="es-ES_tradnl"/>
        </w:rPr>
        <w:t xml:space="preserve">; </w:t>
      </w:r>
      <w:r w:rsidR="007F68CD" w:rsidRPr="00080E39">
        <w:rPr>
          <w:lang w:val="es-ES_tradnl"/>
        </w:rPr>
        <w:t xml:space="preserve"> y</w:t>
      </w:r>
    </w:p>
    <w:p w:rsidR="00A819E4" w:rsidRPr="00080E39" w:rsidRDefault="00AC7438" w:rsidP="00A819E4">
      <w:pPr>
        <w:pStyle w:val="ONUMFS"/>
        <w:numPr>
          <w:ilvl w:val="0"/>
          <w:numId w:val="9"/>
        </w:numPr>
        <w:ind w:left="567"/>
        <w:rPr>
          <w:lang w:val="es-ES_tradnl"/>
        </w:rPr>
      </w:pPr>
      <w:r>
        <w:rPr>
          <w:lang w:val="es-ES_tradnl"/>
        </w:rPr>
        <w:t>T</w:t>
      </w:r>
      <w:r w:rsidR="007F68CD" w:rsidRPr="00080E39">
        <w:rPr>
          <w:lang w:val="es-ES_tradnl"/>
        </w:rPr>
        <w:t xml:space="preserve">ercera parte, en la que se hace una reseña de los niveles de los FRO tras las consignaciones, y se resumen también las consignaciones propuestas por Unión de los siete proyectos </w:t>
      </w:r>
      <w:r w:rsidR="001C3E98" w:rsidRPr="00080E39">
        <w:rPr>
          <w:lang w:val="es-ES_tradnl"/>
        </w:rPr>
        <w:t xml:space="preserve">que </w:t>
      </w:r>
      <w:r w:rsidR="007F68CD" w:rsidRPr="00080E39">
        <w:rPr>
          <w:lang w:val="es-ES_tradnl"/>
        </w:rPr>
        <w:t xml:space="preserve">se </w:t>
      </w:r>
      <w:r w:rsidR="001C3E98" w:rsidRPr="00080E39">
        <w:rPr>
          <w:lang w:val="es-ES_tradnl"/>
        </w:rPr>
        <w:t xml:space="preserve">ha </w:t>
      </w:r>
      <w:r w:rsidR="007F68CD" w:rsidRPr="00080E39">
        <w:rPr>
          <w:lang w:val="es-ES_tradnl"/>
        </w:rPr>
        <w:t>prop</w:t>
      </w:r>
      <w:r w:rsidR="001C3E98" w:rsidRPr="00080E39">
        <w:rPr>
          <w:lang w:val="es-ES_tradnl"/>
        </w:rPr>
        <w:t>u</w:t>
      </w:r>
      <w:r w:rsidR="007F68CD" w:rsidRPr="00080E39">
        <w:rPr>
          <w:lang w:val="es-ES_tradnl"/>
        </w:rPr>
        <w:t>e</w:t>
      </w:r>
      <w:r w:rsidR="001C3E98" w:rsidRPr="00080E39">
        <w:rPr>
          <w:lang w:val="es-ES_tradnl"/>
        </w:rPr>
        <w:t>sto</w:t>
      </w:r>
      <w:r w:rsidR="007F68CD" w:rsidRPr="00080E39">
        <w:rPr>
          <w:lang w:val="es-ES_tradnl"/>
        </w:rPr>
        <w:t xml:space="preserve"> financiar a partir de las reservas de la </w:t>
      </w:r>
      <w:r w:rsidR="007F68CD" w:rsidRPr="00080E39">
        <w:rPr>
          <w:lang w:val="es-ES_tradnl" w:eastAsia="fr-FR"/>
        </w:rPr>
        <w:t>Organización.</w:t>
      </w:r>
      <w:r w:rsidR="00A819E4" w:rsidRPr="00080E39">
        <w:rPr>
          <w:rStyle w:val="FootnoteReference"/>
          <w:szCs w:val="22"/>
          <w:lang w:val="es-ES_tradnl"/>
        </w:rPr>
        <w:footnoteReference w:id="3"/>
      </w:r>
    </w:p>
    <w:p w:rsidR="00A819E4" w:rsidRPr="00080E39" w:rsidRDefault="007F68CD" w:rsidP="00080E39">
      <w:pPr>
        <w:pStyle w:val="Heading1"/>
        <w:jc w:val="center"/>
        <w:rPr>
          <w:lang w:val="es-ES_tradnl"/>
        </w:rPr>
      </w:pPr>
      <w:r w:rsidRPr="00080E39">
        <w:rPr>
          <w:lang w:val="es-ES_tradnl"/>
        </w:rPr>
        <w:lastRenderedPageBreak/>
        <w:t xml:space="preserve">situación de los fondos de reserva y de operaciones al 31 de diciembre de </w:t>
      </w:r>
      <w:r w:rsidR="00A819E4" w:rsidRPr="00080E39">
        <w:rPr>
          <w:lang w:val="es-ES_tradnl"/>
        </w:rPr>
        <w:t>2012</w:t>
      </w:r>
    </w:p>
    <w:p w:rsidR="00B83BF5" w:rsidRPr="00080E39" w:rsidRDefault="00B83BF5" w:rsidP="00080E39">
      <w:pPr>
        <w:rPr>
          <w:lang w:val="es-ES_tradnl"/>
        </w:rPr>
      </w:pPr>
    </w:p>
    <w:p w:rsidR="00A819E4" w:rsidRPr="00080E39" w:rsidRDefault="007F68CD" w:rsidP="00080E39">
      <w:pPr>
        <w:keepNext/>
        <w:keepLines/>
        <w:jc w:val="center"/>
        <w:rPr>
          <w:lang w:val="es-ES_tradnl" w:eastAsia="en-US"/>
        </w:rPr>
      </w:pPr>
      <w:r w:rsidRPr="00080E39">
        <w:rPr>
          <w:lang w:val="es-ES_tradnl" w:eastAsia="en-US"/>
        </w:rPr>
        <w:t>Cuadro</w:t>
      </w:r>
      <w:r w:rsidR="00A819E4" w:rsidRPr="00080E39">
        <w:rPr>
          <w:lang w:val="es-ES_tradnl" w:eastAsia="en-US"/>
        </w:rPr>
        <w:t xml:space="preserve"> 1. </w:t>
      </w:r>
      <w:r w:rsidRPr="00080E39">
        <w:rPr>
          <w:lang w:val="es-ES_tradnl" w:eastAsia="en-US"/>
        </w:rPr>
        <w:t xml:space="preserve"> Resultados preliminares y FRO por Unión al término de</w:t>
      </w:r>
      <w:r w:rsidR="00A819E4" w:rsidRPr="00080E39">
        <w:rPr>
          <w:lang w:val="es-ES_tradnl" w:eastAsia="en-US"/>
        </w:rPr>
        <w:t xml:space="preserve"> 2012</w:t>
      </w:r>
    </w:p>
    <w:p w:rsidR="00A819E4" w:rsidRDefault="00A819E4" w:rsidP="00080E39">
      <w:pPr>
        <w:keepNext/>
        <w:keepLines/>
        <w:jc w:val="center"/>
        <w:rPr>
          <w:i/>
          <w:sz w:val="20"/>
          <w:lang w:val="es-ES_tradnl" w:eastAsia="en-US"/>
        </w:rPr>
      </w:pPr>
      <w:r w:rsidRPr="00080E39">
        <w:rPr>
          <w:i/>
          <w:sz w:val="20"/>
          <w:lang w:val="es-ES_tradnl" w:eastAsia="en-US"/>
        </w:rPr>
        <w:t>(</w:t>
      </w:r>
      <w:proofErr w:type="gramStart"/>
      <w:r w:rsidR="007F68CD" w:rsidRPr="00080E39">
        <w:rPr>
          <w:i/>
          <w:sz w:val="20"/>
          <w:lang w:val="es-ES_tradnl" w:eastAsia="en-US"/>
        </w:rPr>
        <w:t>en</w:t>
      </w:r>
      <w:proofErr w:type="gramEnd"/>
      <w:r w:rsidR="007F68CD" w:rsidRPr="00080E39">
        <w:rPr>
          <w:i/>
          <w:sz w:val="20"/>
          <w:lang w:val="es-ES_tradnl" w:eastAsia="en-US"/>
        </w:rPr>
        <w:t xml:space="preserve"> miles de francos suizos</w:t>
      </w:r>
      <w:r w:rsidRPr="00080E39">
        <w:rPr>
          <w:i/>
          <w:sz w:val="20"/>
          <w:lang w:val="es-ES_tradnl" w:eastAsia="en-US"/>
        </w:rPr>
        <w:t>)</w:t>
      </w:r>
    </w:p>
    <w:p w:rsidR="00AC7438" w:rsidRDefault="00196C99" w:rsidP="00196C99">
      <w:pPr>
        <w:keepNext/>
        <w:keepLines/>
        <w:rPr>
          <w:i/>
          <w:sz w:val="20"/>
          <w:lang w:val="es-ES_tradnl" w:eastAsia="en-US"/>
        </w:rPr>
      </w:pPr>
      <w:r w:rsidRPr="00196C99">
        <w:rPr>
          <w:noProof/>
          <w:lang w:val="en-US" w:eastAsia="en-US"/>
        </w:rPr>
        <w:drawing>
          <wp:inline distT="0" distB="0" distL="0" distR="0" wp14:anchorId="5DBCB558" wp14:editId="2B85D1C7">
            <wp:extent cx="5940425" cy="319262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192620"/>
                    </a:xfrm>
                    <a:prstGeom prst="rect">
                      <a:avLst/>
                    </a:prstGeom>
                    <a:noFill/>
                    <a:ln>
                      <a:noFill/>
                    </a:ln>
                  </pic:spPr>
                </pic:pic>
              </a:graphicData>
            </a:graphic>
          </wp:inline>
        </w:drawing>
      </w:r>
    </w:p>
    <w:p w:rsidR="00B83BF5" w:rsidRPr="00080E39" w:rsidRDefault="00B83BF5" w:rsidP="00080E39">
      <w:pPr>
        <w:keepNext/>
        <w:keepLines/>
        <w:rPr>
          <w:i/>
          <w:sz w:val="20"/>
          <w:lang w:val="es-ES_tradnl" w:eastAsia="en-US"/>
        </w:rPr>
      </w:pPr>
    </w:p>
    <w:p w:rsidR="00750360" w:rsidRPr="00080E39" w:rsidRDefault="00AC7438" w:rsidP="00AC7438">
      <w:pPr>
        <w:pStyle w:val="ONUMFS"/>
        <w:rPr>
          <w:lang w:val="es-ES_tradnl"/>
        </w:rPr>
      </w:pPr>
      <w:r>
        <w:rPr>
          <w:lang w:val="es-ES_tradnl"/>
        </w:rPr>
        <w:t>P</w:t>
      </w:r>
      <w:r w:rsidR="001C3E98" w:rsidRPr="00080E39">
        <w:rPr>
          <w:lang w:val="es-ES_tradnl"/>
        </w:rPr>
        <w:t>artiendo de las IPSAS, e</w:t>
      </w:r>
      <w:r w:rsidR="00750360" w:rsidRPr="00080E39">
        <w:rPr>
          <w:lang w:val="es-ES_tradnl"/>
        </w:rPr>
        <w:t xml:space="preserve">l resultado de explotación de la </w:t>
      </w:r>
      <w:r w:rsidR="00750360" w:rsidRPr="00080E39">
        <w:rPr>
          <w:lang w:val="es-ES_tradnl" w:eastAsia="fr-FR"/>
        </w:rPr>
        <w:t>Organización</w:t>
      </w:r>
      <w:r w:rsidR="00750360" w:rsidRPr="00080E39">
        <w:rPr>
          <w:lang w:val="es-ES_tradnl"/>
        </w:rPr>
        <w:t xml:space="preserve"> en 2012, fue de 25,6 millones de francos suizos.  El resultado global en 2012, teniendo en cuenta los gastos con cargo a las reservas y los correspondientes ajustes conforme a las IPSAS, fue de un excedente de 15,7 millones de francos suizos.  </w:t>
      </w:r>
      <w:r w:rsidR="001C3E98" w:rsidRPr="00080E39">
        <w:rPr>
          <w:lang w:val="es-ES_tradnl"/>
        </w:rPr>
        <w:t>Partiendo del presupuesto, l</w:t>
      </w:r>
      <w:r w:rsidR="00750360" w:rsidRPr="00080E39">
        <w:rPr>
          <w:lang w:val="es-ES_tradnl"/>
        </w:rPr>
        <w:t>os gastos con cargo a las rese</w:t>
      </w:r>
      <w:r w:rsidR="001C3E98" w:rsidRPr="00080E39">
        <w:rPr>
          <w:lang w:val="es-ES_tradnl"/>
        </w:rPr>
        <w:t>r</w:t>
      </w:r>
      <w:r w:rsidR="00750360" w:rsidRPr="00080E39">
        <w:rPr>
          <w:lang w:val="es-ES_tradnl"/>
        </w:rPr>
        <w:t>vas ascendieron a 14,8 millones de francos suizos (9,9 millones de francos suizos tras los ajustes IPSAS)</w:t>
      </w:r>
      <w:r w:rsidR="00415180">
        <w:rPr>
          <w:lang w:val="es-ES_tradnl"/>
        </w:rPr>
        <w:t xml:space="preserve"> c</w:t>
      </w:r>
      <w:r w:rsidR="00415180" w:rsidRPr="00AC7438">
        <w:rPr>
          <w:lang w:val="es-ES_tradnl"/>
        </w:rPr>
        <w:t>on respecto a los proyectos apr</w:t>
      </w:r>
      <w:r w:rsidR="00415180">
        <w:rPr>
          <w:lang w:val="es-ES_tradnl"/>
        </w:rPr>
        <w:t>obados por los Estados miembros</w:t>
      </w:r>
      <w:r w:rsidR="00B83BF5" w:rsidRPr="00080E39">
        <w:rPr>
          <w:lang w:val="es-ES_tradnl"/>
        </w:rPr>
        <w:t>.</w:t>
      </w:r>
      <w:r w:rsidR="00750360" w:rsidRPr="00080E39">
        <w:rPr>
          <w:lang w:val="es-ES_tradnl"/>
        </w:rPr>
        <w:t xml:space="preserve"> </w:t>
      </w:r>
    </w:p>
    <w:p w:rsidR="00750360" w:rsidRPr="00080E39" w:rsidRDefault="00750360" w:rsidP="00080E39">
      <w:pPr>
        <w:pStyle w:val="ONUMFS"/>
        <w:rPr>
          <w:szCs w:val="22"/>
          <w:lang w:val="es-ES_tradnl"/>
        </w:rPr>
      </w:pPr>
      <w:r w:rsidRPr="00080E39">
        <w:rPr>
          <w:szCs w:val="22"/>
          <w:lang w:val="es-ES_tradnl"/>
        </w:rPr>
        <w:t>Como resultado de ello, al término de 2012, los FRO de la OMPI ascendían a 178,2 millones de francos suizos, en comparación con el saldo inicial de los FRO, de 162,5 millones de francos suizos.  En el cuadro 2 que figura a continuación puede verse un resumen de los ajustes relacionados con las IPSAS realizados en 2012, en comparación con ajustes similares en los dos años anteriores.</w:t>
      </w:r>
    </w:p>
    <w:p w:rsidR="00750360" w:rsidRPr="00080E39" w:rsidRDefault="00750360" w:rsidP="00080E39">
      <w:pPr>
        <w:keepNext/>
        <w:keepLines/>
        <w:jc w:val="center"/>
        <w:rPr>
          <w:lang w:val="es-ES_tradnl" w:eastAsia="en-US"/>
        </w:rPr>
      </w:pPr>
      <w:r w:rsidRPr="00080E39">
        <w:rPr>
          <w:lang w:val="es-ES_tradnl" w:eastAsia="en-US"/>
        </w:rPr>
        <w:lastRenderedPageBreak/>
        <w:t xml:space="preserve">Cuadro 2.  Resumen de ajustes IPSAS </w:t>
      </w:r>
    </w:p>
    <w:p w:rsidR="00750360" w:rsidRDefault="00750360" w:rsidP="00080E39">
      <w:pPr>
        <w:keepNext/>
        <w:keepLines/>
        <w:jc w:val="center"/>
        <w:rPr>
          <w:i/>
          <w:sz w:val="20"/>
          <w:lang w:val="es-ES_tradnl" w:eastAsia="en-US"/>
        </w:rPr>
      </w:pPr>
      <w:r w:rsidRPr="00080E39">
        <w:rPr>
          <w:i/>
          <w:sz w:val="20"/>
          <w:lang w:val="es-ES_tradnl" w:eastAsia="en-US"/>
        </w:rPr>
        <w:t>(</w:t>
      </w:r>
      <w:proofErr w:type="gramStart"/>
      <w:r w:rsidRPr="00080E39">
        <w:rPr>
          <w:i/>
          <w:sz w:val="20"/>
          <w:lang w:val="es-ES_tradnl" w:eastAsia="en-US"/>
        </w:rPr>
        <w:t>en</w:t>
      </w:r>
      <w:proofErr w:type="gramEnd"/>
      <w:r w:rsidRPr="00080E39">
        <w:rPr>
          <w:i/>
          <w:sz w:val="20"/>
          <w:lang w:val="es-ES_tradnl" w:eastAsia="en-US"/>
        </w:rPr>
        <w:t xml:space="preserve"> millones de francos suizos)</w:t>
      </w:r>
    </w:p>
    <w:p w:rsidR="00AC7438" w:rsidRDefault="00AC7438" w:rsidP="00080E39">
      <w:pPr>
        <w:keepNext/>
        <w:keepLines/>
        <w:jc w:val="center"/>
        <w:rPr>
          <w:i/>
          <w:sz w:val="20"/>
          <w:lang w:val="es-ES_tradnl" w:eastAsia="en-US"/>
        </w:rPr>
      </w:pPr>
    </w:p>
    <w:p w:rsidR="00AC7438" w:rsidRPr="00080E39" w:rsidRDefault="00A931D0" w:rsidP="00080E39">
      <w:pPr>
        <w:keepNext/>
        <w:keepLines/>
        <w:jc w:val="center"/>
        <w:rPr>
          <w:i/>
          <w:sz w:val="20"/>
          <w:lang w:val="es-ES_tradnl" w:eastAsia="en-US"/>
        </w:rPr>
      </w:pPr>
      <w:r w:rsidRPr="00A931D0">
        <w:rPr>
          <w:noProof/>
          <w:lang w:val="en-US" w:eastAsia="en-US"/>
        </w:rPr>
        <w:drawing>
          <wp:inline distT="0" distB="0" distL="0" distR="0">
            <wp:extent cx="4638675" cy="3390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3390900"/>
                    </a:xfrm>
                    <a:prstGeom prst="rect">
                      <a:avLst/>
                    </a:prstGeom>
                    <a:noFill/>
                    <a:ln>
                      <a:noFill/>
                    </a:ln>
                  </pic:spPr>
                </pic:pic>
              </a:graphicData>
            </a:graphic>
          </wp:inline>
        </w:drawing>
      </w:r>
    </w:p>
    <w:p w:rsidR="00AC7438" w:rsidRDefault="00AC7438">
      <w:pPr>
        <w:rPr>
          <w:lang w:val="es-ES_tradnl"/>
        </w:rPr>
      </w:pPr>
    </w:p>
    <w:p w:rsidR="00AC7438" w:rsidRDefault="00AC7438">
      <w:pPr>
        <w:rPr>
          <w:lang w:val="es-ES_tradnl"/>
        </w:rPr>
      </w:pPr>
    </w:p>
    <w:p w:rsidR="00D94FF5" w:rsidRDefault="00D94FF5">
      <w:pPr>
        <w:rPr>
          <w:b/>
          <w:bCs/>
          <w:caps/>
          <w:kern w:val="32"/>
          <w:szCs w:val="32"/>
          <w:lang w:val="es-ES_tradnl"/>
        </w:rPr>
      </w:pPr>
      <w:r>
        <w:rPr>
          <w:lang w:val="es-ES_tradnl"/>
        </w:rPr>
        <w:br w:type="page"/>
      </w:r>
    </w:p>
    <w:p w:rsidR="005E273E" w:rsidRPr="00080E39" w:rsidRDefault="005E273E" w:rsidP="00080E39">
      <w:pPr>
        <w:pStyle w:val="Heading1"/>
        <w:rPr>
          <w:lang w:val="es-ES_tradnl"/>
        </w:rPr>
      </w:pPr>
      <w:r w:rsidRPr="00080E39">
        <w:rPr>
          <w:lang w:val="es-ES_tradnl"/>
        </w:rPr>
        <w:t>proyectos financiados con cargo a las reservas</w:t>
      </w:r>
    </w:p>
    <w:p w:rsidR="005E273E" w:rsidRPr="00080E39" w:rsidRDefault="005E273E" w:rsidP="00080E39">
      <w:pPr>
        <w:rPr>
          <w:lang w:val="es-ES_tradnl"/>
        </w:rPr>
      </w:pPr>
    </w:p>
    <w:p w:rsidR="008C5BCA" w:rsidRPr="00080E39" w:rsidRDefault="005E273E" w:rsidP="00080E39">
      <w:pPr>
        <w:pStyle w:val="ONUMFS"/>
        <w:rPr>
          <w:bCs/>
          <w:szCs w:val="22"/>
          <w:lang w:val="es-ES_tradnl"/>
        </w:rPr>
      </w:pPr>
      <w:r w:rsidRPr="00080E39">
        <w:rPr>
          <w:bCs/>
          <w:szCs w:val="22"/>
          <w:lang w:val="es-ES_tradnl"/>
        </w:rPr>
        <w:t xml:space="preserve">En el Cuadro 3 que figura a continuación figura un resumen de los gastos relativos a </w:t>
      </w:r>
      <w:r w:rsidRPr="00080E39">
        <w:rPr>
          <w:bCs/>
          <w:snapToGrid w:val="0"/>
          <w:szCs w:val="22"/>
          <w:lang w:val="es-ES_tradnl"/>
        </w:rPr>
        <w:t xml:space="preserve">proyectos principales que están en curso o han sido propuestos </w:t>
      </w:r>
      <w:r w:rsidR="001C3E98" w:rsidRPr="00080E39">
        <w:rPr>
          <w:bCs/>
          <w:snapToGrid w:val="0"/>
          <w:szCs w:val="22"/>
          <w:lang w:val="es-ES_tradnl"/>
        </w:rPr>
        <w:t>par</w:t>
      </w:r>
      <w:r w:rsidRPr="00080E39">
        <w:rPr>
          <w:bCs/>
          <w:snapToGrid w:val="0"/>
          <w:szCs w:val="22"/>
          <w:lang w:val="es-ES_tradnl"/>
        </w:rPr>
        <w:t xml:space="preserve">a </w:t>
      </w:r>
      <w:r w:rsidR="001C3E98" w:rsidRPr="00080E39">
        <w:rPr>
          <w:bCs/>
          <w:snapToGrid w:val="0"/>
          <w:szCs w:val="22"/>
          <w:lang w:val="es-ES_tradnl"/>
        </w:rPr>
        <w:t>su</w:t>
      </w:r>
      <w:r w:rsidRPr="00080E39">
        <w:rPr>
          <w:bCs/>
          <w:snapToGrid w:val="0"/>
          <w:szCs w:val="22"/>
          <w:lang w:val="es-ES_tradnl"/>
        </w:rPr>
        <w:t xml:space="preserve"> aprobación </w:t>
      </w:r>
      <w:r w:rsidR="001C3E98" w:rsidRPr="00080E39">
        <w:rPr>
          <w:bCs/>
          <w:snapToGrid w:val="0"/>
          <w:szCs w:val="22"/>
          <w:lang w:val="es-ES_tradnl"/>
        </w:rPr>
        <w:t>por</w:t>
      </w:r>
      <w:r w:rsidRPr="00080E39">
        <w:rPr>
          <w:bCs/>
          <w:snapToGrid w:val="0"/>
          <w:szCs w:val="22"/>
          <w:lang w:val="es-ES_tradnl"/>
        </w:rPr>
        <w:t xml:space="preserve"> los Estados miembros.</w:t>
      </w:r>
    </w:p>
    <w:p w:rsidR="005E273E" w:rsidRPr="00080E39" w:rsidRDefault="005E273E" w:rsidP="00080E39">
      <w:pPr>
        <w:keepNext/>
        <w:jc w:val="center"/>
        <w:rPr>
          <w:lang w:val="es-ES_tradnl"/>
        </w:rPr>
      </w:pPr>
      <w:r w:rsidRPr="00080E39">
        <w:rPr>
          <w:lang w:val="es-ES_tradnl"/>
        </w:rPr>
        <w:t>Cuadro 3.  Resumen de proyectos principales</w:t>
      </w:r>
    </w:p>
    <w:p w:rsidR="005E273E" w:rsidRDefault="005E273E" w:rsidP="00080E39">
      <w:pPr>
        <w:keepNext/>
        <w:jc w:val="center"/>
        <w:rPr>
          <w:i/>
          <w:lang w:val="es-ES_tradnl"/>
        </w:rPr>
      </w:pPr>
      <w:r w:rsidRPr="00080E39">
        <w:rPr>
          <w:i/>
          <w:lang w:val="es-ES_tradnl"/>
        </w:rPr>
        <w:t>(</w:t>
      </w:r>
      <w:proofErr w:type="gramStart"/>
      <w:r w:rsidRPr="00080E39">
        <w:rPr>
          <w:i/>
          <w:lang w:val="es-ES_tradnl"/>
        </w:rPr>
        <w:t>en</w:t>
      </w:r>
      <w:proofErr w:type="gramEnd"/>
      <w:r w:rsidRPr="00080E39">
        <w:rPr>
          <w:i/>
          <w:lang w:val="es-ES_tradnl"/>
        </w:rPr>
        <w:t xml:space="preserve"> miles de francos suizos)</w:t>
      </w:r>
    </w:p>
    <w:p w:rsidR="00AC7438" w:rsidRDefault="00AC7438" w:rsidP="00080E39">
      <w:pPr>
        <w:keepNext/>
        <w:jc w:val="center"/>
        <w:rPr>
          <w:i/>
          <w:lang w:val="es-ES_tradnl"/>
        </w:rPr>
      </w:pPr>
    </w:p>
    <w:p w:rsidR="00AC7438" w:rsidRPr="00080E39" w:rsidRDefault="00AC7438" w:rsidP="00080E39">
      <w:pPr>
        <w:keepNext/>
        <w:jc w:val="center"/>
        <w:rPr>
          <w:i/>
          <w:lang w:val="es-ES_tradnl"/>
        </w:rPr>
      </w:pPr>
      <w:r w:rsidRPr="00AC7438">
        <w:rPr>
          <w:noProof/>
          <w:lang w:val="en-US" w:eastAsia="en-US"/>
        </w:rPr>
        <w:drawing>
          <wp:inline distT="0" distB="0" distL="0" distR="0" wp14:anchorId="3EA8E7BA" wp14:editId="70CEAD66">
            <wp:extent cx="5940425" cy="625566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6255660"/>
                    </a:xfrm>
                    <a:prstGeom prst="rect">
                      <a:avLst/>
                    </a:prstGeom>
                    <a:noFill/>
                    <a:ln>
                      <a:noFill/>
                    </a:ln>
                  </pic:spPr>
                </pic:pic>
              </a:graphicData>
            </a:graphic>
          </wp:inline>
        </w:drawing>
      </w:r>
    </w:p>
    <w:p w:rsidR="00080E39" w:rsidRPr="00080E39" w:rsidRDefault="00080E39" w:rsidP="00080E39">
      <w:pPr>
        <w:rPr>
          <w:lang w:val="es-ES_tradnl"/>
        </w:rPr>
      </w:pPr>
    </w:p>
    <w:p w:rsidR="00080E39" w:rsidRPr="00080E39" w:rsidRDefault="00080E39">
      <w:pPr>
        <w:rPr>
          <w:b/>
          <w:bCs/>
          <w:caps/>
          <w:kern w:val="32"/>
          <w:szCs w:val="32"/>
          <w:lang w:val="es-ES_tradnl"/>
        </w:rPr>
      </w:pPr>
      <w:r w:rsidRPr="00080E39">
        <w:rPr>
          <w:lang w:val="es-ES_tradnl"/>
        </w:rPr>
        <w:br w:type="page"/>
      </w:r>
    </w:p>
    <w:p w:rsidR="004D10C4" w:rsidRPr="00080E39" w:rsidRDefault="00A4537B" w:rsidP="00080E39">
      <w:pPr>
        <w:pStyle w:val="Heading1"/>
        <w:rPr>
          <w:lang w:val="es-ES_tradnl"/>
        </w:rPr>
      </w:pPr>
      <w:r w:rsidRPr="00080E39">
        <w:rPr>
          <w:lang w:val="es-ES_tradnl"/>
        </w:rPr>
        <w:t>saldos fro tras las consignaciones</w:t>
      </w:r>
    </w:p>
    <w:p w:rsidR="00A4537B" w:rsidRPr="00080E39" w:rsidRDefault="00A4537B" w:rsidP="00080E39">
      <w:pPr>
        <w:rPr>
          <w:lang w:val="es-ES_tradnl"/>
        </w:rPr>
      </w:pPr>
    </w:p>
    <w:p w:rsidR="005E273E" w:rsidRPr="00080E39" w:rsidRDefault="00A4537B" w:rsidP="00080E39">
      <w:pPr>
        <w:pStyle w:val="ONUMFS"/>
        <w:rPr>
          <w:bCs/>
          <w:szCs w:val="22"/>
          <w:lang w:val="es-ES_tradnl"/>
        </w:rPr>
      </w:pPr>
      <w:r w:rsidRPr="00080E39">
        <w:rPr>
          <w:bCs/>
          <w:szCs w:val="22"/>
          <w:lang w:val="es-ES_tradnl"/>
        </w:rPr>
        <w:t xml:space="preserve">En el Cuadro 4 que figura a continuación se resumen los saldos de los FRO por Unión.  Las consignaciones ya aprobadas pero todavía no devengadas ascendían a 36,9 millones de francos suizos a finales de 2012.  El saldo de los FRO tras dichas consignaciones aprobadas era de 141,4 millones de francos suizos.  Cabe comparar ese importe con el nivel de FRO previsto, de 120,6 millones de francos suizos en 2012/13.  Teniendo en cuenta los nuevos </w:t>
      </w:r>
      <w:r w:rsidRPr="00080E39">
        <w:rPr>
          <w:bCs/>
          <w:snapToGrid w:val="0"/>
          <w:szCs w:val="22"/>
          <w:lang w:val="es-ES_tradnl"/>
        </w:rPr>
        <w:t xml:space="preserve">proyectos propuestos en el marco de plan maestro de mejoras de infraestructura, el saldo FRO seguiría siendo superior </w:t>
      </w:r>
      <w:r w:rsidR="00337B91" w:rsidRPr="00080E39">
        <w:rPr>
          <w:bCs/>
          <w:snapToGrid w:val="0"/>
          <w:szCs w:val="22"/>
          <w:lang w:val="es-ES_tradnl"/>
        </w:rPr>
        <w:t xml:space="preserve">en 9,6 millones de francos suizos </w:t>
      </w:r>
      <w:r w:rsidRPr="00080E39">
        <w:rPr>
          <w:bCs/>
          <w:snapToGrid w:val="0"/>
          <w:szCs w:val="22"/>
          <w:lang w:val="es-ES_tradnl"/>
        </w:rPr>
        <w:t>al nivel previsto.</w:t>
      </w:r>
    </w:p>
    <w:p w:rsidR="00A4537B" w:rsidRPr="00080E39" w:rsidRDefault="00A4537B" w:rsidP="00080E39">
      <w:pPr>
        <w:jc w:val="center"/>
        <w:rPr>
          <w:lang w:val="es-ES_tradnl"/>
        </w:rPr>
      </w:pPr>
      <w:r w:rsidRPr="00080E39">
        <w:rPr>
          <w:lang w:val="es-ES_tradnl"/>
        </w:rPr>
        <w:t>Cuadro 4:  FRO por Unión</w:t>
      </w:r>
    </w:p>
    <w:p w:rsidR="00A4537B" w:rsidRDefault="00A4537B" w:rsidP="00080E39">
      <w:pPr>
        <w:jc w:val="center"/>
        <w:rPr>
          <w:i/>
          <w:lang w:val="es-ES_tradnl"/>
        </w:rPr>
      </w:pPr>
      <w:r w:rsidRPr="00080E39">
        <w:rPr>
          <w:i/>
          <w:lang w:val="es-ES_tradnl"/>
        </w:rPr>
        <w:t>(</w:t>
      </w:r>
      <w:proofErr w:type="gramStart"/>
      <w:r w:rsidRPr="00080E39">
        <w:rPr>
          <w:i/>
          <w:lang w:val="es-ES_tradnl"/>
        </w:rPr>
        <w:t>en</w:t>
      </w:r>
      <w:proofErr w:type="gramEnd"/>
      <w:r w:rsidRPr="00080E39">
        <w:rPr>
          <w:i/>
          <w:lang w:val="es-ES_tradnl"/>
        </w:rPr>
        <w:t xml:space="preserve"> miles de francos suizos)</w:t>
      </w:r>
    </w:p>
    <w:p w:rsidR="00D94FF5" w:rsidRDefault="00D94FF5" w:rsidP="00080E39">
      <w:pPr>
        <w:jc w:val="center"/>
        <w:rPr>
          <w:i/>
          <w:lang w:val="es-ES_tradnl"/>
        </w:rPr>
      </w:pPr>
    </w:p>
    <w:p w:rsidR="00D94FF5" w:rsidRPr="00080E39" w:rsidRDefault="00D94FF5" w:rsidP="00080E39">
      <w:pPr>
        <w:jc w:val="center"/>
        <w:rPr>
          <w:i/>
          <w:lang w:val="es-ES_tradnl"/>
        </w:rPr>
      </w:pPr>
      <w:r w:rsidRPr="00D94FF5">
        <w:rPr>
          <w:noProof/>
          <w:lang w:val="en-US" w:eastAsia="en-US"/>
        </w:rPr>
        <w:drawing>
          <wp:inline distT="0" distB="0" distL="0" distR="0" wp14:anchorId="543AE299" wp14:editId="7213F965">
            <wp:extent cx="5940425" cy="151038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1510385"/>
                    </a:xfrm>
                    <a:prstGeom prst="rect">
                      <a:avLst/>
                    </a:prstGeom>
                    <a:noFill/>
                    <a:ln>
                      <a:noFill/>
                    </a:ln>
                  </pic:spPr>
                </pic:pic>
              </a:graphicData>
            </a:graphic>
          </wp:inline>
        </w:drawing>
      </w:r>
    </w:p>
    <w:p w:rsidR="00A4537B" w:rsidRPr="00080E39" w:rsidRDefault="00A4537B" w:rsidP="00080E39">
      <w:pPr>
        <w:rPr>
          <w:strike/>
          <w:lang w:val="es-ES_tradnl"/>
        </w:rPr>
      </w:pPr>
    </w:p>
    <w:p w:rsidR="007F3FC3" w:rsidRPr="00080E39" w:rsidRDefault="007F3FC3" w:rsidP="00080E39">
      <w:pPr>
        <w:pStyle w:val="ONUMFS"/>
        <w:ind w:left="5533"/>
        <w:rPr>
          <w:i/>
          <w:lang w:val="es-ES_tradnl"/>
        </w:rPr>
      </w:pPr>
      <w:r w:rsidRPr="00080E39">
        <w:rPr>
          <w:i/>
          <w:lang w:val="es-ES_tradnl"/>
        </w:rPr>
        <w:t>Se invita al Comité del Programa y Presupuesto a recomendar a las Asambleas de los Estados miembros de la OMPI que tomen nota del contenido del presente documento.</w:t>
      </w:r>
    </w:p>
    <w:p w:rsidR="00080E39" w:rsidRPr="00080E39" w:rsidRDefault="00080E39" w:rsidP="00080E39">
      <w:pPr>
        <w:pStyle w:val="ONUMFS"/>
        <w:numPr>
          <w:ilvl w:val="0"/>
          <w:numId w:val="0"/>
        </w:numPr>
        <w:ind w:left="5533"/>
        <w:rPr>
          <w:i/>
          <w:lang w:val="es-ES_tradnl"/>
        </w:rPr>
      </w:pPr>
    </w:p>
    <w:p w:rsidR="007F3FC3" w:rsidRPr="00080E39" w:rsidRDefault="007F3FC3" w:rsidP="00080E39">
      <w:pPr>
        <w:pStyle w:val="ONUMFS"/>
        <w:numPr>
          <w:ilvl w:val="0"/>
          <w:numId w:val="0"/>
        </w:numPr>
        <w:ind w:left="5533"/>
        <w:rPr>
          <w:i/>
          <w:lang w:val="es-ES_tradnl"/>
        </w:rPr>
      </w:pPr>
      <w:r w:rsidRPr="00080E39">
        <w:rPr>
          <w:lang w:val="es-ES_tradnl"/>
        </w:rPr>
        <w:t>[Fin del documento]</w:t>
      </w:r>
    </w:p>
    <w:sectPr w:rsidR="007F3FC3" w:rsidRPr="00080E39" w:rsidSect="00605827">
      <w:headerReference w:type="default" r:id="rId13"/>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438" w:rsidRDefault="00AC7438">
      <w:r>
        <w:separator/>
      </w:r>
    </w:p>
  </w:endnote>
  <w:endnote w:type="continuationSeparator" w:id="0">
    <w:p w:rsidR="00AC7438" w:rsidRPr="009D30E6" w:rsidRDefault="00AC7438" w:rsidP="007E663E">
      <w:pPr>
        <w:rPr>
          <w:sz w:val="17"/>
          <w:szCs w:val="17"/>
        </w:rPr>
      </w:pPr>
      <w:r w:rsidRPr="009D30E6">
        <w:rPr>
          <w:sz w:val="17"/>
          <w:szCs w:val="17"/>
        </w:rPr>
        <w:separator/>
      </w:r>
    </w:p>
    <w:p w:rsidR="00AC7438" w:rsidRPr="007E663E" w:rsidRDefault="00AC7438" w:rsidP="007E663E">
      <w:pPr>
        <w:spacing w:after="60"/>
        <w:rPr>
          <w:sz w:val="17"/>
          <w:szCs w:val="17"/>
        </w:rPr>
      </w:pPr>
      <w:r>
        <w:rPr>
          <w:sz w:val="17"/>
        </w:rPr>
        <w:t>[Continuación de la nota de la página anterior]</w:t>
      </w:r>
    </w:p>
  </w:endnote>
  <w:endnote w:type="continuationNotice" w:id="1">
    <w:p w:rsidR="00AC7438" w:rsidRPr="007E663E" w:rsidRDefault="00AC743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438" w:rsidRDefault="00AC7438">
      <w:r>
        <w:separator/>
      </w:r>
    </w:p>
  </w:footnote>
  <w:footnote w:type="continuationSeparator" w:id="0">
    <w:p w:rsidR="00AC7438" w:rsidRPr="009D30E6" w:rsidRDefault="00AC7438" w:rsidP="007E663E">
      <w:pPr>
        <w:rPr>
          <w:sz w:val="17"/>
          <w:szCs w:val="17"/>
        </w:rPr>
      </w:pPr>
      <w:r w:rsidRPr="009D30E6">
        <w:rPr>
          <w:sz w:val="17"/>
          <w:szCs w:val="17"/>
        </w:rPr>
        <w:separator/>
      </w:r>
    </w:p>
    <w:p w:rsidR="00AC7438" w:rsidRPr="007E663E" w:rsidRDefault="00AC7438" w:rsidP="007E663E">
      <w:pPr>
        <w:spacing w:after="60"/>
        <w:rPr>
          <w:sz w:val="17"/>
          <w:szCs w:val="17"/>
        </w:rPr>
      </w:pPr>
      <w:r>
        <w:rPr>
          <w:sz w:val="17"/>
        </w:rPr>
        <w:t>[Continuación de la nota de la página anterior]</w:t>
      </w:r>
    </w:p>
  </w:footnote>
  <w:footnote w:type="continuationNotice" w:id="1">
    <w:p w:rsidR="00AC7438" w:rsidRPr="007E663E" w:rsidRDefault="00AC7438" w:rsidP="007E663E">
      <w:pPr>
        <w:spacing w:before="60"/>
        <w:jc w:val="right"/>
        <w:rPr>
          <w:sz w:val="17"/>
          <w:szCs w:val="17"/>
        </w:rPr>
      </w:pPr>
      <w:r w:rsidRPr="007E663E">
        <w:rPr>
          <w:sz w:val="17"/>
          <w:szCs w:val="17"/>
        </w:rPr>
        <w:t>[Sigue la nota en la página siguiente]</w:t>
      </w:r>
    </w:p>
  </w:footnote>
  <w:footnote w:id="2">
    <w:p w:rsidR="00AC7438" w:rsidRPr="000C5693" w:rsidRDefault="00AC7438" w:rsidP="00A819E4">
      <w:pPr>
        <w:pStyle w:val="FootnoteText"/>
      </w:pPr>
      <w:r>
        <w:rPr>
          <w:rStyle w:val="FootnoteReference"/>
        </w:rPr>
        <w:footnoteRef/>
      </w:r>
      <w:r>
        <w:t xml:space="preserve"> </w:t>
      </w:r>
      <w:r>
        <w:tab/>
        <w:t>Cabe remitirse al documento </w:t>
      </w:r>
      <w:r w:rsidRPr="005E273E">
        <w:rPr>
          <w:lang w:val="es-ES_tradnl"/>
        </w:rPr>
        <w:t>WO/PBC/21/18</w:t>
      </w:r>
      <w:r>
        <w:rPr>
          <w:lang w:val="es-ES_tradnl"/>
        </w:rPr>
        <w:t xml:space="preserve">, sobre el </w:t>
      </w:r>
      <w:r>
        <w:t>plan maestro de mejoras de infraestructura.</w:t>
      </w:r>
    </w:p>
  </w:footnote>
  <w:footnote w:id="3">
    <w:p w:rsidR="00AC7438" w:rsidRPr="0084782B" w:rsidRDefault="00AC7438" w:rsidP="00A819E4">
      <w:pPr>
        <w:pStyle w:val="FootnoteText"/>
        <w:rPr>
          <w:lang w:val="en-GB"/>
        </w:rPr>
      </w:pPr>
      <w:r>
        <w:rPr>
          <w:rStyle w:val="FootnoteReference"/>
        </w:rPr>
        <w:footnoteRef/>
      </w:r>
      <w:r>
        <w:t xml:space="preserve"> </w:t>
      </w:r>
      <w:r>
        <w:tab/>
      </w:r>
      <w:r w:rsidRPr="0084782B">
        <w:t>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438" w:rsidRDefault="00AC7438" w:rsidP="00477D6B">
    <w:pPr>
      <w:jc w:val="right"/>
    </w:pPr>
    <w:bookmarkStart w:id="6" w:name="Code2"/>
    <w:bookmarkEnd w:id="6"/>
    <w:r>
      <w:t>WO/PBC/21/7</w:t>
    </w:r>
  </w:p>
  <w:p w:rsidR="00AC7438" w:rsidRDefault="00AC7438" w:rsidP="00477D6B">
    <w:pPr>
      <w:jc w:val="right"/>
    </w:pPr>
    <w:r>
      <w:t xml:space="preserve">página </w:t>
    </w:r>
    <w:r>
      <w:fldChar w:fldCharType="begin"/>
    </w:r>
    <w:r>
      <w:instrText xml:space="preserve"> PAGE  \* MERGEFORMAT </w:instrText>
    </w:r>
    <w:r>
      <w:fldChar w:fldCharType="separate"/>
    </w:r>
    <w:r w:rsidR="005A0695">
      <w:rPr>
        <w:noProof/>
      </w:rPr>
      <w:t>5</w:t>
    </w:r>
    <w:r>
      <w:fldChar w:fldCharType="end"/>
    </w:r>
  </w:p>
  <w:p w:rsidR="00AC7438" w:rsidRDefault="00AC743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31209D4"/>
    <w:multiLevelType w:val="multilevel"/>
    <w:tmpl w:val="E162E68C"/>
    <w:lvl w:ilvl="0">
      <w:start w:val="1"/>
      <w:numFmt w:val="decimal"/>
      <w:lvlRestart w:val="0"/>
      <w:lvlText w:val="%1."/>
      <w:lvlJc w:val="left"/>
      <w:pPr>
        <w:tabs>
          <w:tab w:val="num" w:pos="567"/>
        </w:tabs>
        <w:ind w:left="0" w:firstLine="0"/>
      </w:pPr>
      <w:rPr>
        <w:rFonts w:hint="default"/>
        <w:b w:val="0"/>
        <w:i w:val="0"/>
        <w:color w:val="auto"/>
        <w:sz w:val="22"/>
        <w:szCs w:val="22"/>
      </w:rPr>
    </w:lvl>
    <w:lvl w:ilvl="1">
      <w:start w:val="1"/>
      <w:numFmt w:val="lowerLetter"/>
      <w:lvlText w:val="(%2)"/>
      <w:lvlJc w:val="left"/>
      <w:pPr>
        <w:tabs>
          <w:tab w:val="num" w:pos="1227"/>
        </w:tabs>
        <w:ind w:left="660" w:firstLine="0"/>
      </w:pPr>
      <w:rPr>
        <w:rFonts w:hint="default"/>
      </w:rPr>
    </w:lvl>
    <w:lvl w:ilvl="2">
      <w:start w:val="1"/>
      <w:numFmt w:val="lowerRoman"/>
      <w:lvlText w:val="(%3)"/>
      <w:lvlJc w:val="left"/>
      <w:pPr>
        <w:tabs>
          <w:tab w:val="num" w:pos="1701"/>
        </w:tabs>
        <w:ind w:left="1134" w:firstLine="0"/>
      </w:pPr>
      <w:rPr>
        <w:rFonts w:hint="default"/>
        <w:b w:val="0"/>
        <w:i w:val="0"/>
        <w:color w:val="auto"/>
        <w:sz w:val="20"/>
        <w:szCs w:val="20"/>
      </w:rPr>
    </w:lvl>
    <w:lvl w:ilvl="3">
      <w:start w:val="1"/>
      <w:numFmt w:val="bullet"/>
      <w:lvlText w:val=""/>
      <w:lvlJc w:val="left"/>
      <w:pPr>
        <w:tabs>
          <w:tab w:val="num" w:pos="2268"/>
        </w:tabs>
        <w:ind w:left="1701" w:firstLine="0"/>
      </w:pPr>
      <w:rPr>
        <w:rFonts w:hint="default"/>
        <w:b w:val="0"/>
        <w:i w:val="0"/>
        <w:color w:val="auto"/>
        <w:sz w:val="20"/>
        <w:szCs w:val="20"/>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B126879"/>
    <w:multiLevelType w:val="multilevel"/>
    <w:tmpl w:val="4FD05E68"/>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A0D10B5"/>
    <w:multiLevelType w:val="hybridMultilevel"/>
    <w:tmpl w:val="B3287172"/>
    <w:lvl w:ilvl="0" w:tplc="FFFFFFFF">
      <w:start w:val="1"/>
      <w:numFmt w:val="decimal"/>
      <w:lvlText w:val="%1."/>
      <w:lvlJc w:val="left"/>
      <w:pPr>
        <w:tabs>
          <w:tab w:val="num" w:pos="709"/>
        </w:tabs>
        <w:ind w:left="142" w:firstLine="0"/>
      </w:pPr>
      <w:rPr>
        <w:rFonts w:ascii="Arial" w:hAnsi="Arial" w:hint="default"/>
        <w:b w:val="0"/>
        <w:i w:val="0"/>
        <w:iCs w:val="0"/>
        <w:color w:val="auto"/>
        <w:sz w:val="22"/>
        <w:szCs w:val="22"/>
      </w:rPr>
    </w:lvl>
    <w:lvl w:ilvl="1" w:tplc="FFFFFFFF">
      <w:start w:val="1"/>
      <w:numFmt w:val="lowerRoman"/>
      <w:lvlRestart w:val="0"/>
      <w:lvlText w:val="(%2)."/>
      <w:lvlJc w:val="left"/>
      <w:pPr>
        <w:tabs>
          <w:tab w:val="num" w:pos="1647"/>
        </w:tabs>
        <w:ind w:left="1647" w:hanging="567"/>
      </w:pPr>
      <w:rPr>
        <w:rFonts w:hint="default"/>
        <w:b w:val="0"/>
        <w:i w:val="0"/>
        <w:color w:val="auto"/>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7"/>
  </w:num>
  <w:num w:numId="8">
    <w:abstractNumId w:val="4"/>
  </w:num>
  <w:num w:numId="9">
    <w:abstractNumId w:val="5"/>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3452A"/>
    <w:rsid w:val="00052915"/>
    <w:rsid w:val="00080E39"/>
    <w:rsid w:val="000E3BB3"/>
    <w:rsid w:val="000F5E56"/>
    <w:rsid w:val="001362EE"/>
    <w:rsid w:val="00152CEA"/>
    <w:rsid w:val="001832A6"/>
    <w:rsid w:val="00196C99"/>
    <w:rsid w:val="001C3E98"/>
    <w:rsid w:val="002221DA"/>
    <w:rsid w:val="002634C4"/>
    <w:rsid w:val="002E0F47"/>
    <w:rsid w:val="002E320B"/>
    <w:rsid w:val="002F463C"/>
    <w:rsid w:val="002F4E68"/>
    <w:rsid w:val="00337B91"/>
    <w:rsid w:val="00354647"/>
    <w:rsid w:val="00377273"/>
    <w:rsid w:val="003845C1"/>
    <w:rsid w:val="00387287"/>
    <w:rsid w:val="003D4948"/>
    <w:rsid w:val="003E48F1"/>
    <w:rsid w:val="004011F0"/>
    <w:rsid w:val="00415180"/>
    <w:rsid w:val="00423E3E"/>
    <w:rsid w:val="00427AF4"/>
    <w:rsid w:val="0045231F"/>
    <w:rsid w:val="004647DA"/>
    <w:rsid w:val="00477808"/>
    <w:rsid w:val="00477D6B"/>
    <w:rsid w:val="004A6C37"/>
    <w:rsid w:val="004D10C4"/>
    <w:rsid w:val="005332F0"/>
    <w:rsid w:val="0055013B"/>
    <w:rsid w:val="00571B99"/>
    <w:rsid w:val="005A0695"/>
    <w:rsid w:val="005E273E"/>
    <w:rsid w:val="00605827"/>
    <w:rsid w:val="00675021"/>
    <w:rsid w:val="006A06C6"/>
    <w:rsid w:val="00750360"/>
    <w:rsid w:val="00794BE2"/>
    <w:rsid w:val="007A49E4"/>
    <w:rsid w:val="007B71FE"/>
    <w:rsid w:val="007D781E"/>
    <w:rsid w:val="007E663E"/>
    <w:rsid w:val="007F3FC3"/>
    <w:rsid w:val="007F68CD"/>
    <w:rsid w:val="0081338B"/>
    <w:rsid w:val="00815082"/>
    <w:rsid w:val="0084782B"/>
    <w:rsid w:val="0088395E"/>
    <w:rsid w:val="008B2CC1"/>
    <w:rsid w:val="008C5BCA"/>
    <w:rsid w:val="008E6BD6"/>
    <w:rsid w:val="008E6D83"/>
    <w:rsid w:val="0090731E"/>
    <w:rsid w:val="00966A22"/>
    <w:rsid w:val="00972F03"/>
    <w:rsid w:val="009A0C8B"/>
    <w:rsid w:val="009B6241"/>
    <w:rsid w:val="00A16FC0"/>
    <w:rsid w:val="00A32C9E"/>
    <w:rsid w:val="00A4537B"/>
    <w:rsid w:val="00A819E4"/>
    <w:rsid w:val="00A931D0"/>
    <w:rsid w:val="00AB613D"/>
    <w:rsid w:val="00AC7438"/>
    <w:rsid w:val="00B65A0A"/>
    <w:rsid w:val="00B72D36"/>
    <w:rsid w:val="00B83BF5"/>
    <w:rsid w:val="00BC4164"/>
    <w:rsid w:val="00BD2DCC"/>
    <w:rsid w:val="00C90559"/>
    <w:rsid w:val="00D56C7C"/>
    <w:rsid w:val="00D71B4D"/>
    <w:rsid w:val="00D90289"/>
    <w:rsid w:val="00D93D55"/>
    <w:rsid w:val="00D94FF5"/>
    <w:rsid w:val="00E444DA"/>
    <w:rsid w:val="00E45C84"/>
    <w:rsid w:val="00E504E5"/>
    <w:rsid w:val="00EB7A3E"/>
    <w:rsid w:val="00EC401A"/>
    <w:rsid w:val="00EF530A"/>
    <w:rsid w:val="00EF6622"/>
    <w:rsid w:val="00F50490"/>
    <w:rsid w:val="00F55408"/>
    <w:rsid w:val="00F66152"/>
    <w:rsid w:val="00F80845"/>
    <w:rsid w:val="00F84474"/>
    <w:rsid w:val="00F86290"/>
    <w:rsid w:val="00FD59D1"/>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FootnoteReference">
    <w:name w:val="footnote reference"/>
    <w:basedOn w:val="DefaultParagraphFont"/>
    <w:rsid w:val="00A819E4"/>
    <w:rPr>
      <w:vertAlign w:val="superscript"/>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locked/>
    <w:rsid w:val="00A819E4"/>
    <w:rPr>
      <w:rFonts w:ascii="Arial" w:eastAsia="SimSun" w:hAnsi="Arial" w:cs="Arial"/>
      <w:sz w:val="18"/>
      <w:lang w:eastAsia="zh-CN" w:bidi="ar-SA"/>
    </w:rPr>
  </w:style>
  <w:style w:type="paragraph" w:customStyle="1" w:styleId="Char">
    <w:name w:val="Char 字元 字元"/>
    <w:basedOn w:val="Normal"/>
    <w:rsid w:val="00A819E4"/>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5E273E"/>
    <w:pPr>
      <w:spacing w:after="160" w:line="240" w:lineRule="exact"/>
    </w:pPr>
    <w:rPr>
      <w:rFonts w:ascii="Verdana" w:eastAsia="PMingLiU" w:hAnsi="Verdana" w:cs="Times New Roman"/>
      <w:sz w:val="20"/>
      <w:lang w:val="en-US" w:eastAsia="en-US"/>
    </w:rPr>
  </w:style>
  <w:style w:type="paragraph" w:styleId="ListParagraph">
    <w:name w:val="List Paragraph"/>
    <w:basedOn w:val="Normal"/>
    <w:uiPriority w:val="34"/>
    <w:qFormat/>
    <w:rsid w:val="005E273E"/>
    <w:pPr>
      <w:ind w:left="720"/>
      <w:contextualSpacing/>
    </w:pPr>
  </w:style>
  <w:style w:type="paragraph" w:styleId="BalloonText">
    <w:name w:val="Balloon Text"/>
    <w:basedOn w:val="Normal"/>
    <w:link w:val="BalloonTextChar"/>
    <w:rsid w:val="005A0695"/>
    <w:rPr>
      <w:rFonts w:ascii="Tahoma" w:hAnsi="Tahoma" w:cs="Tahoma"/>
      <w:sz w:val="16"/>
      <w:szCs w:val="16"/>
    </w:rPr>
  </w:style>
  <w:style w:type="character" w:customStyle="1" w:styleId="BalloonTextChar">
    <w:name w:val="Balloon Text Char"/>
    <w:basedOn w:val="DefaultParagraphFont"/>
    <w:link w:val="BalloonText"/>
    <w:rsid w:val="005A0695"/>
    <w:rPr>
      <w:rFonts w:ascii="Tahoma" w:eastAsia="SimSu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FootnoteReference">
    <w:name w:val="footnote reference"/>
    <w:basedOn w:val="DefaultParagraphFont"/>
    <w:rsid w:val="00A819E4"/>
    <w:rPr>
      <w:vertAlign w:val="superscript"/>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locked/>
    <w:rsid w:val="00A819E4"/>
    <w:rPr>
      <w:rFonts w:ascii="Arial" w:eastAsia="SimSun" w:hAnsi="Arial" w:cs="Arial"/>
      <w:sz w:val="18"/>
      <w:lang w:eastAsia="zh-CN" w:bidi="ar-SA"/>
    </w:rPr>
  </w:style>
  <w:style w:type="paragraph" w:customStyle="1" w:styleId="Char">
    <w:name w:val="Char 字元 字元"/>
    <w:basedOn w:val="Normal"/>
    <w:rsid w:val="00A819E4"/>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5E273E"/>
    <w:pPr>
      <w:spacing w:after="160" w:line="240" w:lineRule="exact"/>
    </w:pPr>
    <w:rPr>
      <w:rFonts w:ascii="Verdana" w:eastAsia="PMingLiU" w:hAnsi="Verdana" w:cs="Times New Roman"/>
      <w:sz w:val="20"/>
      <w:lang w:val="en-US" w:eastAsia="en-US"/>
    </w:rPr>
  </w:style>
  <w:style w:type="paragraph" w:styleId="ListParagraph">
    <w:name w:val="List Paragraph"/>
    <w:basedOn w:val="Normal"/>
    <w:uiPriority w:val="34"/>
    <w:qFormat/>
    <w:rsid w:val="005E273E"/>
    <w:pPr>
      <w:ind w:left="720"/>
      <w:contextualSpacing/>
    </w:pPr>
  </w:style>
  <w:style w:type="paragraph" w:styleId="BalloonText">
    <w:name w:val="Balloon Text"/>
    <w:basedOn w:val="Normal"/>
    <w:link w:val="BalloonTextChar"/>
    <w:rsid w:val="005A0695"/>
    <w:rPr>
      <w:rFonts w:ascii="Tahoma" w:hAnsi="Tahoma" w:cs="Tahoma"/>
      <w:sz w:val="16"/>
      <w:szCs w:val="16"/>
    </w:rPr>
  </w:style>
  <w:style w:type="character" w:customStyle="1" w:styleId="BalloonTextChar">
    <w:name w:val="Balloon Text Char"/>
    <w:basedOn w:val="DefaultParagraphFont"/>
    <w:link w:val="BalloonText"/>
    <w:rsid w:val="005A0695"/>
    <w:rPr>
      <w:rFonts w:ascii="Tahoma" w:eastAsia="SimSu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59934">
      <w:bodyDiv w:val="1"/>
      <w:marLeft w:val="0"/>
      <w:marRight w:val="0"/>
      <w:marTop w:val="0"/>
      <w:marBottom w:val="0"/>
      <w:divBdr>
        <w:top w:val="none" w:sz="0" w:space="0" w:color="auto"/>
        <w:left w:val="none" w:sz="0" w:space="0" w:color="auto"/>
        <w:bottom w:val="none" w:sz="0" w:space="0" w:color="auto"/>
        <w:right w:val="none" w:sz="0" w:space="0" w:color="auto"/>
      </w:divBdr>
    </w:div>
    <w:div w:id="1377389315">
      <w:bodyDiv w:val="1"/>
      <w:marLeft w:val="0"/>
      <w:marRight w:val="0"/>
      <w:marTop w:val="0"/>
      <w:marBottom w:val="0"/>
      <w:divBdr>
        <w:top w:val="none" w:sz="0" w:space="0" w:color="auto"/>
        <w:left w:val="none" w:sz="0" w:space="0" w:color="auto"/>
        <w:bottom w:val="none" w:sz="0" w:space="0" w:color="auto"/>
        <w:right w:val="none" w:sz="0" w:space="0" w:color="auto"/>
      </w:divBdr>
    </w:div>
    <w:div w:id="19991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653</Words>
  <Characters>3222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WO/PBC/21/</vt:lpstr>
    </vt:vector>
  </TitlesOfParts>
  <Company>WIPO</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dc:title>
  <dc:creator>AS</dc:creator>
  <cp:lastModifiedBy>DOYON Geneviève</cp:lastModifiedBy>
  <cp:revision>2</cp:revision>
  <cp:lastPrinted>2013-08-06T13:56:00Z</cp:lastPrinted>
  <dcterms:created xsi:type="dcterms:W3CDTF">2013-08-06T14:56:00Z</dcterms:created>
  <dcterms:modified xsi:type="dcterms:W3CDTF">2013-08-06T14:56:00Z</dcterms:modified>
</cp:coreProperties>
</file>