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01AAE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01AAE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01AAE" w:rsidRDefault="00A01AAE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01AAE" w:rsidRDefault="00E504E5" w:rsidP="00AB613D">
            <w:pPr>
              <w:jc w:val="right"/>
            </w:pPr>
            <w:r w:rsidRPr="00A01AAE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A01AAE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01AAE" w:rsidRDefault="0081338B" w:rsidP="00795FB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01AAE">
              <w:rPr>
                <w:rFonts w:ascii="Arial Black" w:hAnsi="Arial Black"/>
                <w:caps/>
                <w:sz w:val="15"/>
              </w:rPr>
              <w:t>WO/PBC/21/</w:t>
            </w:r>
            <w:bookmarkStart w:id="0" w:name="Code"/>
            <w:bookmarkEnd w:id="0"/>
            <w:r w:rsidR="00A01AAE" w:rsidRPr="00A01AAE">
              <w:rPr>
                <w:rFonts w:ascii="Arial Black" w:hAnsi="Arial Black"/>
                <w:caps/>
                <w:sz w:val="15"/>
              </w:rPr>
              <w:t>1</w:t>
            </w:r>
            <w:r w:rsidR="008B2CC1" w:rsidRPr="00A01AA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A01AAE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01AA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01AAE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A01AAE">
              <w:rPr>
                <w:rFonts w:ascii="Arial Black" w:hAnsi="Arial Black"/>
                <w:caps/>
                <w:sz w:val="15"/>
              </w:rPr>
              <w:t xml:space="preserve"> </w:t>
            </w:r>
            <w:r w:rsidRPr="00A01AA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01AAE" w:rsidRPr="00A01AAE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A01AAE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01AAE" w:rsidRDefault="00675021" w:rsidP="00795FB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01AAE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A01AAE">
              <w:rPr>
                <w:rFonts w:ascii="Arial Black" w:hAnsi="Arial Black"/>
                <w:caps/>
                <w:sz w:val="15"/>
              </w:rPr>
              <w:t>:</w:t>
            </w:r>
            <w:r w:rsidR="00F84474" w:rsidRPr="00A01AA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A01AA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795FB6">
              <w:rPr>
                <w:rFonts w:ascii="Arial Black" w:hAnsi="Arial Black"/>
                <w:caps/>
                <w:sz w:val="15"/>
              </w:rPr>
              <w:t>9 de septiembre de</w:t>
            </w:r>
            <w:r w:rsidR="00A01AAE" w:rsidRPr="00A01AAE">
              <w:rPr>
                <w:rFonts w:ascii="Arial Black" w:hAnsi="Arial Black"/>
                <w:caps/>
                <w:sz w:val="15"/>
              </w:rPr>
              <w:t xml:space="preserve"> 2013</w:t>
            </w:r>
          </w:p>
        </w:tc>
      </w:tr>
    </w:tbl>
    <w:p w:rsidR="008B2CC1" w:rsidRPr="00A01AAE" w:rsidRDefault="008B2CC1" w:rsidP="008B2CC1"/>
    <w:p w:rsidR="008B2CC1" w:rsidRPr="00A01AAE" w:rsidRDefault="008B2CC1" w:rsidP="008B2CC1"/>
    <w:p w:rsidR="008B2CC1" w:rsidRPr="00A01AAE" w:rsidRDefault="008B2CC1" w:rsidP="008B2CC1"/>
    <w:p w:rsidR="008B2CC1" w:rsidRPr="00A01AAE" w:rsidRDefault="008B2CC1" w:rsidP="008B2CC1"/>
    <w:p w:rsidR="008B2CC1" w:rsidRPr="00A01AAE" w:rsidRDefault="008B2CC1" w:rsidP="008B2CC1"/>
    <w:p w:rsidR="0081338B" w:rsidRPr="00A01AAE" w:rsidRDefault="0081338B" w:rsidP="0081338B">
      <w:pPr>
        <w:rPr>
          <w:b/>
          <w:sz w:val="28"/>
          <w:szCs w:val="28"/>
        </w:rPr>
      </w:pPr>
      <w:r w:rsidRPr="00A01AAE">
        <w:rPr>
          <w:b/>
          <w:sz w:val="28"/>
          <w:szCs w:val="28"/>
        </w:rPr>
        <w:t>Comité del Programa y Presupuesto</w:t>
      </w:r>
    </w:p>
    <w:p w:rsidR="003845C1" w:rsidRPr="00A01AAE" w:rsidRDefault="003845C1" w:rsidP="003845C1"/>
    <w:p w:rsidR="003845C1" w:rsidRPr="00A01AAE" w:rsidRDefault="003845C1" w:rsidP="003845C1"/>
    <w:p w:rsidR="0081338B" w:rsidRPr="00A01AAE" w:rsidRDefault="0081338B" w:rsidP="0081338B">
      <w:pPr>
        <w:rPr>
          <w:b/>
          <w:sz w:val="24"/>
          <w:szCs w:val="24"/>
        </w:rPr>
      </w:pPr>
      <w:r w:rsidRPr="00A01AAE">
        <w:rPr>
          <w:b/>
          <w:sz w:val="24"/>
          <w:szCs w:val="24"/>
        </w:rPr>
        <w:t>Vigésimo primera sesión</w:t>
      </w:r>
    </w:p>
    <w:p w:rsidR="0081338B" w:rsidRPr="00A01AAE" w:rsidRDefault="0081338B" w:rsidP="0081338B">
      <w:pPr>
        <w:rPr>
          <w:b/>
          <w:sz w:val="24"/>
          <w:szCs w:val="24"/>
        </w:rPr>
      </w:pPr>
      <w:r w:rsidRPr="00A01AAE">
        <w:rPr>
          <w:b/>
          <w:sz w:val="24"/>
          <w:szCs w:val="24"/>
        </w:rPr>
        <w:t>Ginebra, 9 a 13 de septiembre de 2013</w:t>
      </w:r>
    </w:p>
    <w:p w:rsidR="008B2CC1" w:rsidRPr="00A01AAE" w:rsidRDefault="008B2CC1" w:rsidP="008B2CC1"/>
    <w:p w:rsidR="008B2CC1" w:rsidRPr="00A01AAE" w:rsidRDefault="008B2CC1" w:rsidP="008B2CC1"/>
    <w:p w:rsidR="008B2CC1" w:rsidRPr="00A01AAE" w:rsidRDefault="008B2CC1" w:rsidP="008B2CC1"/>
    <w:p w:rsidR="008B2CC1" w:rsidRPr="00A01AAE" w:rsidRDefault="00A01AAE" w:rsidP="008B2CC1">
      <w:pPr>
        <w:rPr>
          <w:caps/>
          <w:sz w:val="24"/>
        </w:rPr>
      </w:pPr>
      <w:bookmarkStart w:id="3" w:name="TitleOfDoc"/>
      <w:bookmarkEnd w:id="3"/>
      <w:r w:rsidRPr="00A01AAE">
        <w:rPr>
          <w:caps/>
          <w:sz w:val="24"/>
        </w:rPr>
        <w:t>ORDEN DEL DÍA</w:t>
      </w:r>
    </w:p>
    <w:p w:rsidR="008B2CC1" w:rsidRPr="00A01AAE" w:rsidRDefault="008B2CC1" w:rsidP="008B2CC1"/>
    <w:p w:rsidR="008B2CC1" w:rsidRPr="00A01AAE" w:rsidRDefault="00795FB6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el Comité del Programa y Presupuesto</w:t>
      </w:r>
    </w:p>
    <w:p w:rsidR="008B2CC1" w:rsidRPr="00A01AAE" w:rsidRDefault="008B2CC1" w:rsidP="003845C1"/>
    <w:p w:rsidR="00F84474" w:rsidRPr="00A01AAE" w:rsidRDefault="00F84474"/>
    <w:p w:rsidR="00F84474" w:rsidRPr="00A01AAE" w:rsidRDefault="00F84474"/>
    <w:p w:rsidR="00A01AAE" w:rsidRPr="00A01AAE" w:rsidRDefault="00A01AAE" w:rsidP="00A01AAE">
      <w:pPr>
        <w:pStyle w:val="ONUMFS"/>
      </w:pPr>
      <w:r w:rsidRPr="00A01AAE">
        <w:t>Apertura de la sesión</w:t>
      </w:r>
    </w:p>
    <w:p w:rsidR="00A01AAE" w:rsidRPr="00A01AAE" w:rsidRDefault="00A01AAE" w:rsidP="00A01AAE">
      <w:pPr>
        <w:pStyle w:val="ONUMFS"/>
        <w:spacing w:after="0"/>
      </w:pPr>
      <w:r w:rsidRPr="00A01AAE">
        <w:t>Aprobación del orden del día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presente documento.</w:t>
      </w:r>
    </w:p>
    <w:p w:rsidR="00A01AAE" w:rsidRPr="00A01AAE" w:rsidRDefault="00A01AAE" w:rsidP="00A01AAE">
      <w:pPr>
        <w:pStyle w:val="Heading3"/>
      </w:pPr>
      <w:r w:rsidRPr="00A01AAE">
        <w:t>Auditoría y supervisión</w:t>
      </w:r>
    </w:p>
    <w:p w:rsidR="00A01AAE" w:rsidRPr="00A01AAE" w:rsidRDefault="00A01AAE" w:rsidP="00A01AAE"/>
    <w:p w:rsidR="00A01AAE" w:rsidRPr="00A01AAE" w:rsidRDefault="00A01AAE" w:rsidP="00A01AAE">
      <w:pPr>
        <w:pStyle w:val="ONUMFS"/>
        <w:spacing w:after="0"/>
      </w:pPr>
      <w:r w:rsidRPr="00A01AAE">
        <w:t>Informe de la Comisión Consultiva Independiente de Supervisión (CCIS)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 xml:space="preserve">Véase el documento WO/PBC/21/2.    </w:t>
      </w:r>
    </w:p>
    <w:p w:rsidR="00A01AAE" w:rsidRPr="00A01AAE" w:rsidRDefault="00A01AAE" w:rsidP="00275495">
      <w:pPr>
        <w:pStyle w:val="ONUMFS"/>
        <w:spacing w:after="0"/>
        <w:ind w:left="567" w:hanging="567"/>
        <w:rPr>
          <w:szCs w:val="22"/>
        </w:rPr>
      </w:pPr>
      <w:r w:rsidRPr="00A01AAE">
        <w:rPr>
          <w:szCs w:val="22"/>
        </w:rPr>
        <w:t>Informe del Comité de Selección para el nombramiento de nuevos miembros de la Comisión Consultiva Independiente de Supervisión de la OMPI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documento WO/PBC/21/3.</w:t>
      </w:r>
    </w:p>
    <w:p w:rsidR="00A01AAE" w:rsidRPr="00A01AAE" w:rsidRDefault="00A01AAE" w:rsidP="00A01AAE">
      <w:pPr>
        <w:pStyle w:val="ONUMFS"/>
        <w:spacing w:after="0"/>
      </w:pPr>
      <w:r w:rsidRPr="00A01AAE">
        <w:t>Informe del Auditor Externo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documento WO/PBC/21/6.</w:t>
      </w:r>
    </w:p>
    <w:p w:rsidR="00A01AAE" w:rsidRPr="00A01AAE" w:rsidRDefault="00A01AAE" w:rsidP="00A01AAE">
      <w:pPr>
        <w:pStyle w:val="ONUMFS"/>
        <w:spacing w:after="0"/>
      </w:pPr>
      <w:r w:rsidRPr="00A01AAE">
        <w:t>Informe del Director de la División de Auditoría y Supervisión Internas (DASI)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documento WO/PBC/21/17.</w:t>
      </w:r>
    </w:p>
    <w:p w:rsidR="00A01AAE" w:rsidRPr="00A01AAE" w:rsidRDefault="00A01AAE" w:rsidP="00275495">
      <w:pPr>
        <w:pStyle w:val="ONUMFS"/>
        <w:spacing w:after="0"/>
        <w:ind w:left="567" w:hanging="567"/>
      </w:pPr>
      <w:r w:rsidRPr="00A01AAE">
        <w:t>Informe sobre los progresos realizados en la aplicación de las recomendaciones de la Dependencia Común de Inspección (DCI)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  <w:rPr>
          <w:b/>
        </w:rPr>
      </w:pPr>
      <w:r w:rsidRPr="00A01AAE">
        <w:tab/>
        <w:t>Véase el documento WO/PBC/21/16.</w:t>
      </w:r>
      <w:r w:rsidRPr="00A01AAE">
        <w:rPr>
          <w:b/>
        </w:rPr>
        <w:t xml:space="preserve"> </w:t>
      </w:r>
    </w:p>
    <w:p w:rsidR="00A01AAE" w:rsidRPr="00A01AAE" w:rsidRDefault="00A01AAE" w:rsidP="00795FB6">
      <w:pPr>
        <w:pStyle w:val="ONUMFS"/>
        <w:spacing w:after="0"/>
      </w:pPr>
      <w:r w:rsidRPr="00A01AAE">
        <w:t>La gobernanza en la OMPI</w:t>
      </w:r>
    </w:p>
    <w:p w:rsidR="00795FB6" w:rsidRPr="00795FB6" w:rsidRDefault="00795FB6" w:rsidP="00795FB6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</w:t>
      </w:r>
      <w:r>
        <w:t xml:space="preserve">nse los </w:t>
      </w:r>
      <w:r w:rsidRPr="00A01AAE">
        <w:t>documento</w:t>
      </w:r>
      <w:r>
        <w:t>s</w:t>
      </w:r>
      <w:r w:rsidRPr="00A01AAE">
        <w:t xml:space="preserve"> </w:t>
      </w:r>
      <w:r>
        <w:t xml:space="preserve">de antecedentes </w:t>
      </w:r>
      <w:r w:rsidRPr="00A01AAE">
        <w:t>WO/PBC/</w:t>
      </w:r>
      <w:r>
        <w:t>18</w:t>
      </w:r>
      <w:r w:rsidRPr="00A01AAE">
        <w:t>/</w:t>
      </w:r>
      <w:r>
        <w:t>20 y WO/PBC/19/26</w:t>
      </w:r>
      <w:r w:rsidRPr="00A01AAE">
        <w:t>.</w:t>
      </w:r>
      <w:r w:rsidRPr="00795FB6">
        <w:t xml:space="preserve"> </w:t>
      </w:r>
    </w:p>
    <w:p w:rsidR="00A01AAE" w:rsidRPr="00A01AAE" w:rsidRDefault="00A01AAE" w:rsidP="00A01AAE">
      <w:pPr>
        <w:pStyle w:val="Heading3"/>
      </w:pPr>
      <w:r w:rsidRPr="00A01AAE">
        <w:lastRenderedPageBreak/>
        <w:t>Examen del rendimiento de los programas y de cuestiones financieras</w:t>
      </w:r>
    </w:p>
    <w:p w:rsidR="00A01AAE" w:rsidRPr="00A01AAE" w:rsidRDefault="00A01AAE" w:rsidP="00A01AAE"/>
    <w:p w:rsidR="00A01AAE" w:rsidRPr="00A01AAE" w:rsidRDefault="00A01AAE" w:rsidP="00275495">
      <w:pPr>
        <w:pStyle w:val="ONUMFS"/>
        <w:spacing w:after="0"/>
        <w:ind w:left="567" w:hanging="567"/>
      </w:pPr>
      <w:r w:rsidRPr="00A01AAE">
        <w:t>Estados financieros anuales de 2012;  situación en el pago de las contribuciones al 30 de junio de 2013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  <w:spacing w:after="0"/>
      </w:pPr>
      <w:r w:rsidRPr="00A01AAE">
        <w:tab/>
        <w:t>Véanse los documentos: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  <w:tab w:val="left" w:pos="2835"/>
        </w:tabs>
        <w:spacing w:after="0"/>
      </w:pPr>
      <w:r w:rsidRPr="00A01AAE">
        <w:tab/>
        <w:t>WO/PBC/21/4</w:t>
      </w:r>
      <w:r w:rsidRPr="00A01AAE">
        <w:tab/>
        <w:t xml:space="preserve">Informe financiero anual y estados financieros de 2012;  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  <w:tab w:val="left" w:pos="2835"/>
        </w:tabs>
        <w:ind w:left="2835" w:hanging="2835"/>
      </w:pPr>
      <w:r w:rsidRPr="00A01AAE">
        <w:tab/>
        <w:t>WO/PBC/21/5</w:t>
      </w:r>
      <w:r w:rsidRPr="00A01AAE">
        <w:tab/>
        <w:t>Situación relativa al pago de las contribuciones al 30 de junio de 2013.</w:t>
      </w:r>
    </w:p>
    <w:p w:rsidR="00A01AAE" w:rsidRPr="00A01AAE" w:rsidRDefault="00A01AAE" w:rsidP="00A01AAE">
      <w:pPr>
        <w:pStyle w:val="ONUMFS"/>
        <w:spacing w:after="0"/>
      </w:pPr>
      <w:r w:rsidRPr="00A01AAE">
        <w:t xml:space="preserve">Situación relativa a la utilización de las reservas 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documento WO/PBC/21/7.</w:t>
      </w:r>
    </w:p>
    <w:p w:rsidR="00A01AAE" w:rsidRPr="00A01AAE" w:rsidRDefault="00A01AAE" w:rsidP="00A01AAE">
      <w:pPr>
        <w:pStyle w:val="ONUMFS"/>
        <w:spacing w:after="0"/>
      </w:pPr>
      <w:r w:rsidRPr="00A01AAE">
        <w:t>Informe anual sobre recursos humanos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documento WO/PBC/21/13.</w:t>
      </w:r>
    </w:p>
    <w:p w:rsidR="00A01AAE" w:rsidRPr="00A01AAE" w:rsidRDefault="00A01AAE" w:rsidP="00275495">
      <w:pPr>
        <w:pStyle w:val="ONUMFS"/>
        <w:spacing w:after="0"/>
        <w:ind w:left="567" w:hanging="567"/>
      </w:pPr>
      <w:r w:rsidRPr="00A01AAE">
        <w:t xml:space="preserve">Informe sobre la aplicación de las medidas destinadas a fomentar la eficacia en función de los costos 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rPr>
          <w:b/>
          <w:bCs/>
          <w:i/>
          <w:iCs/>
        </w:rPr>
        <w:tab/>
      </w:r>
      <w:r w:rsidRPr="00A01AAE">
        <w:t>Véase el documento WO/PBC/21/19.</w:t>
      </w:r>
    </w:p>
    <w:p w:rsidR="00A01AAE" w:rsidRPr="00A01AAE" w:rsidRDefault="00A01AAE" w:rsidP="00A01AAE">
      <w:pPr>
        <w:pStyle w:val="Heading3"/>
      </w:pPr>
      <w:r w:rsidRPr="00A01AAE">
        <w:t xml:space="preserve">Planificación y </w:t>
      </w:r>
      <w:proofErr w:type="spellStart"/>
      <w:r w:rsidRPr="00A01AAE">
        <w:t>presupuestación</w:t>
      </w:r>
      <w:proofErr w:type="spellEnd"/>
    </w:p>
    <w:p w:rsidR="00A01AAE" w:rsidRPr="00A01AAE" w:rsidRDefault="00A01AAE" w:rsidP="00A01AAE"/>
    <w:p w:rsidR="00A01AAE" w:rsidRPr="00A01AAE" w:rsidRDefault="00A01AAE" w:rsidP="00A01AAE">
      <w:pPr>
        <w:pStyle w:val="ONUMFS"/>
        <w:spacing w:after="0"/>
      </w:pPr>
      <w:r w:rsidRPr="00A01AAE">
        <w:t>Propuesta de presupuesto por programas para el bienio 2014/15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documento WO/PBC/21/8.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spacing w:after="0"/>
        <w:ind w:left="567"/>
      </w:pPr>
      <w:r w:rsidRPr="00A01AAE">
        <w:t>–</w:t>
      </w:r>
      <w:r w:rsidRPr="00A01AAE">
        <w:tab/>
        <w:t>Documento</w:t>
      </w:r>
      <w:r w:rsidRPr="00A01AAE">
        <w:rPr>
          <w:iCs/>
        </w:rPr>
        <w:t xml:space="preserve"> de información sobre las oficinas en el exterior 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701"/>
        </w:tabs>
      </w:pPr>
      <w:r w:rsidRPr="00A01AAE">
        <w:rPr>
          <w:iCs/>
        </w:rPr>
        <w:tab/>
        <w:t xml:space="preserve">Véase el </w:t>
      </w:r>
      <w:r w:rsidRPr="00A01AAE">
        <w:t>documento</w:t>
      </w:r>
      <w:r w:rsidRPr="00A01AAE">
        <w:rPr>
          <w:iCs/>
        </w:rPr>
        <w:t xml:space="preserve"> WO/PBC/21/INF.1.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spacing w:after="0"/>
        <w:ind w:left="567"/>
      </w:pPr>
      <w:r w:rsidRPr="00A01AAE">
        <w:t>–</w:t>
      </w:r>
      <w:r w:rsidRPr="00A01AAE">
        <w:tab/>
        <w:t>Plan maestro de mejoras de infraestructura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701"/>
        </w:tabs>
      </w:pPr>
      <w:r w:rsidRPr="00A01AAE">
        <w:tab/>
        <w:t>Véase el documento WO/PBC/21/18.</w:t>
      </w:r>
    </w:p>
    <w:p w:rsidR="00A01AAE" w:rsidRDefault="00A01AAE" w:rsidP="00275495">
      <w:pPr>
        <w:pStyle w:val="ONUMFS"/>
        <w:spacing w:after="0"/>
        <w:ind w:left="567" w:hanging="567"/>
      </w:pPr>
      <w:r w:rsidRPr="00A01AAE">
        <w:t>Propuesta de definición de “Gastos destinados a desarrollo” en el contexto del presupuesto por programas</w:t>
      </w:r>
    </w:p>
    <w:p w:rsidR="00795FB6" w:rsidRPr="00795FB6" w:rsidRDefault="00795FB6" w:rsidP="00795FB6">
      <w:pPr>
        <w:pStyle w:val="ONUMFS"/>
        <w:numPr>
          <w:ilvl w:val="0"/>
          <w:numId w:val="0"/>
        </w:numPr>
        <w:tabs>
          <w:tab w:val="left" w:pos="1134"/>
        </w:tabs>
        <w:ind w:left="1134" w:hanging="1134"/>
      </w:pPr>
      <w:r w:rsidRPr="00A01AAE">
        <w:tab/>
        <w:t>Véa</w:t>
      </w:r>
      <w:r>
        <w:t xml:space="preserve">nse los </w:t>
      </w:r>
      <w:r w:rsidRPr="00A01AAE">
        <w:t>documento</w:t>
      </w:r>
      <w:r>
        <w:t>s</w:t>
      </w:r>
      <w:r w:rsidRPr="00A01AAE">
        <w:t xml:space="preserve"> </w:t>
      </w:r>
      <w:r>
        <w:t>de antecedentes</w:t>
      </w:r>
      <w:proofErr w:type="gramStart"/>
      <w:r>
        <w:t xml:space="preserve">: </w:t>
      </w:r>
      <w:r>
        <w:t xml:space="preserve"> </w:t>
      </w:r>
      <w:r w:rsidRPr="00A01AAE">
        <w:t>WO</w:t>
      </w:r>
      <w:proofErr w:type="gramEnd"/>
      <w:r w:rsidRPr="00A01AAE">
        <w:t>/PBC/</w:t>
      </w:r>
      <w:r>
        <w:t>1</w:t>
      </w:r>
      <w:r>
        <w:t>9</w:t>
      </w:r>
      <w:r w:rsidRPr="00A01AAE">
        <w:t>/</w:t>
      </w:r>
      <w:r>
        <w:t>2</w:t>
      </w:r>
      <w:r>
        <w:t>5 y el documento conexo (Definición revisada d</w:t>
      </w:r>
      <w:bookmarkStart w:id="5" w:name="_GoBack"/>
      <w:bookmarkEnd w:id="5"/>
      <w:r>
        <w:t>e “Gastos destinados a desarrollo” según propuesta del Presidente del PBC) que se distribuyó en la 20ª sesión.</w:t>
      </w:r>
      <w:r w:rsidRPr="00795FB6">
        <w:t xml:space="preserve"> </w:t>
      </w:r>
    </w:p>
    <w:p w:rsidR="00A01AAE" w:rsidRPr="00A01AAE" w:rsidRDefault="00A01AAE" w:rsidP="00A01AAE">
      <w:pPr>
        <w:pStyle w:val="Heading3"/>
      </w:pPr>
      <w:r w:rsidRPr="00A01AAE">
        <w:t>Informes sobre la marcha de los principales proyectos y cuestiones administrativas</w:t>
      </w:r>
    </w:p>
    <w:p w:rsidR="00A01AAE" w:rsidRPr="00A01AAE" w:rsidRDefault="00A01AAE" w:rsidP="00A01AAE"/>
    <w:p w:rsidR="00A01AAE" w:rsidRPr="00A01AAE" w:rsidRDefault="00A01AAE" w:rsidP="00275495">
      <w:pPr>
        <w:pStyle w:val="ONUMFS"/>
        <w:spacing w:after="0"/>
        <w:ind w:left="567" w:hanging="567"/>
      </w:pPr>
      <w:r w:rsidRPr="00A01AAE">
        <w:t>Informe sobre la marcha del proyecto para reforzar las normas de seguridad y vigilancia de los edificios de la OMPI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documento WO/PBC/21/9.</w:t>
      </w:r>
    </w:p>
    <w:p w:rsidR="00A01AAE" w:rsidRPr="00A01AAE" w:rsidRDefault="00A01AAE" w:rsidP="00A01AAE">
      <w:pPr>
        <w:pStyle w:val="ONUMFS"/>
        <w:spacing w:after="0"/>
      </w:pPr>
      <w:r w:rsidRPr="00A01AAE">
        <w:t>Informe final sobre la aplicación del Programa de la OMPI de Alineación Estratégica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  <w:rPr>
          <w:b/>
          <w:bCs/>
          <w:i/>
          <w:iCs/>
        </w:rPr>
      </w:pPr>
      <w:r w:rsidRPr="00A01AAE">
        <w:tab/>
        <w:t>Véase el documento WO/PBC/21/10.</w:t>
      </w:r>
    </w:p>
    <w:p w:rsidR="00A01AAE" w:rsidRPr="00A01AAE" w:rsidRDefault="00A01AAE" w:rsidP="00A01AAE">
      <w:pPr>
        <w:pStyle w:val="ONUMFS"/>
        <w:spacing w:after="0"/>
      </w:pPr>
      <w:r w:rsidRPr="00A01AAE">
        <w:t>Informe sobre la marcha de los proyectos de construcción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documento WO/PBC/21/11.</w:t>
      </w:r>
    </w:p>
    <w:p w:rsidR="00A01AAE" w:rsidRPr="00A01AAE" w:rsidRDefault="00A01AAE" w:rsidP="00275495">
      <w:pPr>
        <w:pStyle w:val="ONUMFS"/>
        <w:spacing w:after="0"/>
        <w:ind w:left="567" w:hanging="567"/>
      </w:pPr>
      <w:r w:rsidRPr="00A01AAE">
        <w:t>Informe sobre la marcha de la instauración en la OMPI de un sistema de planificación de los recursos institucionales (PRI)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</w:pPr>
      <w:r w:rsidRPr="00A01AAE">
        <w:tab/>
        <w:t>Véase el documento WO/PBC/21/12.</w:t>
      </w:r>
    </w:p>
    <w:p w:rsidR="00A01AAE" w:rsidRPr="00A01AAE" w:rsidRDefault="00A01AAE" w:rsidP="00275495">
      <w:pPr>
        <w:pStyle w:val="ONUMFS"/>
        <w:spacing w:after="0"/>
        <w:ind w:left="567" w:hanging="567"/>
      </w:pPr>
      <w:r w:rsidRPr="00A01AAE">
        <w:t>Informe sobre la marcha del proyecto de inversión de capital fijo en tecnologías de la información y las comunicaciones (TIC)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  <w:rPr>
          <w:b/>
          <w:bCs/>
        </w:rPr>
      </w:pPr>
      <w:r w:rsidRPr="00A01AAE">
        <w:rPr>
          <w:i/>
          <w:iCs/>
        </w:rPr>
        <w:tab/>
      </w:r>
      <w:r w:rsidRPr="00A01AAE">
        <w:t>Véase el documento WO/PBC/21/14.</w:t>
      </w:r>
    </w:p>
    <w:p w:rsidR="00A01AAE" w:rsidRPr="00A01AAE" w:rsidRDefault="00A01AAE" w:rsidP="00A01AAE">
      <w:pPr>
        <w:pStyle w:val="ONUMFS"/>
        <w:spacing w:after="0"/>
      </w:pPr>
      <w:r w:rsidRPr="00A01AAE">
        <w:lastRenderedPageBreak/>
        <w:t>Informe sobre la marcha de la aplicación de la Política Lingüística de la OMPI</w:t>
      </w:r>
    </w:p>
    <w:p w:rsidR="00A01AAE" w:rsidRPr="00A01AAE" w:rsidRDefault="00A01AAE" w:rsidP="00A01AAE">
      <w:pPr>
        <w:pStyle w:val="ONUMFS"/>
        <w:numPr>
          <w:ilvl w:val="0"/>
          <w:numId w:val="0"/>
        </w:numPr>
        <w:tabs>
          <w:tab w:val="left" w:pos="1134"/>
        </w:tabs>
        <w:rPr>
          <w:b/>
          <w:bCs/>
        </w:rPr>
      </w:pPr>
      <w:r w:rsidRPr="00A01AAE">
        <w:rPr>
          <w:i/>
          <w:iCs/>
        </w:rPr>
        <w:tab/>
      </w:r>
      <w:r w:rsidRPr="00A01AAE">
        <w:t>Véase el documento WO/PBC/21/15.</w:t>
      </w:r>
    </w:p>
    <w:p w:rsidR="00A01AAE" w:rsidRPr="00A01AAE" w:rsidRDefault="00A01AAE" w:rsidP="00A01AAE">
      <w:pPr>
        <w:pStyle w:val="Heading3"/>
      </w:pPr>
      <w:r w:rsidRPr="00A01AAE">
        <w:t>Clausura de la sesión</w:t>
      </w:r>
    </w:p>
    <w:p w:rsidR="00A01AAE" w:rsidRPr="00A01AAE" w:rsidRDefault="00A01AAE" w:rsidP="00A01AAE"/>
    <w:p w:rsidR="00A01AAE" w:rsidRPr="00A01AAE" w:rsidRDefault="00A01AAE" w:rsidP="00A01AAE">
      <w:pPr>
        <w:pStyle w:val="ONUMFS"/>
      </w:pPr>
      <w:r w:rsidRPr="00A01AAE">
        <w:t xml:space="preserve">Aprobación de la reseña de las decisiones y recomendaciones </w:t>
      </w:r>
    </w:p>
    <w:p w:rsidR="00A01AAE" w:rsidRPr="00A01AAE" w:rsidRDefault="00A01AAE" w:rsidP="00A01AAE">
      <w:pPr>
        <w:pStyle w:val="ONUMFS"/>
      </w:pPr>
      <w:r w:rsidRPr="00A01AAE">
        <w:t>Clausura de la sesión</w:t>
      </w:r>
    </w:p>
    <w:p w:rsidR="00A01AAE" w:rsidRPr="00A01AAE" w:rsidRDefault="00A01AAE" w:rsidP="00A01AAE">
      <w:pPr>
        <w:pStyle w:val="ONUMFS"/>
        <w:numPr>
          <w:ilvl w:val="0"/>
          <w:numId w:val="0"/>
        </w:numPr>
      </w:pPr>
    </w:p>
    <w:p w:rsidR="00A01AAE" w:rsidRPr="00A01AAE" w:rsidRDefault="00A01AAE" w:rsidP="00A01AAE">
      <w:pPr>
        <w:pStyle w:val="Endofdocument-Annex"/>
        <w:rPr>
          <w:lang w:val="es-ES"/>
        </w:rPr>
      </w:pPr>
      <w:r w:rsidRPr="00A01AAE">
        <w:rPr>
          <w:lang w:val="es-ES"/>
        </w:rPr>
        <w:t>[Fin del documento]</w:t>
      </w:r>
    </w:p>
    <w:p w:rsidR="00152CEA" w:rsidRPr="00A01AAE" w:rsidRDefault="00152CEA" w:rsidP="00A01AAE">
      <w:pPr>
        <w:pStyle w:val="ONUMFS"/>
        <w:numPr>
          <w:ilvl w:val="0"/>
          <w:numId w:val="0"/>
        </w:numPr>
      </w:pPr>
    </w:p>
    <w:sectPr w:rsidR="00152CEA" w:rsidRPr="00A01AAE" w:rsidSect="00A01AAE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AE" w:rsidRDefault="00A01AAE">
      <w:r>
        <w:separator/>
      </w:r>
    </w:p>
  </w:endnote>
  <w:endnote w:type="continuationSeparator" w:id="0">
    <w:p w:rsidR="00A01AAE" w:rsidRPr="009D30E6" w:rsidRDefault="00A01AA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01AAE" w:rsidRPr="007E663E" w:rsidRDefault="00A01AA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01AAE" w:rsidRPr="007E663E" w:rsidRDefault="00A01AA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AE" w:rsidRDefault="00A01AAE">
      <w:r>
        <w:separator/>
      </w:r>
    </w:p>
  </w:footnote>
  <w:footnote w:type="continuationSeparator" w:id="0">
    <w:p w:rsidR="00A01AAE" w:rsidRPr="009D30E6" w:rsidRDefault="00A01AA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01AAE" w:rsidRPr="007E663E" w:rsidRDefault="00A01AA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01AAE" w:rsidRPr="007E663E" w:rsidRDefault="00A01AA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1E" w:rsidRDefault="00A01AAE" w:rsidP="00477D6B">
    <w:pPr>
      <w:jc w:val="right"/>
    </w:pPr>
    <w:bookmarkStart w:id="6" w:name="Code2"/>
    <w:bookmarkEnd w:id="6"/>
    <w:r>
      <w:t>WO/PBC/21/1</w:t>
    </w:r>
  </w:p>
  <w:p w:rsidR="007D781E" w:rsidRDefault="007D781E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95FB6">
      <w:rPr>
        <w:noProof/>
      </w:rPr>
      <w:t>2</w:t>
    </w:r>
    <w:r>
      <w:fldChar w:fldCharType="end"/>
    </w:r>
  </w:p>
  <w:p w:rsidR="007D781E" w:rsidRDefault="007D781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AE"/>
    <w:rsid w:val="00052915"/>
    <w:rsid w:val="000E3BB3"/>
    <w:rsid w:val="000F5E56"/>
    <w:rsid w:val="001362EE"/>
    <w:rsid w:val="00152CEA"/>
    <w:rsid w:val="001832A6"/>
    <w:rsid w:val="002221DA"/>
    <w:rsid w:val="002634C4"/>
    <w:rsid w:val="00275495"/>
    <w:rsid w:val="002E0F47"/>
    <w:rsid w:val="002F4E68"/>
    <w:rsid w:val="00354647"/>
    <w:rsid w:val="00377273"/>
    <w:rsid w:val="003845C1"/>
    <w:rsid w:val="00387287"/>
    <w:rsid w:val="003E48F1"/>
    <w:rsid w:val="00423E3E"/>
    <w:rsid w:val="00427AF4"/>
    <w:rsid w:val="0045231F"/>
    <w:rsid w:val="004647DA"/>
    <w:rsid w:val="00477808"/>
    <w:rsid w:val="00477D6B"/>
    <w:rsid w:val="004A6C37"/>
    <w:rsid w:val="005332F0"/>
    <w:rsid w:val="0055013B"/>
    <w:rsid w:val="00571B99"/>
    <w:rsid w:val="00605827"/>
    <w:rsid w:val="00675021"/>
    <w:rsid w:val="006A06C6"/>
    <w:rsid w:val="00794BE2"/>
    <w:rsid w:val="00795FB6"/>
    <w:rsid w:val="007B71FE"/>
    <w:rsid w:val="007D781E"/>
    <w:rsid w:val="007E663E"/>
    <w:rsid w:val="0081338B"/>
    <w:rsid w:val="00815082"/>
    <w:rsid w:val="0088395E"/>
    <w:rsid w:val="008B2CC1"/>
    <w:rsid w:val="008E6BD6"/>
    <w:rsid w:val="0090731E"/>
    <w:rsid w:val="00966A22"/>
    <w:rsid w:val="00972F03"/>
    <w:rsid w:val="009A0C8B"/>
    <w:rsid w:val="009B6241"/>
    <w:rsid w:val="00A01AAE"/>
    <w:rsid w:val="00A16FC0"/>
    <w:rsid w:val="00A32C9E"/>
    <w:rsid w:val="00AB613D"/>
    <w:rsid w:val="00B65A0A"/>
    <w:rsid w:val="00B72D36"/>
    <w:rsid w:val="00BC4164"/>
    <w:rsid w:val="00BD2DCC"/>
    <w:rsid w:val="00C90559"/>
    <w:rsid w:val="00D56C7C"/>
    <w:rsid w:val="00D71B4D"/>
    <w:rsid w:val="00D90289"/>
    <w:rsid w:val="00D93D55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95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FB6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1"/>
      </w:numPr>
    </w:pPr>
  </w:style>
  <w:style w:type="paragraph" w:customStyle="1" w:styleId="ONUME">
    <w:name w:val="ONUM E"/>
    <w:basedOn w:val="BodyText"/>
    <w:rsid w:val="00A32C9E"/>
    <w:pPr>
      <w:numPr>
        <w:numId w:val="2"/>
      </w:numPr>
    </w:pPr>
  </w:style>
  <w:style w:type="paragraph" w:customStyle="1" w:styleId="ONUMFS">
    <w:name w:val="ONUM FS"/>
    <w:basedOn w:val="BodyText"/>
    <w:rsid w:val="00A32C9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795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5FB6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1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21 (S).dot</Template>
  <TotalTime>28</TotalTime>
  <Pages>3</Pages>
  <Words>503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WO/PBC/21/1 Prov. - Proyecto de orden del día</vt:lpstr>
    </vt:vector>
  </TitlesOfParts>
  <Company>WIPO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WO/PBC/21/1 Prov. - Proyecto de orden del día</dc:title>
  <dc:creator>BOU LLORET Amparo</dc:creator>
  <dc:description>JC - 17/7/2013</dc:description>
  <cp:lastModifiedBy>HALLER Mario</cp:lastModifiedBy>
  <cp:revision>3</cp:revision>
  <dcterms:created xsi:type="dcterms:W3CDTF">2013-07-17T09:39:00Z</dcterms:created>
  <dcterms:modified xsi:type="dcterms:W3CDTF">2013-09-11T13:30:00Z</dcterms:modified>
</cp:coreProperties>
</file>